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F4F45A">
      <w:pPr>
        <w:pBdr>
          <w:top w:val="none" w:color="000000" w:sz="0" w:space="0"/>
          <w:left w:val="none" w:color="000000" w:sz="0" w:space="0"/>
          <w:bottom w:val="none" w:color="000000" w:sz="0" w:space="0"/>
          <w:right w:val="none" w:color="000000" w:sz="0" w:space="0"/>
        </w:pBdr>
        <w:spacing w:before="120" w:after="120" w:line="85" w:lineRule="atLeast"/>
        <w:jc w:val="center"/>
        <w:rPr>
          <w:rFonts w:hint="eastAsia" w:ascii="宋体" w:hAnsi="宋体" w:eastAsia="宋体" w:cs="宋体"/>
          <w:b/>
          <w:sz w:val="52"/>
          <w:szCs w:val="52"/>
        </w:rPr>
      </w:pPr>
    </w:p>
    <w:p w14:paraId="0B4F294B">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sz w:val="32"/>
          <w:szCs w:val="32"/>
        </w:rPr>
      </w:pPr>
      <w:r>
        <w:rPr>
          <w:rFonts w:hint="eastAsia" w:ascii="宋体" w:hAnsi="宋体" w:eastAsia="宋体" w:cs="宋体"/>
          <w:b/>
          <w:sz w:val="32"/>
          <w:szCs w:val="32"/>
        </w:rPr>
        <w:t>南京市公安局江宁分局</w:t>
      </w:r>
    </w:p>
    <w:p w14:paraId="76EFDAD0">
      <w:pPr>
        <w:pBdr>
          <w:top w:val="none" w:color="000000" w:sz="0" w:space="0"/>
          <w:left w:val="none" w:color="000000" w:sz="0" w:space="0"/>
          <w:bottom w:val="none" w:color="000000" w:sz="0" w:space="0"/>
          <w:right w:val="none" w:color="000000" w:sz="0" w:space="0"/>
        </w:pBdr>
        <w:spacing w:before="120" w:after="120" w:line="85" w:lineRule="atLeast"/>
        <w:jc w:val="center"/>
        <w:rPr>
          <w:rFonts w:hint="eastAsia" w:ascii="宋体" w:hAnsi="宋体" w:eastAsia="宋体" w:cs="宋体"/>
          <w:sz w:val="52"/>
          <w:szCs w:val="52"/>
        </w:rPr>
      </w:pPr>
      <w:r>
        <w:rPr>
          <w:rFonts w:hint="eastAsia" w:ascii="宋体" w:hAnsi="宋体" w:eastAsia="宋体" w:cs="宋体"/>
          <w:b/>
          <w:sz w:val="32"/>
          <w:szCs w:val="32"/>
        </w:rPr>
        <w:t>采购道路交通事故及违法车辆定点保管服务</w:t>
      </w:r>
    </w:p>
    <w:p w14:paraId="6AAA6315">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sz w:val="24"/>
        </w:rPr>
      </w:pPr>
      <w:r>
        <w:rPr>
          <w:rFonts w:hint="eastAsia" w:ascii="宋体" w:hAnsi="宋体" w:eastAsia="宋体" w:cs="宋体"/>
          <w:sz w:val="24"/>
        </w:rPr>
        <w:t> </w:t>
      </w:r>
    </w:p>
    <w:p w14:paraId="25A810D8">
      <w:pPr>
        <w:pStyle w:val="16"/>
      </w:pPr>
    </w:p>
    <w:p w14:paraId="3B9AFDBE"/>
    <w:p w14:paraId="4405429B">
      <w:pPr>
        <w:widowControl w:val="0"/>
        <w:jc w:val="center"/>
        <w:rPr>
          <w:rFonts w:hint="eastAsia" w:ascii="宋体" w:hAnsi="宋体" w:eastAsia="宋体" w:cs="Arial"/>
          <w:b/>
          <w:bCs/>
          <w:sz w:val="72"/>
          <w:szCs w:val="72"/>
        </w:rPr>
      </w:pPr>
    </w:p>
    <w:p w14:paraId="18D91352">
      <w:pPr>
        <w:widowControl w:val="0"/>
        <w:jc w:val="center"/>
        <w:rPr>
          <w:rFonts w:hint="eastAsia" w:ascii="宋体" w:hAnsi="宋体" w:eastAsia="宋体" w:cs="宋体"/>
        </w:rPr>
      </w:pPr>
      <w:r>
        <w:rPr>
          <w:rFonts w:hint="eastAsia" w:ascii="宋体" w:hAnsi="宋体" w:eastAsia="宋体" w:cs="Arial"/>
          <w:b/>
          <w:bCs/>
          <w:sz w:val="72"/>
          <w:szCs w:val="72"/>
        </w:rPr>
        <w:t>招标文件</w:t>
      </w:r>
    </w:p>
    <w:p w14:paraId="5AC6F08D">
      <w:pPr>
        <w:pBdr>
          <w:top w:val="none" w:color="000000" w:sz="0" w:space="0"/>
          <w:left w:val="none" w:color="000000" w:sz="0" w:space="0"/>
          <w:bottom w:val="none" w:color="000000" w:sz="0" w:space="0"/>
          <w:right w:val="none" w:color="000000" w:sz="0" w:space="0"/>
        </w:pBdr>
        <w:spacing w:before="120" w:after="120" w:line="360" w:lineRule="atLeast"/>
        <w:jc w:val="both"/>
        <w:rPr>
          <w:rFonts w:hint="eastAsia" w:ascii="宋体" w:hAnsi="宋体" w:eastAsia="宋体" w:cs="宋体"/>
          <w:b/>
          <w:sz w:val="84"/>
        </w:rPr>
      </w:pPr>
      <w:r>
        <w:rPr>
          <w:rFonts w:hint="eastAsia" w:ascii="宋体" w:hAnsi="宋体" w:eastAsia="宋体" w:cs="宋体"/>
          <w:b/>
          <w:sz w:val="84"/>
        </w:rPr>
        <w:t> </w:t>
      </w:r>
    </w:p>
    <w:p w14:paraId="1D07412B">
      <w:pPr>
        <w:pStyle w:val="2"/>
      </w:pPr>
    </w:p>
    <w:p w14:paraId="3A5BD055">
      <w:pPr>
        <w:pBdr>
          <w:top w:val="none" w:color="000000" w:sz="0" w:space="0"/>
          <w:left w:val="none" w:color="000000" w:sz="0" w:space="0"/>
          <w:bottom w:val="none" w:color="000000" w:sz="0" w:space="0"/>
          <w:right w:val="none" w:color="000000" w:sz="0" w:space="0"/>
        </w:pBdr>
        <w:spacing w:before="120" w:after="120" w:line="360" w:lineRule="auto"/>
        <w:jc w:val="center"/>
        <w:rPr>
          <w:rFonts w:hint="default" w:ascii="宋体" w:hAnsi="宋体" w:eastAsia="宋体" w:cs="宋体"/>
          <w:highlight w:val="green"/>
          <w:lang w:val="en-US" w:eastAsia="zh-CN"/>
        </w:rPr>
      </w:pPr>
      <w:r>
        <w:rPr>
          <w:rFonts w:hint="eastAsia" w:ascii="宋体" w:hAnsi="宋体" w:eastAsia="宋体" w:cs="宋体"/>
          <w:b/>
          <w:sz w:val="32"/>
        </w:rPr>
        <w:t>项目编号：JSZC-320115-NJLX-G2026-</w:t>
      </w:r>
      <w:r>
        <w:rPr>
          <w:rFonts w:hint="eastAsia" w:ascii="宋体" w:hAnsi="宋体" w:eastAsia="宋体" w:cs="宋体"/>
          <w:b/>
          <w:sz w:val="32"/>
          <w:highlight w:val="none"/>
          <w:lang w:val="en-US" w:eastAsia="zh-CN"/>
        </w:rPr>
        <w:t>0008</w:t>
      </w:r>
    </w:p>
    <w:p w14:paraId="6F54322E">
      <w:pPr>
        <w:pBdr>
          <w:top w:val="none" w:color="000000" w:sz="0" w:space="0"/>
          <w:left w:val="none" w:color="000000" w:sz="0" w:space="0"/>
          <w:bottom w:val="none" w:color="000000" w:sz="0" w:space="0"/>
          <w:right w:val="none" w:color="000000" w:sz="0" w:space="0"/>
        </w:pBdr>
        <w:spacing w:before="120" w:after="120" w:line="360" w:lineRule="auto"/>
        <w:jc w:val="center"/>
        <w:rPr>
          <w:rFonts w:hint="eastAsia" w:ascii="宋体" w:hAnsi="宋体" w:eastAsia="宋体" w:cs="宋体"/>
        </w:rPr>
      </w:pPr>
      <w:r>
        <w:rPr>
          <w:rFonts w:hint="eastAsia" w:ascii="宋体" w:hAnsi="宋体" w:eastAsia="宋体" w:cs="宋体"/>
          <w:b/>
          <w:sz w:val="32"/>
        </w:rPr>
        <w:t>（非专门面向中小企业）</w:t>
      </w:r>
    </w:p>
    <w:p w14:paraId="0C15FEB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42DA14B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43588C1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3703144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0C2D3A3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r>
        <w:rPr>
          <w:rFonts w:hint="eastAsia" w:ascii="宋体" w:hAnsi="宋体" w:eastAsia="宋体" w:cs="宋体"/>
          <w:sz w:val="24"/>
        </w:rPr>
        <w:t> </w:t>
      </w:r>
    </w:p>
    <w:p w14:paraId="3E1FFF3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p>
    <w:p w14:paraId="6C8EBEA3">
      <w:pPr>
        <w:pStyle w:val="16"/>
      </w:pPr>
    </w:p>
    <w:p w14:paraId="3B34755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p>
    <w:p w14:paraId="66875E4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7237CBE9">
      <w:pPr>
        <w:pBdr>
          <w:top w:val="none" w:color="000000" w:sz="0" w:space="0"/>
          <w:left w:val="none" w:color="000000" w:sz="0" w:space="0"/>
          <w:bottom w:val="none" w:color="000000" w:sz="0" w:space="0"/>
          <w:right w:val="none" w:color="000000" w:sz="0" w:space="0"/>
        </w:pBdr>
        <w:spacing w:before="120" w:after="120" w:line="360" w:lineRule="auto"/>
        <w:jc w:val="center"/>
        <w:rPr>
          <w:rFonts w:hint="eastAsia" w:ascii="宋体" w:hAnsi="宋体" w:eastAsia="宋体" w:cs="宋体"/>
        </w:rPr>
      </w:pPr>
      <w:r>
        <w:rPr>
          <w:rFonts w:hint="eastAsia" w:ascii="宋体" w:hAnsi="宋体" w:eastAsia="宋体" w:cs="宋体"/>
          <w:b/>
          <w:sz w:val="32"/>
        </w:rPr>
        <w:t>采购单位：南京市公安局江宁分局</w:t>
      </w:r>
    </w:p>
    <w:p w14:paraId="6196A3DA">
      <w:pPr>
        <w:pBdr>
          <w:top w:val="none" w:color="000000" w:sz="0" w:space="0"/>
          <w:left w:val="none" w:color="000000" w:sz="0" w:space="0"/>
          <w:bottom w:val="none" w:color="000000" w:sz="0" w:space="0"/>
          <w:right w:val="none" w:color="000000" w:sz="0" w:space="0"/>
        </w:pBdr>
        <w:spacing w:before="120" w:after="120" w:line="360" w:lineRule="auto"/>
        <w:jc w:val="center"/>
        <w:rPr>
          <w:rFonts w:hint="eastAsia" w:ascii="宋体" w:hAnsi="宋体" w:eastAsia="宋体" w:cs="宋体"/>
        </w:rPr>
      </w:pPr>
      <w:r>
        <w:rPr>
          <w:rFonts w:hint="eastAsia" w:ascii="宋体" w:hAnsi="宋体" w:eastAsia="宋体" w:cs="宋体"/>
          <w:b/>
          <w:sz w:val="32"/>
        </w:rPr>
        <w:t>招标代理：南京陵新项目管理有限公司</w:t>
      </w:r>
    </w:p>
    <w:p w14:paraId="6B18C5EC">
      <w:pPr>
        <w:pBdr>
          <w:top w:val="none" w:color="000000" w:sz="0" w:space="0"/>
          <w:left w:val="none" w:color="000000" w:sz="0" w:space="0"/>
          <w:bottom w:val="none" w:color="000000" w:sz="0" w:space="0"/>
          <w:right w:val="none" w:color="000000" w:sz="0" w:space="0"/>
        </w:pBdr>
        <w:spacing w:before="120" w:after="120" w:line="360" w:lineRule="auto"/>
        <w:jc w:val="center"/>
        <w:rPr>
          <w:rFonts w:hint="eastAsia" w:ascii="宋体" w:hAnsi="宋体" w:eastAsia="宋体" w:cs="宋体"/>
        </w:rPr>
      </w:pPr>
      <w:r>
        <w:rPr>
          <w:rFonts w:hint="eastAsia" w:ascii="宋体" w:hAnsi="宋体" w:eastAsia="宋体" w:cs="宋体"/>
          <w:b/>
          <w:sz w:val="32"/>
        </w:rPr>
        <w:t>日期：2026年09月</w:t>
      </w:r>
    </w:p>
    <w:p w14:paraId="306DE5DF">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03186EA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sectPr>
          <w:pgSz w:w="11900" w:h="16840"/>
          <w:pgMar w:top="1134" w:right="1134" w:bottom="1134" w:left="1134" w:header="0" w:footer="1134" w:gutter="0"/>
          <w:cols w:space="720" w:num="1"/>
          <w:docGrid w:linePitch="360" w:charSpace="0"/>
        </w:sectPr>
      </w:pPr>
      <w:r>
        <w:rPr>
          <w:rFonts w:hint="eastAsia" w:ascii="宋体" w:hAnsi="宋体" w:eastAsia="宋体" w:cs="宋体"/>
        </w:rPr>
        <w:t> </w:t>
      </w:r>
    </w:p>
    <w:p w14:paraId="5B5A0A4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8"/>
          <w:szCs w:val="32"/>
        </w:rPr>
      </w:pPr>
      <w:r>
        <w:rPr>
          <w:rFonts w:hint="eastAsia" w:ascii="宋体" w:hAnsi="宋体" w:eastAsia="宋体" w:cs="宋体"/>
          <w:b/>
          <w:bCs/>
          <w:sz w:val="28"/>
          <w:szCs w:val="32"/>
        </w:rPr>
        <w:t>目  录</w:t>
      </w:r>
    </w:p>
    <w:p w14:paraId="2849518A">
      <w:pPr>
        <w:pStyle w:val="26"/>
        <w:tabs>
          <w:tab w:val="right" w:leader="hyphen" w:pos="9066"/>
        </w:tabs>
        <w:spacing w:line="360" w:lineRule="auto"/>
      </w:pPr>
    </w:p>
    <w:p w14:paraId="420C36EA">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TOC \o "1-2" \h \u </w:instrText>
      </w:r>
      <w:r>
        <w:rPr>
          <w:rFonts w:hint="eastAsia" w:ascii="宋体" w:hAnsi="宋体" w:eastAsia="宋体" w:cs="宋体"/>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_Toc21841 </w:instrText>
      </w:r>
      <w:r>
        <w:rPr>
          <w:rFonts w:hint="eastAsia" w:ascii="宋体" w:hAnsi="宋体" w:eastAsia="宋体" w:cs="宋体"/>
          <w:szCs w:val="24"/>
        </w:rPr>
        <w:fldChar w:fldCharType="separate"/>
      </w:r>
      <w:r>
        <w:rPr>
          <w:rFonts w:hint="eastAsia" w:ascii="宋体" w:hAnsi="宋体" w:eastAsia="宋体" w:cs="宋体"/>
          <w:bCs/>
        </w:rPr>
        <w:t>第一章  招标公告</w:t>
      </w:r>
      <w:r>
        <w:tab/>
      </w:r>
      <w:r>
        <w:fldChar w:fldCharType="begin"/>
      </w:r>
      <w:r>
        <w:instrText xml:space="preserve"> PAGEREF _Toc21841 \h </w:instrText>
      </w:r>
      <w:r>
        <w:fldChar w:fldCharType="separate"/>
      </w:r>
      <w:r>
        <w:t>1</w:t>
      </w:r>
      <w:r>
        <w:fldChar w:fldCharType="end"/>
      </w:r>
      <w:r>
        <w:rPr>
          <w:rFonts w:hint="eastAsia" w:ascii="宋体" w:hAnsi="宋体" w:eastAsia="宋体" w:cs="宋体"/>
          <w:szCs w:val="24"/>
        </w:rPr>
        <w:fldChar w:fldCharType="end"/>
      </w:r>
    </w:p>
    <w:p w14:paraId="543293D7">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_Toc22167 </w:instrText>
      </w:r>
      <w:r>
        <w:rPr>
          <w:rFonts w:hint="eastAsia" w:ascii="宋体" w:hAnsi="宋体" w:eastAsia="宋体" w:cs="宋体"/>
          <w:szCs w:val="24"/>
        </w:rPr>
        <w:fldChar w:fldCharType="separate"/>
      </w:r>
      <w:r>
        <w:rPr>
          <w:rFonts w:hint="eastAsia" w:ascii="宋体" w:hAnsi="宋体" w:eastAsia="宋体" w:cs="宋体"/>
          <w:bCs/>
          <w:szCs w:val="30"/>
        </w:rPr>
        <w:t>一、项目基本情况</w:t>
      </w:r>
      <w:r>
        <w:tab/>
      </w:r>
      <w:r>
        <w:fldChar w:fldCharType="begin"/>
      </w:r>
      <w:r>
        <w:instrText xml:space="preserve"> PAGEREF _Toc22167 \h </w:instrText>
      </w:r>
      <w:r>
        <w:fldChar w:fldCharType="separate"/>
      </w:r>
      <w:r>
        <w:t>1</w:t>
      </w:r>
      <w:r>
        <w:fldChar w:fldCharType="end"/>
      </w:r>
      <w:r>
        <w:rPr>
          <w:rFonts w:hint="eastAsia" w:ascii="宋体" w:hAnsi="宋体" w:eastAsia="宋体" w:cs="宋体"/>
          <w:szCs w:val="24"/>
        </w:rPr>
        <w:fldChar w:fldCharType="end"/>
      </w:r>
    </w:p>
    <w:p w14:paraId="22B5593D">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_Toc30914 </w:instrText>
      </w:r>
      <w:r>
        <w:rPr>
          <w:rFonts w:hint="eastAsia" w:ascii="宋体" w:hAnsi="宋体" w:eastAsia="宋体" w:cs="宋体"/>
          <w:szCs w:val="24"/>
        </w:rPr>
        <w:fldChar w:fldCharType="separate"/>
      </w:r>
      <w:r>
        <w:rPr>
          <w:rFonts w:hint="eastAsia" w:ascii="宋体" w:hAnsi="宋体" w:eastAsia="宋体" w:cs="宋体"/>
          <w:bCs/>
          <w:szCs w:val="30"/>
        </w:rPr>
        <w:t>二、申请人的资格要求</w:t>
      </w:r>
      <w:r>
        <w:tab/>
      </w:r>
      <w:r>
        <w:fldChar w:fldCharType="begin"/>
      </w:r>
      <w:r>
        <w:instrText xml:space="preserve"> PAGEREF _Toc30914 \h </w:instrText>
      </w:r>
      <w:r>
        <w:fldChar w:fldCharType="separate"/>
      </w:r>
      <w:r>
        <w:t>2</w:t>
      </w:r>
      <w:r>
        <w:fldChar w:fldCharType="end"/>
      </w:r>
      <w:r>
        <w:rPr>
          <w:rFonts w:hint="eastAsia" w:ascii="宋体" w:hAnsi="宋体" w:eastAsia="宋体" w:cs="宋体"/>
          <w:szCs w:val="24"/>
        </w:rPr>
        <w:fldChar w:fldCharType="end"/>
      </w:r>
    </w:p>
    <w:p w14:paraId="239FE4A6">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_Toc1528 </w:instrText>
      </w:r>
      <w:r>
        <w:rPr>
          <w:rFonts w:hint="eastAsia" w:ascii="宋体" w:hAnsi="宋体" w:eastAsia="宋体" w:cs="宋体"/>
          <w:szCs w:val="24"/>
        </w:rPr>
        <w:fldChar w:fldCharType="separate"/>
      </w:r>
      <w:r>
        <w:rPr>
          <w:rFonts w:hint="eastAsia" w:ascii="宋体" w:hAnsi="宋体" w:eastAsia="宋体" w:cs="宋体"/>
          <w:bCs/>
          <w:szCs w:val="30"/>
        </w:rPr>
        <w:t>三、获取招标文件</w:t>
      </w:r>
      <w:r>
        <w:tab/>
      </w:r>
      <w:r>
        <w:fldChar w:fldCharType="begin"/>
      </w:r>
      <w:r>
        <w:instrText xml:space="preserve"> PAGEREF _Toc1528 \h </w:instrText>
      </w:r>
      <w:r>
        <w:fldChar w:fldCharType="separate"/>
      </w:r>
      <w:r>
        <w:t>2</w:t>
      </w:r>
      <w:r>
        <w:fldChar w:fldCharType="end"/>
      </w:r>
      <w:r>
        <w:rPr>
          <w:rFonts w:hint="eastAsia" w:ascii="宋体" w:hAnsi="宋体" w:eastAsia="宋体" w:cs="宋体"/>
          <w:szCs w:val="24"/>
        </w:rPr>
        <w:fldChar w:fldCharType="end"/>
      </w:r>
    </w:p>
    <w:p w14:paraId="5CEE9159">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_Toc4642 </w:instrText>
      </w:r>
      <w:r>
        <w:rPr>
          <w:rFonts w:hint="eastAsia" w:ascii="宋体" w:hAnsi="宋体" w:eastAsia="宋体" w:cs="宋体"/>
          <w:szCs w:val="24"/>
        </w:rPr>
        <w:fldChar w:fldCharType="separate"/>
      </w:r>
      <w:r>
        <w:rPr>
          <w:rFonts w:hint="eastAsia" w:ascii="宋体" w:hAnsi="宋体" w:eastAsia="宋体" w:cs="宋体"/>
          <w:bCs/>
          <w:szCs w:val="30"/>
        </w:rPr>
        <w:t>四、提交投标文件截止时间、开标时间、地点</w:t>
      </w:r>
      <w:r>
        <w:tab/>
      </w:r>
      <w:r>
        <w:fldChar w:fldCharType="begin"/>
      </w:r>
      <w:r>
        <w:instrText xml:space="preserve"> PAGEREF _Toc4642 \h </w:instrText>
      </w:r>
      <w:r>
        <w:fldChar w:fldCharType="separate"/>
      </w:r>
      <w:r>
        <w:t>2</w:t>
      </w:r>
      <w:r>
        <w:fldChar w:fldCharType="end"/>
      </w:r>
      <w:r>
        <w:rPr>
          <w:rFonts w:hint="eastAsia" w:ascii="宋体" w:hAnsi="宋体" w:eastAsia="宋体" w:cs="宋体"/>
          <w:szCs w:val="24"/>
        </w:rPr>
        <w:fldChar w:fldCharType="end"/>
      </w:r>
    </w:p>
    <w:p w14:paraId="0365E8F9">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_Toc25970 </w:instrText>
      </w:r>
      <w:r>
        <w:rPr>
          <w:rFonts w:hint="eastAsia" w:ascii="宋体" w:hAnsi="宋体" w:eastAsia="宋体" w:cs="宋体"/>
          <w:szCs w:val="24"/>
        </w:rPr>
        <w:fldChar w:fldCharType="separate"/>
      </w:r>
      <w:r>
        <w:rPr>
          <w:rFonts w:hint="eastAsia" w:ascii="宋体" w:hAnsi="宋体" w:eastAsia="宋体" w:cs="宋体"/>
          <w:bCs/>
          <w:szCs w:val="30"/>
        </w:rPr>
        <w:t>五、公告期限</w:t>
      </w:r>
      <w:r>
        <w:tab/>
      </w:r>
      <w:r>
        <w:fldChar w:fldCharType="begin"/>
      </w:r>
      <w:r>
        <w:instrText xml:space="preserve"> PAGEREF _Toc25970 \h </w:instrText>
      </w:r>
      <w:r>
        <w:fldChar w:fldCharType="separate"/>
      </w:r>
      <w:r>
        <w:t>2</w:t>
      </w:r>
      <w:r>
        <w:fldChar w:fldCharType="end"/>
      </w:r>
      <w:r>
        <w:rPr>
          <w:rFonts w:hint="eastAsia" w:ascii="宋体" w:hAnsi="宋体" w:eastAsia="宋体" w:cs="宋体"/>
          <w:szCs w:val="24"/>
        </w:rPr>
        <w:fldChar w:fldCharType="end"/>
      </w:r>
    </w:p>
    <w:p w14:paraId="0056DB37">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_Toc2695 </w:instrText>
      </w:r>
      <w:r>
        <w:rPr>
          <w:rFonts w:hint="eastAsia" w:ascii="宋体" w:hAnsi="宋体" w:eastAsia="宋体" w:cs="宋体"/>
          <w:szCs w:val="24"/>
        </w:rPr>
        <w:fldChar w:fldCharType="separate"/>
      </w:r>
      <w:r>
        <w:rPr>
          <w:rFonts w:hint="eastAsia" w:ascii="宋体" w:hAnsi="宋体" w:eastAsia="宋体" w:cs="宋体"/>
          <w:bCs/>
          <w:szCs w:val="30"/>
        </w:rPr>
        <w:t>六、其他事宜</w:t>
      </w:r>
      <w:r>
        <w:tab/>
      </w:r>
      <w:r>
        <w:fldChar w:fldCharType="begin"/>
      </w:r>
      <w:r>
        <w:instrText xml:space="preserve"> PAGEREF _Toc2695 \h </w:instrText>
      </w:r>
      <w:r>
        <w:fldChar w:fldCharType="separate"/>
      </w:r>
      <w:r>
        <w:t>2</w:t>
      </w:r>
      <w:r>
        <w:fldChar w:fldCharType="end"/>
      </w:r>
      <w:r>
        <w:rPr>
          <w:rFonts w:hint="eastAsia" w:ascii="宋体" w:hAnsi="宋体" w:eastAsia="宋体" w:cs="宋体"/>
          <w:szCs w:val="24"/>
        </w:rPr>
        <w:fldChar w:fldCharType="end"/>
      </w:r>
    </w:p>
    <w:p w14:paraId="4AF2E206">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_Toc27372 </w:instrText>
      </w:r>
      <w:r>
        <w:rPr>
          <w:rFonts w:hint="eastAsia" w:ascii="宋体" w:hAnsi="宋体" w:eastAsia="宋体" w:cs="宋体"/>
          <w:szCs w:val="24"/>
        </w:rPr>
        <w:fldChar w:fldCharType="separate"/>
      </w:r>
      <w:r>
        <w:rPr>
          <w:rFonts w:hint="eastAsia" w:ascii="宋体" w:hAnsi="宋体" w:eastAsia="宋体" w:cs="宋体"/>
          <w:bCs/>
          <w:szCs w:val="30"/>
        </w:rPr>
        <w:t>七、本次招标联系方式</w:t>
      </w:r>
      <w:r>
        <w:tab/>
      </w:r>
      <w:r>
        <w:fldChar w:fldCharType="begin"/>
      </w:r>
      <w:r>
        <w:instrText xml:space="preserve"> PAGEREF _Toc27372 \h </w:instrText>
      </w:r>
      <w:r>
        <w:fldChar w:fldCharType="separate"/>
      </w:r>
      <w:r>
        <w:t>3</w:t>
      </w:r>
      <w:r>
        <w:fldChar w:fldCharType="end"/>
      </w:r>
      <w:r>
        <w:rPr>
          <w:rFonts w:hint="eastAsia" w:ascii="宋体" w:hAnsi="宋体" w:eastAsia="宋体" w:cs="宋体"/>
          <w:szCs w:val="24"/>
        </w:rPr>
        <w:fldChar w:fldCharType="end"/>
      </w:r>
    </w:p>
    <w:p w14:paraId="689F57ED">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_Toc5310 </w:instrText>
      </w:r>
      <w:r>
        <w:rPr>
          <w:rFonts w:hint="eastAsia" w:ascii="宋体" w:hAnsi="宋体" w:eastAsia="宋体" w:cs="宋体"/>
          <w:szCs w:val="24"/>
        </w:rPr>
        <w:fldChar w:fldCharType="separate"/>
      </w:r>
      <w:r>
        <w:rPr>
          <w:rFonts w:hint="eastAsia" w:ascii="宋体" w:hAnsi="宋体" w:eastAsia="宋体" w:cs="宋体"/>
          <w:bCs/>
        </w:rPr>
        <w:t>第二章  投标人须知</w:t>
      </w:r>
      <w:r>
        <w:tab/>
      </w:r>
      <w:r>
        <w:fldChar w:fldCharType="begin"/>
      </w:r>
      <w:r>
        <w:instrText xml:space="preserve"> PAGEREF _Toc5310 \h </w:instrText>
      </w:r>
      <w:r>
        <w:fldChar w:fldCharType="separate"/>
      </w:r>
      <w:r>
        <w:t>4</w:t>
      </w:r>
      <w:r>
        <w:fldChar w:fldCharType="end"/>
      </w:r>
      <w:r>
        <w:rPr>
          <w:rFonts w:hint="eastAsia" w:ascii="宋体" w:hAnsi="宋体" w:eastAsia="宋体" w:cs="宋体"/>
          <w:szCs w:val="24"/>
        </w:rPr>
        <w:fldChar w:fldCharType="end"/>
      </w:r>
    </w:p>
    <w:p w14:paraId="14314AA3">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_Toc18555 </w:instrText>
      </w:r>
      <w:r>
        <w:rPr>
          <w:rFonts w:hint="eastAsia" w:ascii="宋体" w:hAnsi="宋体" w:eastAsia="宋体" w:cs="宋体"/>
          <w:szCs w:val="24"/>
        </w:rPr>
        <w:fldChar w:fldCharType="separate"/>
      </w:r>
      <w:r>
        <w:rPr>
          <w:rFonts w:hint="eastAsia" w:ascii="宋体" w:hAnsi="宋体" w:eastAsia="宋体" w:cs="宋体"/>
          <w:bCs/>
        </w:rPr>
        <w:t>第三章  评标方法与评标标准</w:t>
      </w:r>
      <w:r>
        <w:tab/>
      </w:r>
      <w:r>
        <w:fldChar w:fldCharType="begin"/>
      </w:r>
      <w:r>
        <w:instrText xml:space="preserve"> PAGEREF _Toc18555 \h </w:instrText>
      </w:r>
      <w:r>
        <w:fldChar w:fldCharType="separate"/>
      </w:r>
      <w:r>
        <w:t>20</w:t>
      </w:r>
      <w:r>
        <w:fldChar w:fldCharType="end"/>
      </w:r>
      <w:r>
        <w:rPr>
          <w:rFonts w:hint="eastAsia" w:ascii="宋体" w:hAnsi="宋体" w:eastAsia="宋体" w:cs="宋体"/>
          <w:szCs w:val="24"/>
        </w:rPr>
        <w:fldChar w:fldCharType="end"/>
      </w:r>
    </w:p>
    <w:p w14:paraId="584C60A9">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_Toc8985 </w:instrText>
      </w:r>
      <w:r>
        <w:rPr>
          <w:rFonts w:hint="eastAsia" w:ascii="宋体" w:hAnsi="宋体" w:eastAsia="宋体" w:cs="宋体"/>
          <w:szCs w:val="24"/>
        </w:rPr>
        <w:fldChar w:fldCharType="separate"/>
      </w:r>
      <w:r>
        <w:rPr>
          <w:rFonts w:hint="eastAsia" w:ascii="宋体" w:hAnsi="宋体" w:eastAsia="宋体" w:cs="宋体"/>
          <w:bCs/>
        </w:rPr>
        <w:t>第四章  采购需求</w:t>
      </w:r>
      <w:r>
        <w:tab/>
      </w:r>
      <w:r>
        <w:fldChar w:fldCharType="begin"/>
      </w:r>
      <w:r>
        <w:instrText xml:space="preserve"> PAGEREF _Toc8985 \h </w:instrText>
      </w:r>
      <w:r>
        <w:fldChar w:fldCharType="separate"/>
      </w:r>
      <w:r>
        <w:t>30</w:t>
      </w:r>
      <w:r>
        <w:fldChar w:fldCharType="end"/>
      </w:r>
      <w:r>
        <w:rPr>
          <w:rFonts w:hint="eastAsia" w:ascii="宋体" w:hAnsi="宋体" w:eastAsia="宋体" w:cs="宋体"/>
          <w:szCs w:val="24"/>
        </w:rPr>
        <w:fldChar w:fldCharType="end"/>
      </w:r>
    </w:p>
    <w:p w14:paraId="6394891E">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_Toc21873 </w:instrText>
      </w:r>
      <w:r>
        <w:rPr>
          <w:rFonts w:hint="eastAsia" w:ascii="宋体" w:hAnsi="宋体" w:eastAsia="宋体" w:cs="宋体"/>
          <w:szCs w:val="24"/>
        </w:rPr>
        <w:fldChar w:fldCharType="separate"/>
      </w:r>
      <w:r>
        <w:rPr>
          <w:rFonts w:hint="eastAsia" w:ascii="宋体" w:hAnsi="宋体" w:eastAsia="宋体" w:cs="宋体"/>
          <w:bCs/>
        </w:rPr>
        <w:t>第五章  合同条款及格式</w:t>
      </w:r>
      <w:r>
        <w:tab/>
      </w:r>
      <w:r>
        <w:fldChar w:fldCharType="begin"/>
      </w:r>
      <w:r>
        <w:instrText xml:space="preserve"> PAGEREF _Toc21873 \h </w:instrText>
      </w:r>
      <w:r>
        <w:fldChar w:fldCharType="separate"/>
      </w:r>
      <w:r>
        <w:t>36</w:t>
      </w:r>
      <w:r>
        <w:fldChar w:fldCharType="end"/>
      </w:r>
      <w:r>
        <w:rPr>
          <w:rFonts w:hint="eastAsia" w:ascii="宋体" w:hAnsi="宋体" w:eastAsia="宋体" w:cs="宋体"/>
          <w:szCs w:val="24"/>
        </w:rPr>
        <w:fldChar w:fldCharType="end"/>
      </w:r>
    </w:p>
    <w:p w14:paraId="52CB9142">
      <w:pPr>
        <w:pStyle w:val="26"/>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_Toc19655 </w:instrText>
      </w:r>
      <w:r>
        <w:rPr>
          <w:rFonts w:hint="eastAsia" w:ascii="宋体" w:hAnsi="宋体" w:eastAsia="宋体" w:cs="宋体"/>
          <w:szCs w:val="24"/>
        </w:rPr>
        <w:fldChar w:fldCharType="separate"/>
      </w:r>
      <w:r>
        <w:rPr>
          <w:rFonts w:hint="eastAsia" w:ascii="宋体" w:hAnsi="宋体" w:eastAsia="宋体" w:cs="宋体"/>
          <w:bCs/>
        </w:rPr>
        <w:t>第六章  投标文件格式</w:t>
      </w:r>
      <w:r>
        <w:tab/>
      </w:r>
      <w:r>
        <w:fldChar w:fldCharType="begin"/>
      </w:r>
      <w:r>
        <w:instrText xml:space="preserve"> PAGEREF _Toc19655 \h </w:instrText>
      </w:r>
      <w:r>
        <w:fldChar w:fldCharType="separate"/>
      </w:r>
      <w:r>
        <w:t>46</w:t>
      </w:r>
      <w:r>
        <w:fldChar w:fldCharType="end"/>
      </w:r>
      <w:r>
        <w:rPr>
          <w:rFonts w:hint="eastAsia" w:ascii="宋体" w:hAnsi="宋体" w:eastAsia="宋体" w:cs="宋体"/>
          <w:szCs w:val="24"/>
        </w:rPr>
        <w:fldChar w:fldCharType="end"/>
      </w:r>
    </w:p>
    <w:p w14:paraId="36C028E3">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_Toc31960 </w:instrText>
      </w:r>
      <w:r>
        <w:rPr>
          <w:rFonts w:hint="eastAsia" w:ascii="宋体" w:hAnsi="宋体" w:eastAsia="宋体" w:cs="宋体"/>
          <w:szCs w:val="24"/>
        </w:rPr>
        <w:fldChar w:fldCharType="separate"/>
      </w:r>
      <w:r>
        <w:rPr>
          <w:rFonts w:hint="eastAsia" w:ascii="宋体" w:hAnsi="宋体" w:eastAsia="宋体" w:cs="Arial"/>
          <w:bCs/>
          <w:szCs w:val="21"/>
        </w:rPr>
        <w:t>一、信用承诺函</w:t>
      </w:r>
      <w:r>
        <w:tab/>
      </w:r>
      <w:r>
        <w:fldChar w:fldCharType="begin"/>
      </w:r>
      <w:r>
        <w:instrText xml:space="preserve"> PAGEREF _Toc31960 \h </w:instrText>
      </w:r>
      <w:r>
        <w:fldChar w:fldCharType="separate"/>
      </w:r>
      <w:r>
        <w:t>48</w:t>
      </w:r>
      <w:r>
        <w:fldChar w:fldCharType="end"/>
      </w:r>
      <w:r>
        <w:rPr>
          <w:rFonts w:hint="eastAsia" w:ascii="宋体" w:hAnsi="宋体" w:eastAsia="宋体" w:cs="宋体"/>
          <w:szCs w:val="24"/>
        </w:rPr>
        <w:fldChar w:fldCharType="end"/>
      </w:r>
    </w:p>
    <w:p w14:paraId="5E971178">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_Toc9943 </w:instrText>
      </w:r>
      <w:r>
        <w:rPr>
          <w:rFonts w:hint="eastAsia" w:ascii="宋体" w:hAnsi="宋体" w:eastAsia="宋体" w:cs="宋体"/>
          <w:szCs w:val="24"/>
        </w:rPr>
        <w:fldChar w:fldCharType="separate"/>
      </w:r>
      <w:r>
        <w:rPr>
          <w:rFonts w:hint="eastAsia" w:ascii="宋体" w:hAnsi="宋体" w:eastAsia="宋体" w:cs="Arial"/>
          <w:bCs/>
          <w:szCs w:val="21"/>
        </w:rPr>
        <w:t>二、法定代表人授权委托书</w:t>
      </w:r>
      <w:r>
        <w:tab/>
      </w:r>
      <w:r>
        <w:fldChar w:fldCharType="begin"/>
      </w:r>
      <w:r>
        <w:instrText xml:space="preserve"> PAGEREF _Toc9943 \h </w:instrText>
      </w:r>
      <w:r>
        <w:fldChar w:fldCharType="separate"/>
      </w:r>
      <w:r>
        <w:t>49</w:t>
      </w:r>
      <w:r>
        <w:fldChar w:fldCharType="end"/>
      </w:r>
      <w:r>
        <w:rPr>
          <w:rFonts w:hint="eastAsia" w:ascii="宋体" w:hAnsi="宋体" w:eastAsia="宋体" w:cs="宋体"/>
          <w:szCs w:val="24"/>
        </w:rPr>
        <w:fldChar w:fldCharType="end"/>
      </w:r>
    </w:p>
    <w:p w14:paraId="0B906B42">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_Toc17649 </w:instrText>
      </w:r>
      <w:r>
        <w:rPr>
          <w:rFonts w:hint="eastAsia" w:ascii="宋体" w:hAnsi="宋体" w:eastAsia="宋体" w:cs="宋体"/>
          <w:szCs w:val="24"/>
        </w:rPr>
        <w:fldChar w:fldCharType="separate"/>
      </w:r>
      <w:r>
        <w:rPr>
          <w:rFonts w:hint="eastAsia" w:ascii="宋体" w:hAnsi="宋体" w:eastAsia="宋体" w:cs="Arial"/>
          <w:bCs/>
          <w:szCs w:val="21"/>
        </w:rPr>
        <w:t>三、投标申请及声明</w:t>
      </w:r>
      <w:r>
        <w:tab/>
      </w:r>
      <w:r>
        <w:fldChar w:fldCharType="begin"/>
      </w:r>
      <w:r>
        <w:instrText xml:space="preserve"> PAGEREF _Toc17649 \h </w:instrText>
      </w:r>
      <w:r>
        <w:fldChar w:fldCharType="separate"/>
      </w:r>
      <w:r>
        <w:t>50</w:t>
      </w:r>
      <w:r>
        <w:fldChar w:fldCharType="end"/>
      </w:r>
      <w:r>
        <w:rPr>
          <w:rFonts w:hint="eastAsia" w:ascii="宋体" w:hAnsi="宋体" w:eastAsia="宋体" w:cs="宋体"/>
          <w:szCs w:val="24"/>
        </w:rPr>
        <w:fldChar w:fldCharType="end"/>
      </w:r>
    </w:p>
    <w:p w14:paraId="0F31D994">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_Toc30287 </w:instrText>
      </w:r>
      <w:r>
        <w:rPr>
          <w:rFonts w:hint="eastAsia" w:ascii="宋体" w:hAnsi="宋体" w:eastAsia="宋体" w:cs="宋体"/>
          <w:szCs w:val="24"/>
        </w:rPr>
        <w:fldChar w:fldCharType="separate"/>
      </w:r>
      <w:r>
        <w:rPr>
          <w:rFonts w:hint="eastAsia" w:ascii="宋体" w:hAnsi="宋体" w:eastAsia="宋体" w:cs="Arial"/>
          <w:bCs/>
          <w:szCs w:val="21"/>
        </w:rPr>
        <w:t>四</w:t>
      </w:r>
      <w:r>
        <w:rPr>
          <w:rFonts w:hint="eastAsia" w:ascii="宋体" w:hAnsi="宋体" w:eastAsia="宋体" w:cs="Arial"/>
          <w:bCs/>
          <w:szCs w:val="21"/>
          <w:lang w:val="zh-CN"/>
        </w:rPr>
        <w:t>、</w:t>
      </w:r>
      <w:r>
        <w:rPr>
          <w:rFonts w:hint="eastAsia" w:ascii="宋体" w:hAnsi="宋体" w:eastAsia="宋体" w:cs="Arial"/>
          <w:bCs/>
          <w:szCs w:val="21"/>
        </w:rPr>
        <w:t>开标一览</w:t>
      </w:r>
      <w:r>
        <w:rPr>
          <w:rFonts w:hint="eastAsia" w:ascii="宋体" w:hAnsi="宋体" w:eastAsia="宋体" w:cs="Arial"/>
          <w:bCs/>
          <w:szCs w:val="21"/>
          <w:lang w:val="zh-CN"/>
        </w:rPr>
        <w:t>表</w:t>
      </w:r>
      <w:r>
        <w:tab/>
      </w:r>
      <w:r>
        <w:fldChar w:fldCharType="begin"/>
      </w:r>
      <w:r>
        <w:instrText xml:space="preserve"> PAGEREF _Toc30287 \h </w:instrText>
      </w:r>
      <w:r>
        <w:fldChar w:fldCharType="separate"/>
      </w:r>
      <w:r>
        <w:t>52</w:t>
      </w:r>
      <w:r>
        <w:fldChar w:fldCharType="end"/>
      </w:r>
      <w:r>
        <w:rPr>
          <w:rFonts w:hint="eastAsia" w:ascii="宋体" w:hAnsi="宋体" w:eastAsia="宋体" w:cs="宋体"/>
          <w:szCs w:val="24"/>
        </w:rPr>
        <w:fldChar w:fldCharType="end"/>
      </w:r>
    </w:p>
    <w:p w14:paraId="2E03CC39">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_Toc24422 </w:instrText>
      </w:r>
      <w:r>
        <w:rPr>
          <w:rFonts w:hint="eastAsia" w:ascii="宋体" w:hAnsi="宋体" w:eastAsia="宋体" w:cs="宋体"/>
          <w:szCs w:val="24"/>
        </w:rPr>
        <w:fldChar w:fldCharType="separate"/>
      </w:r>
      <w:r>
        <w:rPr>
          <w:rFonts w:hint="eastAsia" w:ascii="宋体" w:hAnsi="宋体" w:eastAsia="宋体" w:cs="Arial"/>
          <w:bCs/>
          <w:szCs w:val="21"/>
        </w:rPr>
        <w:t>五</w:t>
      </w:r>
      <w:r>
        <w:rPr>
          <w:rFonts w:hint="eastAsia" w:ascii="宋体" w:hAnsi="宋体" w:eastAsia="宋体" w:cs="Arial"/>
          <w:bCs/>
          <w:szCs w:val="21"/>
          <w:lang w:val="zh-CN"/>
        </w:rPr>
        <w:t>、分项报价表</w:t>
      </w:r>
      <w:r>
        <w:tab/>
      </w:r>
      <w:r>
        <w:fldChar w:fldCharType="begin"/>
      </w:r>
      <w:r>
        <w:instrText xml:space="preserve"> PAGEREF _Toc24422 \h </w:instrText>
      </w:r>
      <w:r>
        <w:fldChar w:fldCharType="separate"/>
      </w:r>
      <w:r>
        <w:t>53</w:t>
      </w:r>
      <w:r>
        <w:fldChar w:fldCharType="end"/>
      </w:r>
      <w:r>
        <w:rPr>
          <w:rFonts w:hint="eastAsia" w:ascii="宋体" w:hAnsi="宋体" w:eastAsia="宋体" w:cs="宋体"/>
          <w:szCs w:val="24"/>
        </w:rPr>
        <w:fldChar w:fldCharType="end"/>
      </w:r>
    </w:p>
    <w:p w14:paraId="6E6049E9">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_Toc3069 </w:instrText>
      </w:r>
      <w:r>
        <w:rPr>
          <w:rFonts w:hint="eastAsia" w:ascii="宋体" w:hAnsi="宋体" w:eastAsia="宋体" w:cs="宋体"/>
          <w:szCs w:val="24"/>
        </w:rPr>
        <w:fldChar w:fldCharType="separate"/>
      </w:r>
      <w:r>
        <w:rPr>
          <w:rFonts w:hint="eastAsia" w:ascii="宋体" w:hAnsi="宋体" w:eastAsia="宋体" w:cs="Arial"/>
          <w:bCs/>
          <w:szCs w:val="21"/>
        </w:rPr>
        <w:t>六、技术条款偏离表</w:t>
      </w:r>
      <w:r>
        <w:tab/>
      </w:r>
      <w:r>
        <w:fldChar w:fldCharType="begin"/>
      </w:r>
      <w:r>
        <w:instrText xml:space="preserve"> PAGEREF _Toc3069 \h </w:instrText>
      </w:r>
      <w:r>
        <w:fldChar w:fldCharType="separate"/>
      </w:r>
      <w:r>
        <w:t>54</w:t>
      </w:r>
      <w:r>
        <w:fldChar w:fldCharType="end"/>
      </w:r>
      <w:r>
        <w:rPr>
          <w:rFonts w:hint="eastAsia" w:ascii="宋体" w:hAnsi="宋体" w:eastAsia="宋体" w:cs="宋体"/>
          <w:szCs w:val="24"/>
        </w:rPr>
        <w:fldChar w:fldCharType="end"/>
      </w:r>
    </w:p>
    <w:p w14:paraId="35D2BBF6">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_Toc28753 </w:instrText>
      </w:r>
      <w:r>
        <w:rPr>
          <w:rFonts w:hint="eastAsia" w:ascii="宋体" w:hAnsi="宋体" w:eastAsia="宋体" w:cs="宋体"/>
          <w:szCs w:val="24"/>
        </w:rPr>
        <w:fldChar w:fldCharType="separate"/>
      </w:r>
      <w:r>
        <w:rPr>
          <w:rFonts w:hint="eastAsia" w:ascii="宋体" w:hAnsi="宋体" w:eastAsia="宋体" w:cs="Arial"/>
          <w:bCs/>
          <w:szCs w:val="21"/>
        </w:rPr>
        <w:t>七、商务条款偏离表</w:t>
      </w:r>
      <w:r>
        <w:tab/>
      </w:r>
      <w:r>
        <w:fldChar w:fldCharType="begin"/>
      </w:r>
      <w:r>
        <w:instrText xml:space="preserve"> PAGEREF _Toc28753 \h </w:instrText>
      </w:r>
      <w:r>
        <w:fldChar w:fldCharType="separate"/>
      </w:r>
      <w:r>
        <w:t>55</w:t>
      </w:r>
      <w:r>
        <w:fldChar w:fldCharType="end"/>
      </w:r>
      <w:r>
        <w:rPr>
          <w:rFonts w:hint="eastAsia" w:ascii="宋体" w:hAnsi="宋体" w:eastAsia="宋体" w:cs="宋体"/>
          <w:szCs w:val="24"/>
        </w:rPr>
        <w:fldChar w:fldCharType="end"/>
      </w:r>
    </w:p>
    <w:p w14:paraId="37060FF7">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_Toc24568 </w:instrText>
      </w:r>
      <w:r>
        <w:rPr>
          <w:rFonts w:hint="eastAsia" w:ascii="宋体" w:hAnsi="宋体" w:eastAsia="宋体" w:cs="宋体"/>
          <w:szCs w:val="24"/>
        </w:rPr>
        <w:fldChar w:fldCharType="separate"/>
      </w:r>
      <w:r>
        <w:rPr>
          <w:rFonts w:hint="eastAsia" w:ascii="宋体" w:hAnsi="宋体" w:eastAsia="宋体" w:cs="Arial"/>
          <w:bCs/>
          <w:szCs w:val="21"/>
        </w:rPr>
        <w:t>八、项目实施方案、服务承诺</w:t>
      </w:r>
      <w:r>
        <w:tab/>
      </w:r>
      <w:r>
        <w:fldChar w:fldCharType="begin"/>
      </w:r>
      <w:r>
        <w:instrText xml:space="preserve"> PAGEREF _Toc24568 \h </w:instrText>
      </w:r>
      <w:r>
        <w:fldChar w:fldCharType="separate"/>
      </w:r>
      <w:r>
        <w:t>56</w:t>
      </w:r>
      <w:r>
        <w:fldChar w:fldCharType="end"/>
      </w:r>
      <w:r>
        <w:rPr>
          <w:rFonts w:hint="eastAsia" w:ascii="宋体" w:hAnsi="宋体" w:eastAsia="宋体" w:cs="宋体"/>
          <w:szCs w:val="24"/>
        </w:rPr>
        <w:fldChar w:fldCharType="end"/>
      </w:r>
    </w:p>
    <w:p w14:paraId="44D1EBE2">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_Toc27214 </w:instrText>
      </w:r>
      <w:r>
        <w:rPr>
          <w:rFonts w:hint="eastAsia" w:ascii="宋体" w:hAnsi="宋体" w:eastAsia="宋体" w:cs="宋体"/>
          <w:szCs w:val="24"/>
        </w:rPr>
        <w:fldChar w:fldCharType="separate"/>
      </w:r>
      <w:r>
        <w:rPr>
          <w:rFonts w:hint="eastAsia" w:ascii="宋体" w:hAnsi="宋体" w:eastAsia="宋体" w:cs="Arial"/>
          <w:bCs/>
          <w:szCs w:val="21"/>
        </w:rPr>
        <w:t>九、拟参与本项目服务人员一览表</w:t>
      </w:r>
      <w:r>
        <w:tab/>
      </w:r>
      <w:r>
        <w:fldChar w:fldCharType="begin"/>
      </w:r>
      <w:r>
        <w:instrText xml:space="preserve"> PAGEREF _Toc27214 \h </w:instrText>
      </w:r>
      <w:r>
        <w:fldChar w:fldCharType="separate"/>
      </w:r>
      <w:r>
        <w:t>56</w:t>
      </w:r>
      <w:r>
        <w:fldChar w:fldCharType="end"/>
      </w:r>
      <w:r>
        <w:rPr>
          <w:rFonts w:hint="eastAsia" w:ascii="宋体" w:hAnsi="宋体" w:eastAsia="宋体" w:cs="宋体"/>
          <w:szCs w:val="24"/>
        </w:rPr>
        <w:fldChar w:fldCharType="end"/>
      </w:r>
    </w:p>
    <w:p w14:paraId="0610686C">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_Toc29151 </w:instrText>
      </w:r>
      <w:r>
        <w:rPr>
          <w:rFonts w:hint="eastAsia" w:ascii="宋体" w:hAnsi="宋体" w:eastAsia="宋体" w:cs="宋体"/>
          <w:szCs w:val="24"/>
        </w:rPr>
        <w:fldChar w:fldCharType="separate"/>
      </w:r>
      <w:r>
        <w:rPr>
          <w:rFonts w:hint="eastAsia" w:ascii="宋体" w:hAnsi="宋体" w:eastAsia="宋体" w:cs="Arial"/>
          <w:bCs/>
          <w:szCs w:val="21"/>
        </w:rPr>
        <w:t>十、投标人类似业绩情况表</w:t>
      </w:r>
      <w:r>
        <w:tab/>
      </w:r>
      <w:r>
        <w:fldChar w:fldCharType="begin"/>
      </w:r>
      <w:r>
        <w:instrText xml:space="preserve"> PAGEREF _Toc29151 \h </w:instrText>
      </w:r>
      <w:r>
        <w:fldChar w:fldCharType="separate"/>
      </w:r>
      <w:r>
        <w:t>57</w:t>
      </w:r>
      <w:r>
        <w:fldChar w:fldCharType="end"/>
      </w:r>
      <w:r>
        <w:rPr>
          <w:rFonts w:hint="eastAsia" w:ascii="宋体" w:hAnsi="宋体" w:eastAsia="宋体" w:cs="宋体"/>
          <w:szCs w:val="24"/>
        </w:rPr>
        <w:fldChar w:fldCharType="end"/>
      </w:r>
    </w:p>
    <w:p w14:paraId="32BD7C44">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_Toc4132 </w:instrText>
      </w:r>
      <w:r>
        <w:rPr>
          <w:rFonts w:hint="eastAsia" w:ascii="宋体" w:hAnsi="宋体" w:eastAsia="宋体" w:cs="宋体"/>
          <w:szCs w:val="24"/>
        </w:rPr>
        <w:fldChar w:fldCharType="separate"/>
      </w:r>
      <w:r>
        <w:rPr>
          <w:rFonts w:hint="eastAsia" w:ascii="宋体" w:hAnsi="宋体" w:eastAsia="宋体" w:cs="Arial"/>
          <w:szCs w:val="24"/>
        </w:rPr>
        <w:t>十一</w:t>
      </w:r>
      <w:r>
        <w:rPr>
          <w:rFonts w:hint="eastAsia" w:ascii="宋体" w:hAnsi="宋体" w:eastAsia="宋体" w:cs="Arial"/>
          <w:bCs/>
          <w:szCs w:val="24"/>
        </w:rPr>
        <w:t>、企业声明函</w:t>
      </w:r>
      <w:r>
        <w:tab/>
      </w:r>
      <w:r>
        <w:fldChar w:fldCharType="begin"/>
      </w:r>
      <w:r>
        <w:instrText xml:space="preserve"> PAGEREF _Toc4132 \h </w:instrText>
      </w:r>
      <w:r>
        <w:fldChar w:fldCharType="separate"/>
      </w:r>
      <w:r>
        <w:t>58</w:t>
      </w:r>
      <w:r>
        <w:fldChar w:fldCharType="end"/>
      </w:r>
      <w:r>
        <w:rPr>
          <w:rFonts w:hint="eastAsia" w:ascii="宋体" w:hAnsi="宋体" w:eastAsia="宋体" w:cs="宋体"/>
          <w:szCs w:val="24"/>
        </w:rPr>
        <w:fldChar w:fldCharType="end"/>
      </w:r>
    </w:p>
    <w:p w14:paraId="3894C38E">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_Toc23641 </w:instrText>
      </w:r>
      <w:r>
        <w:rPr>
          <w:rFonts w:hint="eastAsia" w:ascii="宋体" w:hAnsi="宋体" w:eastAsia="宋体" w:cs="宋体"/>
          <w:szCs w:val="24"/>
        </w:rPr>
        <w:fldChar w:fldCharType="separate"/>
      </w:r>
      <w:r>
        <w:rPr>
          <w:rFonts w:hint="eastAsia" w:ascii="宋体" w:hAnsi="宋体" w:eastAsia="宋体" w:cs="Arial"/>
          <w:szCs w:val="24"/>
        </w:rPr>
        <w:t>十二、无重大违法记录声明</w:t>
      </w:r>
      <w:r>
        <w:tab/>
      </w:r>
      <w:r>
        <w:fldChar w:fldCharType="begin"/>
      </w:r>
      <w:r>
        <w:instrText xml:space="preserve"> PAGEREF _Toc23641 \h </w:instrText>
      </w:r>
      <w:r>
        <w:fldChar w:fldCharType="separate"/>
      </w:r>
      <w:r>
        <w:t>59</w:t>
      </w:r>
      <w:r>
        <w:fldChar w:fldCharType="end"/>
      </w:r>
      <w:r>
        <w:rPr>
          <w:rFonts w:hint="eastAsia" w:ascii="宋体" w:hAnsi="宋体" w:eastAsia="宋体" w:cs="宋体"/>
          <w:szCs w:val="24"/>
        </w:rPr>
        <w:fldChar w:fldCharType="end"/>
      </w:r>
    </w:p>
    <w:p w14:paraId="2E86FEE2">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_Toc28889 </w:instrText>
      </w:r>
      <w:r>
        <w:rPr>
          <w:rFonts w:hint="eastAsia" w:ascii="宋体" w:hAnsi="宋体" w:eastAsia="宋体" w:cs="宋体"/>
          <w:szCs w:val="24"/>
        </w:rPr>
        <w:fldChar w:fldCharType="separate"/>
      </w:r>
      <w:r>
        <w:rPr>
          <w:rFonts w:hint="eastAsia" w:ascii="宋体" w:hAnsi="宋体" w:eastAsia="宋体" w:cs="Times New Roman"/>
          <w:szCs w:val="24"/>
        </w:rPr>
        <w:t>十三</w:t>
      </w:r>
      <w:r>
        <w:rPr>
          <w:rFonts w:ascii="宋体" w:hAnsi="宋体" w:eastAsia="宋体" w:cs="Times New Roman"/>
          <w:szCs w:val="24"/>
        </w:rPr>
        <w:t>、具备履行合同所必需的设备和专业技术能力</w:t>
      </w:r>
      <w:r>
        <w:tab/>
      </w:r>
      <w:r>
        <w:fldChar w:fldCharType="begin"/>
      </w:r>
      <w:r>
        <w:instrText xml:space="preserve"> PAGEREF _Toc28889 \h </w:instrText>
      </w:r>
      <w:r>
        <w:fldChar w:fldCharType="separate"/>
      </w:r>
      <w:r>
        <w:t>60</w:t>
      </w:r>
      <w:r>
        <w:fldChar w:fldCharType="end"/>
      </w:r>
      <w:r>
        <w:rPr>
          <w:rFonts w:hint="eastAsia" w:ascii="宋体" w:hAnsi="宋体" w:eastAsia="宋体" w:cs="宋体"/>
          <w:szCs w:val="24"/>
        </w:rPr>
        <w:fldChar w:fldCharType="end"/>
      </w:r>
    </w:p>
    <w:p w14:paraId="262B9F3C">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_Toc15727 </w:instrText>
      </w:r>
      <w:r>
        <w:rPr>
          <w:rFonts w:hint="eastAsia" w:ascii="宋体" w:hAnsi="宋体" w:eastAsia="宋体" w:cs="宋体"/>
          <w:szCs w:val="24"/>
        </w:rPr>
        <w:fldChar w:fldCharType="separate"/>
      </w:r>
      <w:r>
        <w:rPr>
          <w:rFonts w:hint="eastAsia" w:ascii="宋体" w:hAnsi="宋体" w:eastAsia="宋体" w:cs="Arial"/>
          <w:szCs w:val="24"/>
        </w:rPr>
        <w:t>十四、承诺书1</w:t>
      </w:r>
      <w:r>
        <w:tab/>
      </w:r>
      <w:r>
        <w:fldChar w:fldCharType="begin"/>
      </w:r>
      <w:r>
        <w:instrText xml:space="preserve"> PAGEREF _Toc15727 \h </w:instrText>
      </w:r>
      <w:r>
        <w:fldChar w:fldCharType="separate"/>
      </w:r>
      <w:r>
        <w:t>61</w:t>
      </w:r>
      <w:r>
        <w:fldChar w:fldCharType="end"/>
      </w:r>
      <w:r>
        <w:rPr>
          <w:rFonts w:hint="eastAsia" w:ascii="宋体" w:hAnsi="宋体" w:eastAsia="宋体" w:cs="宋体"/>
          <w:szCs w:val="24"/>
        </w:rPr>
        <w:fldChar w:fldCharType="end"/>
      </w:r>
    </w:p>
    <w:p w14:paraId="32373953">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_Toc6431 </w:instrText>
      </w:r>
      <w:r>
        <w:rPr>
          <w:rFonts w:hint="eastAsia" w:ascii="宋体" w:hAnsi="宋体" w:eastAsia="宋体" w:cs="宋体"/>
          <w:szCs w:val="24"/>
        </w:rPr>
        <w:fldChar w:fldCharType="separate"/>
      </w:r>
      <w:r>
        <w:rPr>
          <w:rFonts w:hint="eastAsia" w:ascii="宋体" w:hAnsi="宋体" w:eastAsia="宋体" w:cs="Arial"/>
          <w:szCs w:val="24"/>
        </w:rPr>
        <w:t>十五、承诺书2</w:t>
      </w:r>
      <w:r>
        <w:tab/>
      </w:r>
      <w:r>
        <w:fldChar w:fldCharType="begin"/>
      </w:r>
      <w:r>
        <w:instrText xml:space="preserve"> PAGEREF _Toc6431 \h </w:instrText>
      </w:r>
      <w:r>
        <w:fldChar w:fldCharType="separate"/>
      </w:r>
      <w:r>
        <w:t>63</w:t>
      </w:r>
      <w:r>
        <w:fldChar w:fldCharType="end"/>
      </w:r>
      <w:r>
        <w:rPr>
          <w:rFonts w:hint="eastAsia" w:ascii="宋体" w:hAnsi="宋体" w:eastAsia="宋体" w:cs="宋体"/>
          <w:szCs w:val="24"/>
        </w:rPr>
        <w:fldChar w:fldCharType="end"/>
      </w:r>
    </w:p>
    <w:p w14:paraId="21FF2028">
      <w:pPr>
        <w:pStyle w:val="32"/>
        <w:tabs>
          <w:tab w:val="right" w:leader="hyphen" w:pos="9638"/>
        </w:tabs>
        <w:spacing w:line="360" w:lineRule="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_Toc25252 </w:instrText>
      </w:r>
      <w:r>
        <w:rPr>
          <w:rFonts w:hint="eastAsia" w:ascii="宋体" w:hAnsi="宋体" w:eastAsia="宋体" w:cs="宋体"/>
          <w:szCs w:val="24"/>
        </w:rPr>
        <w:fldChar w:fldCharType="separate"/>
      </w:r>
      <w:r>
        <w:rPr>
          <w:rFonts w:hint="eastAsia" w:ascii="宋体" w:hAnsi="宋体" w:eastAsia="宋体" w:cs="宋体"/>
          <w:bCs/>
        </w:rPr>
        <w:t>十六、其他</w:t>
      </w:r>
      <w:r>
        <w:tab/>
      </w:r>
      <w:r>
        <w:fldChar w:fldCharType="begin"/>
      </w:r>
      <w:r>
        <w:instrText xml:space="preserve"> PAGEREF _Toc25252 \h </w:instrText>
      </w:r>
      <w:r>
        <w:fldChar w:fldCharType="separate"/>
      </w:r>
      <w:r>
        <w:t>63</w:t>
      </w:r>
      <w:r>
        <w:fldChar w:fldCharType="end"/>
      </w:r>
      <w:r>
        <w:rPr>
          <w:rFonts w:hint="eastAsia" w:ascii="宋体" w:hAnsi="宋体" w:eastAsia="宋体" w:cs="宋体"/>
          <w:szCs w:val="24"/>
        </w:rPr>
        <w:fldChar w:fldCharType="end"/>
      </w:r>
    </w:p>
    <w:p w14:paraId="569DD134">
      <w:pPr>
        <w:spacing w:line="360" w:lineRule="auto"/>
        <w:jc w:val="center"/>
        <w:rPr>
          <w:rFonts w:hint="eastAsia" w:ascii="宋体" w:hAnsi="宋体" w:eastAsia="宋体" w:cs="宋体"/>
          <w:szCs w:val="24"/>
        </w:rPr>
      </w:pPr>
      <w:r>
        <w:rPr>
          <w:rFonts w:hint="eastAsia" w:ascii="宋体" w:hAnsi="宋体" w:eastAsia="宋体" w:cs="宋体"/>
          <w:szCs w:val="24"/>
        </w:rPr>
        <w:fldChar w:fldCharType="end"/>
      </w:r>
    </w:p>
    <w:p w14:paraId="7F6FA941">
      <w:pPr>
        <w:spacing w:line="360" w:lineRule="auto"/>
        <w:jc w:val="center"/>
        <w:rPr>
          <w:rFonts w:hint="eastAsia" w:ascii="宋体" w:hAnsi="宋体" w:eastAsia="宋体" w:cs="宋体"/>
          <w:b/>
          <w:bCs/>
          <w:sz w:val="36"/>
        </w:rPr>
        <w:sectPr>
          <w:footerReference r:id="rId3" w:type="default"/>
          <w:pgSz w:w="11906" w:h="16838"/>
          <w:pgMar w:top="1134" w:right="1134" w:bottom="1134" w:left="1134" w:header="709" w:footer="709" w:gutter="0"/>
          <w:pgNumType w:start="1"/>
          <w:cols w:space="1701" w:num="1"/>
          <w:docGrid w:linePitch="360" w:charSpace="0"/>
        </w:sectPr>
      </w:pPr>
    </w:p>
    <w:p w14:paraId="79BD1BFE">
      <w:pPr>
        <w:spacing w:line="360" w:lineRule="auto"/>
        <w:jc w:val="center"/>
        <w:outlineLvl w:val="0"/>
        <w:rPr>
          <w:rFonts w:hint="eastAsia" w:ascii="宋体" w:hAnsi="宋体" w:eastAsia="宋体" w:cs="宋体"/>
          <w:b/>
          <w:bCs/>
        </w:rPr>
      </w:pPr>
      <w:bookmarkStart w:id="0" w:name="_Toc21841"/>
      <w:r>
        <w:rPr>
          <w:rFonts w:hint="eastAsia" w:ascii="宋体" w:hAnsi="宋体" w:eastAsia="宋体" w:cs="宋体"/>
          <w:b/>
          <w:bCs/>
          <w:sz w:val="36"/>
        </w:rPr>
        <w:t>第一章  招标公告</w:t>
      </w:r>
      <w:bookmarkEnd w:id="0"/>
    </w:p>
    <w:p w14:paraId="66E7E95D">
      <w:pPr>
        <w:pBdr>
          <w:top w:val="none" w:color="000000" w:sz="0" w:space="0"/>
          <w:left w:val="none" w:color="000000" w:sz="0" w:space="0"/>
          <w:bottom w:val="none" w:color="000000" w:sz="0" w:space="0"/>
          <w:right w:val="none" w:color="000000" w:sz="0" w:space="0"/>
        </w:pBdr>
        <w:wordWrap w:val="0"/>
        <w:topLinePunct/>
        <w:spacing w:line="360" w:lineRule="auto"/>
        <w:ind w:firstLine="480" w:firstLineChars="200"/>
        <w:jc w:val="both"/>
        <w:rPr>
          <w:rFonts w:hint="eastAsia" w:ascii="宋体" w:hAnsi="宋体" w:eastAsia="宋体" w:cs="宋体"/>
        </w:rPr>
      </w:pPr>
      <w:r>
        <w:rPr>
          <w:rFonts w:hint="eastAsia" w:ascii="宋体" w:hAnsi="宋体" w:eastAsia="宋体" w:cs="宋体"/>
          <w:sz w:val="24"/>
        </w:rPr>
        <w:t>受</w:t>
      </w:r>
      <w:r>
        <w:rPr>
          <w:rFonts w:hint="eastAsia" w:ascii="宋体" w:hAnsi="宋体" w:eastAsia="宋体" w:cs="宋体"/>
          <w:b/>
          <w:bCs/>
          <w:sz w:val="24"/>
        </w:rPr>
        <w:t>南京市公安局江宁分局</w:t>
      </w:r>
      <w:r>
        <w:rPr>
          <w:rFonts w:hint="eastAsia" w:ascii="宋体" w:hAnsi="宋体" w:eastAsia="宋体" w:cs="宋体"/>
          <w:sz w:val="24"/>
        </w:rPr>
        <w:t>（采购单位）委托，</w:t>
      </w:r>
      <w:r>
        <w:rPr>
          <w:rFonts w:hint="eastAsia" w:ascii="宋体" w:hAnsi="宋体" w:eastAsia="宋体" w:cs="宋体"/>
          <w:b/>
          <w:bCs/>
          <w:sz w:val="24"/>
        </w:rPr>
        <w:t>南京陵新项目管理有限公司</w:t>
      </w:r>
      <w:r>
        <w:rPr>
          <w:rFonts w:hint="eastAsia" w:ascii="宋体" w:hAnsi="宋体" w:eastAsia="宋体" w:cs="宋体"/>
          <w:sz w:val="24"/>
        </w:rPr>
        <w:t>（以下简称“采购代理机构”）就</w:t>
      </w:r>
      <w:r>
        <w:rPr>
          <w:rFonts w:hint="eastAsia" w:ascii="宋体" w:hAnsi="宋体" w:eastAsia="宋体" w:cs="宋体"/>
          <w:b/>
          <w:bCs/>
          <w:sz w:val="24"/>
        </w:rPr>
        <w:t>南京市公安局江宁分局采购道路交通事故及违法车辆定点保管服务</w:t>
      </w:r>
      <w:r>
        <w:rPr>
          <w:rFonts w:hint="eastAsia" w:ascii="宋体" w:hAnsi="宋体" w:eastAsia="宋体" w:cs="宋体"/>
          <w:sz w:val="24"/>
        </w:rPr>
        <w:t>（项目名称）进行公开招标采购，欢迎符合条件的供应商投标。</w:t>
      </w:r>
    </w:p>
    <w:p w14:paraId="69F08BFE">
      <w:pPr>
        <w:pStyle w:val="4"/>
        <w:pBdr>
          <w:top w:val="none" w:color="000000" w:sz="0" w:space="0"/>
          <w:left w:val="none" w:color="000000" w:sz="0" w:space="0"/>
          <w:bottom w:val="none" w:color="000000" w:sz="0" w:space="0"/>
          <w:right w:val="none" w:color="000000" w:sz="0" w:space="0"/>
        </w:pBdr>
        <w:spacing w:before="0" w:after="0" w:line="360" w:lineRule="auto"/>
        <w:jc w:val="both"/>
        <w:rPr>
          <w:rFonts w:hint="eastAsia" w:ascii="宋体" w:hAnsi="宋体" w:eastAsia="宋体" w:cs="宋体"/>
          <w:b/>
          <w:bCs/>
          <w:sz w:val="30"/>
          <w:szCs w:val="30"/>
        </w:rPr>
      </w:pPr>
      <w:bookmarkStart w:id="1" w:name="_Toc1084"/>
      <w:bookmarkStart w:id="2" w:name="_Toc22167"/>
      <w:r>
        <w:rPr>
          <w:rFonts w:hint="eastAsia" w:ascii="宋体" w:hAnsi="宋体" w:eastAsia="宋体" w:cs="宋体"/>
          <w:b/>
          <w:bCs/>
          <w:sz w:val="30"/>
          <w:szCs w:val="30"/>
        </w:rPr>
        <w:t>一、项目基本情况</w:t>
      </w:r>
      <w:bookmarkEnd w:id="1"/>
      <w:bookmarkEnd w:id="2"/>
    </w:p>
    <w:p w14:paraId="4C378F1A">
      <w:pPr>
        <w:pBdr>
          <w:top w:val="none" w:color="000000" w:sz="0" w:space="0"/>
          <w:left w:val="none" w:color="000000" w:sz="0" w:space="0"/>
          <w:bottom w:val="none" w:color="000000" w:sz="0" w:space="0"/>
          <w:right w:val="none" w:color="000000" w:sz="0" w:space="0"/>
        </w:pBdr>
        <w:spacing w:line="360" w:lineRule="auto"/>
        <w:ind w:firstLine="480"/>
        <w:jc w:val="both"/>
        <w:rPr>
          <w:rFonts w:hint="default" w:ascii="宋体" w:hAnsi="宋体" w:eastAsia="宋体" w:cs="宋体"/>
          <w:lang w:val="en-US" w:eastAsia="zh-CN"/>
        </w:rPr>
      </w:pPr>
      <w:r>
        <w:rPr>
          <w:rFonts w:hint="eastAsia" w:ascii="宋体" w:hAnsi="宋体" w:eastAsia="宋体" w:cs="宋体"/>
          <w:sz w:val="24"/>
        </w:rPr>
        <w:t>1、项目编号：JSZC-320115-NJLX-G2026-</w:t>
      </w:r>
      <w:r>
        <w:rPr>
          <w:rFonts w:hint="eastAsia" w:ascii="宋体" w:hAnsi="宋体" w:eastAsia="宋体" w:cs="宋体"/>
          <w:sz w:val="24"/>
          <w:highlight w:val="none"/>
          <w:lang w:val="en-US" w:eastAsia="zh-CN"/>
        </w:rPr>
        <w:t>0008</w:t>
      </w:r>
    </w:p>
    <w:p w14:paraId="0A79ADA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2、项目名称：南京市公安局江宁分局采购道路交通事故及违法车辆定点保管服务</w:t>
      </w:r>
    </w:p>
    <w:p w14:paraId="7907343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3、预算金额：招标预算总额538.00万元，分包一预算金额：</w:t>
      </w:r>
      <w:r>
        <w:rPr>
          <w:rFonts w:hint="eastAsia" w:ascii="宋体" w:hAnsi="宋体" w:eastAsia="宋体" w:cs="宋体"/>
          <w:sz w:val="24"/>
          <w:szCs w:val="24"/>
        </w:rPr>
        <w:t>330.00</w:t>
      </w:r>
      <w:r>
        <w:rPr>
          <w:rFonts w:hint="eastAsia" w:ascii="宋体" w:hAnsi="宋体" w:eastAsia="宋体" w:cs="宋体"/>
          <w:sz w:val="24"/>
        </w:rPr>
        <w:t>万元，分包二预算金额：</w:t>
      </w:r>
      <w:r>
        <w:rPr>
          <w:rFonts w:hint="eastAsia" w:ascii="宋体" w:hAnsi="宋体" w:eastAsia="宋体" w:cs="宋体"/>
          <w:sz w:val="24"/>
          <w:szCs w:val="24"/>
        </w:rPr>
        <w:t>16.00</w:t>
      </w:r>
      <w:r>
        <w:rPr>
          <w:rFonts w:hint="eastAsia" w:ascii="宋体" w:hAnsi="宋体" w:eastAsia="宋体" w:cs="宋体"/>
          <w:sz w:val="24"/>
        </w:rPr>
        <w:t>万元，分包三预算金额：</w:t>
      </w:r>
      <w:r>
        <w:rPr>
          <w:rFonts w:hint="eastAsia" w:ascii="宋体" w:hAnsi="宋体" w:eastAsia="宋体" w:cs="宋体"/>
          <w:sz w:val="24"/>
          <w:szCs w:val="24"/>
        </w:rPr>
        <w:t>41.00</w:t>
      </w:r>
      <w:r>
        <w:rPr>
          <w:rFonts w:hint="eastAsia" w:ascii="宋体" w:hAnsi="宋体" w:eastAsia="宋体" w:cs="宋体"/>
          <w:sz w:val="24"/>
        </w:rPr>
        <w:t>万元，分包四预算金额：</w:t>
      </w:r>
      <w:r>
        <w:rPr>
          <w:rFonts w:hint="eastAsia" w:ascii="宋体" w:hAnsi="宋体" w:eastAsia="宋体" w:cs="宋体"/>
          <w:sz w:val="24"/>
          <w:szCs w:val="24"/>
        </w:rPr>
        <w:t>29.00</w:t>
      </w:r>
      <w:r>
        <w:rPr>
          <w:rFonts w:hint="eastAsia" w:ascii="宋体" w:hAnsi="宋体" w:eastAsia="宋体" w:cs="宋体"/>
          <w:sz w:val="24"/>
        </w:rPr>
        <w:t>万元，分包五预算金额：</w:t>
      </w:r>
      <w:r>
        <w:rPr>
          <w:rFonts w:hint="eastAsia" w:ascii="宋体" w:hAnsi="宋体" w:eastAsia="宋体" w:cs="宋体"/>
          <w:sz w:val="24"/>
          <w:szCs w:val="24"/>
        </w:rPr>
        <w:t>21.00</w:t>
      </w:r>
      <w:r>
        <w:rPr>
          <w:rFonts w:hint="eastAsia" w:ascii="宋体" w:hAnsi="宋体" w:eastAsia="宋体" w:cs="宋体"/>
          <w:sz w:val="24"/>
        </w:rPr>
        <w:t>万元，分包六预算金额：</w:t>
      </w:r>
      <w:r>
        <w:rPr>
          <w:rFonts w:hint="eastAsia" w:ascii="宋体" w:hAnsi="宋体" w:eastAsia="宋体" w:cs="宋体"/>
          <w:sz w:val="24"/>
          <w:szCs w:val="24"/>
        </w:rPr>
        <w:t>29.00</w:t>
      </w:r>
      <w:r>
        <w:rPr>
          <w:rFonts w:hint="eastAsia" w:ascii="宋体" w:hAnsi="宋体" w:eastAsia="宋体" w:cs="宋体"/>
          <w:sz w:val="24"/>
        </w:rPr>
        <w:t>万元，分包七预算金额：</w:t>
      </w:r>
      <w:r>
        <w:rPr>
          <w:rFonts w:hint="eastAsia" w:ascii="宋体" w:hAnsi="宋体" w:eastAsia="宋体" w:cs="宋体"/>
          <w:sz w:val="24"/>
          <w:szCs w:val="24"/>
        </w:rPr>
        <w:t>49.00</w:t>
      </w:r>
      <w:r>
        <w:rPr>
          <w:rFonts w:hint="eastAsia" w:ascii="宋体" w:hAnsi="宋体" w:eastAsia="宋体" w:cs="宋体"/>
          <w:sz w:val="24"/>
        </w:rPr>
        <w:t>万元，分包八预算金额23.00万元</w:t>
      </w:r>
    </w:p>
    <w:p w14:paraId="246AC7F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4、最高限价：</w:t>
      </w:r>
      <w:r>
        <w:rPr>
          <w:rFonts w:hint="eastAsia" w:ascii="宋体" w:hAnsi="宋体" w:eastAsia="宋体" w:cs="宋体"/>
          <w:sz w:val="24"/>
          <w:lang w:val="zh-CN"/>
        </w:rPr>
        <w:t>详见招标文件</w:t>
      </w:r>
      <w:r>
        <w:rPr>
          <w:rFonts w:hint="eastAsia" w:ascii="宋体" w:hAnsi="宋体" w:eastAsia="宋体" w:cs="宋体"/>
          <w:sz w:val="24"/>
        </w:rPr>
        <w:t>，</w:t>
      </w:r>
      <w:r>
        <w:rPr>
          <w:rFonts w:hint="eastAsia" w:ascii="宋体" w:hAnsi="宋体" w:eastAsia="宋体" w:cs="宋体"/>
          <w:sz w:val="24"/>
          <w:lang w:val="zh-CN"/>
        </w:rPr>
        <w:t>超过限价的报价作无效标处理。</w:t>
      </w:r>
      <w:r>
        <w:rPr>
          <w:rFonts w:ascii="宋体" w:hAnsi="宋体" w:eastAsia="宋体" w:cs="宋体"/>
          <w:sz w:val="24"/>
          <w:szCs w:val="24"/>
        </w:rPr>
        <w:t>投标人采取单价报价方式填报各</w:t>
      </w:r>
      <w:r>
        <w:rPr>
          <w:rFonts w:hint="eastAsia" w:ascii="宋体" w:hAnsi="宋体" w:eastAsia="宋体" w:cs="宋体"/>
          <w:sz w:val="24"/>
          <w:szCs w:val="24"/>
        </w:rPr>
        <w:t>分包</w:t>
      </w:r>
      <w:r>
        <w:rPr>
          <w:rFonts w:ascii="宋体" w:hAnsi="宋体" w:eastAsia="宋体" w:cs="宋体"/>
          <w:sz w:val="24"/>
          <w:szCs w:val="24"/>
        </w:rPr>
        <w:t>单价</w:t>
      </w:r>
      <w:r>
        <w:rPr>
          <w:rFonts w:hint="eastAsia" w:ascii="宋体" w:hAnsi="宋体" w:eastAsia="宋体" w:cs="宋体"/>
          <w:sz w:val="24"/>
          <w:szCs w:val="24"/>
        </w:rPr>
        <w:t>，</w:t>
      </w:r>
      <w:r>
        <w:rPr>
          <w:rFonts w:ascii="宋体" w:hAnsi="宋体" w:eastAsia="宋体" w:cs="宋体"/>
          <w:sz w:val="24"/>
          <w:szCs w:val="24"/>
        </w:rPr>
        <w:t>任一分包</w:t>
      </w:r>
      <w:r>
        <w:rPr>
          <w:rFonts w:hint="eastAsia" w:ascii="宋体" w:hAnsi="宋体" w:eastAsia="宋体" w:cs="宋体"/>
          <w:sz w:val="24"/>
          <w:szCs w:val="24"/>
        </w:rPr>
        <w:t>投标单价不得高于预算单价</w:t>
      </w:r>
      <w:r>
        <w:rPr>
          <w:rFonts w:ascii="宋体" w:hAnsi="宋体" w:eastAsia="宋体" w:cs="宋体"/>
          <w:sz w:val="24"/>
          <w:szCs w:val="24"/>
        </w:rPr>
        <w:t>。</w:t>
      </w:r>
    </w:p>
    <w:tbl>
      <w:tblPr>
        <w:tblStyle w:val="38"/>
        <w:tblW w:w="986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4"/>
        <w:gridCol w:w="1783"/>
        <w:gridCol w:w="4541"/>
        <w:gridCol w:w="1350"/>
        <w:gridCol w:w="1206"/>
      </w:tblGrid>
      <w:tr w14:paraId="674917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865288">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分包号</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18F24A">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中队名称</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13D448">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中队地址</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C38801">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预算金额（万元）</w:t>
            </w:r>
          </w:p>
        </w:tc>
        <w:tc>
          <w:tcPr>
            <w:tcW w:w="120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454A8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14:paraId="389BB0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21F52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分包一</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C694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东山中队、开发区中队、高新区中队、南站中队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2AFAF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江苏省南京市江宁区金箔路449号</w:t>
            </w:r>
          </w:p>
          <w:p w14:paraId="2FEA7E5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南京市江宁区百家湖大街33号</w:t>
            </w:r>
          </w:p>
          <w:p w14:paraId="51FDBAD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南京市江宁区泉东路28号</w:t>
            </w:r>
          </w:p>
          <w:p w14:paraId="0DF52E1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南京市江宁区宏运大道</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F5B80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330.00</w:t>
            </w:r>
          </w:p>
        </w:tc>
        <w:tc>
          <w:tcPr>
            <w:tcW w:w="1206"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1AA149D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供应商必须按分包进行投标，可兼投多个分包，最多中1个分包。</w:t>
            </w:r>
          </w:p>
        </w:tc>
      </w:tr>
      <w:tr w14:paraId="65BDAA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CA2DD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分包二</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4D583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汤山中队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3DF7E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南京市江宁区汤山派出所西南</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5CC63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16.00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122D0FA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3072F2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30586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分包三</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BD734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江宁中队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FBC2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南京市江宁区江宁街道盛安大道640号</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60CD2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41.00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60AB8DF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44961A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D0350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分包四</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8E7E7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谷里中队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978FC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南京市江宁区牛首大道66号</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737D4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29.00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3D997E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199F2B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7B480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分包五</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87D2E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横溪中队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B364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南京市江宁区横禄路与横云北路交叉路口</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12290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21.00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5ABCD75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5AFC2E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57C5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分包六</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39E4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湖熟中队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1162B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南京市江宁区虹南路53号</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0607C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29.00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1C649D8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59BA74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82FCB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分包七</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259F9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禄口中队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685D0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南京市江宁区天禄路788号</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3C5314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49.00</w:t>
            </w:r>
          </w:p>
        </w:tc>
        <w:tc>
          <w:tcPr>
            <w:tcW w:w="1206" w:type="dxa"/>
            <w:vMerge w:val="continue"/>
            <w:tcBorders>
              <w:left w:val="single" w:color="auto" w:sz="4" w:space="0"/>
              <w:right w:val="single" w:color="auto" w:sz="4" w:space="0"/>
            </w:tcBorders>
            <w:tcMar>
              <w:top w:w="0" w:type="dxa"/>
              <w:left w:w="108" w:type="dxa"/>
              <w:bottom w:w="0" w:type="dxa"/>
              <w:right w:w="108" w:type="dxa"/>
            </w:tcMar>
            <w:vAlign w:val="center"/>
          </w:tcPr>
          <w:p w14:paraId="4F004DE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15B003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jc w:val="center"/>
        </w:trPr>
        <w:tc>
          <w:tcPr>
            <w:tcW w:w="98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20F34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分包八</w:t>
            </w:r>
          </w:p>
        </w:tc>
        <w:tc>
          <w:tcPr>
            <w:tcW w:w="17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2109B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淳化中队</w:t>
            </w:r>
          </w:p>
        </w:tc>
        <w:tc>
          <w:tcPr>
            <w:tcW w:w="454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7D6F3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南京市江宁区淳化街道府前路1号</w:t>
            </w:r>
          </w:p>
        </w:tc>
        <w:tc>
          <w:tcPr>
            <w:tcW w:w="13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1F84D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23.00</w:t>
            </w:r>
          </w:p>
        </w:tc>
        <w:tc>
          <w:tcPr>
            <w:tcW w:w="1206" w:type="dxa"/>
            <w:vMerge w:val="continue"/>
            <w:tcBorders>
              <w:left w:val="single" w:color="auto" w:sz="4" w:space="0"/>
              <w:bottom w:val="single" w:color="auto" w:sz="4" w:space="0"/>
              <w:right w:val="single" w:color="auto" w:sz="4" w:space="0"/>
            </w:tcBorders>
            <w:tcMar>
              <w:top w:w="0" w:type="dxa"/>
              <w:left w:w="108" w:type="dxa"/>
              <w:bottom w:w="0" w:type="dxa"/>
              <w:right w:w="108" w:type="dxa"/>
            </w:tcMar>
            <w:vAlign w:val="center"/>
          </w:tcPr>
          <w:p w14:paraId="2538F8D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bl>
    <w:p w14:paraId="1C7BE36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p>
    <w:p w14:paraId="57D01AB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5、工作内容：本项目为南京市公安局江宁分局采购道路交通事故及违法车辆定点保管服务，主要服务内容为：为规范我区道路交通事故、违法扣留的涉案车辆保管处置工作，需在江宁区行政区域内选定多家拥有面积不低于4000㎡的硬质化独立封闭的停车场地，作为提供各交警中队扣留涉案车辆保管服务的供应商，该停车场地不得停放涉案车辆以外的车辆。</w:t>
      </w:r>
    </w:p>
    <w:p w14:paraId="659CF98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6、合同履行期限：一年。</w:t>
      </w:r>
    </w:p>
    <w:p w14:paraId="521E7CB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7、本项目不接受联合体投标。</w:t>
      </w:r>
    </w:p>
    <w:p w14:paraId="76A3B1A0">
      <w:p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sz w:val="24"/>
        </w:rPr>
      </w:pPr>
      <w:r>
        <w:rPr>
          <w:rFonts w:hint="eastAsia" w:ascii="宋体" w:hAnsi="宋体" w:eastAsia="宋体" w:cs="宋体"/>
          <w:sz w:val="24"/>
        </w:rPr>
        <w:t>8、本项目不接受进口产品。</w:t>
      </w:r>
    </w:p>
    <w:p w14:paraId="00E240F6">
      <w:pPr>
        <w:pStyle w:val="36"/>
        <w:ind w:firstLine="480"/>
        <w:rPr>
          <w:rFonts w:hint="eastAsia" w:cs="宋体"/>
          <w:sz w:val="24"/>
          <w:szCs w:val="22"/>
        </w:rPr>
      </w:pPr>
      <w:r>
        <w:rPr>
          <w:rFonts w:hint="eastAsia" w:cs="宋体"/>
          <w:sz w:val="24"/>
          <w:szCs w:val="22"/>
        </w:rPr>
        <w:t>9、本项目不允许分包。</w:t>
      </w:r>
    </w:p>
    <w:p w14:paraId="02E2DE56">
      <w:pPr>
        <w:pStyle w:val="4"/>
        <w:pBdr>
          <w:top w:val="none" w:color="000000" w:sz="0" w:space="0"/>
          <w:left w:val="none" w:color="000000" w:sz="0" w:space="0"/>
          <w:bottom w:val="none" w:color="000000" w:sz="0" w:space="0"/>
          <w:right w:val="none" w:color="000000" w:sz="0" w:space="0"/>
        </w:pBdr>
        <w:spacing w:before="0" w:after="0" w:line="360" w:lineRule="auto"/>
        <w:jc w:val="both"/>
        <w:rPr>
          <w:rFonts w:hint="eastAsia" w:ascii="宋体" w:hAnsi="宋体" w:eastAsia="宋体" w:cs="宋体"/>
          <w:b/>
          <w:bCs/>
          <w:sz w:val="30"/>
          <w:szCs w:val="30"/>
        </w:rPr>
      </w:pPr>
      <w:bookmarkStart w:id="3" w:name="_Toc26238"/>
      <w:bookmarkStart w:id="4" w:name="_Toc30914"/>
      <w:r>
        <w:rPr>
          <w:rFonts w:hint="eastAsia" w:ascii="宋体" w:hAnsi="宋体" w:eastAsia="宋体" w:cs="宋体"/>
          <w:b/>
          <w:bCs/>
          <w:sz w:val="30"/>
          <w:szCs w:val="30"/>
        </w:rPr>
        <w:t>二、申请人的资格要求</w:t>
      </w:r>
      <w:bookmarkEnd w:id="3"/>
      <w:bookmarkEnd w:id="4"/>
    </w:p>
    <w:p w14:paraId="547828DD">
      <w:pPr>
        <w:spacing w:line="360" w:lineRule="auto"/>
        <w:ind w:firstLine="480"/>
        <w:rPr>
          <w:rFonts w:hint="eastAsia" w:ascii="宋体" w:hAnsi="宋体" w:eastAsia="宋体" w:cs="宋体"/>
          <w:sz w:val="24"/>
        </w:rPr>
      </w:pPr>
      <w:r>
        <w:rPr>
          <w:rFonts w:hint="eastAsia" w:ascii="宋体" w:hAnsi="宋体" w:eastAsia="宋体" w:cs="宋体"/>
          <w:sz w:val="24"/>
        </w:rPr>
        <w:t>（一）通用资格要求</w:t>
      </w:r>
    </w:p>
    <w:p w14:paraId="20C47E4A">
      <w:pPr>
        <w:widowControl w:val="0"/>
        <w:adjustRightInd w:val="0"/>
        <w:snapToGrid w:val="0"/>
        <w:spacing w:line="360" w:lineRule="auto"/>
        <w:ind w:firstLine="480"/>
        <w:rPr>
          <w:rFonts w:hint="eastAsia" w:ascii="宋体" w:hAnsi="宋体" w:eastAsia="宋体" w:cs="宋体"/>
          <w:sz w:val="24"/>
          <w:lang w:val="zh-CN"/>
        </w:rPr>
      </w:pPr>
      <w:r>
        <w:rPr>
          <w:rFonts w:hint="eastAsia" w:ascii="宋体" w:hAnsi="宋体" w:eastAsia="宋体" w:cs="宋体"/>
          <w:sz w:val="24"/>
          <w:lang w:val="zh-CN"/>
        </w:rPr>
        <w:t>1、满足《中华人民共和国政府采购法》第二十二条规定，</w:t>
      </w:r>
      <w:r>
        <w:rPr>
          <w:rFonts w:hint="eastAsia" w:ascii="宋体" w:hAnsi="宋体" w:eastAsia="宋体" w:cs="宋体"/>
          <w:sz w:val="24"/>
        </w:rPr>
        <w:t>提供《</w:t>
      </w:r>
      <w:r>
        <w:rPr>
          <w:rFonts w:hint="eastAsia" w:ascii="宋体" w:hAnsi="宋体" w:eastAsia="宋体" w:cs="宋体"/>
          <w:sz w:val="24"/>
          <w:lang w:val="zh-CN"/>
        </w:rPr>
        <w:t>信用承诺函》（格式见第六章）；</w:t>
      </w:r>
    </w:p>
    <w:p w14:paraId="2D2D9980">
      <w:pPr>
        <w:spacing w:line="360" w:lineRule="auto"/>
        <w:ind w:firstLine="480"/>
        <w:rPr>
          <w:rFonts w:hint="eastAsia" w:ascii="宋体" w:hAnsi="宋体" w:eastAsia="宋体" w:cs="宋体"/>
          <w:sz w:val="24"/>
        </w:rPr>
      </w:pPr>
      <w:r>
        <w:rPr>
          <w:rFonts w:hint="eastAsia" w:ascii="宋体" w:hAnsi="宋体" w:eastAsia="宋体" w:cs="宋体"/>
          <w:sz w:val="24"/>
        </w:rPr>
        <w:t>2、未被“信用中国”网站列入失信被执行人、重大税收违法失信主体名单、政府采购严重违法失信行为记录名单（资格审查环节查询，投标文件中无需提供证明材料）。</w:t>
      </w:r>
    </w:p>
    <w:p w14:paraId="49669B51">
      <w:pPr>
        <w:spacing w:line="360" w:lineRule="auto"/>
        <w:ind w:firstLine="480"/>
        <w:rPr>
          <w:rFonts w:hint="eastAsia" w:ascii="宋体" w:hAnsi="宋体" w:eastAsia="宋体" w:cs="宋体"/>
          <w:sz w:val="24"/>
        </w:rPr>
      </w:pPr>
      <w:r>
        <w:rPr>
          <w:rFonts w:hint="eastAsia" w:ascii="宋体" w:hAnsi="宋体" w:eastAsia="宋体" w:cs="宋体"/>
          <w:sz w:val="24"/>
        </w:rPr>
        <w:t>（二）</w:t>
      </w:r>
      <w:r>
        <w:rPr>
          <w:rFonts w:hint="eastAsia" w:ascii="宋体" w:hAnsi="宋体" w:eastAsia="宋体" w:cs="宋体"/>
          <w:sz w:val="24"/>
          <w:lang w:val="zh-CN"/>
        </w:rPr>
        <w:t>落实政府采购政策需满足的资格要求：无。</w:t>
      </w:r>
    </w:p>
    <w:p w14:paraId="006147C6">
      <w:pPr>
        <w:spacing w:line="360" w:lineRule="auto"/>
        <w:ind w:firstLine="480"/>
        <w:rPr>
          <w:rFonts w:hint="eastAsia" w:ascii="宋体" w:hAnsi="宋体" w:eastAsia="宋体" w:cs="宋体"/>
          <w:sz w:val="24"/>
        </w:rPr>
      </w:pPr>
      <w:r>
        <w:rPr>
          <w:rFonts w:hint="eastAsia" w:ascii="宋体" w:hAnsi="宋体" w:eastAsia="宋体" w:cs="宋体"/>
          <w:sz w:val="24"/>
        </w:rPr>
        <w:t>（三）本项目的特定资格要求：无。</w:t>
      </w:r>
    </w:p>
    <w:p w14:paraId="2F0B2623">
      <w:pPr>
        <w:pStyle w:val="4"/>
        <w:pBdr>
          <w:top w:val="none" w:color="000000" w:sz="0" w:space="0"/>
          <w:left w:val="none" w:color="000000" w:sz="0" w:space="0"/>
          <w:bottom w:val="none" w:color="000000" w:sz="0" w:space="0"/>
          <w:right w:val="none" w:color="000000" w:sz="0" w:space="0"/>
        </w:pBdr>
        <w:spacing w:before="0" w:after="0" w:line="360" w:lineRule="auto"/>
        <w:jc w:val="both"/>
        <w:rPr>
          <w:rFonts w:hint="eastAsia" w:ascii="宋体" w:hAnsi="宋体" w:eastAsia="宋体" w:cs="宋体"/>
          <w:b/>
          <w:bCs/>
          <w:sz w:val="30"/>
          <w:szCs w:val="30"/>
        </w:rPr>
      </w:pPr>
      <w:bookmarkStart w:id="5" w:name="_Toc30294"/>
      <w:bookmarkStart w:id="6" w:name="_Toc1528"/>
      <w:r>
        <w:rPr>
          <w:rFonts w:hint="eastAsia" w:ascii="宋体" w:hAnsi="宋体" w:eastAsia="宋体" w:cs="宋体"/>
          <w:b/>
          <w:bCs/>
          <w:sz w:val="30"/>
          <w:szCs w:val="30"/>
        </w:rPr>
        <w:t>三、获取招标文件</w:t>
      </w:r>
      <w:bookmarkEnd w:id="5"/>
      <w:bookmarkEnd w:id="6"/>
    </w:p>
    <w:p w14:paraId="59C2D0D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1、时间：</w:t>
      </w:r>
      <w:r>
        <w:rPr>
          <w:rFonts w:hint="eastAsia" w:ascii="宋体" w:hAnsi="宋体" w:cs="宋体"/>
          <w:sz w:val="24"/>
          <w:szCs w:val="24"/>
        </w:rPr>
        <w:t>自招标文件公告发布之日起</w:t>
      </w:r>
      <w:r>
        <w:rPr>
          <w:rFonts w:hint="eastAsia" w:ascii="宋体" w:hAnsi="宋体" w:eastAsia="宋体" w:cs="宋体"/>
          <w:sz w:val="24"/>
        </w:rPr>
        <w:t>。</w:t>
      </w:r>
    </w:p>
    <w:p w14:paraId="21D21B2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2、方式：</w:t>
      </w:r>
      <w:r>
        <w:rPr>
          <w:rFonts w:hint="eastAsia" w:ascii="宋体" w:hAnsi="宋体" w:cs="宋体"/>
          <w:sz w:val="24"/>
          <w:szCs w:val="24"/>
        </w:rPr>
        <w:t>在“江苏政府采购网”免费下载</w:t>
      </w:r>
      <w:r>
        <w:rPr>
          <w:rFonts w:hint="eastAsia" w:ascii="宋体" w:hAnsi="宋体" w:eastAsia="宋体" w:cs="宋体"/>
          <w:sz w:val="24"/>
        </w:rPr>
        <w:t>。</w:t>
      </w:r>
    </w:p>
    <w:p w14:paraId="14685B3F">
      <w:pPr>
        <w:widowControl w:val="0"/>
        <w:tabs>
          <w:tab w:val="left" w:pos="0"/>
          <w:tab w:val="left" w:pos="360"/>
          <w:tab w:val="left" w:pos="540"/>
        </w:tabs>
        <w:spacing w:line="360" w:lineRule="auto"/>
        <w:jc w:val="both"/>
        <w:outlineLvl w:val="1"/>
        <w:rPr>
          <w:rFonts w:hint="eastAsia" w:ascii="宋体" w:hAnsi="宋体" w:eastAsia="宋体" w:cs="宋体"/>
          <w:b/>
          <w:bCs/>
          <w:sz w:val="30"/>
          <w:szCs w:val="30"/>
        </w:rPr>
      </w:pPr>
      <w:bookmarkStart w:id="7" w:name="_Toc4642"/>
      <w:bookmarkStart w:id="8" w:name="_Toc31652"/>
      <w:r>
        <w:rPr>
          <w:rFonts w:hint="eastAsia" w:ascii="宋体" w:hAnsi="宋体" w:eastAsia="宋体" w:cs="宋体"/>
          <w:b/>
          <w:bCs/>
          <w:sz w:val="30"/>
          <w:szCs w:val="30"/>
        </w:rPr>
        <w:t>四、提交投标文件截止时间、开标时间、地点</w:t>
      </w:r>
      <w:bookmarkEnd w:id="7"/>
      <w:bookmarkEnd w:id="8"/>
    </w:p>
    <w:p w14:paraId="02813C9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szCs w:val="24"/>
        </w:rPr>
        <w:t>提交投标文件截止时间、开标时间</w:t>
      </w:r>
      <w:r>
        <w:rPr>
          <w:rFonts w:hint="eastAsia" w:ascii="宋体" w:hAnsi="宋体" w:eastAsia="宋体" w:cs="宋体"/>
          <w:sz w:val="24"/>
        </w:rPr>
        <w:t>：2026年</w:t>
      </w:r>
      <w:r>
        <w:rPr>
          <w:rFonts w:hint="eastAsia" w:ascii="宋体" w:hAnsi="宋体" w:eastAsia="宋体" w:cs="宋体"/>
          <w:sz w:val="24"/>
          <w:highlight w:val="none"/>
          <w:lang w:val="en-US" w:eastAsia="zh-CN"/>
        </w:rPr>
        <w:t>10</w:t>
      </w:r>
      <w:r>
        <w:rPr>
          <w:rFonts w:hint="eastAsia" w:ascii="宋体" w:hAnsi="宋体" w:eastAsia="宋体" w:cs="宋体"/>
          <w:sz w:val="24"/>
        </w:rPr>
        <w:t>月</w:t>
      </w:r>
      <w:r>
        <w:rPr>
          <w:rFonts w:hint="eastAsia" w:ascii="宋体" w:hAnsi="宋体" w:eastAsia="宋体" w:cs="宋体"/>
          <w:sz w:val="24"/>
          <w:highlight w:val="none"/>
          <w:lang w:val="en-US" w:eastAsia="zh-CN"/>
        </w:rPr>
        <w:t>12</w:t>
      </w:r>
      <w:r>
        <w:rPr>
          <w:rFonts w:hint="eastAsia" w:ascii="宋体" w:hAnsi="宋体" w:eastAsia="宋体" w:cs="宋体"/>
          <w:sz w:val="24"/>
        </w:rPr>
        <w:t>日09点30分（北京时间）。</w:t>
      </w:r>
    </w:p>
    <w:p w14:paraId="32FDD88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Cs/>
          <w:szCs w:val="21"/>
        </w:rPr>
      </w:pPr>
      <w:r>
        <w:rPr>
          <w:rFonts w:hint="eastAsia" w:ascii="宋体" w:hAnsi="宋体" w:eastAsia="宋体" w:cs="宋体"/>
          <w:sz w:val="24"/>
        </w:rPr>
        <w:t>2、地点：江苏省政府采购交易系统（以下简称“苏采云系统”）网上开标大厅。</w:t>
      </w:r>
    </w:p>
    <w:p w14:paraId="4F696A72">
      <w:pPr>
        <w:pStyle w:val="4"/>
        <w:pBdr>
          <w:top w:val="none" w:color="000000" w:sz="0" w:space="0"/>
          <w:left w:val="none" w:color="000000" w:sz="0" w:space="0"/>
          <w:bottom w:val="none" w:color="000000" w:sz="0" w:space="0"/>
          <w:right w:val="none" w:color="000000" w:sz="0" w:space="0"/>
        </w:pBdr>
        <w:wordWrap w:val="0"/>
        <w:topLinePunct/>
        <w:spacing w:before="0" w:after="0" w:line="360" w:lineRule="auto"/>
        <w:jc w:val="both"/>
        <w:rPr>
          <w:rFonts w:hint="eastAsia" w:ascii="宋体" w:hAnsi="宋体" w:eastAsia="宋体" w:cs="宋体"/>
          <w:b/>
          <w:bCs/>
          <w:sz w:val="30"/>
          <w:szCs w:val="30"/>
        </w:rPr>
      </w:pPr>
      <w:bookmarkStart w:id="9" w:name="_Toc25970"/>
      <w:bookmarkStart w:id="10" w:name="_Toc810"/>
      <w:r>
        <w:rPr>
          <w:rFonts w:hint="eastAsia" w:ascii="宋体" w:hAnsi="宋体" w:eastAsia="宋体" w:cs="宋体"/>
          <w:b/>
          <w:bCs/>
          <w:sz w:val="30"/>
          <w:szCs w:val="30"/>
        </w:rPr>
        <w:t>五、公告期限</w:t>
      </w:r>
      <w:bookmarkEnd w:id="9"/>
      <w:bookmarkEnd w:id="10"/>
    </w:p>
    <w:p w14:paraId="1A25845D">
      <w:pPr>
        <w:pBdr>
          <w:top w:val="none" w:color="000000" w:sz="0" w:space="0"/>
          <w:left w:val="none" w:color="000000" w:sz="0" w:space="0"/>
          <w:bottom w:val="none" w:color="000000" w:sz="0" w:space="0"/>
          <w:right w:val="none" w:color="000000" w:sz="0" w:space="0"/>
        </w:pBdr>
        <w:wordWrap w:val="0"/>
        <w:topLinePunct/>
        <w:spacing w:line="360" w:lineRule="auto"/>
        <w:ind w:firstLine="482"/>
        <w:jc w:val="both"/>
        <w:rPr>
          <w:rFonts w:hint="eastAsia" w:ascii="宋体" w:hAnsi="宋体" w:eastAsia="宋体" w:cs="宋体"/>
        </w:rPr>
      </w:pPr>
      <w:r>
        <w:rPr>
          <w:rFonts w:hint="eastAsia" w:ascii="宋体" w:hAnsi="宋体" w:eastAsia="宋体" w:cs="宋体"/>
          <w:sz w:val="24"/>
        </w:rPr>
        <w:t>自本公告发布之日起5个工作日。</w:t>
      </w:r>
    </w:p>
    <w:p w14:paraId="2C539B4F">
      <w:pPr>
        <w:pStyle w:val="4"/>
        <w:pBdr>
          <w:top w:val="none" w:color="000000" w:sz="0" w:space="0"/>
          <w:left w:val="none" w:color="000000" w:sz="0" w:space="0"/>
          <w:bottom w:val="none" w:color="000000" w:sz="0" w:space="0"/>
          <w:right w:val="none" w:color="000000" w:sz="0" w:space="0"/>
        </w:pBdr>
        <w:spacing w:before="0" w:after="0" w:line="360" w:lineRule="auto"/>
        <w:jc w:val="both"/>
        <w:rPr>
          <w:rFonts w:hint="eastAsia" w:ascii="宋体" w:hAnsi="宋体" w:eastAsia="宋体" w:cs="宋体"/>
          <w:sz w:val="30"/>
          <w:szCs w:val="30"/>
        </w:rPr>
      </w:pPr>
      <w:bookmarkStart w:id="11" w:name="_Toc17524"/>
      <w:bookmarkStart w:id="12" w:name="_Toc2695"/>
      <w:r>
        <w:rPr>
          <w:rFonts w:hint="eastAsia" w:ascii="宋体" w:hAnsi="宋体" w:eastAsia="宋体" w:cs="宋体"/>
          <w:b/>
          <w:bCs/>
          <w:sz w:val="30"/>
          <w:szCs w:val="30"/>
        </w:rPr>
        <w:t>六、其他事宜</w:t>
      </w:r>
      <w:bookmarkEnd w:id="11"/>
      <w:bookmarkEnd w:id="12"/>
    </w:p>
    <w:p w14:paraId="1E79F008">
      <w:pPr>
        <w:tabs>
          <w:tab w:val="left" w:pos="900"/>
        </w:tabs>
        <w:spacing w:line="360" w:lineRule="auto"/>
        <w:ind w:firstLine="480"/>
        <w:rPr>
          <w:rFonts w:hint="eastAsia" w:ascii="宋体" w:hAnsi="宋体"/>
          <w:bCs/>
          <w:sz w:val="24"/>
          <w:szCs w:val="24"/>
        </w:rPr>
      </w:pPr>
      <w:r>
        <w:rPr>
          <w:rFonts w:hint="eastAsia" w:ascii="宋体" w:hAnsi="宋体" w:cs="宋体"/>
          <w:sz w:val="24"/>
          <w:szCs w:val="24"/>
        </w:rPr>
        <w:t>1、</w:t>
      </w:r>
      <w:r>
        <w:rPr>
          <w:rFonts w:hint="eastAsia" w:ascii="宋体" w:hAnsi="宋体"/>
          <w:bCs/>
          <w:sz w:val="24"/>
          <w:szCs w:val="24"/>
        </w:rPr>
        <w:t>本次招标不收取投标保证金。</w:t>
      </w:r>
    </w:p>
    <w:p w14:paraId="46FA1D93">
      <w:pPr>
        <w:tabs>
          <w:tab w:val="left" w:pos="900"/>
        </w:tabs>
        <w:spacing w:line="360" w:lineRule="auto"/>
        <w:ind w:firstLine="480"/>
        <w:rPr>
          <w:rFonts w:hint="eastAsia"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044D72DD">
      <w:pPr>
        <w:spacing w:line="360" w:lineRule="auto"/>
        <w:ind w:firstLine="480"/>
        <w:rPr>
          <w:rFonts w:hint="eastAsia" w:ascii="宋体" w:hAnsi="宋体" w:cs="宋体"/>
          <w:sz w:val="24"/>
          <w:szCs w:val="24"/>
        </w:rPr>
      </w:pPr>
      <w:r>
        <w:rPr>
          <w:rFonts w:hint="eastAsia" w:ascii="宋体" w:hAnsi="宋体" w:cs="宋体"/>
          <w:sz w:val="24"/>
          <w:szCs w:val="24"/>
        </w:rPr>
        <w:t>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p>
    <w:p w14:paraId="2A3C2F53">
      <w:pPr>
        <w:wordWrap w:val="0"/>
        <w:topLinePunct/>
        <w:spacing w:line="360" w:lineRule="auto"/>
        <w:ind w:firstLine="482"/>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61F04EFA">
      <w:pPr>
        <w:pStyle w:val="2"/>
        <w:ind w:firstLine="480" w:firstLineChars="200"/>
        <w:rPr>
          <w:highlight w:val="yellow"/>
        </w:rPr>
      </w:pPr>
      <w:r>
        <w:rPr>
          <w:rFonts w:hint="eastAsia" w:hAnsi="宋体" w:cs="宋体"/>
          <w:sz w:val="24"/>
          <w:szCs w:val="24"/>
          <w:highlight w:val="none"/>
        </w:rPr>
        <w:t>5、本项目所属行业：</w:t>
      </w:r>
      <w:r>
        <w:rPr>
          <w:rFonts w:hint="eastAsia" w:hAnsi="宋体"/>
          <w:sz w:val="24"/>
          <w:szCs w:val="24"/>
          <w:highlight w:val="none"/>
          <w:lang w:val="zh-CN"/>
        </w:rPr>
        <w:t>租赁和商务服务业</w:t>
      </w:r>
      <w:r>
        <w:rPr>
          <w:rFonts w:hint="eastAsia" w:hAnsi="宋体" w:cs="宋体"/>
          <w:sz w:val="24"/>
          <w:szCs w:val="24"/>
          <w:highlight w:val="none"/>
        </w:rPr>
        <w:t>。</w:t>
      </w:r>
    </w:p>
    <w:p w14:paraId="5B12C621">
      <w:pPr>
        <w:pStyle w:val="4"/>
        <w:pBdr>
          <w:top w:val="none" w:color="000000" w:sz="0" w:space="0"/>
          <w:left w:val="none" w:color="000000" w:sz="0" w:space="0"/>
          <w:bottom w:val="none" w:color="000000" w:sz="0" w:space="0"/>
          <w:right w:val="none" w:color="000000" w:sz="0" w:space="0"/>
        </w:pBdr>
        <w:spacing w:before="0" w:after="0" w:line="360" w:lineRule="auto"/>
        <w:jc w:val="both"/>
        <w:rPr>
          <w:rFonts w:hint="eastAsia" w:ascii="宋体" w:hAnsi="宋体" w:eastAsia="宋体" w:cs="宋体"/>
          <w:b/>
          <w:bCs/>
        </w:rPr>
      </w:pPr>
      <w:bookmarkStart w:id="13" w:name="_Toc24183"/>
      <w:bookmarkStart w:id="14" w:name="_Toc27372"/>
      <w:r>
        <w:rPr>
          <w:rFonts w:hint="eastAsia" w:ascii="宋体" w:hAnsi="宋体" w:eastAsia="宋体" w:cs="宋体"/>
          <w:b/>
          <w:bCs/>
          <w:sz w:val="30"/>
          <w:szCs w:val="30"/>
        </w:rPr>
        <w:t>七、本次招标联系方式</w:t>
      </w:r>
      <w:bookmarkEnd w:id="13"/>
      <w:bookmarkEnd w:id="14"/>
    </w:p>
    <w:p w14:paraId="7A47BCB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1、采购人信息</w:t>
      </w:r>
    </w:p>
    <w:p w14:paraId="2D20E6A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名称：南京市公安局江宁分局</w:t>
      </w:r>
    </w:p>
    <w:p w14:paraId="623D1A2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地址：南京市江宁区</w:t>
      </w:r>
    </w:p>
    <w:p w14:paraId="5D20948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联系人：郭主任</w:t>
      </w:r>
    </w:p>
    <w:p w14:paraId="45EE8A0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 xml:space="preserve">联系电话：025-84951247 </w:t>
      </w:r>
    </w:p>
    <w:p w14:paraId="6B332FD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2、采购代理机构信息</w:t>
      </w:r>
    </w:p>
    <w:p w14:paraId="25BE8B5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名称：南京陵新项目管理有限公司</w:t>
      </w:r>
    </w:p>
    <w:p w14:paraId="19F472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 xml:space="preserve">地址：南京市江宁区龙眠大道568号MAX科技园9幢B座 </w:t>
      </w:r>
    </w:p>
    <w:p w14:paraId="51E424E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联系人：宣志霞</w:t>
      </w:r>
    </w:p>
    <w:p w14:paraId="38682E8C">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联系电话：13701467418</w:t>
      </w:r>
    </w:p>
    <w:p w14:paraId="0FCE840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3、项目联系方式</w:t>
      </w:r>
    </w:p>
    <w:p w14:paraId="00ABF23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项目联系人：宣志霞</w:t>
      </w:r>
    </w:p>
    <w:p w14:paraId="5F77CA2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电话：13701467418</w:t>
      </w:r>
    </w:p>
    <w:p w14:paraId="1192E70E">
      <w:pPr>
        <w:rPr>
          <w:rFonts w:hint="eastAsia" w:ascii="宋体" w:hAnsi="宋体" w:eastAsia="宋体" w:cs="宋体"/>
          <w:b/>
          <w:bCs/>
          <w:sz w:val="36"/>
        </w:rPr>
      </w:pPr>
      <w:r>
        <w:rPr>
          <w:rFonts w:hint="eastAsia" w:ascii="宋体" w:hAnsi="宋体" w:eastAsia="宋体" w:cs="宋体"/>
          <w:b/>
          <w:bCs/>
          <w:sz w:val="36"/>
        </w:rPr>
        <w:br w:type="page"/>
      </w:r>
    </w:p>
    <w:p w14:paraId="4BB6BB75">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bCs/>
        </w:rPr>
      </w:pPr>
      <w:bookmarkStart w:id="15" w:name="_Toc1661"/>
      <w:bookmarkStart w:id="16" w:name="_Toc5310"/>
      <w:r>
        <w:rPr>
          <w:rFonts w:hint="eastAsia" w:ascii="宋体" w:hAnsi="宋体" w:eastAsia="宋体" w:cs="宋体"/>
          <w:b/>
          <w:bCs/>
          <w:sz w:val="36"/>
        </w:rPr>
        <w:t>第二章  投标人须知</w:t>
      </w:r>
      <w:bookmarkEnd w:id="15"/>
      <w:bookmarkEnd w:id="16"/>
    </w:p>
    <w:p w14:paraId="3C425A43">
      <w:pPr>
        <w:shd w:val="clear" w:color="auto" w:fill="FFFFFF"/>
        <w:spacing w:line="360" w:lineRule="auto"/>
        <w:ind w:firstLine="484"/>
        <w:jc w:val="both"/>
        <w:rPr>
          <w:rFonts w:hint="eastAsia" w:ascii="宋体" w:hAnsi="宋体" w:eastAsia="宋体" w:cs="Arial"/>
          <w:b/>
          <w:bCs/>
          <w:sz w:val="24"/>
          <w:szCs w:val="24"/>
        </w:rPr>
      </w:pPr>
    </w:p>
    <w:p w14:paraId="588D7F40">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一、总则</w:t>
      </w:r>
    </w:p>
    <w:p w14:paraId="47579BF5">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w:t>
      </w:r>
      <w:r>
        <w:rPr>
          <w:rFonts w:hint="eastAsia" w:ascii="宋体" w:hAnsi="宋体" w:eastAsia="宋体" w:cs="Arial"/>
          <w:b/>
          <w:bCs/>
          <w:sz w:val="24"/>
          <w:szCs w:val="24"/>
        </w:rPr>
        <w:t>、适用法律</w:t>
      </w:r>
    </w:p>
    <w:p w14:paraId="0706DA74">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1.1</w:t>
      </w:r>
      <w:r>
        <w:rPr>
          <w:rFonts w:hint="eastAsia" w:ascii="宋体" w:hAnsi="宋体" w:eastAsia="宋体" w:cs="Arial"/>
          <w:sz w:val="24"/>
          <w:szCs w:val="24"/>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CF73C74">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2</w:t>
      </w:r>
      <w:r>
        <w:rPr>
          <w:rFonts w:hint="eastAsia" w:ascii="宋体" w:hAnsi="宋体" w:eastAsia="宋体" w:cs="Arial"/>
          <w:b/>
          <w:bCs/>
          <w:sz w:val="24"/>
          <w:szCs w:val="24"/>
        </w:rPr>
        <w:t>、定义</w:t>
      </w:r>
    </w:p>
    <w:p w14:paraId="23D6FD58">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2.1“</w:t>
      </w:r>
      <w:r>
        <w:rPr>
          <w:rFonts w:hint="eastAsia" w:ascii="宋体" w:hAnsi="宋体" w:eastAsia="宋体" w:cs="Arial"/>
          <w:sz w:val="24"/>
          <w:szCs w:val="24"/>
        </w:rPr>
        <w:t>招标人（采购人）</w:t>
      </w:r>
      <w:r>
        <w:rPr>
          <w:rFonts w:ascii="宋体" w:hAnsi="宋体" w:eastAsia="宋体" w:cs="Arial"/>
          <w:sz w:val="24"/>
          <w:szCs w:val="24"/>
        </w:rPr>
        <w:t>”</w:t>
      </w:r>
      <w:r>
        <w:rPr>
          <w:rFonts w:hint="eastAsia" w:ascii="宋体" w:hAnsi="宋体" w:eastAsia="宋体" w:cs="Arial"/>
          <w:sz w:val="24"/>
          <w:szCs w:val="24"/>
        </w:rPr>
        <w:t>是指依法进行政府采购的国家机关、事业单位、团体组织。</w:t>
      </w:r>
    </w:p>
    <w:p w14:paraId="09C1CC39">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2.2“</w:t>
      </w:r>
      <w:r>
        <w:rPr>
          <w:rFonts w:hint="eastAsia" w:ascii="宋体" w:hAnsi="宋体" w:eastAsia="宋体" w:cs="Arial"/>
          <w:sz w:val="24"/>
          <w:szCs w:val="24"/>
        </w:rPr>
        <w:t>投标人（供应商）</w:t>
      </w:r>
      <w:r>
        <w:rPr>
          <w:rFonts w:ascii="宋体" w:hAnsi="宋体" w:eastAsia="宋体" w:cs="Arial"/>
          <w:sz w:val="24"/>
          <w:szCs w:val="24"/>
        </w:rPr>
        <w:t>”</w:t>
      </w:r>
      <w:r>
        <w:rPr>
          <w:rFonts w:hint="eastAsia" w:ascii="宋体" w:hAnsi="宋体" w:eastAsia="宋体" w:cs="Arial"/>
          <w:sz w:val="24"/>
          <w:szCs w:val="24"/>
        </w:rPr>
        <w:t>是指参加投标竞争，并符合招标文件规定资格条件的法人、其他组织或者自然人。</w:t>
      </w:r>
    </w:p>
    <w:p w14:paraId="6AC46379">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2.3“</w:t>
      </w:r>
      <w:r>
        <w:rPr>
          <w:rFonts w:hint="eastAsia" w:ascii="宋体" w:hAnsi="宋体" w:eastAsia="宋体" w:cs="Arial"/>
          <w:sz w:val="24"/>
          <w:szCs w:val="24"/>
        </w:rPr>
        <w:t>招标代理机构（采购代理机构）</w:t>
      </w:r>
      <w:r>
        <w:rPr>
          <w:rFonts w:ascii="宋体" w:hAnsi="宋体" w:eastAsia="宋体" w:cs="Arial"/>
          <w:sz w:val="24"/>
          <w:szCs w:val="24"/>
        </w:rPr>
        <w:t>”</w:t>
      </w:r>
      <w:r>
        <w:rPr>
          <w:rFonts w:hint="eastAsia" w:ascii="宋体" w:hAnsi="宋体" w:eastAsia="宋体" w:cs="Arial"/>
          <w:sz w:val="24"/>
          <w:szCs w:val="24"/>
        </w:rPr>
        <w:t>是指集中采购机构和集中采购机构以外的采购代理机构，集中采购机构以外的招标（采购）代理机构，是从事招标（采购）代理业务的社会中介机构。</w:t>
      </w:r>
    </w:p>
    <w:p w14:paraId="0B28FEB7">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2.4“</w:t>
      </w:r>
      <w:r>
        <w:rPr>
          <w:rFonts w:hint="eastAsia" w:ascii="宋体" w:hAnsi="宋体" w:eastAsia="宋体" w:cs="Arial"/>
          <w:sz w:val="24"/>
          <w:szCs w:val="24"/>
        </w:rPr>
        <w:t>货物和服务</w:t>
      </w:r>
      <w:r>
        <w:rPr>
          <w:rFonts w:ascii="宋体" w:hAnsi="宋体" w:eastAsia="宋体" w:cs="Arial"/>
          <w:sz w:val="24"/>
          <w:szCs w:val="24"/>
        </w:rPr>
        <w:t>”</w:t>
      </w:r>
      <w:r>
        <w:rPr>
          <w:rFonts w:hint="eastAsia" w:ascii="宋体" w:hAnsi="宋体" w:eastAsia="宋体" w:cs="Arial"/>
          <w:sz w:val="24"/>
          <w:szCs w:val="24"/>
        </w:rPr>
        <w:t>指本招标文件中所述产品及相关服务。</w:t>
      </w:r>
    </w:p>
    <w:p w14:paraId="3EC05938">
      <w:pPr>
        <w:widowControl w:val="0"/>
        <w:shd w:val="clear" w:color="auto" w:fill="FFFFFF"/>
        <w:spacing w:line="360" w:lineRule="auto"/>
        <w:ind w:firstLine="480" w:firstLineChars="200"/>
        <w:jc w:val="both"/>
        <w:rPr>
          <w:rFonts w:hint="eastAsia" w:ascii="宋体" w:hAnsi="宋体" w:eastAsia="宋体" w:cs="Arial"/>
          <w:sz w:val="24"/>
          <w:szCs w:val="24"/>
        </w:rPr>
      </w:pPr>
      <w:r>
        <w:rPr>
          <w:rFonts w:ascii="宋体" w:hAnsi="宋体" w:eastAsia="宋体" w:cs="Arial"/>
          <w:sz w:val="24"/>
          <w:szCs w:val="24"/>
        </w:rPr>
        <w:t>2.5“</w:t>
      </w:r>
      <w:r>
        <w:rPr>
          <w:rFonts w:hint="eastAsia" w:ascii="宋体" w:hAnsi="宋体" w:eastAsia="宋体" w:cs="Arial"/>
          <w:sz w:val="24"/>
          <w:szCs w:val="24"/>
        </w:rPr>
        <w:t>用户或使用单位</w:t>
      </w:r>
      <w:r>
        <w:rPr>
          <w:rFonts w:ascii="宋体" w:hAnsi="宋体" w:eastAsia="宋体" w:cs="Arial"/>
          <w:sz w:val="24"/>
          <w:szCs w:val="24"/>
        </w:rPr>
        <w:t>”</w:t>
      </w:r>
      <w:r>
        <w:rPr>
          <w:rFonts w:hint="eastAsia" w:ascii="宋体" w:hAnsi="宋体" w:eastAsia="宋体" w:cs="Arial"/>
          <w:sz w:val="24"/>
          <w:szCs w:val="24"/>
        </w:rPr>
        <w:t>是指使用货物，接受服务的单位。</w:t>
      </w:r>
    </w:p>
    <w:p w14:paraId="742B8FA9">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3</w:t>
      </w:r>
      <w:r>
        <w:rPr>
          <w:rFonts w:hint="eastAsia" w:ascii="宋体" w:hAnsi="宋体" w:eastAsia="宋体" w:cs="Arial"/>
          <w:b/>
          <w:bCs/>
          <w:sz w:val="24"/>
          <w:szCs w:val="24"/>
        </w:rPr>
        <w:t>、政策功能</w:t>
      </w:r>
    </w:p>
    <w:p w14:paraId="463329D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3.1 政府采购促进中小企业发展，在政府采购活动中，供应商提供的货物、工程或者服务符合下列情形的，享受中小企业扶持政策：</w:t>
      </w:r>
    </w:p>
    <w:p w14:paraId="33D85EFE">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（1）在货物采购项目中，货物由中小企业制造，即货物由中小企业生产且使用该中小企业商号或者注册商标；</w:t>
      </w:r>
    </w:p>
    <w:p w14:paraId="0EC0F9DD">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（2）在工程采购项目中，工程由中小企业承建，即工程施工单位为中小企业；</w:t>
      </w:r>
    </w:p>
    <w:p w14:paraId="1C3E409F">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 xml:space="preserve">（3）在服务采购项目中，服务由中小企业承接，即提供服务的人员为中小企业依照《中华人民共和国劳动合同法》订立劳动合同的从业人员。 </w:t>
      </w:r>
    </w:p>
    <w:p w14:paraId="1B41C31E">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在货物采购项目中，供应商提供的货物既有中小企业制造货物，也有大型企业制造货物的，不享受中小企业扶持政策。</w:t>
      </w:r>
    </w:p>
    <w:p w14:paraId="44E727F2">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以联合体形式参加政府采购活动，联合体各方均为中小企业的，联合体视同中小企业。其中，联合体各方均为小微企业的，联合体视同小微企业。</w:t>
      </w:r>
    </w:p>
    <w:p w14:paraId="72F444C7">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中小企业供应商参加政府采购活动，应当出具《中小企业声明函》（格式见后附件），否则不得享受相关中小企业扶持政策。</w:t>
      </w:r>
    </w:p>
    <w:p w14:paraId="1FFF8CA4">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C33D48">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212B47E">
      <w:pPr>
        <w:widowControl w:val="0"/>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62A32E99">
      <w:pPr>
        <w:widowControl w:val="0"/>
        <w:spacing w:line="360" w:lineRule="auto"/>
        <w:ind w:firstLine="480" w:firstLineChars="200"/>
        <w:jc w:val="both"/>
        <w:rPr>
          <w:rFonts w:hint="eastAsia" w:ascii="宋体" w:hAnsi="宋体" w:eastAsia="宋体" w:cs="Arial"/>
          <w:sz w:val="24"/>
          <w:szCs w:val="24"/>
        </w:rPr>
      </w:pPr>
      <w:r>
        <w:rPr>
          <w:rFonts w:hint="eastAsia" w:ascii="宋体" w:hAnsi="宋体" w:eastAsia="宋体" w:cs="宋体"/>
          <w:sz w:val="24"/>
          <w:szCs w:val="24"/>
        </w:rPr>
        <w:t>3.4</w:t>
      </w:r>
      <w:r>
        <w:rPr>
          <w:rFonts w:ascii="宋体" w:hAnsi="宋体" w:eastAsia="宋体" w:cs="宋体"/>
          <w:sz w:val="24"/>
          <w:szCs w:val="24"/>
        </w:rPr>
        <w:t>强制采购节能产品，优先采购环境标志产品。节能产品是指列入财政部、国家发展和改革委员会制定的《节能产品政府采购品目清单》，且经过认定的节能产品；网络关键设备和网络安全专用产品是指列入《网络关键设备和网络安全专用产品目录》的产品；环境标志产品是指列入财政部、生态环境部制定的《环境标志产品政府采购品目清单》，且依据相关标准的最新版本认证的环境标志产品。</w:t>
      </w:r>
    </w:p>
    <w:p w14:paraId="293F81D8">
      <w:pPr>
        <w:widowControl w:val="0"/>
        <w:spacing w:line="360" w:lineRule="auto"/>
        <w:ind w:firstLine="480" w:firstLineChars="200"/>
        <w:jc w:val="both"/>
        <w:rPr>
          <w:rFonts w:hint="eastAsia" w:ascii="宋体" w:hAnsi="宋体" w:eastAsia="宋体" w:cs="Arial"/>
          <w:sz w:val="24"/>
          <w:szCs w:val="24"/>
        </w:rPr>
      </w:pPr>
      <w:r>
        <w:rPr>
          <w:rFonts w:ascii="宋体" w:hAnsi="宋体" w:eastAsia="宋体" w:cs="宋体"/>
          <w:sz w:val="24"/>
          <w:szCs w:val="24"/>
        </w:rPr>
        <w:t>3.5 投标产品属于列入《网络关键设备和网络安全专用产品目录》内产品的，供应商所投产品应当具备网络安全认证合格证书或者网络安全检测合格报告，投标时提供相应有效证明材料复印件。</w:t>
      </w:r>
    </w:p>
    <w:p w14:paraId="04650248">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3.6 提供的产品属于政府强制采购节能产品的，供应商应当选择依据国家标准中二级能效（水效）指标认证的节能产品投标，并提供有效的节能产品认证证书复印件。</w:t>
      </w:r>
    </w:p>
    <w:p w14:paraId="32152A39">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3.7 提供的产品属于环境标志产品的,供应商应当选择依据相关标准的最新版本认证的环境标志产品投标,并提供有效的环境标志产品认证证书复印件。</w:t>
      </w:r>
    </w:p>
    <w:p w14:paraId="71018AA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w:t>
      </w:r>
      <w:r>
        <w:rPr>
          <w:rFonts w:ascii="宋体" w:hAnsi="宋体" w:eastAsia="宋体" w:cs="Arial"/>
          <w:sz w:val="24"/>
          <w:szCs w:val="24"/>
        </w:rPr>
        <w:t>8</w:t>
      </w:r>
      <w:r>
        <w:rPr>
          <w:rFonts w:hint="eastAsia" w:ascii="宋体" w:hAnsi="宋体" w:eastAsia="宋体" w:cs="Arial"/>
          <w:sz w:val="24"/>
          <w:szCs w:val="24"/>
        </w:rPr>
        <w:t>进口产品政策</w:t>
      </w:r>
    </w:p>
    <w:p w14:paraId="6331CAA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（1）除招标公告载明接受进口产品参加外，不允许进口产品参加。进口产品认定依照《财政部关于政府采购进口产品管理有关问题的通知》（财办库〔2008〕248号）的规定。</w:t>
      </w:r>
    </w:p>
    <w:p w14:paraId="0837CD9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（2）允许进口产品参加的，满足需求的国内产品可以参加。</w:t>
      </w:r>
    </w:p>
    <w:p w14:paraId="5FD810A5">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（3）允许进口产品参加的，优先采购向我国企业转让技术、与我国企业签订消化吸收再创新方案的投标人的进口产品。</w:t>
      </w:r>
    </w:p>
    <w:p w14:paraId="7F037982">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w:t>
      </w:r>
      <w:r>
        <w:rPr>
          <w:rFonts w:ascii="宋体" w:hAnsi="宋体" w:eastAsia="宋体" w:cs="Arial"/>
          <w:sz w:val="24"/>
          <w:szCs w:val="24"/>
        </w:rPr>
        <w:t>9</w:t>
      </w:r>
      <w:r>
        <w:rPr>
          <w:rFonts w:hint="eastAsia" w:ascii="宋体" w:hAnsi="宋体" w:eastAsia="宋体" w:cs="Arial"/>
          <w:sz w:val="24"/>
          <w:szCs w:val="24"/>
        </w:rPr>
        <w:t>未按要求提供相关材料的，不享受相关政策。</w:t>
      </w:r>
    </w:p>
    <w:p w14:paraId="43595BD3">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二、招标文件</w:t>
      </w:r>
    </w:p>
    <w:p w14:paraId="56248132">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4</w:t>
      </w:r>
      <w:r>
        <w:rPr>
          <w:rFonts w:hint="eastAsia" w:ascii="宋体" w:hAnsi="宋体" w:eastAsia="宋体" w:cs="Arial"/>
          <w:b/>
          <w:bCs/>
          <w:sz w:val="24"/>
          <w:szCs w:val="24"/>
        </w:rPr>
        <w:t>、招标文件组成</w:t>
      </w:r>
    </w:p>
    <w:p w14:paraId="517D494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4.1招标文件由以下部分组成：</w:t>
      </w:r>
    </w:p>
    <w:p w14:paraId="4E7235FD">
      <w:pPr>
        <w:spacing w:line="360" w:lineRule="auto"/>
        <w:ind w:firstLine="480" w:firstLineChars="200"/>
        <w:rPr>
          <w:rFonts w:hint="eastAsia" w:ascii="宋体" w:hAnsi="宋体"/>
          <w:sz w:val="24"/>
        </w:rPr>
      </w:pPr>
      <w:r>
        <w:rPr>
          <w:rFonts w:hint="eastAsia" w:ascii="宋体" w:hAnsi="宋体"/>
          <w:sz w:val="24"/>
        </w:rPr>
        <w:t>（1）投标公告；</w:t>
      </w:r>
    </w:p>
    <w:p w14:paraId="0E8E0008">
      <w:pPr>
        <w:spacing w:line="360" w:lineRule="auto"/>
        <w:ind w:firstLine="480" w:firstLineChars="200"/>
        <w:rPr>
          <w:rFonts w:hint="eastAsia" w:ascii="宋体" w:hAnsi="宋体"/>
          <w:sz w:val="24"/>
        </w:rPr>
      </w:pPr>
      <w:r>
        <w:rPr>
          <w:rFonts w:hint="eastAsia" w:ascii="宋体" w:hAnsi="宋体"/>
          <w:sz w:val="24"/>
        </w:rPr>
        <w:t>（2）投标人须知；</w:t>
      </w:r>
    </w:p>
    <w:p w14:paraId="78A3F391">
      <w:pPr>
        <w:spacing w:line="360" w:lineRule="auto"/>
        <w:ind w:firstLine="480" w:firstLineChars="200"/>
        <w:rPr>
          <w:rFonts w:hint="eastAsia" w:ascii="宋体" w:hAnsi="宋体"/>
          <w:sz w:val="24"/>
        </w:rPr>
      </w:pPr>
      <w:r>
        <w:rPr>
          <w:rFonts w:hint="eastAsia" w:ascii="宋体" w:hAnsi="宋体"/>
          <w:sz w:val="24"/>
        </w:rPr>
        <w:t>（3）评标方法与评标标准；</w:t>
      </w:r>
    </w:p>
    <w:p w14:paraId="44C3F883">
      <w:pPr>
        <w:spacing w:line="360" w:lineRule="auto"/>
        <w:ind w:firstLine="480" w:firstLineChars="200"/>
        <w:rPr>
          <w:rFonts w:hint="eastAsia" w:ascii="宋体" w:hAnsi="宋体"/>
          <w:sz w:val="24"/>
        </w:rPr>
      </w:pPr>
      <w:r>
        <w:rPr>
          <w:rFonts w:hint="eastAsia" w:ascii="宋体" w:hAnsi="宋体"/>
          <w:sz w:val="24"/>
        </w:rPr>
        <w:t>（4）采购需求；</w:t>
      </w:r>
    </w:p>
    <w:p w14:paraId="2D2196BA">
      <w:pPr>
        <w:spacing w:line="360" w:lineRule="auto"/>
        <w:ind w:firstLine="480" w:firstLineChars="200"/>
        <w:rPr>
          <w:rFonts w:hint="eastAsia" w:ascii="宋体" w:hAnsi="宋体"/>
          <w:sz w:val="24"/>
        </w:rPr>
      </w:pPr>
      <w:r>
        <w:rPr>
          <w:rFonts w:hint="eastAsia" w:ascii="宋体" w:hAnsi="宋体"/>
          <w:sz w:val="24"/>
        </w:rPr>
        <w:t>（5）合同文本；</w:t>
      </w:r>
    </w:p>
    <w:p w14:paraId="7CA02EF0">
      <w:pPr>
        <w:spacing w:line="360" w:lineRule="auto"/>
        <w:ind w:firstLine="480" w:firstLineChars="200"/>
        <w:rPr>
          <w:rFonts w:hint="eastAsia" w:ascii="宋体" w:hAnsi="宋体"/>
          <w:sz w:val="24"/>
        </w:rPr>
      </w:pPr>
      <w:r>
        <w:rPr>
          <w:rFonts w:hint="eastAsia" w:ascii="宋体" w:hAnsi="宋体"/>
          <w:sz w:val="24"/>
        </w:rPr>
        <w:t>（6）投标文件格式。</w:t>
      </w:r>
    </w:p>
    <w:p w14:paraId="2835B76F">
      <w:pPr>
        <w:widowControl w:val="0"/>
        <w:shd w:val="clear" w:color="auto" w:fill="FFFFFF"/>
        <w:spacing w:line="360" w:lineRule="auto"/>
        <w:ind w:firstLine="482" w:firstLineChars="200"/>
        <w:jc w:val="both"/>
        <w:rPr>
          <w:rFonts w:hint="eastAsia" w:ascii="宋体" w:hAnsi="宋体" w:eastAsia="宋体" w:cs="Arial"/>
          <w:b/>
          <w:bCs/>
          <w:sz w:val="24"/>
          <w:szCs w:val="24"/>
        </w:rPr>
      </w:pPr>
      <w:r>
        <w:rPr>
          <w:rFonts w:hint="eastAsia" w:ascii="宋体" w:hAnsi="宋体"/>
          <w:b/>
          <w:bCs/>
          <w:sz w:val="24"/>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CAD5B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4.3 招标的最小单位是包。招标货物数量及技术要求中未分包的，投标人对要求提供的货物和服务不得部分投标；招标货物数量及技术要求中已经分包的，可以以包为单位投标。</w:t>
      </w:r>
    </w:p>
    <w:p w14:paraId="1376D19D">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4.4 招标代理机构如果要求投标人按照招标文件规定提交备选投标方案的，投标人可以提交备选方案；否则，备选方案将被拒绝。</w:t>
      </w:r>
    </w:p>
    <w:p w14:paraId="5054239D">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5</w:t>
      </w:r>
      <w:r>
        <w:rPr>
          <w:rFonts w:hint="eastAsia" w:ascii="宋体" w:hAnsi="宋体" w:eastAsia="宋体" w:cs="Arial"/>
          <w:b/>
          <w:bCs/>
          <w:sz w:val="24"/>
          <w:szCs w:val="24"/>
        </w:rPr>
        <w:t>、招标文件的澄清或修改</w:t>
      </w:r>
    </w:p>
    <w:p w14:paraId="46E724FD">
      <w:pPr>
        <w:widowControl w:val="0"/>
        <w:shd w:val="clear" w:color="auto" w:fill="FFFFFF"/>
        <w:spacing w:line="360" w:lineRule="auto"/>
        <w:ind w:firstLine="480" w:firstLineChars="200"/>
        <w:jc w:val="both"/>
        <w:rPr>
          <w:rFonts w:hint="eastAsia" w:ascii="宋体" w:hAnsi="宋体" w:eastAsia="宋体" w:cs="Times New Roman"/>
          <w:sz w:val="24"/>
        </w:rPr>
      </w:pPr>
      <w:r>
        <w:rPr>
          <w:rFonts w:hint="eastAsia" w:ascii="宋体" w:hAnsi="宋体" w:eastAsia="宋体" w:cs="Arial"/>
          <w:sz w:val="24"/>
          <w:szCs w:val="24"/>
        </w:rPr>
        <w:t>5.1</w:t>
      </w:r>
      <w:r>
        <w:rPr>
          <w:rFonts w:hint="eastAsia" w:ascii="宋体" w:hAnsi="宋体" w:eastAsia="宋体" w:cs="Times New Roman"/>
          <w:sz w:val="24"/>
        </w:rPr>
        <w:t>在投标截止时间前，</w:t>
      </w:r>
      <w:r>
        <w:rPr>
          <w:rFonts w:hint="eastAsia" w:ascii="宋体" w:hAnsi="宋体" w:eastAsia="宋体" w:cs="Arial"/>
          <w:sz w:val="24"/>
          <w:szCs w:val="24"/>
        </w:rPr>
        <w:t>招标人或者招标代理机构</w:t>
      </w:r>
      <w:r>
        <w:rPr>
          <w:rFonts w:hint="eastAsia" w:ascii="宋体" w:hAnsi="宋体" w:eastAsia="宋体" w:cs="Times New Roman"/>
          <w:sz w:val="24"/>
        </w:rPr>
        <w:t>可以对</w:t>
      </w:r>
      <w:r>
        <w:rPr>
          <w:rFonts w:hint="eastAsia" w:ascii="宋体" w:hAnsi="宋体" w:cs="Times New Roman"/>
          <w:sz w:val="24"/>
        </w:rPr>
        <w:t>已发出的</w:t>
      </w:r>
      <w:r>
        <w:rPr>
          <w:rFonts w:hint="eastAsia" w:ascii="宋体" w:hAnsi="宋体" w:eastAsia="宋体" w:cs="Times New Roman"/>
          <w:sz w:val="24"/>
        </w:rPr>
        <w:t>招标文件进行</w:t>
      </w:r>
      <w:r>
        <w:rPr>
          <w:rFonts w:hint="eastAsia" w:ascii="宋体" w:hAnsi="宋体"/>
          <w:sz w:val="24"/>
        </w:rPr>
        <w:t>必要的澄清或者</w:t>
      </w:r>
      <w:r>
        <w:rPr>
          <w:rFonts w:hint="eastAsia" w:ascii="宋体" w:hAnsi="宋体" w:eastAsia="宋体" w:cs="Times New Roman"/>
          <w:sz w:val="24"/>
        </w:rPr>
        <w:t>修改</w:t>
      </w:r>
      <w:r>
        <w:rPr>
          <w:rFonts w:hint="eastAsia" w:ascii="宋体" w:hAnsi="宋体" w:cs="Times New Roman"/>
          <w:sz w:val="24"/>
        </w:rPr>
        <w:t>，并</w:t>
      </w:r>
      <w:r>
        <w:rPr>
          <w:rFonts w:hint="eastAsia" w:ascii="宋体" w:hAnsi="宋体" w:eastAsia="宋体" w:cs="Times New Roman"/>
          <w:sz w:val="24"/>
        </w:rPr>
        <w:t>在原</w:t>
      </w:r>
      <w:r>
        <w:rPr>
          <w:rFonts w:ascii="宋体" w:hAnsi="宋体" w:eastAsia="宋体" w:cs="Times New Roman"/>
          <w:sz w:val="24"/>
        </w:rPr>
        <w:t>公告</w:t>
      </w:r>
      <w:r>
        <w:rPr>
          <w:rFonts w:hint="eastAsia" w:ascii="宋体" w:hAnsi="宋体" w:cs="Times New Roman"/>
          <w:sz w:val="24"/>
        </w:rPr>
        <w:t>发布</w:t>
      </w:r>
      <w:r>
        <w:rPr>
          <w:rFonts w:hint="eastAsia" w:ascii="宋体" w:hAnsi="宋体" w:eastAsia="宋体" w:cs="Times New Roman"/>
          <w:sz w:val="24"/>
        </w:rPr>
        <w:t>媒体发布更正公告，</w:t>
      </w:r>
      <w:r>
        <w:rPr>
          <w:rFonts w:hint="eastAsia" w:ascii="宋体" w:hAnsi="宋体"/>
          <w:sz w:val="24"/>
        </w:rPr>
        <w:t>澄清或者修改的</w:t>
      </w:r>
      <w:r>
        <w:rPr>
          <w:rFonts w:hint="eastAsia" w:ascii="宋体" w:hAnsi="宋体" w:eastAsia="宋体" w:cs="Times New Roman"/>
          <w:sz w:val="24"/>
        </w:rPr>
        <w:t>内容将作为招标文件的组成部分，并对投标人具有约束力。</w:t>
      </w:r>
    </w:p>
    <w:p w14:paraId="2C82C76B">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5.2</w:t>
      </w:r>
      <w:r>
        <w:rPr>
          <w:rFonts w:hint="eastAsia" w:ascii="宋体" w:hAnsi="宋体" w:eastAsia="宋体" w:cs="Times New Roman"/>
          <w:sz w:val="24"/>
        </w:rPr>
        <w:t>投标人应在投标截止时间前，关注原公告</w:t>
      </w:r>
      <w:r>
        <w:rPr>
          <w:rFonts w:hint="eastAsia" w:ascii="宋体" w:hAnsi="宋体" w:cs="Times New Roman"/>
          <w:sz w:val="24"/>
        </w:rPr>
        <w:t>发布</w:t>
      </w:r>
      <w:r>
        <w:rPr>
          <w:rFonts w:hint="eastAsia" w:ascii="宋体" w:hAnsi="宋体" w:eastAsia="宋体" w:cs="Times New Roman"/>
          <w:sz w:val="24"/>
        </w:rPr>
        <w:t>媒体有关本项目的更正公告，根据更正公告内容自行决定是否需要重新制作和提交投标文件，并承担由此产生的相应责任。</w:t>
      </w:r>
    </w:p>
    <w:p w14:paraId="30290E9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5.3招标人或者招标代理机构</w:t>
      </w:r>
      <w:r>
        <w:rPr>
          <w:rFonts w:hint="eastAsia" w:ascii="宋体" w:hAnsi="宋体" w:eastAsia="宋体" w:cs="Times New Roman"/>
          <w:sz w:val="24"/>
        </w:rPr>
        <w:t>有权按照法定要求推迟投标截止日期和开标日期，并在原公告</w:t>
      </w:r>
      <w:r>
        <w:rPr>
          <w:rFonts w:hint="eastAsia" w:ascii="宋体" w:hAnsi="宋体" w:cs="Times New Roman"/>
          <w:sz w:val="24"/>
        </w:rPr>
        <w:t>发布</w:t>
      </w:r>
      <w:r>
        <w:rPr>
          <w:rFonts w:hint="eastAsia" w:ascii="宋体" w:hAnsi="宋体" w:eastAsia="宋体" w:cs="Times New Roman"/>
          <w:sz w:val="24"/>
        </w:rPr>
        <w:t>媒体发布更正公告。</w:t>
      </w:r>
    </w:p>
    <w:p w14:paraId="32228676">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三、投标文件的编制</w:t>
      </w:r>
    </w:p>
    <w:p w14:paraId="718D2625">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6</w:t>
      </w:r>
      <w:r>
        <w:rPr>
          <w:rFonts w:hint="eastAsia" w:ascii="宋体" w:hAnsi="宋体" w:eastAsia="宋体" w:cs="Arial"/>
          <w:b/>
          <w:bCs/>
          <w:sz w:val="24"/>
          <w:szCs w:val="24"/>
        </w:rPr>
        <w:t>、投标文件的语言、计量单位、货币和编制</w:t>
      </w:r>
    </w:p>
    <w:p w14:paraId="4EFD4C02">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6659B839">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6.2投标人所使用的计量单位应为国家法定计量单位。</w:t>
      </w:r>
    </w:p>
    <w:p w14:paraId="1AFD5832">
      <w:pPr>
        <w:widowControl w:val="0"/>
        <w:shd w:val="clear" w:color="auto" w:fill="FFFFFF"/>
        <w:spacing w:line="360" w:lineRule="auto"/>
        <w:ind w:firstLine="480" w:firstLineChars="200"/>
        <w:jc w:val="both"/>
        <w:rPr>
          <w:rFonts w:hint="eastAsia" w:ascii="宋体" w:hAnsi="宋体" w:eastAsia="宋体" w:cs="Arial"/>
          <w:b/>
          <w:bCs/>
          <w:sz w:val="24"/>
          <w:szCs w:val="24"/>
        </w:rPr>
      </w:pPr>
      <w:r>
        <w:rPr>
          <w:rFonts w:hint="eastAsia" w:ascii="宋体" w:hAnsi="宋体" w:eastAsia="宋体" w:cs="Arial"/>
          <w:sz w:val="24"/>
          <w:szCs w:val="24"/>
        </w:rPr>
        <w:t>6.3投标人应用人民币报价。投标产品如果是进口产品的，应提供人民币与</w:t>
      </w:r>
      <w:r>
        <w:rPr>
          <w:rFonts w:hint="eastAsia" w:ascii="宋体" w:hAnsi="宋体" w:eastAsia="宋体" w:cs="Arial"/>
          <w:b/>
          <w:bCs/>
          <w:sz w:val="24"/>
          <w:szCs w:val="24"/>
        </w:rPr>
        <w:t>外币之间的汇率；报价单位为“元”。</w:t>
      </w:r>
    </w:p>
    <w:p w14:paraId="042D48D0">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6.4投标人应在投标文件中写清相应的项目编号、项目名称、投标人全称、地址、电话、传真等。</w:t>
      </w:r>
    </w:p>
    <w:p w14:paraId="584F147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6.5投标人根据招标文件载明的标的采购项目实际情况，拟在中标后将中标项目的非主体、非关键性工作交由他人完成的，应当在投标文件中载明。</w:t>
      </w:r>
    </w:p>
    <w:p w14:paraId="6CD06527">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7</w:t>
      </w:r>
      <w:r>
        <w:rPr>
          <w:rFonts w:hint="eastAsia" w:ascii="宋体" w:hAnsi="宋体" w:eastAsia="宋体" w:cs="Arial"/>
          <w:b/>
          <w:bCs/>
          <w:sz w:val="24"/>
          <w:szCs w:val="24"/>
        </w:rPr>
        <w:t>、联合体投标</w:t>
      </w:r>
    </w:p>
    <w:p w14:paraId="11C58028">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7.1 两个以上的自然人、法人或者其他组织可以组成一个联合体，以一个投标人的身份共同参加政府采购。</w:t>
      </w:r>
    </w:p>
    <w:p w14:paraId="60D24317">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7.2 联合体中有同类资质的投标人按照联合体分工承担相同工作的，按照资质等级较低的投标人确定资质等级。</w:t>
      </w:r>
    </w:p>
    <w:p w14:paraId="7D64AAE9">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7.3 联合体各方之间应当签订联合体协议，明确约定联合体各方承担的工作和相应的责任，并将联合体协议连同投标文件一同提交。</w:t>
      </w:r>
    </w:p>
    <w:p w14:paraId="19FD9985">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7.4 以联合体形式参加政府采购活动的，联合体各方不得再单独参加或者与其他投标人另外组成联合体参加同一合同项下的政府采购活动。</w:t>
      </w:r>
    </w:p>
    <w:p w14:paraId="30F733F2">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8</w:t>
      </w:r>
      <w:r>
        <w:rPr>
          <w:rFonts w:hint="eastAsia" w:ascii="宋体" w:hAnsi="宋体" w:eastAsia="宋体" w:cs="Arial"/>
          <w:b/>
          <w:bCs/>
          <w:sz w:val="24"/>
          <w:szCs w:val="24"/>
        </w:rPr>
        <w:t>、投标文件的组成</w:t>
      </w:r>
    </w:p>
    <w:p w14:paraId="1690A056">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8.1投标人应当根据招标文件要求编制投标文件，投标文件应对招标文件提出的要求和条件作出实质性响应，并在《商务条款偏离表》和《技术条款偏离表》等处逐条标明满足与否。</w:t>
      </w:r>
    </w:p>
    <w:p w14:paraId="4563B96A">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8.2 投标文件由商务部分、技术部分、价格部分以及其他部分组成。</w:t>
      </w:r>
    </w:p>
    <w:p w14:paraId="1DCCFDDD">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9</w:t>
      </w:r>
      <w:r>
        <w:rPr>
          <w:rFonts w:hint="eastAsia" w:ascii="宋体" w:hAnsi="宋体" w:eastAsia="宋体" w:cs="Arial"/>
          <w:b/>
          <w:bCs/>
          <w:sz w:val="24"/>
          <w:szCs w:val="24"/>
        </w:rPr>
        <w:t>、投标文件的商务部分</w:t>
      </w:r>
    </w:p>
    <w:p w14:paraId="5C33BF68">
      <w:pPr>
        <w:widowControl w:val="0"/>
        <w:shd w:val="clear" w:color="auto" w:fill="FFFFFF"/>
        <w:spacing w:line="360" w:lineRule="auto"/>
        <w:ind w:firstLine="480" w:firstLineChars="200"/>
        <w:jc w:val="both"/>
        <w:rPr>
          <w:rFonts w:hint="eastAsia" w:ascii="宋体" w:hAnsi="宋体" w:eastAsia="宋体" w:cs="Arial"/>
          <w:b/>
          <w:bCs/>
          <w:sz w:val="24"/>
          <w:szCs w:val="24"/>
        </w:rPr>
      </w:pPr>
      <w:r>
        <w:rPr>
          <w:rFonts w:hint="eastAsia" w:ascii="宋体" w:hAnsi="宋体" w:eastAsia="宋体" w:cs="Arial"/>
          <w:sz w:val="24"/>
          <w:szCs w:val="24"/>
        </w:rPr>
        <w:t>9.1商务部分是证明投标人有资格参加投标和中标后有能力履行合同的文件，这些文件应能满足招标的要求，包括但不限于下列文件，</w:t>
      </w:r>
      <w:r>
        <w:rPr>
          <w:rFonts w:ascii="宋体" w:hAnsi="宋体" w:eastAsia="宋体" w:cs="Times New Roman"/>
          <w:sz w:val="24"/>
          <w:szCs w:val="24"/>
          <w:lang w:val="zh-CN"/>
        </w:rPr>
        <w:t>其中加“</w:t>
      </w:r>
      <w:r>
        <w:rPr>
          <w:rFonts w:hint="eastAsia" w:ascii="宋体" w:hAnsi="宋体" w:eastAsia="宋体" w:cs="宋体"/>
          <w:sz w:val="24"/>
          <w:szCs w:val="24"/>
          <w:lang w:val="zh-CN"/>
        </w:rPr>
        <w:t>★</w:t>
      </w:r>
      <w:r>
        <w:rPr>
          <w:rFonts w:ascii="宋体" w:hAnsi="宋体" w:eastAsia="宋体" w:cs="Times New Roman"/>
          <w:sz w:val="24"/>
          <w:szCs w:val="24"/>
          <w:lang w:val="zh-CN"/>
        </w:rPr>
        <w:t>”项目不得有缺失或无效：</w:t>
      </w:r>
    </w:p>
    <w:p w14:paraId="4842D47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w:t>
      </w:r>
      <w:r>
        <w:rPr>
          <w:rFonts w:hint="eastAsia" w:ascii="宋体" w:hAnsi="宋体" w:eastAsia="宋体" w:cs="宋体"/>
          <w:sz w:val="24"/>
          <w:szCs w:val="24"/>
          <w:lang w:val="zh-CN"/>
        </w:rPr>
        <w:t>★</w:t>
      </w:r>
      <w:r>
        <w:rPr>
          <w:rFonts w:hint="eastAsia" w:ascii="宋体" w:hAnsi="宋体" w:eastAsia="宋体" w:cs="Arial"/>
          <w:sz w:val="24"/>
          <w:szCs w:val="24"/>
        </w:rPr>
        <w:t>投标函（投标申请及声明）</w:t>
      </w:r>
      <w:r>
        <w:rPr>
          <w:rFonts w:hint="eastAsia" w:ascii="宋体" w:hAnsi="宋体" w:eastAsia="宋体" w:cs="Arial"/>
          <w:b/>
          <w:bCs/>
          <w:sz w:val="24"/>
          <w:szCs w:val="24"/>
        </w:rPr>
        <w:t>（格式见第六章）</w:t>
      </w:r>
      <w:r>
        <w:rPr>
          <w:rFonts w:hint="eastAsia" w:ascii="宋体" w:hAnsi="宋体" w:eastAsia="宋体" w:cs="Arial"/>
          <w:sz w:val="24"/>
          <w:szCs w:val="24"/>
        </w:rPr>
        <w:t>；</w:t>
      </w:r>
    </w:p>
    <w:p w14:paraId="46DECC3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w:t>
      </w:r>
      <w:r>
        <w:rPr>
          <w:rFonts w:hint="eastAsia" w:ascii="宋体" w:hAnsi="宋体" w:eastAsia="宋体" w:cs="宋体"/>
          <w:sz w:val="24"/>
          <w:szCs w:val="24"/>
          <w:lang w:val="zh-CN"/>
        </w:rPr>
        <w:t>★</w:t>
      </w:r>
      <w:r>
        <w:rPr>
          <w:rFonts w:hint="eastAsia" w:ascii="宋体" w:hAnsi="宋体" w:eastAsia="宋体" w:cs="Arial"/>
          <w:sz w:val="24"/>
          <w:szCs w:val="24"/>
        </w:rPr>
        <w:t>法定代表人授权委托书及委托代理人的身份证明文件的复印件</w:t>
      </w:r>
      <w:r>
        <w:rPr>
          <w:rFonts w:hint="eastAsia" w:ascii="宋体" w:hAnsi="宋体" w:eastAsia="宋体" w:cs="Arial"/>
          <w:b/>
          <w:bCs/>
          <w:sz w:val="24"/>
          <w:szCs w:val="24"/>
        </w:rPr>
        <w:t>（格式见第六章）</w:t>
      </w:r>
      <w:r>
        <w:rPr>
          <w:rFonts w:hint="eastAsia" w:ascii="宋体" w:hAnsi="宋体" w:eastAsia="宋体" w:cs="Arial"/>
          <w:sz w:val="24"/>
          <w:szCs w:val="24"/>
        </w:rPr>
        <w:t>；</w:t>
      </w:r>
    </w:p>
    <w:p w14:paraId="6C4CA5FA">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w:t>
      </w:r>
      <w:r>
        <w:rPr>
          <w:rFonts w:hint="eastAsia" w:ascii="宋体" w:hAnsi="宋体" w:eastAsia="宋体" w:cs="宋体"/>
          <w:sz w:val="24"/>
          <w:szCs w:val="24"/>
          <w:lang w:val="zh-CN"/>
        </w:rPr>
        <w:t>★</w:t>
      </w:r>
      <w:r>
        <w:rPr>
          <w:rFonts w:hint="eastAsia" w:ascii="宋体" w:hAnsi="宋体" w:eastAsia="宋体" w:cs="Arial"/>
          <w:sz w:val="24"/>
          <w:szCs w:val="24"/>
        </w:rPr>
        <w:t>投标人资格资信证明文件：</w:t>
      </w:r>
    </w:p>
    <w:p w14:paraId="538865C6">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w:t>
      </w:r>
      <w:r>
        <w:rPr>
          <w:rFonts w:hint="eastAsia" w:ascii="宋体" w:hAnsi="宋体" w:eastAsia="宋体" w:cs="宋体"/>
          <w:sz w:val="24"/>
          <w:szCs w:val="24"/>
          <w:lang w:val="zh-CN"/>
        </w:rPr>
        <w:t>★</w:t>
      </w:r>
      <w:r>
        <w:rPr>
          <w:rFonts w:hint="eastAsia" w:ascii="宋体" w:hAnsi="宋体" w:eastAsia="宋体" w:cs="Arial"/>
          <w:sz w:val="24"/>
          <w:szCs w:val="24"/>
        </w:rPr>
        <w:t>第一章招标公告中（一）《中华人民共和国政府采购法》规定的资格条件证明文件；</w:t>
      </w:r>
    </w:p>
    <w:p w14:paraId="32B543C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w:t>
      </w:r>
      <w:r>
        <w:rPr>
          <w:rFonts w:hint="eastAsia" w:ascii="宋体" w:hAnsi="宋体" w:eastAsia="宋体" w:cs="宋体"/>
          <w:sz w:val="24"/>
          <w:szCs w:val="24"/>
          <w:lang w:val="zh-CN"/>
        </w:rPr>
        <w:t>★</w:t>
      </w:r>
      <w:r>
        <w:rPr>
          <w:rFonts w:hint="eastAsia" w:ascii="宋体" w:hAnsi="宋体" w:eastAsia="宋体" w:cs="Arial"/>
          <w:sz w:val="24"/>
          <w:szCs w:val="24"/>
        </w:rPr>
        <w:t>第一章招标公告中（二）落实政府采购政策需满足的资格要求；</w:t>
      </w:r>
    </w:p>
    <w:p w14:paraId="6EF71EB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w:t>
      </w:r>
      <w:r>
        <w:rPr>
          <w:rFonts w:hint="eastAsia" w:ascii="宋体" w:hAnsi="宋体" w:eastAsia="宋体" w:cs="宋体"/>
          <w:sz w:val="24"/>
          <w:szCs w:val="24"/>
          <w:lang w:val="zh-CN"/>
        </w:rPr>
        <w:t>★</w:t>
      </w:r>
      <w:r>
        <w:rPr>
          <w:rFonts w:hint="eastAsia" w:ascii="宋体" w:hAnsi="宋体" w:eastAsia="宋体" w:cs="Arial"/>
          <w:sz w:val="24"/>
          <w:szCs w:val="24"/>
        </w:rPr>
        <w:t>第一章招标公告中（三）采购人根据采购项目的特殊要求规定的特定条件证明文件。</w:t>
      </w:r>
    </w:p>
    <w:p w14:paraId="1962F787">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（4）★开标一览表</w:t>
      </w:r>
      <w:r>
        <w:rPr>
          <w:rFonts w:hint="eastAsia" w:ascii="宋体" w:hAnsi="宋体" w:eastAsia="宋体" w:cs="Arial"/>
          <w:b/>
          <w:bCs/>
          <w:sz w:val="24"/>
          <w:szCs w:val="24"/>
        </w:rPr>
        <w:t>（格式见第六章）</w:t>
      </w:r>
      <w:r>
        <w:rPr>
          <w:rFonts w:hint="eastAsia" w:ascii="宋体" w:hAnsi="宋体" w:eastAsia="宋体" w:cs="Arial"/>
          <w:sz w:val="24"/>
          <w:szCs w:val="24"/>
        </w:rPr>
        <w:t>；</w:t>
      </w:r>
    </w:p>
    <w:p w14:paraId="04BEB8C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（5）★《信用承诺函》</w:t>
      </w:r>
      <w:r>
        <w:rPr>
          <w:rFonts w:hint="eastAsia" w:ascii="宋体" w:hAnsi="宋体" w:eastAsia="宋体" w:cs="Arial"/>
          <w:b/>
          <w:bCs/>
          <w:sz w:val="24"/>
          <w:szCs w:val="24"/>
        </w:rPr>
        <w:t>（格式见第六章）</w:t>
      </w:r>
      <w:r>
        <w:rPr>
          <w:rFonts w:hint="eastAsia" w:ascii="宋体" w:hAnsi="宋体" w:eastAsia="宋体" w:cs="Arial"/>
          <w:sz w:val="24"/>
          <w:szCs w:val="24"/>
          <w:lang w:val="zh-CN"/>
        </w:rPr>
        <w:t>；</w:t>
      </w:r>
    </w:p>
    <w:p w14:paraId="23C48A9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（6）《商务条款偏离表》</w:t>
      </w:r>
      <w:r>
        <w:rPr>
          <w:rFonts w:hint="eastAsia" w:ascii="宋体" w:hAnsi="宋体" w:eastAsia="宋体" w:cs="Arial"/>
          <w:b/>
          <w:bCs/>
          <w:sz w:val="24"/>
          <w:szCs w:val="24"/>
        </w:rPr>
        <w:t>（格式见第六章）</w:t>
      </w:r>
      <w:r>
        <w:rPr>
          <w:rFonts w:hint="eastAsia" w:ascii="宋体" w:hAnsi="宋体" w:eastAsia="宋体" w:cs="Arial"/>
          <w:sz w:val="24"/>
          <w:szCs w:val="24"/>
        </w:rPr>
        <w:t>；</w:t>
      </w:r>
    </w:p>
    <w:p w14:paraId="460638F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（7）分项报价表（如有）；</w:t>
      </w:r>
    </w:p>
    <w:p w14:paraId="77C55C8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（8）第三章评标标准中对应的其它所需证明材料（如有自行添加）；</w:t>
      </w:r>
    </w:p>
    <w:p w14:paraId="697CD68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（9）要求采购人提供的配合（如有自拟并自行添加）；</w:t>
      </w:r>
    </w:p>
    <w:p w14:paraId="753FE21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（10）其它（投标人认为有必要提供的声明和文件，如有，自行拟定并添加）。</w:t>
      </w:r>
    </w:p>
    <w:p w14:paraId="2ED2A59D">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10</w:t>
      </w:r>
      <w:r>
        <w:rPr>
          <w:rFonts w:hint="eastAsia" w:ascii="宋体" w:hAnsi="宋体" w:eastAsia="宋体" w:cs="Arial"/>
          <w:b/>
          <w:bCs/>
          <w:sz w:val="24"/>
          <w:szCs w:val="24"/>
        </w:rPr>
        <w:t>、投标文件的技术部分</w:t>
      </w:r>
    </w:p>
    <w:p w14:paraId="622856AB">
      <w:pPr>
        <w:widowControl w:val="0"/>
        <w:spacing w:line="360" w:lineRule="auto"/>
        <w:ind w:firstLine="480" w:firstLineChars="200"/>
        <w:rPr>
          <w:rFonts w:hint="eastAsia" w:ascii="宋体" w:hAnsi="宋体" w:eastAsia="宋体" w:cs="Arial"/>
          <w:sz w:val="24"/>
          <w:szCs w:val="24"/>
          <w:lang w:val="zh-CN"/>
        </w:rPr>
      </w:pPr>
      <w:r>
        <w:rPr>
          <w:rFonts w:hint="eastAsia" w:ascii="宋体" w:hAnsi="宋体" w:eastAsia="宋体" w:cs="Arial"/>
          <w:sz w:val="24"/>
          <w:szCs w:val="24"/>
          <w:lang w:val="zh-CN"/>
        </w:rPr>
        <w:t>技术部分是证明</w:t>
      </w:r>
      <w:r>
        <w:rPr>
          <w:rFonts w:hint="eastAsia" w:ascii="宋体" w:hAnsi="宋体" w:eastAsia="宋体" w:cs="Arial"/>
          <w:sz w:val="24"/>
          <w:szCs w:val="24"/>
        </w:rPr>
        <w:t>投标人提供的货物和服务是合格的、并符合招标文件要求的证明文件，以及</w:t>
      </w:r>
      <w:r>
        <w:rPr>
          <w:rFonts w:hint="eastAsia" w:ascii="宋体" w:hAnsi="宋体" w:eastAsia="宋体" w:cs="Arial"/>
          <w:sz w:val="24"/>
          <w:szCs w:val="24"/>
          <w:lang w:val="zh-CN"/>
        </w:rPr>
        <w:t>对货物和服务的详细说明，这些文件可以是文字资料、图纸和数据等。提供的货物和服务如与招标文件要求有不符之处，应说明其差别之所在。包括但不限于下列文件，</w:t>
      </w:r>
      <w:r>
        <w:rPr>
          <w:rFonts w:ascii="宋体" w:hAnsi="宋体" w:eastAsia="宋体" w:cs="Times New Roman"/>
          <w:sz w:val="24"/>
          <w:szCs w:val="24"/>
          <w:lang w:val="zh-CN"/>
        </w:rPr>
        <w:t>其中加“</w:t>
      </w:r>
      <w:r>
        <w:rPr>
          <w:rFonts w:hint="eastAsia" w:ascii="宋体" w:hAnsi="宋体" w:eastAsia="宋体" w:cs="宋体"/>
          <w:sz w:val="24"/>
          <w:szCs w:val="24"/>
          <w:lang w:val="zh-CN"/>
        </w:rPr>
        <w:t>★</w:t>
      </w:r>
      <w:r>
        <w:rPr>
          <w:rFonts w:ascii="宋体" w:hAnsi="宋体" w:eastAsia="宋体" w:cs="Times New Roman"/>
          <w:sz w:val="24"/>
          <w:szCs w:val="24"/>
          <w:lang w:val="zh-CN"/>
        </w:rPr>
        <w:t>”项目不得有缺失或无效：</w:t>
      </w:r>
    </w:p>
    <w:p w14:paraId="4091C7C5">
      <w:pPr>
        <w:widowControl w:val="0"/>
        <w:spacing w:line="360" w:lineRule="auto"/>
        <w:ind w:firstLine="420"/>
        <w:rPr>
          <w:rFonts w:hint="eastAsia" w:ascii="宋体" w:hAnsi="宋体" w:eastAsia="宋体" w:cs="Arial"/>
          <w:sz w:val="24"/>
          <w:szCs w:val="24"/>
          <w:lang w:val="zh-CN"/>
        </w:rPr>
      </w:pPr>
      <w:r>
        <w:rPr>
          <w:rFonts w:hint="eastAsia" w:ascii="宋体" w:hAnsi="宋体" w:eastAsia="宋体" w:cs="Arial"/>
          <w:sz w:val="24"/>
          <w:szCs w:val="24"/>
          <w:lang w:val="zh-CN"/>
        </w:rPr>
        <w:t>（1）项目实施方案；</w:t>
      </w:r>
    </w:p>
    <w:p w14:paraId="33A9AEC1">
      <w:pPr>
        <w:widowControl w:val="0"/>
        <w:spacing w:line="360" w:lineRule="auto"/>
        <w:ind w:firstLine="420"/>
        <w:rPr>
          <w:rFonts w:hint="eastAsia" w:ascii="宋体" w:hAnsi="宋体" w:eastAsia="宋体" w:cs="Arial"/>
          <w:sz w:val="24"/>
          <w:szCs w:val="24"/>
          <w:lang w:val="zh-CN"/>
        </w:rPr>
      </w:pPr>
      <w:r>
        <w:rPr>
          <w:rFonts w:hint="eastAsia" w:ascii="宋体" w:hAnsi="宋体" w:eastAsia="宋体" w:cs="Arial"/>
          <w:sz w:val="24"/>
          <w:szCs w:val="24"/>
          <w:lang w:val="zh-CN"/>
        </w:rPr>
        <w:t>（2）★《技术条款偏离表》；</w:t>
      </w:r>
    </w:p>
    <w:p w14:paraId="0FA1E1F5">
      <w:pPr>
        <w:widowControl w:val="0"/>
        <w:spacing w:line="360" w:lineRule="auto"/>
        <w:ind w:firstLine="420"/>
        <w:rPr>
          <w:rFonts w:hint="eastAsia" w:ascii="宋体" w:hAnsi="宋体" w:eastAsia="宋体" w:cs="Arial"/>
          <w:sz w:val="24"/>
          <w:szCs w:val="24"/>
          <w:lang w:val="zh-CN"/>
        </w:rPr>
      </w:pPr>
      <w:r>
        <w:rPr>
          <w:rFonts w:hint="eastAsia" w:ascii="宋体" w:hAnsi="宋体" w:eastAsia="宋体" w:cs="Arial"/>
          <w:sz w:val="24"/>
          <w:szCs w:val="24"/>
          <w:lang w:val="zh-CN"/>
        </w:rPr>
        <w:t>（3）服务承诺；</w:t>
      </w:r>
    </w:p>
    <w:p w14:paraId="50661E30">
      <w:pPr>
        <w:widowControl w:val="0"/>
        <w:spacing w:line="360" w:lineRule="auto"/>
        <w:ind w:firstLine="420"/>
        <w:rPr>
          <w:rFonts w:hint="eastAsia" w:ascii="宋体" w:hAnsi="宋体" w:eastAsia="宋体" w:cs="Arial"/>
          <w:sz w:val="24"/>
          <w:szCs w:val="24"/>
          <w:lang w:val="zh-CN"/>
        </w:rPr>
      </w:pPr>
      <w:r>
        <w:rPr>
          <w:rFonts w:hint="eastAsia" w:ascii="宋体" w:hAnsi="宋体" w:eastAsia="宋体" w:cs="Arial"/>
          <w:sz w:val="24"/>
          <w:szCs w:val="24"/>
          <w:lang w:val="zh-CN"/>
        </w:rPr>
        <w:t>（4）投标人拟投入本项目的设备、人员情况一览表；</w:t>
      </w:r>
    </w:p>
    <w:p w14:paraId="78A0FB64">
      <w:pPr>
        <w:widowControl w:val="0"/>
        <w:spacing w:line="360" w:lineRule="auto"/>
        <w:ind w:firstLine="420"/>
        <w:rPr>
          <w:rFonts w:hint="eastAsia" w:ascii="宋体" w:hAnsi="宋体" w:eastAsia="宋体" w:cs="Arial"/>
          <w:sz w:val="24"/>
          <w:szCs w:val="24"/>
          <w:lang w:val="zh-CN"/>
        </w:rPr>
      </w:pPr>
      <w:r>
        <w:rPr>
          <w:rFonts w:hint="eastAsia" w:ascii="宋体" w:hAnsi="宋体" w:eastAsia="宋体" w:cs="Arial"/>
          <w:sz w:val="24"/>
          <w:szCs w:val="24"/>
          <w:lang w:val="zh-CN"/>
        </w:rPr>
        <w:t>（5）投标人认为需要提供的其他技术资料。</w:t>
      </w:r>
    </w:p>
    <w:p w14:paraId="52D91101">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11</w:t>
      </w:r>
      <w:r>
        <w:rPr>
          <w:rFonts w:hint="eastAsia" w:ascii="宋体" w:hAnsi="宋体" w:eastAsia="宋体" w:cs="Arial"/>
          <w:b/>
          <w:bCs/>
          <w:sz w:val="24"/>
          <w:szCs w:val="24"/>
        </w:rPr>
        <w:t>、投标文件的价格部分</w:t>
      </w:r>
    </w:p>
    <w:p w14:paraId="6C6E3FEF">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11</w:t>
      </w:r>
      <w:r>
        <w:rPr>
          <w:rFonts w:hint="eastAsia" w:ascii="宋体" w:hAnsi="宋体" w:eastAsia="宋体" w:cs="宋体"/>
          <w:sz w:val="24"/>
          <w:szCs w:val="24"/>
          <w:lang w:val="zh-CN"/>
        </w:rPr>
        <w:t>.1 价格部分是对投标货物及服务价格构成的说明，每一项服务仅接受一个价格。</w:t>
      </w:r>
    </w:p>
    <w:p w14:paraId="5C97953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11</w:t>
      </w:r>
      <w:r>
        <w:rPr>
          <w:rFonts w:hint="eastAsia" w:ascii="宋体" w:hAnsi="宋体" w:eastAsia="宋体" w:cs="宋体"/>
          <w:b/>
          <w:bCs/>
          <w:sz w:val="24"/>
          <w:szCs w:val="24"/>
          <w:lang w:val="zh-CN"/>
        </w:rPr>
        <w:t>.2</w:t>
      </w:r>
      <w:r>
        <w:rPr>
          <w:rFonts w:hint="eastAsia" w:ascii="宋体" w:hAnsi="宋体" w:eastAsia="宋体" w:cs="宋体"/>
          <w:b/>
          <w:bCs/>
          <w:sz w:val="24"/>
          <w:szCs w:val="24"/>
        </w:rPr>
        <w:t>政府采购提倡公平竞争，反对低于成本、串通报价、哄抬价格等恶意竞争行为，任何盲目压价、低于成本报价、串通哄抬报价等价格将会被拒绝。报价应低于市场平均价。</w:t>
      </w:r>
    </w:p>
    <w:p w14:paraId="3E44D75E">
      <w:pPr>
        <w:spacing w:line="360" w:lineRule="auto"/>
        <w:ind w:firstLine="480" w:firstLineChars="200"/>
        <w:rPr>
          <w:rFonts w:hint="eastAsia" w:ascii="宋体" w:hAnsi="宋体" w:eastAsia="宋体" w:cs="宋体"/>
          <w:b/>
          <w:sz w:val="24"/>
          <w:szCs w:val="24"/>
          <w:lang w:val="zh-CN"/>
        </w:rPr>
      </w:pPr>
      <w:r>
        <w:rPr>
          <w:rFonts w:hint="eastAsia" w:ascii="宋体" w:hAnsi="宋体" w:eastAsia="宋体" w:cs="宋体"/>
          <w:sz w:val="24"/>
          <w:szCs w:val="24"/>
        </w:rPr>
        <w:t>11.3投标报价</w:t>
      </w:r>
      <w:r>
        <w:rPr>
          <w:rFonts w:hint="eastAsia" w:ascii="宋体" w:hAnsi="宋体" w:eastAsia="宋体" w:cs="宋体"/>
          <w:sz w:val="24"/>
          <w:szCs w:val="24"/>
          <w:lang w:val="zh-CN"/>
        </w:rPr>
        <w:t>是招标文件所确定的采购范围内的全部货物或服务的价格体现。</w:t>
      </w:r>
      <w:r>
        <w:rPr>
          <w:rFonts w:hint="eastAsia" w:ascii="宋体" w:hAnsi="宋体" w:eastAsia="宋体" w:cs="宋体"/>
          <w:b/>
          <w:sz w:val="24"/>
          <w:szCs w:val="24"/>
          <w:lang w:val="zh-CN"/>
        </w:rPr>
        <w:t>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投标人应根据上述因素自行考虑含入投标报价。</w:t>
      </w:r>
    </w:p>
    <w:p w14:paraId="7207104E">
      <w:pPr>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1</w:t>
      </w:r>
      <w:r>
        <w:rPr>
          <w:rFonts w:hint="eastAsia" w:ascii="宋体" w:hAnsi="宋体" w:eastAsia="宋体" w:cs="宋体"/>
          <w:sz w:val="24"/>
          <w:szCs w:val="24"/>
          <w:lang w:val="zh-CN"/>
        </w:rPr>
        <w:t xml:space="preserve">.4 </w:t>
      </w:r>
      <w:r>
        <w:rPr>
          <w:rFonts w:hint="eastAsia" w:ascii="宋体" w:hAnsi="宋体" w:eastAsia="宋体" w:cs="宋体"/>
          <w:sz w:val="24"/>
          <w:szCs w:val="24"/>
        </w:rPr>
        <w:t>投标人的任何错漏、优惠、竞争性报价不得作为减轻责任、减少服务、增加收费、降低质量的理由。在验收过程中，如发现有漏项、缺件，投标方应无条件、无偿补齐，所发生的一切费用，视为已包含在投标方的最终投标报价中。</w:t>
      </w:r>
    </w:p>
    <w:p w14:paraId="14097467">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1</w:t>
      </w:r>
      <w:r>
        <w:rPr>
          <w:rFonts w:hint="eastAsia" w:ascii="宋体" w:hAnsi="宋体" w:eastAsia="宋体" w:cs="宋体"/>
          <w:sz w:val="24"/>
          <w:szCs w:val="24"/>
          <w:lang w:val="zh-CN"/>
        </w:rPr>
        <w:t>.5 投标人应在《开标一览表》等标明提供货物及服务的</w:t>
      </w:r>
      <w:r>
        <w:rPr>
          <w:rFonts w:hint="eastAsia" w:ascii="宋体" w:hAnsi="宋体" w:eastAsia="宋体" w:cs="宋体"/>
          <w:bCs/>
          <w:sz w:val="24"/>
          <w:szCs w:val="24"/>
          <w:lang w:val="zh-CN"/>
        </w:rPr>
        <w:t>投标</w:t>
      </w:r>
      <w:r>
        <w:rPr>
          <w:rFonts w:hint="eastAsia" w:ascii="宋体" w:hAnsi="宋体" w:eastAsia="宋体" w:cs="宋体"/>
          <w:sz w:val="24"/>
          <w:szCs w:val="24"/>
          <w:lang w:val="zh-CN"/>
        </w:rPr>
        <w:t>报价。投标人系</w:t>
      </w:r>
      <w:r>
        <w:rPr>
          <w:rFonts w:hint="eastAsia" w:ascii="宋体" w:hAnsi="宋体" w:eastAsia="宋体" w:cs="宋体"/>
          <w:b/>
          <w:sz w:val="24"/>
          <w:szCs w:val="24"/>
          <w:lang w:val="zh-CN"/>
        </w:rPr>
        <w:t>小企业（含小型、微型企业、</w:t>
      </w:r>
      <w:r>
        <w:rPr>
          <w:rFonts w:hint="eastAsia" w:ascii="宋体" w:hAnsi="宋体" w:eastAsia="宋体" w:cs="宋体"/>
          <w:b/>
          <w:sz w:val="24"/>
          <w:szCs w:val="24"/>
        </w:rPr>
        <w:t>监狱企业</w:t>
      </w:r>
      <w:r>
        <w:rPr>
          <w:rFonts w:hint="eastAsia" w:ascii="宋体" w:hAnsi="宋体" w:eastAsia="宋体" w:cs="宋体"/>
          <w:b/>
          <w:sz w:val="24"/>
          <w:szCs w:val="24"/>
          <w:lang w:val="zh-CN"/>
        </w:rPr>
        <w:t>），</w:t>
      </w:r>
      <w:r>
        <w:rPr>
          <w:rFonts w:hint="eastAsia" w:ascii="宋体" w:hAnsi="宋体" w:eastAsia="宋体" w:cs="宋体"/>
          <w:sz w:val="24"/>
          <w:szCs w:val="24"/>
        </w:rPr>
        <w:t>须在</w:t>
      </w:r>
      <w:r>
        <w:rPr>
          <w:rFonts w:hint="eastAsia" w:ascii="宋体" w:hAnsi="宋体" w:eastAsia="宋体" w:cs="宋体"/>
          <w:sz w:val="24"/>
          <w:szCs w:val="24"/>
          <w:lang w:val="zh-CN"/>
        </w:rPr>
        <w:t>《开标一览表》中注明，如无法划分计算的，将不予认可。</w:t>
      </w:r>
    </w:p>
    <w:p w14:paraId="49C354D5">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1</w:t>
      </w:r>
      <w:r>
        <w:rPr>
          <w:rFonts w:hint="eastAsia" w:ascii="宋体" w:hAnsi="宋体" w:eastAsia="宋体" w:cs="宋体"/>
          <w:sz w:val="24"/>
          <w:szCs w:val="24"/>
          <w:lang w:val="zh-CN"/>
        </w:rPr>
        <w:t>.6 投标投标人应充分考虑到市场价格变动，以及项目实施过程中的不可预见因素，一旦成交，如果有漏项，视同让利。</w:t>
      </w:r>
    </w:p>
    <w:p w14:paraId="659A38C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11.7异常低价投标（响应）审查程序</w:t>
      </w:r>
    </w:p>
    <w:p w14:paraId="68823756">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政府采购提倡公平竞争，反对盲目压价参与磋商，任何盲目压价和低于成本报价将会被拒绝。</w:t>
      </w:r>
    </w:p>
    <w:p w14:paraId="6691CBC9">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出现下列情形之一的，评审委员会应当启动异常低价投标（响应）审查程序： </w:t>
      </w:r>
    </w:p>
    <w:p w14:paraId="0243CD4B">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1）投标（响应）报价低于全部通过符合性审查供应商投标（响应）报价平均值50%的，即投标（响应）报价&lt;全部通过符合性审查供应商投标（响应）报价平均值×50%； </w:t>
      </w:r>
    </w:p>
    <w:p w14:paraId="7E275F9A">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2）投标（响应）报价低于通过符合性审查的次低报价供应商投标（响应）报价50%的，即投标（响应）报价&lt;通过符合性审查的次低报价供应商投标（响应）报价×50%； </w:t>
      </w:r>
    </w:p>
    <w:p w14:paraId="478BA157">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3）投标（响应）报价低于采购项目最高限价45%的，即投标（响应）报价&lt;采购项目最高限价×45%； </w:t>
      </w:r>
    </w:p>
    <w:p w14:paraId="52B963E4">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4）投标（响应）分项报价低于全部通过符合性审查供应商投标（响应）对应分项报价平均值50%的，即投标（响应）分项报价&lt;全部通过符合性审查供应商投标（响应）对应分项报价平均值×50%； </w:t>
      </w:r>
    </w:p>
    <w:p w14:paraId="2D3A0123">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5）投标（响应）分项报价低于通过符合性审查的次低报价供应商投标（响应）对应分项50%的，即投标（响应）分项报价&lt;通过符合性审查的次低报价供应商投标（响应）对应分项报价×50%； </w:t>
      </w:r>
    </w:p>
    <w:p w14:paraId="254A775B">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6）投标（响应）分项报价低于采购项目对应分项报价最高限价45%的，即投标（响应）分项报价&lt;采购项目对应分项报价最高限价×45%； </w:t>
      </w:r>
    </w:p>
    <w:p w14:paraId="34D19728">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 xml:space="preserve">评审委员会启动异常低价投标（响应）审查后，属于前述第1项、第2项、第4项、第5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第6项情形，供应商已随投标（响应）文件一并提交相关书面说明及必要的证明材料的，在评审现场可不再重复提交。 </w:t>
      </w:r>
    </w:p>
    <w:p w14:paraId="67A09CBD">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A9FC3E">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12</w:t>
      </w:r>
      <w:r>
        <w:rPr>
          <w:rFonts w:hint="eastAsia" w:ascii="宋体" w:hAnsi="宋体" w:eastAsia="宋体" w:cs="Arial"/>
          <w:b/>
          <w:bCs/>
          <w:sz w:val="24"/>
          <w:szCs w:val="24"/>
        </w:rPr>
        <w:t>、投标文件的其他部分</w:t>
      </w:r>
    </w:p>
    <w:p w14:paraId="6F3E9A7B">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12.1其他部分由投标人根据编制投标文件需要提供的其他相关文件组成。</w:t>
      </w:r>
    </w:p>
    <w:p w14:paraId="4FB95738">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13</w:t>
      </w:r>
      <w:r>
        <w:rPr>
          <w:rFonts w:hint="eastAsia" w:ascii="宋体" w:hAnsi="宋体" w:eastAsia="宋体" w:cs="Arial"/>
          <w:b/>
          <w:bCs/>
          <w:sz w:val="24"/>
          <w:szCs w:val="24"/>
        </w:rPr>
        <w:t>、投标保证金：本项目不收取投标保证金</w:t>
      </w:r>
    </w:p>
    <w:p w14:paraId="1453E6F9">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14</w:t>
      </w:r>
      <w:r>
        <w:rPr>
          <w:rFonts w:hint="eastAsia" w:ascii="宋体" w:hAnsi="宋体" w:eastAsia="宋体" w:cs="Arial"/>
          <w:b/>
          <w:bCs/>
          <w:sz w:val="24"/>
          <w:szCs w:val="24"/>
        </w:rPr>
        <w:t>、投标有效期</w:t>
      </w:r>
    </w:p>
    <w:p w14:paraId="71D099F3">
      <w:pPr>
        <w:widowControl w:val="0"/>
        <w:shd w:val="clear" w:color="auto" w:fill="FFFFFF"/>
        <w:spacing w:line="360" w:lineRule="auto"/>
        <w:ind w:firstLine="480" w:firstLineChars="200"/>
        <w:jc w:val="both"/>
        <w:rPr>
          <w:rFonts w:hint="eastAsia" w:ascii="宋体" w:hAnsi="宋体" w:eastAsia="宋体" w:cs="Arial"/>
          <w:b/>
          <w:bCs/>
          <w:sz w:val="24"/>
          <w:szCs w:val="24"/>
        </w:rPr>
      </w:pPr>
      <w:r>
        <w:rPr>
          <w:rFonts w:hint="eastAsia" w:ascii="宋体" w:hAnsi="宋体" w:eastAsia="宋体" w:cs="Arial"/>
          <w:sz w:val="24"/>
          <w:szCs w:val="24"/>
        </w:rPr>
        <w:t>14.1自开标之日起90天内投标有效，</w:t>
      </w:r>
      <w:r>
        <w:rPr>
          <w:rFonts w:hint="eastAsia" w:ascii="宋体" w:hAnsi="宋体" w:eastAsia="宋体" w:cs="Arial"/>
          <w:b/>
          <w:bCs/>
          <w:sz w:val="24"/>
          <w:szCs w:val="24"/>
        </w:rPr>
        <w:t>投标有效期从提交投标文件的截止之日起算。投标文件中承诺的投标有效期应当不少于招标文件中载明的投标有效期。</w:t>
      </w:r>
    </w:p>
    <w:p w14:paraId="6AAEE1A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 xml:space="preserve">14.2 </w:t>
      </w:r>
      <w:bookmarkStart w:id="17" w:name="_Hlk70286168"/>
      <w:r>
        <w:rPr>
          <w:rFonts w:hint="eastAsia" w:ascii="宋体" w:hAnsi="宋体" w:eastAsia="宋体" w:cs="Arial"/>
          <w:sz w:val="24"/>
          <w:szCs w:val="24"/>
        </w:rPr>
        <w:t>特殊情况下，在原投标有效期截止之前，招标代理机构可要求投标人同意延长投标有效期，这种要求与答复均应以书面形式提交。接受延长投标有效期的投标人将不会要求和允许修正其投标。</w:t>
      </w:r>
      <w:bookmarkEnd w:id="17"/>
    </w:p>
    <w:p w14:paraId="5213D6E7">
      <w:pPr>
        <w:widowControl w:val="0"/>
        <w:shd w:val="clear" w:color="auto" w:fill="FFFFFF"/>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15、投标费用</w:t>
      </w:r>
    </w:p>
    <w:p w14:paraId="5E2832D5">
      <w:pPr>
        <w:widowControl w:val="0"/>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15</w:t>
      </w:r>
      <w:r>
        <w:rPr>
          <w:rFonts w:hint="eastAsia" w:ascii="宋体" w:hAnsi="宋体" w:eastAsia="宋体" w:cs="Arial"/>
          <w:sz w:val="24"/>
          <w:szCs w:val="24"/>
          <w:lang w:val="zh-CN"/>
        </w:rPr>
        <w:t>.1投标人应承担所有与准备和参加投标有关的费用，无论采购结果如何，采购代理和采购人在任何情况下均无义务和责任承担这些费用。</w:t>
      </w:r>
    </w:p>
    <w:p w14:paraId="47330A31">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15</w:t>
      </w:r>
      <w:r>
        <w:rPr>
          <w:rFonts w:hint="eastAsia" w:ascii="宋体" w:hAnsi="宋体" w:eastAsia="宋体" w:cs="Arial"/>
          <w:sz w:val="24"/>
          <w:szCs w:val="24"/>
          <w:lang w:val="zh-CN"/>
        </w:rPr>
        <w:t>.2本项目采购预算已包含政府采购代理服务费，</w:t>
      </w:r>
      <w:r>
        <w:rPr>
          <w:rFonts w:hint="eastAsia" w:ascii="宋体" w:hAnsi="宋体" w:eastAsia="宋体" w:cs="Arial"/>
          <w:sz w:val="24"/>
          <w:szCs w:val="24"/>
        </w:rPr>
        <w:t>本项目按照中标价为收费基数，</w:t>
      </w:r>
      <w:r>
        <w:rPr>
          <w:rFonts w:hint="eastAsia" w:ascii="宋体" w:hAnsi="宋体" w:eastAsia="宋体" w:cs="Arial"/>
          <w:sz w:val="24"/>
          <w:szCs w:val="24"/>
          <w:lang w:val="zh-CN"/>
        </w:rPr>
        <w:t>参照中华人民共和国国家计划委员会计价格[2002]1980号文收费标准的70%执行，</w:t>
      </w:r>
      <w:r>
        <w:rPr>
          <w:rFonts w:hint="eastAsia" w:ascii="宋体" w:hAnsi="宋体" w:eastAsia="宋体" w:cs="Arial"/>
          <w:sz w:val="24"/>
          <w:szCs w:val="24"/>
        </w:rPr>
        <w:t xml:space="preserve">暂按控制价： </w:t>
      </w:r>
      <w:r>
        <w:rPr>
          <w:rFonts w:hint="eastAsia" w:ascii="宋体" w:hAnsi="宋体" w:eastAsia="宋体" w:cs="Arial"/>
          <w:sz w:val="24"/>
          <w:szCs w:val="24"/>
          <w:shd w:val="clear" w:color="auto" w:fill="FFFF00"/>
        </w:rPr>
        <w:t xml:space="preserve">                       </w:t>
      </w:r>
    </w:p>
    <w:p w14:paraId="0C1ADA76">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分</w:t>
      </w:r>
      <w:r>
        <w:rPr>
          <w:rFonts w:hint="eastAsia" w:ascii="宋体" w:hAnsi="宋体" w:eastAsia="宋体" w:cs="宋体"/>
          <w:sz w:val="24"/>
          <w:lang w:val="zh-CN"/>
        </w:rPr>
        <w:t>包一</w:t>
      </w:r>
      <w:r>
        <w:rPr>
          <w:rFonts w:hint="eastAsia" w:ascii="宋体" w:hAnsi="宋体" w:eastAsia="宋体" w:cs="宋体"/>
          <w:sz w:val="24"/>
        </w:rPr>
        <w:t>330.00</w:t>
      </w:r>
      <w:r>
        <w:rPr>
          <w:rFonts w:hint="eastAsia" w:ascii="宋体" w:hAnsi="宋体" w:eastAsia="宋体" w:cs="宋体"/>
          <w:sz w:val="24"/>
          <w:lang w:val="zh-CN"/>
        </w:rPr>
        <w:t>万元</w:t>
      </w:r>
      <w:r>
        <w:rPr>
          <w:rFonts w:hint="eastAsia" w:ascii="宋体" w:hAnsi="宋体" w:eastAsia="宋体" w:cs="宋体"/>
          <w:sz w:val="24"/>
        </w:rPr>
        <w:t>作为收费基数，最终代</w:t>
      </w:r>
      <w:r>
        <w:rPr>
          <w:rFonts w:hint="eastAsia" w:ascii="宋体" w:hAnsi="宋体" w:eastAsia="宋体" w:cs="Arial"/>
          <w:sz w:val="24"/>
          <w:szCs w:val="24"/>
        </w:rPr>
        <w:t>理费收费上限不超过</w:t>
      </w:r>
      <w:r>
        <w:rPr>
          <w:rFonts w:hint="eastAsia" w:ascii="宋体" w:hAnsi="宋体" w:eastAsia="宋体" w:cs="Arial"/>
          <w:sz w:val="24"/>
          <w:szCs w:val="24"/>
          <w:highlight w:val="none"/>
          <w:lang w:val="en-US" w:eastAsia="zh-CN"/>
        </w:rPr>
        <w:t>23380</w:t>
      </w:r>
      <w:r>
        <w:rPr>
          <w:rFonts w:hint="eastAsia" w:ascii="宋体" w:hAnsi="宋体" w:eastAsia="宋体" w:cs="Arial"/>
          <w:sz w:val="24"/>
          <w:szCs w:val="24"/>
          <w:highlight w:val="none"/>
        </w:rPr>
        <w:t>.00</w:t>
      </w:r>
      <w:r>
        <w:rPr>
          <w:rFonts w:hint="eastAsia" w:ascii="宋体" w:hAnsi="宋体" w:eastAsia="宋体" w:cs="Arial"/>
          <w:sz w:val="24"/>
          <w:szCs w:val="24"/>
        </w:rPr>
        <w:t>元；</w:t>
      </w:r>
    </w:p>
    <w:p w14:paraId="7D3BA07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宋体"/>
          <w:sz w:val="24"/>
        </w:rPr>
        <w:t>分</w:t>
      </w:r>
      <w:r>
        <w:rPr>
          <w:rFonts w:hint="eastAsia" w:ascii="宋体" w:hAnsi="宋体" w:eastAsia="宋体" w:cs="宋体"/>
          <w:sz w:val="24"/>
          <w:lang w:val="zh-CN"/>
        </w:rPr>
        <w:t>包</w:t>
      </w:r>
      <w:r>
        <w:rPr>
          <w:rFonts w:hint="eastAsia" w:ascii="宋体" w:hAnsi="宋体" w:eastAsia="宋体" w:cs="Arial"/>
          <w:sz w:val="24"/>
          <w:szCs w:val="24"/>
          <w:lang w:val="zh-CN"/>
        </w:rPr>
        <w:t>二</w:t>
      </w:r>
      <w:r>
        <w:rPr>
          <w:rFonts w:hint="eastAsia" w:ascii="宋体" w:hAnsi="宋体" w:eastAsia="宋体" w:cs="Arial"/>
          <w:sz w:val="24"/>
          <w:szCs w:val="24"/>
        </w:rPr>
        <w:t>16.00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最终代理费收费上限不超过1680.00元</w:t>
      </w:r>
      <w:r>
        <w:rPr>
          <w:rFonts w:hint="eastAsia" w:ascii="宋体" w:hAnsi="宋体" w:eastAsia="宋体" w:cs="Arial"/>
          <w:sz w:val="24"/>
          <w:szCs w:val="24"/>
          <w:lang w:val="zh-CN"/>
        </w:rPr>
        <w:t>；</w:t>
      </w:r>
    </w:p>
    <w:p w14:paraId="738870B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w:t>
      </w:r>
      <w:r>
        <w:rPr>
          <w:rFonts w:hint="eastAsia" w:ascii="宋体" w:hAnsi="宋体" w:eastAsia="宋体" w:cs="Arial"/>
          <w:sz w:val="24"/>
          <w:szCs w:val="24"/>
          <w:lang w:val="zh-CN"/>
        </w:rPr>
        <w:t>包三</w:t>
      </w:r>
      <w:r>
        <w:rPr>
          <w:rFonts w:hint="eastAsia" w:ascii="宋体" w:hAnsi="宋体" w:eastAsia="宋体" w:cs="Arial"/>
          <w:sz w:val="24"/>
          <w:szCs w:val="24"/>
        </w:rPr>
        <w:t>41.00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最终代理费收费上限不超过4305.00元</w:t>
      </w:r>
      <w:r>
        <w:rPr>
          <w:rFonts w:hint="eastAsia" w:ascii="宋体" w:hAnsi="宋体" w:eastAsia="宋体" w:cs="Arial"/>
          <w:sz w:val="24"/>
          <w:szCs w:val="24"/>
          <w:lang w:val="zh-CN"/>
        </w:rPr>
        <w:t>；</w:t>
      </w:r>
    </w:p>
    <w:p w14:paraId="54580041">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w:t>
      </w:r>
      <w:r>
        <w:rPr>
          <w:rFonts w:hint="eastAsia" w:ascii="宋体" w:hAnsi="宋体" w:eastAsia="宋体" w:cs="Arial"/>
          <w:sz w:val="24"/>
          <w:szCs w:val="24"/>
          <w:lang w:val="zh-CN"/>
        </w:rPr>
        <w:t>包四</w:t>
      </w:r>
      <w:r>
        <w:rPr>
          <w:rFonts w:hint="eastAsia" w:ascii="宋体" w:hAnsi="宋体" w:eastAsia="宋体" w:cs="Arial"/>
          <w:sz w:val="24"/>
          <w:szCs w:val="24"/>
        </w:rPr>
        <w:t>29.00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最终代理费收费上限不超过3045.00元</w:t>
      </w:r>
      <w:r>
        <w:rPr>
          <w:rFonts w:hint="eastAsia" w:ascii="宋体" w:hAnsi="宋体" w:eastAsia="宋体" w:cs="Arial"/>
          <w:sz w:val="24"/>
          <w:szCs w:val="24"/>
          <w:lang w:val="zh-CN"/>
        </w:rPr>
        <w:t>；</w:t>
      </w:r>
    </w:p>
    <w:p w14:paraId="4F0EA23E">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w:t>
      </w:r>
      <w:r>
        <w:rPr>
          <w:rFonts w:hint="eastAsia" w:ascii="宋体" w:hAnsi="宋体" w:eastAsia="宋体" w:cs="Arial"/>
          <w:sz w:val="24"/>
          <w:szCs w:val="24"/>
          <w:lang w:val="zh-CN"/>
        </w:rPr>
        <w:t>包五</w:t>
      </w:r>
      <w:r>
        <w:rPr>
          <w:rFonts w:hint="eastAsia" w:ascii="宋体" w:hAnsi="宋体" w:eastAsia="宋体" w:cs="Arial"/>
          <w:sz w:val="24"/>
          <w:szCs w:val="24"/>
        </w:rPr>
        <w:t>21.00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最终代理费收费上限不超过2205.00元</w:t>
      </w:r>
      <w:r>
        <w:rPr>
          <w:rFonts w:hint="eastAsia" w:ascii="宋体" w:hAnsi="宋体" w:eastAsia="宋体" w:cs="Arial"/>
          <w:sz w:val="24"/>
          <w:szCs w:val="24"/>
          <w:lang w:val="zh-CN"/>
        </w:rPr>
        <w:t>；</w:t>
      </w:r>
    </w:p>
    <w:p w14:paraId="7F72FC3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w:t>
      </w:r>
      <w:r>
        <w:rPr>
          <w:rFonts w:hint="eastAsia" w:ascii="宋体" w:hAnsi="宋体" w:eastAsia="宋体" w:cs="Arial"/>
          <w:sz w:val="24"/>
          <w:szCs w:val="24"/>
          <w:lang w:val="zh-CN"/>
        </w:rPr>
        <w:t>包六</w:t>
      </w:r>
      <w:r>
        <w:rPr>
          <w:rFonts w:hint="eastAsia" w:ascii="宋体" w:hAnsi="宋体" w:eastAsia="宋体" w:cs="Arial"/>
          <w:sz w:val="24"/>
          <w:szCs w:val="24"/>
        </w:rPr>
        <w:t>29.00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最终代理费收费上限不超过3045.00元</w:t>
      </w:r>
      <w:r>
        <w:rPr>
          <w:rFonts w:hint="eastAsia" w:ascii="宋体" w:hAnsi="宋体" w:eastAsia="宋体" w:cs="Arial"/>
          <w:sz w:val="24"/>
          <w:szCs w:val="24"/>
          <w:lang w:val="zh-CN"/>
        </w:rPr>
        <w:t>；</w:t>
      </w:r>
    </w:p>
    <w:p w14:paraId="7941AB34">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w:t>
      </w:r>
      <w:r>
        <w:rPr>
          <w:rFonts w:hint="eastAsia" w:ascii="宋体" w:hAnsi="宋体" w:eastAsia="宋体" w:cs="Arial"/>
          <w:sz w:val="24"/>
          <w:szCs w:val="24"/>
          <w:lang w:val="zh-CN"/>
        </w:rPr>
        <w:t>包七</w:t>
      </w:r>
      <w:r>
        <w:rPr>
          <w:rFonts w:hint="eastAsia" w:ascii="宋体" w:hAnsi="宋体" w:eastAsia="宋体" w:cs="Arial"/>
          <w:sz w:val="24"/>
          <w:szCs w:val="24"/>
        </w:rPr>
        <w:t>49.00</w:t>
      </w:r>
      <w:r>
        <w:rPr>
          <w:rFonts w:hint="eastAsia" w:ascii="宋体" w:hAnsi="宋体" w:eastAsia="宋体" w:cs="Arial"/>
          <w:sz w:val="24"/>
          <w:szCs w:val="24"/>
          <w:lang w:val="zh-CN"/>
        </w:rPr>
        <w:t>万元</w:t>
      </w:r>
      <w:r>
        <w:rPr>
          <w:rFonts w:hint="eastAsia" w:ascii="宋体" w:hAnsi="宋体" w:eastAsia="宋体" w:cs="Arial"/>
          <w:sz w:val="24"/>
          <w:szCs w:val="24"/>
        </w:rPr>
        <w:t>作为收费基数</w:t>
      </w:r>
      <w:r>
        <w:rPr>
          <w:rFonts w:hint="eastAsia" w:ascii="宋体" w:hAnsi="宋体" w:eastAsia="宋体" w:cs="Arial"/>
          <w:sz w:val="24"/>
          <w:szCs w:val="24"/>
          <w:lang w:val="zh-CN"/>
        </w:rPr>
        <w:t>，</w:t>
      </w:r>
      <w:r>
        <w:rPr>
          <w:rFonts w:hint="eastAsia" w:ascii="宋体" w:hAnsi="宋体" w:eastAsia="宋体" w:cs="Arial"/>
          <w:sz w:val="24"/>
          <w:szCs w:val="24"/>
        </w:rPr>
        <w:t>最终代理费收费上限不超过5145.00元</w:t>
      </w:r>
      <w:r>
        <w:rPr>
          <w:rFonts w:hint="eastAsia" w:ascii="宋体" w:hAnsi="宋体" w:eastAsia="宋体" w:cs="Arial"/>
          <w:sz w:val="24"/>
          <w:szCs w:val="24"/>
          <w:lang w:val="zh-CN"/>
        </w:rPr>
        <w:t>；</w:t>
      </w:r>
    </w:p>
    <w:p w14:paraId="6751EE23">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rPr>
        <w:t>分包八23.00万元作为收费基数，最终代理费收费上限不超过2415.00元</w:t>
      </w:r>
      <w:r>
        <w:rPr>
          <w:rFonts w:hint="eastAsia" w:ascii="宋体" w:hAnsi="宋体" w:eastAsia="宋体" w:cs="Arial"/>
          <w:sz w:val="24"/>
          <w:szCs w:val="24"/>
          <w:lang w:val="zh-CN"/>
        </w:rPr>
        <w:t>。</w:t>
      </w:r>
    </w:p>
    <w:p w14:paraId="4D29A57B">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Arial"/>
          <w:sz w:val="24"/>
          <w:szCs w:val="24"/>
          <w:lang w:val="zh-CN"/>
        </w:rPr>
      </w:pPr>
      <w:r>
        <w:rPr>
          <w:rFonts w:hint="eastAsia" w:ascii="宋体" w:hAnsi="宋体" w:eastAsia="宋体" w:cs="Arial"/>
          <w:sz w:val="24"/>
          <w:szCs w:val="24"/>
          <w:lang w:val="zh-CN"/>
        </w:rPr>
        <w:t>本项目预算包含代理服务费，为严格落实预算管理、简化支付流程、提高采购效率，本项目代理费由中标供应商支付，供应商报价包含代理费。</w:t>
      </w:r>
    </w:p>
    <w:p w14:paraId="51BE47AF">
      <w:pPr>
        <w:widowControl w:val="0"/>
        <w:spacing w:line="360" w:lineRule="auto"/>
        <w:ind w:firstLine="420"/>
        <w:jc w:val="both"/>
        <w:rPr>
          <w:rFonts w:hint="eastAsia" w:ascii="宋体" w:hAnsi="宋体" w:eastAsia="宋体" w:cs="Arial"/>
          <w:sz w:val="24"/>
          <w:szCs w:val="24"/>
          <w:lang w:val="zh-CN"/>
        </w:rPr>
      </w:pPr>
      <w:r>
        <w:rPr>
          <w:rFonts w:hint="eastAsia" w:ascii="宋体" w:hAnsi="宋体" w:eastAsia="宋体" w:cs="Arial"/>
          <w:sz w:val="24"/>
          <w:szCs w:val="24"/>
          <w:lang w:val="zh-CN"/>
        </w:rPr>
        <w:t>约定以上费用由中标人领取中标通知书时支付至以下账号：</w:t>
      </w:r>
    </w:p>
    <w:p w14:paraId="0BD0E2EA">
      <w:pPr>
        <w:widowControl w:val="0"/>
        <w:spacing w:line="360" w:lineRule="auto"/>
        <w:ind w:firstLine="420"/>
        <w:jc w:val="both"/>
        <w:rPr>
          <w:rFonts w:hint="eastAsia" w:ascii="宋体" w:hAnsi="宋体" w:eastAsia="宋体" w:cs="Arial"/>
          <w:sz w:val="24"/>
          <w:szCs w:val="24"/>
          <w:lang w:val="zh-CN"/>
        </w:rPr>
      </w:pPr>
      <w:r>
        <w:rPr>
          <w:rFonts w:hint="eastAsia" w:ascii="宋体" w:hAnsi="宋体" w:eastAsia="宋体" w:cs="Arial"/>
          <w:sz w:val="24"/>
          <w:szCs w:val="24"/>
          <w:lang w:val="zh-CN"/>
        </w:rPr>
        <w:t>单位名称：南京陵新项目管理有限公司</w:t>
      </w:r>
    </w:p>
    <w:p w14:paraId="679DD26B">
      <w:pPr>
        <w:widowControl w:val="0"/>
        <w:spacing w:line="360" w:lineRule="auto"/>
        <w:ind w:firstLine="420"/>
        <w:jc w:val="both"/>
        <w:rPr>
          <w:rFonts w:hint="eastAsia" w:ascii="宋体" w:hAnsi="宋体" w:eastAsia="宋体" w:cs="Arial"/>
          <w:sz w:val="24"/>
          <w:szCs w:val="24"/>
          <w:lang w:val="zh-CN"/>
        </w:rPr>
      </w:pPr>
      <w:r>
        <w:rPr>
          <w:rFonts w:hint="eastAsia" w:ascii="宋体" w:hAnsi="宋体" w:eastAsia="宋体" w:cs="Arial"/>
          <w:sz w:val="24"/>
          <w:szCs w:val="24"/>
          <w:lang w:val="zh-CN"/>
        </w:rPr>
        <w:t>银行账户：3201210011010000017049</w:t>
      </w:r>
    </w:p>
    <w:p w14:paraId="2C9E418B">
      <w:pPr>
        <w:widowControl w:val="0"/>
        <w:spacing w:line="360" w:lineRule="auto"/>
        <w:ind w:firstLine="420"/>
        <w:jc w:val="both"/>
        <w:rPr>
          <w:rFonts w:hint="eastAsia" w:ascii="宋体" w:hAnsi="宋体" w:eastAsia="宋体" w:cs="Arial"/>
          <w:sz w:val="24"/>
          <w:szCs w:val="24"/>
          <w:lang w:val="zh-CN"/>
        </w:rPr>
      </w:pPr>
      <w:r>
        <w:rPr>
          <w:rFonts w:hint="eastAsia" w:ascii="宋体" w:hAnsi="宋体" w:eastAsia="宋体" w:cs="Arial"/>
          <w:sz w:val="24"/>
          <w:szCs w:val="24"/>
          <w:lang w:val="zh-CN"/>
        </w:rPr>
        <w:t>开户行：江苏紫金农村商业银行金箔路支行</w:t>
      </w:r>
    </w:p>
    <w:p w14:paraId="4E452FD6">
      <w:pPr>
        <w:widowControl w:val="0"/>
        <w:spacing w:line="360" w:lineRule="auto"/>
        <w:ind w:firstLine="420"/>
        <w:jc w:val="both"/>
        <w:rPr>
          <w:rFonts w:hint="eastAsia" w:ascii="宋体" w:hAnsi="宋体" w:eastAsia="宋体" w:cs="宋体"/>
          <w:lang w:val="zh-CN"/>
        </w:rPr>
      </w:pPr>
      <w:r>
        <w:rPr>
          <w:rFonts w:hint="eastAsia" w:ascii="宋体" w:hAnsi="宋体" w:eastAsia="宋体" w:cs="Arial"/>
          <w:sz w:val="24"/>
          <w:szCs w:val="24"/>
          <w:lang w:val="zh-CN"/>
        </w:rPr>
        <w:t>投标人应承担所有与准备和参加投标有关的费用。</w:t>
      </w:r>
    </w:p>
    <w:p w14:paraId="4F490360">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四、投标文件的递交、撤回和修改</w:t>
      </w:r>
    </w:p>
    <w:p w14:paraId="3F136386">
      <w:pPr>
        <w:widowControl w:val="0"/>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16.投标文件的递交</w:t>
      </w:r>
    </w:p>
    <w:p w14:paraId="65DDE9DD">
      <w:pPr>
        <w:widowControl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6</w:t>
      </w:r>
      <w:r>
        <w:rPr>
          <w:rFonts w:hint="eastAsia" w:ascii="宋体" w:hAnsi="宋体" w:eastAsia="宋体" w:cs="宋体"/>
          <w:sz w:val="24"/>
          <w:szCs w:val="24"/>
          <w:lang w:val="zh-CN"/>
        </w:rPr>
        <w:t>.1 投标人应在招标公告规定的投标截止时间前制作并上传电子投标文件。投标截止时间后上传的投标文件将被拒绝。</w:t>
      </w:r>
    </w:p>
    <w:p w14:paraId="0D61A97E">
      <w:pPr>
        <w:widowControl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6</w:t>
      </w:r>
      <w:r>
        <w:rPr>
          <w:rFonts w:hint="eastAsia" w:ascii="宋体" w:hAnsi="宋体" w:eastAsia="宋体" w:cs="宋体"/>
          <w:sz w:val="24"/>
          <w:szCs w:val="24"/>
          <w:lang w:val="zh-CN"/>
        </w:rPr>
        <w:t>.</w:t>
      </w:r>
      <w:r>
        <w:rPr>
          <w:rFonts w:hint="eastAsia" w:ascii="宋体" w:hAnsi="宋体" w:eastAsia="宋体" w:cs="宋体"/>
          <w:sz w:val="24"/>
          <w:szCs w:val="24"/>
        </w:rPr>
        <w:t>2</w:t>
      </w:r>
      <w:r>
        <w:rPr>
          <w:rFonts w:hint="eastAsia" w:ascii="宋体" w:hAnsi="宋体" w:eastAsia="宋体" w:cs="宋体"/>
          <w:sz w:val="24"/>
          <w:szCs w:val="24"/>
          <w:lang w:val="zh-CN"/>
        </w:rPr>
        <w:t xml:space="preserve"> 投标人应充分考虑网络环境、网络带宽等因素</w:t>
      </w:r>
      <w:r>
        <w:rPr>
          <w:rFonts w:hint="eastAsia" w:ascii="宋体" w:hAnsi="宋体" w:eastAsia="宋体" w:cs="宋体"/>
          <w:sz w:val="24"/>
          <w:szCs w:val="24"/>
        </w:rPr>
        <w:t>可能对投标产生的影响</w:t>
      </w:r>
      <w:r>
        <w:rPr>
          <w:rFonts w:hint="eastAsia" w:ascii="宋体" w:hAnsi="宋体" w:eastAsia="宋体" w:cs="宋体"/>
          <w:sz w:val="24"/>
          <w:szCs w:val="24"/>
          <w:lang w:val="zh-CN"/>
        </w:rPr>
        <w:t>，如因投标人自身原因造成的电子投标文件上传不成功的，</w:t>
      </w:r>
      <w:r>
        <w:rPr>
          <w:rFonts w:hint="eastAsia" w:ascii="宋体" w:hAnsi="宋体" w:eastAsia="宋体" w:cs="宋体"/>
          <w:sz w:val="24"/>
          <w:szCs w:val="24"/>
        </w:rPr>
        <w:t>作</w:t>
      </w:r>
      <w:r>
        <w:rPr>
          <w:rFonts w:hint="eastAsia" w:ascii="宋体" w:hAnsi="宋体" w:eastAsia="宋体" w:cs="宋体"/>
          <w:sz w:val="24"/>
          <w:szCs w:val="24"/>
          <w:lang w:val="zh-CN"/>
        </w:rPr>
        <w:t>无效投标处理。</w:t>
      </w:r>
    </w:p>
    <w:p w14:paraId="76AFF0F4">
      <w:pPr>
        <w:widowControl w:val="0"/>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17.投标文件的撤回和修改</w:t>
      </w:r>
    </w:p>
    <w:p w14:paraId="56BBCAF5">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.1 投标文件的撤回</w:t>
      </w:r>
    </w:p>
    <w:p w14:paraId="7D65FED4">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.1.1</w:t>
      </w:r>
      <w:r>
        <w:rPr>
          <w:rFonts w:hint="eastAsia" w:ascii="宋体" w:hAnsi="宋体" w:eastAsia="宋体" w:cs="宋体"/>
          <w:sz w:val="24"/>
        </w:rPr>
        <w:t xml:space="preserve"> </w:t>
      </w:r>
      <w:r>
        <w:rPr>
          <w:rFonts w:hint="eastAsia" w:ascii="宋体" w:hAnsi="宋体" w:eastAsia="宋体" w:cs="宋体"/>
          <w:sz w:val="24"/>
          <w:lang w:val="zh-CN"/>
        </w:rPr>
        <w:t>投标人可在投标截止时间前撤回其电子投标文件。</w:t>
      </w:r>
    </w:p>
    <w:p w14:paraId="4CEE0573">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.1.2</w:t>
      </w:r>
      <w:r>
        <w:rPr>
          <w:rFonts w:hint="eastAsia" w:ascii="宋体" w:hAnsi="宋体" w:eastAsia="宋体" w:cs="宋体"/>
          <w:sz w:val="24"/>
        </w:rPr>
        <w:t xml:space="preserve"> </w:t>
      </w:r>
      <w:r>
        <w:rPr>
          <w:rFonts w:hint="eastAsia" w:ascii="宋体" w:hAnsi="宋体" w:eastAsia="宋体" w:cs="宋体"/>
          <w:sz w:val="24"/>
          <w:lang w:val="zh-CN"/>
        </w:rPr>
        <w:t>投标人撤回电子投标文件，则认为其不再参与本项目投标活动。</w:t>
      </w:r>
    </w:p>
    <w:p w14:paraId="6253DF1F">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.1.</w:t>
      </w:r>
      <w:r>
        <w:rPr>
          <w:rFonts w:hint="eastAsia" w:ascii="宋体" w:hAnsi="宋体" w:eastAsia="宋体" w:cs="宋体"/>
          <w:sz w:val="24"/>
        </w:rPr>
        <w:t>3</w:t>
      </w:r>
      <w:r>
        <w:rPr>
          <w:rFonts w:hint="eastAsia" w:ascii="宋体" w:hAnsi="宋体" w:eastAsia="宋体" w:cs="宋体"/>
          <w:sz w:val="24"/>
          <w:lang w:val="zh-CN"/>
        </w:rPr>
        <w:t xml:space="preserve"> 在投标截止时间至招标文件中规定的投标有效期满之间的这段时间内，投标人不得撤回其投标。</w:t>
      </w:r>
    </w:p>
    <w:p w14:paraId="46A39A01">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.2 投标文件的修改</w:t>
      </w:r>
    </w:p>
    <w:p w14:paraId="0D57E7DE">
      <w:pPr>
        <w:widowControl w:val="0"/>
        <w:adjustRightInd w:val="0"/>
        <w:snapToGri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rPr>
        <w:t>17</w:t>
      </w:r>
      <w:r>
        <w:rPr>
          <w:rFonts w:hint="eastAsia" w:ascii="宋体" w:hAnsi="宋体" w:eastAsia="宋体" w:cs="宋体"/>
          <w:sz w:val="24"/>
          <w:lang w:val="zh-CN"/>
        </w:rPr>
        <w:t>.2.1</w:t>
      </w:r>
      <w:r>
        <w:rPr>
          <w:rFonts w:hint="eastAsia" w:ascii="宋体" w:hAnsi="宋体" w:eastAsia="宋体" w:cs="宋体"/>
          <w:sz w:val="24"/>
        </w:rPr>
        <w:t xml:space="preserve"> </w:t>
      </w:r>
      <w:r>
        <w:rPr>
          <w:rFonts w:hint="eastAsia" w:ascii="宋体" w:hAnsi="宋体" w:eastAsia="宋体" w:cs="宋体"/>
          <w:sz w:val="24"/>
          <w:lang w:val="zh-CN"/>
        </w:rPr>
        <w:t>投标人可在投标截止时间前对其电子投标文件进行修改。</w:t>
      </w:r>
    </w:p>
    <w:p w14:paraId="0066D86A">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宋体"/>
          <w:sz w:val="24"/>
        </w:rPr>
        <w:t>17</w:t>
      </w:r>
      <w:r>
        <w:rPr>
          <w:rFonts w:hint="eastAsia" w:ascii="宋体" w:hAnsi="宋体" w:eastAsia="宋体" w:cs="宋体"/>
          <w:sz w:val="24"/>
          <w:lang w:val="zh-CN"/>
        </w:rPr>
        <w:t>.2.2</w:t>
      </w:r>
      <w:r>
        <w:rPr>
          <w:rFonts w:hint="eastAsia" w:ascii="宋体" w:hAnsi="宋体" w:eastAsia="宋体" w:cs="宋体"/>
          <w:sz w:val="24"/>
        </w:rPr>
        <w:t xml:space="preserve"> </w:t>
      </w:r>
      <w:r>
        <w:rPr>
          <w:rFonts w:hint="eastAsia" w:ascii="宋体" w:hAnsi="宋体" w:eastAsia="宋体" w:cs="宋体"/>
          <w:sz w:val="24"/>
          <w:lang w:val="zh-CN"/>
        </w:rPr>
        <w:t>投标截止时间之后，投标人不得对其电子投标文件作任何修改。</w:t>
      </w:r>
    </w:p>
    <w:p w14:paraId="048906CB">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五、开标、评标与定标</w:t>
      </w:r>
    </w:p>
    <w:p w14:paraId="17D65AA3">
      <w:pPr>
        <w:widowControl w:val="0"/>
        <w:shd w:val="clear" w:color="auto" w:fill="FFFFFF"/>
        <w:spacing w:line="360" w:lineRule="auto"/>
        <w:ind w:firstLine="420"/>
        <w:rPr>
          <w:rFonts w:hint="eastAsia" w:ascii="宋体" w:hAnsi="宋体" w:eastAsia="宋体" w:cs="Arial"/>
          <w:b/>
          <w:bCs/>
          <w:sz w:val="24"/>
          <w:szCs w:val="24"/>
        </w:rPr>
      </w:pPr>
      <w:r>
        <w:rPr>
          <w:rFonts w:hint="eastAsia" w:ascii="宋体" w:hAnsi="宋体" w:eastAsia="宋体" w:cs="Arial"/>
          <w:b/>
          <w:bCs/>
          <w:sz w:val="24"/>
          <w:szCs w:val="24"/>
        </w:rPr>
        <w:t>18、开标</w:t>
      </w:r>
    </w:p>
    <w:p w14:paraId="155FEC9B">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18</w:t>
      </w:r>
      <w:r>
        <w:rPr>
          <w:rFonts w:ascii="宋体" w:hAnsi="宋体" w:eastAsia="宋体" w:cs="Arial"/>
          <w:sz w:val="24"/>
          <w:szCs w:val="24"/>
        </w:rPr>
        <w:t xml:space="preserve">.1 </w:t>
      </w:r>
      <w:r>
        <w:rPr>
          <w:rFonts w:hint="eastAsia" w:ascii="宋体" w:hAnsi="宋体" w:eastAsia="宋体" w:cs="Arial"/>
          <w:sz w:val="24"/>
          <w:szCs w:val="24"/>
        </w:rPr>
        <w:t>招标代理机构将在招标文件确定的时间和地点组织公开开标。</w:t>
      </w:r>
      <w:r>
        <w:rPr>
          <w:rFonts w:hint="eastAsia" w:ascii="宋体" w:hAnsi="宋体" w:eastAsia="宋体" w:cs="Times New Roman"/>
          <w:sz w:val="24"/>
          <w:lang w:val="zh-CN"/>
        </w:rPr>
        <w:t>投标人参加开标活动，并在苏采云系统规定的时间内对投标文件进行解密。苏采云系统公布各投标人名称和投标价格</w:t>
      </w:r>
      <w:r>
        <w:rPr>
          <w:rFonts w:hint="eastAsia" w:ascii="宋体" w:hAnsi="宋体" w:eastAsia="宋体" w:cs="Arial"/>
          <w:sz w:val="24"/>
          <w:szCs w:val="24"/>
        </w:rPr>
        <w:t>。</w:t>
      </w:r>
    </w:p>
    <w:p w14:paraId="1C04AB3F">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18</w:t>
      </w:r>
      <w:r>
        <w:rPr>
          <w:rFonts w:ascii="宋体" w:hAnsi="宋体" w:eastAsia="宋体" w:cs="Arial"/>
          <w:sz w:val="24"/>
          <w:szCs w:val="24"/>
        </w:rPr>
        <w:t>.2</w:t>
      </w:r>
      <w:r>
        <w:rPr>
          <w:rFonts w:hint="eastAsia" w:ascii="宋体" w:hAnsi="宋体" w:eastAsia="宋体" w:cs="Times New Roman"/>
          <w:sz w:val="24"/>
          <w:lang w:val="zh-CN"/>
        </w:rPr>
        <w:t>投标人在开标过程中</w:t>
      </w:r>
      <w:r>
        <w:rPr>
          <w:rFonts w:hint="eastAsia" w:ascii="宋体" w:hAnsi="宋体" w:cs="Times New Roman"/>
          <w:sz w:val="24"/>
        </w:rPr>
        <w:t>通过苏采云系统进行</w:t>
      </w:r>
      <w:r>
        <w:rPr>
          <w:rFonts w:hint="eastAsia" w:ascii="宋体" w:hAnsi="宋体" w:eastAsia="宋体" w:cs="Times New Roman"/>
          <w:sz w:val="24"/>
          <w:lang w:val="zh-CN"/>
        </w:rPr>
        <w:t>投标文件解密、开标结果确认等工作</w:t>
      </w:r>
      <w:r>
        <w:rPr>
          <w:rFonts w:hint="eastAsia" w:ascii="宋体" w:hAnsi="宋体" w:eastAsia="宋体" w:cs="Arial"/>
          <w:sz w:val="24"/>
          <w:szCs w:val="24"/>
        </w:rPr>
        <w:t>。</w:t>
      </w:r>
    </w:p>
    <w:p w14:paraId="7A2A632B">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18</w:t>
      </w:r>
      <w:r>
        <w:rPr>
          <w:rFonts w:ascii="宋体" w:hAnsi="宋体" w:eastAsia="宋体" w:cs="Arial"/>
          <w:sz w:val="24"/>
          <w:szCs w:val="24"/>
        </w:rPr>
        <w:t>.3</w:t>
      </w:r>
      <w:r>
        <w:rPr>
          <w:rFonts w:hint="eastAsia" w:ascii="宋体" w:hAnsi="宋体" w:eastAsia="宋体" w:cs="Times New Roman"/>
          <w:sz w:val="24"/>
          <w:lang w:val="zh-CN"/>
        </w:rPr>
        <w:t>投标人如果对开标过程和开标结果有疑义，应</w:t>
      </w:r>
      <w:r>
        <w:rPr>
          <w:rFonts w:hint="eastAsia" w:ascii="宋体" w:hAnsi="宋体" w:cs="Times New Roman"/>
          <w:sz w:val="24"/>
        </w:rPr>
        <w:t>在</w:t>
      </w:r>
      <w:r>
        <w:rPr>
          <w:rFonts w:hint="eastAsia" w:ascii="宋体" w:hAnsi="宋体" w:eastAsia="宋体" w:cs="Times New Roman"/>
          <w:sz w:val="24"/>
          <w:lang w:val="zh-CN"/>
        </w:rPr>
        <w:t>苏采云系统提出，苏采云系统中《开标记录表》公布后5分钟内未提出的，视同认可开标结果</w:t>
      </w:r>
      <w:r>
        <w:rPr>
          <w:rFonts w:hint="eastAsia" w:ascii="宋体" w:hAnsi="宋体" w:eastAsia="宋体" w:cs="Arial"/>
          <w:sz w:val="24"/>
          <w:szCs w:val="24"/>
        </w:rPr>
        <w:t>。</w:t>
      </w:r>
    </w:p>
    <w:p w14:paraId="472B518F">
      <w:pPr>
        <w:adjustRightInd w:val="0"/>
        <w:snapToGrid w:val="0"/>
        <w:ind w:firstLine="420" w:firstLineChars="175"/>
        <w:rPr>
          <w:rFonts w:hint="eastAsia" w:ascii="宋体" w:hAnsi="宋体" w:eastAsia="宋体" w:cs="Times New Roman"/>
          <w:sz w:val="24"/>
          <w:lang w:val="zh-CN"/>
        </w:rPr>
      </w:pPr>
      <w:r>
        <w:rPr>
          <w:rFonts w:hint="eastAsia" w:ascii="宋体" w:hAnsi="宋体" w:eastAsia="宋体" w:cs="Arial"/>
          <w:sz w:val="24"/>
          <w:szCs w:val="24"/>
        </w:rPr>
        <w:t>18</w:t>
      </w:r>
      <w:r>
        <w:rPr>
          <w:rFonts w:ascii="宋体" w:hAnsi="宋体" w:eastAsia="宋体" w:cs="Arial"/>
          <w:sz w:val="24"/>
          <w:szCs w:val="24"/>
        </w:rPr>
        <w:t>.4</w:t>
      </w:r>
      <w:r>
        <w:rPr>
          <w:rFonts w:hint="eastAsia" w:ascii="宋体" w:hAnsi="宋体" w:eastAsia="宋体" w:cs="Times New Roman"/>
          <w:sz w:val="24"/>
          <w:lang w:val="zh-CN"/>
        </w:rPr>
        <w:t>如出现投标截止时间递交投标文件的投标人不足三家的情况，按政府采购相关规定执行。</w:t>
      </w:r>
    </w:p>
    <w:p w14:paraId="63E4B097">
      <w:pPr>
        <w:widowControl w:val="0"/>
        <w:adjustRightInd w:val="0"/>
        <w:snapToGrid w:val="0"/>
        <w:spacing w:line="360" w:lineRule="auto"/>
        <w:ind w:firstLine="361" w:firstLineChars="150"/>
        <w:rPr>
          <w:rFonts w:hint="eastAsia" w:ascii="宋体" w:hAnsi="宋体" w:eastAsia="宋体" w:cs="宋体"/>
          <w:b/>
          <w:bCs/>
          <w:sz w:val="24"/>
          <w:szCs w:val="24"/>
        </w:rPr>
      </w:pPr>
      <w:r>
        <w:rPr>
          <w:rFonts w:hint="eastAsia" w:ascii="宋体" w:hAnsi="宋体" w:eastAsia="宋体" w:cs="宋体"/>
          <w:b/>
          <w:bCs/>
          <w:sz w:val="24"/>
          <w:szCs w:val="24"/>
        </w:rPr>
        <w:t>19.评标过程的保密与公正</w:t>
      </w:r>
    </w:p>
    <w:p w14:paraId="5757824C">
      <w:pPr>
        <w:widowControl w:val="0"/>
        <w:adjustRightInd w:val="0"/>
        <w:snapToGrid w:val="0"/>
        <w:spacing w:line="360" w:lineRule="auto"/>
        <w:ind w:firstLine="420" w:firstLineChars="175"/>
        <w:rPr>
          <w:rFonts w:hint="eastAsia" w:ascii="宋体" w:hAnsi="宋体" w:eastAsia="宋体" w:cs="宋体"/>
          <w:sz w:val="24"/>
          <w:szCs w:val="24"/>
          <w:lang w:val="zh-CN"/>
        </w:rPr>
      </w:pPr>
      <w:r>
        <w:rPr>
          <w:rFonts w:hint="eastAsia" w:ascii="宋体" w:hAnsi="宋体" w:eastAsia="宋体" w:cs="宋体"/>
          <w:sz w:val="24"/>
          <w:szCs w:val="24"/>
        </w:rPr>
        <w:t>19</w:t>
      </w:r>
      <w:r>
        <w:rPr>
          <w:rFonts w:hint="eastAsia" w:ascii="宋体" w:hAnsi="宋体" w:eastAsia="宋体" w:cs="宋体"/>
          <w:sz w:val="24"/>
          <w:szCs w:val="24"/>
          <w:lang w:val="zh-CN"/>
        </w:rPr>
        <w:t>.1</w:t>
      </w:r>
      <w:r>
        <w:rPr>
          <w:rFonts w:hint="eastAsia" w:ascii="宋体" w:hAnsi="宋体" w:eastAsia="宋体" w:cs="宋体"/>
          <w:sz w:val="24"/>
          <w:szCs w:val="24"/>
        </w:rPr>
        <w:t xml:space="preserve"> </w:t>
      </w:r>
      <w:r>
        <w:rPr>
          <w:rFonts w:hint="eastAsia" w:ascii="宋体" w:hAnsi="宋体" w:eastAsia="宋体" w:cs="宋体"/>
          <w:sz w:val="24"/>
          <w:szCs w:val="24"/>
          <w:lang w:val="zh-CN"/>
        </w:rPr>
        <w:t>凡是与审查、澄清、评价和比较投标的有关资料以及授标建议等，</w:t>
      </w:r>
      <w:r>
        <w:rPr>
          <w:rFonts w:hint="eastAsia" w:ascii="宋体" w:hAnsi="宋体" w:eastAsia="宋体" w:cs="宋体"/>
          <w:sz w:val="24"/>
          <w:szCs w:val="24"/>
        </w:rPr>
        <w:t>招标</w:t>
      </w:r>
      <w:r>
        <w:rPr>
          <w:rFonts w:hint="eastAsia" w:ascii="宋体" w:hAnsi="宋体" w:eastAsia="宋体" w:cs="宋体"/>
          <w:sz w:val="24"/>
          <w:szCs w:val="24"/>
          <w:lang w:val="zh-CN"/>
        </w:rPr>
        <w:t>人</w:t>
      </w:r>
      <w:r>
        <w:rPr>
          <w:rFonts w:hint="eastAsia" w:ascii="宋体" w:hAnsi="宋体" w:eastAsia="宋体" w:cs="宋体"/>
          <w:sz w:val="24"/>
          <w:szCs w:val="24"/>
        </w:rPr>
        <w:t>、招标代理机构</w:t>
      </w:r>
      <w:r>
        <w:rPr>
          <w:rFonts w:hint="eastAsia" w:ascii="宋体" w:hAnsi="宋体" w:eastAsia="宋体" w:cs="宋体"/>
          <w:sz w:val="24"/>
          <w:szCs w:val="24"/>
          <w:lang w:val="zh-CN"/>
        </w:rPr>
        <w:t>、评委均不得向投标人或与评标无关的其他人员透露。</w:t>
      </w:r>
    </w:p>
    <w:p w14:paraId="532E7799">
      <w:pPr>
        <w:widowControl w:val="0"/>
        <w:adjustRightInd w:val="0"/>
        <w:snapToGrid w:val="0"/>
        <w:spacing w:line="360" w:lineRule="auto"/>
        <w:ind w:firstLine="420" w:firstLineChars="175"/>
        <w:rPr>
          <w:rFonts w:hint="eastAsia" w:ascii="宋体" w:hAnsi="宋体" w:eastAsia="宋体" w:cs="宋体"/>
          <w:sz w:val="24"/>
          <w:szCs w:val="24"/>
          <w:lang w:val="zh-CN"/>
        </w:rPr>
      </w:pPr>
      <w:r>
        <w:rPr>
          <w:rFonts w:hint="eastAsia" w:ascii="宋体" w:hAnsi="宋体" w:eastAsia="宋体" w:cs="宋体"/>
          <w:sz w:val="24"/>
          <w:szCs w:val="24"/>
        </w:rPr>
        <w:t>19</w:t>
      </w:r>
      <w:r>
        <w:rPr>
          <w:rFonts w:hint="eastAsia" w:ascii="宋体" w:hAnsi="宋体" w:eastAsia="宋体" w:cs="宋体"/>
          <w:sz w:val="24"/>
          <w:szCs w:val="24"/>
          <w:lang w:val="zh-CN"/>
        </w:rPr>
        <w:t>.2</w:t>
      </w:r>
      <w:r>
        <w:rPr>
          <w:rFonts w:hint="eastAsia" w:ascii="宋体" w:hAnsi="宋体" w:eastAsia="宋体" w:cs="宋体"/>
          <w:sz w:val="24"/>
          <w:szCs w:val="24"/>
        </w:rPr>
        <w:t xml:space="preserve"> </w:t>
      </w:r>
      <w:r>
        <w:rPr>
          <w:rFonts w:hint="eastAsia" w:ascii="宋体" w:hAnsi="宋体" w:eastAsia="宋体" w:cs="宋体"/>
          <w:sz w:val="24"/>
          <w:szCs w:val="24"/>
          <w:lang w:val="zh-CN"/>
        </w:rPr>
        <w:t>投标人不得以任何方式影响评标。</w:t>
      </w:r>
    </w:p>
    <w:p w14:paraId="38AF0831">
      <w:pPr>
        <w:widowControl w:val="0"/>
        <w:adjustRightInd w:val="0"/>
        <w:snapToGrid w:val="0"/>
        <w:spacing w:line="360" w:lineRule="auto"/>
        <w:ind w:firstLine="420" w:firstLineChars="175"/>
        <w:rPr>
          <w:rFonts w:hint="eastAsia" w:ascii="宋体" w:hAnsi="宋体" w:eastAsia="宋体" w:cs="宋体"/>
          <w:sz w:val="24"/>
          <w:szCs w:val="24"/>
          <w:lang w:val="zh-CN"/>
        </w:rPr>
      </w:pPr>
      <w:r>
        <w:rPr>
          <w:rFonts w:hint="eastAsia" w:ascii="宋体" w:hAnsi="宋体" w:eastAsia="宋体" w:cs="宋体"/>
          <w:sz w:val="24"/>
          <w:szCs w:val="24"/>
        </w:rPr>
        <w:t>19</w:t>
      </w:r>
      <w:r>
        <w:rPr>
          <w:rFonts w:hint="eastAsia" w:ascii="宋体" w:hAnsi="宋体" w:eastAsia="宋体" w:cs="宋体"/>
          <w:sz w:val="24"/>
          <w:szCs w:val="24"/>
          <w:lang w:val="zh-CN"/>
        </w:rPr>
        <w:t xml:space="preserve">.3 </w:t>
      </w:r>
      <w:r>
        <w:rPr>
          <w:rFonts w:hint="eastAsia" w:ascii="宋体" w:hAnsi="宋体" w:eastAsia="宋体" w:cs="宋体"/>
          <w:sz w:val="24"/>
          <w:szCs w:val="24"/>
        </w:rPr>
        <w:t>招标人或者招标代理机构</w:t>
      </w:r>
      <w:r>
        <w:rPr>
          <w:rFonts w:hint="eastAsia" w:ascii="宋体" w:hAnsi="宋体" w:eastAsia="宋体" w:cs="宋体"/>
          <w:sz w:val="24"/>
          <w:szCs w:val="24"/>
          <w:lang w:val="zh-CN"/>
        </w:rPr>
        <w:t>和评委会不向未中标的投标人解释未中标原因，也不公布评标过程中的相关细节。</w:t>
      </w:r>
    </w:p>
    <w:p w14:paraId="2DDA10F3">
      <w:pPr>
        <w:widowControl w:val="0"/>
        <w:shd w:val="clear" w:color="auto" w:fill="FFFFFF"/>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20、评标</w:t>
      </w:r>
    </w:p>
    <w:p w14:paraId="21C90941">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 xml:space="preserve">.1 </w:t>
      </w:r>
      <w:r>
        <w:rPr>
          <w:rFonts w:hint="eastAsia" w:ascii="宋体" w:hAnsi="宋体" w:eastAsia="宋体" w:cs="Arial"/>
          <w:sz w:val="24"/>
          <w:szCs w:val="24"/>
        </w:rPr>
        <w:t>评标委员会</w:t>
      </w:r>
    </w:p>
    <w:p w14:paraId="3874C75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.1.1</w:t>
      </w:r>
      <w:r>
        <w:rPr>
          <w:rFonts w:hint="eastAsia" w:ascii="宋体" w:hAnsi="宋体" w:eastAsia="宋体" w:cs="Arial"/>
          <w:sz w:val="24"/>
          <w:szCs w:val="24"/>
        </w:rPr>
        <w:t>评标委员会负责具体评标事务，并独立履行下列职责：</w:t>
      </w:r>
    </w:p>
    <w:p w14:paraId="730F844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（一）审查、评价投标文件是否符合招标文件的商务、技术等实质性要求；</w:t>
      </w:r>
    </w:p>
    <w:p w14:paraId="3552A2C9">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（二）要求投标人对投标文件有关事项作出澄清或者说明；</w:t>
      </w:r>
    </w:p>
    <w:p w14:paraId="3E3BD0C3">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（三）对投标文件进行比较和评价；</w:t>
      </w:r>
    </w:p>
    <w:p w14:paraId="17C4973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（四）确定中标候选人名单，以及根据采购人委托直接确定中标人；</w:t>
      </w:r>
    </w:p>
    <w:p w14:paraId="6BE9F2AB">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（五）向招标人、招标代理机构或者有关部门报告评标中发现的违法行为。</w:t>
      </w:r>
    </w:p>
    <w:p w14:paraId="090F7439">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 xml:space="preserve">.1.2 </w:t>
      </w:r>
      <w:r>
        <w:rPr>
          <w:rFonts w:hint="eastAsia" w:ascii="宋体" w:hAnsi="宋体" w:eastAsia="宋体" w:cs="Arial"/>
          <w:sz w:val="24"/>
          <w:szCs w:val="24"/>
        </w:rPr>
        <w:t>评标委员会由招标人代表和有关技术、经济等方面的专家组成，独立开展评审工作。</w:t>
      </w:r>
    </w:p>
    <w:p w14:paraId="30EA69FA">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 xml:space="preserve">.2 </w:t>
      </w:r>
      <w:r>
        <w:rPr>
          <w:rFonts w:hint="eastAsia" w:ascii="宋体" w:hAnsi="宋体" w:eastAsia="宋体" w:cs="Arial"/>
          <w:sz w:val="24"/>
          <w:szCs w:val="24"/>
        </w:rPr>
        <w:t>评标程序</w:t>
      </w:r>
    </w:p>
    <w:p w14:paraId="2BF0694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 xml:space="preserve">.2.1 </w:t>
      </w:r>
      <w:r>
        <w:rPr>
          <w:rFonts w:hint="eastAsia" w:ascii="宋体" w:hAnsi="宋体" w:eastAsia="宋体" w:cs="Arial"/>
          <w:sz w:val="24"/>
          <w:szCs w:val="24"/>
        </w:rPr>
        <w:t>投标文件的资格性检查。公开招标采购项目开标结束后，招标人或者招标代理机构应当依法对投标人的资格进行审查。合格投标人不足</w:t>
      </w:r>
      <w:r>
        <w:rPr>
          <w:rFonts w:ascii="宋体" w:hAnsi="宋体" w:eastAsia="宋体" w:cs="Arial"/>
          <w:sz w:val="24"/>
          <w:szCs w:val="24"/>
        </w:rPr>
        <w:t>3</w:t>
      </w:r>
      <w:r>
        <w:rPr>
          <w:rFonts w:hint="eastAsia" w:ascii="宋体" w:hAnsi="宋体" w:eastAsia="宋体" w:cs="Arial"/>
          <w:sz w:val="24"/>
          <w:szCs w:val="24"/>
        </w:rPr>
        <w:t>家的，不得评标。</w:t>
      </w:r>
    </w:p>
    <w:p w14:paraId="41045B68">
      <w:pPr>
        <w:widowControl w:val="0"/>
        <w:shd w:val="clear" w:color="auto" w:fill="FFFFFF"/>
        <w:wordWrap w:val="0"/>
        <w:topLinePunct/>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20.2.1.1在进行资格性审查的同时，将在“信用中国”网站（</w:t>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HYPERLINK "http://www.creditchina.gov.cn" \o "http://www.creditchina.gov.cn"</w:instrText>
      </w:r>
      <w:r>
        <w:rPr>
          <w:rFonts w:ascii="Times New Roman" w:hAnsi="Times New Roman" w:eastAsia="宋体" w:cs="Times New Roman"/>
          <w:szCs w:val="24"/>
        </w:rPr>
        <w:fldChar w:fldCharType="separate"/>
      </w:r>
      <w:r>
        <w:rPr>
          <w:rFonts w:hint="eastAsia" w:ascii="宋体" w:hAnsi="宋体" w:eastAsia="宋体" w:cs="Arial"/>
          <w:sz w:val="24"/>
          <w:szCs w:val="24"/>
        </w:rPr>
        <w:t>www.creditchina.gov.cn</w:t>
      </w:r>
      <w:r>
        <w:rPr>
          <w:rFonts w:ascii="宋体" w:hAnsi="宋体" w:eastAsia="宋体" w:cs="Arial"/>
          <w:sz w:val="24"/>
          <w:szCs w:val="24"/>
        </w:rPr>
        <w:fldChar w:fldCharType="end"/>
      </w:r>
      <w:r>
        <w:rPr>
          <w:rFonts w:hint="eastAsia" w:ascii="宋体" w:hAnsi="宋体" w:eastAsia="宋体" w:cs="Arial"/>
          <w:sz w:val="24"/>
          <w:szCs w:val="24"/>
        </w:rPr>
        <w:t>）、“中国政府采购网”（</w:t>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HYPERLINK "http://www.ccgp.gov.cn" \o "http://www.ccgp.gov.cn"</w:instrText>
      </w:r>
      <w:r>
        <w:rPr>
          <w:rFonts w:ascii="Times New Roman" w:hAnsi="Times New Roman" w:eastAsia="宋体" w:cs="Times New Roman"/>
          <w:szCs w:val="24"/>
        </w:rPr>
        <w:fldChar w:fldCharType="separate"/>
      </w:r>
      <w:r>
        <w:rPr>
          <w:rFonts w:hint="eastAsia" w:ascii="宋体" w:hAnsi="宋体" w:eastAsia="宋体" w:cs="Arial"/>
          <w:sz w:val="24"/>
          <w:szCs w:val="24"/>
        </w:rPr>
        <w:t>www.ccgp.gov.cn</w:t>
      </w:r>
      <w:r>
        <w:rPr>
          <w:rFonts w:ascii="宋体" w:hAnsi="宋体" w:eastAsia="宋体" w:cs="Arial"/>
          <w:sz w:val="24"/>
          <w:szCs w:val="24"/>
        </w:rPr>
        <w:fldChar w:fldCharType="end"/>
      </w:r>
      <w:r>
        <w:rPr>
          <w:rFonts w:hint="eastAsia" w:ascii="宋体" w:hAnsi="宋体" w:eastAsia="宋体" w:cs="Arial"/>
          <w:sz w:val="24"/>
          <w:szCs w:val="24"/>
        </w:rPr>
        <w:t>）投标供应商是否被列入失信被执行人、重大税收违法案件当事人名单、政府采购严重违法失信行为记录名单的情况进行查询，以确定投标供应商是否具备投标资格。</w:t>
      </w:r>
    </w:p>
    <w:p w14:paraId="5F33739B">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 xml:space="preserve">20.2.1.2投标文件有下列情况之一的，在资格性审查时按照无效投标处理 </w:t>
      </w:r>
    </w:p>
    <w:p w14:paraId="53E6DE72">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（1）不具备招标文件规定资格条件的；</w:t>
      </w:r>
    </w:p>
    <w:p w14:paraId="5AF08CC9">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（2）供应商被“信用中国”网站（</w:t>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HYPERLINK "http://www.creditchina.gov.cn" \o "http://www.creditchina.gov.cn"</w:instrText>
      </w:r>
      <w:r>
        <w:rPr>
          <w:rFonts w:ascii="Times New Roman" w:hAnsi="Times New Roman" w:eastAsia="宋体" w:cs="Times New Roman"/>
          <w:szCs w:val="24"/>
        </w:rPr>
        <w:fldChar w:fldCharType="separate"/>
      </w:r>
      <w:r>
        <w:rPr>
          <w:rFonts w:hint="eastAsia" w:ascii="宋体" w:hAnsi="宋体" w:eastAsia="宋体" w:cs="Arial"/>
          <w:sz w:val="24"/>
          <w:szCs w:val="24"/>
        </w:rPr>
        <w:t>www.creditchina.gov.cn</w:t>
      </w:r>
      <w:r>
        <w:rPr>
          <w:rFonts w:ascii="宋体" w:hAnsi="宋体" w:eastAsia="宋体" w:cs="Arial"/>
          <w:sz w:val="24"/>
          <w:szCs w:val="24"/>
        </w:rPr>
        <w:fldChar w:fldCharType="end"/>
      </w:r>
      <w:r>
        <w:rPr>
          <w:rFonts w:hint="eastAsia" w:ascii="宋体" w:hAnsi="宋体" w:eastAsia="宋体" w:cs="Arial"/>
          <w:sz w:val="24"/>
          <w:szCs w:val="24"/>
        </w:rPr>
        <w:t>）、“中国政府采购网”（</w:t>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HYPERLINK "http://www.ccgp.gov.cn" \o "http://www.ccgp.gov.cn"</w:instrText>
      </w:r>
      <w:r>
        <w:rPr>
          <w:rFonts w:ascii="Times New Roman" w:hAnsi="Times New Roman" w:eastAsia="宋体" w:cs="Times New Roman"/>
          <w:szCs w:val="24"/>
        </w:rPr>
        <w:fldChar w:fldCharType="separate"/>
      </w:r>
      <w:r>
        <w:rPr>
          <w:rFonts w:hint="eastAsia" w:ascii="宋体" w:hAnsi="宋体" w:eastAsia="宋体" w:cs="Arial"/>
          <w:sz w:val="24"/>
          <w:szCs w:val="24"/>
        </w:rPr>
        <w:t>www.ccgp.gov.cn</w:t>
      </w:r>
      <w:r>
        <w:rPr>
          <w:rFonts w:ascii="宋体" w:hAnsi="宋体" w:eastAsia="宋体" w:cs="Arial"/>
          <w:sz w:val="24"/>
          <w:szCs w:val="24"/>
        </w:rPr>
        <w:fldChar w:fldCharType="end"/>
      </w:r>
      <w:r>
        <w:rPr>
          <w:rFonts w:hint="eastAsia" w:ascii="宋体" w:hAnsi="宋体" w:eastAsia="宋体" w:cs="Arial"/>
          <w:sz w:val="24"/>
          <w:szCs w:val="24"/>
        </w:rPr>
        <w:t>）列入失信被执行人、重大税收违 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955DEE6">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（3）未提供《信用承诺函》。</w:t>
      </w:r>
    </w:p>
    <w:p w14:paraId="4E54FC43">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.2.2</w:t>
      </w:r>
      <w:r>
        <w:rPr>
          <w:rFonts w:hint="eastAsia" w:ascii="宋体" w:hAnsi="宋体" w:eastAsia="宋体" w:cs="Arial"/>
          <w:sz w:val="24"/>
          <w:szCs w:val="24"/>
        </w:rPr>
        <w:t>投标文件的符合性审查。评标委员会对通过资格性检查的投标人的投标文件进行符合性审查，以确定其是否满足招标文件的实质性要求。投标文件有下列情况之一的，在符合性检查时按照无效投标处理：</w:t>
      </w:r>
    </w:p>
    <w:p w14:paraId="2D5E86F5">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1</w:t>
      </w:r>
      <w:r>
        <w:rPr>
          <w:rFonts w:hint="eastAsia" w:ascii="宋体" w:hAnsi="宋体" w:eastAsia="宋体" w:cs="宋体"/>
          <w:b/>
          <w:bCs/>
          <w:sz w:val="24"/>
          <w:szCs w:val="24"/>
          <w:lang w:val="zh-CN"/>
        </w:rPr>
        <w:t>）投标人在苏采云系统规定的时间内未成功解密电子投标文件；</w:t>
      </w:r>
    </w:p>
    <w:p w14:paraId="1E6C3F12">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2</w:t>
      </w:r>
      <w:r>
        <w:rPr>
          <w:rFonts w:hint="eastAsia" w:ascii="宋体" w:hAnsi="宋体" w:eastAsia="宋体" w:cs="宋体"/>
          <w:b/>
          <w:bCs/>
          <w:sz w:val="24"/>
          <w:szCs w:val="24"/>
          <w:lang w:val="zh-CN"/>
        </w:rPr>
        <w:t>）投标人未按照招标文件要求上传电子投标文件；</w:t>
      </w:r>
    </w:p>
    <w:p w14:paraId="39BC55C1">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3</w:t>
      </w:r>
      <w:r>
        <w:rPr>
          <w:rFonts w:hint="eastAsia" w:ascii="宋体" w:hAnsi="宋体" w:eastAsia="宋体" w:cs="宋体"/>
          <w:b/>
          <w:bCs/>
          <w:sz w:val="24"/>
          <w:szCs w:val="24"/>
          <w:lang w:val="zh-CN"/>
        </w:rPr>
        <w:t>）同一投标人提交两个（含两个）以上不同的投标报价；</w:t>
      </w:r>
    </w:p>
    <w:p w14:paraId="09329A25">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4</w:t>
      </w:r>
      <w:r>
        <w:rPr>
          <w:rFonts w:hint="eastAsia" w:ascii="宋体" w:hAnsi="宋体" w:eastAsia="宋体" w:cs="宋体"/>
          <w:b/>
          <w:bCs/>
          <w:sz w:val="24"/>
          <w:szCs w:val="24"/>
          <w:lang w:val="zh-CN"/>
        </w:rPr>
        <w:t>）投标人的报价超过了采购预算或最高限价；</w:t>
      </w:r>
    </w:p>
    <w:p w14:paraId="7550266D">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rPr>
        <w:t>（5）</w:t>
      </w:r>
      <w:r>
        <w:rPr>
          <w:rFonts w:hint="eastAsia" w:ascii="宋体" w:hAnsi="宋体" w:eastAsia="宋体" w:cs="宋体"/>
          <w:b/>
          <w:bCs/>
          <w:sz w:val="24"/>
          <w:szCs w:val="24"/>
          <w:lang w:val="zh-CN"/>
        </w:rPr>
        <w:t>评委会认为投标人的报价明显低于其他通过符合性审查投标人的报价，有可能影响</w:t>
      </w:r>
      <w:r>
        <w:rPr>
          <w:rFonts w:hint="eastAsia" w:ascii="宋体" w:hAnsi="宋体" w:eastAsia="宋体" w:cs="宋体"/>
          <w:b/>
          <w:bCs/>
          <w:sz w:val="24"/>
          <w:szCs w:val="24"/>
        </w:rPr>
        <w:t>服务</w:t>
      </w:r>
      <w:r>
        <w:rPr>
          <w:rFonts w:hint="eastAsia" w:ascii="宋体" w:hAnsi="宋体" w:eastAsia="宋体" w:cs="宋体"/>
          <w:b/>
          <w:bCs/>
          <w:sz w:val="24"/>
          <w:szCs w:val="24"/>
          <w:lang w:val="zh-CN"/>
        </w:rPr>
        <w:t>质量或者不能诚信履约的，将通过苏采云系统要求其在合理的时间内提供说明，必要时提交相关证明材料。投标人不能证明其报价合理性的，评委会应当将其作为无效投标处理；</w:t>
      </w:r>
    </w:p>
    <w:p w14:paraId="1EDF0B27">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（6）不同投标人的响应文件由同一单位或者个人编制；</w:t>
      </w:r>
    </w:p>
    <w:p w14:paraId="6DBB8BD7">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（7）不同投标人委托同一单位或者个人办理投标事宜；</w:t>
      </w:r>
    </w:p>
    <w:p w14:paraId="4EF0AB8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（8）不同投标人的ip地址、MAC地址、标书制作工具客户端标识码一致的；</w:t>
      </w:r>
    </w:p>
    <w:p w14:paraId="01F1D7D4">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（9）</w:t>
      </w:r>
      <w:bookmarkStart w:id="18" w:name="OLE_LINK7"/>
      <w:r>
        <w:rPr>
          <w:rFonts w:hint="eastAsia" w:ascii="宋体" w:hAnsi="宋体" w:eastAsia="宋体" w:cs="宋体"/>
          <w:b/>
          <w:bCs/>
          <w:sz w:val="24"/>
          <w:szCs w:val="24"/>
        </w:rPr>
        <w:t>不同投标人的响应文件载明的项目管理成员或者联系人员为同一人</w:t>
      </w:r>
      <w:bookmarkEnd w:id="18"/>
      <w:r>
        <w:rPr>
          <w:rFonts w:hint="eastAsia" w:ascii="宋体" w:hAnsi="宋体" w:eastAsia="宋体" w:cs="宋体"/>
          <w:b/>
          <w:bCs/>
          <w:sz w:val="24"/>
          <w:szCs w:val="24"/>
        </w:rPr>
        <w:t>；</w:t>
      </w:r>
    </w:p>
    <w:p w14:paraId="35F19BCF">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（10）不同投标人的响应文件异常一致或者投标报价呈规律性差异；</w:t>
      </w:r>
    </w:p>
    <w:p w14:paraId="10F32C18">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（11）不同投标人的法定代表人或委托代理人有夫妻、直系血亲关系的；</w:t>
      </w:r>
    </w:p>
    <w:p w14:paraId="5BEF61A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（12）不同投标人的负责人为同一人或者存在控股、管理关系的；</w:t>
      </w:r>
    </w:p>
    <w:p w14:paraId="0982CBDE">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（13）不同投标人的委托代理人(或法定代表人、项目经理、项目总监、项目负责人等)在采购文件发布日上月至投标截止日当月在同一单位缴纳社会保险的；</w:t>
      </w:r>
    </w:p>
    <w:p w14:paraId="79D3C8F4">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14</w:t>
      </w:r>
      <w:r>
        <w:rPr>
          <w:rFonts w:hint="eastAsia" w:ascii="宋体" w:hAnsi="宋体" w:eastAsia="宋体" w:cs="宋体"/>
          <w:b/>
          <w:bCs/>
          <w:sz w:val="24"/>
          <w:szCs w:val="24"/>
          <w:lang w:val="zh-CN"/>
        </w:rPr>
        <w:t>）</w:t>
      </w:r>
      <w:r>
        <w:rPr>
          <w:rFonts w:hint="eastAsia" w:ascii="宋体" w:hAnsi="宋体" w:eastAsia="宋体" w:cs="宋体"/>
          <w:b/>
          <w:bCs/>
          <w:sz w:val="24"/>
          <w:szCs w:val="24"/>
        </w:rPr>
        <w:t>投标文件</w:t>
      </w:r>
      <w:r>
        <w:rPr>
          <w:rFonts w:hint="eastAsia" w:ascii="宋体" w:hAnsi="宋体" w:eastAsia="宋体" w:cs="宋体"/>
          <w:b/>
          <w:bCs/>
          <w:sz w:val="24"/>
          <w:szCs w:val="24"/>
          <w:lang w:val="zh-CN"/>
        </w:rPr>
        <w:t>未响应招标文件中实质性要求和条件的；</w:t>
      </w:r>
    </w:p>
    <w:p w14:paraId="4CD13984">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15</w:t>
      </w:r>
      <w:r>
        <w:rPr>
          <w:rFonts w:hint="eastAsia" w:ascii="宋体" w:hAnsi="宋体" w:eastAsia="宋体" w:cs="宋体"/>
          <w:b/>
          <w:bCs/>
          <w:sz w:val="24"/>
          <w:szCs w:val="24"/>
          <w:lang w:val="zh-CN"/>
        </w:rPr>
        <w:t>）投标文件含有采购人不能接受的附加条件；</w:t>
      </w:r>
    </w:p>
    <w:p w14:paraId="119866F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zh-CN"/>
        </w:rPr>
        <w:t>（</w:t>
      </w:r>
      <w:r>
        <w:rPr>
          <w:rFonts w:hint="eastAsia" w:ascii="宋体" w:hAnsi="宋体" w:eastAsia="宋体" w:cs="宋体"/>
          <w:b/>
          <w:bCs/>
          <w:sz w:val="24"/>
          <w:szCs w:val="24"/>
        </w:rPr>
        <w:t>16</w:t>
      </w:r>
      <w:r>
        <w:rPr>
          <w:rFonts w:hint="eastAsia" w:ascii="宋体" w:hAnsi="宋体" w:eastAsia="宋体" w:cs="宋体"/>
          <w:b/>
          <w:bCs/>
          <w:sz w:val="24"/>
          <w:szCs w:val="24"/>
          <w:lang w:val="zh-CN"/>
        </w:rPr>
        <w:t>）投标文件未按照招标文件要求加盖电子公章；</w:t>
      </w:r>
    </w:p>
    <w:p w14:paraId="1EB35F7C">
      <w:pPr>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w:t>
      </w:r>
      <w:r>
        <w:rPr>
          <w:rFonts w:hint="eastAsia" w:ascii="宋体" w:hAnsi="宋体" w:eastAsia="宋体" w:cs="宋体"/>
          <w:b/>
          <w:bCs/>
          <w:sz w:val="24"/>
          <w:szCs w:val="24"/>
        </w:rPr>
        <w:t>17</w:t>
      </w:r>
      <w:r>
        <w:rPr>
          <w:rFonts w:hint="eastAsia" w:ascii="宋体" w:hAnsi="宋体" w:eastAsia="宋体" w:cs="宋体"/>
          <w:b/>
          <w:bCs/>
          <w:sz w:val="24"/>
          <w:szCs w:val="24"/>
          <w:lang w:val="zh-CN"/>
        </w:rPr>
        <w:t>）法律法规及本招标文件规定的</w:t>
      </w:r>
      <w:r>
        <w:rPr>
          <w:rFonts w:hint="eastAsia" w:ascii="宋体" w:hAnsi="宋体" w:eastAsia="宋体" w:cs="宋体"/>
          <w:b/>
          <w:bCs/>
          <w:sz w:val="24"/>
          <w:szCs w:val="24"/>
        </w:rPr>
        <w:t>其他</w:t>
      </w:r>
      <w:r>
        <w:rPr>
          <w:rFonts w:hint="eastAsia" w:ascii="宋体" w:hAnsi="宋体" w:eastAsia="宋体" w:cs="宋体"/>
          <w:b/>
          <w:bCs/>
          <w:sz w:val="24"/>
          <w:szCs w:val="24"/>
          <w:lang w:val="zh-CN"/>
        </w:rPr>
        <w:t>无效投标情形。</w:t>
      </w:r>
    </w:p>
    <w:p w14:paraId="6262E9A4">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20.2.2.1 实质性要求是指本招标文件中用带星号（“★”）、“必须”或“应（应当）”等其他文字说明的商务和技术要求。</w:t>
      </w:r>
    </w:p>
    <w:p w14:paraId="07AA315E">
      <w:pPr>
        <w:widowControl w:val="0"/>
        <w:shd w:val="clear" w:color="auto" w:fill="FFFFFF"/>
        <w:spacing w:line="360" w:lineRule="auto"/>
        <w:ind w:firstLine="480" w:firstLineChars="200"/>
        <w:jc w:val="both"/>
        <w:rPr>
          <w:rFonts w:hint="eastAsia" w:ascii="宋体" w:hAnsi="宋体" w:eastAsia="宋体" w:cs="Arial"/>
          <w:b/>
          <w:bCs/>
          <w:sz w:val="24"/>
          <w:szCs w:val="24"/>
        </w:rPr>
      </w:pPr>
      <w:r>
        <w:rPr>
          <w:rFonts w:hint="eastAsia" w:ascii="宋体" w:hAnsi="宋体" w:eastAsia="宋体" w:cs="Arial"/>
          <w:sz w:val="24"/>
          <w:szCs w:val="24"/>
        </w:rPr>
        <w:t>20.2.2.2有下列情形之一的予以废标：</w:t>
      </w:r>
    </w:p>
    <w:p w14:paraId="27348F22">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（1）符合资格条件的投标人或者对招标文件作实质性响应的投标人不足三家的；</w:t>
      </w:r>
    </w:p>
    <w:p w14:paraId="2663D6BB">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（2）出现影响采购公正的违法、违规行为的；</w:t>
      </w:r>
    </w:p>
    <w:p w14:paraId="5F31936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（3）投标人的报价均超过了采购预算或最高限价，采购人不能支付的；</w:t>
      </w:r>
    </w:p>
    <w:p w14:paraId="0BF1D874">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（4）因重大变故，采购任务取消的。</w:t>
      </w:r>
    </w:p>
    <w:p w14:paraId="5809866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（5）招标文件存在歧义、重大缺陷，或者招标文件内容违反国家有关强制性规定的。</w:t>
      </w:r>
    </w:p>
    <w:p w14:paraId="0076C47D">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（6）预留份额的采购项目或采购包，通过发布公告方式邀请供应商后，符合资格条件的中小企业数量不足3家的。</w:t>
      </w:r>
    </w:p>
    <w:p w14:paraId="675CAE6C">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20.2.3澄清有关问题。</w:t>
      </w:r>
    </w:p>
    <w:p w14:paraId="699C5C38">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20.2.3.1对于投标文件中含义不明确、同类问题表述不一致或者有明显文字和计算错误的内容，评标委员会应当以书面形式要求投标人作出必要的澄清、说明或者补正。</w:t>
      </w:r>
    </w:p>
    <w:p w14:paraId="2E8AC6BB">
      <w:pPr>
        <w:widowControl w:val="0"/>
        <w:adjustRightInd w:val="0"/>
        <w:snapToGrid w:val="0"/>
        <w:ind w:firstLine="420" w:firstLineChars="175"/>
        <w:rPr>
          <w:rFonts w:hint="eastAsia" w:ascii="宋体" w:hAnsi="宋体" w:eastAsia="宋体" w:cs="Times New Roman"/>
          <w:sz w:val="24"/>
          <w:lang w:val="zh-CN"/>
        </w:rPr>
      </w:pPr>
      <w:r>
        <w:rPr>
          <w:rFonts w:hint="eastAsia" w:ascii="宋体" w:hAnsi="宋体" w:eastAsia="宋体" w:cs="Times New Roman"/>
          <w:sz w:val="24"/>
          <w:lang w:val="zh-CN"/>
        </w:rPr>
        <w:t>投标人的澄清、说明或者补正不得超出投标文件的范围或者改变投标文件的实质性内容。</w:t>
      </w:r>
    </w:p>
    <w:p w14:paraId="1CF6CD7A">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评委会并非对每个投标人都做澄清要求。</w:t>
      </w:r>
    </w:p>
    <w:p w14:paraId="4335771E">
      <w:pPr>
        <w:widowControl w:val="0"/>
        <w:shd w:val="clear" w:color="auto" w:fill="FFFFFF"/>
        <w:spacing w:line="360" w:lineRule="auto"/>
        <w:ind w:firstLine="480" w:firstLineChars="200"/>
        <w:jc w:val="both"/>
        <w:rPr>
          <w:rFonts w:hint="eastAsia" w:ascii="宋体" w:hAnsi="宋体" w:eastAsia="宋体" w:cs="Times New Roman"/>
          <w:sz w:val="24"/>
          <w:lang w:val="zh-CN"/>
        </w:rPr>
      </w:pPr>
      <w:r>
        <w:rPr>
          <w:rFonts w:hint="eastAsia" w:ascii="宋体" w:hAnsi="宋体" w:eastAsia="宋体" w:cs="Arial"/>
          <w:sz w:val="24"/>
          <w:szCs w:val="24"/>
        </w:rPr>
        <w:t>20.2.3.2</w:t>
      </w:r>
      <w:r>
        <w:rPr>
          <w:rFonts w:hint="eastAsia" w:ascii="宋体" w:hAnsi="宋体" w:eastAsia="宋体" w:cs="Times New Roman"/>
          <w:sz w:val="24"/>
          <w:lang w:val="zh-CN"/>
        </w:rPr>
        <w:t>需要</w:t>
      </w:r>
      <w:r>
        <w:rPr>
          <w:rFonts w:hint="eastAsia" w:ascii="宋体" w:hAnsi="宋体" w:cs="Times New Roman"/>
          <w:sz w:val="24"/>
        </w:rPr>
        <w:t>投标人</w:t>
      </w:r>
      <w:r>
        <w:rPr>
          <w:rFonts w:hint="eastAsia" w:ascii="宋体" w:hAnsi="宋体" w:eastAsia="宋体" w:cs="Times New Roman"/>
          <w:sz w:val="24"/>
          <w:lang w:val="zh-CN"/>
        </w:rPr>
        <w:t>进行澄清、说明和补正的，评委会将通过苏采云系统向</w:t>
      </w:r>
      <w:r>
        <w:rPr>
          <w:rFonts w:hint="eastAsia" w:ascii="宋体" w:hAnsi="宋体" w:eastAsia="宋体" w:cs="Times New Roman"/>
          <w:sz w:val="24"/>
        </w:rPr>
        <w:t>投标人</w:t>
      </w:r>
      <w:r>
        <w:rPr>
          <w:rFonts w:hint="eastAsia" w:ascii="宋体" w:hAnsi="宋体" w:eastAsia="宋体" w:cs="Times New Roman"/>
          <w:sz w:val="24"/>
          <w:lang w:val="zh-CN"/>
        </w:rPr>
        <w:t>发出《澄清要求函》，接到《澄清要求函》的</w:t>
      </w:r>
      <w:r>
        <w:rPr>
          <w:rFonts w:hint="eastAsia" w:ascii="宋体" w:hAnsi="宋体" w:eastAsia="宋体" w:cs="Times New Roman"/>
          <w:sz w:val="24"/>
        </w:rPr>
        <w:t>投标人</w:t>
      </w:r>
      <w:r>
        <w:rPr>
          <w:rFonts w:hint="eastAsia" w:ascii="宋体" w:hAnsi="宋体" w:eastAsia="宋体" w:cs="Times New Roman"/>
          <w:sz w:val="24"/>
          <w:lang w:val="zh-CN"/>
        </w:rPr>
        <w:t>应当按照要求在苏采云系统中提交《澄清响应函》并加盖电子公章。澄清、说明和补正的内容作为投标文件的补充部分。</w:t>
      </w:r>
    </w:p>
    <w:p w14:paraId="7527A3C5">
      <w:pPr>
        <w:widowControl w:val="0"/>
        <w:shd w:val="clear" w:color="auto" w:fill="FFFFFF"/>
        <w:spacing w:line="360" w:lineRule="auto"/>
        <w:ind w:firstLine="480" w:firstLineChars="200"/>
        <w:jc w:val="both"/>
        <w:rPr>
          <w:rFonts w:hint="eastAsia" w:ascii="宋体" w:hAnsi="宋体" w:eastAsia="宋体" w:cs="Times New Roman"/>
          <w:sz w:val="24"/>
          <w:lang w:val="zh-CN"/>
        </w:rPr>
      </w:pPr>
      <w:r>
        <w:rPr>
          <w:rFonts w:hint="eastAsia" w:ascii="宋体" w:hAnsi="宋体" w:eastAsia="宋体" w:cs="Times New Roman"/>
          <w:sz w:val="24"/>
        </w:rPr>
        <w:t>20</w:t>
      </w:r>
      <w:r>
        <w:rPr>
          <w:rFonts w:hint="eastAsia" w:ascii="宋体" w:hAnsi="宋体" w:eastAsia="宋体" w:cs="Times New Roman"/>
          <w:sz w:val="24"/>
          <w:lang w:val="zh-CN"/>
        </w:rPr>
        <w:t>.</w:t>
      </w:r>
      <w:r>
        <w:rPr>
          <w:rFonts w:hint="eastAsia" w:ascii="宋体" w:hAnsi="宋体" w:eastAsia="宋体" w:cs="Times New Roman"/>
          <w:sz w:val="24"/>
        </w:rPr>
        <w:t>2.3.3</w:t>
      </w:r>
      <w:r>
        <w:rPr>
          <w:rFonts w:hint="eastAsia" w:ascii="宋体" w:hAnsi="宋体" w:eastAsia="宋体" w:cs="Times New Roman"/>
          <w:sz w:val="24"/>
          <w:lang w:val="zh-CN"/>
        </w:rPr>
        <w:t xml:space="preserve"> 接到评委会澄清、说明和补正要求的，投标人如未按规定作出澄清、说明和补正，其风险由投标人自行承担。</w:t>
      </w:r>
    </w:p>
    <w:p w14:paraId="0CC2AFA9">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20.2.3.4投标文件报价出现前后不一致的，除招标文件另有规定外，按照下列规定修正：</w:t>
      </w:r>
    </w:p>
    <w:p w14:paraId="23D999DF">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（1）投标文件中开标一览表（报价表）内容与投标文件中相应内容不一致的，以开标一览表（报价表）为准；</w:t>
      </w:r>
    </w:p>
    <w:p w14:paraId="6DF0D1AE">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（2）大写金额和小写金额不一致的，以大写金额为准；</w:t>
      </w:r>
    </w:p>
    <w:p w14:paraId="4AA8FFF7">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（3）单价金额小数点或者百分比有明显错位的，以开标一览表的总价为准，并修改单价；</w:t>
      </w:r>
    </w:p>
    <w:p w14:paraId="5070750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（4）总价金额与按单价汇总金额不一致的，以单价金额计算结果为准。</w:t>
      </w:r>
    </w:p>
    <w:p w14:paraId="054686A2">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同时出现两种以上不一致的，按照前款规定的顺序修正。</w:t>
      </w:r>
    </w:p>
    <w:p w14:paraId="7DA79657">
      <w:pPr>
        <w:widowControl w:val="0"/>
        <w:adjustRightInd w:val="0"/>
        <w:snapToGrid w:val="0"/>
        <w:spacing w:line="360" w:lineRule="auto"/>
        <w:ind w:firstLine="422" w:firstLineChars="175"/>
        <w:rPr>
          <w:rFonts w:hint="eastAsia" w:ascii="宋体" w:hAnsi="宋体" w:eastAsia="宋体" w:cs="Times New Roman"/>
          <w:b/>
          <w:bCs/>
          <w:sz w:val="24"/>
          <w:lang w:val="zh-CN"/>
        </w:rPr>
      </w:pPr>
      <w:r>
        <w:rPr>
          <w:rFonts w:hint="eastAsia" w:ascii="宋体" w:hAnsi="宋体" w:eastAsia="宋体" w:cs="Times New Roman"/>
          <w:b/>
          <w:bCs/>
          <w:sz w:val="24"/>
          <w:lang w:val="zh-CN"/>
        </w:rPr>
        <w:t>评委会按上述</w:t>
      </w:r>
      <w:r>
        <w:rPr>
          <w:rFonts w:hint="eastAsia" w:ascii="宋体" w:hAnsi="宋体" w:eastAsia="宋体" w:cs="Times New Roman"/>
          <w:b/>
          <w:bCs/>
          <w:sz w:val="24"/>
        </w:rPr>
        <w:t>规定修正</w:t>
      </w:r>
      <w:r>
        <w:rPr>
          <w:rFonts w:hint="eastAsia" w:ascii="宋体" w:hAnsi="宋体" w:eastAsia="宋体" w:cs="Times New Roman"/>
          <w:b/>
          <w:bCs/>
          <w:sz w:val="24"/>
          <w:lang w:val="zh-CN"/>
        </w:rPr>
        <w:t>投标文件报价</w:t>
      </w:r>
      <w:r>
        <w:rPr>
          <w:rFonts w:hint="eastAsia" w:ascii="宋体" w:hAnsi="宋体" w:eastAsia="宋体" w:cs="Times New Roman"/>
          <w:b/>
          <w:bCs/>
          <w:sz w:val="24"/>
        </w:rPr>
        <w:t>的</w:t>
      </w:r>
      <w:r>
        <w:rPr>
          <w:rFonts w:hint="eastAsia" w:ascii="宋体" w:hAnsi="宋体" w:eastAsia="宋体" w:cs="Times New Roman"/>
          <w:b/>
          <w:bCs/>
          <w:sz w:val="24"/>
          <w:lang w:val="zh-CN"/>
        </w:rPr>
        <w:t>，</w:t>
      </w:r>
      <w:r>
        <w:rPr>
          <w:rFonts w:hint="eastAsia" w:ascii="宋体" w:hAnsi="宋体" w:eastAsia="宋体" w:cs="Times New Roman"/>
          <w:b/>
          <w:bCs/>
          <w:sz w:val="24"/>
        </w:rPr>
        <w:t>应</w:t>
      </w:r>
      <w:r>
        <w:rPr>
          <w:rFonts w:hint="eastAsia" w:ascii="宋体" w:hAnsi="宋体" w:eastAsia="宋体" w:cs="Times New Roman"/>
          <w:b/>
          <w:bCs/>
          <w:sz w:val="24"/>
          <w:lang w:val="zh-CN"/>
        </w:rPr>
        <w:t>通过苏采云系统</w:t>
      </w:r>
      <w:r>
        <w:rPr>
          <w:rFonts w:hint="eastAsia" w:ascii="宋体" w:hAnsi="宋体" w:eastAsia="宋体" w:cs="Times New Roman"/>
          <w:b/>
          <w:bCs/>
          <w:sz w:val="24"/>
        </w:rPr>
        <w:t>要求</w:t>
      </w:r>
      <w:r>
        <w:rPr>
          <w:rFonts w:hint="eastAsia" w:ascii="宋体" w:hAnsi="宋体" w:eastAsia="宋体" w:cs="Times New Roman"/>
          <w:b/>
          <w:bCs/>
          <w:sz w:val="24"/>
          <w:lang w:val="zh-CN"/>
        </w:rPr>
        <w:t>投标人</w:t>
      </w:r>
      <w:r>
        <w:rPr>
          <w:rFonts w:hint="eastAsia" w:ascii="宋体" w:hAnsi="宋体" w:eastAsia="宋体" w:cs="Times New Roman"/>
          <w:b/>
          <w:bCs/>
          <w:sz w:val="24"/>
        </w:rPr>
        <w:t>确认</w:t>
      </w:r>
      <w:r>
        <w:rPr>
          <w:rFonts w:hint="eastAsia" w:ascii="宋体" w:hAnsi="宋体" w:eastAsia="宋体" w:cs="Times New Roman"/>
          <w:b/>
          <w:bCs/>
          <w:sz w:val="24"/>
          <w:lang w:val="zh-CN"/>
        </w:rPr>
        <w:t>，</w:t>
      </w:r>
      <w:r>
        <w:rPr>
          <w:rFonts w:hint="eastAsia" w:ascii="宋体" w:hAnsi="宋体"/>
          <w:b/>
          <w:bCs/>
          <w:sz w:val="24"/>
        </w:rPr>
        <w:t>修正后的报价按照前款规定经投标人确认后产生约束力，投标人不确认的，其投标无效。</w:t>
      </w:r>
    </w:p>
    <w:p w14:paraId="213F8F3A">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20.2.3.5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1E667538">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20.2.4比较与评价。评标委员会应当按照招标文件中规定的评标方法和标准，对符合性审查合格的投标文件进行商务和技术评估，综合比较与评价。</w:t>
      </w:r>
    </w:p>
    <w:p w14:paraId="5BABB451">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20.2.5相同品牌产品的投标</w:t>
      </w:r>
    </w:p>
    <w:p w14:paraId="6531727F">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350261A2">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768421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非单一产品采购项目，确定核心产品的方法在招标文件技术需求中载明。多家投标人提供的核心产品品牌相同的，按前两款规定处理。</w:t>
      </w:r>
    </w:p>
    <w:p w14:paraId="35BD5091">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w:t>
      </w:r>
      <w:r>
        <w:rPr>
          <w:rFonts w:ascii="宋体" w:hAnsi="宋体" w:eastAsia="宋体" w:cs="Arial"/>
          <w:sz w:val="24"/>
          <w:szCs w:val="24"/>
        </w:rPr>
        <w:t xml:space="preserve">.3 </w:t>
      </w:r>
      <w:r>
        <w:rPr>
          <w:rFonts w:hint="eastAsia" w:ascii="宋体" w:hAnsi="宋体" w:eastAsia="宋体" w:cs="Arial"/>
          <w:sz w:val="24"/>
          <w:szCs w:val="24"/>
        </w:rPr>
        <w:t>评标方法和标准</w:t>
      </w:r>
    </w:p>
    <w:p w14:paraId="3AC89215">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20.3.1评标方法分为最低评标价法和综合评分法。本次招标的评标方法和标准，详见本招标文件第三章。</w:t>
      </w:r>
    </w:p>
    <w:p w14:paraId="3B990D71">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20.3.2最低评标价法，是指投标文件满足招标文件全部实质性要求，且投标报价最低的投标人为中标候选人的评标方法。</w:t>
      </w:r>
    </w:p>
    <w:p w14:paraId="79A56B6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采用最低评标价法评标时，除了算术修正和落实政府采购政策需进行的价格扣除外，不对投标人的投标价格进行任何调整。</w:t>
      </w:r>
    </w:p>
    <w:p w14:paraId="5A16804C">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20.3.3综合评分法，是指投标文件满足招标文件全部实质性要求，且按照评审因素的量化指标评审得分最高的投标人为中标候选人的评标方法。</w:t>
      </w:r>
    </w:p>
    <w:p w14:paraId="2C44C5D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评审因素，包括价格、技术、商务等。</w:t>
      </w:r>
    </w:p>
    <w:p w14:paraId="6566A7F6">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评标时，评标委员会各成员应当独立对每个投标人的投标文件进行评价，并汇总每个投标人的得分。</w:t>
      </w:r>
    </w:p>
    <w:p w14:paraId="2E4686EC">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价格分采用低价优先法计算，即满足招标文件要求且投标价格最低的投标报价为评标基准价，其价格分为满分。</w:t>
      </w:r>
    </w:p>
    <w:p w14:paraId="62B2DD8E">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评标总得分＝F1×A1＋F2×A2＋……＋Fn×An</w:t>
      </w:r>
    </w:p>
    <w:p w14:paraId="02EA77EB">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F1、F2……Fn分别为各项评审因素的得分；</w:t>
      </w:r>
    </w:p>
    <w:p w14:paraId="780711FD">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A1、A2、……An 分别为各项评审因素所占的权重(A1＋A2＋……＋An＝1)。</w:t>
      </w:r>
    </w:p>
    <w:p w14:paraId="424A09C7">
      <w:pPr>
        <w:widowControl w:val="0"/>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因落实政府采购政策进行价格调整的，以调整后的价格计算评标基准价和投标报价。</w:t>
      </w:r>
    </w:p>
    <w:p w14:paraId="2D65F33B">
      <w:pPr>
        <w:widowControl w:val="0"/>
        <w:shd w:val="clear" w:color="auto" w:fill="FFFFFF"/>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21、确定中标人</w:t>
      </w:r>
    </w:p>
    <w:p w14:paraId="3B30F367">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rPr>
        <w:t>21</w:t>
      </w:r>
      <w:r>
        <w:rPr>
          <w:rFonts w:hint="eastAsia" w:ascii="宋体" w:hAnsi="宋体" w:eastAsia="宋体" w:cs="Times New Roman"/>
          <w:sz w:val="24"/>
          <w:lang w:val="zh-CN"/>
        </w:rPr>
        <w:t>.1</w:t>
      </w:r>
      <w:r>
        <w:rPr>
          <w:rFonts w:hint="eastAsia" w:ascii="宋体" w:hAnsi="宋体" w:eastAsia="宋体" w:cs="Times New Roman"/>
          <w:sz w:val="24"/>
        </w:rPr>
        <w:t xml:space="preserve"> </w:t>
      </w:r>
      <w:r>
        <w:rPr>
          <w:rFonts w:hint="eastAsia" w:ascii="宋体" w:hAnsi="宋体" w:eastAsia="宋体" w:cs="Times New Roman"/>
          <w:sz w:val="24"/>
          <w:lang w:val="zh-CN"/>
        </w:rPr>
        <w:t>中标候选人的</w:t>
      </w:r>
      <w:r>
        <w:rPr>
          <w:rFonts w:hint="eastAsia" w:ascii="宋体" w:hAnsi="宋体" w:eastAsia="宋体" w:cs="Times New Roman"/>
          <w:sz w:val="24"/>
        </w:rPr>
        <w:t>确定</w:t>
      </w:r>
      <w:r>
        <w:rPr>
          <w:rFonts w:hint="eastAsia" w:ascii="宋体" w:hAnsi="宋体" w:eastAsia="宋体" w:cs="Times New Roman"/>
          <w:sz w:val="24"/>
          <w:lang w:val="zh-CN"/>
        </w:rPr>
        <w:t xml:space="preserve">原则和数量见招标文件第五章。 </w:t>
      </w:r>
    </w:p>
    <w:p w14:paraId="5FF68F82">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rPr>
        <w:t>21</w:t>
      </w:r>
      <w:r>
        <w:rPr>
          <w:rFonts w:hint="eastAsia" w:ascii="宋体" w:hAnsi="宋体" w:eastAsia="宋体" w:cs="Times New Roman"/>
          <w:sz w:val="24"/>
          <w:lang w:val="zh-CN"/>
        </w:rPr>
        <w:t>.2 按以下第（</w:t>
      </w:r>
      <w:r>
        <w:rPr>
          <w:rFonts w:hint="eastAsia" w:ascii="宋体" w:hAnsi="宋体" w:cs="Times New Roman"/>
          <w:sz w:val="24"/>
        </w:rPr>
        <w:t>2</w:t>
      </w:r>
      <w:r>
        <w:rPr>
          <w:rFonts w:hint="eastAsia" w:ascii="宋体" w:hAnsi="宋体" w:eastAsia="宋体" w:cs="Times New Roman"/>
          <w:sz w:val="24"/>
          <w:lang w:val="zh-CN"/>
        </w:rPr>
        <w:t>）种方式确定中标人：</w:t>
      </w:r>
    </w:p>
    <w:p w14:paraId="10EC46F2">
      <w:pPr>
        <w:widowControl w:val="0"/>
        <w:adjustRightInd w:val="0"/>
        <w:snapToGrid w:val="0"/>
        <w:spacing w:line="360" w:lineRule="auto"/>
        <w:ind w:firstLine="420" w:firstLineChars="175"/>
        <w:rPr>
          <w:rFonts w:hint="eastAsia" w:ascii="宋体" w:hAnsi="宋体" w:eastAsia="宋体" w:cs="Times New Roman"/>
          <w:sz w:val="24"/>
          <w:lang w:val="zh-CN"/>
        </w:rPr>
      </w:pPr>
      <w:r>
        <w:rPr>
          <w:rFonts w:hint="eastAsia" w:ascii="宋体" w:hAnsi="宋体" w:eastAsia="宋体" w:cs="Times New Roman"/>
          <w:sz w:val="24"/>
          <w:lang w:val="zh-CN"/>
        </w:rPr>
        <w:t>（1）评委会直接确定排名第一的中标候选人为中标人；</w:t>
      </w:r>
    </w:p>
    <w:p w14:paraId="536A67C9">
      <w:pPr>
        <w:widowControl w:val="0"/>
        <w:adjustRightInd w:val="0"/>
        <w:snapToGrid w:val="0"/>
        <w:spacing w:line="360" w:lineRule="auto"/>
        <w:ind w:firstLine="420" w:firstLineChars="175"/>
        <w:rPr>
          <w:rFonts w:hint="eastAsia" w:ascii="宋体" w:hAnsi="宋体" w:eastAsia="宋体" w:cs="Times New Roman"/>
          <w:sz w:val="24"/>
          <w:lang w:val="zh-CN"/>
        </w:rPr>
      </w:pPr>
      <w:r>
        <w:rPr>
          <w:rFonts w:hint="eastAsia" w:ascii="宋体" w:hAnsi="宋体" w:eastAsia="宋体" w:cs="Times New Roman"/>
          <w:sz w:val="24"/>
          <w:lang w:val="zh-CN"/>
        </w:rPr>
        <w:t>（2）采购人在评委会推荐的中标候选人中按顺序确定中标人。</w:t>
      </w:r>
    </w:p>
    <w:p w14:paraId="341C7ADD">
      <w:pPr>
        <w:widowControl w:val="0"/>
        <w:adjustRightInd w:val="0"/>
        <w:snapToGrid w:val="0"/>
        <w:spacing w:line="360" w:lineRule="auto"/>
        <w:ind w:firstLine="420" w:firstLineChars="175"/>
        <w:rPr>
          <w:rFonts w:hint="eastAsia" w:ascii="宋体" w:hAnsi="宋体" w:eastAsia="宋体" w:cs="Times New Roman"/>
          <w:sz w:val="24"/>
          <w:lang w:val="zh-CN"/>
        </w:rPr>
      </w:pPr>
      <w:r>
        <w:rPr>
          <w:rFonts w:hint="eastAsia" w:ascii="宋体" w:hAnsi="宋体" w:eastAsia="宋体" w:cs="Times New Roman"/>
          <w:sz w:val="24"/>
          <w:lang w:val="zh-CN"/>
        </w:rPr>
        <w:t>按第二种方式确定中标人的，自评审结束之日起两个工作日内将评审报告送</w:t>
      </w:r>
      <w:r>
        <w:rPr>
          <w:rFonts w:hint="eastAsia" w:ascii="宋体" w:hAnsi="宋体" w:eastAsia="宋体" w:cs="Times New Roman"/>
          <w:sz w:val="24"/>
        </w:rPr>
        <w:t>达</w:t>
      </w:r>
      <w:r>
        <w:rPr>
          <w:rFonts w:hint="eastAsia" w:ascii="宋体" w:hAnsi="宋体" w:eastAsia="宋体" w:cs="Times New Roman"/>
          <w:sz w:val="24"/>
          <w:lang w:val="zh-CN"/>
        </w:rPr>
        <w:t>采购人，采购人自收到评审报告之日起五个工作日内，在评审报告推荐的中标候选人中按顺序确定中标人。</w:t>
      </w:r>
    </w:p>
    <w:p w14:paraId="43A238E4">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cs="Times New Roman"/>
          <w:sz w:val="24"/>
        </w:rPr>
        <w:t>1</w:t>
      </w:r>
      <w:r>
        <w:rPr>
          <w:rFonts w:hint="eastAsia" w:ascii="宋体" w:hAnsi="宋体" w:eastAsia="宋体" w:cs="Times New Roman"/>
          <w:sz w:val="24"/>
          <w:lang w:val="zh-CN"/>
        </w:rPr>
        <w:t>.3 在“江苏政府采购网”发布中标公告，公告期限为1个工作日。</w:t>
      </w:r>
    </w:p>
    <w:p w14:paraId="416D5D0B">
      <w:pPr>
        <w:widowControl w:val="0"/>
        <w:adjustRightInd w:val="0"/>
        <w:snapToGrid w:val="0"/>
        <w:spacing w:line="360" w:lineRule="auto"/>
        <w:ind w:firstLine="480" w:firstLineChars="200"/>
        <w:rPr>
          <w:rFonts w:hint="eastAsia" w:ascii="宋体" w:hAnsi="宋体" w:eastAsia="宋体" w:cs="Times New Roman"/>
          <w:b/>
          <w:bCs/>
          <w:sz w:val="24"/>
          <w:lang w:val="zh-CN"/>
        </w:rPr>
      </w:pPr>
      <w:r>
        <w:rPr>
          <w:rFonts w:hint="eastAsia" w:ascii="宋体" w:hAnsi="宋体" w:eastAsia="宋体" w:cs="Times New Roman"/>
          <w:sz w:val="24"/>
          <w:lang w:val="zh-CN"/>
        </w:rPr>
        <w:t>2</w:t>
      </w:r>
      <w:r>
        <w:rPr>
          <w:rFonts w:hint="eastAsia" w:ascii="宋体" w:hAnsi="宋体" w:cs="Times New Roman"/>
          <w:sz w:val="24"/>
        </w:rPr>
        <w:t>1</w:t>
      </w:r>
      <w:r>
        <w:rPr>
          <w:rFonts w:hint="eastAsia" w:ascii="宋体" w:hAnsi="宋体" w:eastAsia="宋体" w:cs="Times New Roman"/>
          <w:sz w:val="24"/>
          <w:lang w:val="zh-CN"/>
        </w:rPr>
        <w:t>.4</w:t>
      </w:r>
      <w:r>
        <w:rPr>
          <w:rFonts w:hint="eastAsia" w:ascii="宋体" w:hAnsi="宋体" w:eastAsia="宋体" w:cs="Times New Roman"/>
          <w:sz w:val="24"/>
        </w:rPr>
        <w:t xml:space="preserve"> </w:t>
      </w:r>
      <w:r>
        <w:rPr>
          <w:rFonts w:hint="eastAsia" w:ascii="宋体" w:hAnsi="宋体" w:eastAsia="宋体" w:cs="Times New Roman"/>
          <w:b/>
          <w:bCs/>
          <w:sz w:val="24"/>
          <w:lang w:val="zh-CN"/>
        </w:rPr>
        <w:t>若有充分证据证明中标人</w:t>
      </w:r>
      <w:r>
        <w:rPr>
          <w:rFonts w:hint="eastAsia" w:ascii="宋体" w:hAnsi="宋体" w:eastAsia="宋体" w:cs="Times New Roman"/>
          <w:b/>
          <w:bCs/>
          <w:sz w:val="24"/>
        </w:rPr>
        <w:t>有</w:t>
      </w:r>
      <w:r>
        <w:rPr>
          <w:rFonts w:hint="eastAsia" w:ascii="宋体" w:hAnsi="宋体" w:eastAsia="宋体" w:cs="Times New Roman"/>
          <w:b/>
          <w:bCs/>
          <w:sz w:val="24"/>
          <w:lang w:val="zh-CN"/>
        </w:rPr>
        <w:t>下列情况之一的，一经查实将被取消中标资格：</w:t>
      </w:r>
    </w:p>
    <w:p w14:paraId="1B973D26">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eastAsia="宋体" w:cs="Times New Roman"/>
          <w:sz w:val="24"/>
        </w:rPr>
        <w:t>1</w:t>
      </w:r>
      <w:r>
        <w:rPr>
          <w:rFonts w:hint="eastAsia" w:ascii="宋体" w:hAnsi="宋体" w:eastAsia="宋体" w:cs="Times New Roman"/>
          <w:sz w:val="24"/>
          <w:lang w:val="zh-CN"/>
        </w:rPr>
        <w:t>.4.1 提供虚假材料谋取中标。</w:t>
      </w:r>
    </w:p>
    <w:p w14:paraId="14119F98">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eastAsia="宋体" w:cs="Times New Roman"/>
          <w:sz w:val="24"/>
        </w:rPr>
        <w:t>1</w:t>
      </w:r>
      <w:r>
        <w:rPr>
          <w:rFonts w:hint="eastAsia" w:ascii="宋体" w:hAnsi="宋体" w:eastAsia="宋体" w:cs="Times New Roman"/>
          <w:sz w:val="24"/>
          <w:lang w:val="zh-CN"/>
        </w:rPr>
        <w:t>.4.2 向评审专家、采购人或交易中心工作人员行贿或者提供其他不正当利益。</w:t>
      </w:r>
    </w:p>
    <w:p w14:paraId="032433F5">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eastAsia="宋体" w:cs="Times New Roman"/>
          <w:sz w:val="24"/>
        </w:rPr>
        <w:t>1</w:t>
      </w:r>
      <w:r>
        <w:rPr>
          <w:rFonts w:hint="eastAsia" w:ascii="宋体" w:hAnsi="宋体" w:eastAsia="宋体" w:cs="Times New Roman"/>
          <w:sz w:val="24"/>
          <w:lang w:val="zh-CN"/>
        </w:rPr>
        <w:t>.4.3 与其他投标人、评审专家、采购人或交易中心工作人员恶意串通。</w:t>
      </w:r>
    </w:p>
    <w:p w14:paraId="1EE9F827">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eastAsia="宋体" w:cs="Times New Roman"/>
          <w:sz w:val="24"/>
        </w:rPr>
        <w:t>1</w:t>
      </w:r>
      <w:r>
        <w:rPr>
          <w:rFonts w:hint="eastAsia" w:ascii="宋体" w:hAnsi="宋体" w:eastAsia="宋体" w:cs="Times New Roman"/>
          <w:sz w:val="24"/>
          <w:lang w:val="zh-CN"/>
        </w:rPr>
        <w:t>.4.4 属于本文件规定的无效投标情形，但在评标过程中未被评委会发现。</w:t>
      </w:r>
    </w:p>
    <w:p w14:paraId="10E1A1DA">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eastAsia="宋体" w:cs="Times New Roman"/>
          <w:sz w:val="24"/>
        </w:rPr>
        <w:t>1</w:t>
      </w:r>
      <w:r>
        <w:rPr>
          <w:rFonts w:hint="eastAsia" w:ascii="宋体" w:hAnsi="宋体" w:eastAsia="宋体" w:cs="Times New Roman"/>
          <w:sz w:val="24"/>
          <w:lang w:val="zh-CN"/>
        </w:rPr>
        <w:t>.4.5 采取不正当手段诋毁、排挤其他投标人。</w:t>
      </w:r>
    </w:p>
    <w:p w14:paraId="3B0ADCB8">
      <w:pPr>
        <w:widowControl w:val="0"/>
        <w:shd w:val="clear" w:color="auto" w:fill="FFFFFF"/>
        <w:spacing w:line="360" w:lineRule="auto"/>
        <w:ind w:firstLine="482" w:firstLineChars="200"/>
        <w:jc w:val="both"/>
        <w:rPr>
          <w:rFonts w:hint="eastAsia" w:ascii="宋体" w:hAnsi="宋体" w:eastAsia="宋体" w:cs="Arial"/>
          <w:b/>
          <w:bCs/>
          <w:sz w:val="24"/>
          <w:szCs w:val="24"/>
        </w:rPr>
      </w:pPr>
      <w:r>
        <w:rPr>
          <w:rFonts w:hint="eastAsia" w:ascii="宋体" w:hAnsi="宋体" w:eastAsia="宋体" w:cs="Arial"/>
          <w:b/>
          <w:bCs/>
          <w:sz w:val="24"/>
          <w:szCs w:val="24"/>
        </w:rPr>
        <w:t>22、中标通知书</w:t>
      </w:r>
    </w:p>
    <w:p w14:paraId="2AC26559">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cs="Times New Roman"/>
          <w:sz w:val="24"/>
        </w:rPr>
        <w:t>2</w:t>
      </w:r>
      <w:r>
        <w:rPr>
          <w:rFonts w:hint="eastAsia" w:ascii="宋体" w:hAnsi="宋体" w:eastAsia="宋体" w:cs="Times New Roman"/>
          <w:sz w:val="24"/>
          <w:lang w:val="zh-CN"/>
        </w:rPr>
        <w:t>.</w:t>
      </w:r>
      <w:r>
        <w:rPr>
          <w:rFonts w:hint="eastAsia" w:ascii="宋体" w:hAnsi="宋体" w:cs="Times New Roman"/>
          <w:sz w:val="24"/>
        </w:rPr>
        <w:t>1</w:t>
      </w:r>
      <w:r>
        <w:rPr>
          <w:rFonts w:hint="eastAsia" w:ascii="宋体" w:hAnsi="宋体" w:eastAsia="宋体" w:cs="Times New Roman"/>
          <w:sz w:val="24"/>
          <w:lang w:val="zh-CN"/>
        </w:rPr>
        <w:t xml:space="preserve"> 中标结果确定后，</w:t>
      </w:r>
      <w:r>
        <w:rPr>
          <w:rFonts w:hint="eastAsia" w:ascii="宋体" w:hAnsi="宋体" w:eastAsia="宋体" w:cs="Times New Roman"/>
          <w:sz w:val="24"/>
        </w:rPr>
        <w:t>招标人或者招标代理机构</w:t>
      </w:r>
      <w:r>
        <w:rPr>
          <w:rFonts w:hint="eastAsia" w:ascii="宋体" w:hAnsi="宋体" w:eastAsia="宋体" w:cs="Times New Roman"/>
          <w:sz w:val="24"/>
          <w:lang w:val="zh-CN"/>
        </w:rPr>
        <w:t>向中标人发出《中标通知书》。中标人</w:t>
      </w:r>
      <w:r>
        <w:rPr>
          <w:rFonts w:hint="eastAsia" w:ascii="宋体" w:hAnsi="宋体" w:eastAsia="宋体" w:cs="Times New Roman"/>
          <w:sz w:val="24"/>
        </w:rPr>
        <w:t>可</w:t>
      </w:r>
      <w:r>
        <w:rPr>
          <w:rFonts w:hint="eastAsia" w:ascii="宋体" w:hAnsi="宋体" w:eastAsia="宋体" w:cs="Times New Roman"/>
          <w:sz w:val="24"/>
          <w:lang w:val="zh-CN"/>
        </w:rPr>
        <w:t>在中标结果公告届满之日起三十日内</w:t>
      </w:r>
      <w:r>
        <w:rPr>
          <w:rFonts w:hint="eastAsia" w:ascii="宋体" w:hAnsi="宋体" w:cs="Times New Roman"/>
          <w:sz w:val="24"/>
          <w:lang w:val="zh-CN"/>
        </w:rPr>
        <w:t>，</w:t>
      </w:r>
      <w:r>
        <w:rPr>
          <w:rFonts w:hint="eastAsia" w:ascii="宋体" w:hAnsi="宋体" w:eastAsia="宋体" w:cs="Times New Roman"/>
          <w:sz w:val="24"/>
          <w:lang w:val="zh-CN"/>
        </w:rPr>
        <w:t>登录苏采云系统下载。</w:t>
      </w:r>
    </w:p>
    <w:p w14:paraId="7EB6CD63">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因系统存储空间有限，中标结果公告届满之日起三十日后，苏采云系统不再保证提供下载《中标通知书》服务，因未及时下载而造成的不利后果由中标人自行承担。</w:t>
      </w:r>
    </w:p>
    <w:p w14:paraId="45F248CC">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2</w:t>
      </w:r>
      <w:r>
        <w:rPr>
          <w:rFonts w:hint="eastAsia" w:ascii="宋体" w:hAnsi="宋体" w:cs="Times New Roman"/>
          <w:sz w:val="24"/>
        </w:rPr>
        <w:t>2</w:t>
      </w:r>
      <w:r>
        <w:rPr>
          <w:rFonts w:hint="eastAsia" w:ascii="宋体" w:hAnsi="宋体" w:eastAsia="宋体" w:cs="Times New Roman"/>
          <w:sz w:val="24"/>
          <w:lang w:val="zh-CN"/>
        </w:rPr>
        <w:t>.2</w:t>
      </w:r>
      <w:r>
        <w:rPr>
          <w:rFonts w:hint="eastAsia" w:ascii="宋体" w:hAnsi="宋体" w:eastAsia="宋体" w:cs="Times New Roman"/>
          <w:sz w:val="24"/>
        </w:rPr>
        <w:t xml:space="preserve"> 《</w:t>
      </w:r>
      <w:r>
        <w:rPr>
          <w:rFonts w:hint="eastAsia" w:ascii="宋体" w:hAnsi="宋体" w:eastAsia="宋体" w:cs="Times New Roman"/>
          <w:sz w:val="24"/>
          <w:lang w:val="zh-CN"/>
        </w:rPr>
        <w:t>中标通知书</w:t>
      </w:r>
      <w:r>
        <w:rPr>
          <w:rFonts w:hint="eastAsia" w:ascii="宋体" w:hAnsi="宋体" w:eastAsia="宋体" w:cs="Times New Roman"/>
          <w:sz w:val="24"/>
        </w:rPr>
        <w:t>》</w:t>
      </w:r>
      <w:r>
        <w:rPr>
          <w:rFonts w:hint="eastAsia" w:ascii="宋体" w:hAnsi="宋体" w:eastAsia="宋体" w:cs="Times New Roman"/>
          <w:sz w:val="24"/>
          <w:lang w:val="zh-CN"/>
        </w:rPr>
        <w:t>是合同的一个组成部分，对采购人和中标人均具有法律效力。《中标通知书》发出后，采购人改变中标结果或者中标人放弃中标项目的，应当依法承担法律责任。</w:t>
      </w:r>
    </w:p>
    <w:p w14:paraId="7ADFA16F">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六、授予合同</w:t>
      </w:r>
    </w:p>
    <w:p w14:paraId="70410BAB">
      <w:pPr>
        <w:widowControl w:val="0"/>
        <w:shd w:val="clear" w:color="auto" w:fill="FFFFFF"/>
        <w:spacing w:line="360" w:lineRule="auto"/>
        <w:ind w:firstLine="482" w:firstLineChars="200"/>
        <w:rPr>
          <w:rFonts w:hint="eastAsia" w:ascii="宋体" w:hAnsi="宋体" w:eastAsia="宋体" w:cs="Arial"/>
          <w:b/>
          <w:bCs/>
          <w:sz w:val="24"/>
          <w:szCs w:val="24"/>
        </w:rPr>
      </w:pPr>
      <w:r>
        <w:rPr>
          <w:rFonts w:ascii="宋体" w:hAnsi="宋体" w:eastAsia="宋体" w:cs="Arial"/>
          <w:b/>
          <w:bCs/>
          <w:sz w:val="24"/>
          <w:szCs w:val="24"/>
        </w:rPr>
        <w:t>2</w:t>
      </w:r>
      <w:r>
        <w:rPr>
          <w:rFonts w:hint="eastAsia" w:ascii="宋体" w:hAnsi="宋体" w:eastAsia="宋体" w:cs="Arial"/>
          <w:b/>
          <w:bCs/>
          <w:sz w:val="24"/>
          <w:szCs w:val="24"/>
        </w:rPr>
        <w:t>3、签订合同</w:t>
      </w:r>
    </w:p>
    <w:p w14:paraId="0A699224">
      <w:pPr>
        <w:widowControl w:val="0"/>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zh-CN"/>
        </w:rPr>
        <w:t>2</w:t>
      </w:r>
      <w:r>
        <w:rPr>
          <w:rFonts w:hint="eastAsia" w:ascii="宋体" w:hAnsi="宋体" w:eastAsia="宋体" w:cs="Times New Roman"/>
          <w:sz w:val="24"/>
        </w:rPr>
        <w:t>3.1</w:t>
      </w:r>
      <w:r>
        <w:rPr>
          <w:rFonts w:hint="eastAsia" w:ascii="宋体" w:hAnsi="宋体" w:eastAsia="宋体" w:cs="Times New Roman"/>
          <w:sz w:val="24"/>
          <w:lang w:val="zh-CN"/>
        </w:rPr>
        <w:t xml:space="preserve"> </w:t>
      </w:r>
      <w:r>
        <w:rPr>
          <w:rFonts w:hint="eastAsia" w:ascii="宋体" w:hAnsi="宋体" w:eastAsia="宋体" w:cs="Times New Roman"/>
          <w:sz w:val="24"/>
        </w:rPr>
        <w:t>中标人应当</w:t>
      </w:r>
      <w:r>
        <w:rPr>
          <w:rFonts w:hint="eastAsia" w:ascii="宋体" w:hAnsi="宋体" w:eastAsia="宋体" w:cs="Times New Roman"/>
          <w:sz w:val="24"/>
          <w:lang w:val="zh-CN"/>
        </w:rPr>
        <w:t>在《</w:t>
      </w:r>
      <w:r>
        <w:rPr>
          <w:rFonts w:hint="eastAsia" w:ascii="宋体" w:hAnsi="宋体" w:eastAsia="宋体" w:cs="Times New Roman"/>
          <w:sz w:val="24"/>
        </w:rPr>
        <w:t>中标通知书</w:t>
      </w:r>
      <w:r>
        <w:rPr>
          <w:rFonts w:hint="eastAsia" w:ascii="宋体" w:hAnsi="宋体" w:eastAsia="宋体" w:cs="Times New Roman"/>
          <w:sz w:val="24"/>
          <w:lang w:val="zh-CN"/>
        </w:rPr>
        <w:t>》</w:t>
      </w:r>
      <w:r>
        <w:rPr>
          <w:rFonts w:hint="eastAsia" w:ascii="宋体" w:hAnsi="宋体" w:eastAsia="宋体" w:cs="Times New Roman"/>
          <w:sz w:val="24"/>
        </w:rPr>
        <w:t>发出之日起三十日内，按照招标文件确定的事项与采购人签订政府采购合同。</w:t>
      </w:r>
      <w:r>
        <w:rPr>
          <w:rFonts w:hint="eastAsia" w:ascii="宋体" w:hAnsi="宋体" w:eastAsia="宋体" w:cs="Times New Roman"/>
          <w:sz w:val="24"/>
          <w:lang w:val="zh-CN"/>
        </w:rPr>
        <w:t>采购人于合同签订后2个工作日内通过苏采云系统进行公示。</w:t>
      </w:r>
    </w:p>
    <w:p w14:paraId="0F181BAA">
      <w:pPr>
        <w:widowControl w:val="0"/>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zh-CN"/>
        </w:rPr>
        <w:t>2</w:t>
      </w:r>
      <w:r>
        <w:rPr>
          <w:rFonts w:hint="eastAsia" w:ascii="宋体" w:hAnsi="宋体" w:eastAsia="宋体" w:cs="Times New Roman"/>
          <w:sz w:val="24"/>
        </w:rPr>
        <w:t>3.2 招标文件、中标人的投标文件及招标过程中有关澄清、承诺文件均作为合同附件。</w:t>
      </w:r>
    </w:p>
    <w:p w14:paraId="2AE9FF28">
      <w:pPr>
        <w:widowControl w:val="0"/>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lang w:val="zh-CN"/>
        </w:rPr>
        <w:t>2</w:t>
      </w:r>
      <w:r>
        <w:rPr>
          <w:rFonts w:hint="eastAsia" w:ascii="宋体" w:hAnsi="宋体" w:eastAsia="宋体" w:cs="Times New Roman"/>
          <w:sz w:val="24"/>
        </w:rPr>
        <w:t>3.3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6DEE766C">
      <w:pPr>
        <w:widowControl w:val="0"/>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23.4中标人不得将合同标的进行转包，否则采购人有权取消其中标资格或终止合同。转包造成采购人损失的，中标人应承担相应赔偿责任。</w:t>
      </w:r>
    </w:p>
    <w:p w14:paraId="704205B7">
      <w:pPr>
        <w:shd w:val="clear" w:color="auto" w:fill="FFFFFF"/>
        <w:spacing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lang w:val="zh-CN"/>
        </w:rPr>
        <w:t>2</w:t>
      </w:r>
      <w:r>
        <w:rPr>
          <w:rFonts w:hint="eastAsia" w:ascii="宋体" w:hAnsi="宋体" w:eastAsia="宋体" w:cs="Times New Roman"/>
          <w:sz w:val="24"/>
        </w:rPr>
        <w:t>3.5 中标人因自身原因拒绝与采购人签订合同的，不得参加采购人</w:t>
      </w:r>
      <w:r>
        <w:rPr>
          <w:rFonts w:hint="eastAsia" w:ascii="宋体" w:hAnsi="宋体" w:eastAsia="宋体" w:cs="Times New Roman"/>
          <w:sz w:val="24"/>
          <w:lang w:val="zh-CN"/>
        </w:rPr>
        <w:t>重新组织的</w:t>
      </w:r>
      <w:r>
        <w:rPr>
          <w:rFonts w:hint="eastAsia" w:ascii="宋体" w:hAnsi="宋体" w:eastAsia="宋体" w:cs="Times New Roman"/>
          <w:sz w:val="24"/>
        </w:rPr>
        <w:t>采购活动</w:t>
      </w:r>
      <w:r>
        <w:rPr>
          <w:rFonts w:hint="eastAsia" w:ascii="宋体" w:hAnsi="宋体" w:eastAsia="宋体" w:cs="Times New Roman"/>
          <w:sz w:val="24"/>
          <w:lang w:val="zh-CN"/>
        </w:rPr>
        <w:t>，且将可能被拒绝参加该采购人</w:t>
      </w:r>
      <w:r>
        <w:rPr>
          <w:rFonts w:hint="eastAsia" w:ascii="宋体" w:hAnsi="宋体" w:eastAsia="宋体" w:cs="Times New Roman"/>
          <w:sz w:val="24"/>
        </w:rPr>
        <w:t>一年内</w:t>
      </w:r>
      <w:r>
        <w:rPr>
          <w:rFonts w:hint="eastAsia" w:ascii="宋体" w:hAnsi="宋体" w:eastAsia="宋体" w:cs="Times New Roman"/>
          <w:sz w:val="24"/>
          <w:lang w:val="zh-CN"/>
        </w:rPr>
        <w:t>的其他</w:t>
      </w:r>
      <w:r>
        <w:rPr>
          <w:rFonts w:hint="eastAsia" w:ascii="宋体" w:hAnsi="宋体" w:eastAsia="宋体" w:cs="Times New Roman"/>
          <w:sz w:val="24"/>
        </w:rPr>
        <w:t>政府采购活动。</w:t>
      </w:r>
    </w:p>
    <w:p w14:paraId="2FE240AE">
      <w:pPr>
        <w:widowControl w:val="0"/>
        <w:adjustRightInd w:val="0"/>
        <w:snapToGrid w:val="0"/>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24.标的物的追加</w:t>
      </w:r>
    </w:p>
    <w:p w14:paraId="15D82F27">
      <w:pPr>
        <w:widowControl w:val="0"/>
        <w:adjustRightInd w:val="0"/>
        <w:snapToGrid w:val="0"/>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24.1 合同履行中，采购人需追加与合同标的相同的服务（包含与服务相关的货物），在不改变合同其他条款的前提下，可以与中标人协商签订补充合同，但所有补充合同的金额不超过原合同金额的10%。</w:t>
      </w:r>
    </w:p>
    <w:p w14:paraId="219599C7">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b/>
          <w:bCs/>
          <w:sz w:val="24"/>
          <w:szCs w:val="24"/>
        </w:rPr>
        <w:t>七、质疑和投诉</w:t>
      </w:r>
    </w:p>
    <w:p w14:paraId="03391A06">
      <w:pPr>
        <w:widowControl w:val="0"/>
        <w:shd w:val="clear" w:color="auto" w:fill="FFFFFF"/>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25、质疑</w:t>
      </w:r>
    </w:p>
    <w:p w14:paraId="40A80A88">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25.1供应商对招标活动事项有疑问的，可以向招标代理机构提出询问，招标代理机构将依法作出答复，但答复的内容不涉及商业秘密。</w:t>
      </w:r>
    </w:p>
    <w:p w14:paraId="09A8DFA6">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25.2提出质疑的供应商应当是参与所质疑项目采购活动的供应商。潜在供应商已依法获取其可质疑的采购文件的，可以对该文件提出质疑。</w:t>
      </w:r>
    </w:p>
    <w:p w14:paraId="2E989E6D">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以联合体形式参加政府采购活动的，其质疑应当由组成联合体的所有供应商共同提出。</w:t>
      </w:r>
    </w:p>
    <w:p w14:paraId="30027B23">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25.3供应商认为采购文件、采购过程和中标结果使自己的合法权益受到损害的，可以在知道或者应知其权益受到损害之日起七个工作日内，将质疑文件原件送达采购人或采购代理机构。</w:t>
      </w:r>
    </w:p>
    <w:p w14:paraId="6A3AC8C0">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6C346230">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供应商必须在法定质疑期内一次性提出针对同一采购程序环节的质疑。</w:t>
      </w:r>
    </w:p>
    <w:p w14:paraId="30A7AF9E">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25.4 供应商提出质疑应当提交质疑函和必要的证明材料。质疑函应当包括下列内容：</w:t>
      </w:r>
    </w:p>
    <w:p w14:paraId="2C0914B2">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（一）供应商的姓名或者名称、地址、邮编、联系人及联系电话；</w:t>
      </w:r>
    </w:p>
    <w:p w14:paraId="736BB166">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（二）质疑项目的名称、编号；</w:t>
      </w:r>
    </w:p>
    <w:p w14:paraId="058193DD">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（三）具体、明确的质疑事项和与质疑事项相关的请求（具体条款）；</w:t>
      </w:r>
    </w:p>
    <w:p w14:paraId="571237DC">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（四）事实依据（具体条款）；</w:t>
      </w:r>
    </w:p>
    <w:p w14:paraId="70F5E410">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（五）必要的法律依据（具体条款）；</w:t>
      </w:r>
    </w:p>
    <w:p w14:paraId="243B1E4B">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（六）提出质疑的日期。</w:t>
      </w:r>
    </w:p>
    <w:p w14:paraId="0B05ED0E">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D63E256">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质疑函应当使用中文。相关当事人提供外文书证或者外国语视听资料的，应当附有中文译本，由翻译机构盖章或者翻译人员签名。</w:t>
      </w:r>
    </w:p>
    <w:p w14:paraId="7BEEFC8B">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25.5质疑函应当现场提交至采购代理机构联系人处，提交时应出示有效身份证明。未按上述要求提交质疑函的，质疑不予受理。</w:t>
      </w:r>
    </w:p>
    <w:p w14:paraId="1A5B51B7">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25.6投标人不得虚假质疑和恶意质疑，并对质疑内容的真实性承担责任。投标人或者利害关系人通过捏造事实、伪造证明材料等方式提出异议或投诉，阻碍招投标活动正常进行的，属于严重不良行为，代理机构将提请财政部门将其列入不良行为记录名单，并依法予以处罚。</w:t>
      </w:r>
    </w:p>
    <w:p w14:paraId="3C5A9EA4">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25.7采购代理机构在收到投标人的书面质疑后将及时组织调查核实，在七个工作日内作出答复，并以书面或在网站公告形式通知质疑投标人和其他有关投标人，答复的内容不涉及商业秘密。</w:t>
      </w:r>
    </w:p>
    <w:p w14:paraId="7B84C627">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cs="Times New Roman"/>
          <w:sz w:val="24"/>
        </w:rPr>
        <w:t>25.8</w:t>
      </w:r>
      <w:r>
        <w:rPr>
          <w:rFonts w:hint="eastAsia" w:ascii="宋体" w:hAnsi="宋体" w:eastAsia="宋体" w:cs="Times New Roman"/>
          <w:sz w:val="24"/>
          <w:lang w:val="zh-CN"/>
        </w:rPr>
        <w:t>以下情形的质疑不予受理：</w:t>
      </w:r>
    </w:p>
    <w:p w14:paraId="2FB2B86F">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cs="Times New Roman"/>
          <w:sz w:val="24"/>
        </w:rPr>
        <w:t>25.8.1</w:t>
      </w:r>
      <w:r>
        <w:rPr>
          <w:rFonts w:hint="eastAsia" w:ascii="宋体" w:hAnsi="宋体" w:eastAsia="宋体" w:cs="Times New Roman"/>
          <w:sz w:val="24"/>
          <w:lang w:val="zh-CN"/>
        </w:rPr>
        <w:t xml:space="preserve"> 超出政府采购法定期限的质疑。</w:t>
      </w:r>
    </w:p>
    <w:p w14:paraId="765A544F">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cs="Times New Roman"/>
          <w:sz w:val="24"/>
        </w:rPr>
        <w:t>25.8</w:t>
      </w:r>
      <w:r>
        <w:rPr>
          <w:rFonts w:hint="eastAsia" w:ascii="宋体" w:hAnsi="宋体" w:eastAsia="宋体" w:cs="Times New Roman"/>
          <w:sz w:val="24"/>
        </w:rPr>
        <w:t>.2属于第30条规定的对</w:t>
      </w:r>
      <w:r>
        <w:rPr>
          <w:rFonts w:hint="eastAsia" w:ascii="宋体" w:hAnsi="宋体" w:eastAsia="宋体" w:cs="Times New Roman"/>
          <w:sz w:val="24"/>
          <w:lang w:val="zh-CN"/>
        </w:rPr>
        <w:t>同一采购程序环节提出</w:t>
      </w:r>
      <w:r>
        <w:rPr>
          <w:rFonts w:hint="eastAsia" w:ascii="宋体" w:hAnsi="宋体" w:eastAsia="宋体" w:cs="Times New Roman"/>
          <w:sz w:val="24"/>
        </w:rPr>
        <w:t>的多次</w:t>
      </w:r>
      <w:r>
        <w:rPr>
          <w:rFonts w:hint="eastAsia" w:ascii="宋体" w:hAnsi="宋体" w:eastAsia="宋体" w:cs="Times New Roman"/>
          <w:sz w:val="24"/>
          <w:lang w:val="zh-CN"/>
        </w:rPr>
        <w:t>质疑。</w:t>
      </w:r>
    </w:p>
    <w:p w14:paraId="026160AD">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cs="Times New Roman"/>
          <w:sz w:val="24"/>
        </w:rPr>
        <w:t>25.8.3</w:t>
      </w:r>
      <w:r>
        <w:rPr>
          <w:rFonts w:hint="eastAsia" w:ascii="宋体" w:hAnsi="宋体" w:eastAsia="宋体" w:cs="Times New Roman"/>
          <w:sz w:val="24"/>
          <w:lang w:val="zh-CN"/>
        </w:rPr>
        <w:t xml:space="preserve"> 法律法规规定的</w:t>
      </w:r>
      <w:r>
        <w:rPr>
          <w:rFonts w:hint="eastAsia" w:ascii="宋体" w:hAnsi="宋体" w:eastAsia="宋体" w:cs="Times New Roman"/>
          <w:sz w:val="24"/>
        </w:rPr>
        <w:t>其他</w:t>
      </w:r>
      <w:r>
        <w:rPr>
          <w:rFonts w:hint="eastAsia" w:ascii="宋体" w:hAnsi="宋体" w:eastAsia="宋体" w:cs="Times New Roman"/>
          <w:sz w:val="24"/>
          <w:lang w:val="zh-CN"/>
        </w:rPr>
        <w:t>不予受理情形。</w:t>
      </w:r>
    </w:p>
    <w:p w14:paraId="6CC677A1">
      <w:pPr>
        <w:widowControl w:val="0"/>
        <w:adjustRightInd w:val="0"/>
        <w:snapToGrid w:val="0"/>
        <w:spacing w:line="360" w:lineRule="auto"/>
        <w:ind w:firstLine="480" w:firstLineChars="200"/>
        <w:rPr>
          <w:rFonts w:hint="eastAsia" w:ascii="宋体" w:hAnsi="宋体" w:eastAsia="宋体" w:cs="Times New Roman"/>
          <w:sz w:val="24"/>
          <w:lang w:val="zh-CN"/>
        </w:rPr>
      </w:pPr>
      <w:r>
        <w:rPr>
          <w:rFonts w:hint="eastAsia" w:ascii="宋体" w:hAnsi="宋体" w:cs="Times New Roman"/>
          <w:sz w:val="24"/>
        </w:rPr>
        <w:t>25.9</w:t>
      </w:r>
      <w:r>
        <w:rPr>
          <w:rFonts w:hint="eastAsia" w:ascii="宋体" w:hAnsi="宋体" w:cs="Times New Roman"/>
          <w:sz w:val="24"/>
          <w:lang w:val="zh-CN"/>
        </w:rPr>
        <w:t>投标人</w:t>
      </w:r>
      <w:r>
        <w:rPr>
          <w:rFonts w:hint="eastAsia" w:ascii="宋体" w:hAnsi="宋体" w:eastAsia="宋体" w:cs="Times New Roman"/>
          <w:sz w:val="24"/>
          <w:lang w:val="zh-CN"/>
        </w:rPr>
        <w:t>提出书面质疑必须有理、有据，不得捏造事实、提供虚假材料进行恶意质疑。否则，一经查实，采购人有权依据政府采购的有关规定，报请政府采购监管部门对该</w:t>
      </w:r>
      <w:r>
        <w:rPr>
          <w:rFonts w:hint="eastAsia" w:ascii="宋体" w:hAnsi="宋体" w:cs="Times New Roman"/>
          <w:sz w:val="24"/>
          <w:lang w:val="zh-CN"/>
        </w:rPr>
        <w:t>投标人</w:t>
      </w:r>
      <w:r>
        <w:rPr>
          <w:rFonts w:hint="eastAsia" w:ascii="宋体" w:hAnsi="宋体" w:eastAsia="宋体" w:cs="Times New Roman"/>
          <w:sz w:val="24"/>
          <w:lang w:val="zh-CN"/>
        </w:rPr>
        <w:t>进行相应的行政处罚和记录该</w:t>
      </w:r>
      <w:r>
        <w:rPr>
          <w:rFonts w:hint="eastAsia" w:ascii="宋体" w:hAnsi="宋体" w:cs="Times New Roman"/>
          <w:sz w:val="24"/>
          <w:lang w:val="zh-CN"/>
        </w:rPr>
        <w:t>投标人</w:t>
      </w:r>
      <w:r>
        <w:rPr>
          <w:rFonts w:hint="eastAsia" w:ascii="宋体" w:hAnsi="宋体" w:eastAsia="宋体" w:cs="Times New Roman"/>
          <w:sz w:val="24"/>
          <w:lang w:val="zh-CN"/>
        </w:rPr>
        <w:t>的失信信息。</w:t>
      </w:r>
    </w:p>
    <w:p w14:paraId="14E850D5">
      <w:pPr>
        <w:widowControl w:val="0"/>
        <w:shd w:val="clear" w:color="auto" w:fill="FFFFFF"/>
        <w:spacing w:line="360" w:lineRule="auto"/>
        <w:ind w:firstLine="482" w:firstLineChars="200"/>
        <w:rPr>
          <w:rFonts w:hint="eastAsia" w:ascii="宋体" w:hAnsi="宋体" w:eastAsia="宋体" w:cs="Arial"/>
          <w:b/>
          <w:bCs/>
          <w:sz w:val="24"/>
          <w:szCs w:val="24"/>
        </w:rPr>
      </w:pPr>
      <w:r>
        <w:rPr>
          <w:rFonts w:hint="eastAsia" w:ascii="宋体" w:hAnsi="宋体" w:eastAsia="宋体" w:cs="Arial"/>
          <w:b/>
          <w:bCs/>
          <w:sz w:val="24"/>
          <w:szCs w:val="24"/>
        </w:rPr>
        <w:t>26、投诉</w:t>
      </w:r>
    </w:p>
    <w:p w14:paraId="2F71B0CE">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26.1质疑供应商对采购代理机构的答复不满意或者采购代理机构未在规定的时间内作出答复的，可以在答复期满后十五个工作日内向同级政府采购监督管理部门投诉。</w:t>
      </w:r>
    </w:p>
    <w:p w14:paraId="379895DE">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26.2供应商投诉应当有明确的请求和必要的证明材料。供应商投诉的事项不得超出已质疑事项的范围。</w:t>
      </w:r>
    </w:p>
    <w:p w14:paraId="73BA46FA">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26.3投诉人对政府采购监督管理部门的投诉处理决定不服或者政府采购监督管理部门逾期未作处理的，可以依法申请行政复议或者向人民法院提起行政诉讼。</w:t>
      </w:r>
    </w:p>
    <w:p w14:paraId="4C41E326">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26.4 投诉人有下列行为之一的，属于严重失信行为，由财政部门列入不良行为记录名单，禁止其一至三年内参加政府采购活动。</w:t>
      </w:r>
    </w:p>
    <w:p w14:paraId="16B40C3D">
      <w:pPr>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（1）投诉人在全国范围12个月内三次以上投诉查无实据的；</w:t>
      </w:r>
    </w:p>
    <w:p w14:paraId="14463510">
      <w:pPr>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（2）采用捏造事实、提供虚假材料或者以非法手段取得证明材料等方式进行虚假、恶意投诉。</w:t>
      </w:r>
    </w:p>
    <w:p w14:paraId="646E636D">
      <w:pPr>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证据来源的合法性存在明显疑问，投诉人无法证明其取得方式合法的，视为以非法手段取得证明材料。</w:t>
      </w:r>
    </w:p>
    <w:p w14:paraId="79E94AC6">
      <w:pPr>
        <w:widowControl w:val="0"/>
        <w:shd w:val="clear" w:color="auto" w:fill="FFFFFF"/>
        <w:spacing w:line="360" w:lineRule="auto"/>
        <w:ind w:firstLine="482" w:firstLineChars="200"/>
        <w:rPr>
          <w:rFonts w:hint="eastAsia" w:ascii="宋体" w:hAnsi="宋体" w:eastAsia="宋体" w:cs="Arial"/>
          <w:b/>
          <w:bCs/>
          <w:sz w:val="24"/>
          <w:szCs w:val="24"/>
          <w:lang w:val="zh-CN"/>
        </w:rPr>
      </w:pPr>
      <w:r>
        <w:rPr>
          <w:rFonts w:hint="eastAsia" w:ascii="宋体" w:hAnsi="宋体" w:eastAsia="宋体" w:cs="Arial"/>
          <w:b/>
          <w:bCs/>
          <w:sz w:val="24"/>
          <w:szCs w:val="24"/>
          <w:lang w:val="zh-CN"/>
        </w:rPr>
        <w:t>2</w:t>
      </w:r>
      <w:r>
        <w:rPr>
          <w:rFonts w:hint="eastAsia" w:ascii="宋体" w:hAnsi="宋体" w:eastAsia="宋体" w:cs="Arial"/>
          <w:b/>
          <w:bCs/>
          <w:sz w:val="24"/>
          <w:szCs w:val="24"/>
        </w:rPr>
        <w:t>7</w:t>
      </w:r>
      <w:r>
        <w:rPr>
          <w:rFonts w:hint="eastAsia" w:ascii="宋体" w:hAnsi="宋体" w:eastAsia="宋体" w:cs="Arial"/>
          <w:b/>
          <w:bCs/>
          <w:sz w:val="24"/>
          <w:szCs w:val="24"/>
          <w:lang w:val="zh-CN"/>
        </w:rPr>
        <w:t>.诚实信用</w:t>
      </w:r>
    </w:p>
    <w:p w14:paraId="05E689A4">
      <w:pPr>
        <w:shd w:val="clear" w:color="auto" w:fill="FFFFFF"/>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lang w:val="zh-CN"/>
        </w:rPr>
        <w:t>2</w:t>
      </w:r>
      <w:r>
        <w:rPr>
          <w:rFonts w:hint="eastAsia" w:ascii="宋体" w:hAnsi="宋体" w:eastAsia="宋体" w:cs="Arial"/>
          <w:sz w:val="24"/>
          <w:szCs w:val="24"/>
        </w:rPr>
        <w:t>7</w:t>
      </w:r>
      <w:r>
        <w:rPr>
          <w:rFonts w:hint="eastAsia" w:ascii="宋体" w:hAnsi="宋体" w:eastAsia="宋体" w:cs="Arial"/>
          <w:sz w:val="24"/>
          <w:szCs w:val="24"/>
          <w:lang w:val="zh-CN"/>
        </w:rPr>
        <w:t>.1 供应商之间不得相互串通报价，不得妨碍其他供应商的公平竞争，不得损害采购人和其他供应商的合法权益。</w:t>
      </w:r>
    </w:p>
    <w:p w14:paraId="783B07DB">
      <w:pPr>
        <w:shd w:val="clear" w:color="auto" w:fill="FFFFFF"/>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lang w:val="zh-CN"/>
        </w:rPr>
        <w:t>2</w:t>
      </w:r>
      <w:r>
        <w:rPr>
          <w:rFonts w:hint="eastAsia" w:ascii="宋体" w:hAnsi="宋体" w:eastAsia="宋体" w:cs="Arial"/>
          <w:sz w:val="24"/>
          <w:szCs w:val="24"/>
        </w:rPr>
        <w:t>7</w:t>
      </w:r>
      <w:r>
        <w:rPr>
          <w:rFonts w:hint="eastAsia" w:ascii="宋体" w:hAnsi="宋体" w:eastAsia="宋体" w:cs="Arial"/>
          <w:sz w:val="24"/>
          <w:szCs w:val="24"/>
          <w:lang w:val="zh-CN"/>
        </w:rPr>
        <w:t>.2 供应商不得以向采购代理机构工作人员、评标委员会成员行贿或者采取其他不正当手段谋取成交。经查实供应商有此行为的，政府采购管理部门将供应商列入不良行为记录名单，按照《政府采</w:t>
      </w:r>
      <w:r>
        <w:rPr>
          <w:rFonts w:hint="eastAsia" w:ascii="宋体" w:hAnsi="宋体" w:eastAsia="宋体" w:cs="Arial"/>
          <w:sz w:val="24"/>
          <w:szCs w:val="24"/>
        </w:rPr>
        <w:t>购法》有关规定处理。</w:t>
      </w:r>
    </w:p>
    <w:p w14:paraId="0BA94E01">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lang w:val="zh-CN"/>
        </w:rPr>
        <w:t>2</w:t>
      </w:r>
      <w:r>
        <w:rPr>
          <w:rFonts w:hint="eastAsia" w:ascii="宋体" w:hAnsi="宋体" w:eastAsia="宋体" w:cs="Arial"/>
          <w:sz w:val="24"/>
          <w:szCs w:val="24"/>
        </w:rPr>
        <w:t>7</w:t>
      </w:r>
      <w:r>
        <w:rPr>
          <w:rFonts w:hint="eastAsia" w:ascii="宋体" w:hAnsi="宋体" w:eastAsia="宋体" w:cs="Arial"/>
          <w:sz w:val="24"/>
          <w:szCs w:val="24"/>
          <w:lang w:val="zh-CN"/>
        </w:rPr>
        <w:t>.3 供应商不得虚假质疑和恶意质疑，并对质疑内容的真实性承担责任。</w:t>
      </w:r>
      <w:r>
        <w:rPr>
          <w:rFonts w:hint="eastAsia" w:ascii="宋体" w:hAnsi="宋体" w:eastAsia="宋体" w:cs="Arial"/>
          <w:sz w:val="24"/>
          <w:szCs w:val="24"/>
        </w:rPr>
        <w:t>供应商或者其他利害关系人通过捏造事实、伪造证明材料等方式提出异议或投诉，阻碍政府采购活动正常进行的，属于严重不良行为，采购代理机构将提请财政部门将其列入不良行为记录名单，并依法予以处罚。</w:t>
      </w:r>
    </w:p>
    <w:p w14:paraId="79223023">
      <w:pPr>
        <w:shd w:val="clear" w:color="auto" w:fill="FFFFFF"/>
        <w:spacing w:line="360" w:lineRule="auto"/>
        <w:ind w:firstLine="480" w:firstLineChars="200"/>
        <w:jc w:val="both"/>
        <w:rPr>
          <w:rFonts w:hint="eastAsia" w:ascii="宋体" w:hAnsi="宋体" w:eastAsia="宋体" w:cs="Arial"/>
          <w:sz w:val="24"/>
          <w:szCs w:val="24"/>
          <w:lang w:val="zh-CN"/>
        </w:rPr>
      </w:pPr>
      <w:r>
        <w:rPr>
          <w:rFonts w:hint="eastAsia" w:ascii="宋体" w:hAnsi="宋体" w:eastAsia="宋体" w:cs="Arial"/>
          <w:sz w:val="24"/>
          <w:szCs w:val="24"/>
          <w:lang w:val="zh-CN"/>
        </w:rPr>
        <w:t>2</w:t>
      </w:r>
      <w:r>
        <w:rPr>
          <w:rFonts w:hint="eastAsia" w:ascii="宋体" w:hAnsi="宋体" w:eastAsia="宋体" w:cs="Arial"/>
          <w:sz w:val="24"/>
          <w:szCs w:val="24"/>
        </w:rPr>
        <w:t>7</w:t>
      </w:r>
      <w:r>
        <w:rPr>
          <w:rFonts w:hint="eastAsia" w:ascii="宋体" w:hAnsi="宋体" w:eastAsia="宋体" w:cs="Arial"/>
          <w:sz w:val="24"/>
          <w:szCs w:val="24"/>
          <w:lang w:val="zh-CN"/>
        </w:rPr>
        <w:t>.4 供应商不得虚假承诺，否则，按照提供虚假材料谋取成交处理。</w:t>
      </w:r>
    </w:p>
    <w:p w14:paraId="2F9D9C43">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Arial"/>
          <w:sz w:val="24"/>
          <w:szCs w:val="24"/>
          <w:lang w:val="zh-CN"/>
        </w:rPr>
        <w:t>2</w:t>
      </w:r>
      <w:r>
        <w:rPr>
          <w:rFonts w:hint="eastAsia" w:ascii="宋体" w:hAnsi="宋体" w:eastAsia="宋体" w:cs="Arial"/>
          <w:sz w:val="24"/>
          <w:szCs w:val="24"/>
        </w:rPr>
        <w:t>7</w:t>
      </w:r>
      <w:r>
        <w:rPr>
          <w:rFonts w:hint="eastAsia" w:ascii="宋体" w:hAnsi="宋体" w:eastAsia="宋体" w:cs="Arial"/>
          <w:sz w:val="24"/>
          <w:szCs w:val="24"/>
          <w:lang w:val="zh-CN"/>
        </w:rPr>
        <w:t>.5 供应商应自觉遵守开标、评标纪律，扰乱开标评标现场秩序的，属于失信行为，根据《江苏省政府采购供应商监督管理暂行办法》，失信行为将被记入供应商诚信档案。</w:t>
      </w:r>
    </w:p>
    <w:p w14:paraId="4C807F65">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78A42359">
      <w:pPr>
        <w:pBdr>
          <w:top w:val="none" w:color="000000" w:sz="0" w:space="0"/>
          <w:left w:val="none" w:color="000000" w:sz="0" w:space="0"/>
          <w:bottom w:val="none" w:color="000000" w:sz="0" w:space="0"/>
          <w:right w:val="none" w:color="000000" w:sz="0" w:space="0"/>
        </w:pBdr>
        <w:ind w:right="840"/>
        <w:jc w:val="center"/>
        <w:outlineLvl w:val="0"/>
        <w:rPr>
          <w:rFonts w:hint="eastAsia" w:ascii="宋体" w:hAnsi="宋体" w:eastAsia="宋体" w:cs="宋体"/>
        </w:rPr>
      </w:pPr>
      <w:bookmarkStart w:id="19" w:name="_Toc15659"/>
      <w:bookmarkStart w:id="20" w:name="_Toc18555"/>
      <w:r>
        <w:rPr>
          <w:rFonts w:hint="eastAsia" w:ascii="宋体" w:hAnsi="宋体" w:eastAsia="宋体" w:cs="宋体"/>
          <w:b/>
          <w:bCs/>
          <w:sz w:val="36"/>
        </w:rPr>
        <w:t>第三章  评标方法与评标标准</w:t>
      </w:r>
      <w:bookmarkEnd w:id="19"/>
      <w:bookmarkEnd w:id="20"/>
    </w:p>
    <w:p w14:paraId="4BED0F7B">
      <w:pPr>
        <w:pBdr>
          <w:top w:val="none" w:color="000000" w:sz="0" w:space="0"/>
          <w:left w:val="none" w:color="000000" w:sz="0" w:space="0"/>
          <w:bottom w:val="none" w:color="000000" w:sz="0" w:space="0"/>
          <w:right w:val="none" w:color="000000" w:sz="0" w:space="0"/>
        </w:pBdr>
        <w:spacing w:line="62" w:lineRule="atLeast"/>
        <w:ind w:firstLine="480"/>
        <w:jc w:val="both"/>
        <w:rPr>
          <w:rFonts w:hint="eastAsia" w:ascii="宋体" w:hAnsi="宋体" w:eastAsia="宋体" w:cs="宋体"/>
        </w:rPr>
      </w:pPr>
      <w:r>
        <w:rPr>
          <w:rFonts w:hint="eastAsia" w:ascii="宋体" w:hAnsi="宋体" w:eastAsia="宋体" w:cs="宋体"/>
          <w:sz w:val="24"/>
        </w:rPr>
        <w:t> </w:t>
      </w:r>
    </w:p>
    <w:p w14:paraId="6077CF2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评标委员会根据排名确定中标候选人。     </w:t>
      </w:r>
    </w:p>
    <w:p w14:paraId="6F52F377">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rPr>
      </w:pPr>
      <w:r>
        <w:rPr>
          <w:rFonts w:hint="eastAsia" w:ascii="宋体" w:hAnsi="宋体" w:eastAsia="宋体" w:cs="宋体"/>
          <w:b/>
          <w:bCs/>
          <w:sz w:val="24"/>
        </w:rPr>
        <w:t>分包一：</w:t>
      </w:r>
    </w:p>
    <w:tbl>
      <w:tblPr>
        <w:tblStyle w:val="37"/>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340"/>
        <w:gridCol w:w="6382"/>
        <w:gridCol w:w="1362"/>
      </w:tblGrid>
      <w:tr w14:paraId="0F0D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64" w:type="dxa"/>
            <w:vAlign w:val="center"/>
          </w:tcPr>
          <w:p w14:paraId="5C531670">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340" w:type="dxa"/>
            <w:vAlign w:val="center"/>
          </w:tcPr>
          <w:p w14:paraId="7A90AA6A">
            <w:pPr>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6382" w:type="dxa"/>
            <w:vAlign w:val="center"/>
          </w:tcPr>
          <w:p w14:paraId="1AE69BA5">
            <w:pPr>
              <w:jc w:val="center"/>
              <w:rPr>
                <w:rFonts w:hint="eastAsia" w:ascii="宋体" w:hAnsi="宋体" w:eastAsia="宋体" w:cs="宋体"/>
                <w:b/>
                <w:sz w:val="24"/>
                <w:szCs w:val="24"/>
              </w:rPr>
            </w:pPr>
            <w:r>
              <w:rPr>
                <w:rFonts w:hint="eastAsia" w:ascii="宋体" w:hAnsi="宋体" w:eastAsia="宋体" w:cs="宋体"/>
                <w:b/>
                <w:sz w:val="24"/>
                <w:szCs w:val="24"/>
              </w:rPr>
              <w:t>评审标准</w:t>
            </w:r>
          </w:p>
        </w:tc>
        <w:tc>
          <w:tcPr>
            <w:tcW w:w="1362" w:type="dxa"/>
            <w:vAlign w:val="center"/>
          </w:tcPr>
          <w:p w14:paraId="1BEDDB97">
            <w:pPr>
              <w:jc w:val="center"/>
              <w:rPr>
                <w:rFonts w:hint="eastAsia" w:ascii="宋体" w:hAnsi="宋体" w:eastAsia="宋体" w:cs="宋体"/>
                <w:b/>
                <w:sz w:val="24"/>
                <w:szCs w:val="24"/>
              </w:rPr>
            </w:pPr>
            <w:r>
              <w:rPr>
                <w:rFonts w:hint="eastAsia" w:ascii="宋体" w:hAnsi="宋体" w:eastAsia="宋体" w:cs="宋体"/>
                <w:b/>
                <w:sz w:val="24"/>
                <w:szCs w:val="24"/>
              </w:rPr>
              <w:t>分值   （100分）</w:t>
            </w:r>
          </w:p>
        </w:tc>
      </w:tr>
      <w:tr w14:paraId="538E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9" w:hRule="atLeast"/>
          <w:jc w:val="center"/>
        </w:trPr>
        <w:tc>
          <w:tcPr>
            <w:tcW w:w="764" w:type="dxa"/>
            <w:vAlign w:val="center"/>
          </w:tcPr>
          <w:p w14:paraId="24D98E6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340" w:type="dxa"/>
            <w:vAlign w:val="center"/>
          </w:tcPr>
          <w:p w14:paraId="4938D60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价格</w:t>
            </w:r>
          </w:p>
          <w:p w14:paraId="2478288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（30分）</w:t>
            </w:r>
          </w:p>
        </w:tc>
        <w:tc>
          <w:tcPr>
            <w:tcW w:w="6382" w:type="dxa"/>
            <w:vAlign w:val="center"/>
          </w:tcPr>
          <w:p w14:paraId="30B8B12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采用低价优先法计算，即满足招标文件要求且投标价格最低的投标报价为评标基准价，其价格分为满分。其他投标人的价格分按照下列公式计算（小数点保留二位）。投标报价得分=(评标基准价／投标报价)×30</w:t>
            </w:r>
          </w:p>
        </w:tc>
        <w:tc>
          <w:tcPr>
            <w:tcW w:w="1362" w:type="dxa"/>
            <w:vAlign w:val="center"/>
          </w:tcPr>
          <w:p w14:paraId="38709EF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w:t>
            </w:r>
          </w:p>
        </w:tc>
      </w:tr>
      <w:tr w14:paraId="2CE8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64" w:type="dxa"/>
            <w:vMerge w:val="restart"/>
            <w:vAlign w:val="center"/>
          </w:tcPr>
          <w:p w14:paraId="22B0F79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340" w:type="dxa"/>
            <w:vMerge w:val="restart"/>
            <w:vAlign w:val="center"/>
          </w:tcPr>
          <w:p w14:paraId="7A1822B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w:t>
            </w:r>
          </w:p>
          <w:p w14:paraId="0AF7C6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方案</w:t>
            </w:r>
          </w:p>
          <w:p w14:paraId="5E7E73D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（30分）</w:t>
            </w:r>
          </w:p>
          <w:p w14:paraId="3430294C">
            <w:pPr>
              <w:widowControl w:val="0"/>
              <w:spacing w:line="360" w:lineRule="auto"/>
              <w:jc w:val="both"/>
              <w:rPr>
                <w:rFonts w:hint="eastAsia" w:ascii="宋体" w:hAnsi="宋体" w:eastAsia="宋体" w:cs="宋体"/>
                <w:sz w:val="24"/>
                <w:szCs w:val="24"/>
              </w:rPr>
            </w:pPr>
          </w:p>
        </w:tc>
        <w:tc>
          <w:tcPr>
            <w:tcW w:w="6382" w:type="dxa"/>
            <w:vAlign w:val="center"/>
          </w:tcPr>
          <w:p w14:paraId="36AD290B">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项目需求分析、重难点对应措施：</w:t>
            </w:r>
          </w:p>
          <w:p w14:paraId="2C0C5C1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（1）项目需求分析深刻到位，重难点应对措施合理得当，服务设想周到全面，针对性强，在服务于本项目重难点等方面，拥有不同于其他供应商的新颖思路，得5分；</w:t>
            </w:r>
          </w:p>
          <w:p w14:paraId="7134E68B">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（2）服务设想定位明确，有一定针对性，但无差异化新颖服务思路，重难点应对措施无创新亮点，得4分；</w:t>
            </w:r>
          </w:p>
          <w:p w14:paraId="157D51B1">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（3）服务设想比较明确，但未结合本项目重难点制定应多措施，得3分；</w:t>
            </w:r>
          </w:p>
          <w:p w14:paraId="03B3BC0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（4）服务设想存在少量缺项，能够识别部分项目重难点，但应对措施不完善、针对性弱，无清晰的高阶服务定位，方案完整性与专业性不足，得2分；</w:t>
            </w:r>
          </w:p>
          <w:p w14:paraId="21424D3D">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（5）对项目需求理解模糊，服务设想内容残缺，核心服务内容缺失，无法有效识别项目重难点，无有效、可行的应对措施，得1分；</w:t>
            </w:r>
          </w:p>
          <w:p w14:paraId="0799E312">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35A8EF13">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6AD50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64" w:type="dxa"/>
            <w:vMerge w:val="continue"/>
            <w:vAlign w:val="center"/>
          </w:tcPr>
          <w:p w14:paraId="6CDBB8A9">
            <w:pPr>
              <w:spacing w:line="360" w:lineRule="auto"/>
              <w:jc w:val="center"/>
              <w:rPr>
                <w:rFonts w:hint="eastAsia" w:ascii="宋体" w:hAnsi="宋体" w:eastAsia="宋体" w:cs="宋体"/>
                <w:sz w:val="24"/>
                <w:szCs w:val="24"/>
              </w:rPr>
            </w:pPr>
          </w:p>
        </w:tc>
        <w:tc>
          <w:tcPr>
            <w:tcW w:w="1340" w:type="dxa"/>
            <w:vMerge w:val="continue"/>
            <w:vAlign w:val="center"/>
          </w:tcPr>
          <w:p w14:paraId="44482D8C">
            <w:pPr>
              <w:spacing w:line="360" w:lineRule="auto"/>
              <w:jc w:val="center"/>
              <w:rPr>
                <w:rFonts w:hint="eastAsia" w:ascii="宋体" w:hAnsi="宋体" w:eastAsia="宋体" w:cs="宋体"/>
                <w:sz w:val="24"/>
                <w:szCs w:val="24"/>
              </w:rPr>
            </w:pPr>
          </w:p>
        </w:tc>
        <w:tc>
          <w:tcPr>
            <w:tcW w:w="6382" w:type="dxa"/>
          </w:tcPr>
          <w:p w14:paraId="20081AF8">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设施维护保养制度：</w:t>
            </w:r>
          </w:p>
          <w:p w14:paraId="71FF5E0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（1）制度健全完整，全面包含设备清单、检查标准、操作流程、应急预案等核心内容，无缺项漏项；维护责任分工清晰、权责到人，可规范化落地，得5分；</w:t>
            </w:r>
          </w:p>
          <w:p w14:paraId="6CC72CC0">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（2）维保制度核心模块齐全，内容规范，责任分工整体清晰，仅少量辅助内容未细化，制度完善、可正常落地，得4分；</w:t>
            </w:r>
          </w:p>
          <w:p w14:paraId="300CA57B">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（3）维保制度核心内容存在缺项漏项，关键模块不完整，维护责任分工模糊、权责不清，仅能满足基础简易维保需求，得3分；</w:t>
            </w:r>
          </w:p>
          <w:p w14:paraId="7035308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（4）仅有简易制度框架，核心内容大面积缺失，无明确责任分工，无实操指导价值，无法支撑常态化维保工作，得2分；</w:t>
            </w:r>
          </w:p>
          <w:p w14:paraId="4393AAD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（5）仅提及维保相关概念，无成型制度、无核心模块、无责任分工，内容零散不成体系，不具备落地性，得1分；</w:t>
            </w:r>
          </w:p>
          <w:p w14:paraId="130F025C">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41DA32A0">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6565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64" w:type="dxa"/>
            <w:vMerge w:val="continue"/>
            <w:vAlign w:val="center"/>
          </w:tcPr>
          <w:p w14:paraId="0A9DE1B2">
            <w:pPr>
              <w:widowControl w:val="0"/>
              <w:spacing w:line="360" w:lineRule="auto"/>
              <w:jc w:val="both"/>
              <w:rPr>
                <w:rFonts w:hint="eastAsia" w:ascii="宋体" w:hAnsi="宋体" w:eastAsia="宋体" w:cs="宋体"/>
                <w:sz w:val="24"/>
                <w:szCs w:val="24"/>
              </w:rPr>
            </w:pPr>
          </w:p>
        </w:tc>
        <w:tc>
          <w:tcPr>
            <w:tcW w:w="1340" w:type="dxa"/>
            <w:vMerge w:val="continue"/>
            <w:vAlign w:val="center"/>
          </w:tcPr>
          <w:p w14:paraId="65E82288">
            <w:pPr>
              <w:widowControl w:val="0"/>
              <w:spacing w:line="360" w:lineRule="auto"/>
              <w:jc w:val="both"/>
              <w:rPr>
                <w:rFonts w:hint="eastAsia" w:ascii="宋体" w:hAnsi="宋体" w:eastAsia="宋体" w:cs="宋体"/>
                <w:sz w:val="24"/>
                <w:szCs w:val="24"/>
              </w:rPr>
            </w:pPr>
          </w:p>
        </w:tc>
        <w:tc>
          <w:tcPr>
            <w:tcW w:w="6382" w:type="dxa"/>
          </w:tcPr>
          <w:p w14:paraId="1581B671">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车辆停放安全监管措施、监管制度：</w:t>
            </w:r>
          </w:p>
          <w:p w14:paraId="2C40CA45">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（1）具备严格、完善的车辆停放安全监管措施，监管制度全覆盖无缺漏，巡查频次、岗位职责完全符合项目标准，体系完整、落地性强，得5分；</w:t>
            </w:r>
          </w:p>
          <w:p w14:paraId="4C9C7BE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（2）车辆停放安全监管制度完备、覆盖全面，巡查职责清晰，仅个别巡查细节、频次微调不到位，整体可规范落地，得4分；</w:t>
            </w:r>
          </w:p>
          <w:p w14:paraId="2A4A27A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（3）核心监管制度基本完备，但巡查频次、岗位职责未达到项目标准，监管体系存在明显短板，得3分；</w:t>
            </w:r>
          </w:p>
          <w:p w14:paraId="79E0309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（4）仅有简易监管框架，核心监管制度不完善，巡查职责、频次缺失严重，仅具备基础雏形，无法满足常态化安全监管需求，得2分；</w:t>
            </w:r>
          </w:p>
          <w:p w14:paraId="28B52BE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（5）仅简单提及车辆停放安全监管相关内容，无成型制度、无具体巡查职责与频次要求，内容零散、无落地价值，得1分；</w:t>
            </w:r>
          </w:p>
          <w:p w14:paraId="49614FE6">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3542F961">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48334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64" w:type="dxa"/>
            <w:vMerge w:val="continue"/>
            <w:vAlign w:val="center"/>
          </w:tcPr>
          <w:p w14:paraId="0F9DC340">
            <w:pPr>
              <w:widowControl w:val="0"/>
              <w:spacing w:line="360" w:lineRule="auto"/>
              <w:jc w:val="both"/>
              <w:rPr>
                <w:rFonts w:hint="eastAsia" w:ascii="宋体" w:hAnsi="宋体" w:eastAsia="宋体" w:cs="宋体"/>
                <w:sz w:val="24"/>
                <w:szCs w:val="24"/>
              </w:rPr>
            </w:pPr>
          </w:p>
        </w:tc>
        <w:tc>
          <w:tcPr>
            <w:tcW w:w="1340" w:type="dxa"/>
            <w:vMerge w:val="continue"/>
            <w:vAlign w:val="center"/>
          </w:tcPr>
          <w:p w14:paraId="32582BC4">
            <w:pPr>
              <w:widowControl w:val="0"/>
              <w:spacing w:line="360" w:lineRule="auto"/>
              <w:jc w:val="both"/>
              <w:rPr>
                <w:rFonts w:hint="eastAsia" w:ascii="宋体" w:hAnsi="宋体" w:eastAsia="宋体" w:cs="宋体"/>
                <w:sz w:val="24"/>
                <w:szCs w:val="24"/>
              </w:rPr>
            </w:pPr>
          </w:p>
        </w:tc>
        <w:tc>
          <w:tcPr>
            <w:tcW w:w="6382" w:type="dxa"/>
          </w:tcPr>
          <w:p w14:paraId="7B93DCE9">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服务规章制度及档案管理流程：</w:t>
            </w:r>
          </w:p>
          <w:p w14:paraId="728EC74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（1）服务规章制度合理完善，档案收集、保存全流程健全规范，配套完整、合规的档案移交步骤，体系完善、落地性强，得5分；</w:t>
            </w:r>
          </w:p>
          <w:p w14:paraId="6A7F2F7A">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（2）务规章制度完备，档案建立、收集、保存流程规范，具备档案移交步骤，仅部分细节未细化，整体合规可用，得4分；</w:t>
            </w:r>
          </w:p>
          <w:p w14:paraId="2C4D48F1">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（3）具备完善的服务规章制度，档案建立、收集、保存流程健全，设有档案移交步骤，整体达标但规范性、完整性一般，得3分；</w:t>
            </w:r>
          </w:p>
          <w:p w14:paraId="2BF4156D">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（4）具备基础服务规章制度，档案管理流程、移交步骤存在缺项，内容不完整，仅具备基础框架，无法标准化落地，得2分；</w:t>
            </w:r>
          </w:p>
          <w:p w14:paraId="4DE6C233">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（5）仅提及服务制度、档案管理相关内容，无成型规章制度，无完整管理流程及移交步骤，内容零散、无落地价值，得1分。</w:t>
            </w:r>
          </w:p>
          <w:p w14:paraId="28B502EF">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433E4D96">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0EEF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64" w:type="dxa"/>
            <w:vMerge w:val="continue"/>
            <w:vAlign w:val="center"/>
          </w:tcPr>
          <w:p w14:paraId="7241B206">
            <w:pPr>
              <w:spacing w:line="360" w:lineRule="auto"/>
              <w:jc w:val="center"/>
              <w:rPr>
                <w:rFonts w:hint="eastAsia" w:ascii="宋体" w:hAnsi="宋体" w:eastAsia="宋体" w:cs="宋体"/>
                <w:sz w:val="24"/>
                <w:szCs w:val="24"/>
              </w:rPr>
            </w:pPr>
          </w:p>
        </w:tc>
        <w:tc>
          <w:tcPr>
            <w:tcW w:w="1340" w:type="dxa"/>
            <w:vMerge w:val="continue"/>
            <w:vAlign w:val="center"/>
          </w:tcPr>
          <w:p w14:paraId="5D578478">
            <w:pPr>
              <w:spacing w:line="360" w:lineRule="auto"/>
              <w:jc w:val="center"/>
              <w:rPr>
                <w:rFonts w:hint="eastAsia" w:ascii="宋体" w:hAnsi="宋体" w:eastAsia="宋体" w:cs="宋体"/>
                <w:sz w:val="24"/>
                <w:szCs w:val="24"/>
              </w:rPr>
            </w:pPr>
          </w:p>
        </w:tc>
        <w:tc>
          <w:tcPr>
            <w:tcW w:w="6382" w:type="dxa"/>
            <w:vAlign w:val="center"/>
          </w:tcPr>
          <w:p w14:paraId="0181C5D7">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配备人员综合素质、部门职责及工作流程：</w:t>
            </w:r>
          </w:p>
          <w:p w14:paraId="6A8F7F34">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（1）配备人员技术基础扎实、综合素质优良、项目工作经验丰富；部门职责明确，工作流程完整、科学、可行，配套规章制度健全规范，得5分；</w:t>
            </w:r>
          </w:p>
          <w:p w14:paraId="1E0FCD4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（2）配备人员具备相应技术基础与从业经验；部门职责明确，工作流程较为完整科学，各类规章制度较为健全，整体满足项目运行要求，得4分；</w:t>
            </w:r>
          </w:p>
          <w:p w14:paraId="5F42E47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（3）配备人员具备基础技术与少量项目经验；部门职责基本清晰，工作流程、规章制度存在少量缺项瑕疵，整体基本可用，得3分；</w:t>
            </w:r>
          </w:p>
          <w:p w14:paraId="2444D5D3">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（4）贴合招标文件标准：无清晰部门职责，工作流程完整性、科学性、可行性不足，各类规章制度不够健全规范，人员综合能力一般，得2分；</w:t>
            </w:r>
          </w:p>
          <w:p w14:paraId="7FCBB286">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（5）人员无对应技术基础与项目经验，无成型部门职责与工作流程，规章制度缺失严重，无法支撑项目正常开展，得1分；</w:t>
            </w:r>
          </w:p>
          <w:p w14:paraId="448CCBB2">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686F3FCE">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1A94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64" w:type="dxa"/>
            <w:vMerge w:val="continue"/>
            <w:vAlign w:val="center"/>
          </w:tcPr>
          <w:p w14:paraId="1ED9EC79">
            <w:pPr>
              <w:spacing w:line="360" w:lineRule="auto"/>
              <w:jc w:val="center"/>
              <w:rPr>
                <w:rFonts w:hint="eastAsia" w:ascii="宋体" w:hAnsi="宋体" w:eastAsia="宋体" w:cs="宋体"/>
                <w:sz w:val="24"/>
                <w:szCs w:val="24"/>
              </w:rPr>
            </w:pPr>
          </w:p>
        </w:tc>
        <w:tc>
          <w:tcPr>
            <w:tcW w:w="1340" w:type="dxa"/>
            <w:vMerge w:val="continue"/>
            <w:vAlign w:val="center"/>
          </w:tcPr>
          <w:p w14:paraId="29518FB6">
            <w:pPr>
              <w:widowControl w:val="0"/>
              <w:spacing w:line="360" w:lineRule="auto"/>
              <w:jc w:val="center"/>
              <w:rPr>
                <w:rFonts w:hint="eastAsia" w:ascii="宋体" w:hAnsi="宋体" w:eastAsia="宋体" w:cs="宋体"/>
                <w:sz w:val="24"/>
                <w:szCs w:val="24"/>
              </w:rPr>
            </w:pPr>
          </w:p>
        </w:tc>
        <w:tc>
          <w:tcPr>
            <w:tcW w:w="6382" w:type="dxa"/>
            <w:vAlign w:val="center"/>
          </w:tcPr>
          <w:p w14:paraId="390303F9">
            <w:pPr>
              <w:widowControl w:val="0"/>
              <w:spacing w:line="360" w:lineRule="auto"/>
              <w:jc w:val="both"/>
              <w:rPr>
                <w:rFonts w:hint="eastAsia" w:ascii="宋体" w:hAnsi="宋体" w:eastAsia="宋体" w:cs="宋体"/>
                <w:kern w:val="2"/>
                <w:sz w:val="24"/>
                <w:szCs w:val="24"/>
              </w:rPr>
            </w:pPr>
            <w:r>
              <w:rPr>
                <w:rFonts w:hint="eastAsia" w:ascii="宋体" w:hAnsi="宋体" w:eastAsia="宋体" w:cs="宋体"/>
                <w:b/>
                <w:bCs/>
                <w:kern w:val="2"/>
                <w:sz w:val="24"/>
                <w:szCs w:val="24"/>
              </w:rPr>
              <w:t>服务工作思路、应急措施及服务承诺：</w:t>
            </w:r>
          </w:p>
          <w:p w14:paraId="43BC2C8B">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（1）服务认知深刻、工作思路清晰，全面覆盖车辆调度、设备维护等核心环节，具备完备的年度工作规划、全方位应急保障措施及规范服务承诺，得5分；</w:t>
            </w:r>
          </w:p>
          <w:p w14:paraId="2505961B">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（2）熟悉项目服务核心环节，具备整体工作规划，但未细化分解落地细则，可提供应急措施与服务承诺，应急预案覆盖部分场景，完整性、细致度不足，得4分；</w:t>
            </w:r>
          </w:p>
          <w:p w14:paraId="625C59D5">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（3）仅具备基础服务流程制度，无专项年度规划、无项目专项调研，应急预案覆盖场景有限、内容不完善，得3分；</w:t>
            </w:r>
          </w:p>
          <w:p w14:paraId="0BEF19EC">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（4）仅有少量基础服务制度，未覆盖核心服务环节，无年度工作规划，应急措施、服务承诺内容缺失，仅具备初步服务思路，得2分；</w:t>
            </w:r>
          </w:p>
          <w:p w14:paraId="6EC2288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（5）对项目服务认知薄弱，无明确工作思路，无规划、无应急预案、无正式服务承诺，无法支撑项目服务开展，得1分；</w:t>
            </w:r>
          </w:p>
          <w:p w14:paraId="2999D348">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362" w:type="dxa"/>
            <w:vAlign w:val="center"/>
          </w:tcPr>
          <w:p w14:paraId="0D4B3DF6">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0361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64" w:type="dxa"/>
            <w:vAlign w:val="center"/>
          </w:tcPr>
          <w:p w14:paraId="57B5B91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340" w:type="dxa"/>
            <w:vAlign w:val="center"/>
          </w:tcPr>
          <w:p w14:paraId="718B674C">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企业实力</w:t>
            </w:r>
          </w:p>
          <w:p w14:paraId="0C06BFAE">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（15分）</w:t>
            </w:r>
          </w:p>
        </w:tc>
        <w:tc>
          <w:tcPr>
            <w:tcW w:w="6382" w:type="dxa"/>
            <w:vAlign w:val="center"/>
          </w:tcPr>
          <w:p w14:paraId="79F42D6E">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 xml:space="preserve">评委根据投标供应商提供以下证明资料（发票复印件、真实照片或其他证明材料等）  </w:t>
            </w:r>
          </w:p>
          <w:p w14:paraId="277FD025">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1、投标人有完善的停车设施的得2分（含硬质化土地，符合要求的围墙、大门等设施的照片加盖公章，证明材料不全不得分）。</w:t>
            </w:r>
          </w:p>
          <w:p w14:paraId="6D60E698">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2、投标人有用于清移车辆的叉车2台且2名人员具备叉车特种作业证书的得2分（自有叉车提供购买发票；租赁叉车提供租赁合同及对应租赁发票；人员特种作业证书，证明材料不全不得分）。</w:t>
            </w:r>
          </w:p>
          <w:p w14:paraId="397B362D">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3、投标人有专用业务用房、服务窗口的得2分（提供照片加盖公章。证明材料不全不得分）。</w:t>
            </w:r>
          </w:p>
          <w:p w14:paraId="46DA37FC">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4、投标人配备车库、车棚、车衣等设备可以用于停放需保留痕迹证据的车辆的得2分（有相关证明照片且加盖公章。证明材料不全不得分）。</w:t>
            </w:r>
          </w:p>
          <w:p w14:paraId="3CA29E02">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rPr>
              <w:t>5</w:t>
            </w:r>
            <w:r>
              <w:rPr>
                <w:rFonts w:hint="eastAsia" w:ascii="宋体" w:hAnsi="宋体" w:eastAsia="宋体" w:cs="宋体"/>
                <w:sz w:val="24"/>
                <w:szCs w:val="24"/>
                <w:highlight w:val="none"/>
              </w:rPr>
              <w:t>、投标人有科技化管理手段的得2分（电脑连网设备、打印机等办公设备的照片等证明材料加盖公章。证明材料不全不得分）。</w:t>
            </w:r>
          </w:p>
          <w:p w14:paraId="459475F0">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6、投标人有完善的照明监控设备（监控保存时间不得低于6个月）的得5分（提供第三方出具的对监控设备的检测报告、图片等相关证明材料加盖公章。证明材料不全不得分）。</w:t>
            </w:r>
          </w:p>
          <w:p w14:paraId="6B7D4F67">
            <w:pPr>
              <w:widowControl w:val="0"/>
              <w:spacing w:line="360" w:lineRule="auto"/>
              <w:ind w:firstLine="211"/>
              <w:jc w:val="both"/>
              <w:rPr>
                <w:rFonts w:hint="eastAsia" w:ascii="宋体" w:hAnsi="宋体" w:eastAsia="宋体" w:cs="宋体"/>
                <w:sz w:val="24"/>
                <w:szCs w:val="24"/>
              </w:rPr>
            </w:pPr>
            <w:r>
              <w:rPr>
                <w:rFonts w:hint="eastAsia" w:ascii="宋体" w:hAnsi="宋体" w:eastAsia="宋体" w:cs="宋体"/>
                <w:b/>
                <w:bCs/>
                <w:sz w:val="24"/>
                <w:szCs w:val="24"/>
              </w:rPr>
              <w:t>（以上提供的材料均需提供真实材料，入围后甲方将派专人进行核查。若为虚假材料将取消入围资格且追究其因提供虚假资料耽误本次招标进行的法律责任）</w:t>
            </w:r>
          </w:p>
        </w:tc>
        <w:tc>
          <w:tcPr>
            <w:tcW w:w="1362" w:type="dxa"/>
            <w:vAlign w:val="center"/>
          </w:tcPr>
          <w:p w14:paraId="415C0C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15</w:t>
            </w:r>
          </w:p>
        </w:tc>
      </w:tr>
      <w:tr w14:paraId="48E1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64" w:type="dxa"/>
            <w:vAlign w:val="center"/>
          </w:tcPr>
          <w:p w14:paraId="540E3683">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340" w:type="dxa"/>
            <w:vAlign w:val="center"/>
          </w:tcPr>
          <w:p w14:paraId="404E0F64">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业绩</w:t>
            </w:r>
          </w:p>
          <w:p w14:paraId="0DB133F7">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（5分）</w:t>
            </w:r>
          </w:p>
        </w:tc>
        <w:tc>
          <w:tcPr>
            <w:tcW w:w="6382" w:type="dxa"/>
            <w:vAlign w:val="center"/>
          </w:tcPr>
          <w:p w14:paraId="62234CE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2022年1月1日以来（以合同签订时间为准）与本项目类似项目，有一项得5分，最高5分。须提供完整清晰的合同复印件，未提供该项不得分，资料不全不得分（原件备查）。</w:t>
            </w:r>
          </w:p>
        </w:tc>
        <w:tc>
          <w:tcPr>
            <w:tcW w:w="1362" w:type="dxa"/>
            <w:vAlign w:val="center"/>
          </w:tcPr>
          <w:p w14:paraId="7F49AF93">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5D27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64" w:type="dxa"/>
            <w:vAlign w:val="center"/>
          </w:tcPr>
          <w:p w14:paraId="11934275">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340" w:type="dxa"/>
            <w:vAlign w:val="center"/>
          </w:tcPr>
          <w:p w14:paraId="59692F29">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场地面积（20分）</w:t>
            </w:r>
          </w:p>
        </w:tc>
        <w:tc>
          <w:tcPr>
            <w:tcW w:w="6382" w:type="dxa"/>
            <w:vAlign w:val="center"/>
          </w:tcPr>
          <w:p w14:paraId="33431BA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以停车场地最低总面积要求为基准，投标供应商提供的停车场地（指能确定为招标的保管服务所使用的）每增加2000㎡得2分（不足2000㎡不得分），最高得满分20分（提供场地图纸等证明材料加盖公章。如提供的是多处场地，则以多处场地的总面积进行评审）</w:t>
            </w:r>
          </w:p>
        </w:tc>
        <w:tc>
          <w:tcPr>
            <w:tcW w:w="1362" w:type="dxa"/>
            <w:vAlign w:val="center"/>
          </w:tcPr>
          <w:p w14:paraId="308799E6">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r>
    </w:tbl>
    <w:p w14:paraId="5DA4CF09">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szCs w:val="24"/>
        </w:rPr>
      </w:pPr>
    </w:p>
    <w:p w14:paraId="16A779E4">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注：★1、分包一将选定一家中标供应商。按综合得分由高到低排序第一名的投标供应商为中标供应商，投标人在投标时自行考虑各区域服务范围，预算金额，进行综合报价，自行承担投标风险。</w:t>
      </w:r>
    </w:p>
    <w:p w14:paraId="31FBEFB4">
      <w:pPr>
        <w:pBdr>
          <w:top w:val="none" w:color="000000" w:sz="0" w:space="0"/>
          <w:left w:val="none" w:color="000000" w:sz="0" w:space="0"/>
          <w:bottom w:val="none" w:color="000000" w:sz="0" w:space="0"/>
          <w:right w:val="none" w:color="000000" w:sz="0" w:space="0"/>
        </w:pBdr>
        <w:spacing w:line="62" w:lineRule="atLeast"/>
        <w:jc w:val="both"/>
        <w:rPr>
          <w:rFonts w:hint="eastAsia" w:ascii="宋体" w:hAnsi="宋体" w:eastAsia="宋体" w:cs="宋体"/>
          <w:sz w:val="24"/>
          <w:szCs w:val="24"/>
        </w:rPr>
      </w:pPr>
    </w:p>
    <w:p w14:paraId="292797FF">
      <w:pPr>
        <w:rPr>
          <w:rFonts w:hint="eastAsia" w:ascii="宋体" w:hAnsi="宋体" w:eastAsia="宋体" w:cs="宋体"/>
          <w:sz w:val="24"/>
        </w:rPr>
      </w:pPr>
      <w:r>
        <w:rPr>
          <w:rFonts w:hint="eastAsia" w:ascii="宋体" w:hAnsi="宋体" w:eastAsia="宋体" w:cs="宋体"/>
          <w:sz w:val="24"/>
          <w:szCs w:val="24"/>
        </w:rPr>
        <w:br w:type="page"/>
      </w:r>
    </w:p>
    <w:p w14:paraId="6EFECFA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bCs/>
          <w:sz w:val="24"/>
        </w:rPr>
        <w:t>分包二、分包三、分包四、分包五、分包六、分包七、分包八：</w:t>
      </w:r>
    </w:p>
    <w:tbl>
      <w:tblPr>
        <w:tblStyle w:val="37"/>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255"/>
        <w:gridCol w:w="6464"/>
        <w:gridCol w:w="1440"/>
      </w:tblGrid>
      <w:tr w14:paraId="7254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18" w:type="dxa"/>
            <w:vAlign w:val="center"/>
          </w:tcPr>
          <w:p w14:paraId="407208F9">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55" w:type="dxa"/>
            <w:vAlign w:val="center"/>
          </w:tcPr>
          <w:p w14:paraId="71CF0C4D">
            <w:pPr>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6464" w:type="dxa"/>
            <w:vAlign w:val="center"/>
          </w:tcPr>
          <w:p w14:paraId="2F17C9A1">
            <w:pPr>
              <w:jc w:val="center"/>
              <w:rPr>
                <w:rFonts w:hint="eastAsia" w:ascii="宋体" w:hAnsi="宋体" w:eastAsia="宋体" w:cs="宋体"/>
                <w:b/>
                <w:sz w:val="24"/>
                <w:szCs w:val="24"/>
              </w:rPr>
            </w:pPr>
            <w:r>
              <w:rPr>
                <w:rFonts w:hint="eastAsia" w:ascii="宋体" w:hAnsi="宋体" w:eastAsia="宋体" w:cs="宋体"/>
                <w:b/>
                <w:sz w:val="24"/>
                <w:szCs w:val="24"/>
              </w:rPr>
              <w:t>评审标准</w:t>
            </w:r>
          </w:p>
        </w:tc>
        <w:tc>
          <w:tcPr>
            <w:tcW w:w="1440" w:type="dxa"/>
            <w:vAlign w:val="center"/>
          </w:tcPr>
          <w:p w14:paraId="3E9EEF71">
            <w:pPr>
              <w:jc w:val="center"/>
              <w:rPr>
                <w:rFonts w:hint="eastAsia" w:ascii="宋体" w:hAnsi="宋体" w:eastAsia="宋体" w:cs="宋体"/>
                <w:b/>
                <w:sz w:val="24"/>
                <w:szCs w:val="24"/>
              </w:rPr>
            </w:pPr>
            <w:r>
              <w:rPr>
                <w:rFonts w:hint="eastAsia" w:ascii="宋体" w:hAnsi="宋体" w:eastAsia="宋体" w:cs="宋体"/>
                <w:b/>
                <w:sz w:val="24"/>
                <w:szCs w:val="24"/>
              </w:rPr>
              <w:t>分值   （100分）</w:t>
            </w:r>
          </w:p>
        </w:tc>
      </w:tr>
      <w:tr w14:paraId="096B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8" w:type="dxa"/>
            <w:vAlign w:val="center"/>
          </w:tcPr>
          <w:p w14:paraId="3488590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255" w:type="dxa"/>
            <w:vAlign w:val="center"/>
          </w:tcPr>
          <w:p w14:paraId="6DCB6D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价格</w:t>
            </w:r>
          </w:p>
          <w:p w14:paraId="302E13E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（30分）</w:t>
            </w:r>
          </w:p>
        </w:tc>
        <w:tc>
          <w:tcPr>
            <w:tcW w:w="6464" w:type="dxa"/>
            <w:vAlign w:val="center"/>
          </w:tcPr>
          <w:p w14:paraId="72BF077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采用低价优先法计算，即满足招标文件要求且投标价格最低的投标报价为评标基准价，其价格分为满分。其他投标人的价格分按照下列公式计算（小数点保留二位）。投标报价得分=(评标基准价／投标报价)×30</w:t>
            </w:r>
          </w:p>
        </w:tc>
        <w:tc>
          <w:tcPr>
            <w:tcW w:w="1440" w:type="dxa"/>
            <w:vAlign w:val="center"/>
          </w:tcPr>
          <w:p w14:paraId="258F66E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w:t>
            </w:r>
          </w:p>
        </w:tc>
      </w:tr>
      <w:tr w14:paraId="056A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818" w:type="dxa"/>
            <w:vMerge w:val="restart"/>
            <w:vAlign w:val="center"/>
          </w:tcPr>
          <w:p w14:paraId="0329ED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255" w:type="dxa"/>
            <w:vMerge w:val="restart"/>
            <w:vAlign w:val="center"/>
          </w:tcPr>
          <w:p w14:paraId="7A931FD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w:t>
            </w:r>
          </w:p>
          <w:p w14:paraId="7939585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方案</w:t>
            </w:r>
          </w:p>
          <w:p w14:paraId="27FE0AD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（30分）</w:t>
            </w:r>
          </w:p>
          <w:p w14:paraId="57F2DE34">
            <w:pPr>
              <w:widowControl w:val="0"/>
              <w:spacing w:line="360" w:lineRule="auto"/>
              <w:jc w:val="both"/>
              <w:rPr>
                <w:rFonts w:hint="eastAsia" w:ascii="宋体" w:hAnsi="宋体" w:eastAsia="宋体" w:cs="宋体"/>
                <w:sz w:val="24"/>
                <w:szCs w:val="24"/>
              </w:rPr>
            </w:pPr>
          </w:p>
        </w:tc>
        <w:tc>
          <w:tcPr>
            <w:tcW w:w="6464" w:type="dxa"/>
            <w:vAlign w:val="center"/>
          </w:tcPr>
          <w:p w14:paraId="1B4353A6">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项目需求分析、重难点对应措施：</w:t>
            </w:r>
          </w:p>
          <w:p w14:paraId="00ECCA3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（1）项目需求分析深刻到位，重难点应对措施合理得当，服务设想周到全面，针对性强，在服务于本项目重难点等方面，拥有不同于其他供应商的新颖思路，得5分；</w:t>
            </w:r>
          </w:p>
          <w:p w14:paraId="171681B1">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（2）服务设想定位明确，有一定针对性，但无差异化新颖服务思路，重难点应对措施无创新亮点，得4分；</w:t>
            </w:r>
          </w:p>
          <w:p w14:paraId="557A116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（3）服务设想比较明确，但未结合本项目重难点制定应多措施，得3分；</w:t>
            </w:r>
          </w:p>
          <w:p w14:paraId="46F9B6C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（4）服务设想存在少量缺项，能够识别部分项目重难点，但应对措施不完善、针对性弱，无清晰的高阶服务定位，方案完整性与专业性不足，得2分；</w:t>
            </w:r>
          </w:p>
          <w:p w14:paraId="74E5CE1A">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（5）对项目需求理解模糊，服务设想内容残缺，核心服务内容缺失，无法有效识别项目重难点，无有效、可行的应对措施，得1分；</w:t>
            </w:r>
          </w:p>
          <w:p w14:paraId="2F20A52C">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126D47DA">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0826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18" w:type="dxa"/>
            <w:vMerge w:val="continue"/>
            <w:vAlign w:val="center"/>
          </w:tcPr>
          <w:p w14:paraId="571502E7">
            <w:pPr>
              <w:spacing w:line="360" w:lineRule="auto"/>
              <w:jc w:val="center"/>
              <w:rPr>
                <w:rFonts w:hint="eastAsia" w:ascii="宋体" w:hAnsi="宋体" w:eastAsia="宋体" w:cs="宋体"/>
                <w:sz w:val="24"/>
                <w:szCs w:val="24"/>
              </w:rPr>
            </w:pPr>
          </w:p>
        </w:tc>
        <w:tc>
          <w:tcPr>
            <w:tcW w:w="1255" w:type="dxa"/>
            <w:vMerge w:val="continue"/>
            <w:vAlign w:val="center"/>
          </w:tcPr>
          <w:p w14:paraId="5C1D38B9">
            <w:pPr>
              <w:spacing w:line="360" w:lineRule="auto"/>
              <w:jc w:val="center"/>
              <w:rPr>
                <w:rFonts w:hint="eastAsia" w:ascii="宋体" w:hAnsi="宋体" w:eastAsia="宋体" w:cs="宋体"/>
                <w:sz w:val="24"/>
                <w:szCs w:val="24"/>
              </w:rPr>
            </w:pPr>
          </w:p>
        </w:tc>
        <w:tc>
          <w:tcPr>
            <w:tcW w:w="6464" w:type="dxa"/>
          </w:tcPr>
          <w:p w14:paraId="6816051E">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设施维护保养制度：</w:t>
            </w:r>
          </w:p>
          <w:p w14:paraId="2FCF500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（1）制度健全完整，全面包含设备清单、检查标准、操作流程、应急预案等核心内容，无缺项漏项；维护责任分工清晰、权责到人，可规范化落地，得5分；</w:t>
            </w:r>
          </w:p>
          <w:p w14:paraId="3F3DE73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（2）维保制度核心模块齐全，内容规范，责任分工整体清晰，仅少量辅助内容未细化，制度完善、可正常落地，得4分；</w:t>
            </w:r>
          </w:p>
          <w:p w14:paraId="44DD3966">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（3）维保制度核心内容存在缺项漏项，关键模块不完整，维护责任分工模糊、权责不清，仅能满足基础简易维保需求，得3分；</w:t>
            </w:r>
          </w:p>
          <w:p w14:paraId="75EFCBE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（4）仅有简易制度框架，核心内容大面积缺失，无明确责任分工，无实操指导价值，无法支撑常态化维保工作，得2分；</w:t>
            </w:r>
          </w:p>
          <w:p w14:paraId="0B6E528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（5）仅提及维保相关概念，无成型制度、无核心模块、无责任分工，内容零散不成体系，不具备落地性，得1分；</w:t>
            </w:r>
          </w:p>
          <w:p w14:paraId="2261F252">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2299FA60">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1803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18" w:type="dxa"/>
            <w:vMerge w:val="continue"/>
            <w:vAlign w:val="center"/>
          </w:tcPr>
          <w:p w14:paraId="5847CF62">
            <w:pPr>
              <w:widowControl w:val="0"/>
              <w:spacing w:line="360" w:lineRule="auto"/>
              <w:jc w:val="both"/>
              <w:rPr>
                <w:rFonts w:hint="eastAsia" w:ascii="宋体" w:hAnsi="宋体" w:eastAsia="宋体" w:cs="宋体"/>
                <w:sz w:val="24"/>
                <w:szCs w:val="24"/>
              </w:rPr>
            </w:pPr>
          </w:p>
        </w:tc>
        <w:tc>
          <w:tcPr>
            <w:tcW w:w="1255" w:type="dxa"/>
            <w:vMerge w:val="continue"/>
            <w:vAlign w:val="center"/>
          </w:tcPr>
          <w:p w14:paraId="55EBC3A2">
            <w:pPr>
              <w:widowControl w:val="0"/>
              <w:spacing w:line="360" w:lineRule="auto"/>
              <w:jc w:val="both"/>
              <w:rPr>
                <w:rFonts w:hint="eastAsia" w:ascii="宋体" w:hAnsi="宋体" w:eastAsia="宋体" w:cs="宋体"/>
                <w:sz w:val="24"/>
                <w:szCs w:val="24"/>
              </w:rPr>
            </w:pPr>
          </w:p>
        </w:tc>
        <w:tc>
          <w:tcPr>
            <w:tcW w:w="6464" w:type="dxa"/>
          </w:tcPr>
          <w:p w14:paraId="50BD004F">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车辆停放安全监管措施、监管制度：</w:t>
            </w:r>
          </w:p>
          <w:p w14:paraId="7DC1A419">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（1）具备严格、完善的车辆停放安全监管措施，监管制度全覆盖无缺漏，巡查频次、岗位职责完全符合项目标准，体系完整、落地性强，得5分；</w:t>
            </w:r>
          </w:p>
          <w:p w14:paraId="08C1454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（2）车辆停放安全监管制度完备、覆盖全面，巡查职责清晰，仅个别巡查细节、频次微调不到位，整体可规范落地，得4分；</w:t>
            </w:r>
          </w:p>
          <w:p w14:paraId="798B615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（3）核心监管制度基本完备，但巡查频次、岗位职责未达到项目标准，监管体系存在明显短板，得3分；</w:t>
            </w:r>
          </w:p>
          <w:p w14:paraId="73237CA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（4）仅有简易监管框架，核心监管制度不完善，巡查职责、频次缺失严重，仅具备基础雏形，无法满足常态化安全监管需求，得2分；</w:t>
            </w:r>
          </w:p>
          <w:p w14:paraId="33714E4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（5）仅简单提及车辆停放安全监管相关内容，无成型制度、无具体巡查职责与频次要求，内容零散、无落地价值，得1分；</w:t>
            </w:r>
          </w:p>
          <w:p w14:paraId="1CD41A1D">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0FFA7FBD">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062C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18" w:type="dxa"/>
            <w:vMerge w:val="continue"/>
            <w:vAlign w:val="center"/>
          </w:tcPr>
          <w:p w14:paraId="4C1A37B7">
            <w:pPr>
              <w:widowControl w:val="0"/>
              <w:spacing w:line="360" w:lineRule="auto"/>
              <w:jc w:val="both"/>
              <w:rPr>
                <w:rFonts w:hint="eastAsia" w:ascii="宋体" w:hAnsi="宋体" w:eastAsia="宋体" w:cs="宋体"/>
                <w:sz w:val="24"/>
                <w:szCs w:val="24"/>
              </w:rPr>
            </w:pPr>
          </w:p>
        </w:tc>
        <w:tc>
          <w:tcPr>
            <w:tcW w:w="1255" w:type="dxa"/>
            <w:vMerge w:val="continue"/>
            <w:vAlign w:val="center"/>
          </w:tcPr>
          <w:p w14:paraId="24D83E53">
            <w:pPr>
              <w:widowControl w:val="0"/>
              <w:spacing w:line="360" w:lineRule="auto"/>
              <w:jc w:val="both"/>
              <w:rPr>
                <w:rFonts w:hint="eastAsia" w:ascii="宋体" w:hAnsi="宋体" w:eastAsia="宋体" w:cs="宋体"/>
                <w:sz w:val="24"/>
                <w:szCs w:val="24"/>
              </w:rPr>
            </w:pPr>
          </w:p>
        </w:tc>
        <w:tc>
          <w:tcPr>
            <w:tcW w:w="6464" w:type="dxa"/>
          </w:tcPr>
          <w:p w14:paraId="16DBBDA3">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服务规章制度及档案管理流程：</w:t>
            </w:r>
          </w:p>
          <w:p w14:paraId="0706D4A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（1）服务规章制度合理完善，档案收集、保存全流程健全规范，配套完整、合规的档案移交步骤，体系完善、落地性强，得5分；</w:t>
            </w:r>
          </w:p>
          <w:p w14:paraId="2C180A1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（2）务规章制度完备，档案建立、收集、保存流程规范，具备档案移交步骤，仅部分细节未细化，整体合规可用，得4分；</w:t>
            </w:r>
          </w:p>
          <w:p w14:paraId="3147F9E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（3）具备完善的服务规章制度，档案建立、收集、保存流程健全，设有档案移交步骤，整体达标但规范性、完整性一般，得3分；</w:t>
            </w:r>
          </w:p>
          <w:p w14:paraId="314A31AA">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（4）具备基础服务规章制度，档案管理流程、移交步骤存在缺项，内容不完整，仅具备基础框架，无法标准化落地，得2分；</w:t>
            </w:r>
          </w:p>
          <w:p w14:paraId="06600314">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（5）仅提及服务制度、档案管理相关内容，无成型规章制度，无完整管理流程及移交步骤，内容零散、无落地价值，得1分；</w:t>
            </w:r>
          </w:p>
          <w:p w14:paraId="2C62D236">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66272114">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22CB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818" w:type="dxa"/>
            <w:vMerge w:val="continue"/>
            <w:vAlign w:val="center"/>
          </w:tcPr>
          <w:p w14:paraId="0601033A">
            <w:pPr>
              <w:spacing w:line="360" w:lineRule="auto"/>
              <w:jc w:val="center"/>
              <w:rPr>
                <w:rFonts w:hint="eastAsia" w:ascii="宋体" w:hAnsi="宋体" w:eastAsia="宋体" w:cs="宋体"/>
                <w:sz w:val="24"/>
                <w:szCs w:val="24"/>
              </w:rPr>
            </w:pPr>
          </w:p>
        </w:tc>
        <w:tc>
          <w:tcPr>
            <w:tcW w:w="1255" w:type="dxa"/>
            <w:vMerge w:val="continue"/>
            <w:vAlign w:val="center"/>
          </w:tcPr>
          <w:p w14:paraId="6FE58582">
            <w:pPr>
              <w:spacing w:line="360" w:lineRule="auto"/>
              <w:jc w:val="center"/>
              <w:rPr>
                <w:rFonts w:hint="eastAsia" w:ascii="宋体" w:hAnsi="宋体" w:eastAsia="宋体" w:cs="宋体"/>
                <w:sz w:val="24"/>
                <w:szCs w:val="24"/>
              </w:rPr>
            </w:pPr>
          </w:p>
        </w:tc>
        <w:tc>
          <w:tcPr>
            <w:tcW w:w="6464" w:type="dxa"/>
            <w:vAlign w:val="center"/>
          </w:tcPr>
          <w:p w14:paraId="533FCA54">
            <w:pPr>
              <w:widowControl w:val="0"/>
              <w:spacing w:line="360" w:lineRule="auto"/>
              <w:jc w:val="both"/>
              <w:rPr>
                <w:rFonts w:hint="eastAsia" w:ascii="宋体" w:hAnsi="宋体" w:eastAsia="宋体" w:cs="宋体"/>
                <w:b/>
                <w:bCs/>
                <w:kern w:val="2"/>
                <w:sz w:val="24"/>
                <w:szCs w:val="24"/>
              </w:rPr>
            </w:pPr>
            <w:r>
              <w:rPr>
                <w:rFonts w:hint="eastAsia" w:ascii="宋体" w:hAnsi="宋体" w:eastAsia="宋体" w:cs="宋体"/>
                <w:b/>
                <w:bCs/>
                <w:kern w:val="2"/>
                <w:sz w:val="24"/>
                <w:szCs w:val="24"/>
              </w:rPr>
              <w:t>配备人员综合素质、部门职责及工作流程：</w:t>
            </w:r>
          </w:p>
          <w:p w14:paraId="5141ED54">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（1）配备人员技术基础扎实、综合素质优良、项目工作经验丰富；部门职责明确，工作流程完整、科学、可行，配套规章制度健全规范，得5分；</w:t>
            </w:r>
          </w:p>
          <w:p w14:paraId="693A902C">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（2）配备人员具备相应技术基础与从业经验；部门职责明确，工作流程较为完整科学，各类规章制度较为健全，整体满足项目运行要求，得4分；</w:t>
            </w:r>
          </w:p>
          <w:p w14:paraId="06B9CDF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（3）配备人员具备基础技术与少量项目经验；部门职责基本清晰，工作流程、规章制度存在少量缺项瑕疵，整体基本可用，得3分；</w:t>
            </w:r>
          </w:p>
          <w:p w14:paraId="211F3860">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（4）贴合招标文件标准：无清晰部门职责，工作流程完整性、科学性、可行性不足，各类规章制度不够健全规范，人员综合能力一般，得2分；</w:t>
            </w:r>
          </w:p>
          <w:p w14:paraId="45C284D4">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（5）人员无对应技术基础与项目经验，无成型部门职责与工作流程，规章制度缺失严重，无法支撑项目正常开展，得1分；</w:t>
            </w:r>
          </w:p>
          <w:p w14:paraId="526E9D92">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789FBABC">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11A2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18" w:type="dxa"/>
            <w:vMerge w:val="continue"/>
            <w:vAlign w:val="center"/>
          </w:tcPr>
          <w:p w14:paraId="7B32FEDF">
            <w:pPr>
              <w:spacing w:line="360" w:lineRule="auto"/>
              <w:jc w:val="center"/>
              <w:rPr>
                <w:rFonts w:hint="eastAsia" w:ascii="宋体" w:hAnsi="宋体" w:eastAsia="宋体" w:cs="宋体"/>
                <w:sz w:val="24"/>
                <w:szCs w:val="24"/>
              </w:rPr>
            </w:pPr>
          </w:p>
        </w:tc>
        <w:tc>
          <w:tcPr>
            <w:tcW w:w="1255" w:type="dxa"/>
            <w:vMerge w:val="continue"/>
            <w:vAlign w:val="center"/>
          </w:tcPr>
          <w:p w14:paraId="6E689E41">
            <w:pPr>
              <w:widowControl w:val="0"/>
              <w:spacing w:line="360" w:lineRule="auto"/>
              <w:jc w:val="center"/>
              <w:rPr>
                <w:rFonts w:hint="eastAsia" w:ascii="宋体" w:hAnsi="宋体" w:eastAsia="宋体" w:cs="宋体"/>
                <w:sz w:val="24"/>
                <w:szCs w:val="24"/>
              </w:rPr>
            </w:pPr>
          </w:p>
        </w:tc>
        <w:tc>
          <w:tcPr>
            <w:tcW w:w="6464" w:type="dxa"/>
            <w:vAlign w:val="center"/>
          </w:tcPr>
          <w:p w14:paraId="3E8C1D86">
            <w:pPr>
              <w:widowControl w:val="0"/>
              <w:spacing w:line="360" w:lineRule="auto"/>
              <w:jc w:val="both"/>
              <w:rPr>
                <w:rFonts w:hint="eastAsia" w:ascii="宋体" w:hAnsi="宋体" w:eastAsia="宋体" w:cs="宋体"/>
                <w:kern w:val="2"/>
                <w:sz w:val="24"/>
                <w:szCs w:val="24"/>
              </w:rPr>
            </w:pPr>
            <w:r>
              <w:rPr>
                <w:rFonts w:hint="eastAsia" w:ascii="宋体" w:hAnsi="宋体" w:eastAsia="宋体" w:cs="宋体"/>
                <w:b/>
                <w:bCs/>
                <w:kern w:val="2"/>
                <w:sz w:val="24"/>
                <w:szCs w:val="24"/>
              </w:rPr>
              <w:t>服务工作思路、应急措施及服务承诺：</w:t>
            </w:r>
          </w:p>
          <w:p w14:paraId="2055658A">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（1）服务认知深刻、工作思路清晰，全面覆盖车辆调度、设备维护等核心环节，具备完备的年度工作规划、全方位应急保障措施及规范服务承诺，得5分；</w:t>
            </w:r>
          </w:p>
          <w:p w14:paraId="07251A0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（2）熟悉项目服务核心环节，具备整体工作规划，但未细化分解落地细则，可提供应急措施与服务承诺，应急预案覆盖部分场景，完整性、细致度不足，得4分；</w:t>
            </w:r>
          </w:p>
          <w:p w14:paraId="35644F8B">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（3）仅具备基础服务流程制度，无专项年度规划、无项目专项调研，应急预案覆盖场景有限、内容不完善，得3分；</w:t>
            </w:r>
          </w:p>
          <w:p w14:paraId="644C488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（4）仅有少量基础服务制度，未覆盖核心服务环节，无年度工作规划，应急措施、服务承诺内容缺失，仅具备初步服务思路，得2分；</w:t>
            </w:r>
          </w:p>
          <w:p w14:paraId="5D877CB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（5）对项目服务认知薄弱，无明确工作思路，无规划、无应急预案、无正式服务承诺，无法支撑项目服务开展，得1分；</w:t>
            </w:r>
          </w:p>
          <w:p w14:paraId="31C88D97">
            <w:pPr>
              <w:widowControl w:val="0"/>
              <w:spacing w:line="360" w:lineRule="auto"/>
              <w:jc w:val="both"/>
              <w:rPr>
                <w:rFonts w:hint="eastAsia" w:ascii="宋体" w:hAnsi="宋体" w:eastAsia="宋体" w:cs="宋体"/>
                <w:sz w:val="24"/>
                <w:szCs w:val="24"/>
              </w:rPr>
            </w:pPr>
            <w:r>
              <w:rPr>
                <w:rFonts w:hint="eastAsia" w:ascii="宋体" w:hAnsi="宋体" w:eastAsia="宋体" w:cs="宋体"/>
                <w:kern w:val="2"/>
                <w:sz w:val="24"/>
                <w:szCs w:val="24"/>
              </w:rPr>
              <w:t>（6）未提供不得分。</w:t>
            </w:r>
          </w:p>
        </w:tc>
        <w:tc>
          <w:tcPr>
            <w:tcW w:w="1440" w:type="dxa"/>
            <w:vAlign w:val="center"/>
          </w:tcPr>
          <w:p w14:paraId="75EC9F29">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r>
      <w:tr w14:paraId="5ECE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18" w:type="dxa"/>
            <w:vAlign w:val="center"/>
          </w:tcPr>
          <w:p w14:paraId="31C8B7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255" w:type="dxa"/>
            <w:vAlign w:val="center"/>
          </w:tcPr>
          <w:p w14:paraId="7C37F684">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企业实力</w:t>
            </w:r>
          </w:p>
          <w:p w14:paraId="09F91DEB">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（20分）</w:t>
            </w:r>
          </w:p>
        </w:tc>
        <w:tc>
          <w:tcPr>
            <w:tcW w:w="6464" w:type="dxa"/>
            <w:vAlign w:val="center"/>
          </w:tcPr>
          <w:p w14:paraId="34FD6C81">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 xml:space="preserve">评委根据投标供应商提供以下证明资料（发票复印件、真实照片或其他证明材料等）  </w:t>
            </w:r>
          </w:p>
          <w:p w14:paraId="79386A2D">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rPr>
              <w:t>停车保管场地为</w:t>
            </w:r>
            <w:r>
              <w:rPr>
                <w:rFonts w:hint="eastAsia" w:ascii="宋体" w:hAnsi="宋体" w:eastAsia="宋体" w:cs="宋体"/>
                <w:sz w:val="24"/>
              </w:rPr>
              <w:t>投标人</w:t>
            </w:r>
            <w:r>
              <w:rPr>
                <w:rFonts w:ascii="宋体" w:hAnsi="宋体" w:eastAsia="宋体" w:cs="宋体"/>
                <w:sz w:val="24"/>
              </w:rPr>
              <w:t>自有场地</w:t>
            </w:r>
            <w:r>
              <w:rPr>
                <w:rFonts w:hint="eastAsia" w:ascii="宋体" w:hAnsi="宋体" w:eastAsia="宋体" w:cs="宋体"/>
                <w:sz w:val="24"/>
              </w:rPr>
              <w:t>的</w:t>
            </w:r>
            <w:r>
              <w:rPr>
                <w:rFonts w:ascii="宋体" w:hAnsi="宋体" w:eastAsia="宋体" w:cs="宋体"/>
                <w:sz w:val="24"/>
              </w:rPr>
              <w:t>提供土地使用权证；如系租赁场地须提供与土地使用权人签定</w:t>
            </w:r>
            <w:r>
              <w:rPr>
                <w:rFonts w:hint="eastAsia" w:ascii="宋体" w:hAnsi="宋体" w:eastAsia="宋体" w:cs="宋体"/>
                <w:sz w:val="24"/>
              </w:rPr>
              <w:t>的</w:t>
            </w:r>
            <w:r>
              <w:rPr>
                <w:rFonts w:ascii="宋体" w:hAnsi="宋体" w:eastAsia="宋体" w:cs="宋体"/>
                <w:sz w:val="24"/>
              </w:rPr>
              <w:t>租赁合同。</w:t>
            </w:r>
            <w:r>
              <w:rPr>
                <w:rFonts w:hint="eastAsia" w:ascii="宋体" w:hAnsi="宋体" w:eastAsia="宋体" w:cs="宋体"/>
                <w:sz w:val="24"/>
              </w:rPr>
              <w:t>使用权证或租赁合同中的场地位置需与拟提供的涉案车辆停车场位置一致。本项5分，提供资料不全不得分。</w:t>
            </w:r>
          </w:p>
          <w:p w14:paraId="4D2A056B">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2、投标人有完善的停车设施的得2分（含硬质化土地，符合要求的围墙、大门等设施的照片加盖公章，证明材料不全不得分）。</w:t>
            </w:r>
          </w:p>
          <w:p w14:paraId="4646530B">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3、投标人有用于清移车辆的叉车的得2分（自有叉车提供购买发票；租赁叉车提供租赁合同及对应租赁发票。证明材料不全不得分。）。</w:t>
            </w:r>
          </w:p>
          <w:p w14:paraId="12EC9F92">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4、投标人有专用办公用房、服务窗口的得2分（提供照片加盖公章。证明材料不全不得分）。</w:t>
            </w:r>
          </w:p>
          <w:p w14:paraId="1AB25DF6">
            <w:pPr>
              <w:widowControl w:val="0"/>
              <w:spacing w:line="360" w:lineRule="auto"/>
              <w:ind w:firstLine="210"/>
              <w:jc w:val="both"/>
              <w:rPr>
                <w:rFonts w:hint="eastAsia" w:ascii="宋体" w:hAnsi="宋体" w:eastAsia="宋体" w:cs="宋体"/>
                <w:sz w:val="24"/>
                <w:szCs w:val="24"/>
              </w:rPr>
            </w:pPr>
            <w:r>
              <w:rPr>
                <w:rFonts w:hint="eastAsia" w:ascii="宋体" w:hAnsi="宋体" w:eastAsia="宋体" w:cs="宋体"/>
                <w:sz w:val="24"/>
                <w:szCs w:val="24"/>
              </w:rPr>
              <w:t>5、投标人配备车库、车棚、车衣等设备可以用于停放需保留痕迹证据的车辆的得2分（有相关证明照片且加盖公章。证明材料不全不得分）。</w:t>
            </w:r>
          </w:p>
          <w:p w14:paraId="47CB6981">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6、投标人有科技化管理手段的得2分（电脑连网设备、打印机等办公设备的照片等证明材料加盖公章。证明材料不全不得分）。</w:t>
            </w:r>
          </w:p>
          <w:p w14:paraId="619B4A1C">
            <w:pPr>
              <w:widowControl w:val="0"/>
              <w:spacing w:line="360" w:lineRule="auto"/>
              <w:ind w:firstLine="21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7、投标人有完善的照明监控设备的得5分（提供监控照明设备的照片等证明材料加盖公章，证明材料不全不得分）。</w:t>
            </w:r>
          </w:p>
          <w:p w14:paraId="1D77029E">
            <w:pPr>
              <w:widowControl w:val="0"/>
              <w:spacing w:line="360" w:lineRule="auto"/>
              <w:ind w:firstLine="211"/>
              <w:jc w:val="both"/>
              <w:rPr>
                <w:rFonts w:hint="eastAsia" w:ascii="宋体" w:hAnsi="宋体" w:eastAsia="宋体" w:cs="宋体"/>
                <w:sz w:val="24"/>
                <w:szCs w:val="24"/>
              </w:rPr>
            </w:pPr>
            <w:r>
              <w:rPr>
                <w:rFonts w:hint="eastAsia" w:ascii="宋体" w:hAnsi="宋体" w:eastAsia="宋体" w:cs="宋体"/>
                <w:b/>
                <w:bCs/>
                <w:sz w:val="24"/>
                <w:szCs w:val="24"/>
              </w:rPr>
              <w:t>（以上提供的材料均需提供真实材料，入围后甲方将派专人进行核查。若为虚假材料将取消入围资格且追究其因提供虚假资料耽误本次招标进行的法律责任。）</w:t>
            </w:r>
          </w:p>
        </w:tc>
        <w:tc>
          <w:tcPr>
            <w:tcW w:w="1440" w:type="dxa"/>
            <w:vAlign w:val="center"/>
          </w:tcPr>
          <w:p w14:paraId="79AC373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r>
      <w:tr w14:paraId="578E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8" w:type="dxa"/>
            <w:vAlign w:val="center"/>
          </w:tcPr>
          <w:p w14:paraId="2EE5616C">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255" w:type="dxa"/>
            <w:vAlign w:val="center"/>
          </w:tcPr>
          <w:p w14:paraId="30D72E9F">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服务距离（20分）</w:t>
            </w:r>
          </w:p>
        </w:tc>
        <w:tc>
          <w:tcPr>
            <w:tcW w:w="6464" w:type="dxa"/>
            <w:vAlign w:val="center"/>
          </w:tcPr>
          <w:p w14:paraId="4A24610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投标供应商拟提供的停车场地至所投分包的中队距离在0-10km（含）的得20分；</w:t>
            </w:r>
          </w:p>
          <w:p w14:paraId="70AC2103">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投标供应商提供的停车场地至所投分包的大队距离在10km（不含）-15km（含）的得15分；</w:t>
            </w:r>
          </w:p>
          <w:p w14:paraId="167B6282">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投标供应商提供的停车场地至所投分包的大队距离在15km（不含）-25km（含）的得10分；</w:t>
            </w:r>
          </w:p>
          <w:p w14:paraId="790377D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投标供应商提供的停车场地至所投分包的大队距离在25km（不含）以上的得5分。</w:t>
            </w:r>
          </w:p>
          <w:p w14:paraId="167ED6CB">
            <w:pPr>
              <w:widowControl w:val="0"/>
              <w:spacing w:line="360" w:lineRule="auto"/>
              <w:jc w:val="both"/>
              <w:rPr>
                <w:b/>
                <w:bCs/>
              </w:rPr>
            </w:pPr>
            <w:r>
              <w:rPr>
                <w:rFonts w:hint="eastAsia" w:ascii="宋体" w:hAnsi="宋体" w:eastAsia="宋体" w:cs="宋体"/>
                <w:sz w:val="24"/>
                <w:szCs w:val="24"/>
                <w:highlight w:val="none"/>
                <w:shd w:val="clear"/>
              </w:rPr>
              <w:t>（投标供应商须提交拟投入场地至所投各个分包中队的百度地图驾车推荐路线完整截图，截图需同时显示起点（拟投入停车场地）、终点（各个分包中队地址）、驾车推荐里程数值。拟投入场地地址须与不动产权证书或租赁合同载明地址保持一致；地址不一致或提交材料无法判定地址一致性的，本项不得分。）</w:t>
            </w:r>
          </w:p>
        </w:tc>
        <w:tc>
          <w:tcPr>
            <w:tcW w:w="1440" w:type="dxa"/>
            <w:vAlign w:val="center"/>
          </w:tcPr>
          <w:p w14:paraId="1B02DAC0">
            <w:pPr>
              <w:widowControl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r>
    </w:tbl>
    <w:p w14:paraId="1BDAAD3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szCs w:val="24"/>
        </w:rPr>
      </w:pPr>
    </w:p>
    <w:p w14:paraId="2F34BF06">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szCs w:val="24"/>
        </w:rPr>
      </w:pPr>
      <w:r>
        <w:rPr>
          <w:rFonts w:hint="eastAsia" w:ascii="宋体" w:hAnsi="宋体" w:eastAsia="宋体" w:cs="宋体"/>
          <w:sz w:val="24"/>
          <w:szCs w:val="24"/>
        </w:rPr>
        <w:t xml:space="preserve">注：★1、分包二、分包三……分包八每个分包选定一家中标供应商。按各分包综合得分由高到低排序第一名的投标供应商为中标供应商，投标人在投标时自行考虑各区域服务范围，预算金额，进行综合报价，自行承担投标风险。 </w:t>
      </w:r>
    </w:p>
    <w:p w14:paraId="1591160F">
      <w:pPr>
        <w:spacing w:line="360" w:lineRule="auto"/>
        <w:rPr>
          <w:rFonts w:hint="eastAsia" w:ascii="宋体" w:hAnsi="宋体" w:eastAsia="宋体" w:cs="宋体"/>
          <w:sz w:val="36"/>
        </w:rPr>
      </w:pPr>
      <w:r>
        <w:rPr>
          <w:rFonts w:hint="eastAsia" w:ascii="宋体" w:hAnsi="宋体" w:eastAsia="宋体" w:cs="宋体"/>
          <w:sz w:val="24"/>
          <w:szCs w:val="24"/>
        </w:rPr>
        <w:br w:type="page" w:clear="all"/>
      </w:r>
    </w:p>
    <w:p w14:paraId="7A07FEDC">
      <w:pPr>
        <w:pBdr>
          <w:top w:val="none" w:color="000000" w:sz="0" w:space="0"/>
          <w:left w:val="none" w:color="000000" w:sz="0" w:space="0"/>
          <w:bottom w:val="none" w:color="000000" w:sz="0" w:space="0"/>
          <w:right w:val="none" w:color="000000" w:sz="0" w:space="0"/>
        </w:pBdr>
        <w:spacing w:before="120" w:after="120"/>
        <w:jc w:val="center"/>
        <w:outlineLvl w:val="0"/>
        <w:rPr>
          <w:rFonts w:hint="eastAsia" w:ascii="宋体" w:hAnsi="宋体" w:eastAsia="宋体" w:cs="宋体"/>
        </w:rPr>
      </w:pPr>
      <w:bookmarkStart w:id="21" w:name="_Toc8985"/>
      <w:bookmarkStart w:id="22" w:name="_Toc6670"/>
      <w:r>
        <w:rPr>
          <w:rFonts w:hint="eastAsia" w:ascii="宋体" w:hAnsi="宋体" w:eastAsia="宋体" w:cs="宋体"/>
          <w:b/>
          <w:bCs/>
          <w:sz w:val="36"/>
        </w:rPr>
        <w:t>第四章  采购需求</w:t>
      </w:r>
      <w:bookmarkEnd w:id="21"/>
      <w:bookmarkEnd w:id="22"/>
    </w:p>
    <w:p w14:paraId="1FC92DB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p>
    <w:p w14:paraId="03EB9FA0">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为规范公安机关交管部门涉案车辆停放管理，做好涉案车辆的保管工作。根据《中华人民共和国行政强制法》、《中华人民共和国道路交通安全法》、《中华人民共和国政府采购法》等有关法律、法规，结合工作实际，通过政府采购，确定交管部门涉案车辆定点停车场。</w:t>
      </w:r>
    </w:p>
    <w:p w14:paraId="01575DF3">
      <w:pPr>
        <w:pBdr>
          <w:top w:val="none" w:color="000000" w:sz="0" w:space="0"/>
          <w:left w:val="none" w:color="000000" w:sz="0" w:space="0"/>
          <w:bottom w:val="none" w:color="000000" w:sz="0" w:space="0"/>
          <w:right w:val="none" w:color="000000" w:sz="0" w:space="0"/>
        </w:pBdr>
        <w:spacing w:line="360" w:lineRule="auto"/>
        <w:ind w:firstLine="422"/>
        <w:jc w:val="both"/>
        <w:rPr>
          <w:rFonts w:hint="eastAsia" w:ascii="宋体" w:hAnsi="宋体" w:eastAsia="宋体" w:cs="宋体"/>
        </w:rPr>
      </w:pPr>
      <w:r>
        <w:rPr>
          <w:rFonts w:hint="eastAsia" w:ascii="宋体" w:hAnsi="宋体" w:eastAsia="宋体" w:cs="宋体"/>
          <w:b/>
          <w:sz w:val="24"/>
        </w:rPr>
        <w:t>一、采购标的需实现的功能或者目标</w:t>
      </w:r>
    </w:p>
    <w:p w14:paraId="0FBBD5D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根据法律法规和公安部规章的规定，公安交管部门依法扣留的事故车辆、违法车辆以及依法排除妨碍的车辆，应按规定停放或拖移至指定停车场。此次招标通过政府采购相关服务的形式，确定合格的社会停车场用于涉案车辆停放。</w:t>
      </w:r>
    </w:p>
    <w:p w14:paraId="3406A904">
      <w:pPr>
        <w:pBdr>
          <w:top w:val="none" w:color="000000" w:sz="0" w:space="0"/>
          <w:left w:val="none" w:color="000000" w:sz="0" w:space="0"/>
          <w:bottom w:val="none" w:color="000000" w:sz="0" w:space="0"/>
          <w:right w:val="none" w:color="000000" w:sz="0" w:space="0"/>
        </w:pBdr>
        <w:spacing w:line="360" w:lineRule="auto"/>
        <w:ind w:firstLine="422"/>
        <w:jc w:val="both"/>
        <w:rPr>
          <w:rFonts w:hint="eastAsia" w:ascii="宋体" w:hAnsi="宋体" w:eastAsia="宋体" w:cs="宋体"/>
        </w:rPr>
      </w:pPr>
      <w:r>
        <w:rPr>
          <w:rFonts w:hint="eastAsia" w:ascii="宋体" w:hAnsi="宋体" w:eastAsia="宋体" w:cs="宋体"/>
          <w:b/>
          <w:sz w:val="24"/>
        </w:rPr>
        <w:t>二、采购标的需满足的质量、安全、技术规格、物理特性等要求（标</w:t>
      </w:r>
      <w:r>
        <w:rPr>
          <w:rFonts w:hint="eastAsia" w:ascii="宋体" w:hAnsi="宋体" w:eastAsia="宋体" w:cs="宋体"/>
          <w:sz w:val="24"/>
        </w:rPr>
        <w:t>★</w:t>
      </w:r>
      <w:r>
        <w:rPr>
          <w:rFonts w:hint="eastAsia" w:ascii="宋体" w:hAnsi="宋体" w:eastAsia="宋体" w:cs="宋体"/>
          <w:b/>
          <w:sz w:val="24"/>
        </w:rPr>
        <w:t>的为实质性条款，投标文件必须对其进行响应，否则作废标处理）</w:t>
      </w:r>
    </w:p>
    <w:p w14:paraId="7E8EC79E">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 xml:space="preserve">★1、投标供应商提供的涉案车辆停车场必须符合下表要求： </w:t>
      </w:r>
    </w:p>
    <w:tbl>
      <w:tblPr>
        <w:tblStyle w:val="38"/>
        <w:tblW w:w="103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8"/>
        <w:gridCol w:w="2012"/>
        <w:gridCol w:w="4707"/>
        <w:gridCol w:w="1245"/>
        <w:gridCol w:w="1442"/>
      </w:tblGrid>
      <w:tr w14:paraId="444180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1"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8CF3B1">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分包号</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6DB621">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中队名称</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F0C7E3">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中队地址</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311646">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预算金额（万元）</w:t>
            </w:r>
          </w:p>
        </w:tc>
        <w:tc>
          <w:tcPr>
            <w:tcW w:w="144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3047DB">
            <w:pPr>
              <w:pBdr>
                <w:top w:val="none" w:color="000000" w:sz="0" w:space="0"/>
                <w:left w:val="none" w:color="000000" w:sz="0" w:space="0"/>
                <w:bottom w:val="none" w:color="000000" w:sz="0" w:space="0"/>
                <w:right w:val="none" w:color="000000" w:sz="0" w:space="0"/>
              </w:pBdr>
              <w:spacing w:line="62" w:lineRule="atLeast"/>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14:paraId="1C185E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2"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FA66A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分包一</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3FB9A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东山中队、开发区中队、高新区中队、南站中队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C217F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江苏省南京市江宁区金箔路449号</w:t>
            </w:r>
          </w:p>
          <w:p w14:paraId="601EC9A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南京市江宁区百家湖大街33号</w:t>
            </w:r>
          </w:p>
          <w:p w14:paraId="182A106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南京市江宁区泉东路28号</w:t>
            </w:r>
          </w:p>
          <w:p w14:paraId="20C46DB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南京市江宁区宏运大道</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B158E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330.00</w:t>
            </w:r>
          </w:p>
        </w:tc>
        <w:tc>
          <w:tcPr>
            <w:tcW w:w="1442"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70AC4678">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供应商必须按分包进行投标，可兼投多个分包，最多中1个分包。</w:t>
            </w:r>
          </w:p>
        </w:tc>
      </w:tr>
      <w:tr w14:paraId="01D3E9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EA9C8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分包二</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833A8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汤山中队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6977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南京市江宁区汤山派出所西南</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25F21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16.00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68C5A8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209030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9E91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分包三</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492F3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江宁中队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A4322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南京市江宁区江宁街道盛安大道640号</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24193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41.00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22E75A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401E9C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A4F25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分包四</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F1B32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谷里中队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726D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南京市江宁区牛首大道66号</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DED5C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29.00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3ABB57A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0E838B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60034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分包五</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69AC0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横溪中队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FA6E0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南京市江宁区横禄路与横云北路交叉路口</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5BCD5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21.00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5DE0A76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2B18B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8FD46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分包六</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D499D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湖熟中队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1E6A7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南京市江宁区虹南路53号</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E7AB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29.00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05BC7D1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138645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BF0D7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分包七</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75518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禄口中队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C639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南京市江宁区天禄路788号</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91503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49.00</w:t>
            </w:r>
          </w:p>
        </w:tc>
        <w:tc>
          <w:tcPr>
            <w:tcW w:w="1442" w:type="dxa"/>
            <w:vMerge w:val="continue"/>
            <w:tcBorders>
              <w:left w:val="single" w:color="auto" w:sz="4" w:space="0"/>
              <w:right w:val="single" w:color="auto" w:sz="4" w:space="0"/>
            </w:tcBorders>
            <w:tcMar>
              <w:top w:w="0" w:type="dxa"/>
              <w:left w:w="108" w:type="dxa"/>
              <w:bottom w:w="0" w:type="dxa"/>
              <w:right w:w="108" w:type="dxa"/>
            </w:tcMar>
            <w:vAlign w:val="center"/>
          </w:tcPr>
          <w:p w14:paraId="75BDF5A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r w14:paraId="00C72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jc w:val="center"/>
        </w:trPr>
        <w:tc>
          <w:tcPr>
            <w:tcW w:w="98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20BD8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分包八</w:t>
            </w:r>
          </w:p>
        </w:tc>
        <w:tc>
          <w:tcPr>
            <w:tcW w:w="20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12F63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淳化中队</w:t>
            </w:r>
          </w:p>
        </w:tc>
        <w:tc>
          <w:tcPr>
            <w:tcW w:w="47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7BD16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南京市江宁区淳化街道府前路1号</w:t>
            </w:r>
          </w:p>
        </w:tc>
        <w:tc>
          <w:tcPr>
            <w:tcW w:w="1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1E26B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r>
              <w:rPr>
                <w:rFonts w:hint="eastAsia" w:ascii="宋体" w:hAnsi="宋体" w:eastAsia="宋体" w:cs="宋体"/>
                <w:sz w:val="24"/>
                <w:szCs w:val="24"/>
              </w:rPr>
              <w:t>23.00</w:t>
            </w:r>
          </w:p>
        </w:tc>
        <w:tc>
          <w:tcPr>
            <w:tcW w:w="1442" w:type="dxa"/>
            <w:vMerge w:val="continue"/>
            <w:tcBorders>
              <w:left w:val="single" w:color="auto" w:sz="4" w:space="0"/>
              <w:bottom w:val="single" w:color="auto" w:sz="4" w:space="0"/>
              <w:right w:val="single" w:color="auto" w:sz="4" w:space="0"/>
            </w:tcBorders>
            <w:tcMar>
              <w:top w:w="0" w:type="dxa"/>
              <w:left w:w="108" w:type="dxa"/>
              <w:bottom w:w="0" w:type="dxa"/>
              <w:right w:w="108" w:type="dxa"/>
            </w:tcMar>
            <w:vAlign w:val="center"/>
          </w:tcPr>
          <w:p w14:paraId="06BFA26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p>
        </w:tc>
      </w:tr>
    </w:tbl>
    <w:p w14:paraId="72BE5172">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rPr>
      </w:pPr>
    </w:p>
    <w:p w14:paraId="0A477D0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★2、投标供应商须承诺中标后提供满足招标文件要求的足额面积的场地给采购人使用。</w:t>
      </w:r>
    </w:p>
    <w:p w14:paraId="73932E4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★3、投标供应商须承诺提供的涉案停车场面积是以涉案车辆实际可停放区域面积为准。</w:t>
      </w:r>
    </w:p>
    <w:p w14:paraId="7064673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★4、投标供应商须承诺停车场内24小时人员值守、办理相关业务。人员需熟练掌握电脑操作，所有人员均需岗前培训，熟悉岗位职责及办事流程并熟练掌握各种消防设施的使用。</w:t>
      </w:r>
    </w:p>
    <w:p w14:paraId="56D86CA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★5、投标供应商须承诺中标场地只为南京市公安局交通管理局江宁区大队涉案车辆停放使用，不得作为他用，如后续有违承诺，采购人有权拒签合同，所有后果由中标供应商承担。</w:t>
      </w:r>
    </w:p>
    <w:p w14:paraId="47CCAA5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6、投标供应商须承诺签订合同后，如因政策变化等不可控因素导致需更换场地，供应商应提供满足合同约定的场地及配套设施，并将原场地车辆转运至新场地，所涉费用均由中标供应商承担。更换的场地及配套设施应满足投标文件中该分包的各项需求。</w:t>
      </w:r>
    </w:p>
    <w:p w14:paraId="11AEBDF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7、投标供应商须承诺停车场围墙应为砖砌围墙或金属栏杆围墙，高度不低于2m，透视型围墙的应加装防攀爬护栏。停车场外围需设置醒目的指路引导牌，设置专用的出入口，出入口及停车场内需安装照明设施，24小时办理车辆存取手续，方便群众。</w:t>
      </w:r>
    </w:p>
    <w:p w14:paraId="77BB879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★8、投标供应商须承诺停车场场地硬化满足停车需要。对涉案车辆按照事故、违法、机非分类管理。提供的停车场要专场专用，不得与其他服务项目或功能混用，保证其相对封闭性。</w:t>
      </w:r>
    </w:p>
    <w:p w14:paraId="704CE51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★9、投标供应商须承诺停车场要安装视频监控设备，视频可视范围应覆盖整个停车场并24小时录像，保存时间不少于6个月。</w:t>
      </w:r>
    </w:p>
    <w:p w14:paraId="50FEC47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★10、投标供应商须承诺停车场要严格落实防火、防水、防盗等安全措施。</w:t>
      </w:r>
    </w:p>
    <w:p w14:paraId="58C4840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★11、投标供应商须承诺停车场具备专用业务办公用房，具备连接互联网（安装数据专网）的电脑、打印机等办公设备。自行承担水电费。</w:t>
      </w:r>
    </w:p>
    <w:p w14:paraId="0609656C">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★12、投标供应商须承诺停车场出入口规范合理，满足车辆正常出入条件，保证出入安全。</w:t>
      </w:r>
    </w:p>
    <w:p w14:paraId="31849D2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★13、投标供应商须承诺刑事案件和行政案件扣留的车辆须分区摆放，在投标方案中投标人须对此进行响应，在同一场地内分区的，提供分区示意图，提供分区物理分隔（如设置格栅）措施。</w:t>
      </w:r>
    </w:p>
    <w:p w14:paraId="478DAE7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14、投标供应商须承诺在涉案车辆保管场所悬挂合法的营业执照，设置专人看管，监控及安全防护设施齐全有效，有完善的安全管理制度及巡查措施，具备防雨、防晒、防火、防盗、防水淹等管理设施，保证停车场地的正常安全使用。</w:t>
      </w:r>
    </w:p>
    <w:p w14:paraId="216C02F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★15、投标供应商须承诺停车场地应根据现行国家标准《建筑灭火器配置设计规范》GB50140的最新有关规定并根据不同车型、物品等燃烧特点，针对性设置各种类型灭火设施。</w:t>
      </w:r>
    </w:p>
    <w:p w14:paraId="47BBC7B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★16、投标供应商须承诺停车场地内发生的人员、车辆、财产等任何损失，由中标供应商承担全部法律及经济赔偿责任。</w:t>
      </w:r>
    </w:p>
    <w:p w14:paraId="09E920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17、投标供应商须承诺采购人将于中标通知书发放后的3个工作日内对中标供应商进行考察，如发现不满足招标文件实质性要求或不满足投标文件中实质性响应的，采购人有权拒绝签订合同，有权向监管部门反映情况并建议取消其中标资格。</w:t>
      </w:r>
    </w:p>
    <w:p w14:paraId="4F9B4AB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★18、投标供应商须承诺合同期满后，不得以任何理由向采购人主张包括土地平整设施设备采购或安装等在内产生的任何赔偿或补偿。</w:t>
      </w:r>
    </w:p>
    <w:p w14:paraId="138DE87C">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★19、投标供应商须承诺，如中标，须按采购人要求，在合同签订之日起2日内，将停放在其他停车场地的涉案车辆拖移至中标供应商所在场地，因转场产生的费用由中标供应商自理。</w:t>
      </w:r>
    </w:p>
    <w:p w14:paraId="461C91A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注：以上第2-19条须在投标文件中提供承诺书原件，格式见第六章。</w:t>
      </w:r>
    </w:p>
    <w:p w14:paraId="510C5469">
      <w:pPr>
        <w:pBdr>
          <w:top w:val="none" w:color="000000" w:sz="0" w:space="0"/>
          <w:left w:val="none" w:color="000000" w:sz="0" w:space="0"/>
          <w:bottom w:val="none" w:color="000000" w:sz="0" w:space="0"/>
          <w:right w:val="none" w:color="000000" w:sz="0" w:space="0"/>
        </w:pBdr>
        <w:spacing w:line="360" w:lineRule="auto"/>
        <w:ind w:firstLine="482" w:firstLineChars="200"/>
        <w:jc w:val="both"/>
        <w:rPr>
          <w:rFonts w:hint="eastAsia" w:ascii="宋体" w:hAnsi="宋体" w:eastAsia="宋体" w:cs="宋体"/>
        </w:rPr>
      </w:pPr>
      <w:r>
        <w:rPr>
          <w:rFonts w:hint="eastAsia" w:ascii="宋体" w:hAnsi="宋体" w:eastAsia="宋体" w:cs="宋体"/>
          <w:b/>
          <w:sz w:val="24"/>
        </w:rPr>
        <w:t>三、采购报价</w:t>
      </w:r>
    </w:p>
    <w:p w14:paraId="610F2871">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1、预算单价:</w:t>
      </w:r>
    </w:p>
    <w:p w14:paraId="1D8F714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大型车（10座以上（含10座）的客车，4.5吨以上（含4.5吨）的货车），40元/天·辆；</w:t>
      </w:r>
    </w:p>
    <w:p w14:paraId="22F8D4A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长度超过12米（含12米）的车辆保管费加收50%，60元/天·辆；</w:t>
      </w:r>
    </w:p>
    <w:p w14:paraId="3F0214A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小型车（大型车以外的车辆），20元/天·辆；</w:t>
      </w:r>
    </w:p>
    <w:p w14:paraId="4DDF47A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摩托车（含农用车、轻摩、机动或电动三轮车），10元/天·辆；</w:t>
      </w:r>
    </w:p>
    <w:p w14:paraId="09CC8440">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b/>
          <w:bCs/>
          <w:sz w:val="24"/>
        </w:rPr>
        <w:t>电动自行车（含助力车、残疾人专用车、人力三轮车），5元/天·辆。如果提车当日，时间不足12小时，上述标准减半收取。</w:t>
      </w:r>
    </w:p>
    <w:p w14:paraId="05FA2FA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sz w:val="24"/>
        </w:rPr>
        <w:t>2、投标报价包括场地租赁、设施设备投入、人员工资和国家强制缴纳的各种社会保险金、保管风险以及供应商认为为完成招标文件规定的工作内容所涉及的一切相关费用。投标人报价时应充分考虑服务期内所有可能影响到报价的因素，一旦成交，不予调整。</w:t>
      </w:r>
    </w:p>
    <w:p w14:paraId="6A03713C">
      <w:pPr>
        <w:spacing w:line="360" w:lineRule="auto"/>
        <w:ind w:firstLine="480" w:firstLineChars="200"/>
        <w:rPr>
          <w:rFonts w:hint="eastAsia" w:ascii="宋体" w:hAnsi="宋体" w:eastAsia="宋体" w:cs="宋体"/>
          <w:sz w:val="24"/>
        </w:rPr>
      </w:pPr>
      <w:r>
        <w:rPr>
          <w:rFonts w:hint="eastAsia" w:ascii="宋体" w:hAnsi="宋体" w:eastAsia="宋体" w:cs="宋体"/>
          <w:sz w:val="24"/>
        </w:rPr>
        <w:t>3、投标人在一个分包提供多处场地的，场地间的保管车辆转场费用需考虑在报价范围内。</w:t>
      </w:r>
    </w:p>
    <w:p w14:paraId="211BFAE4">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rPr>
        <w:t>4、按招标文件要求投保的保险费用需考虑在报价范围内。</w:t>
      </w:r>
      <w:r>
        <w:rPr>
          <w:rFonts w:ascii="宋体" w:hAnsi="宋体" w:eastAsia="宋体" w:cs="宋体"/>
          <w:b/>
          <w:bCs/>
          <w:sz w:val="24"/>
          <w:szCs w:val="24"/>
        </w:rPr>
        <w:t>保险险种包含但不限于停车场火灾公众责任险、车辆盗抢险、第三者责任险等相关险种</w:t>
      </w:r>
      <w:r>
        <w:rPr>
          <w:rFonts w:hint="eastAsia" w:ascii="宋体" w:hAnsi="宋体" w:eastAsia="宋体" w:cs="宋体"/>
          <w:b/>
          <w:bCs/>
          <w:sz w:val="24"/>
          <w:szCs w:val="24"/>
        </w:rPr>
        <w:t>，</w:t>
      </w:r>
      <w:r>
        <w:rPr>
          <w:rFonts w:ascii="宋体" w:hAnsi="宋体" w:eastAsia="宋体" w:cs="宋体"/>
          <w:b/>
          <w:bCs/>
          <w:sz w:val="24"/>
          <w:szCs w:val="24"/>
        </w:rPr>
        <w:t>保险保单累计赔偿限额不低于</w:t>
      </w:r>
      <w:r>
        <w:rPr>
          <w:rFonts w:hint="eastAsia" w:ascii="宋体" w:hAnsi="宋体" w:eastAsia="宋体" w:cs="宋体"/>
          <w:b/>
          <w:bCs/>
          <w:sz w:val="24"/>
          <w:szCs w:val="24"/>
        </w:rPr>
        <w:t>100</w:t>
      </w:r>
      <w:r>
        <w:rPr>
          <w:rFonts w:ascii="宋体" w:hAnsi="宋体" w:eastAsia="宋体" w:cs="宋体"/>
          <w:b/>
          <w:bCs/>
          <w:sz w:val="24"/>
          <w:szCs w:val="24"/>
        </w:rPr>
        <w:t>万元</w:t>
      </w:r>
      <w:r>
        <w:rPr>
          <w:rFonts w:hint="eastAsia" w:ascii="宋体" w:hAnsi="宋体" w:eastAsia="宋体" w:cs="宋体"/>
          <w:b/>
          <w:bCs/>
          <w:sz w:val="24"/>
          <w:szCs w:val="24"/>
        </w:rPr>
        <w:t>（</w:t>
      </w:r>
      <w:r>
        <w:rPr>
          <w:rFonts w:hint="eastAsia" w:ascii="宋体" w:hAnsi="宋体" w:eastAsia="宋体" w:cs="宋体"/>
          <w:b/>
          <w:bCs/>
          <w:sz w:val="24"/>
        </w:rPr>
        <w:t>提供承诺书原件，格式见第六章</w:t>
      </w:r>
      <w:r>
        <w:rPr>
          <w:rFonts w:hint="eastAsia" w:ascii="宋体" w:hAnsi="宋体" w:eastAsia="宋体" w:cs="宋体"/>
          <w:b/>
          <w:bCs/>
          <w:sz w:val="24"/>
          <w:szCs w:val="24"/>
        </w:rPr>
        <w:t>）</w:t>
      </w:r>
      <w:r>
        <w:rPr>
          <w:rFonts w:ascii="宋体" w:hAnsi="宋体" w:eastAsia="宋体" w:cs="宋体"/>
          <w:b/>
          <w:bCs/>
          <w:sz w:val="24"/>
          <w:szCs w:val="24"/>
        </w:rPr>
        <w:t>。</w:t>
      </w:r>
    </w:p>
    <w:p w14:paraId="4974CC7A">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lang w:bidi="ar"/>
        </w:rPr>
        <w:t xml:space="preserve">四、停车类型 </w:t>
      </w:r>
    </w:p>
    <w:p w14:paraId="20D54162">
      <w:pPr>
        <w:spacing w:line="360" w:lineRule="auto"/>
        <w:ind w:firstLine="709"/>
        <w:rPr>
          <w:rFonts w:hint="eastAsia" w:ascii="宋体" w:hAnsi="宋体" w:eastAsia="宋体" w:cs="宋体"/>
          <w:sz w:val="24"/>
          <w:szCs w:val="24"/>
        </w:rPr>
      </w:pPr>
      <w:r>
        <w:rPr>
          <w:rFonts w:hint="eastAsia" w:ascii="宋体" w:hAnsi="宋体" w:eastAsia="宋体" w:cs="宋体"/>
          <w:sz w:val="24"/>
          <w:szCs w:val="24"/>
          <w:lang w:bidi="ar"/>
        </w:rPr>
        <w:t xml:space="preserve">1、大型车(长度低于12米)； </w:t>
      </w:r>
    </w:p>
    <w:p w14:paraId="303A1702">
      <w:pPr>
        <w:spacing w:line="360" w:lineRule="auto"/>
        <w:ind w:firstLine="709"/>
        <w:rPr>
          <w:rFonts w:hint="eastAsia" w:ascii="宋体" w:hAnsi="宋体" w:eastAsia="宋体" w:cs="宋体"/>
          <w:sz w:val="24"/>
          <w:szCs w:val="24"/>
        </w:rPr>
      </w:pPr>
      <w:r>
        <w:rPr>
          <w:rFonts w:hint="eastAsia" w:ascii="宋体" w:hAnsi="宋体" w:eastAsia="宋体" w:cs="宋体"/>
          <w:sz w:val="24"/>
          <w:szCs w:val="24"/>
          <w:lang w:bidi="ar"/>
        </w:rPr>
        <w:t xml:space="preserve">2、大型车(长度超过12米,含12米)； </w:t>
      </w:r>
    </w:p>
    <w:p w14:paraId="3F91695D">
      <w:pPr>
        <w:spacing w:line="360" w:lineRule="auto"/>
        <w:ind w:firstLine="709"/>
        <w:rPr>
          <w:rFonts w:hint="eastAsia" w:ascii="宋体" w:hAnsi="宋体" w:eastAsia="宋体" w:cs="宋体"/>
          <w:sz w:val="24"/>
          <w:szCs w:val="24"/>
          <w:lang w:bidi="ar"/>
        </w:rPr>
      </w:pPr>
      <w:r>
        <w:rPr>
          <w:rFonts w:hint="eastAsia" w:ascii="宋体" w:hAnsi="宋体" w:eastAsia="宋体" w:cs="宋体"/>
          <w:sz w:val="24"/>
          <w:szCs w:val="24"/>
          <w:lang w:bidi="ar"/>
        </w:rPr>
        <w:t xml:space="preserve">3、小型车（大型车以外的车辆）； </w:t>
      </w:r>
    </w:p>
    <w:p w14:paraId="4883F31F">
      <w:pPr>
        <w:spacing w:line="360" w:lineRule="auto"/>
        <w:ind w:firstLine="709"/>
        <w:rPr>
          <w:rFonts w:hint="eastAsia" w:ascii="宋体" w:hAnsi="宋体" w:eastAsia="宋体" w:cs="宋体"/>
          <w:sz w:val="24"/>
          <w:szCs w:val="24"/>
          <w:lang w:bidi="ar"/>
        </w:rPr>
      </w:pPr>
      <w:r>
        <w:rPr>
          <w:rFonts w:hint="eastAsia" w:ascii="宋体" w:hAnsi="宋体" w:eastAsia="宋体" w:cs="宋体"/>
          <w:sz w:val="24"/>
          <w:szCs w:val="24"/>
          <w:lang w:bidi="ar"/>
        </w:rPr>
        <w:t xml:space="preserve">4、摩托车（含农用车、轻摩、机动或电动三轮车）； </w:t>
      </w:r>
    </w:p>
    <w:p w14:paraId="0912BA0A">
      <w:pPr>
        <w:spacing w:line="360" w:lineRule="auto"/>
        <w:ind w:firstLine="709"/>
        <w:rPr>
          <w:rFonts w:hint="eastAsia" w:ascii="宋体" w:hAnsi="宋体" w:eastAsia="宋体" w:cs="宋体"/>
          <w:sz w:val="24"/>
          <w:szCs w:val="24"/>
          <w:lang w:bidi="ar"/>
        </w:rPr>
      </w:pPr>
      <w:r>
        <w:rPr>
          <w:rFonts w:hint="eastAsia" w:ascii="宋体" w:hAnsi="宋体" w:eastAsia="宋体" w:cs="宋体"/>
          <w:sz w:val="24"/>
          <w:szCs w:val="24"/>
          <w:lang w:bidi="ar"/>
        </w:rPr>
        <w:t xml:space="preserve">5、电动自行车（含助力车、残疾人专用车、人力三轮车）。 </w:t>
      </w:r>
    </w:p>
    <w:p w14:paraId="2E77D9F1">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lang w:bidi="ar"/>
        </w:rPr>
        <w:t xml:space="preserve">五、场地要求 </w:t>
      </w:r>
    </w:p>
    <w:p w14:paraId="46F0B0E4">
      <w:pPr>
        <w:widowControl w:val="0"/>
        <w:spacing w:line="360" w:lineRule="auto"/>
        <w:ind w:firstLine="480"/>
        <w:jc w:val="both"/>
        <w:rPr>
          <w:rFonts w:hint="eastAsia" w:ascii="宋体" w:hAnsi="宋体" w:eastAsia="宋体" w:cs="宋体"/>
          <w:sz w:val="24"/>
          <w:szCs w:val="24"/>
          <w:lang w:bidi="ar"/>
        </w:rPr>
      </w:pPr>
      <w:r>
        <w:rPr>
          <w:rFonts w:hint="eastAsia" w:ascii="宋体" w:hAnsi="宋体" w:eastAsia="宋体" w:cs="宋体"/>
          <w:sz w:val="24"/>
          <w:szCs w:val="24"/>
          <w:lang w:bidi="ar"/>
        </w:rPr>
        <w:t>1、保管涉案车辆的场地为占地面积不低于4000㎡地面平整且硬质化的封闭区域。该区域不得停放涉案车辆以外的车辆；</w:t>
      </w:r>
    </w:p>
    <w:p w14:paraId="1ABEF977">
      <w:pPr>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lang w:bidi="ar"/>
        </w:rPr>
        <w:t xml:space="preserve">2、公安部门将按照就近原则停放交通事故、违法车辆，供应商必须提供交通便利的停车场地。 </w:t>
      </w:r>
    </w:p>
    <w:p w14:paraId="2B750D85">
      <w:pPr>
        <w:spacing w:line="360" w:lineRule="auto"/>
        <w:ind w:firstLine="709"/>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lang w:bidi="ar"/>
        </w:rPr>
        <w:t xml:space="preserve">六、涉案车辆交接等要求 </w:t>
      </w:r>
    </w:p>
    <w:p w14:paraId="44945F2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1、中标供应商要严格遵守《关于扣留车辆信息系统管理使用规定》、《南京市公安局江宁分局涉案财物管理暂行规定》、《江宁区涉案车辆保管规范》，统一使用甲方提供的扣留车辆信息管理系统，并按甲方提供的格式要求制作涉案车辆入出场登记台帐、入场签收单、涉案车辆移送登记台帐，对入出场车辆进行登记、保管、移送。一律凭公安部门盖（公）章的放车单发还涉案车辆，并及时将放车单副联、进出场照片装订后送交甲方，办理移送交接手续。每天认真清点车辆和核对登记台帐，保证实际车辆与登记台帐数量、内容完全一致。 </w:t>
      </w:r>
    </w:p>
    <w:p w14:paraId="0B12A7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2、具有严格完善的车辆停放安全监管措施、服务规章制度；具有足够的管理人员，能够全天随时办理车辆存取手续，并对被扣留拖移车辆停放安全进行巡视；有专人接待投诉，并能妥善处理投诉。</w:t>
      </w:r>
    </w:p>
    <w:p w14:paraId="65C0B2EB">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eastAsia="宋体" w:cs="宋体"/>
          <w:b/>
          <w:bCs/>
          <w:sz w:val="24"/>
          <w:szCs w:val="24"/>
          <w:lang w:bidi="ar"/>
        </w:rPr>
        <w:t xml:space="preserve">七、服务时间 </w:t>
      </w:r>
    </w:p>
    <w:p w14:paraId="2C9CC554">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 xml:space="preserve">本项目服务时间为一年。南京市公安局江宁分局与成交供应商签订为期一年的合同。 </w:t>
      </w:r>
    </w:p>
    <w:p w14:paraId="154AE6D5">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八、</w:t>
      </w:r>
      <w:r>
        <w:rPr>
          <w:rFonts w:hint="eastAsia" w:ascii="宋体" w:hAnsi="宋体" w:eastAsia="宋体" w:cs="宋体"/>
          <w:b/>
          <w:bCs/>
          <w:sz w:val="24"/>
          <w:szCs w:val="24"/>
          <w:lang w:bidi="ar"/>
        </w:rPr>
        <w:t xml:space="preserve">付款条件 </w:t>
      </w:r>
    </w:p>
    <w:p w14:paraId="75863F8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合同价款采用以下方式结算。</w:t>
      </w:r>
    </w:p>
    <w:p w14:paraId="3A3F5F0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1、以各中标单位投标报价为基础，按照停车场一个年度内实际发生的总费用，对各家中标供应商本年度实际应得费用进行核算。</w:t>
      </w:r>
    </w:p>
    <w:p w14:paraId="2C2D72A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 xml:space="preserve">2、公安部门向停车场管理方支付的停车费，以公安部门登记数据计算结果为依据。 </w:t>
      </w:r>
    </w:p>
    <w:p w14:paraId="6695163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bCs/>
          <w:sz w:val="24"/>
        </w:rPr>
      </w:pPr>
      <w:r>
        <w:rPr>
          <w:rFonts w:hint="eastAsia" w:ascii="宋体" w:hAnsi="宋体" w:eastAsia="宋体" w:cs="宋体"/>
          <w:b/>
          <w:bCs/>
          <w:sz w:val="24"/>
        </w:rPr>
        <w:t>3、在充分履行合同的前提下，中标方每半年向招标单位提交书面申请，并附:清单、列表，经公安部门审核确认后，支付半年的费用（具体计算标准：根据半年度内中标供应商停车场实际发生的总费用核算各家中标供应商实际所得费用）。合同期满，待审计结束后，按照审计报告结果结清余款（年度总费用不得超过各分包预算价，超过预算价部分不予结算，视为让利）。</w:t>
      </w:r>
    </w:p>
    <w:p w14:paraId="0082EF4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sz w:val="24"/>
          <w:szCs w:val="24"/>
        </w:rPr>
      </w:pPr>
      <w:r>
        <w:rPr>
          <w:rFonts w:hint="eastAsia" w:ascii="宋体" w:hAnsi="宋体" w:eastAsia="宋体" w:cs="宋体"/>
          <w:sz w:val="24"/>
        </w:rPr>
        <w:t>4、乙方除向甲方收取保管费外，不得再向甲方或者车辆所有人收取任何与车辆停放保管相关的费用。</w:t>
      </w:r>
    </w:p>
    <w:p w14:paraId="3A21B3A8">
      <w:pPr>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★九</w:t>
      </w:r>
      <w:r>
        <w:rPr>
          <w:rFonts w:hint="eastAsia" w:ascii="宋体" w:hAnsi="宋体" w:eastAsia="宋体" w:cs="宋体"/>
          <w:b/>
          <w:bCs/>
          <w:sz w:val="24"/>
          <w:szCs w:val="24"/>
          <w:lang w:bidi="ar"/>
        </w:rPr>
        <w:t xml:space="preserve">、考核要求 </w:t>
      </w:r>
    </w:p>
    <w:p w14:paraId="39F617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为保证交通违法车辆、事故车辆的存放安全，维护被扣留车辆驾驶人（所有人）的正当权益，公安部门有权对停车场管理方是否按有关规定规范经营进行监督、举报，因保管措施不当，造成扣留车辆丢失、损毁、损坏的，停车场管理方须依照相关标准对车辆驾驶人（或所有人）进行赔偿。 </w:t>
      </w:r>
    </w:p>
    <w:p w14:paraId="30EEF09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对有违反下列情形之一的，公安部门可采取责令整改、暂停或取消涉案车辆停车场保管资格的措施，并将问题通报有关部门，情形严重的将终止合同。 </w:t>
      </w:r>
    </w:p>
    <w:p w14:paraId="5990D2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1、按时审验停车场资质、停车收费标准、营业执照副本等。 </w:t>
      </w:r>
    </w:p>
    <w:p w14:paraId="23DC1C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2、场地、设施、设备符合规定要求。 </w:t>
      </w:r>
    </w:p>
    <w:p w14:paraId="4E31F90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3、按规定设立停车收费标准标志牌，并公示停车场经营备案表、停车收费标准核准表、营业执照、服务制度。 </w:t>
      </w:r>
    </w:p>
    <w:p w14:paraId="6E2ABBE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4、按规定办理扣留车辆交接手续。 </w:t>
      </w:r>
    </w:p>
    <w:p w14:paraId="7878A37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5、按规定在台帐上登记扣留车辆相关信息。 </w:t>
      </w:r>
    </w:p>
    <w:p w14:paraId="47246FA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6、按规定妥善保管公安部门移交的扣留车辆，不得造成车辆丢失、损毁、损坏，不得擅自使用、处置车辆,不得监守自盗、非法侵占公安机关移交涉案车辆。 </w:t>
      </w:r>
    </w:p>
    <w:p w14:paraId="5BDBA4D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7、按规定程序发还车辆。 </w:t>
      </w:r>
    </w:p>
    <w:p w14:paraId="144FCA2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8、不得擅自设立收费项目或变相收费。 </w:t>
      </w:r>
    </w:p>
    <w:p w14:paraId="540A681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9、考核不合格的或有重大违法违纪情况的，甲方有权中止合同。 </w:t>
      </w:r>
    </w:p>
    <w:p w14:paraId="2E494B13">
      <w:pPr>
        <w:pBdr>
          <w:top w:val="none" w:color="000000" w:sz="0" w:space="0"/>
          <w:left w:val="none" w:color="000000" w:sz="0" w:space="0"/>
          <w:bottom w:val="none" w:color="000000" w:sz="0" w:space="0"/>
          <w:right w:val="none" w:color="000000" w:sz="0" w:space="0"/>
        </w:pBdr>
        <w:spacing w:line="360" w:lineRule="auto"/>
        <w:ind w:firstLine="422"/>
        <w:jc w:val="both"/>
        <w:rPr>
          <w:rFonts w:hint="eastAsia" w:ascii="宋体" w:hAnsi="宋体" w:eastAsia="宋体" w:cs="宋体"/>
        </w:rPr>
      </w:pPr>
      <w:r>
        <w:rPr>
          <w:rFonts w:hint="eastAsia" w:ascii="宋体" w:hAnsi="宋体" w:eastAsia="宋体" w:cs="宋体"/>
          <w:b/>
          <w:sz w:val="24"/>
        </w:rPr>
        <w:t>十、项目考核规定</w:t>
      </w:r>
    </w:p>
    <w:p w14:paraId="4CD1DB43">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第一条各勤务中队（使用方）、交警大队是本项目管理职能部门，负责本项目的日常管理、考核，每月核实处理群众的投诉及考核。</w:t>
      </w:r>
    </w:p>
    <w:p w14:paraId="29D57E7F">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第二条考核结果运用：保管费结算时按扣分分值折合相应钱款后在当月保管费中予以扣除，每分值相当于被考核当月结算保管费总额的1%。</w:t>
      </w:r>
    </w:p>
    <w:p w14:paraId="7E6289DA">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第三条保管站每月5日前向勤务中队提交上月验收资料，提出验收申请。勤务中队每月10日前对上月组织考核验收一次,并现场填写《涉案车辆停车场检查情况考核评分表》。评价考核采取百分制，80分以上为合格（含80分），80分以下为不合格。</w:t>
      </w:r>
    </w:p>
    <w:p w14:paraId="254F677C">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1、保管站未建立和使用交警部门统一台账的，每次扣1分。</w:t>
      </w:r>
    </w:p>
    <w:p w14:paraId="7241BA1D">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2、保管站对甲方移交的涉案车辆、物品进场、出场未登记或登记信息不全、与实际不符的，每起扣1分。</w:t>
      </w:r>
    </w:p>
    <w:p w14:paraId="5E8DE1F8">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3、保管站内无人值守的，5分钟内（含）每次扣2分，超过5分钟（不含）的每次扣10分。合同期内有两次及以上的，甲方有权单独解除合同。</w:t>
      </w:r>
    </w:p>
    <w:p w14:paraId="0422D59E">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4、保管场所无管理制度或未按照管理制度执行的，每次扣2分。</w:t>
      </w:r>
    </w:p>
    <w:p w14:paraId="4769BECD">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5、保管场所内安全防护设施不全，无监控、灭火、防盗、排水设施或缺少、失效、损坏或未及时完善和修复的，每起扣2分。</w:t>
      </w:r>
    </w:p>
    <w:p w14:paraId="3EC9A559">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6、保管站监控记录未按甲方要求时间保存或保存不全、不能调取的，每次扣2分。</w:t>
      </w:r>
    </w:p>
    <w:p w14:paraId="58D9303B">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7、保管场所未张贴工作流程、收费公示的，每次扣1分。</w:t>
      </w:r>
    </w:p>
    <w:p w14:paraId="1F1C2CAA">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8、保管站违反规定乱收费被当事人投诉，经交警部门查证属实的，除向当事人退还全部费用外，每次扣20分。</w:t>
      </w:r>
    </w:p>
    <w:p w14:paraId="16EA3872">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9、保管站对入、出场车辆不照相、不悬挂铭牌的，每起扣1分。</w:t>
      </w:r>
    </w:p>
    <w:p w14:paraId="32843A37">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10、保管站放车时未核实登记车辆信息或核实不准确，错放、乱放车辆的，每起扣2分。</w:t>
      </w:r>
    </w:p>
    <w:p w14:paraId="15BA30CA">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11、私自使用被保管车辆的，每次扣10分。</w:t>
      </w:r>
    </w:p>
    <w:p w14:paraId="22EE82F0">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12、保管站因自身安全措施不力，保管责任不落实，致被保管物品被损毁、拆卸、缺失的，除照价赔偿外，每起扣5分。</w:t>
      </w:r>
    </w:p>
    <w:p w14:paraId="3321E497">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13、保管站偷换车辆的，每起扣10分。合同期内有两次及以上的，甲方有权单独解除合同。</w:t>
      </w:r>
    </w:p>
    <w:p w14:paraId="364B3F8F">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14、保管站移交报废车辆时，私自拆卸涉案车辆配件、扣留涉案车辆配套物品，每起扣10分。</w:t>
      </w:r>
    </w:p>
    <w:p w14:paraId="7FD22E75">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15、保管站对入场车辆未开具《扣留车辆入场签收单》或放车后不及时将《放车单回执联》送交警部门的，每起扣1分。</w:t>
      </w:r>
    </w:p>
    <w:p w14:paraId="3D4D32B8">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16、保管站未收到中队盖章的放车单，私自放车的，每次扣10分。</w:t>
      </w:r>
    </w:p>
    <w:p w14:paraId="559F8C31">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17、保管站对保管车辆未做到一车一档或档案内容不全，有钥匙车辆钥匙未放入档案袋的，每起扣1分。</w:t>
      </w:r>
    </w:p>
    <w:p w14:paraId="64D21B5A">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18、未按涉案车辆评价考核办法要求按时（每月5日前）上报相关报表及验收资料的，或其他未按交警部门通知要求报送报表、材料的，每次扣1分。</w:t>
      </w:r>
    </w:p>
    <w:p w14:paraId="6B702695">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19、上报的相关报表数据不真实，弄虚作假，每起扣0.5分。</w:t>
      </w:r>
    </w:p>
    <w:p w14:paraId="488508A1">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20、不服从交警部门对车辆保管、停放、放还等工作协调和安排的，每次扣0.5-2分。</w:t>
      </w:r>
    </w:p>
    <w:p w14:paraId="32A8F4E9">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sz w:val="24"/>
        </w:rPr>
      </w:pPr>
      <w:r>
        <w:rPr>
          <w:rFonts w:hint="eastAsia" w:ascii="宋体" w:hAnsi="宋体" w:eastAsia="宋体" w:cs="宋体"/>
          <w:sz w:val="24"/>
        </w:rPr>
        <w:t>21、保管站监守自盗、非法侵占甲方移交保管的涉案车辆受到公安机关处理或被媒体曝光之一的，每次扣20-100分，并根据该事件造成的后果轻重及影响程度，甲方有权在合同期内单独解除合同。</w:t>
      </w:r>
    </w:p>
    <w:p w14:paraId="16C8621E">
      <w:pPr>
        <w:pBdr>
          <w:top w:val="none" w:color="000000" w:sz="0" w:space="0"/>
          <w:left w:val="none" w:color="000000" w:sz="0" w:space="0"/>
          <w:bottom w:val="none" w:color="000000" w:sz="0" w:space="0"/>
          <w:right w:val="none" w:color="000000" w:sz="0" w:space="0"/>
        </w:pBdr>
        <w:spacing w:line="360" w:lineRule="auto"/>
        <w:ind w:firstLine="472"/>
        <w:jc w:val="both"/>
        <w:rPr>
          <w:rFonts w:hint="eastAsia" w:ascii="宋体" w:hAnsi="宋体" w:eastAsia="宋体" w:cs="宋体"/>
        </w:rPr>
      </w:pPr>
      <w:r>
        <w:rPr>
          <w:rFonts w:hint="eastAsia" w:ascii="宋体" w:hAnsi="宋体" w:eastAsia="宋体" w:cs="宋体"/>
          <w:b/>
          <w:sz w:val="24"/>
        </w:rPr>
        <w:t>十一、履约保证金</w:t>
      </w:r>
    </w:p>
    <w:p w14:paraId="2068D9B7">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 xml:space="preserve">1、中标供应商应按以下第（2）方式向采购人缴纳履约保证金： </w:t>
      </w:r>
    </w:p>
    <w:p w14:paraId="7174F98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（1）无需缴纳履约保证金； </w:t>
      </w:r>
    </w:p>
    <w:p w14:paraId="2F9584C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（2）以金融机构或担保机构出具的保函形式缴纳履约保证金，金额为合同价款的10%。 </w:t>
      </w:r>
    </w:p>
    <w:p w14:paraId="1613FDA5">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 xml:space="preserve">2、履约保证金的有效期至中标供应商按照合同要求完成服务。 </w:t>
      </w:r>
    </w:p>
    <w:p w14:paraId="17F668A1">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 xml:space="preserve">3、如中标供应商未能履行合同规定的义务，采购人有权从履约保证金中取得补偿。 </w:t>
      </w:r>
    </w:p>
    <w:p w14:paraId="6318991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rPr>
      </w:pPr>
      <w:r>
        <w:rPr>
          <w:rFonts w:hint="eastAsia" w:ascii="宋体" w:hAnsi="宋体" w:eastAsia="宋体" w:cs="宋体"/>
          <w:sz w:val="24"/>
        </w:rPr>
        <w:t>4、履约保证金扣除采购人应得的补偿后的余额，在有效期满后无息退还给中标供应商。</w:t>
      </w:r>
    </w:p>
    <w:p w14:paraId="41B6E951">
      <w:pPr>
        <w:rPr>
          <w:rFonts w:hint="eastAsia" w:ascii="宋体" w:hAnsi="宋体" w:eastAsia="宋体" w:cs="宋体"/>
          <w:b/>
          <w:bCs/>
          <w:sz w:val="36"/>
        </w:rPr>
      </w:pPr>
    </w:p>
    <w:p w14:paraId="2121A4F7">
      <w:pPr>
        <w:pBdr>
          <w:top w:val="none" w:color="000000" w:sz="0" w:space="0"/>
          <w:left w:val="none" w:color="000000" w:sz="0" w:space="0"/>
          <w:bottom w:val="none" w:color="000000" w:sz="0" w:space="0"/>
          <w:right w:val="none" w:color="000000" w:sz="0" w:space="0"/>
        </w:pBdr>
        <w:spacing w:before="240" w:after="240"/>
        <w:jc w:val="center"/>
        <w:outlineLvl w:val="0"/>
        <w:rPr>
          <w:rFonts w:hint="eastAsia" w:ascii="宋体" w:hAnsi="宋体" w:eastAsia="宋体" w:cs="宋体"/>
        </w:rPr>
      </w:pPr>
      <w:bookmarkStart w:id="23" w:name="_Toc21873"/>
      <w:bookmarkStart w:id="24" w:name="_Toc6417"/>
      <w:r>
        <w:rPr>
          <w:rFonts w:hint="eastAsia" w:ascii="宋体" w:hAnsi="宋体" w:eastAsia="宋体" w:cs="宋体"/>
          <w:b/>
          <w:bCs/>
          <w:sz w:val="36"/>
        </w:rPr>
        <w:t>第五章  合同条款及格式</w:t>
      </w:r>
      <w:bookmarkEnd w:id="23"/>
      <w:bookmarkEnd w:id="24"/>
    </w:p>
    <w:p w14:paraId="22C257B9">
      <w:pPr>
        <w:pBdr>
          <w:top w:val="none" w:color="000000" w:sz="0" w:space="0"/>
          <w:left w:val="none" w:color="000000" w:sz="0" w:space="0"/>
          <w:bottom w:val="none" w:color="000000" w:sz="0" w:space="0"/>
          <w:right w:val="none" w:color="000000" w:sz="0" w:space="0"/>
        </w:pBdr>
        <w:spacing w:before="156" w:after="156" w:line="360" w:lineRule="auto"/>
        <w:jc w:val="center"/>
        <w:rPr>
          <w:rFonts w:hint="eastAsia" w:ascii="宋体" w:hAnsi="宋体" w:eastAsia="宋体" w:cs="宋体"/>
          <w:sz w:val="24"/>
        </w:rPr>
      </w:pPr>
    </w:p>
    <w:p w14:paraId="14AC0C55">
      <w:pPr>
        <w:pBdr>
          <w:top w:val="none" w:color="000000" w:sz="0" w:space="0"/>
          <w:left w:val="none" w:color="000000" w:sz="0" w:space="0"/>
          <w:bottom w:val="none" w:color="000000" w:sz="0" w:space="0"/>
          <w:right w:val="none" w:color="000000" w:sz="0" w:space="0"/>
        </w:pBdr>
        <w:spacing w:before="156" w:after="156" w:line="360" w:lineRule="auto"/>
        <w:jc w:val="center"/>
        <w:rPr>
          <w:rFonts w:hint="eastAsia" w:ascii="宋体" w:hAnsi="宋体" w:eastAsia="宋体" w:cs="宋体"/>
        </w:rPr>
      </w:pPr>
      <w:r>
        <w:rPr>
          <w:rFonts w:hint="eastAsia" w:ascii="宋体" w:hAnsi="宋体" w:eastAsia="宋体" w:cs="宋体"/>
          <w:sz w:val="24"/>
        </w:rPr>
        <w:t>以下为本项目的合同条款，合同双方不得对招标、投标文件内容作实质性修改。</w:t>
      </w:r>
    </w:p>
    <w:p w14:paraId="2761CE3B">
      <w:pPr>
        <w:pBdr>
          <w:top w:val="none" w:color="000000" w:sz="0" w:space="0"/>
          <w:left w:val="none" w:color="000000" w:sz="0" w:space="0"/>
          <w:bottom w:val="none" w:color="000000" w:sz="0" w:space="0"/>
          <w:right w:val="none" w:color="000000" w:sz="0" w:space="0"/>
        </w:pBdr>
        <w:spacing w:before="240" w:after="240" w:line="360" w:lineRule="auto"/>
        <w:rPr>
          <w:rFonts w:hint="eastAsia" w:ascii="宋体" w:hAnsi="宋体" w:eastAsia="宋体" w:cs="宋体"/>
        </w:rPr>
      </w:pPr>
      <w:r>
        <w:rPr>
          <w:rFonts w:hint="eastAsia" w:ascii="宋体" w:hAnsi="宋体" w:eastAsia="宋体" w:cs="宋体"/>
          <w:sz w:val="24"/>
        </w:rPr>
        <w:t> </w:t>
      </w:r>
    </w:p>
    <w:p w14:paraId="6E316D7F">
      <w:pPr>
        <w:autoSpaceDE w:val="0"/>
        <w:autoSpaceDN w:val="0"/>
        <w:adjustRightInd w:val="0"/>
        <w:spacing w:line="360" w:lineRule="auto"/>
        <w:ind w:firstLine="720"/>
        <w:jc w:val="center"/>
        <w:rPr>
          <w:rFonts w:hint="eastAsia" w:ascii="宋体" w:hAnsi="宋体" w:eastAsia="宋体" w:cs="Symbol"/>
          <w:kern w:val="2"/>
          <w:sz w:val="36"/>
          <w:szCs w:val="36"/>
          <w:lang w:val="zh-CN"/>
        </w:rPr>
      </w:pPr>
      <w:r>
        <w:rPr>
          <w:rFonts w:hint="eastAsia" w:ascii="宋体" w:hAnsi="宋体" w:eastAsia="宋体" w:cs="Symbol"/>
          <w:kern w:val="2"/>
          <w:sz w:val="36"/>
          <w:szCs w:val="36"/>
          <w:lang w:val="zh-CN"/>
        </w:rPr>
        <w:t>南京市政府采购合同（供参考）</w:t>
      </w:r>
    </w:p>
    <w:p w14:paraId="79428696">
      <w:pPr>
        <w:spacing w:line="360" w:lineRule="auto"/>
        <w:ind w:firstLine="643"/>
        <w:rPr>
          <w:rFonts w:hint="eastAsia" w:ascii="宋体" w:hAnsi="宋体" w:eastAsia="宋体" w:cs="Symbol"/>
          <w:b/>
          <w:kern w:val="2"/>
          <w:sz w:val="32"/>
          <w:szCs w:val="24"/>
        </w:rPr>
      </w:pPr>
    </w:p>
    <w:p w14:paraId="0832269A">
      <w:pPr>
        <w:spacing w:line="360" w:lineRule="auto"/>
        <w:ind w:firstLine="1807" w:firstLineChars="500"/>
        <w:rPr>
          <w:rFonts w:hint="eastAsia" w:ascii="宋体" w:hAnsi="宋体" w:eastAsia="宋体" w:cs="Symbol"/>
          <w:b/>
          <w:kern w:val="2"/>
          <w:sz w:val="36"/>
          <w:szCs w:val="24"/>
        </w:rPr>
      </w:pPr>
    </w:p>
    <w:p w14:paraId="06FF8A09">
      <w:pPr>
        <w:spacing w:line="360" w:lineRule="auto"/>
        <w:ind w:firstLine="723"/>
        <w:rPr>
          <w:rFonts w:hint="eastAsia" w:ascii="宋体" w:hAnsi="宋体" w:eastAsia="宋体" w:cs="Symbol"/>
          <w:b/>
          <w:kern w:val="2"/>
          <w:sz w:val="36"/>
          <w:szCs w:val="24"/>
        </w:rPr>
      </w:pPr>
      <w:r>
        <w:rPr>
          <w:rFonts w:hint="eastAsia" w:ascii="宋体" w:hAnsi="宋体" w:eastAsia="宋体" w:cs="Symbol"/>
          <w:b/>
          <w:kern w:val="2"/>
          <w:sz w:val="36"/>
          <w:szCs w:val="24"/>
        </w:rPr>
        <w:t>项目名称：</w:t>
      </w:r>
    </w:p>
    <w:p w14:paraId="145F3591">
      <w:pPr>
        <w:spacing w:line="360" w:lineRule="auto"/>
        <w:ind w:firstLine="723"/>
        <w:rPr>
          <w:rFonts w:hint="eastAsia" w:ascii="宋体" w:hAnsi="宋体" w:eastAsia="宋体" w:cs="Symbol"/>
          <w:b/>
          <w:kern w:val="2"/>
          <w:sz w:val="36"/>
          <w:szCs w:val="24"/>
          <w:u w:val="single"/>
        </w:rPr>
      </w:pPr>
      <w:r>
        <w:rPr>
          <w:rFonts w:hint="eastAsia" w:ascii="宋体" w:hAnsi="宋体" w:eastAsia="宋体" w:cs="Symbol"/>
          <w:b/>
          <w:kern w:val="2"/>
          <w:sz w:val="36"/>
          <w:szCs w:val="24"/>
        </w:rPr>
        <w:t>项目编号：</w:t>
      </w:r>
    </w:p>
    <w:p w14:paraId="2396BB4B">
      <w:pPr>
        <w:spacing w:line="360" w:lineRule="auto"/>
        <w:ind w:firstLine="723"/>
        <w:rPr>
          <w:rFonts w:hint="eastAsia" w:ascii="宋体" w:hAnsi="宋体" w:eastAsia="宋体" w:cs="Symbol"/>
          <w:b/>
          <w:kern w:val="2"/>
          <w:sz w:val="36"/>
          <w:szCs w:val="24"/>
        </w:rPr>
      </w:pPr>
      <w:r>
        <w:rPr>
          <w:rFonts w:hint="eastAsia" w:ascii="宋体" w:hAnsi="宋体" w:eastAsia="宋体" w:cs="Symbol"/>
          <w:b/>
          <w:kern w:val="2"/>
          <w:sz w:val="36"/>
          <w:szCs w:val="24"/>
        </w:rPr>
        <w:t>分 包 号：</w:t>
      </w:r>
    </w:p>
    <w:p w14:paraId="689BE7E3">
      <w:pPr>
        <w:spacing w:line="360" w:lineRule="auto"/>
        <w:ind w:firstLine="723"/>
        <w:rPr>
          <w:rFonts w:hint="eastAsia" w:ascii="宋体" w:hAnsi="宋体" w:eastAsia="宋体" w:cs="Symbol"/>
          <w:b/>
          <w:kern w:val="2"/>
          <w:sz w:val="36"/>
          <w:szCs w:val="24"/>
          <w:u w:val="single"/>
        </w:rPr>
      </w:pPr>
      <w:r>
        <w:rPr>
          <w:rFonts w:hint="eastAsia" w:ascii="宋体" w:hAnsi="宋体" w:eastAsia="宋体" w:cs="Symbol"/>
          <w:b/>
          <w:kern w:val="2"/>
          <w:sz w:val="36"/>
          <w:szCs w:val="24"/>
        </w:rPr>
        <w:t>使用单位：</w:t>
      </w:r>
    </w:p>
    <w:p w14:paraId="401BDFC8">
      <w:pPr>
        <w:spacing w:line="360" w:lineRule="auto"/>
        <w:ind w:firstLine="723"/>
        <w:rPr>
          <w:rFonts w:hint="eastAsia" w:ascii="宋体" w:hAnsi="宋体" w:eastAsia="宋体" w:cs="Symbol"/>
          <w:b/>
          <w:kern w:val="2"/>
          <w:sz w:val="36"/>
          <w:szCs w:val="24"/>
        </w:rPr>
      </w:pPr>
      <w:r>
        <w:rPr>
          <w:rFonts w:hint="eastAsia" w:ascii="宋体" w:hAnsi="宋体" w:eastAsia="宋体" w:cs="Symbol"/>
          <w:b/>
          <w:kern w:val="2"/>
          <w:sz w:val="36"/>
          <w:szCs w:val="24"/>
        </w:rPr>
        <w:t>供货单位：</w:t>
      </w:r>
    </w:p>
    <w:p w14:paraId="0864E037">
      <w:pPr>
        <w:spacing w:line="360" w:lineRule="auto"/>
        <w:ind w:firstLine="723"/>
        <w:rPr>
          <w:rFonts w:hint="eastAsia" w:ascii="宋体" w:hAnsi="宋体" w:eastAsia="宋体" w:cs="Symbol"/>
          <w:b/>
          <w:kern w:val="2"/>
          <w:sz w:val="36"/>
          <w:szCs w:val="24"/>
        </w:rPr>
      </w:pPr>
      <w:r>
        <w:rPr>
          <w:rFonts w:hint="eastAsia" w:ascii="宋体" w:hAnsi="宋体" w:eastAsia="宋体" w:cs="Symbol"/>
          <w:b/>
          <w:kern w:val="2"/>
          <w:sz w:val="36"/>
          <w:szCs w:val="24"/>
        </w:rPr>
        <w:t>签订日期：</w:t>
      </w:r>
    </w:p>
    <w:p w14:paraId="20FA4851">
      <w:pPr>
        <w:rPr>
          <w:rFonts w:hint="eastAsia" w:ascii="宋体" w:hAnsi="宋体" w:eastAsia="宋体" w:cs="宋体"/>
          <w:b/>
          <w:sz w:val="28"/>
        </w:rPr>
      </w:pPr>
    </w:p>
    <w:p w14:paraId="3CB516F4">
      <w:pPr>
        <w:rPr>
          <w:rFonts w:hint="eastAsia" w:ascii="宋体" w:hAnsi="宋体" w:eastAsia="宋体" w:cs="宋体"/>
          <w:b/>
          <w:sz w:val="28"/>
        </w:rPr>
      </w:pPr>
      <w:r>
        <w:rPr>
          <w:rFonts w:hint="eastAsia" w:ascii="宋体" w:hAnsi="宋体" w:eastAsia="宋体" w:cs="宋体"/>
          <w:b/>
          <w:sz w:val="28"/>
        </w:rPr>
        <w:br w:type="page"/>
      </w:r>
    </w:p>
    <w:p w14:paraId="0A3E6C14">
      <w:pPr>
        <w:pBdr>
          <w:top w:val="none" w:color="000000" w:sz="0" w:space="0"/>
          <w:left w:val="none" w:color="000000" w:sz="0" w:space="0"/>
          <w:bottom w:val="none" w:color="000000" w:sz="0" w:space="0"/>
          <w:right w:val="none" w:color="000000" w:sz="0" w:space="0"/>
        </w:pBdr>
        <w:tabs>
          <w:tab w:val="left" w:pos="1008"/>
        </w:tabs>
        <w:spacing w:line="360" w:lineRule="auto"/>
        <w:ind w:left="1008" w:hanging="1008"/>
        <w:jc w:val="center"/>
        <w:rPr>
          <w:rFonts w:hint="eastAsia" w:ascii="宋体" w:hAnsi="宋体" w:eastAsia="宋体" w:cs="宋体"/>
        </w:rPr>
      </w:pPr>
      <w:r>
        <w:rPr>
          <w:rFonts w:hint="eastAsia" w:ascii="宋体" w:hAnsi="宋体" w:eastAsia="宋体" w:cs="宋体"/>
          <w:b/>
          <w:sz w:val="28"/>
        </w:rPr>
        <w:t>涉案车辆委托保管合同</w:t>
      </w:r>
    </w:p>
    <w:p w14:paraId="17C5022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甲方（委托人）：</w:t>
      </w:r>
      <w:r>
        <w:rPr>
          <w:rFonts w:hint="eastAsia" w:ascii="宋体" w:hAnsi="宋体" w:eastAsia="宋体" w:cs="宋体"/>
          <w:sz w:val="24"/>
          <w:u w:val="single"/>
        </w:rPr>
        <w:t></w:t>
      </w:r>
    </w:p>
    <w:p w14:paraId="7BF03F3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乙方（保管人）：</w:t>
      </w:r>
      <w:r>
        <w:rPr>
          <w:rFonts w:hint="eastAsia" w:ascii="宋体" w:hAnsi="宋体" w:eastAsia="宋体" w:cs="宋体"/>
          <w:sz w:val="24"/>
          <w:u w:val="single"/>
        </w:rPr>
        <w:t></w:t>
      </w:r>
    </w:p>
    <w:p w14:paraId="4AB567B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根据《 中华人民共和国民法典》、《中华人民共和国政府采购法》的规定，甲乙双方经过友好协商，签订以下涉案车辆委托保管协议:</w:t>
      </w:r>
    </w:p>
    <w:p w14:paraId="2C5979D4">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一、委托保管对象</w:t>
      </w:r>
    </w:p>
    <w:p w14:paraId="7FA38E6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本合同所指涉案车辆为本区公安交通管理部门在办理交通事故案件和其它行政、刑事案件中依法以扣留、扣押、收缴、追缴等方式提取的与案件有关的车辆。</w:t>
      </w:r>
    </w:p>
    <w:p w14:paraId="409A33AC">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二、委托保管内容</w:t>
      </w:r>
    </w:p>
    <w:p w14:paraId="76BD20E0">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乙方严格遵守甲方文件《关于扣留车辆信息系统管理使用规定》、《南京市公安局江宁分局涉案财物管理暂行规定》，统一使用甲方提供的扣留车辆信息管理系统，并按甲方提供的格式要求制作涉案车辆入出场登记台帐、入场签收单、涉案车辆移送登记台帐。对入出场车辆进行登记、保管、移送，一律凭公安部门盖（公）章的放车单发还涉案车辆，并及时将放车单副联、进出场照片装订后送交甲方，办理移送交接手续。每天认真清点车辆和核对登记台帐，保证实际车辆与登记台帐数量、内容完全一致。</w:t>
      </w:r>
    </w:p>
    <w:p w14:paraId="50A337F2">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三、委托保管期限</w:t>
      </w:r>
    </w:p>
    <w:p w14:paraId="20A6217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保管期限</w:t>
      </w:r>
      <w:r>
        <w:rPr>
          <w:rFonts w:hint="eastAsia" w:ascii="宋体" w:hAnsi="宋体" w:eastAsia="宋体" w:cs="宋体"/>
          <w:sz w:val="24"/>
          <w:u w:val="single"/>
        </w:rPr>
        <w:t xml:space="preserve">    </w:t>
      </w:r>
      <w:r>
        <w:rPr>
          <w:rFonts w:hint="eastAsia" w:ascii="宋体" w:hAnsi="宋体" w:eastAsia="宋体" w:cs="宋体"/>
          <w:sz w:val="24"/>
        </w:rPr>
        <w:t>年，自</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日起，至</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日止。</w:t>
      </w:r>
    </w:p>
    <w:p w14:paraId="205DE6C9">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四、合同价款及支付方式</w:t>
      </w:r>
    </w:p>
    <w:p w14:paraId="4D6B74B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highlight w:val="none"/>
        </w:rPr>
      </w:pPr>
      <w:r>
        <w:rPr>
          <w:rFonts w:hint="eastAsia" w:ascii="宋体" w:hAnsi="宋体" w:eastAsia="宋体" w:cs="宋体"/>
          <w:sz w:val="24"/>
          <w:highlight w:val="none"/>
        </w:rPr>
        <w:t>1、以中标单位投标报价为基础，按照停车场一个年度内实际发生的总费用，对中标供应商本年度实际应得费用进行核算。</w:t>
      </w:r>
    </w:p>
    <w:p w14:paraId="2E69D6E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 xml:space="preserve">2、公安部门向停车场管理方支付的停车费，以公安部门登记数据计算结果为依据。 </w:t>
      </w:r>
    </w:p>
    <w:p w14:paraId="2D65C21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3、在充分履行合同的前提下，中标方每半年向招标单位提交书面申请，并附:清单、列表，经公安部门审核确认后，支付半年的费用（具体计算标准：根据半年度内中标供应商停车场实际发生的总费用核算各家中标供应商实际所得费用）。合同期满，待审计结束后，按照审计报告结果结清余款（年度总费用不得超过各分包预算价，超过预算价部分不予结算，视为让利）。</w:t>
      </w:r>
    </w:p>
    <w:p w14:paraId="33D2ECD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sz w:val="24"/>
          <w:szCs w:val="24"/>
        </w:rPr>
      </w:pPr>
      <w:r>
        <w:rPr>
          <w:rFonts w:hint="eastAsia" w:ascii="宋体" w:hAnsi="宋体" w:eastAsia="宋体" w:cs="宋体"/>
          <w:sz w:val="24"/>
        </w:rPr>
        <w:t>4、中标方除向采购方收取保管费外，不得再向车辆所有人收取任何与车辆停放保管相关的费用。</w:t>
      </w:r>
    </w:p>
    <w:p w14:paraId="3DD45503">
      <w:pPr>
        <w:rPr>
          <w:rFonts w:hint="eastAsia" w:ascii="宋体" w:hAnsi="宋体" w:eastAsia="宋体" w:cs="Times New Roman"/>
          <w:b/>
          <w:sz w:val="32"/>
          <w:szCs w:val="32"/>
        </w:rPr>
      </w:pPr>
      <w:r>
        <w:rPr>
          <w:rFonts w:hint="eastAsia" w:ascii="宋体" w:hAnsi="宋体" w:eastAsia="宋体" w:cs="Times New Roman"/>
          <w:b/>
          <w:sz w:val="32"/>
          <w:szCs w:val="32"/>
        </w:rPr>
        <w:br w:type="page"/>
      </w:r>
    </w:p>
    <w:p w14:paraId="15CE1F52">
      <w:pPr>
        <w:widowControl w:val="0"/>
        <w:ind w:firstLine="643"/>
        <w:jc w:val="center"/>
        <w:rPr>
          <w:rFonts w:hint="eastAsia" w:ascii="宋体" w:hAnsi="宋体" w:eastAsia="宋体" w:cs="Times New Roman"/>
          <w:b/>
          <w:sz w:val="32"/>
          <w:szCs w:val="32"/>
        </w:rPr>
      </w:pPr>
      <w:r>
        <w:rPr>
          <w:rFonts w:hint="eastAsia" w:ascii="宋体" w:hAnsi="宋体" w:eastAsia="宋体" w:cs="Times New Roman"/>
          <w:b/>
          <w:sz w:val="32"/>
          <w:szCs w:val="32"/>
        </w:rPr>
        <w:t>报价明细表</w:t>
      </w:r>
    </w:p>
    <w:tbl>
      <w:tblPr>
        <w:tblStyle w:val="37"/>
        <w:tblpPr w:leftFromText="180" w:rightFromText="180" w:vertAnchor="text" w:horzAnchor="page" w:tblpX="986" w:tblpY="284"/>
        <w:tblW w:w="96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2949"/>
        <w:gridCol w:w="1577"/>
        <w:gridCol w:w="857"/>
        <w:gridCol w:w="827"/>
        <w:gridCol w:w="1785"/>
        <w:gridCol w:w="945"/>
      </w:tblGrid>
      <w:tr w14:paraId="1598D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669" w:type="dxa"/>
            <w:noWrap/>
            <w:vAlign w:val="center"/>
          </w:tcPr>
          <w:p w14:paraId="1F944E5B">
            <w:pPr>
              <w:widowControl w:val="0"/>
              <w:jc w:val="center"/>
              <w:rPr>
                <w:rFonts w:hint="eastAsia" w:ascii="宋体" w:hAnsi="宋体" w:eastAsia="宋体" w:cs="宋体"/>
                <w:b/>
                <w:bCs/>
                <w:sz w:val="22"/>
                <w:lang w:val="zh-CN"/>
              </w:rPr>
            </w:pPr>
            <w:r>
              <w:rPr>
                <w:rFonts w:hint="eastAsia" w:ascii="宋体" w:hAnsi="宋体" w:eastAsia="宋体" w:cs="宋体"/>
                <w:b/>
                <w:bCs/>
                <w:sz w:val="22"/>
                <w:lang w:val="zh-CN"/>
              </w:rPr>
              <w:t>序号</w:t>
            </w:r>
          </w:p>
        </w:tc>
        <w:tc>
          <w:tcPr>
            <w:tcW w:w="2949" w:type="dxa"/>
            <w:noWrap/>
            <w:vAlign w:val="center"/>
          </w:tcPr>
          <w:p w14:paraId="178EAA11">
            <w:pPr>
              <w:widowControl w:val="0"/>
              <w:jc w:val="center"/>
              <w:rPr>
                <w:rFonts w:hint="eastAsia" w:ascii="宋体" w:hAnsi="宋体" w:eastAsia="宋体" w:cs="宋体"/>
                <w:b/>
                <w:bCs/>
                <w:sz w:val="22"/>
                <w:lang w:val="zh-CN"/>
              </w:rPr>
            </w:pPr>
            <w:r>
              <w:rPr>
                <w:rFonts w:hint="eastAsia" w:ascii="宋体" w:hAnsi="宋体" w:eastAsia="宋体" w:cs="宋体"/>
                <w:b/>
                <w:bCs/>
                <w:sz w:val="22"/>
                <w:lang w:val="zh-CN"/>
              </w:rPr>
              <w:t>项目名称</w:t>
            </w:r>
          </w:p>
        </w:tc>
        <w:tc>
          <w:tcPr>
            <w:tcW w:w="1577" w:type="dxa"/>
            <w:noWrap/>
            <w:vAlign w:val="center"/>
          </w:tcPr>
          <w:p w14:paraId="571EF9B5">
            <w:pPr>
              <w:widowControl w:val="0"/>
              <w:jc w:val="center"/>
              <w:rPr>
                <w:rFonts w:hint="eastAsia" w:ascii="宋体" w:hAnsi="宋体" w:eastAsia="宋体" w:cs="宋体"/>
                <w:b/>
                <w:bCs/>
                <w:sz w:val="22"/>
                <w:lang w:val="zh-CN"/>
              </w:rPr>
            </w:pPr>
            <w:r>
              <w:rPr>
                <w:rFonts w:hint="eastAsia" w:ascii="宋体" w:hAnsi="宋体" w:eastAsia="宋体" w:cs="宋体"/>
                <w:b/>
                <w:bCs/>
                <w:sz w:val="22"/>
                <w:lang w:val="zh-CN"/>
              </w:rPr>
              <w:t>单位</w:t>
            </w:r>
          </w:p>
        </w:tc>
        <w:tc>
          <w:tcPr>
            <w:tcW w:w="857" w:type="dxa"/>
            <w:noWrap/>
            <w:vAlign w:val="center"/>
          </w:tcPr>
          <w:p w14:paraId="5A5E830C">
            <w:pPr>
              <w:jc w:val="center"/>
              <w:rPr>
                <w:rFonts w:hint="eastAsia" w:ascii="宋体" w:hAnsi="宋体" w:eastAsia="宋体" w:cs="宋体"/>
                <w:b/>
                <w:bCs/>
                <w:sz w:val="22"/>
                <w:lang w:val="zh-CN"/>
              </w:rPr>
            </w:pPr>
            <w:r>
              <w:rPr>
                <w:rFonts w:hint="eastAsia" w:ascii="宋体" w:hAnsi="宋体" w:eastAsia="宋体" w:cs="宋体"/>
                <w:b/>
                <w:bCs/>
                <w:sz w:val="22"/>
              </w:rPr>
              <w:t>预算单价</w:t>
            </w:r>
          </w:p>
        </w:tc>
        <w:tc>
          <w:tcPr>
            <w:tcW w:w="827" w:type="dxa"/>
            <w:noWrap/>
            <w:vAlign w:val="center"/>
          </w:tcPr>
          <w:p w14:paraId="76D64B95">
            <w:pPr>
              <w:jc w:val="center"/>
              <w:rPr>
                <w:rFonts w:hint="eastAsia" w:ascii="宋体" w:hAnsi="宋体" w:eastAsia="宋体" w:cs="宋体"/>
                <w:b/>
                <w:bCs/>
                <w:sz w:val="22"/>
                <w:lang w:val="zh-CN"/>
              </w:rPr>
            </w:pPr>
            <w:r>
              <w:rPr>
                <w:rFonts w:hint="eastAsia" w:ascii="宋体" w:hAnsi="宋体" w:eastAsia="宋体" w:cs="宋体"/>
                <w:b/>
                <w:bCs/>
                <w:sz w:val="22"/>
                <w:lang w:eastAsia="en-US"/>
              </w:rPr>
              <w:t>投标</w:t>
            </w:r>
            <w:r>
              <w:rPr>
                <w:rFonts w:hint="eastAsia" w:ascii="宋体" w:hAnsi="宋体" w:eastAsia="宋体" w:cs="宋体"/>
                <w:b/>
                <w:bCs/>
                <w:sz w:val="22"/>
              </w:rPr>
              <w:t>单价</w:t>
            </w:r>
          </w:p>
        </w:tc>
        <w:tc>
          <w:tcPr>
            <w:tcW w:w="1785" w:type="dxa"/>
            <w:noWrap/>
            <w:vAlign w:val="center"/>
          </w:tcPr>
          <w:p w14:paraId="161E865F">
            <w:pPr>
              <w:jc w:val="center"/>
              <w:rPr>
                <w:rFonts w:hint="eastAsia" w:ascii="宋体" w:hAnsi="宋体" w:eastAsia="宋体" w:cs="宋体"/>
                <w:b/>
                <w:bCs/>
                <w:sz w:val="22"/>
              </w:rPr>
            </w:pPr>
            <w:r>
              <w:rPr>
                <w:rFonts w:hint="eastAsia" w:ascii="宋体" w:hAnsi="宋体" w:eastAsia="宋体" w:cs="宋体"/>
                <w:b/>
                <w:bCs/>
                <w:sz w:val="22"/>
              </w:rPr>
              <w:t>优惠折扣率</w:t>
            </w:r>
          </w:p>
          <w:p w14:paraId="2C15AC13">
            <w:pPr>
              <w:jc w:val="center"/>
              <w:rPr>
                <w:rFonts w:hint="eastAsia" w:ascii="宋体" w:hAnsi="宋体" w:eastAsia="宋体" w:cs="宋体"/>
                <w:b/>
                <w:bCs/>
                <w:sz w:val="22"/>
                <w:lang w:val="zh-CN"/>
              </w:rPr>
            </w:pPr>
            <w:r>
              <w:rPr>
                <w:rFonts w:hint="eastAsia" w:ascii="宋体" w:hAnsi="宋体" w:eastAsia="宋体" w:cs="宋体"/>
                <w:b/>
                <w:bCs/>
                <w:sz w:val="22"/>
              </w:rPr>
              <w:t>（投标单价/预算单价）</w:t>
            </w:r>
          </w:p>
        </w:tc>
        <w:tc>
          <w:tcPr>
            <w:tcW w:w="945" w:type="dxa"/>
            <w:noWrap/>
            <w:vAlign w:val="center"/>
          </w:tcPr>
          <w:p w14:paraId="34EA24F7">
            <w:pPr>
              <w:jc w:val="center"/>
              <w:rPr>
                <w:rFonts w:hint="eastAsia" w:ascii="宋体" w:hAnsi="宋体" w:eastAsia="宋体" w:cs="宋体"/>
                <w:b/>
                <w:bCs/>
                <w:sz w:val="22"/>
                <w:highlight w:val="red"/>
                <w:lang w:val="zh-CN"/>
              </w:rPr>
            </w:pPr>
            <w:r>
              <w:rPr>
                <w:rFonts w:hint="eastAsia" w:ascii="宋体" w:hAnsi="宋体" w:eastAsia="宋体" w:cs="宋体"/>
                <w:b/>
                <w:bCs/>
                <w:sz w:val="22"/>
                <w:lang w:eastAsia="en-US"/>
              </w:rPr>
              <w:t>权数</w:t>
            </w:r>
          </w:p>
        </w:tc>
      </w:tr>
      <w:tr w14:paraId="388C3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69" w:type="dxa"/>
            <w:noWrap/>
            <w:vAlign w:val="center"/>
          </w:tcPr>
          <w:p w14:paraId="24C93E9F">
            <w:pPr>
              <w:widowControl w:val="0"/>
              <w:wordWrap w:val="0"/>
              <w:topLinePunct/>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w:t>
            </w:r>
          </w:p>
        </w:tc>
        <w:tc>
          <w:tcPr>
            <w:tcW w:w="2949" w:type="dxa"/>
            <w:noWrap/>
            <w:vAlign w:val="center"/>
          </w:tcPr>
          <w:p w14:paraId="577426A3">
            <w:pPr>
              <w:widowControl w:val="0"/>
              <w:wordWrap w:val="0"/>
              <w:topLinePunc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大型车(长度低于12米)</w:t>
            </w:r>
          </w:p>
        </w:tc>
        <w:tc>
          <w:tcPr>
            <w:tcW w:w="1577" w:type="dxa"/>
            <w:noWrap/>
            <w:vAlign w:val="center"/>
          </w:tcPr>
          <w:p w14:paraId="1DFB22FE">
            <w:pPr>
              <w:widowControl w:val="0"/>
              <w:wordWrap w:val="0"/>
              <w:topLinePunct/>
              <w:spacing w:line="360" w:lineRule="auto"/>
              <w:ind w:firstLine="210"/>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元/天·辆</w:t>
            </w:r>
          </w:p>
        </w:tc>
        <w:tc>
          <w:tcPr>
            <w:tcW w:w="857" w:type="dxa"/>
            <w:noWrap/>
            <w:vAlign w:val="center"/>
          </w:tcPr>
          <w:p w14:paraId="467A33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w:t>
            </w:r>
          </w:p>
        </w:tc>
        <w:tc>
          <w:tcPr>
            <w:tcW w:w="827" w:type="dxa"/>
            <w:noWrap/>
            <w:vAlign w:val="center"/>
          </w:tcPr>
          <w:p w14:paraId="591E5A87">
            <w:pPr>
              <w:widowControl w:val="0"/>
              <w:jc w:val="center"/>
              <w:rPr>
                <w:rFonts w:hint="eastAsia" w:ascii="宋体" w:hAnsi="宋体" w:eastAsia="宋体" w:cs="宋体"/>
                <w:sz w:val="24"/>
                <w:szCs w:val="24"/>
                <w:highlight w:val="none"/>
              </w:rPr>
            </w:pPr>
          </w:p>
        </w:tc>
        <w:tc>
          <w:tcPr>
            <w:tcW w:w="1785" w:type="dxa"/>
            <w:noWrap/>
            <w:vAlign w:val="center"/>
          </w:tcPr>
          <w:p w14:paraId="7C83DA96">
            <w:pPr>
              <w:widowControl w:val="0"/>
              <w:jc w:val="center"/>
              <w:rPr>
                <w:rFonts w:hint="eastAsia" w:ascii="宋体" w:hAnsi="宋体" w:eastAsia="宋体" w:cs="宋体"/>
                <w:sz w:val="24"/>
                <w:szCs w:val="24"/>
                <w:highlight w:val="none"/>
              </w:rPr>
            </w:pPr>
          </w:p>
        </w:tc>
        <w:tc>
          <w:tcPr>
            <w:tcW w:w="945" w:type="dxa"/>
            <w:noWrap/>
            <w:vAlign w:val="center"/>
          </w:tcPr>
          <w:p w14:paraId="7C725C9F">
            <w:pPr>
              <w:widowControl w:val="0"/>
              <w:tabs>
                <w:tab w:val="left" w:pos="311"/>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r>
      <w:tr w14:paraId="741C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9" w:type="dxa"/>
            <w:noWrap/>
            <w:vAlign w:val="center"/>
          </w:tcPr>
          <w:p w14:paraId="07B24725">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p>
        </w:tc>
        <w:tc>
          <w:tcPr>
            <w:tcW w:w="2949" w:type="dxa"/>
            <w:noWrap/>
            <w:vAlign w:val="center"/>
          </w:tcPr>
          <w:p w14:paraId="5D6018D4">
            <w:pPr>
              <w:widowControl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大型车(长度超过12米,含12米) </w:t>
            </w:r>
          </w:p>
        </w:tc>
        <w:tc>
          <w:tcPr>
            <w:tcW w:w="1577" w:type="dxa"/>
            <w:noWrap/>
            <w:vAlign w:val="center"/>
          </w:tcPr>
          <w:p w14:paraId="4AA5544F">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元/天·辆</w:t>
            </w:r>
          </w:p>
        </w:tc>
        <w:tc>
          <w:tcPr>
            <w:tcW w:w="857" w:type="dxa"/>
            <w:noWrap/>
            <w:vAlign w:val="center"/>
          </w:tcPr>
          <w:p w14:paraId="43A025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w:t>
            </w:r>
          </w:p>
        </w:tc>
        <w:tc>
          <w:tcPr>
            <w:tcW w:w="827" w:type="dxa"/>
            <w:noWrap/>
            <w:vAlign w:val="center"/>
          </w:tcPr>
          <w:p w14:paraId="71D05D8A">
            <w:pPr>
              <w:widowControl w:val="0"/>
              <w:jc w:val="center"/>
              <w:rPr>
                <w:rFonts w:hint="eastAsia" w:ascii="宋体" w:hAnsi="宋体" w:eastAsia="宋体" w:cs="宋体"/>
                <w:sz w:val="24"/>
                <w:szCs w:val="24"/>
                <w:highlight w:val="none"/>
              </w:rPr>
            </w:pPr>
          </w:p>
        </w:tc>
        <w:tc>
          <w:tcPr>
            <w:tcW w:w="1785" w:type="dxa"/>
            <w:noWrap/>
            <w:vAlign w:val="center"/>
          </w:tcPr>
          <w:p w14:paraId="61A15EFB">
            <w:pPr>
              <w:widowControl w:val="0"/>
              <w:jc w:val="center"/>
              <w:rPr>
                <w:rFonts w:hint="eastAsia" w:ascii="宋体" w:hAnsi="宋体" w:eastAsia="宋体" w:cs="宋体"/>
                <w:sz w:val="24"/>
                <w:szCs w:val="24"/>
                <w:highlight w:val="none"/>
              </w:rPr>
            </w:pPr>
          </w:p>
        </w:tc>
        <w:tc>
          <w:tcPr>
            <w:tcW w:w="945" w:type="dxa"/>
            <w:noWrap/>
            <w:vAlign w:val="center"/>
          </w:tcPr>
          <w:p w14:paraId="2F0F4824">
            <w:pPr>
              <w:widowControl w:val="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r>
      <w:tr w14:paraId="1CDD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9" w:type="dxa"/>
            <w:noWrap/>
            <w:vAlign w:val="center"/>
          </w:tcPr>
          <w:p w14:paraId="0E518B65">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w:t>
            </w:r>
          </w:p>
        </w:tc>
        <w:tc>
          <w:tcPr>
            <w:tcW w:w="2949" w:type="dxa"/>
            <w:noWrap/>
            <w:vAlign w:val="center"/>
          </w:tcPr>
          <w:p w14:paraId="695D55C4">
            <w:pPr>
              <w:widowControl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小型车（</w:t>
            </w:r>
            <w:r>
              <w:rPr>
                <w:rFonts w:hint="eastAsia" w:ascii="宋体" w:hAnsi="宋体" w:eastAsia="宋体" w:cs="宋体"/>
                <w:sz w:val="24"/>
                <w:szCs w:val="24"/>
                <w:highlight w:val="none"/>
              </w:rPr>
              <w:t>大型车以外的车辆</w:t>
            </w:r>
            <w:r>
              <w:rPr>
                <w:rFonts w:hint="eastAsia" w:ascii="宋体" w:hAnsi="宋体" w:eastAsia="宋体" w:cs="宋体"/>
                <w:sz w:val="24"/>
                <w:szCs w:val="24"/>
                <w:highlight w:val="none"/>
                <w:lang w:val="zh-CN"/>
              </w:rPr>
              <w:t>）</w:t>
            </w:r>
          </w:p>
        </w:tc>
        <w:tc>
          <w:tcPr>
            <w:tcW w:w="1577" w:type="dxa"/>
            <w:noWrap/>
            <w:vAlign w:val="center"/>
          </w:tcPr>
          <w:p w14:paraId="3CB02342">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元/天·辆</w:t>
            </w:r>
          </w:p>
        </w:tc>
        <w:tc>
          <w:tcPr>
            <w:tcW w:w="857" w:type="dxa"/>
            <w:noWrap/>
            <w:vAlign w:val="center"/>
          </w:tcPr>
          <w:p w14:paraId="4C4579C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827" w:type="dxa"/>
            <w:noWrap/>
            <w:vAlign w:val="center"/>
          </w:tcPr>
          <w:p w14:paraId="205CFF10">
            <w:pPr>
              <w:widowControl w:val="0"/>
              <w:jc w:val="center"/>
              <w:rPr>
                <w:rFonts w:hint="eastAsia" w:ascii="宋体" w:hAnsi="宋体" w:eastAsia="宋体" w:cs="宋体"/>
                <w:sz w:val="24"/>
                <w:szCs w:val="24"/>
                <w:highlight w:val="none"/>
              </w:rPr>
            </w:pPr>
          </w:p>
        </w:tc>
        <w:tc>
          <w:tcPr>
            <w:tcW w:w="1785" w:type="dxa"/>
            <w:noWrap/>
            <w:vAlign w:val="center"/>
          </w:tcPr>
          <w:p w14:paraId="2AB1DEC2">
            <w:pPr>
              <w:widowControl w:val="0"/>
              <w:jc w:val="center"/>
              <w:rPr>
                <w:rFonts w:hint="eastAsia" w:ascii="宋体" w:hAnsi="宋体" w:eastAsia="宋体" w:cs="宋体"/>
                <w:sz w:val="24"/>
                <w:szCs w:val="24"/>
                <w:highlight w:val="none"/>
              </w:rPr>
            </w:pPr>
          </w:p>
        </w:tc>
        <w:tc>
          <w:tcPr>
            <w:tcW w:w="945" w:type="dxa"/>
            <w:noWrap/>
            <w:vAlign w:val="center"/>
          </w:tcPr>
          <w:p w14:paraId="2F3ABFE8">
            <w:pPr>
              <w:widowControl w:val="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r>
      <w:tr w14:paraId="0080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9" w:type="dxa"/>
            <w:noWrap/>
            <w:vAlign w:val="center"/>
          </w:tcPr>
          <w:p w14:paraId="0573CADB">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w:t>
            </w:r>
          </w:p>
        </w:tc>
        <w:tc>
          <w:tcPr>
            <w:tcW w:w="2949" w:type="dxa"/>
            <w:noWrap/>
            <w:vAlign w:val="center"/>
          </w:tcPr>
          <w:p w14:paraId="4639D67A">
            <w:pPr>
              <w:widowControl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摩托车（</w:t>
            </w:r>
            <w:r>
              <w:rPr>
                <w:rFonts w:hint="eastAsia" w:ascii="宋体" w:hAnsi="宋体" w:eastAsia="宋体" w:cs="宋体"/>
                <w:sz w:val="24"/>
                <w:szCs w:val="24"/>
                <w:highlight w:val="none"/>
              </w:rPr>
              <w:t>含</w:t>
            </w:r>
            <w:r>
              <w:rPr>
                <w:rFonts w:hint="eastAsia" w:ascii="宋体" w:hAnsi="宋体" w:eastAsia="宋体" w:cs="宋体"/>
                <w:sz w:val="24"/>
                <w:szCs w:val="24"/>
                <w:highlight w:val="none"/>
                <w:lang w:val="zh-CN"/>
              </w:rPr>
              <w:t>农用车、</w:t>
            </w:r>
            <w:r>
              <w:rPr>
                <w:rFonts w:hint="eastAsia" w:ascii="宋体" w:hAnsi="宋体" w:eastAsia="宋体" w:cs="宋体"/>
                <w:sz w:val="24"/>
                <w:szCs w:val="24"/>
                <w:highlight w:val="none"/>
              </w:rPr>
              <w:t>轻摩、机动或电动三轮车</w:t>
            </w:r>
            <w:r>
              <w:rPr>
                <w:rFonts w:hint="eastAsia" w:ascii="宋体" w:hAnsi="宋体" w:eastAsia="宋体" w:cs="宋体"/>
                <w:sz w:val="24"/>
                <w:szCs w:val="24"/>
                <w:highlight w:val="none"/>
                <w:lang w:val="zh-CN"/>
              </w:rPr>
              <w:t>）</w:t>
            </w:r>
          </w:p>
        </w:tc>
        <w:tc>
          <w:tcPr>
            <w:tcW w:w="1577" w:type="dxa"/>
            <w:noWrap/>
            <w:vAlign w:val="center"/>
          </w:tcPr>
          <w:p w14:paraId="33E5D286">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元/天·辆</w:t>
            </w:r>
          </w:p>
        </w:tc>
        <w:tc>
          <w:tcPr>
            <w:tcW w:w="857" w:type="dxa"/>
            <w:noWrap/>
            <w:vAlign w:val="center"/>
          </w:tcPr>
          <w:p w14:paraId="12CA2E1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827" w:type="dxa"/>
            <w:noWrap/>
            <w:vAlign w:val="center"/>
          </w:tcPr>
          <w:p w14:paraId="715789F6">
            <w:pPr>
              <w:widowControl w:val="0"/>
              <w:jc w:val="center"/>
              <w:rPr>
                <w:rFonts w:hint="eastAsia" w:ascii="宋体" w:hAnsi="宋体" w:eastAsia="宋体" w:cs="宋体"/>
                <w:sz w:val="24"/>
                <w:szCs w:val="24"/>
                <w:highlight w:val="none"/>
              </w:rPr>
            </w:pPr>
          </w:p>
        </w:tc>
        <w:tc>
          <w:tcPr>
            <w:tcW w:w="1785" w:type="dxa"/>
            <w:noWrap/>
            <w:vAlign w:val="center"/>
          </w:tcPr>
          <w:p w14:paraId="46549F7F">
            <w:pPr>
              <w:widowControl w:val="0"/>
              <w:jc w:val="center"/>
              <w:rPr>
                <w:rFonts w:hint="eastAsia" w:ascii="宋体" w:hAnsi="宋体" w:eastAsia="宋体" w:cs="宋体"/>
                <w:sz w:val="24"/>
                <w:szCs w:val="24"/>
                <w:highlight w:val="none"/>
              </w:rPr>
            </w:pPr>
          </w:p>
        </w:tc>
        <w:tc>
          <w:tcPr>
            <w:tcW w:w="945" w:type="dxa"/>
            <w:noWrap/>
            <w:vAlign w:val="center"/>
          </w:tcPr>
          <w:p w14:paraId="5D070615">
            <w:pPr>
              <w:widowControl w:val="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r>
      <w:tr w14:paraId="31850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9" w:type="dxa"/>
            <w:noWrap/>
            <w:vAlign w:val="center"/>
          </w:tcPr>
          <w:p w14:paraId="5AEBE82B">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w:t>
            </w:r>
          </w:p>
        </w:tc>
        <w:tc>
          <w:tcPr>
            <w:tcW w:w="2949" w:type="dxa"/>
            <w:noWrap/>
            <w:vAlign w:val="center"/>
          </w:tcPr>
          <w:p w14:paraId="2736A5BF">
            <w:pPr>
              <w:widowControl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电动自行车（含助力车、残疾人专用车、人力三轮车）</w:t>
            </w:r>
          </w:p>
        </w:tc>
        <w:tc>
          <w:tcPr>
            <w:tcW w:w="1577" w:type="dxa"/>
            <w:noWrap/>
            <w:vAlign w:val="center"/>
          </w:tcPr>
          <w:p w14:paraId="76815372">
            <w:pPr>
              <w:widowControl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元/天·辆</w:t>
            </w:r>
          </w:p>
        </w:tc>
        <w:tc>
          <w:tcPr>
            <w:tcW w:w="857" w:type="dxa"/>
            <w:noWrap/>
            <w:vAlign w:val="center"/>
          </w:tcPr>
          <w:p w14:paraId="5A6B2C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27" w:type="dxa"/>
            <w:noWrap/>
            <w:vAlign w:val="center"/>
          </w:tcPr>
          <w:p w14:paraId="5C8607CD">
            <w:pPr>
              <w:widowControl w:val="0"/>
              <w:jc w:val="center"/>
              <w:rPr>
                <w:rFonts w:hint="eastAsia" w:ascii="宋体" w:hAnsi="宋体" w:eastAsia="宋体" w:cs="宋体"/>
                <w:sz w:val="24"/>
                <w:szCs w:val="24"/>
                <w:highlight w:val="none"/>
              </w:rPr>
            </w:pPr>
          </w:p>
        </w:tc>
        <w:tc>
          <w:tcPr>
            <w:tcW w:w="1785" w:type="dxa"/>
            <w:noWrap/>
            <w:vAlign w:val="center"/>
          </w:tcPr>
          <w:p w14:paraId="1CE620D6">
            <w:pPr>
              <w:widowControl w:val="0"/>
              <w:jc w:val="center"/>
              <w:rPr>
                <w:rFonts w:hint="eastAsia" w:ascii="宋体" w:hAnsi="宋体" w:eastAsia="宋体" w:cs="宋体"/>
                <w:sz w:val="24"/>
                <w:szCs w:val="24"/>
                <w:highlight w:val="none"/>
              </w:rPr>
            </w:pPr>
          </w:p>
        </w:tc>
        <w:tc>
          <w:tcPr>
            <w:tcW w:w="945" w:type="dxa"/>
            <w:noWrap/>
            <w:vAlign w:val="center"/>
          </w:tcPr>
          <w:p w14:paraId="2C5CDEA5">
            <w:pPr>
              <w:jc w:val="center"/>
              <w:rPr>
                <w:rFonts w:hint="eastAsia" w:ascii="宋体" w:hAnsi="宋体" w:eastAsia="宋体" w:cs="宋体"/>
                <w:sz w:val="24"/>
                <w:szCs w:val="24"/>
                <w:highlight w:val="none"/>
                <w:lang w:eastAsia="en-US"/>
              </w:rPr>
            </w:pPr>
          </w:p>
          <w:p w14:paraId="7490BFD5">
            <w:pPr>
              <w:widowControl w:val="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r>
      <w:tr w14:paraId="7BBD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69" w:type="dxa"/>
            <w:noWrap/>
            <w:vAlign w:val="center"/>
          </w:tcPr>
          <w:p w14:paraId="5784F75A">
            <w:pPr>
              <w:widowControl w:val="0"/>
              <w:jc w:val="center"/>
              <w:rPr>
                <w:rFonts w:hint="eastAsia" w:ascii="宋体" w:hAnsi="宋体" w:eastAsia="宋体" w:cs="宋体"/>
                <w:sz w:val="24"/>
                <w:szCs w:val="24"/>
                <w:lang w:val="zh-CN"/>
              </w:rPr>
            </w:pPr>
          </w:p>
        </w:tc>
        <w:tc>
          <w:tcPr>
            <w:tcW w:w="6210" w:type="dxa"/>
            <w:gridSpan w:val="4"/>
            <w:noWrap/>
            <w:vAlign w:val="center"/>
          </w:tcPr>
          <w:p w14:paraId="231220AC">
            <w:pPr>
              <w:widowControl w:val="0"/>
              <w:jc w:val="center"/>
              <w:rPr>
                <w:rFonts w:hint="eastAsia" w:ascii="宋体" w:hAnsi="宋体" w:eastAsia="宋体" w:cs="宋体"/>
                <w:sz w:val="24"/>
                <w:szCs w:val="24"/>
                <w:lang w:val="zh-CN"/>
              </w:rPr>
            </w:pPr>
            <w:r>
              <w:rPr>
                <w:rFonts w:hint="eastAsia" w:ascii="宋体" w:hAnsi="宋体" w:eastAsia="宋体" w:cs="宋体"/>
                <w:sz w:val="24"/>
                <w:szCs w:val="24"/>
                <w:lang w:val="zh-CN"/>
              </w:rPr>
              <w:t>加权平均综合单价</w:t>
            </w:r>
          </w:p>
        </w:tc>
        <w:tc>
          <w:tcPr>
            <w:tcW w:w="2730" w:type="dxa"/>
            <w:gridSpan w:val="2"/>
            <w:noWrap/>
            <w:vAlign w:val="center"/>
          </w:tcPr>
          <w:p w14:paraId="097C2C52">
            <w:pPr>
              <w:widowControl w:val="0"/>
              <w:jc w:val="center"/>
              <w:rPr>
                <w:rFonts w:hint="eastAsia" w:ascii="宋体" w:hAnsi="宋体" w:eastAsia="宋体" w:cs="宋体"/>
                <w:sz w:val="24"/>
                <w:szCs w:val="24"/>
              </w:rPr>
            </w:pPr>
          </w:p>
        </w:tc>
      </w:tr>
    </w:tbl>
    <w:p w14:paraId="01A7301A">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sz w:val="24"/>
        </w:rPr>
      </w:pPr>
    </w:p>
    <w:p w14:paraId="0FACAF3C">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五、履约保证金</w:t>
      </w:r>
    </w:p>
    <w:p w14:paraId="6ECB57AD">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 xml:space="preserve">1、乙方应按以下第（2）种方式向甲方缴纳履约保证金： </w:t>
      </w:r>
    </w:p>
    <w:p w14:paraId="09EF819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（1）无需缴纳履约保证金； </w:t>
      </w:r>
    </w:p>
    <w:p w14:paraId="444BF79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（2）以金融机构或担保机构出具的保函形式缴纳履约保证金，金额为合同价款的10%。 </w:t>
      </w:r>
    </w:p>
    <w:p w14:paraId="3166455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2、履约保证金的有效期至乙方按照合同要求完成服务。 </w:t>
      </w:r>
    </w:p>
    <w:p w14:paraId="3B7F844F">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xml:space="preserve">3、如乙方未能履行合同规定的义务，甲方有权从履约保证金中取得补偿。 </w:t>
      </w:r>
    </w:p>
    <w:p w14:paraId="260392C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4、履约保证金扣除甲方应得的补偿后的余额，在有效期满后无息退还给乙方。</w:t>
      </w:r>
    </w:p>
    <w:p w14:paraId="7222D274">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六、甲方权利义务</w:t>
      </w:r>
    </w:p>
    <w:p w14:paraId="3CF0972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1、甲方有权要求乙方按照甲方规定的要求对涉案车辆、物品进行保管。</w:t>
      </w:r>
    </w:p>
    <w:p w14:paraId="74E3023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2、甲方及其上级主管部门有权对乙方进行监督，并对乙方保管行为实行月度评价考核制度。甲方有权从乙方保管费中扣除违约金。</w:t>
      </w:r>
    </w:p>
    <w:p w14:paraId="43D9C6E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3、甲方委派</w:t>
      </w:r>
      <w:r>
        <w:rPr>
          <w:rFonts w:hint="eastAsia" w:ascii="宋体" w:hAnsi="宋体" w:eastAsia="宋体" w:cs="宋体"/>
          <w:sz w:val="24"/>
          <w:u w:val="single"/>
        </w:rPr>
        <w:t>       （</w:t>
      </w:r>
      <w:r>
        <w:rPr>
          <w:rFonts w:hint="eastAsia" w:ascii="宋体" w:hAnsi="宋体" w:eastAsia="宋体" w:cs="宋体"/>
          <w:sz w:val="24"/>
        </w:rPr>
        <w:t>职务：分管副中队长）、</w:t>
      </w:r>
      <w:r>
        <w:rPr>
          <w:rFonts w:hint="eastAsia" w:ascii="宋体" w:hAnsi="宋体" w:eastAsia="宋体" w:cs="宋体"/>
          <w:sz w:val="24"/>
          <w:u w:val="single"/>
        </w:rPr>
        <w:t>      （</w:t>
      </w:r>
      <w:r>
        <w:rPr>
          <w:rFonts w:hint="eastAsia" w:ascii="宋体" w:hAnsi="宋体" w:eastAsia="宋体" w:cs="宋体"/>
          <w:sz w:val="24"/>
        </w:rPr>
        <w:t>职务：责任民警）负责对涉案车辆保管站的监督管理、评价考核和对接工作。</w:t>
      </w:r>
    </w:p>
    <w:p w14:paraId="14B0B01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4、甲方应约束、培训所属执法人员依法履行职务。</w:t>
      </w:r>
    </w:p>
    <w:p w14:paraId="596014D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5、甲方应按约定向乙方支付保管费。</w:t>
      </w:r>
    </w:p>
    <w:p w14:paraId="560CFFBB">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七、乙方权利义务</w:t>
      </w:r>
    </w:p>
    <w:p w14:paraId="4BBB918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1、乙方有权向甲方提出合理化建议。</w:t>
      </w:r>
    </w:p>
    <w:p w14:paraId="75CAFE1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2、乙方有权按本协议约定向甲方申请支付保管费用。</w:t>
      </w:r>
    </w:p>
    <w:p w14:paraId="0783E4C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3、乙方必须在涉案车辆保管场所悬挂合法的营业执照，设置专人看管，监控及照明等安全防护设施齐全有效，有完善的安全管理制度及巡查措施，具备防雨、防晒、防火、防盗、防水淹等管理设施，保证停车场地的正常安全使用。</w:t>
      </w:r>
    </w:p>
    <w:p w14:paraId="69ED318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4、乙方应严格遵守甲方关于涉案车辆入场登记、移送、保管、出场、收费等方面的规定，有义务对乙方保管人员进行培训和业务指导。严禁看管人员对入出场车辆不登记和弄虚作假，不得私自放车，不得从事或接受任何人针对甲方扣留的涉案车辆提出的任何形式的有偿服务及延伸服务，不得对甲方扣留的涉案车辆进行收费。</w:t>
      </w:r>
    </w:p>
    <w:p w14:paraId="4B9337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5、乙方应自觉遵守中华人民共和国法律、法规，妥善保管涉案车辆。禁止拆卸车辆零件、非法买卖涉案车辆、零件及所载物品，监守自盗、非法占用、使用涉案车辆，车辆在拖移、暂放、转场等保管期间的交通违法行为，由乙方应承担相应的罚款、记分等处罚。</w:t>
      </w:r>
    </w:p>
    <w:p w14:paraId="69CFBEA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6、乙方应无条件服从交警大队车辆停放要求，保证停车场地正常使用。</w:t>
      </w:r>
    </w:p>
    <w:p w14:paraId="61D22C6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7、合同期满后，乙方不得以任何理由向甲方主张包括土地平整、设施设备采购或安装等在内产生的任何赔偿或补偿。</w:t>
      </w:r>
    </w:p>
    <w:p w14:paraId="56FEC23C">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八、损害赔偿</w:t>
      </w:r>
    </w:p>
    <w:p w14:paraId="066E6EF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1、在本项目合同履行期限内，由于盗抢、火灾等非不可抗力因素造成保管物毁损、灭失的，乙方应当承担包括民事赔偿、刑事责任等在内的一切责任。</w:t>
      </w:r>
    </w:p>
    <w:p w14:paraId="55A2995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2、乙方对委托保管车辆的灭失或毁损按照车辆现有价值进行赔偿。对零部件缺失的，恢复原状，不能恢复原状的，按新部件赔偿。并承担与之相关的一切合理费用。</w:t>
      </w:r>
    </w:p>
    <w:p w14:paraId="59E0B81A">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九、违约责任</w:t>
      </w:r>
    </w:p>
    <w:p w14:paraId="1D03AB1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1、乙方违反《评价考核办法》，按评价考核办法承担违约责任。</w:t>
      </w:r>
    </w:p>
    <w:p w14:paraId="30C67B0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十、争议解决</w:t>
      </w:r>
    </w:p>
    <w:p w14:paraId="496B6D5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本协议执行过程中，甲乙双方发生争议的，由双方协商解决，协商不成的，可向江宁区人民法院提起民事诉讼。</w:t>
      </w:r>
    </w:p>
    <w:p w14:paraId="394DED8F">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十一、合同生效</w:t>
      </w:r>
    </w:p>
    <w:p w14:paraId="7D9F49B5">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本协议经甲乙双方签字盖（公）章后生效。</w:t>
      </w:r>
    </w:p>
    <w:p w14:paraId="62DB9EE3">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十二、合同解除</w:t>
      </w:r>
    </w:p>
    <w:p w14:paraId="1E6B474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1、乙方在甲方月度评价考核中一年内有两次不合格情形的，甲方可以单方面解除合同。</w:t>
      </w:r>
    </w:p>
    <w:p w14:paraId="149B30D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2、保管期间，被保管车辆被盗抢或被偷换的，乙方照价赔偿并扣除全部履约保证金，甲方可以单方面解除合同。</w:t>
      </w:r>
    </w:p>
    <w:p w14:paraId="20AD4FB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3、甲乙双方中的任何一方解除合同的，应提前一个月书面告知对方。</w:t>
      </w:r>
    </w:p>
    <w:p w14:paraId="33D9093C">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sz w:val="24"/>
        </w:rPr>
        <w:t>十三、附则</w:t>
      </w:r>
    </w:p>
    <w:p w14:paraId="28441B2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1、本协议壹式肆份，甲方叁份，乙方壹份。</w:t>
      </w:r>
    </w:p>
    <w:p w14:paraId="57D1ED7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2、《评价考核办法》由甲方与乙方协商确认，并作为本合同的附件，与本合同具同等效力。</w:t>
      </w:r>
    </w:p>
    <w:p w14:paraId="2B901A0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rPr>
      </w:pPr>
    </w:p>
    <w:p w14:paraId="5243DEB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甲方（公章）：              乙方（公章）：</w:t>
      </w:r>
    </w:p>
    <w:p w14:paraId="10C4716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住所：                   住所：</w:t>
      </w:r>
    </w:p>
    <w:p w14:paraId="5B3EF1C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                    法定代表人：</w:t>
      </w:r>
    </w:p>
    <w:p w14:paraId="18CE411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委托代理人：                  委托代理人：</w:t>
      </w:r>
    </w:p>
    <w:p w14:paraId="3BA3515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经办人：                        经办人：</w:t>
      </w:r>
    </w:p>
    <w:p w14:paraId="03735AF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电话：                        电话：</w:t>
      </w:r>
    </w:p>
    <w:p w14:paraId="7B761EC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sz w:val="24"/>
        </w:rPr>
      </w:pPr>
      <w:r>
        <w:rPr>
          <w:rFonts w:hint="eastAsia" w:ascii="宋体" w:hAnsi="宋体" w:eastAsia="宋体" w:cs="宋体"/>
          <w:sz w:val="24"/>
        </w:rPr>
        <w:t>邮编：                           邮编：</w:t>
      </w:r>
    </w:p>
    <w:p w14:paraId="7D86CE9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sz w:val="24"/>
        </w:rPr>
        <w:t> </w:t>
      </w:r>
    </w:p>
    <w:p w14:paraId="37AF85A4">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sz w:val="24"/>
        </w:rPr>
        <w:t> </w:t>
      </w:r>
    </w:p>
    <w:p w14:paraId="63A6ACE2">
      <w:pPr>
        <w:rPr>
          <w:rFonts w:hint="eastAsia" w:ascii="宋体" w:hAnsi="宋体" w:eastAsia="宋体" w:cs="宋体"/>
          <w:sz w:val="24"/>
        </w:rPr>
      </w:pPr>
      <w:r>
        <w:rPr>
          <w:rFonts w:hint="eastAsia" w:ascii="宋体" w:hAnsi="宋体" w:eastAsia="宋体" w:cs="宋体"/>
          <w:sz w:val="24"/>
        </w:rPr>
        <w:br w:type="page" w:clear="all"/>
      </w:r>
    </w:p>
    <w:p w14:paraId="0C433ECF">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b/>
          <w:bCs/>
          <w:sz w:val="24"/>
        </w:rPr>
        <w:t>附件1：</w:t>
      </w:r>
    </w:p>
    <w:p w14:paraId="0ACD4379">
      <w:pPr>
        <w:pBdr>
          <w:top w:val="none" w:color="000000" w:sz="0" w:space="0"/>
          <w:left w:val="none" w:color="000000" w:sz="0" w:space="0"/>
          <w:bottom w:val="none" w:color="000000" w:sz="0" w:space="0"/>
          <w:right w:val="none" w:color="000000" w:sz="0" w:space="0"/>
        </w:pBdr>
        <w:tabs>
          <w:tab w:val="left" w:pos="1008"/>
        </w:tabs>
        <w:spacing w:line="360" w:lineRule="auto"/>
        <w:ind w:left="1008" w:hanging="1008"/>
        <w:jc w:val="center"/>
        <w:rPr>
          <w:rFonts w:hint="eastAsia" w:ascii="宋体" w:hAnsi="宋体" w:eastAsia="宋体" w:cs="宋体"/>
          <w:b/>
          <w:sz w:val="24"/>
        </w:rPr>
      </w:pPr>
    </w:p>
    <w:p w14:paraId="7FA23C3D">
      <w:pPr>
        <w:pBdr>
          <w:top w:val="none" w:color="000000" w:sz="0" w:space="0"/>
          <w:left w:val="none" w:color="000000" w:sz="0" w:space="0"/>
          <w:bottom w:val="none" w:color="000000" w:sz="0" w:space="0"/>
          <w:right w:val="none" w:color="000000" w:sz="0" w:space="0"/>
        </w:pBdr>
        <w:tabs>
          <w:tab w:val="left" w:pos="1008"/>
        </w:tabs>
        <w:spacing w:line="360" w:lineRule="auto"/>
        <w:ind w:left="1008" w:hanging="1008"/>
        <w:jc w:val="center"/>
        <w:rPr>
          <w:rFonts w:hint="eastAsia" w:ascii="宋体" w:hAnsi="宋体" w:eastAsia="宋体" w:cs="宋体"/>
        </w:rPr>
      </w:pPr>
      <w:r>
        <w:rPr>
          <w:rFonts w:hint="eastAsia" w:ascii="宋体" w:hAnsi="宋体" w:eastAsia="宋体" w:cs="宋体"/>
          <w:b/>
          <w:sz w:val="24"/>
        </w:rPr>
        <w:t>评价考核办法</w:t>
      </w:r>
    </w:p>
    <w:p w14:paraId="0DEDF4B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为规范和提升乙方保管服务水平，确保涉案车辆安全、保管妥善，特制定涉案车辆评价考核办法如下：</w:t>
      </w:r>
    </w:p>
    <w:p w14:paraId="7CD1AA07">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bCs/>
          <w:sz w:val="24"/>
        </w:rPr>
        <w:t>一、评价考核原则</w:t>
      </w:r>
    </w:p>
    <w:p w14:paraId="1274CC6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通过完善的管理制度，规范的管理行为，做到涉案车辆保管妥善，安全有序，账物一致。</w:t>
      </w:r>
    </w:p>
    <w:p w14:paraId="25D32B12">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rPr>
      </w:pPr>
      <w:r>
        <w:rPr>
          <w:rFonts w:hint="eastAsia" w:ascii="宋体" w:hAnsi="宋体" w:eastAsia="宋体" w:cs="宋体"/>
          <w:b/>
          <w:bCs/>
          <w:sz w:val="24"/>
        </w:rPr>
        <w:t>二、评价考核对象</w:t>
      </w:r>
    </w:p>
    <w:p w14:paraId="3128113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乙方所属涉案车辆保管站</w:t>
      </w:r>
    </w:p>
    <w:p w14:paraId="6929C70B">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rPr>
      </w:pPr>
      <w:r>
        <w:rPr>
          <w:rFonts w:hint="eastAsia" w:ascii="宋体" w:hAnsi="宋体" w:eastAsia="宋体" w:cs="宋体"/>
          <w:b/>
          <w:bCs/>
          <w:sz w:val="24"/>
        </w:rPr>
        <w:t>三、评价考核内容</w:t>
      </w:r>
    </w:p>
    <w:p w14:paraId="02C5DD3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1、乙方是否在保管场所建立管理台帐。是否统一使用甲方提供的涉案车辆入出场登记本、入场签收单、移送车辆登记台帐、放车单回执、铭牌。是否按照台帐内容规范登记，填写字迹清楚，信息准确无误。是否使用其他台帐进行登记，台帐资料是否缺漏、遗失。</w:t>
      </w:r>
    </w:p>
    <w:p w14:paraId="7BC385B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2、乙方保管场所是否符合防火、防盗、防水等安全管理要求，是否设置专人看管，监控及安全防护设施是否齐全有效，是否按甲方要求保存视频监控资料，随时调取。是否有完善的安全管理制度、巡查措施、工作流程并张贴上墙，是否具备防雨、防晒、防火、防盗、防水淹等管理设施，是否有车辆及零部件的丢失或损坏，是否有因降雨积水等因素造成的车辆财物损失。</w:t>
      </w:r>
    </w:p>
    <w:p w14:paraId="16EE241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3、乙方保管场所工作人员是否熟悉工作流程、严格把关。是否在收到甲方移交的涉案车辆后，立即开具《扣留车辆入场签收单》，明确保管站名称、移送人姓名、车辆进场时间、车辆完好情况、配发的铭牌编号、接收人姓名等内容。涉案车辆是否分区存放，摆放整齐。是否有车辆入场登记填写信息与实际不符，漏登记、不登记情况，是否摆放混乱。</w:t>
      </w:r>
    </w:p>
    <w:p w14:paraId="48EC3A8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4、乙方保管场所工作人员收到甲方《放车单》后，是否核实发还车辆的相关手续，对出场车辆进行检查和照相，登记领车人姓名、身份证（驾驶证）号、放车时间等内容，交由领车人确认签字。是否及时将《放车单副联》、进出场照片装订后送交甲方，移送《放车单副联》是否办好交接手续，登记交接时间、交接单据数量和编号、签收人。是否出现错放、无回执、不及时移交回执等情况。</w:t>
      </w:r>
    </w:p>
    <w:p w14:paraId="298E76F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5、乙方保管场所工作人员是否对被保管车辆进行拆卸，毁损，是否有监守自盗、非法侵占涉案车辆情形。</w:t>
      </w:r>
    </w:p>
    <w:p w14:paraId="5977538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rPr>
      </w:pPr>
      <w:r>
        <w:rPr>
          <w:rFonts w:hint="eastAsia" w:ascii="宋体" w:hAnsi="宋体" w:eastAsia="宋体" w:cs="宋体"/>
          <w:sz w:val="24"/>
        </w:rPr>
        <w:t>6、乙方保管场所工作人员是否每月对涉案车辆进行盘点，并向甲方提交盘点表，是否按时申请甲方验收。</w:t>
      </w:r>
    </w:p>
    <w:p w14:paraId="51CC1B70">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rPr>
      </w:pPr>
      <w:r>
        <w:rPr>
          <w:rFonts w:hint="eastAsia" w:ascii="宋体" w:hAnsi="宋体" w:eastAsia="宋体" w:cs="宋体"/>
          <w:b/>
          <w:bCs/>
          <w:sz w:val="24"/>
        </w:rPr>
        <w:t>四、评价考核方式</w:t>
      </w:r>
    </w:p>
    <w:p w14:paraId="1E4576C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b/>
          <w:bCs/>
          <w:sz w:val="24"/>
        </w:rPr>
        <w:t>第一条</w:t>
      </w:r>
      <w:r>
        <w:rPr>
          <w:rFonts w:hint="eastAsia" w:ascii="宋体" w:hAnsi="宋体" w:eastAsia="宋体" w:cs="宋体"/>
          <w:sz w:val="24"/>
        </w:rPr>
        <w:t>各勤务中队（使用方）、交警大队是本项目管理职能部门，负责本项目的日常管理、考核，每月核实处理群众的投诉及考核。</w:t>
      </w:r>
    </w:p>
    <w:p w14:paraId="69EA50A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b/>
          <w:bCs/>
          <w:sz w:val="24"/>
        </w:rPr>
        <w:t>第二条</w:t>
      </w:r>
      <w:r>
        <w:rPr>
          <w:rFonts w:hint="eastAsia" w:ascii="宋体" w:hAnsi="宋体" w:eastAsia="宋体" w:cs="宋体"/>
          <w:sz w:val="24"/>
        </w:rPr>
        <w:t>考核结果运用：保管费结算时按扣分分值折合相应钱款后在当月保管费中予以扣除，每分值相当于被考核当月结算保管费总额的1%。</w:t>
      </w:r>
    </w:p>
    <w:p w14:paraId="5D254F3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b/>
          <w:bCs/>
          <w:sz w:val="24"/>
        </w:rPr>
        <w:t>第三条</w:t>
      </w:r>
      <w:r>
        <w:rPr>
          <w:rFonts w:hint="eastAsia" w:ascii="宋体" w:hAnsi="宋体" w:eastAsia="宋体" w:cs="宋体"/>
          <w:sz w:val="24"/>
        </w:rPr>
        <w:t>保管站每月5日前向勤务中队提交上月验收资料，提出验收申请。勤务中队每月10日前对上月组织考核验收一次,并现场填写《涉案车辆停车场检查情况考核评分表》。评价考核采取百分制，80分以上为合格（含80分），80分以下为不合格。</w:t>
      </w:r>
    </w:p>
    <w:p w14:paraId="7B5CD96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1、保管站未建立和使用交警部门统一台账的，每次扣1分。</w:t>
      </w:r>
    </w:p>
    <w:p w14:paraId="340E32B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2、保管站对甲方移交的涉案车辆、物品进场、出场未登记或登记信息不全、与实际不符的，每起扣1分。</w:t>
      </w:r>
    </w:p>
    <w:p w14:paraId="1FBD7E8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3、保管站内无人值守的，5分钟内（含）每次扣2分，超过5分钟（不含）的每次扣10分。合同期内有两次及以上的，甲方有权单独解除合同。</w:t>
      </w:r>
    </w:p>
    <w:p w14:paraId="43AB391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4、保管场所无管理制度或未按照管理制度执行的，每次扣2分。</w:t>
      </w:r>
    </w:p>
    <w:p w14:paraId="1ABAD8F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5、保管场所内安全防护设施不全，无监控、灭火、防盗、排水设施或缺少、失效、损坏或未及时完善和修复的，每起扣2分。</w:t>
      </w:r>
    </w:p>
    <w:p w14:paraId="0D233861">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6、保管站监控记录未按甲方要求时间保存或保存不全、不能调取的，每次扣2分。</w:t>
      </w:r>
    </w:p>
    <w:p w14:paraId="1B36AC3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7、保管场所未张贴工作流程、收费公示的，每次扣1分。</w:t>
      </w:r>
    </w:p>
    <w:p w14:paraId="1B7A998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8、保管站违反规定乱收费被当事人投诉，经交警部门查证属实的，除向当事人退还全部费用外，每次扣20分。</w:t>
      </w:r>
    </w:p>
    <w:p w14:paraId="49614D3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9、保管站对入、出场车辆不照相、不悬挂铭牌的，每起扣1分。</w:t>
      </w:r>
    </w:p>
    <w:p w14:paraId="34DC7AD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10、保管站放车时未核实登记车辆信息或核实不准确，错放、乱放车辆的，每起扣2分。</w:t>
      </w:r>
    </w:p>
    <w:p w14:paraId="096182F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11、私自使用被保管车辆的，每次扣10分。</w:t>
      </w:r>
    </w:p>
    <w:p w14:paraId="7CEA170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12、保管站因自身安全措施不力，保管责任不落实，致被保管物品被损毁、拆卸、缺失的，除照价赔偿外，每起扣5分。</w:t>
      </w:r>
    </w:p>
    <w:p w14:paraId="3B82EE9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13、保管站偷换车辆的，每起扣10分。合同期内有两次及以上的，甲方有权单独解除合同。</w:t>
      </w:r>
    </w:p>
    <w:p w14:paraId="2908F35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14、保管站移交报废车辆时，私自拆卸涉案车辆配件、扣留涉案车辆配套物品，每起扣10分。</w:t>
      </w:r>
    </w:p>
    <w:p w14:paraId="576C6FE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15、保管站对入场车辆未开具《扣留车辆入场签收单》或放车后不及时将《放车单回执联》送交警部门的，每起扣1分。</w:t>
      </w:r>
    </w:p>
    <w:p w14:paraId="760DD13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16、保管站未收到中队盖章的放车单，私自放车的，每次扣10分。</w:t>
      </w:r>
    </w:p>
    <w:p w14:paraId="0B1F7B0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17、保管站对保管车辆未做到一车一档或档案内容不全，有钥匙车辆钥匙未放入档案袋的，每起扣1分。</w:t>
      </w:r>
    </w:p>
    <w:p w14:paraId="51BF8BC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18、未按涉案车辆评价考核办法要求按时（每月5日前）上报相关报表及验收资料的，或其他未按交警部门通知要求报送报表、材料的，每次扣1分。</w:t>
      </w:r>
    </w:p>
    <w:p w14:paraId="3C62B2D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19、上报的相关报表数据不真实，弄虚作假，每起扣0.5分。</w:t>
      </w:r>
    </w:p>
    <w:p w14:paraId="31733ED1">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rPr>
      </w:pPr>
      <w:r>
        <w:rPr>
          <w:rFonts w:hint="eastAsia" w:ascii="宋体" w:hAnsi="宋体" w:eastAsia="宋体" w:cs="宋体"/>
          <w:sz w:val="24"/>
        </w:rPr>
        <w:t>20、不服从交警部门对车辆保管、停放、放还等工作协调和安排的，每次扣0.5-2分。</w:t>
      </w:r>
    </w:p>
    <w:p w14:paraId="2D3D9C90">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21、保管站监守自盗、非法侵占甲方移交保管的涉案车辆受到公安机关处理或被媒体曝光之一的，每次扣20-100分，并根据该事件造成的后果轻重及影响程度，甲方有权在合同期内单独解除合同。</w:t>
      </w:r>
    </w:p>
    <w:p w14:paraId="2FAC027A">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rPr>
      </w:pPr>
      <w:r>
        <w:rPr>
          <w:rFonts w:hint="eastAsia" w:ascii="宋体" w:hAnsi="宋体" w:eastAsia="宋体" w:cs="宋体"/>
          <w:b/>
          <w:bCs/>
          <w:sz w:val="24"/>
        </w:rPr>
        <w:t>五、生效</w:t>
      </w:r>
    </w:p>
    <w:p w14:paraId="74E7C4B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1、本评价考核办法在合同签订时生效。</w:t>
      </w:r>
    </w:p>
    <w:p w14:paraId="7A722B0B">
      <w:pPr>
        <w:pBdr>
          <w:top w:val="none" w:color="000000" w:sz="0" w:space="0"/>
          <w:left w:val="none" w:color="000000" w:sz="0" w:space="0"/>
          <w:bottom w:val="none" w:color="000000" w:sz="0" w:space="0"/>
          <w:right w:val="none" w:color="000000" w:sz="0" w:space="0"/>
        </w:pBdr>
        <w:ind w:firstLine="480"/>
        <w:jc w:val="both"/>
        <w:rPr>
          <w:rFonts w:hint="eastAsia" w:ascii="宋体" w:hAnsi="宋体" w:eastAsia="宋体" w:cs="宋体"/>
        </w:rPr>
      </w:pPr>
      <w:r>
        <w:rPr>
          <w:rFonts w:hint="eastAsia" w:ascii="宋体" w:hAnsi="宋体" w:eastAsia="宋体" w:cs="宋体"/>
          <w:sz w:val="24"/>
        </w:rPr>
        <w:t> </w:t>
      </w:r>
    </w:p>
    <w:p w14:paraId="08EA365E">
      <w:pPr>
        <w:pBdr>
          <w:top w:val="none" w:color="000000" w:sz="0" w:space="0"/>
          <w:left w:val="none" w:color="000000" w:sz="0" w:space="0"/>
          <w:bottom w:val="none" w:color="000000" w:sz="0" w:space="0"/>
          <w:right w:val="none" w:color="000000" w:sz="0" w:space="0"/>
        </w:pBdr>
        <w:ind w:left="1470" w:right="1470" w:firstLine="420"/>
        <w:jc w:val="both"/>
        <w:rPr>
          <w:rFonts w:hint="eastAsia" w:ascii="宋体" w:hAnsi="宋体" w:eastAsia="宋体" w:cs="宋体"/>
        </w:rPr>
      </w:pPr>
      <w:r>
        <w:rPr>
          <w:rFonts w:hint="eastAsia" w:ascii="宋体" w:hAnsi="宋体" w:eastAsia="宋体" w:cs="宋体"/>
          <w:sz w:val="24"/>
        </w:rPr>
        <w:t> </w:t>
      </w:r>
    </w:p>
    <w:p w14:paraId="1C3460E2">
      <w:pPr>
        <w:pBdr>
          <w:top w:val="none" w:color="000000" w:sz="0" w:space="0"/>
          <w:left w:val="none" w:color="000000" w:sz="0" w:space="0"/>
          <w:bottom w:val="none" w:color="000000" w:sz="0" w:space="0"/>
          <w:right w:val="none" w:color="000000" w:sz="0" w:space="0"/>
        </w:pBdr>
        <w:ind w:left="1470" w:right="1470" w:firstLine="420"/>
        <w:jc w:val="both"/>
        <w:rPr>
          <w:rFonts w:hint="eastAsia" w:ascii="宋体" w:hAnsi="宋体" w:eastAsia="宋体" w:cs="宋体"/>
        </w:rPr>
      </w:pPr>
      <w:r>
        <w:rPr>
          <w:rFonts w:hint="eastAsia" w:ascii="宋体" w:hAnsi="宋体" w:eastAsia="宋体" w:cs="宋体"/>
          <w:sz w:val="24"/>
        </w:rPr>
        <w:t> </w:t>
      </w:r>
    </w:p>
    <w:p w14:paraId="20758270">
      <w:pPr>
        <w:pBdr>
          <w:top w:val="none" w:color="000000" w:sz="0" w:space="0"/>
          <w:left w:val="none" w:color="000000" w:sz="0" w:space="0"/>
          <w:bottom w:val="none" w:color="000000" w:sz="0" w:space="0"/>
          <w:right w:val="none" w:color="000000" w:sz="0" w:space="0"/>
        </w:pBdr>
        <w:ind w:left="1470" w:right="1470" w:firstLine="420"/>
        <w:jc w:val="both"/>
        <w:rPr>
          <w:rFonts w:hint="eastAsia" w:ascii="宋体" w:hAnsi="宋体" w:eastAsia="宋体" w:cs="宋体"/>
        </w:rPr>
      </w:pPr>
      <w:r>
        <w:rPr>
          <w:rFonts w:hint="eastAsia" w:ascii="宋体" w:hAnsi="宋体" w:eastAsia="宋体" w:cs="宋体"/>
          <w:sz w:val="24"/>
        </w:rPr>
        <w:t> </w:t>
      </w:r>
    </w:p>
    <w:p w14:paraId="5719CF57">
      <w:pPr>
        <w:pBdr>
          <w:top w:val="none" w:color="000000" w:sz="0" w:space="0"/>
          <w:left w:val="none" w:color="000000" w:sz="0" w:space="0"/>
          <w:bottom w:val="none" w:color="000000" w:sz="0" w:space="0"/>
          <w:right w:val="none" w:color="000000" w:sz="0" w:space="0"/>
        </w:pBdr>
        <w:ind w:left="1470" w:right="1470" w:firstLine="420"/>
        <w:jc w:val="both"/>
        <w:rPr>
          <w:rFonts w:hint="eastAsia" w:ascii="宋体" w:hAnsi="宋体" w:eastAsia="宋体" w:cs="宋体"/>
        </w:rPr>
      </w:pPr>
      <w:r>
        <w:rPr>
          <w:rFonts w:hint="eastAsia" w:ascii="宋体" w:hAnsi="宋体" w:eastAsia="宋体" w:cs="宋体"/>
          <w:sz w:val="24"/>
        </w:rPr>
        <w:t> </w:t>
      </w:r>
    </w:p>
    <w:p w14:paraId="14340F7B">
      <w:pPr>
        <w:pBdr>
          <w:top w:val="none" w:color="000000" w:sz="0" w:space="0"/>
          <w:left w:val="none" w:color="000000" w:sz="0" w:space="0"/>
          <w:bottom w:val="none" w:color="000000" w:sz="0" w:space="0"/>
          <w:right w:val="none" w:color="000000" w:sz="0" w:space="0"/>
        </w:pBdr>
        <w:ind w:left="1470" w:right="1470" w:firstLine="420"/>
        <w:jc w:val="both"/>
        <w:rPr>
          <w:rFonts w:hint="eastAsia" w:ascii="宋体" w:hAnsi="宋体" w:eastAsia="宋体" w:cs="宋体"/>
        </w:rPr>
      </w:pPr>
      <w:r>
        <w:rPr>
          <w:rFonts w:hint="eastAsia" w:ascii="宋体" w:hAnsi="宋体" w:eastAsia="宋体" w:cs="宋体"/>
          <w:sz w:val="24"/>
        </w:rPr>
        <w:t> </w:t>
      </w:r>
    </w:p>
    <w:p w14:paraId="2C42911D">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rPr>
      </w:pPr>
      <w:r>
        <w:rPr>
          <w:rFonts w:hint="eastAsia" w:ascii="宋体" w:hAnsi="宋体" w:eastAsia="宋体" w:cs="宋体"/>
          <w:sz w:val="24"/>
        </w:rPr>
        <w:t> </w:t>
      </w:r>
    </w:p>
    <w:p w14:paraId="10C5DE8E">
      <w:pPr>
        <w:rPr>
          <w:rFonts w:hint="eastAsia" w:ascii="宋体" w:hAnsi="宋体" w:eastAsia="宋体" w:cs="宋体"/>
          <w:sz w:val="24"/>
        </w:rPr>
      </w:pPr>
      <w:r>
        <w:rPr>
          <w:rFonts w:hint="eastAsia" w:ascii="宋体" w:hAnsi="宋体" w:eastAsia="宋体" w:cs="宋体"/>
          <w:sz w:val="24"/>
        </w:rPr>
        <w:br w:type="page" w:clear="all"/>
      </w:r>
    </w:p>
    <w:p w14:paraId="11F798F9">
      <w:pPr>
        <w:pBdr>
          <w:top w:val="none" w:color="000000" w:sz="0" w:space="0"/>
          <w:left w:val="none" w:color="000000" w:sz="0" w:space="0"/>
          <w:bottom w:val="none" w:color="000000" w:sz="0" w:space="0"/>
          <w:right w:val="none" w:color="000000" w:sz="0" w:space="0"/>
        </w:pBdr>
        <w:jc w:val="both"/>
        <w:rPr>
          <w:rFonts w:hint="eastAsia" w:ascii="宋体" w:hAnsi="宋体" w:eastAsia="宋体" w:cs="宋体"/>
          <w:b/>
          <w:bCs/>
        </w:rPr>
      </w:pPr>
      <w:r>
        <w:rPr>
          <w:rFonts w:hint="eastAsia" w:ascii="宋体" w:hAnsi="宋体" w:eastAsia="宋体" w:cs="宋体"/>
          <w:b/>
          <w:bCs/>
          <w:sz w:val="24"/>
        </w:rPr>
        <w:t>附件2：</w:t>
      </w:r>
    </w:p>
    <w:p w14:paraId="62B44273">
      <w:pPr>
        <w:pBdr>
          <w:top w:val="none" w:color="000000" w:sz="0" w:space="0"/>
          <w:left w:val="none" w:color="000000" w:sz="0" w:space="0"/>
          <w:bottom w:val="none" w:color="000000" w:sz="0" w:space="0"/>
          <w:right w:val="none" w:color="000000" w:sz="0" w:space="0"/>
        </w:pBdr>
        <w:tabs>
          <w:tab w:val="left" w:pos="1008"/>
        </w:tabs>
        <w:spacing w:line="88" w:lineRule="atLeast"/>
        <w:ind w:left="1008" w:hanging="1008"/>
        <w:jc w:val="center"/>
        <w:rPr>
          <w:rFonts w:hint="eastAsia" w:ascii="宋体" w:hAnsi="宋体" w:eastAsia="宋体" w:cs="宋体"/>
          <w:b/>
          <w:sz w:val="24"/>
        </w:rPr>
      </w:pPr>
    </w:p>
    <w:p w14:paraId="3866263F">
      <w:pPr>
        <w:pBdr>
          <w:top w:val="none" w:color="000000" w:sz="0" w:space="0"/>
          <w:left w:val="none" w:color="000000" w:sz="0" w:space="0"/>
          <w:bottom w:val="none" w:color="000000" w:sz="0" w:space="0"/>
          <w:right w:val="none" w:color="000000" w:sz="0" w:space="0"/>
        </w:pBdr>
        <w:tabs>
          <w:tab w:val="left" w:pos="1008"/>
        </w:tabs>
        <w:spacing w:line="88" w:lineRule="atLeast"/>
        <w:ind w:left="1008" w:hanging="1008"/>
        <w:jc w:val="center"/>
        <w:rPr>
          <w:rFonts w:hint="eastAsia" w:ascii="宋体" w:hAnsi="宋体" w:eastAsia="宋体" w:cs="宋体"/>
        </w:rPr>
      </w:pPr>
      <w:r>
        <w:rPr>
          <w:rFonts w:hint="eastAsia" w:ascii="宋体" w:hAnsi="宋体" w:eastAsia="宋体" w:cs="宋体"/>
          <w:b/>
          <w:sz w:val="24"/>
        </w:rPr>
        <w:t>廉政协议书</w:t>
      </w:r>
    </w:p>
    <w:p w14:paraId="41D60B04">
      <w:pPr>
        <w:pBdr>
          <w:top w:val="none" w:color="000000" w:sz="0" w:space="0"/>
          <w:left w:val="none" w:color="000000" w:sz="0" w:space="0"/>
          <w:bottom w:val="none" w:color="000000" w:sz="0" w:space="0"/>
          <w:right w:val="none" w:color="000000" w:sz="0" w:space="0"/>
        </w:pBdr>
        <w:tabs>
          <w:tab w:val="left" w:pos="6000"/>
        </w:tabs>
        <w:spacing w:line="360" w:lineRule="auto"/>
        <w:jc w:val="both"/>
        <w:rPr>
          <w:rFonts w:hint="eastAsia" w:ascii="宋体" w:hAnsi="宋体" w:eastAsia="宋体" w:cs="宋体"/>
        </w:rPr>
      </w:pPr>
      <w:r>
        <w:rPr>
          <w:rFonts w:hint="eastAsia" w:ascii="宋体" w:hAnsi="宋体" w:eastAsia="宋体" w:cs="宋体"/>
          <w:spacing w:val="17"/>
          <w:sz w:val="24"/>
        </w:rPr>
        <w:t>甲方（委托人）</w:t>
      </w:r>
      <w:r>
        <w:rPr>
          <w:rFonts w:hint="eastAsia" w:ascii="宋体" w:hAnsi="宋体" w:eastAsia="宋体" w:cs="宋体"/>
          <w:spacing w:val="1"/>
          <w:sz w:val="24"/>
        </w:rPr>
        <w:t>：</w:t>
      </w:r>
      <w:r>
        <w:rPr>
          <w:rFonts w:hint="eastAsia" w:ascii="宋体" w:hAnsi="宋体" w:eastAsia="宋体" w:cs="宋体"/>
          <w:sz w:val="24"/>
        </w:rPr>
        <w:tab/>
      </w:r>
    </w:p>
    <w:p w14:paraId="4B7160E9">
      <w:pPr>
        <w:pBdr>
          <w:top w:val="none" w:color="000000" w:sz="0" w:space="0"/>
          <w:left w:val="none" w:color="000000" w:sz="0" w:space="0"/>
          <w:bottom w:val="none" w:color="000000" w:sz="0" w:space="0"/>
          <w:right w:val="none" w:color="000000" w:sz="0" w:space="0"/>
        </w:pBdr>
        <w:tabs>
          <w:tab w:val="left" w:pos="6000"/>
        </w:tabs>
        <w:spacing w:line="360" w:lineRule="auto"/>
        <w:jc w:val="both"/>
        <w:rPr>
          <w:rFonts w:hint="eastAsia" w:ascii="宋体" w:hAnsi="宋体" w:eastAsia="宋体" w:cs="宋体"/>
        </w:rPr>
      </w:pPr>
      <w:r>
        <w:rPr>
          <w:rFonts w:hint="eastAsia" w:ascii="宋体" w:hAnsi="宋体" w:eastAsia="宋体" w:cs="宋体"/>
          <w:sz w:val="24"/>
        </w:rPr>
        <w:t>乙方（保管人）：</w:t>
      </w:r>
      <w:r>
        <w:rPr>
          <w:rFonts w:hint="eastAsia" w:ascii="宋体" w:hAnsi="宋体" w:eastAsia="宋体" w:cs="宋体"/>
          <w:sz w:val="24"/>
        </w:rPr>
        <w:tab/>
      </w:r>
    </w:p>
    <w:p w14:paraId="579F96E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为加强涉案车辆保管中的廉政建设，规范甲乙双方的各项活动，防止发生各种谋取不正当利益的违法违纪行为，保护国家、集体和当事人的合法权益，根据国家有关法律法规和廉政建设责任制规定，特订立本廉政协议书。</w:t>
      </w:r>
    </w:p>
    <w:p w14:paraId="206DB221">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第一条甲乙双方的责任</w:t>
      </w:r>
    </w:p>
    <w:p w14:paraId="2B57600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（一）应严格遵守有关法律、法规、相关政策以及廉政建设的各项规定。</w:t>
      </w:r>
    </w:p>
    <w:p w14:paraId="520B9D52">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（二）严格执行涉案车辆委托保管合同文件，自觉按合同办事。</w:t>
      </w:r>
    </w:p>
    <w:p w14:paraId="229F3625">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（三）业务活动必须坚持公开、公平、公正、诚信、透明的原则（除法律法规另有规定者外），不得为获取不正当的利益，损害国家、集体和对方利益。</w:t>
      </w:r>
    </w:p>
    <w:p w14:paraId="50ECFDB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（四）发现对方在业务活动中有违规、违纪、违法行为的，应及时提醒对方，情节严重的，应向其上级主管部门或纪检监察、司法等有关机关举报。</w:t>
      </w:r>
    </w:p>
    <w:p w14:paraId="2ECEFC6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第二条甲方的责任</w:t>
      </w:r>
    </w:p>
    <w:p w14:paraId="55B5AC7F">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甲方的领导和从事该项工作的管理人员，在事前、事中、事后应遵守以下规定：</w:t>
      </w:r>
    </w:p>
    <w:p w14:paraId="35A75D01">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（一）不准向乙方索要或接受回扣、礼金、有价证券、贵重物品和好处费、感谢费等。</w:t>
      </w:r>
    </w:p>
    <w:p w14:paraId="70A7B32C">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（二）不准在乙方报销任何应由甲方或个人支付的费用。</w:t>
      </w:r>
    </w:p>
    <w:p w14:paraId="6C918795">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（三）不准要求、暗示或接受乙方为个人装修住房、婚丧嫁娶、配偶子女的工作安排以及出国（境）、旅游等提供方便。</w:t>
      </w:r>
    </w:p>
    <w:p w14:paraId="260B4ED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（四）不准参加有可能影响公正执行公务的乙方的宴请和健身、娱乐等活动。</w:t>
      </w:r>
    </w:p>
    <w:p w14:paraId="1ADCAE1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第三条乙方的责任</w:t>
      </w:r>
    </w:p>
    <w:p w14:paraId="1F0F078A">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应与甲方保持正常的业务交往，按照有关法律法规和程序开展业务工作，并遵守以下规定：</w:t>
      </w:r>
    </w:p>
    <w:p w14:paraId="1EA0FD8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（一）不准以任何理由向甲方及其工作人员索要、接受或赠送礼金、有价证券、贵重物品及回扣、好处费、感谢费等。</w:t>
      </w:r>
    </w:p>
    <w:p w14:paraId="212B911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（二）不准以任何理由为甲方报销应由对方或个人支付的费用。</w:t>
      </w:r>
    </w:p>
    <w:p w14:paraId="1F6AFAA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（三）不准接受或暗示为甲方及其工作人员装修住房、婚丧嫁娶、配偶子女的工作安排以及出国（境）、旅游等提供方便。</w:t>
      </w:r>
    </w:p>
    <w:p w14:paraId="661E887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（四）不准以任何理由为甲方及其工作人员组织有可能影响公正执行公务的宴请、健身、娱乐等活动。</w:t>
      </w:r>
    </w:p>
    <w:p w14:paraId="3C665F7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第四条违约责任</w:t>
      </w:r>
    </w:p>
    <w:p w14:paraId="3E68A24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一）甲方工作人员有违反本协议书第一、二条责任行为的，按照管理权限，依据有关法律法规和规定给予党纪、政纪处分或组织处理；涉嫌犯罪的，移交司法机关追究刑事责任；给乙方单位造成经济损失的，应予以赔偿。</w:t>
      </w:r>
    </w:p>
    <w:p w14:paraId="4F26866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（二）乙方工作人员有违反责任书第一、三条责任行为的，一律解除合同；涉嫌犯罪的，移交司法机关追究刑事责任；给甲方单位造成经济损失的，应予以赔偿。</w:t>
      </w:r>
    </w:p>
    <w:p w14:paraId="13FE62D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第五条</w:t>
      </w:r>
      <w:r>
        <w:rPr>
          <w:rFonts w:hint="eastAsia" w:ascii="宋体" w:hAnsi="宋体" w:eastAsia="宋体" w:cs="宋体"/>
          <w:sz w:val="24"/>
        </w:rPr>
        <w:t>本协议书作为保管合同的附件，与保管合同具有同等法律效力。经双方签署后立即生效。</w:t>
      </w:r>
    </w:p>
    <w:p w14:paraId="212210D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第六条</w:t>
      </w:r>
      <w:r>
        <w:rPr>
          <w:rFonts w:hint="eastAsia" w:ascii="宋体" w:hAnsi="宋体" w:eastAsia="宋体" w:cs="宋体"/>
          <w:sz w:val="24"/>
        </w:rPr>
        <w:t>本协议书的有效期与保管合同一致。</w:t>
      </w:r>
    </w:p>
    <w:p w14:paraId="32ED004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b/>
          <w:bCs/>
          <w:sz w:val="24"/>
        </w:rPr>
        <w:t>第七条</w:t>
      </w:r>
      <w:r>
        <w:rPr>
          <w:rFonts w:hint="eastAsia" w:ascii="宋体" w:hAnsi="宋体" w:eastAsia="宋体" w:cs="宋体"/>
          <w:sz w:val="24"/>
        </w:rPr>
        <w:t>本协议书一式四份，由甲乙双方各执一份，送交甲乙双方的监督单位各一份。</w:t>
      </w:r>
    </w:p>
    <w:p w14:paraId="4930FE35">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w:t>
      </w:r>
    </w:p>
    <w:p w14:paraId="77952399">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sz w:val="24"/>
        </w:rPr>
        <w:t> </w:t>
      </w:r>
    </w:p>
    <w:p w14:paraId="2F839773">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rPr>
      </w:pPr>
      <w:r>
        <w:rPr>
          <w:rFonts w:hint="eastAsia" w:ascii="宋体" w:hAnsi="宋体" w:eastAsia="宋体" w:cs="宋体"/>
          <w:sz w:val="24"/>
        </w:rPr>
        <w:t>甲方单位：（盖章）             乙方单位：（盖章）</w:t>
      </w:r>
    </w:p>
    <w:p w14:paraId="6655DBC9">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法定代表人：                       法定代表人：</w:t>
      </w:r>
    </w:p>
    <w:p w14:paraId="06DD9307">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地址：                             地址：</w:t>
      </w:r>
    </w:p>
    <w:p w14:paraId="7D5E2152">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电话：                             电话：</w:t>
      </w:r>
    </w:p>
    <w:p w14:paraId="1F314652">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rPr>
      </w:pPr>
      <w:r>
        <w:rPr>
          <w:rFonts w:hint="eastAsia" w:ascii="宋体" w:hAnsi="宋体" w:eastAsia="宋体" w:cs="宋体"/>
          <w:sz w:val="24"/>
        </w:rPr>
        <w:t xml:space="preserve"> </w:t>
      </w:r>
    </w:p>
    <w:p w14:paraId="40637142">
      <w:pPr>
        <w:pBdr>
          <w:top w:val="none" w:color="000000" w:sz="0" w:space="0"/>
          <w:left w:val="none" w:color="000000" w:sz="0" w:space="0"/>
          <w:bottom w:val="none" w:color="000000" w:sz="0" w:space="0"/>
          <w:right w:val="none" w:color="000000" w:sz="0" w:space="0"/>
        </w:pBdr>
        <w:spacing w:line="360" w:lineRule="auto"/>
        <w:jc w:val="right"/>
        <w:rPr>
          <w:rFonts w:hint="eastAsia" w:ascii="宋体" w:hAnsi="宋体" w:eastAsia="宋体" w:cs="宋体"/>
        </w:rPr>
      </w:pPr>
      <w:r>
        <w:rPr>
          <w:rFonts w:hint="eastAsia" w:ascii="宋体" w:hAnsi="宋体" w:eastAsia="宋体" w:cs="宋体"/>
          <w:sz w:val="24"/>
        </w:rPr>
        <w:t>年  月  日</w:t>
      </w:r>
    </w:p>
    <w:p w14:paraId="41FCD707">
      <w:pPr>
        <w:pBdr>
          <w:top w:val="none" w:color="000000" w:sz="0" w:space="0"/>
          <w:left w:val="none" w:color="000000" w:sz="0" w:space="0"/>
          <w:bottom w:val="none" w:color="000000" w:sz="0" w:space="0"/>
          <w:right w:val="none" w:color="000000" w:sz="0" w:space="0"/>
        </w:pBdr>
        <w:rPr>
          <w:rFonts w:hint="eastAsia" w:ascii="宋体" w:hAnsi="宋体" w:eastAsia="宋体" w:cs="宋体"/>
        </w:rPr>
      </w:pPr>
    </w:p>
    <w:p w14:paraId="1BD21085">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64D08426">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2E6A8ABC">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48591B79">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1D7FCE3F">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4B17FFD5">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72BE6A03">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0DF5FAEA">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30A7A65F">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2AA6494E">
      <w:pPr>
        <w:pBdr>
          <w:top w:val="none" w:color="000000" w:sz="0" w:space="0"/>
          <w:left w:val="none" w:color="000000" w:sz="0" w:space="0"/>
          <w:bottom w:val="none" w:color="000000" w:sz="0" w:space="0"/>
          <w:right w:val="none" w:color="000000" w:sz="0" w:space="0"/>
        </w:pBdr>
        <w:jc w:val="both"/>
        <w:rPr>
          <w:rFonts w:hint="eastAsia" w:ascii="宋体" w:hAnsi="宋体" w:eastAsia="宋体" w:cs="宋体"/>
        </w:rPr>
      </w:pPr>
      <w:r>
        <w:rPr>
          <w:rFonts w:hint="eastAsia" w:ascii="宋体" w:hAnsi="宋体" w:eastAsia="宋体" w:cs="宋体"/>
        </w:rPr>
        <w:t> </w:t>
      </w:r>
    </w:p>
    <w:p w14:paraId="4856F10E">
      <w:pPr>
        <w:pBdr>
          <w:top w:val="none" w:color="000000" w:sz="0" w:space="0"/>
          <w:left w:val="none" w:color="000000" w:sz="0" w:space="0"/>
          <w:bottom w:val="none" w:color="000000" w:sz="0" w:space="0"/>
          <w:right w:val="none" w:color="000000" w:sz="0" w:space="0"/>
        </w:pBdr>
        <w:spacing w:after="120"/>
        <w:ind w:left="420" w:firstLine="420"/>
        <w:jc w:val="both"/>
        <w:rPr>
          <w:rFonts w:hint="eastAsia" w:ascii="宋体" w:hAnsi="宋体" w:eastAsia="宋体" w:cs="宋体"/>
        </w:rPr>
      </w:pPr>
      <w:r>
        <w:rPr>
          <w:rFonts w:hint="eastAsia" w:ascii="宋体" w:hAnsi="宋体" w:eastAsia="宋体" w:cs="宋体"/>
        </w:rPr>
        <w:t> </w:t>
      </w:r>
    </w:p>
    <w:p w14:paraId="4A6A7702">
      <w:pPr>
        <w:rPr>
          <w:rFonts w:hint="eastAsia" w:ascii="宋体" w:hAnsi="宋体" w:eastAsia="宋体" w:cs="宋体"/>
          <w:sz w:val="36"/>
        </w:rPr>
      </w:pPr>
    </w:p>
    <w:p w14:paraId="71646828">
      <w:pPr>
        <w:rPr>
          <w:rFonts w:hint="eastAsia" w:ascii="宋体" w:hAnsi="宋体" w:eastAsia="宋体" w:cs="宋体"/>
          <w:b/>
          <w:bCs/>
          <w:sz w:val="36"/>
        </w:rPr>
      </w:pPr>
      <w:r>
        <w:rPr>
          <w:rFonts w:hint="eastAsia" w:ascii="宋体" w:hAnsi="宋体" w:eastAsia="宋体" w:cs="宋体"/>
          <w:b/>
          <w:bCs/>
          <w:sz w:val="36"/>
        </w:rPr>
        <w:br w:type="page"/>
      </w:r>
    </w:p>
    <w:p w14:paraId="33FCBDF8">
      <w:pPr>
        <w:pBdr>
          <w:top w:val="none" w:color="000000" w:sz="0" w:space="0"/>
          <w:left w:val="none" w:color="000000" w:sz="0" w:space="0"/>
          <w:bottom w:val="none" w:color="000000" w:sz="0" w:space="0"/>
          <w:right w:val="none" w:color="000000" w:sz="0" w:space="0"/>
        </w:pBdr>
        <w:ind w:right="840"/>
        <w:jc w:val="center"/>
        <w:outlineLvl w:val="0"/>
        <w:rPr>
          <w:rFonts w:hint="eastAsia" w:ascii="宋体" w:hAnsi="宋体" w:eastAsia="宋体" w:cs="宋体"/>
        </w:rPr>
      </w:pPr>
      <w:bookmarkStart w:id="25" w:name="_Toc20912"/>
      <w:bookmarkStart w:id="26" w:name="_Toc19655"/>
      <w:r>
        <w:rPr>
          <w:rFonts w:hint="eastAsia" w:ascii="宋体" w:hAnsi="宋体" w:eastAsia="宋体" w:cs="宋体"/>
          <w:b/>
          <w:bCs/>
          <w:sz w:val="36"/>
        </w:rPr>
        <w:t>第六章  投标文件格式</w:t>
      </w:r>
      <w:bookmarkEnd w:id="25"/>
      <w:bookmarkEnd w:id="26"/>
    </w:p>
    <w:p w14:paraId="02109B4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72"/>
        </w:rPr>
        <w:t> </w:t>
      </w:r>
    </w:p>
    <w:p w14:paraId="5220BD04">
      <w:pPr>
        <w:jc w:val="center"/>
        <w:rPr>
          <w:rFonts w:hint="eastAsia" w:ascii="宋体" w:hAnsi="宋体"/>
          <w:b/>
          <w:sz w:val="72"/>
        </w:rPr>
      </w:pPr>
    </w:p>
    <w:p w14:paraId="4D002955">
      <w:pPr>
        <w:jc w:val="center"/>
        <w:rPr>
          <w:rFonts w:hint="eastAsia" w:ascii="宋体" w:hAnsi="宋体"/>
          <w:b/>
          <w:sz w:val="72"/>
        </w:rPr>
      </w:pPr>
      <w:r>
        <w:rPr>
          <w:rFonts w:hint="eastAsia" w:ascii="宋体" w:hAnsi="宋体"/>
          <w:b/>
          <w:sz w:val="72"/>
        </w:rPr>
        <w:t>投  标  文  件</w:t>
      </w:r>
    </w:p>
    <w:p w14:paraId="1A3E7B6C">
      <w:pPr>
        <w:jc w:val="center"/>
        <w:rPr>
          <w:rFonts w:hint="eastAsia" w:ascii="宋体" w:hAnsi="宋体"/>
          <w:b/>
          <w:sz w:val="72"/>
        </w:rPr>
      </w:pPr>
    </w:p>
    <w:p w14:paraId="6A119408">
      <w:pPr>
        <w:jc w:val="center"/>
        <w:rPr>
          <w:rFonts w:hint="eastAsia" w:ascii="宋体" w:hAnsi="宋体"/>
          <w:b/>
          <w:sz w:val="72"/>
        </w:rPr>
      </w:pPr>
    </w:p>
    <w:p w14:paraId="3F68E0C8">
      <w:pPr>
        <w:jc w:val="center"/>
        <w:rPr>
          <w:rFonts w:hint="eastAsia" w:ascii="宋体" w:hAnsi="宋体"/>
          <w:b/>
          <w:sz w:val="36"/>
        </w:rPr>
      </w:pPr>
    </w:p>
    <w:p w14:paraId="35842562">
      <w:pPr>
        <w:jc w:val="center"/>
        <w:rPr>
          <w:rFonts w:hint="eastAsia" w:ascii="宋体" w:hAnsi="宋体"/>
          <w:b/>
          <w:sz w:val="36"/>
        </w:rPr>
      </w:pPr>
    </w:p>
    <w:p w14:paraId="299AFA71">
      <w:pPr>
        <w:rPr>
          <w:rFonts w:hint="eastAsia" w:ascii="宋体" w:hAnsi="宋体"/>
          <w:b/>
          <w:sz w:val="36"/>
        </w:rPr>
      </w:pPr>
    </w:p>
    <w:p w14:paraId="398692B9">
      <w:pPr>
        <w:rPr>
          <w:rFonts w:hint="eastAsia" w:ascii="宋体" w:hAnsi="宋体"/>
          <w:b/>
          <w:sz w:val="36"/>
        </w:rPr>
      </w:pPr>
    </w:p>
    <w:p w14:paraId="7AB79C98"/>
    <w:p w14:paraId="70FF67CE">
      <w:pPr>
        <w:spacing w:line="360" w:lineRule="auto"/>
        <w:ind w:firstLine="1084"/>
        <w:rPr>
          <w:rFonts w:hint="eastAsia" w:ascii="宋体" w:hAnsi="宋体"/>
          <w:b/>
          <w:sz w:val="36"/>
        </w:rPr>
      </w:pPr>
      <w:r>
        <w:rPr>
          <w:rFonts w:hint="eastAsia" w:ascii="宋体" w:hAnsi="宋体"/>
          <w:b/>
          <w:sz w:val="36"/>
        </w:rPr>
        <w:t>项目名称：</w:t>
      </w:r>
      <w:r>
        <w:rPr>
          <w:rFonts w:hint="eastAsia" w:ascii="宋体" w:hAnsi="宋体"/>
          <w:b/>
          <w:sz w:val="36"/>
          <w:u w:val="single"/>
        </w:rPr>
        <w:t xml:space="preserve">                                                      </w:t>
      </w:r>
    </w:p>
    <w:p w14:paraId="113E3BF4">
      <w:pPr>
        <w:spacing w:line="360" w:lineRule="auto"/>
        <w:ind w:firstLine="1084"/>
        <w:rPr>
          <w:rFonts w:hint="eastAsia" w:ascii="宋体" w:hAnsi="宋体"/>
          <w:b/>
          <w:sz w:val="36"/>
          <w:u w:val="single"/>
        </w:rPr>
      </w:pPr>
      <w:r>
        <w:rPr>
          <w:rFonts w:hint="eastAsia" w:ascii="宋体" w:hAnsi="宋体"/>
          <w:b/>
          <w:sz w:val="36"/>
        </w:rPr>
        <w:t>项目编号：</w:t>
      </w:r>
      <w:r>
        <w:rPr>
          <w:rFonts w:hint="eastAsia" w:ascii="宋体" w:hAnsi="宋体"/>
          <w:b/>
          <w:sz w:val="36"/>
          <w:u w:val="single"/>
        </w:rPr>
        <w:t xml:space="preserve">                    </w:t>
      </w:r>
    </w:p>
    <w:p w14:paraId="1B8ECBB2">
      <w:pPr>
        <w:spacing w:line="360" w:lineRule="auto"/>
        <w:rPr>
          <w:rFonts w:hint="eastAsia" w:ascii="宋体" w:hAnsi="宋体"/>
          <w:b/>
          <w:sz w:val="36"/>
        </w:rPr>
      </w:pPr>
      <w:r>
        <w:rPr>
          <w:rFonts w:hint="eastAsia" w:ascii="宋体" w:hAnsi="宋体"/>
          <w:b/>
          <w:sz w:val="36"/>
        </w:rPr>
        <w:t xml:space="preserve">      分 包 号：</w:t>
      </w:r>
    </w:p>
    <w:p w14:paraId="50292D27"/>
    <w:p w14:paraId="56B60191">
      <w:pPr>
        <w:spacing w:line="360" w:lineRule="auto"/>
        <w:ind w:firstLine="1084" w:firstLineChars="300"/>
        <w:rPr>
          <w:rFonts w:hint="eastAsia" w:ascii="宋体" w:hAnsi="宋体"/>
          <w:b/>
          <w:sz w:val="36"/>
        </w:rPr>
      </w:pPr>
    </w:p>
    <w:p w14:paraId="1F66EDB2">
      <w:pPr>
        <w:spacing w:line="360" w:lineRule="auto"/>
        <w:ind w:firstLine="1084" w:firstLineChars="300"/>
        <w:rPr>
          <w:rFonts w:hint="eastAsia" w:ascii="宋体" w:hAnsi="宋体"/>
          <w:b/>
          <w:sz w:val="36"/>
        </w:rPr>
      </w:pPr>
    </w:p>
    <w:p w14:paraId="4AB98D38">
      <w:pPr>
        <w:spacing w:line="360" w:lineRule="auto"/>
        <w:ind w:firstLine="1084" w:firstLineChars="300"/>
        <w:rPr>
          <w:rFonts w:hint="eastAsia" w:ascii="宋体" w:hAnsi="宋体"/>
          <w:b/>
          <w:sz w:val="36"/>
          <w:u w:val="single"/>
        </w:rPr>
      </w:pPr>
      <w:r>
        <w:rPr>
          <w:rFonts w:hint="eastAsia" w:ascii="宋体" w:hAnsi="宋体"/>
          <w:b/>
          <w:sz w:val="36"/>
        </w:rPr>
        <w:t>投标人全称（CA公章）：</w:t>
      </w:r>
      <w:r>
        <w:rPr>
          <w:rFonts w:hint="eastAsia" w:ascii="宋体" w:hAnsi="宋体"/>
          <w:b/>
          <w:sz w:val="36"/>
          <w:u w:val="single"/>
        </w:rPr>
        <w:t xml:space="preserve">   </w:t>
      </w:r>
    </w:p>
    <w:p w14:paraId="4B6B8917">
      <w:pPr>
        <w:spacing w:line="360" w:lineRule="auto"/>
        <w:rPr>
          <w:rFonts w:hint="eastAsia" w:ascii="宋体" w:hAnsi="宋体"/>
          <w:b/>
          <w:sz w:val="36"/>
          <w:u w:val="single"/>
        </w:rPr>
      </w:pPr>
      <w:r>
        <w:rPr>
          <w:rFonts w:hint="eastAsia" w:ascii="宋体" w:hAnsi="宋体"/>
          <w:b/>
          <w:sz w:val="36"/>
        </w:rPr>
        <w:t xml:space="preserve">      日期：                  </w:t>
      </w:r>
      <w:r>
        <w:rPr>
          <w:rFonts w:hint="eastAsia" w:ascii="宋体" w:hAnsi="宋体"/>
          <w:b/>
          <w:sz w:val="36"/>
          <w:u w:val="single"/>
        </w:rPr>
        <w:t xml:space="preserve">                    </w:t>
      </w:r>
    </w:p>
    <w:p w14:paraId="777718D6">
      <w:pPr>
        <w:widowControl w:val="0"/>
        <w:jc w:val="both"/>
        <w:rPr>
          <w:rFonts w:hint="eastAsia" w:ascii="宋体" w:hAnsi="宋体" w:eastAsia="宋体" w:cs="Arial"/>
          <w:sz w:val="28"/>
          <w:szCs w:val="28"/>
        </w:rPr>
      </w:pPr>
    </w:p>
    <w:p w14:paraId="2F00AFA5">
      <w:pPr>
        <w:widowControl w:val="0"/>
        <w:jc w:val="both"/>
        <w:rPr>
          <w:rFonts w:hint="eastAsia" w:ascii="宋体" w:hAnsi="宋体" w:eastAsia="宋体" w:cs="Arial"/>
          <w:sz w:val="28"/>
          <w:szCs w:val="28"/>
        </w:rPr>
      </w:pPr>
    </w:p>
    <w:p w14:paraId="485F27FB">
      <w:pPr>
        <w:widowControl w:val="0"/>
        <w:jc w:val="both"/>
        <w:rPr>
          <w:rFonts w:hint="eastAsia" w:ascii="宋体" w:hAnsi="宋体" w:eastAsia="宋体" w:cs="Arial"/>
          <w:sz w:val="28"/>
          <w:szCs w:val="28"/>
        </w:rPr>
      </w:pPr>
    </w:p>
    <w:p w14:paraId="058D9643">
      <w:pPr>
        <w:rPr>
          <w:rFonts w:hint="eastAsia" w:ascii="宋体" w:hAnsi="宋体" w:eastAsia="宋体" w:cs="Arial"/>
          <w:b/>
          <w:bCs/>
          <w:sz w:val="28"/>
          <w:szCs w:val="28"/>
        </w:rPr>
      </w:pPr>
      <w:r>
        <w:rPr>
          <w:rFonts w:hint="eastAsia" w:ascii="宋体" w:hAnsi="宋体" w:eastAsia="宋体" w:cs="Arial"/>
          <w:b/>
          <w:bCs/>
          <w:sz w:val="28"/>
          <w:szCs w:val="28"/>
        </w:rPr>
        <w:br w:type="page"/>
      </w:r>
    </w:p>
    <w:p w14:paraId="23CA4628">
      <w:pPr>
        <w:widowControl w:val="0"/>
        <w:spacing w:before="240" w:after="240"/>
        <w:jc w:val="center"/>
        <w:rPr>
          <w:rFonts w:hint="eastAsia" w:ascii="宋体" w:hAnsi="宋体" w:eastAsia="宋体" w:cs="Arial"/>
          <w:b/>
          <w:bCs/>
          <w:sz w:val="28"/>
          <w:szCs w:val="28"/>
        </w:rPr>
      </w:pPr>
      <w:r>
        <w:rPr>
          <w:rFonts w:hint="eastAsia" w:ascii="宋体" w:hAnsi="宋体" w:eastAsia="宋体" w:cs="Arial"/>
          <w:b/>
          <w:bCs/>
          <w:sz w:val="28"/>
          <w:szCs w:val="28"/>
        </w:rPr>
        <w:t>目录</w:t>
      </w:r>
    </w:p>
    <w:p w14:paraId="21F240C1">
      <w:pPr>
        <w:widowControl w:val="0"/>
        <w:jc w:val="center"/>
        <w:rPr>
          <w:rFonts w:hint="eastAsia" w:ascii="宋体" w:hAnsi="宋体" w:eastAsia="宋体" w:cs="Arial"/>
          <w:szCs w:val="21"/>
        </w:rPr>
      </w:pPr>
    </w:p>
    <w:p w14:paraId="65AAE5E2">
      <w:pPr>
        <w:widowControl w:val="0"/>
        <w:jc w:val="center"/>
        <w:rPr>
          <w:rFonts w:hint="eastAsia" w:ascii="宋体" w:hAnsi="宋体" w:eastAsia="宋体" w:cs="Arial"/>
          <w:szCs w:val="21"/>
        </w:rPr>
      </w:pPr>
      <w:r>
        <w:rPr>
          <w:rFonts w:hint="eastAsia" w:ascii="宋体" w:hAnsi="宋体" w:eastAsia="宋体" w:cs="Arial"/>
          <w:sz w:val="24"/>
          <w:szCs w:val="24"/>
        </w:rPr>
        <w:t>（注：供应商根据附件顺序编制投标文件并制作目录（须生成页码））</w:t>
      </w:r>
    </w:p>
    <w:p w14:paraId="6841EAA9">
      <w:pPr>
        <w:adjustRightInd w:val="0"/>
        <w:snapToGrid w:val="0"/>
        <w:spacing w:line="360" w:lineRule="auto"/>
        <w:jc w:val="center"/>
        <w:rPr>
          <w:rFonts w:hint="eastAsia" w:ascii="宋体" w:hAnsi="宋体" w:eastAsia="宋体" w:cs="Arial"/>
          <w:szCs w:val="24"/>
        </w:rPr>
      </w:pPr>
      <w:r>
        <w:rPr>
          <w:rFonts w:ascii="宋体" w:hAnsi="宋体" w:eastAsia="宋体" w:cs="Arial"/>
          <w:szCs w:val="24"/>
        </w:rPr>
        <w:br w:type="page" w:clear="all"/>
      </w:r>
    </w:p>
    <w:p w14:paraId="43D45440">
      <w:pPr>
        <w:adjustRightInd w:val="0"/>
        <w:snapToGrid w:val="0"/>
        <w:spacing w:line="360" w:lineRule="auto"/>
        <w:jc w:val="both"/>
        <w:outlineLvl w:val="1"/>
        <w:rPr>
          <w:rFonts w:hint="eastAsia" w:ascii="宋体" w:hAnsi="宋体" w:eastAsia="宋体" w:cs="Arial"/>
          <w:szCs w:val="24"/>
        </w:rPr>
      </w:pPr>
      <w:bookmarkStart w:id="27" w:name="_Toc31960"/>
      <w:bookmarkStart w:id="28" w:name="_Toc25296"/>
      <w:r>
        <w:rPr>
          <w:rFonts w:hint="eastAsia" w:ascii="宋体" w:hAnsi="宋体" w:eastAsia="宋体" w:cs="Arial"/>
          <w:b/>
          <w:bCs/>
          <w:szCs w:val="21"/>
        </w:rPr>
        <w:t>一、信用承诺函</w:t>
      </w:r>
      <w:bookmarkEnd w:id="27"/>
      <w:bookmarkEnd w:id="28"/>
    </w:p>
    <w:p w14:paraId="43B0E295">
      <w:pPr>
        <w:shd w:val="clear" w:color="auto" w:fill="FFFFFF"/>
        <w:spacing w:line="360" w:lineRule="auto"/>
        <w:jc w:val="center"/>
        <w:rPr>
          <w:rFonts w:hint="eastAsia" w:ascii="宋体" w:hAnsi="宋体" w:eastAsia="宋体" w:cs="Arial"/>
          <w:b/>
          <w:sz w:val="32"/>
          <w:szCs w:val="32"/>
        </w:rPr>
      </w:pPr>
      <w:r>
        <w:rPr>
          <w:rFonts w:hint="eastAsia" w:ascii="宋体" w:hAnsi="宋体" w:eastAsia="宋体" w:cs="Arial"/>
          <w:b/>
          <w:sz w:val="32"/>
          <w:szCs w:val="32"/>
        </w:rPr>
        <w:t>信用承诺函</w:t>
      </w:r>
    </w:p>
    <w:p w14:paraId="73F144F8">
      <w:pPr>
        <w:spacing w:line="460" w:lineRule="exact"/>
        <w:ind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w:t>
      </w:r>
      <w:r>
        <w:rPr>
          <w:rFonts w:hint="eastAsia" w:ascii="宋体" w:hAnsi="宋体" w:cs="Times New Roman"/>
          <w:color w:val="000000"/>
          <w:sz w:val="24"/>
          <w:szCs w:val="24"/>
        </w:rPr>
        <w:t>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cs="Times New Roman"/>
          <w:color w:val="000000"/>
          <w:sz w:val="24"/>
          <w:szCs w:val="24"/>
        </w:rPr>
        <w:t>投标人</w:t>
      </w:r>
      <w:r>
        <w:rPr>
          <w:rFonts w:hint="eastAsia" w:ascii="宋体" w:hAnsi="宋体" w:eastAsia="宋体" w:cs="Times New Roman"/>
          <w:color w:val="000000"/>
          <w:sz w:val="24"/>
          <w:szCs w:val="24"/>
        </w:rPr>
        <w:t>名称）郑重承诺</w:t>
      </w:r>
      <w:r>
        <w:rPr>
          <w:rFonts w:hint="eastAsia" w:ascii="宋体" w:hAnsi="宋体" w:cs="Times New Roman"/>
          <w:color w:val="000000"/>
          <w:sz w:val="24"/>
          <w:szCs w:val="24"/>
        </w:rPr>
        <w:t>，</w:t>
      </w:r>
      <w:r>
        <w:rPr>
          <w:rFonts w:hint="eastAsia" w:ascii="宋体" w:hAnsi="宋体" w:eastAsia="宋体" w:cs="Times New Roman"/>
          <w:color w:val="000000"/>
          <w:sz w:val="24"/>
          <w:szCs w:val="24"/>
        </w:rPr>
        <w:t>我</w:t>
      </w:r>
      <w:r>
        <w:rPr>
          <w:rFonts w:hint="eastAsia" w:ascii="宋体" w:hAnsi="宋体" w:cs="Times New Roman"/>
          <w:color w:val="000000"/>
          <w:sz w:val="24"/>
          <w:szCs w:val="24"/>
        </w:rPr>
        <w:t>公司（单位）</w:t>
      </w:r>
      <w:r>
        <w:rPr>
          <w:rFonts w:hint="eastAsia" w:ascii="宋体" w:hAnsi="宋体" w:eastAsia="宋体" w:cs="Times New Roman"/>
          <w:color w:val="000000"/>
          <w:sz w:val="24"/>
          <w:szCs w:val="24"/>
        </w:rPr>
        <w:t>符合下列要求：</w:t>
      </w:r>
    </w:p>
    <w:p w14:paraId="09EFCBF1">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一</w:t>
      </w:r>
      <w:r>
        <w:rPr>
          <w:rFonts w:hint="eastAsia" w:ascii="宋体" w:hAnsi="宋体" w:cs="Times New Roman"/>
          <w:color w:val="000000"/>
          <w:sz w:val="24"/>
          <w:szCs w:val="24"/>
        </w:rPr>
        <w:t>）</w:t>
      </w:r>
      <w:r>
        <w:rPr>
          <w:rFonts w:hint="eastAsia" w:ascii="宋体" w:hAnsi="宋体" w:eastAsia="宋体" w:cs="Times New Roman"/>
          <w:color w:val="000000"/>
          <w:sz w:val="24"/>
          <w:szCs w:val="24"/>
        </w:rPr>
        <w:t>具有独立承担民事责任的能力；</w:t>
      </w:r>
    </w:p>
    <w:p w14:paraId="4F6F9B1E">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二</w:t>
      </w:r>
      <w:r>
        <w:rPr>
          <w:rFonts w:hint="eastAsia" w:ascii="宋体" w:hAnsi="宋体" w:cs="Times New Roman"/>
          <w:color w:val="000000"/>
          <w:sz w:val="24"/>
          <w:szCs w:val="24"/>
        </w:rPr>
        <w:t>）</w:t>
      </w:r>
      <w:r>
        <w:rPr>
          <w:rFonts w:hint="eastAsia" w:ascii="宋体" w:hAnsi="宋体" w:eastAsia="宋体" w:cs="Times New Roman"/>
          <w:color w:val="000000"/>
          <w:sz w:val="24"/>
          <w:szCs w:val="24"/>
        </w:rPr>
        <w:t>具有良好的商业信誉和健全的财务会计制度；</w:t>
      </w:r>
    </w:p>
    <w:p w14:paraId="079E9B14">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三</w:t>
      </w:r>
      <w:r>
        <w:rPr>
          <w:rFonts w:hint="eastAsia" w:ascii="宋体" w:hAnsi="宋体" w:cs="Times New Roman"/>
          <w:color w:val="000000"/>
          <w:sz w:val="24"/>
          <w:szCs w:val="24"/>
        </w:rPr>
        <w:t>）</w:t>
      </w:r>
      <w:r>
        <w:rPr>
          <w:rFonts w:hint="eastAsia" w:ascii="宋体" w:hAnsi="宋体" w:eastAsia="宋体" w:cs="Times New Roman"/>
          <w:color w:val="000000"/>
          <w:sz w:val="24"/>
          <w:szCs w:val="24"/>
        </w:rPr>
        <w:t>具有履行合同所必需的设备和专业技术能力；</w:t>
      </w:r>
    </w:p>
    <w:p w14:paraId="6AB00530">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四</w:t>
      </w:r>
      <w:r>
        <w:rPr>
          <w:rFonts w:hint="eastAsia" w:ascii="宋体" w:hAnsi="宋体" w:cs="Times New Roman"/>
          <w:color w:val="000000"/>
          <w:sz w:val="24"/>
          <w:szCs w:val="24"/>
        </w:rPr>
        <w:t>）</w:t>
      </w:r>
      <w:r>
        <w:rPr>
          <w:rFonts w:hint="eastAsia" w:ascii="宋体" w:hAnsi="宋体" w:eastAsia="宋体" w:cs="Times New Roman"/>
          <w:color w:val="000000"/>
          <w:sz w:val="24"/>
          <w:szCs w:val="24"/>
        </w:rPr>
        <w:t>有依法缴纳税收和社会保障资金的良好记录；</w:t>
      </w:r>
    </w:p>
    <w:p w14:paraId="7DC3E1BE">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五</w:t>
      </w:r>
      <w:r>
        <w:rPr>
          <w:rFonts w:hint="eastAsia" w:ascii="宋体" w:hAnsi="宋体" w:cs="Times New Roman"/>
          <w:color w:val="000000"/>
          <w:sz w:val="24"/>
          <w:szCs w:val="24"/>
        </w:rPr>
        <w:t>）</w:t>
      </w:r>
      <w:r>
        <w:rPr>
          <w:rFonts w:hint="eastAsia" w:ascii="宋体" w:hAnsi="宋体" w:eastAsia="宋体" w:cs="Times New Roman"/>
          <w:color w:val="000000"/>
          <w:sz w:val="24"/>
          <w:szCs w:val="24"/>
        </w:rPr>
        <w:t>参加政府采购活动前三年内，在经营活动中没有重大违法记录</w:t>
      </w:r>
      <w:r>
        <w:rPr>
          <w:rFonts w:hint="eastAsia" w:ascii="宋体" w:hAnsi="宋体" w:cs="Times New Roman"/>
          <w:color w:val="000000"/>
          <w:sz w:val="24"/>
          <w:szCs w:val="24"/>
        </w:rPr>
        <w:t>；</w:t>
      </w:r>
    </w:p>
    <w:p w14:paraId="5EB83806">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六</w:t>
      </w:r>
      <w:r>
        <w:rPr>
          <w:rFonts w:hint="eastAsia" w:ascii="宋体" w:hAnsi="宋体" w:cs="Times New Roman"/>
          <w:color w:val="000000"/>
          <w:sz w:val="24"/>
          <w:szCs w:val="24"/>
        </w:rPr>
        <w:t>）</w:t>
      </w:r>
      <w:r>
        <w:rPr>
          <w:rFonts w:hint="eastAsia" w:ascii="宋体" w:hAnsi="宋体" w:eastAsia="宋体" w:cs="Times New Roman"/>
          <w:color w:val="000000"/>
          <w:sz w:val="24"/>
          <w:szCs w:val="24"/>
        </w:rPr>
        <w:t>我公司（单位）已知晓：单位负责人为同一人或者存在直接控股、管理关系的不同投标人，不得参加同一合同项下的政府采购活动；</w:t>
      </w:r>
    </w:p>
    <w:p w14:paraId="5C4A1DB6">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w:t>
      </w:r>
      <w:r>
        <w:rPr>
          <w:rFonts w:hint="eastAsia" w:ascii="宋体" w:hAnsi="宋体" w:eastAsia="宋体" w:cs="Times New Roman"/>
          <w:color w:val="000000"/>
          <w:sz w:val="24"/>
          <w:szCs w:val="24"/>
        </w:rPr>
        <w:t>七</w:t>
      </w:r>
      <w:r>
        <w:rPr>
          <w:rFonts w:hint="eastAsia" w:ascii="宋体" w:hAnsi="宋体" w:cs="Times New Roman"/>
          <w:color w:val="000000"/>
          <w:sz w:val="24"/>
          <w:szCs w:val="24"/>
        </w:rPr>
        <w:t>）</w:t>
      </w:r>
      <w:r>
        <w:rPr>
          <w:rFonts w:hint="eastAsia" w:ascii="宋体" w:hAnsi="宋体" w:eastAsia="宋体" w:cs="Times New Roman"/>
          <w:color w:val="000000"/>
          <w:sz w:val="24"/>
          <w:szCs w:val="24"/>
        </w:rPr>
        <w:t>未参加此项目的整体设计、规范编制或者项目管理、监理、检测等服务。</w:t>
      </w:r>
    </w:p>
    <w:p w14:paraId="2262BFA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w:t>
      </w:r>
      <w:r>
        <w:rPr>
          <w:rFonts w:hint="eastAsia" w:ascii="宋体" w:hAnsi="宋体" w:cs="Times New Roman"/>
          <w:color w:val="000000"/>
          <w:sz w:val="24"/>
          <w:szCs w:val="24"/>
        </w:rPr>
        <w:t>公司（单位）</w:t>
      </w:r>
      <w:r>
        <w:rPr>
          <w:rFonts w:hint="eastAsia" w:ascii="宋体" w:hAnsi="宋体" w:eastAsia="宋体" w:cs="Times New Roman"/>
          <w:color w:val="000000"/>
          <w:sz w:val="24"/>
          <w:szCs w:val="24"/>
        </w:rPr>
        <w:t>中标，将在中标结果公示后七个工作日内向采购人提供下列材料核验：</w:t>
      </w:r>
    </w:p>
    <w:p w14:paraId="415F897E">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1、</w:t>
      </w:r>
      <w:r>
        <w:rPr>
          <w:rFonts w:hint="eastAsia" w:ascii="宋体" w:hAnsi="宋体" w:eastAsia="宋体" w:cs="Times New Roman"/>
          <w:color w:val="000000"/>
          <w:sz w:val="24"/>
          <w:szCs w:val="24"/>
        </w:rPr>
        <w:t>营业执照副本或事业单位法人登记证书</w:t>
      </w:r>
      <w:r>
        <w:rPr>
          <w:rFonts w:hint="eastAsia" w:ascii="宋体" w:hAnsi="宋体" w:cs="Times New Roman"/>
          <w:color w:val="000000"/>
          <w:sz w:val="24"/>
          <w:szCs w:val="24"/>
        </w:rPr>
        <w:t>或其他证明材料</w:t>
      </w:r>
      <w:r>
        <w:rPr>
          <w:rFonts w:hint="eastAsia" w:ascii="宋体" w:hAnsi="宋体" w:eastAsia="宋体" w:cs="Times New Roman"/>
          <w:color w:val="000000"/>
          <w:sz w:val="24"/>
          <w:szCs w:val="24"/>
        </w:rPr>
        <w:t>；</w:t>
      </w:r>
    </w:p>
    <w:p w14:paraId="092A6B1D">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2、</w:t>
      </w:r>
      <w:r>
        <w:rPr>
          <w:rFonts w:hint="eastAsia" w:ascii="宋体" w:hAnsi="宋体" w:eastAsia="宋体" w:cs="Times New Roman"/>
          <w:color w:val="000000"/>
          <w:sz w:val="24"/>
          <w:szCs w:val="24"/>
        </w:rPr>
        <w:t>参加本次政府采购活动前一年的经审计的财务报告（包括“四表一注”，法人成立满一年的提供）或参加本次政府采购活动前一年内的银行资信证明（法人或其他组织提供）或其他证明材料；</w:t>
      </w:r>
    </w:p>
    <w:p w14:paraId="3B5BDDD3">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3、</w:t>
      </w:r>
      <w:r>
        <w:rPr>
          <w:rFonts w:hint="eastAsia" w:ascii="宋体" w:hAnsi="宋体" w:eastAsia="宋体" w:cs="Times New Roman"/>
          <w:color w:val="000000"/>
          <w:sz w:val="24"/>
          <w:szCs w:val="24"/>
        </w:rPr>
        <w:t>履行合同所必需的设备和专业技术能力证明材料；</w:t>
      </w:r>
    </w:p>
    <w:p w14:paraId="4E59BA86">
      <w:pPr>
        <w:spacing w:line="460" w:lineRule="exact"/>
        <w:ind w:firstLine="492"/>
        <w:rPr>
          <w:rFonts w:hint="eastAsia" w:ascii="宋体" w:hAnsi="宋体" w:eastAsia="宋体" w:cs="Times New Roman"/>
          <w:color w:val="000000"/>
          <w:sz w:val="24"/>
          <w:szCs w:val="24"/>
        </w:rPr>
      </w:pPr>
      <w:r>
        <w:rPr>
          <w:rFonts w:hint="eastAsia" w:ascii="宋体" w:hAnsi="宋体" w:cs="Times New Roman"/>
          <w:color w:val="000000"/>
          <w:sz w:val="24"/>
          <w:szCs w:val="24"/>
        </w:rPr>
        <w:t>4、</w:t>
      </w:r>
      <w:r>
        <w:rPr>
          <w:rFonts w:hint="eastAsia" w:ascii="宋体" w:hAnsi="宋体" w:eastAsia="宋体" w:cs="Times New Roman"/>
          <w:color w:val="000000"/>
          <w:sz w:val="24"/>
          <w:szCs w:val="24"/>
        </w:rPr>
        <w:t>参加本次政府采购活动前一年内至少一个月依法缴纳税收和社会保障资金的证明材料。</w:t>
      </w:r>
    </w:p>
    <w:p w14:paraId="63557C79">
      <w:pPr>
        <w:spacing w:line="460" w:lineRule="exact"/>
        <w:ind w:firstLine="492"/>
        <w:rPr>
          <w:color w:val="000000"/>
          <w:sz w:val="24"/>
          <w:szCs w:val="24"/>
        </w:rPr>
      </w:pPr>
      <w:r>
        <w:rPr>
          <w:rFonts w:hint="eastAsia"/>
          <w:color w:val="000000"/>
          <w:sz w:val="24"/>
          <w:szCs w:val="24"/>
        </w:rPr>
        <w:t>我公司（单位）对上述承诺内容的真实性、合法性、有效性负责，如有虚假，将依法承担相应责任。</w:t>
      </w:r>
    </w:p>
    <w:p w14:paraId="619506F8">
      <w:pPr>
        <w:spacing w:line="460" w:lineRule="exact"/>
        <w:ind w:firstLine="492"/>
        <w:rPr>
          <w:color w:val="000000"/>
          <w:sz w:val="24"/>
          <w:szCs w:val="24"/>
        </w:rPr>
      </w:pPr>
    </w:p>
    <w:p w14:paraId="2D395035">
      <w:pPr>
        <w:pStyle w:val="212"/>
        <w:rPr>
          <w:color w:val="000000"/>
          <w:sz w:val="24"/>
          <w:szCs w:val="24"/>
        </w:rPr>
      </w:pPr>
    </w:p>
    <w:p w14:paraId="0AC6BB41">
      <w:pPr>
        <w:spacing w:line="560" w:lineRule="exact"/>
        <w:ind w:right="180" w:firstLine="360" w:firstLineChars="150"/>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eastAsia="宋体" w:cs="Arial"/>
          <w:sz w:val="24"/>
          <w:szCs w:val="24"/>
        </w:rPr>
        <w:t>CA公章</w:t>
      </w:r>
      <w:r>
        <w:rPr>
          <w:rFonts w:hint="eastAsia" w:ascii="宋体" w:hAnsi="宋体"/>
          <w:sz w:val="24"/>
          <w:szCs w:val="24"/>
        </w:rPr>
        <w:t>）：</w:t>
      </w:r>
    </w:p>
    <w:p w14:paraId="050A505C">
      <w:pPr>
        <w:spacing w:line="560" w:lineRule="exact"/>
        <w:ind w:firstLine="6240" w:firstLineChars="2600"/>
        <w:rPr>
          <w:rFonts w:hint="eastAsia" w:ascii="宋体" w:hAnsi="宋体"/>
          <w:sz w:val="24"/>
          <w:szCs w:val="24"/>
        </w:rPr>
      </w:pPr>
      <w:r>
        <w:rPr>
          <w:rFonts w:hint="eastAsia"/>
          <w:color w:val="000000"/>
          <w:sz w:val="24"/>
          <w:szCs w:val="24"/>
        </w:rPr>
        <w:t>日期：</w:t>
      </w:r>
    </w:p>
    <w:p w14:paraId="77B97F2F">
      <w:pPr>
        <w:rPr>
          <w:sz w:val="24"/>
          <w:szCs w:val="24"/>
        </w:rPr>
      </w:pPr>
    </w:p>
    <w:p w14:paraId="22511CE5">
      <w:pPr>
        <w:rPr>
          <w:rFonts w:hint="eastAsia" w:ascii="宋体" w:hAnsi="宋体" w:eastAsia="宋体" w:cs="Arial"/>
          <w:szCs w:val="24"/>
        </w:rPr>
      </w:pPr>
      <w:r>
        <w:rPr>
          <w:rFonts w:ascii="宋体" w:hAnsi="宋体" w:eastAsia="宋体" w:cs="Arial"/>
          <w:szCs w:val="24"/>
        </w:rPr>
        <w:br w:type="page" w:clear="all"/>
      </w:r>
    </w:p>
    <w:p w14:paraId="1CCE498C">
      <w:pPr>
        <w:shd w:val="clear" w:color="auto" w:fill="FFFFFF"/>
        <w:spacing w:line="360" w:lineRule="auto"/>
        <w:jc w:val="both"/>
        <w:outlineLvl w:val="1"/>
        <w:rPr>
          <w:rFonts w:hint="eastAsia" w:ascii="宋体" w:hAnsi="宋体" w:eastAsia="宋体" w:cs="Arial"/>
          <w:szCs w:val="21"/>
        </w:rPr>
      </w:pPr>
      <w:bookmarkStart w:id="29" w:name="_Toc9943"/>
      <w:bookmarkStart w:id="30" w:name="_Toc10920"/>
      <w:r>
        <w:rPr>
          <w:rFonts w:hint="eastAsia" w:ascii="宋体" w:hAnsi="宋体" w:eastAsia="宋体" w:cs="Arial"/>
          <w:b/>
          <w:bCs/>
          <w:szCs w:val="21"/>
        </w:rPr>
        <w:t>二、法定代表人授权委托书</w:t>
      </w:r>
      <w:bookmarkEnd w:id="29"/>
      <w:bookmarkEnd w:id="30"/>
    </w:p>
    <w:p w14:paraId="30E836DC">
      <w:pPr>
        <w:shd w:val="clear" w:color="auto" w:fill="FFFFFF"/>
        <w:spacing w:line="360" w:lineRule="auto"/>
        <w:jc w:val="center"/>
        <w:rPr>
          <w:rFonts w:hint="eastAsia" w:ascii="宋体" w:hAnsi="宋体" w:eastAsia="宋体" w:cs="Arial"/>
          <w:b/>
          <w:sz w:val="32"/>
          <w:szCs w:val="32"/>
        </w:rPr>
      </w:pPr>
    </w:p>
    <w:p w14:paraId="578D55D6">
      <w:pPr>
        <w:shd w:val="clear" w:color="auto" w:fill="FFFFFF"/>
        <w:spacing w:line="360" w:lineRule="auto"/>
        <w:jc w:val="center"/>
        <w:rPr>
          <w:rFonts w:hint="eastAsia" w:ascii="宋体" w:hAnsi="宋体" w:eastAsia="宋体" w:cs="Arial"/>
          <w:b/>
          <w:sz w:val="32"/>
          <w:szCs w:val="32"/>
        </w:rPr>
      </w:pPr>
      <w:r>
        <w:rPr>
          <w:rFonts w:hint="eastAsia" w:ascii="宋体" w:hAnsi="宋体" w:eastAsia="宋体" w:cs="Arial"/>
          <w:b/>
          <w:sz w:val="32"/>
          <w:szCs w:val="32"/>
        </w:rPr>
        <w:t>法定代表人授权委托书</w:t>
      </w:r>
    </w:p>
    <w:p w14:paraId="6422CA42">
      <w:pPr>
        <w:shd w:val="clear" w:color="auto" w:fill="FFFFFF"/>
        <w:spacing w:line="360" w:lineRule="auto"/>
        <w:jc w:val="both"/>
        <w:rPr>
          <w:rFonts w:hint="eastAsia" w:ascii="宋体" w:hAnsi="宋体" w:eastAsia="宋体" w:cs="Arial"/>
          <w:sz w:val="24"/>
          <w:szCs w:val="24"/>
        </w:rPr>
      </w:pPr>
    </w:p>
    <w:p w14:paraId="25B625D0">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sz w:val="24"/>
          <w:szCs w:val="24"/>
        </w:rPr>
        <w:t>致：南京市公安局江宁分局</w:t>
      </w:r>
    </w:p>
    <w:p w14:paraId="57D55C40">
      <w:pPr>
        <w:shd w:val="clear" w:color="auto" w:fill="FFFFFF"/>
        <w:wordWrap w:val="0"/>
        <w:topLinePunct/>
        <w:spacing w:line="360" w:lineRule="auto"/>
        <w:ind w:firstLine="480" w:firstLineChars="200"/>
        <w:rPr>
          <w:rFonts w:hint="eastAsia" w:ascii="宋体" w:hAnsi="宋体" w:eastAsia="宋体" w:cs="Arial"/>
          <w:sz w:val="24"/>
          <w:szCs w:val="24"/>
        </w:rPr>
      </w:pPr>
    </w:p>
    <w:p w14:paraId="2F40EC3A">
      <w:pPr>
        <w:shd w:val="clear" w:color="auto" w:fill="FFFFFF"/>
        <w:wordWrap w:val="0"/>
        <w:topLinePunct/>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本授权书声明：注册于</w:t>
      </w:r>
      <w:r>
        <w:rPr>
          <w:rFonts w:ascii="宋体" w:hAnsi="宋体" w:eastAsia="宋体" w:cs="Arial"/>
          <w:sz w:val="24"/>
          <w:szCs w:val="24"/>
          <w:u w:val="single"/>
        </w:rPr>
        <w:t>    </w:t>
      </w:r>
      <w:r>
        <w:rPr>
          <w:rFonts w:hint="eastAsia" w:ascii="宋体" w:hAnsi="宋体" w:eastAsia="宋体" w:cs="Arial"/>
          <w:sz w:val="24"/>
          <w:szCs w:val="24"/>
        </w:rPr>
        <w:t>（投标人住址）的</w:t>
      </w:r>
      <w:r>
        <w:rPr>
          <w:rFonts w:ascii="宋体" w:hAnsi="宋体" w:eastAsia="宋体" w:cs="Arial"/>
          <w:sz w:val="24"/>
          <w:szCs w:val="24"/>
          <w:u w:val="single"/>
        </w:rPr>
        <w:t>    </w:t>
      </w:r>
      <w:r>
        <w:rPr>
          <w:rFonts w:hint="eastAsia" w:ascii="宋体" w:hAnsi="宋体" w:eastAsia="宋体" w:cs="Arial"/>
          <w:sz w:val="24"/>
          <w:szCs w:val="24"/>
        </w:rPr>
        <w:t>（投标人名称）法定代表人</w:t>
      </w:r>
      <w:r>
        <w:rPr>
          <w:rFonts w:ascii="宋体" w:hAnsi="宋体" w:eastAsia="宋体" w:cs="Arial"/>
          <w:sz w:val="24"/>
          <w:szCs w:val="24"/>
          <w:u w:val="single"/>
        </w:rPr>
        <w:t>    </w:t>
      </w:r>
      <w:r>
        <w:rPr>
          <w:rFonts w:hint="eastAsia" w:ascii="宋体" w:hAnsi="宋体" w:eastAsia="宋体" w:cs="Arial"/>
          <w:sz w:val="24"/>
          <w:szCs w:val="24"/>
        </w:rPr>
        <w:t>（法定代表人姓名、职务）代表本公司授权在下面签字的</w:t>
      </w:r>
      <w:r>
        <w:rPr>
          <w:rFonts w:ascii="宋体" w:hAnsi="宋体" w:eastAsia="宋体" w:cs="Arial"/>
          <w:sz w:val="24"/>
          <w:szCs w:val="24"/>
          <w:u w:val="single"/>
        </w:rPr>
        <w:t>    </w:t>
      </w:r>
      <w:r>
        <w:rPr>
          <w:rFonts w:hint="eastAsia" w:ascii="宋体" w:hAnsi="宋体" w:eastAsia="宋体" w:cs="Arial"/>
          <w:sz w:val="24"/>
          <w:szCs w:val="24"/>
        </w:rPr>
        <w:t>（投标人代表姓名、职务）为本公司的合法代理人，就贵方组织的</w:t>
      </w:r>
      <w:r>
        <w:rPr>
          <w:rFonts w:ascii="宋体" w:hAnsi="宋体" w:eastAsia="宋体" w:cs="Arial"/>
          <w:sz w:val="24"/>
          <w:szCs w:val="24"/>
          <w:u w:val="single"/>
        </w:rPr>
        <w:t>    </w:t>
      </w:r>
      <w:r>
        <w:rPr>
          <w:rFonts w:hint="eastAsia" w:ascii="宋体" w:hAnsi="宋体" w:eastAsia="宋体" w:cs="Arial"/>
          <w:sz w:val="24"/>
          <w:szCs w:val="24"/>
        </w:rPr>
        <w:t>（项目名称）</w:t>
      </w:r>
      <w:r>
        <w:rPr>
          <w:rFonts w:ascii="宋体" w:hAnsi="宋体" w:eastAsia="宋体" w:cs="Arial"/>
          <w:sz w:val="24"/>
          <w:szCs w:val="24"/>
          <w:u w:val="single"/>
        </w:rPr>
        <w:t>    </w:t>
      </w:r>
      <w:r>
        <w:rPr>
          <w:rFonts w:hint="eastAsia" w:ascii="宋体" w:hAnsi="宋体" w:eastAsia="宋体" w:cs="Arial"/>
          <w:sz w:val="24"/>
          <w:szCs w:val="24"/>
        </w:rPr>
        <w:t>（项目编号）</w:t>
      </w:r>
      <w:r>
        <w:rPr>
          <w:rFonts w:ascii="宋体" w:hAnsi="宋体" w:eastAsia="宋体" w:cs="Arial"/>
          <w:sz w:val="24"/>
          <w:szCs w:val="24"/>
          <w:u w:val="single"/>
        </w:rPr>
        <w:t>    </w:t>
      </w:r>
      <w:r>
        <w:rPr>
          <w:rFonts w:hint="eastAsia" w:ascii="宋体" w:hAnsi="宋体" w:eastAsia="宋体" w:cs="Arial"/>
          <w:sz w:val="24"/>
          <w:szCs w:val="24"/>
        </w:rPr>
        <w:t>（分包号）投标，以本公司名义处理一切与之有关的事务。</w:t>
      </w:r>
    </w:p>
    <w:p w14:paraId="68B332E7">
      <w:pPr>
        <w:shd w:val="clear" w:color="auto" w:fill="FFFFFF"/>
        <w:spacing w:line="360" w:lineRule="auto"/>
        <w:rPr>
          <w:rFonts w:hint="eastAsia" w:ascii="宋体" w:hAnsi="宋体" w:eastAsia="宋体" w:cs="Arial"/>
          <w:sz w:val="24"/>
          <w:szCs w:val="24"/>
        </w:rPr>
      </w:pPr>
      <w:r>
        <w:rPr>
          <w:rFonts w:ascii="宋体" w:hAnsi="宋体" w:eastAsia="宋体" w:cs="Arial"/>
          <w:sz w:val="24"/>
          <w:szCs w:val="24"/>
        </w:rPr>
        <w:t>  </w:t>
      </w:r>
      <w:r>
        <w:rPr>
          <w:rFonts w:hint="eastAsia" w:ascii="宋体" w:hAnsi="宋体" w:eastAsia="宋体" w:cs="Arial"/>
          <w:sz w:val="24"/>
          <w:szCs w:val="24"/>
        </w:rPr>
        <w:t>本授权书于</w:t>
      </w:r>
      <w:r>
        <w:rPr>
          <w:rFonts w:ascii="宋体" w:hAnsi="宋体" w:eastAsia="宋体" w:cs="Arial"/>
          <w:sz w:val="24"/>
          <w:szCs w:val="24"/>
          <w:u w:val="single"/>
        </w:rPr>
        <w:t>   </w:t>
      </w:r>
      <w:r>
        <w:rPr>
          <w:rFonts w:hint="eastAsia" w:ascii="宋体" w:hAnsi="宋体" w:eastAsia="宋体" w:cs="Arial"/>
          <w:sz w:val="24"/>
          <w:szCs w:val="24"/>
        </w:rPr>
        <w:t>年</w:t>
      </w:r>
      <w:r>
        <w:rPr>
          <w:rFonts w:ascii="宋体" w:hAnsi="宋体" w:eastAsia="宋体" w:cs="Arial"/>
          <w:sz w:val="24"/>
          <w:szCs w:val="24"/>
          <w:u w:val="single"/>
        </w:rPr>
        <w:t>   </w:t>
      </w:r>
      <w:r>
        <w:rPr>
          <w:rFonts w:hint="eastAsia" w:ascii="宋体" w:hAnsi="宋体" w:eastAsia="宋体" w:cs="Arial"/>
          <w:sz w:val="24"/>
          <w:szCs w:val="24"/>
        </w:rPr>
        <w:t>月</w:t>
      </w:r>
      <w:r>
        <w:rPr>
          <w:rFonts w:ascii="宋体" w:hAnsi="宋体" w:eastAsia="宋体" w:cs="Arial"/>
          <w:sz w:val="24"/>
          <w:szCs w:val="24"/>
          <w:u w:val="single"/>
        </w:rPr>
        <w:t>   </w:t>
      </w:r>
      <w:r>
        <w:rPr>
          <w:rFonts w:hint="eastAsia" w:ascii="宋体" w:hAnsi="宋体" w:eastAsia="宋体" w:cs="Arial"/>
          <w:sz w:val="24"/>
          <w:szCs w:val="24"/>
        </w:rPr>
        <w:t>日签字生效，特此声明。</w:t>
      </w:r>
    </w:p>
    <w:p w14:paraId="3DB4ACD9">
      <w:pPr>
        <w:shd w:val="clear" w:color="auto" w:fill="FFFFFF"/>
        <w:spacing w:line="360" w:lineRule="auto"/>
        <w:rPr>
          <w:rFonts w:hint="eastAsia" w:ascii="宋体" w:hAnsi="宋体" w:eastAsia="宋体" w:cs="Arial"/>
          <w:sz w:val="24"/>
          <w:szCs w:val="24"/>
        </w:rPr>
      </w:pPr>
      <w:r>
        <w:rPr>
          <w:rFonts w:ascii="宋体" w:hAnsi="宋体" w:eastAsia="宋体" w:cs="Arial"/>
          <w:sz w:val="24"/>
          <w:szCs w:val="24"/>
        </w:rPr>
        <w:t>  </w:t>
      </w:r>
    </w:p>
    <w:p w14:paraId="5757CE02">
      <w:pPr>
        <w:shd w:val="clear" w:color="auto" w:fill="FFFFFF"/>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法定代表人签字：</w:t>
      </w:r>
    </w:p>
    <w:p w14:paraId="5E870003">
      <w:pPr>
        <w:shd w:val="clear" w:color="auto" w:fill="FFFFFF"/>
        <w:spacing w:line="360" w:lineRule="auto"/>
        <w:ind w:firstLine="480" w:firstLineChars="200"/>
        <w:rPr>
          <w:rFonts w:hint="eastAsia" w:ascii="宋体" w:hAnsi="宋体" w:eastAsia="宋体" w:cs="Arial"/>
          <w:sz w:val="24"/>
          <w:szCs w:val="24"/>
        </w:rPr>
      </w:pPr>
    </w:p>
    <w:p w14:paraId="7C185265">
      <w:pPr>
        <w:shd w:val="clear" w:color="auto" w:fill="FFFFFF"/>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授权委托人签字：</w:t>
      </w:r>
      <w:r>
        <w:rPr>
          <w:rFonts w:ascii="宋体" w:hAnsi="宋体" w:eastAsia="宋体" w:cs="Arial"/>
          <w:sz w:val="24"/>
          <w:szCs w:val="24"/>
        </w:rPr>
        <w:t>                   </w:t>
      </w:r>
    </w:p>
    <w:p w14:paraId="4C1DEEB1">
      <w:pPr>
        <w:shd w:val="clear" w:color="auto" w:fill="FFFFFF"/>
        <w:spacing w:line="360" w:lineRule="auto"/>
        <w:ind w:firstLine="480" w:firstLineChars="200"/>
        <w:rPr>
          <w:rFonts w:hint="eastAsia" w:ascii="宋体" w:hAnsi="宋体" w:eastAsia="宋体" w:cs="Arial"/>
          <w:sz w:val="24"/>
          <w:szCs w:val="24"/>
        </w:rPr>
      </w:pPr>
    </w:p>
    <w:p w14:paraId="335ADBD6">
      <w:pPr>
        <w:shd w:val="clear" w:color="auto" w:fill="FFFFFF"/>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日期：</w:t>
      </w:r>
      <w:r>
        <w:rPr>
          <w:rFonts w:ascii="宋体" w:hAnsi="宋体" w:eastAsia="宋体" w:cs="Arial"/>
          <w:sz w:val="24"/>
          <w:szCs w:val="24"/>
        </w:rPr>
        <w:t>      </w:t>
      </w:r>
    </w:p>
    <w:p w14:paraId="3FB06AEC">
      <w:pPr>
        <w:shd w:val="clear" w:color="auto" w:fill="FFFFFF"/>
        <w:spacing w:line="360" w:lineRule="auto"/>
        <w:ind w:firstLine="960"/>
        <w:rPr>
          <w:rFonts w:hint="eastAsia" w:ascii="宋体" w:hAnsi="宋体" w:eastAsia="宋体" w:cs="Arial"/>
          <w:sz w:val="24"/>
          <w:szCs w:val="24"/>
        </w:rPr>
      </w:pPr>
    </w:p>
    <w:p w14:paraId="6E02B2D4">
      <w:pPr>
        <w:shd w:val="clear" w:color="auto" w:fill="FFFFFF"/>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法定代表人身份证复印件：               委托代理人身份证复印件</w:t>
      </w:r>
      <w:r>
        <w:rPr>
          <w:rFonts w:ascii="宋体" w:hAnsi="宋体" w:eastAsia="宋体" w:cs="Arial"/>
          <w:sz w:val="24"/>
          <w:szCs w:val="24"/>
        </w:rPr>
        <w:t>:</w:t>
      </w:r>
    </w:p>
    <w:p w14:paraId="789359B6">
      <w:pPr>
        <w:rPr>
          <w:rFonts w:hint="eastAsia" w:ascii="宋体" w:hAnsi="宋体" w:eastAsia="宋体" w:cs="Arial"/>
          <w:b/>
          <w:bCs/>
          <w:szCs w:val="21"/>
        </w:rPr>
      </w:pPr>
      <w:r>
        <w:rPr>
          <w:rFonts w:hint="eastAsia" w:ascii="宋体" w:hAnsi="宋体" w:eastAsia="宋体" w:cs="Arial"/>
          <w:b/>
          <w:bCs/>
          <w:szCs w:val="21"/>
        </w:rPr>
        <w:br w:type="page"/>
      </w:r>
    </w:p>
    <w:p w14:paraId="47E58E22">
      <w:pPr>
        <w:widowControl w:val="0"/>
        <w:spacing w:line="440" w:lineRule="exact"/>
        <w:jc w:val="both"/>
        <w:outlineLvl w:val="1"/>
        <w:rPr>
          <w:rFonts w:hint="eastAsia" w:ascii="宋体" w:hAnsi="宋体" w:eastAsia="宋体" w:cs="Arial"/>
          <w:szCs w:val="21"/>
        </w:rPr>
      </w:pPr>
      <w:bookmarkStart w:id="31" w:name="_Toc7398"/>
      <w:bookmarkStart w:id="32" w:name="_Toc17649"/>
      <w:r>
        <w:rPr>
          <w:rFonts w:hint="eastAsia" w:ascii="宋体" w:hAnsi="宋体" w:eastAsia="宋体" w:cs="Arial"/>
          <w:b/>
          <w:bCs/>
          <w:szCs w:val="21"/>
        </w:rPr>
        <w:t>三、投标申请及声明</w:t>
      </w:r>
      <w:bookmarkEnd w:id="31"/>
      <w:bookmarkEnd w:id="32"/>
    </w:p>
    <w:p w14:paraId="4C8A814C">
      <w:pPr>
        <w:shd w:val="clear" w:color="auto" w:fill="FFFFFF"/>
        <w:spacing w:line="360" w:lineRule="auto"/>
        <w:jc w:val="center"/>
        <w:rPr>
          <w:rFonts w:hint="eastAsia" w:ascii="宋体" w:hAnsi="宋体" w:eastAsia="宋体" w:cs="Arial"/>
          <w:b/>
          <w:sz w:val="32"/>
          <w:szCs w:val="32"/>
        </w:rPr>
      </w:pPr>
      <w:r>
        <w:rPr>
          <w:rFonts w:hint="eastAsia" w:ascii="宋体" w:hAnsi="宋体" w:eastAsia="宋体" w:cs="Arial"/>
          <w:b/>
          <w:sz w:val="32"/>
          <w:szCs w:val="32"/>
        </w:rPr>
        <w:t>投标申请及声明</w:t>
      </w:r>
    </w:p>
    <w:p w14:paraId="788F1D5E">
      <w:pPr>
        <w:shd w:val="clear" w:color="auto" w:fill="FFFFFF"/>
        <w:spacing w:line="360" w:lineRule="auto"/>
        <w:jc w:val="both"/>
        <w:rPr>
          <w:rFonts w:hint="eastAsia" w:ascii="宋体" w:hAnsi="宋体" w:eastAsia="宋体" w:cs="Arial"/>
          <w:sz w:val="24"/>
          <w:szCs w:val="24"/>
        </w:rPr>
      </w:pPr>
      <w:r>
        <w:rPr>
          <w:rFonts w:hint="eastAsia" w:ascii="宋体" w:hAnsi="宋体" w:eastAsia="宋体" w:cs="Arial"/>
          <w:sz w:val="24"/>
          <w:szCs w:val="24"/>
        </w:rPr>
        <w:t>致：南京市公安局江宁分局</w:t>
      </w:r>
    </w:p>
    <w:p w14:paraId="25669A68">
      <w:pPr>
        <w:shd w:val="clear" w:color="auto" w:fill="FFFFFF"/>
        <w:spacing w:line="360" w:lineRule="auto"/>
        <w:ind w:firstLine="480" w:firstLineChars="200"/>
        <w:jc w:val="both"/>
        <w:rPr>
          <w:rFonts w:hint="eastAsia" w:ascii="宋体" w:hAnsi="宋体" w:eastAsia="宋体" w:cs="Arial"/>
          <w:sz w:val="24"/>
          <w:szCs w:val="24"/>
        </w:rPr>
      </w:pPr>
    </w:p>
    <w:p w14:paraId="6C3E59FA">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根据贵方</w:t>
      </w:r>
      <w:r>
        <w:rPr>
          <w:rFonts w:ascii="宋体" w:hAnsi="宋体" w:eastAsia="宋体" w:cs="Arial"/>
          <w:sz w:val="24"/>
          <w:szCs w:val="24"/>
          <w:u w:val="single"/>
        </w:rPr>
        <w:t>     </w:t>
      </w:r>
      <w:r>
        <w:rPr>
          <w:rFonts w:hint="eastAsia" w:ascii="宋体" w:hAnsi="宋体" w:eastAsia="宋体" w:cs="Arial"/>
          <w:sz w:val="24"/>
          <w:szCs w:val="24"/>
        </w:rPr>
        <w:t>（项目名称）</w:t>
      </w:r>
      <w:r>
        <w:rPr>
          <w:rFonts w:ascii="宋体" w:hAnsi="宋体" w:eastAsia="宋体" w:cs="Arial"/>
          <w:sz w:val="24"/>
          <w:szCs w:val="24"/>
          <w:u w:val="single"/>
        </w:rPr>
        <w:t>     </w:t>
      </w:r>
      <w:r>
        <w:rPr>
          <w:rFonts w:hint="eastAsia" w:ascii="宋体" w:hAnsi="宋体" w:eastAsia="宋体" w:cs="Arial"/>
          <w:sz w:val="24"/>
          <w:szCs w:val="24"/>
        </w:rPr>
        <w:t>（项目编号）</w:t>
      </w:r>
      <w:r>
        <w:rPr>
          <w:rFonts w:ascii="宋体" w:hAnsi="宋体" w:eastAsia="宋体" w:cs="Arial"/>
          <w:sz w:val="24"/>
          <w:szCs w:val="24"/>
          <w:u w:val="single"/>
        </w:rPr>
        <w:t>     </w:t>
      </w:r>
      <w:r>
        <w:rPr>
          <w:rFonts w:hint="eastAsia" w:ascii="宋体" w:hAnsi="宋体" w:eastAsia="宋体" w:cs="Arial"/>
          <w:sz w:val="24"/>
          <w:szCs w:val="24"/>
        </w:rPr>
        <w:t>（分包号）的招标文件，正式授权下述签字人</w:t>
      </w:r>
      <w:r>
        <w:rPr>
          <w:rFonts w:ascii="宋体" w:hAnsi="宋体" w:eastAsia="宋体" w:cs="Arial"/>
          <w:sz w:val="24"/>
          <w:szCs w:val="24"/>
          <w:u w:val="single"/>
        </w:rPr>
        <w:t>     </w:t>
      </w:r>
      <w:r>
        <w:rPr>
          <w:rFonts w:ascii="宋体" w:hAnsi="宋体" w:eastAsia="宋体" w:cs="Arial"/>
          <w:sz w:val="24"/>
          <w:szCs w:val="24"/>
        </w:rPr>
        <w:t>(</w:t>
      </w:r>
      <w:r>
        <w:rPr>
          <w:rFonts w:hint="eastAsia" w:ascii="宋体" w:hAnsi="宋体" w:eastAsia="宋体" w:cs="Arial"/>
          <w:sz w:val="24"/>
          <w:szCs w:val="24"/>
        </w:rPr>
        <w:t>姓名和职务</w:t>
      </w:r>
      <w:r>
        <w:rPr>
          <w:rFonts w:ascii="宋体" w:hAnsi="宋体" w:eastAsia="宋体" w:cs="Arial"/>
          <w:sz w:val="24"/>
          <w:szCs w:val="24"/>
        </w:rPr>
        <w:t>)</w:t>
      </w:r>
      <w:r>
        <w:rPr>
          <w:rFonts w:hint="eastAsia" w:ascii="宋体" w:hAnsi="宋体" w:eastAsia="宋体" w:cs="Arial"/>
          <w:sz w:val="24"/>
          <w:szCs w:val="24"/>
        </w:rPr>
        <w:t>代表投标人</w:t>
      </w:r>
      <w:r>
        <w:rPr>
          <w:rFonts w:ascii="宋体" w:hAnsi="宋体" w:eastAsia="宋体" w:cs="Arial"/>
          <w:sz w:val="24"/>
          <w:szCs w:val="24"/>
          <w:u w:val="single"/>
        </w:rPr>
        <w:t>     </w:t>
      </w:r>
      <w:r>
        <w:rPr>
          <w:rFonts w:hint="eastAsia" w:ascii="宋体" w:hAnsi="宋体" w:eastAsia="宋体" w:cs="Arial"/>
          <w:sz w:val="24"/>
          <w:szCs w:val="24"/>
        </w:rPr>
        <w:t>（投标人名称），提交投标文件。</w:t>
      </w:r>
    </w:p>
    <w:p w14:paraId="2F0EAFA0">
      <w:pPr>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据此函，签字人兹宣布声明和承诺如下：</w:t>
      </w:r>
    </w:p>
    <w:p w14:paraId="617464DD">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w:t>
      </w:r>
      <w:r>
        <w:rPr>
          <w:rFonts w:hint="eastAsia" w:ascii="宋体" w:hAnsi="宋体" w:eastAsia="宋体" w:cs="Arial"/>
          <w:b/>
          <w:bCs/>
          <w:sz w:val="24"/>
          <w:szCs w:val="24"/>
        </w:rPr>
        <w:t>我们的资格条件完全符合政府采购法和本次招标要求</w:t>
      </w:r>
      <w:r>
        <w:rPr>
          <w:rFonts w:hint="eastAsia" w:ascii="宋体" w:hAnsi="宋体" w:eastAsia="宋体" w:cs="Arial"/>
          <w:sz w:val="24"/>
          <w:szCs w:val="24"/>
        </w:rPr>
        <w:t>，我们同意并向贵方提供了与投标有关的所有证据和资料。</w:t>
      </w:r>
    </w:p>
    <w:p w14:paraId="494E6706">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2、按招标要求，我方愿以投标报价（详见开标一览表）的规定要求提供本项目所需服务。</w:t>
      </w:r>
    </w:p>
    <w:p w14:paraId="5FD32ADE">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3、我们已详细阅读全部招标文件及其有效补充文件，我们放弃对招标文件任何误解的权利，提交投标文件后，</w:t>
      </w:r>
      <w:r>
        <w:rPr>
          <w:rFonts w:hint="eastAsia" w:ascii="宋体" w:hAnsi="宋体" w:eastAsia="宋体" w:cs="Arial"/>
          <w:b/>
          <w:bCs/>
          <w:sz w:val="24"/>
          <w:szCs w:val="24"/>
        </w:rPr>
        <w:t>不对招标文件本身提出质疑</w:t>
      </w:r>
      <w:r>
        <w:rPr>
          <w:rFonts w:hint="eastAsia" w:ascii="宋体" w:hAnsi="宋体" w:eastAsia="宋体" w:cs="Arial"/>
          <w:sz w:val="24"/>
          <w:szCs w:val="24"/>
        </w:rPr>
        <w:t>。</w:t>
      </w:r>
    </w:p>
    <w:p w14:paraId="432070BF">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4、我们同意从规定的开标日期起遵循本投标文件，并在规定的投标有效期期满之前均具有约束力。</w:t>
      </w:r>
    </w:p>
    <w:p w14:paraId="4E923105">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5、投标截止时间结束后参加投标的投标人不足三家的，或在评标期间出现符合专业条件的供应商或者对招标文件作出实质响应的投标人不足三家情形的，我们酌情决定是否参加贵方组织的其他采购方式采购。</w:t>
      </w:r>
    </w:p>
    <w:p w14:paraId="596F5A4B">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6、一旦我方中标，我方将根据招标文件的规定严格履行合同，保证于采购文件规定的时间内完成本项目规定的服务内容。服务质量满足采购文件要求。</w:t>
      </w:r>
    </w:p>
    <w:p w14:paraId="1FE7C20B">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7、我方参加本次采购活动前三年内，在经营活动中没有重大违法记录。</w:t>
      </w:r>
    </w:p>
    <w:p w14:paraId="190BEED3">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8、我方参加本次采购活动前，没有被信用中国网站、中国政府采购网站列入失信被执行人名单、重大税收违法案件当事人名单、政府采购严重违法失信行为记录名单。</w:t>
      </w:r>
    </w:p>
    <w:p w14:paraId="79D5CB6C">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9、我方在全国范围内未受过财政部门禁止参加政府采购活动的处罚，或禁止参加政府采购活动的处罚期限已满。</w:t>
      </w:r>
    </w:p>
    <w:p w14:paraId="19E9E5F9">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10、我方没有为本采购项目提供整体设计、规范编制，以及项目管理、监理、检测等服务。</w:t>
      </w:r>
    </w:p>
    <w:p w14:paraId="3D283F20">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11、我方与参与本次采购活动的其他供应商的授权代理人(或法定代表人、项目经理、项目总监、项目负责人等)，在采购文件发布日上月至提交响应文件截止日当月未在同一单位缴纳社会保险。</w:t>
      </w:r>
    </w:p>
    <w:p w14:paraId="4C0A74E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12、我方与参与本次采购活动的其他供应商的法定代表人或委托代理人无夫妻、直系血亲关系。</w:t>
      </w:r>
    </w:p>
    <w:p w14:paraId="4833D0A8">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13、我方与参与本次采购活动的其他供应商的负责人不是同一人，也不存在直接控股、管理关系。</w:t>
      </w:r>
    </w:p>
    <w:p w14:paraId="06D897D9">
      <w:pPr>
        <w:widowControl w:val="0"/>
        <w:shd w:val="clear" w:color="auto" w:fill="FFFFFF"/>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14、我方已详细审阅全部采购文件及其有效补充文件，放弃对采购文件任何误解的权利，提交响应文件后，不对采购文件本身提出质疑。否则，属于不诚信和故意扰乱政府采购活动行为，我们将无条件接受处罚。</w:t>
      </w:r>
    </w:p>
    <w:p w14:paraId="3E461901">
      <w:pPr>
        <w:widowControl w:val="0"/>
        <w:shd w:val="clear" w:color="auto" w:fill="FFFFFF"/>
        <w:wordWrap w:val="0"/>
        <w:topLinePunct/>
        <w:spacing w:line="360" w:lineRule="auto"/>
        <w:ind w:firstLine="420"/>
        <w:jc w:val="both"/>
        <w:rPr>
          <w:rFonts w:hint="eastAsia" w:ascii="宋体" w:hAnsi="宋体" w:eastAsia="宋体" w:cs="Arial"/>
          <w:sz w:val="24"/>
          <w:szCs w:val="24"/>
        </w:rPr>
      </w:pPr>
      <w:r>
        <w:rPr>
          <w:rFonts w:hint="eastAsia" w:ascii="宋体" w:hAnsi="宋体" w:eastAsia="宋体" w:cs="Arial"/>
          <w:sz w:val="24"/>
          <w:szCs w:val="24"/>
        </w:rPr>
        <w:t>15、我方决不提供虚假材料谋取成交、决不采取不正当手段诋毁、排挤其他供应商、决不与采购人、其它供应商或者代理机构恶意串通、决不向采购人、代理机构工作人员和评标委员会进行商业贿赂、决不拒绝有关部门监督检查或提供虚假情况，如有违反，无条件接受贵方及相关管理部门的处罚。</w:t>
      </w:r>
    </w:p>
    <w:p w14:paraId="223A058B">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地址：</w:t>
      </w:r>
    </w:p>
    <w:p w14:paraId="26F37898">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电话：</w:t>
      </w:r>
    </w:p>
    <w:p w14:paraId="6566238D">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传真：</w:t>
      </w:r>
    </w:p>
    <w:p w14:paraId="1A6ECB3D">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开户银行：</w:t>
      </w:r>
    </w:p>
    <w:p w14:paraId="2777B608">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银行账号：</w:t>
      </w:r>
    </w:p>
    <w:p w14:paraId="368F26B3">
      <w:pPr>
        <w:shd w:val="clear" w:color="auto" w:fill="FFFFFF"/>
        <w:spacing w:line="360" w:lineRule="auto"/>
        <w:ind w:firstLine="480" w:firstLineChars="200"/>
        <w:jc w:val="both"/>
        <w:rPr>
          <w:rFonts w:hint="eastAsia" w:ascii="宋体" w:hAnsi="宋体" w:eastAsia="宋体" w:cs="Arial"/>
          <w:sz w:val="24"/>
          <w:szCs w:val="24"/>
          <w:u w:val="single"/>
        </w:rPr>
      </w:pPr>
      <w:r>
        <w:rPr>
          <w:rFonts w:hint="eastAsia" w:ascii="宋体" w:hAnsi="宋体" w:eastAsia="宋体" w:cs="Arial"/>
          <w:sz w:val="24"/>
          <w:szCs w:val="24"/>
        </w:rPr>
        <w:t>法定代表人或授权代表（签字或盖章）：</w:t>
      </w:r>
    </w:p>
    <w:p w14:paraId="2CCC7A0B">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投标人全称（CA公章）：</w:t>
      </w:r>
    </w:p>
    <w:p w14:paraId="3B72C9BE">
      <w:pPr>
        <w:shd w:val="clear" w:color="auto" w:fill="FFFFFF"/>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日期：</w:t>
      </w:r>
    </w:p>
    <w:p w14:paraId="3DB25E62">
      <w:pPr>
        <w:shd w:val="clear" w:color="auto" w:fill="FFFFFF"/>
        <w:spacing w:line="360" w:lineRule="auto"/>
        <w:ind w:firstLine="420"/>
        <w:rPr>
          <w:rFonts w:hint="eastAsia" w:ascii="宋体" w:hAnsi="宋体" w:eastAsia="宋体" w:cs="Arial"/>
          <w:szCs w:val="21"/>
        </w:rPr>
      </w:pPr>
      <w:r>
        <w:rPr>
          <w:rFonts w:ascii="宋体" w:hAnsi="宋体" w:eastAsia="宋体" w:cs="Arial"/>
          <w:b/>
          <w:bCs/>
          <w:szCs w:val="21"/>
        </w:rPr>
        <w:br w:type="page" w:clear="all"/>
      </w:r>
    </w:p>
    <w:p w14:paraId="7EDB9FB4">
      <w:pPr>
        <w:widowControl w:val="0"/>
        <w:spacing w:line="360" w:lineRule="auto"/>
        <w:jc w:val="both"/>
        <w:outlineLvl w:val="1"/>
        <w:rPr>
          <w:rFonts w:hint="eastAsia" w:ascii="宋体" w:hAnsi="宋体" w:eastAsia="宋体" w:cs="Arial"/>
          <w:szCs w:val="24"/>
          <w:lang w:val="zh-CN"/>
        </w:rPr>
      </w:pPr>
      <w:bookmarkStart w:id="33" w:name="_Toc26810"/>
      <w:bookmarkStart w:id="34" w:name="_Toc30342"/>
      <w:bookmarkStart w:id="35" w:name="_Toc30287"/>
      <w:r>
        <w:rPr>
          <w:rFonts w:hint="eastAsia" w:ascii="宋体" w:hAnsi="宋体" w:eastAsia="宋体" w:cs="Arial"/>
          <w:b/>
          <w:bCs/>
          <w:szCs w:val="21"/>
        </w:rPr>
        <w:t>四</w:t>
      </w:r>
      <w:r>
        <w:rPr>
          <w:rFonts w:hint="eastAsia" w:ascii="宋体" w:hAnsi="宋体" w:eastAsia="宋体" w:cs="Arial"/>
          <w:b/>
          <w:bCs/>
          <w:szCs w:val="21"/>
          <w:lang w:val="zh-CN"/>
        </w:rPr>
        <w:t>、</w:t>
      </w:r>
      <w:r>
        <w:rPr>
          <w:rFonts w:hint="eastAsia" w:ascii="宋体" w:hAnsi="宋体" w:eastAsia="宋体" w:cs="Arial"/>
          <w:b/>
          <w:bCs/>
          <w:szCs w:val="21"/>
        </w:rPr>
        <w:t>开标一览</w:t>
      </w:r>
      <w:r>
        <w:rPr>
          <w:rFonts w:hint="eastAsia" w:ascii="宋体" w:hAnsi="宋体" w:eastAsia="宋体" w:cs="Arial"/>
          <w:b/>
          <w:bCs/>
          <w:szCs w:val="21"/>
          <w:lang w:val="zh-CN"/>
        </w:rPr>
        <w:t>表</w:t>
      </w:r>
      <w:bookmarkEnd w:id="33"/>
      <w:bookmarkEnd w:id="34"/>
      <w:bookmarkEnd w:id="35"/>
    </w:p>
    <w:p w14:paraId="4A8AAEE1">
      <w:pPr>
        <w:widowControl w:val="0"/>
        <w:jc w:val="center"/>
        <w:rPr>
          <w:rFonts w:hint="eastAsia" w:ascii="宋体" w:hAnsi="宋体" w:eastAsia="宋体" w:cs="Arial"/>
          <w:b/>
          <w:sz w:val="32"/>
          <w:szCs w:val="32"/>
        </w:rPr>
      </w:pPr>
      <w:r>
        <w:rPr>
          <w:rFonts w:hint="eastAsia" w:ascii="宋体" w:hAnsi="宋体" w:eastAsia="宋体" w:cs="Arial"/>
          <w:b/>
          <w:sz w:val="32"/>
          <w:szCs w:val="32"/>
        </w:rPr>
        <w:t>开标一览表（以苏彩云格式为准）</w:t>
      </w:r>
    </w:p>
    <w:p w14:paraId="4563DC8F">
      <w:pPr>
        <w:widowControl w:val="0"/>
        <w:spacing w:line="440" w:lineRule="exact"/>
        <w:ind w:firstLine="542"/>
        <w:jc w:val="both"/>
        <w:rPr>
          <w:rFonts w:hint="eastAsia" w:ascii="宋体" w:hAnsi="宋体" w:eastAsia="宋体" w:cs="Arial"/>
          <w:b/>
          <w:sz w:val="24"/>
          <w:szCs w:val="24"/>
        </w:rPr>
      </w:pPr>
    </w:p>
    <w:p w14:paraId="2311263A">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投标人全称（CA公章）：               </w:t>
      </w:r>
    </w:p>
    <w:p w14:paraId="63F45576">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2F7F7A44">
      <w:pPr>
        <w:widowControl w:val="0"/>
        <w:wordWrap w:val="0"/>
        <w:topLinePunct/>
        <w:spacing w:line="360" w:lineRule="auto"/>
        <w:rPr>
          <w:rFonts w:hint="eastAsia" w:ascii="宋体" w:hAnsi="宋体" w:eastAsia="宋体" w:cs="Arial"/>
          <w:bCs/>
          <w:sz w:val="24"/>
          <w:szCs w:val="24"/>
        </w:rPr>
      </w:pPr>
      <w:r>
        <w:rPr>
          <w:rFonts w:hint="eastAsia" w:ascii="宋体" w:hAnsi="宋体" w:eastAsia="宋体" w:cs="Arial"/>
          <w:bCs/>
          <w:sz w:val="24"/>
          <w:szCs w:val="24"/>
        </w:rPr>
        <w:t>项目编号：</w:t>
      </w:r>
    </w:p>
    <w:p w14:paraId="488259D8">
      <w:pPr>
        <w:pStyle w:val="19"/>
        <w:ind w:left="0" w:leftChars="0" w:right="1470"/>
        <w:rPr>
          <w:rFonts w:eastAsia="宋体"/>
        </w:rPr>
      </w:pPr>
      <w:r>
        <w:rPr>
          <w:rFonts w:hint="eastAsia" w:ascii="宋体" w:hAnsi="宋体" w:eastAsia="宋体" w:cs="Arial"/>
          <w:bCs/>
          <w:sz w:val="24"/>
          <w:szCs w:val="24"/>
        </w:rPr>
        <w:t>分 包 号：</w:t>
      </w:r>
    </w:p>
    <w:tbl>
      <w:tblPr>
        <w:tblStyle w:val="37"/>
        <w:tblpPr w:leftFromText="180" w:rightFromText="180" w:vertAnchor="text" w:horzAnchor="page" w:tblpXSpec="center" w:tblpY="161"/>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4"/>
        <w:gridCol w:w="5036"/>
        <w:gridCol w:w="1291"/>
      </w:tblGrid>
      <w:tr w14:paraId="0443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exact"/>
          <w:jc w:val="center"/>
        </w:trPr>
        <w:tc>
          <w:tcPr>
            <w:tcW w:w="3584" w:type="dxa"/>
            <w:vAlign w:val="center"/>
          </w:tcPr>
          <w:p w14:paraId="64F5E807">
            <w:pPr>
              <w:widowControl w:val="0"/>
              <w:spacing w:line="360" w:lineRule="auto"/>
              <w:jc w:val="center"/>
              <w:rPr>
                <w:rFonts w:hint="eastAsia" w:ascii="宋体" w:hAnsi="宋体" w:eastAsia="宋体" w:cs="Symbol"/>
                <w:b/>
                <w:bCs/>
                <w:sz w:val="24"/>
                <w:szCs w:val="24"/>
              </w:rPr>
            </w:pPr>
            <w:r>
              <w:rPr>
                <w:rFonts w:ascii="宋体" w:hAnsi="宋体" w:eastAsia="宋体" w:cs="Symbol"/>
                <w:b/>
                <w:bCs/>
                <w:sz w:val="24"/>
                <w:szCs w:val="24"/>
              </w:rPr>
              <w:t>项目名称</w:t>
            </w:r>
          </w:p>
        </w:tc>
        <w:tc>
          <w:tcPr>
            <w:tcW w:w="5036" w:type="dxa"/>
            <w:vAlign w:val="center"/>
          </w:tcPr>
          <w:p w14:paraId="134FEB62">
            <w:pPr>
              <w:spacing w:line="360" w:lineRule="auto"/>
              <w:jc w:val="center"/>
              <w:rPr>
                <w:b/>
                <w:bCs/>
                <w:sz w:val="24"/>
                <w:szCs w:val="28"/>
              </w:rPr>
            </w:pPr>
            <w:r>
              <w:rPr>
                <w:rFonts w:ascii="宋体" w:hAnsi="宋体" w:eastAsia="宋体" w:cs="Symbol"/>
                <w:b/>
                <w:bCs/>
                <w:sz w:val="24"/>
                <w:szCs w:val="24"/>
              </w:rPr>
              <w:t></w:t>
            </w:r>
            <w:r>
              <w:rPr>
                <w:rFonts w:hint="eastAsia"/>
                <w:b/>
                <w:bCs/>
                <w:sz w:val="24"/>
                <w:szCs w:val="28"/>
              </w:rPr>
              <w:t>南京市公安局江宁分局</w:t>
            </w:r>
          </w:p>
          <w:p w14:paraId="661738F4">
            <w:pPr>
              <w:spacing w:line="360" w:lineRule="auto"/>
              <w:jc w:val="center"/>
              <w:rPr>
                <w:b/>
                <w:bCs/>
                <w:sz w:val="24"/>
                <w:szCs w:val="28"/>
              </w:rPr>
            </w:pPr>
            <w:r>
              <w:rPr>
                <w:rFonts w:hint="eastAsia"/>
                <w:b/>
                <w:bCs/>
                <w:sz w:val="24"/>
                <w:szCs w:val="28"/>
              </w:rPr>
              <w:t>采购道路交通事故及违法车辆定点保管服务</w:t>
            </w:r>
          </w:p>
          <w:p w14:paraId="315BFDD8">
            <w:pPr>
              <w:widowControl w:val="0"/>
              <w:tabs>
                <w:tab w:val="left" w:pos="900"/>
              </w:tabs>
              <w:spacing w:line="360" w:lineRule="auto"/>
              <w:jc w:val="both"/>
              <w:rPr>
                <w:rFonts w:hint="eastAsia" w:ascii="宋体" w:hAnsi="宋体" w:eastAsia="宋体" w:cs="Symbol"/>
                <w:b/>
                <w:bCs/>
                <w:sz w:val="24"/>
                <w:szCs w:val="24"/>
              </w:rPr>
            </w:pPr>
            <w:r>
              <w:rPr>
                <w:rFonts w:hint="eastAsia"/>
                <w:b/>
                <w:bCs/>
                <w:sz w:val="24"/>
                <w:szCs w:val="28"/>
              </w:rPr>
              <w:t>道路交通事故及违法车辆定点保管服务</w:t>
            </w:r>
          </w:p>
        </w:tc>
        <w:tc>
          <w:tcPr>
            <w:tcW w:w="1291" w:type="dxa"/>
            <w:vMerge w:val="restart"/>
            <w:vAlign w:val="center"/>
          </w:tcPr>
          <w:p w14:paraId="6B7AC1F3">
            <w:pPr>
              <w:widowControl w:val="0"/>
              <w:tabs>
                <w:tab w:val="left" w:pos="900"/>
              </w:tabs>
              <w:spacing w:line="440" w:lineRule="exact"/>
              <w:jc w:val="center"/>
              <w:rPr>
                <w:rFonts w:hint="eastAsia" w:ascii="宋体" w:hAnsi="宋体" w:eastAsia="宋体" w:cs="Symbol"/>
                <w:b/>
                <w:sz w:val="24"/>
                <w:szCs w:val="24"/>
              </w:rPr>
            </w:pPr>
            <w:r>
              <w:rPr>
                <w:rFonts w:hint="eastAsia" w:ascii="宋体" w:hAnsi="宋体" w:eastAsia="宋体" w:cs="Symbol"/>
                <w:sz w:val="24"/>
                <w:szCs w:val="24"/>
              </w:rPr>
              <w:t>备注</w:t>
            </w:r>
          </w:p>
        </w:tc>
      </w:tr>
      <w:tr w14:paraId="1818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4" w:hRule="atLeast"/>
          <w:jc w:val="center"/>
        </w:trPr>
        <w:tc>
          <w:tcPr>
            <w:tcW w:w="3584" w:type="dxa"/>
            <w:vAlign w:val="center"/>
          </w:tcPr>
          <w:p w14:paraId="4DC7D6F6">
            <w:pPr>
              <w:spacing w:line="360" w:lineRule="auto"/>
              <w:jc w:val="center"/>
              <w:rPr>
                <w:sz w:val="24"/>
                <w:szCs w:val="28"/>
              </w:rPr>
            </w:pPr>
            <w:r>
              <w:rPr>
                <w:rFonts w:hint="eastAsia"/>
                <w:sz w:val="24"/>
                <w:szCs w:val="28"/>
              </w:rPr>
              <w:t>投标总价</w:t>
            </w:r>
          </w:p>
          <w:p w14:paraId="658B13AF">
            <w:pPr>
              <w:spacing w:line="360" w:lineRule="auto"/>
              <w:jc w:val="center"/>
              <w:rPr>
                <w:sz w:val="24"/>
                <w:szCs w:val="28"/>
              </w:rPr>
            </w:pPr>
            <w:r>
              <w:rPr>
                <w:rFonts w:hint="eastAsia"/>
                <w:b/>
                <w:bCs/>
                <w:sz w:val="24"/>
                <w:szCs w:val="28"/>
              </w:rPr>
              <w:t>（根据分包预算价填写）</w:t>
            </w:r>
          </w:p>
        </w:tc>
        <w:tc>
          <w:tcPr>
            <w:tcW w:w="5036" w:type="dxa"/>
            <w:vAlign w:val="center"/>
          </w:tcPr>
          <w:p w14:paraId="418C4188">
            <w:pPr>
              <w:widowControl w:val="0"/>
              <w:spacing w:line="360" w:lineRule="auto"/>
              <w:jc w:val="both"/>
              <w:rPr>
                <w:rFonts w:hint="eastAsia" w:ascii="宋体" w:hAnsi="宋体" w:eastAsia="宋体" w:cs="Symbol"/>
                <w:sz w:val="24"/>
                <w:szCs w:val="24"/>
              </w:rPr>
            </w:pPr>
          </w:p>
          <w:p w14:paraId="7BCB8B76">
            <w:pPr>
              <w:widowControl w:val="0"/>
              <w:spacing w:line="360" w:lineRule="auto"/>
              <w:jc w:val="both"/>
              <w:rPr>
                <w:rFonts w:hint="eastAsia" w:ascii="宋体" w:hAnsi="宋体" w:eastAsia="宋体" w:cs="Symbol"/>
                <w:sz w:val="24"/>
                <w:szCs w:val="24"/>
                <w:u w:val="single"/>
              </w:rPr>
            </w:pPr>
            <w:r>
              <w:rPr>
                <w:rFonts w:hint="eastAsia" w:ascii="宋体" w:hAnsi="宋体" w:eastAsia="宋体" w:cs="Symbol"/>
                <w:sz w:val="24"/>
                <w:szCs w:val="24"/>
              </w:rPr>
              <w:t>大写（人民币）：</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r>
              <w:rPr>
                <w:rFonts w:hint="eastAsia" w:ascii="宋体" w:hAnsi="宋体" w:eastAsia="宋体" w:cs="Symbol"/>
                <w:sz w:val="24"/>
                <w:szCs w:val="24"/>
                <w:u w:val="single"/>
              </w:rPr>
              <w:t xml:space="preserve">           </w:t>
            </w:r>
            <w:r>
              <w:rPr>
                <w:rFonts w:hint="eastAsia" w:ascii="宋体" w:hAnsi="宋体" w:eastAsia="宋体" w:cs="Symbol"/>
                <w:sz w:val="24"/>
                <w:szCs w:val="24"/>
              </w:rPr>
              <w:t xml:space="preserve">    </w:t>
            </w:r>
            <w:r>
              <w:rPr>
                <w:rFonts w:hint="eastAsia" w:ascii="宋体" w:hAnsi="宋体" w:eastAsia="宋体" w:cs="Symbol"/>
                <w:sz w:val="24"/>
                <w:szCs w:val="24"/>
                <w:u w:val="single"/>
              </w:rPr>
              <w:t xml:space="preserve">           </w:t>
            </w:r>
          </w:p>
          <w:p w14:paraId="76AA9D8C">
            <w:pPr>
              <w:widowControl w:val="0"/>
              <w:spacing w:line="360" w:lineRule="auto"/>
              <w:jc w:val="both"/>
              <w:rPr>
                <w:rFonts w:hint="eastAsia" w:ascii="宋体" w:hAnsi="宋体" w:eastAsia="宋体" w:cs="Symbol"/>
                <w:sz w:val="24"/>
                <w:szCs w:val="24"/>
              </w:rPr>
            </w:pPr>
            <w:r>
              <w:rPr>
                <w:rFonts w:hint="eastAsia" w:ascii="宋体" w:hAnsi="宋体" w:eastAsia="宋体" w:cs="Symbol"/>
                <w:sz w:val="24"/>
                <w:szCs w:val="24"/>
              </w:rPr>
              <w:t>小写（</w:t>
            </w:r>
            <w:r>
              <w:rPr>
                <w:rFonts w:ascii="Arial" w:hAnsi="Arial" w:eastAsia="宋体" w:cs="Arial"/>
                <w:sz w:val="24"/>
                <w:szCs w:val="24"/>
              </w:rPr>
              <w:t>¥</w:t>
            </w:r>
            <w:r>
              <w:rPr>
                <w:rFonts w:hint="eastAsia" w:ascii="宋体" w:hAnsi="宋体" w:eastAsia="宋体" w:cs="Symbol"/>
                <w:sz w:val="24"/>
                <w:szCs w:val="24"/>
              </w:rPr>
              <w:t>）：</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p>
          <w:p w14:paraId="40A00EC0">
            <w:pPr>
              <w:widowControl w:val="0"/>
              <w:spacing w:line="360" w:lineRule="auto"/>
              <w:jc w:val="both"/>
              <w:rPr>
                <w:rFonts w:hint="eastAsia" w:ascii="宋体" w:hAnsi="宋体" w:eastAsia="宋体" w:cs="Symbol"/>
                <w:sz w:val="24"/>
                <w:szCs w:val="24"/>
              </w:rPr>
            </w:pPr>
          </w:p>
        </w:tc>
        <w:tc>
          <w:tcPr>
            <w:tcW w:w="1291" w:type="dxa"/>
            <w:vMerge w:val="continue"/>
            <w:vAlign w:val="center"/>
          </w:tcPr>
          <w:p w14:paraId="29DE5717">
            <w:pPr>
              <w:widowControl w:val="0"/>
              <w:spacing w:line="360" w:lineRule="auto"/>
              <w:jc w:val="both"/>
              <w:rPr>
                <w:rFonts w:hint="eastAsia" w:ascii="宋体" w:hAnsi="宋体" w:eastAsia="宋体" w:cs="Symbol"/>
                <w:sz w:val="24"/>
                <w:szCs w:val="24"/>
              </w:rPr>
            </w:pPr>
          </w:p>
        </w:tc>
      </w:tr>
      <w:tr w14:paraId="6355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4" w:hRule="atLeast"/>
          <w:jc w:val="center"/>
        </w:trPr>
        <w:tc>
          <w:tcPr>
            <w:tcW w:w="3584" w:type="dxa"/>
            <w:vAlign w:val="center"/>
          </w:tcPr>
          <w:p w14:paraId="337B53B2">
            <w:pPr>
              <w:widowControl w:val="0"/>
              <w:spacing w:line="360" w:lineRule="auto"/>
              <w:jc w:val="center"/>
              <w:rPr>
                <w:rFonts w:hint="eastAsia" w:ascii="宋体" w:hAnsi="宋体" w:eastAsia="宋体" w:cs="Symbol"/>
                <w:sz w:val="24"/>
                <w:szCs w:val="24"/>
              </w:rPr>
            </w:pPr>
            <w:r>
              <w:rPr>
                <w:rFonts w:hint="eastAsia" w:ascii="宋体" w:hAnsi="宋体" w:eastAsia="宋体" w:cs="Symbol"/>
                <w:sz w:val="24"/>
                <w:szCs w:val="24"/>
              </w:rPr>
              <w:t>投标报价</w:t>
            </w:r>
          </w:p>
          <w:p w14:paraId="4A5742D1">
            <w:pPr>
              <w:widowControl w:val="0"/>
              <w:spacing w:line="360" w:lineRule="auto"/>
              <w:jc w:val="center"/>
              <w:rPr>
                <w:rFonts w:hint="eastAsia" w:ascii="宋体" w:hAnsi="宋体" w:eastAsia="宋体" w:cs="Symbol"/>
                <w:sz w:val="24"/>
                <w:szCs w:val="24"/>
              </w:rPr>
            </w:pPr>
            <w:r>
              <w:rPr>
                <w:rFonts w:hint="eastAsia" w:ascii="宋体" w:hAnsi="宋体" w:eastAsia="宋体" w:cs="Symbol"/>
                <w:b/>
                <w:bCs/>
                <w:sz w:val="24"/>
                <w:szCs w:val="24"/>
              </w:rPr>
              <w:t>（加权平均综合单价）</w:t>
            </w:r>
          </w:p>
        </w:tc>
        <w:tc>
          <w:tcPr>
            <w:tcW w:w="5036" w:type="dxa"/>
            <w:vAlign w:val="center"/>
          </w:tcPr>
          <w:p w14:paraId="12BFF531">
            <w:pPr>
              <w:widowControl w:val="0"/>
              <w:spacing w:line="360" w:lineRule="auto"/>
              <w:jc w:val="both"/>
              <w:rPr>
                <w:rFonts w:hint="eastAsia" w:ascii="宋体" w:hAnsi="宋体" w:eastAsia="宋体" w:cs="Symbol"/>
                <w:sz w:val="24"/>
                <w:szCs w:val="24"/>
              </w:rPr>
            </w:pPr>
          </w:p>
          <w:p w14:paraId="12201C95">
            <w:pPr>
              <w:widowControl w:val="0"/>
              <w:spacing w:line="360" w:lineRule="auto"/>
              <w:jc w:val="both"/>
              <w:rPr>
                <w:rFonts w:hint="eastAsia" w:ascii="宋体" w:hAnsi="宋体" w:eastAsia="宋体" w:cs="Symbol"/>
                <w:sz w:val="24"/>
                <w:szCs w:val="24"/>
              </w:rPr>
            </w:pPr>
            <w:r>
              <w:rPr>
                <w:rFonts w:hint="eastAsia" w:ascii="宋体" w:hAnsi="宋体" w:eastAsia="宋体" w:cs="Symbol"/>
                <w:sz w:val="24"/>
                <w:szCs w:val="24"/>
              </w:rPr>
              <w:t>大写（人民币）：</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p>
          <w:p w14:paraId="006BAAC1">
            <w:pPr>
              <w:widowControl w:val="0"/>
              <w:spacing w:line="360" w:lineRule="auto"/>
              <w:jc w:val="both"/>
              <w:rPr>
                <w:rFonts w:hint="eastAsia" w:ascii="宋体" w:hAnsi="宋体" w:eastAsia="宋体" w:cs="Symbol"/>
                <w:sz w:val="24"/>
                <w:szCs w:val="24"/>
              </w:rPr>
            </w:pPr>
            <w:r>
              <w:rPr>
                <w:rFonts w:hint="eastAsia" w:ascii="宋体" w:hAnsi="宋体" w:eastAsia="宋体" w:cs="Symbol"/>
                <w:sz w:val="24"/>
                <w:szCs w:val="24"/>
              </w:rPr>
              <w:t>小写（</w:t>
            </w:r>
            <w:r>
              <w:rPr>
                <w:rFonts w:ascii="Arial" w:hAnsi="Arial" w:eastAsia="宋体" w:cs="Arial"/>
                <w:sz w:val="24"/>
                <w:szCs w:val="24"/>
              </w:rPr>
              <w:t>¥</w:t>
            </w:r>
            <w:r>
              <w:rPr>
                <w:rFonts w:hint="eastAsia" w:ascii="宋体" w:hAnsi="宋体" w:eastAsia="宋体" w:cs="Symbol"/>
                <w:sz w:val="24"/>
                <w:szCs w:val="24"/>
              </w:rPr>
              <w:t>）：</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r>
              <w:rPr>
                <w:rFonts w:hint="eastAsia" w:ascii="宋体" w:hAnsi="宋体" w:eastAsia="宋体" w:cs="Arial"/>
                <w:sz w:val="24"/>
                <w:szCs w:val="24"/>
                <w:u w:val="single"/>
              </w:rPr>
              <w:t xml:space="preserve"> </w:t>
            </w:r>
            <w:r>
              <w:rPr>
                <w:rFonts w:ascii="宋体" w:hAnsi="宋体" w:eastAsia="宋体" w:cs="Arial"/>
                <w:sz w:val="24"/>
                <w:szCs w:val="24"/>
                <w:u w:val="single"/>
              </w:rPr>
              <w:t> </w:t>
            </w:r>
          </w:p>
          <w:p w14:paraId="6CD3EF38">
            <w:pPr>
              <w:widowControl w:val="0"/>
              <w:spacing w:line="360" w:lineRule="auto"/>
              <w:jc w:val="both"/>
              <w:rPr>
                <w:rFonts w:hint="eastAsia" w:ascii="宋体" w:hAnsi="宋体" w:eastAsia="宋体" w:cs="Symbol"/>
                <w:sz w:val="24"/>
                <w:szCs w:val="24"/>
              </w:rPr>
            </w:pPr>
          </w:p>
        </w:tc>
        <w:tc>
          <w:tcPr>
            <w:tcW w:w="1291" w:type="dxa"/>
            <w:vAlign w:val="center"/>
          </w:tcPr>
          <w:p w14:paraId="36C1F253">
            <w:pPr>
              <w:widowControl w:val="0"/>
              <w:spacing w:line="360" w:lineRule="auto"/>
              <w:jc w:val="both"/>
              <w:rPr>
                <w:rFonts w:hint="eastAsia" w:ascii="宋体" w:hAnsi="宋体" w:eastAsia="宋体" w:cs="Symbol"/>
                <w:sz w:val="24"/>
                <w:szCs w:val="24"/>
              </w:rPr>
            </w:pPr>
          </w:p>
        </w:tc>
      </w:tr>
      <w:tr w14:paraId="3058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jc w:val="center"/>
        </w:trPr>
        <w:tc>
          <w:tcPr>
            <w:tcW w:w="3584" w:type="dxa"/>
            <w:vAlign w:val="center"/>
          </w:tcPr>
          <w:p w14:paraId="4F1A11D5">
            <w:pPr>
              <w:widowControl w:val="0"/>
              <w:jc w:val="center"/>
              <w:rPr>
                <w:rFonts w:hint="eastAsia" w:ascii="宋体" w:hAnsi="宋体" w:eastAsia="宋体" w:cs="Symbol"/>
                <w:sz w:val="24"/>
                <w:szCs w:val="24"/>
              </w:rPr>
            </w:pPr>
            <w:r>
              <w:rPr>
                <w:rFonts w:ascii="宋体" w:hAnsi="宋体" w:eastAsia="宋体" w:cs="Symbol"/>
                <w:sz w:val="24"/>
                <w:szCs w:val="24"/>
                <w:lang w:val="zh-CN"/>
              </w:rPr>
              <w:t>供应商是否属于小、微型企业</w:t>
            </w:r>
          </w:p>
        </w:tc>
        <w:tc>
          <w:tcPr>
            <w:tcW w:w="5036" w:type="dxa"/>
            <w:vAlign w:val="center"/>
          </w:tcPr>
          <w:p w14:paraId="0CAA9E93">
            <w:pPr>
              <w:widowControl w:val="0"/>
              <w:jc w:val="both"/>
              <w:rPr>
                <w:rFonts w:hint="eastAsia" w:ascii="宋体" w:hAnsi="宋体" w:eastAsia="宋体" w:cs="Symbol"/>
                <w:sz w:val="24"/>
                <w:szCs w:val="24"/>
              </w:rPr>
            </w:pPr>
            <w:r>
              <w:rPr>
                <w:rFonts w:hint="eastAsia" w:ascii="宋体" w:hAnsi="宋体" w:eastAsia="宋体" w:cs="Symbol"/>
                <w:sz w:val="24"/>
                <w:szCs w:val="24"/>
                <w:lang w:val="zh-CN"/>
              </w:rPr>
              <w:t>（填写</w:t>
            </w:r>
            <w:r>
              <w:rPr>
                <w:rFonts w:ascii="宋体" w:hAnsi="宋体" w:eastAsia="宋体" w:cs="Symbol"/>
                <w:sz w:val="24"/>
                <w:szCs w:val="24"/>
                <w:lang w:val="zh-CN"/>
              </w:rPr>
              <w:t>“</w:t>
            </w:r>
            <w:r>
              <w:rPr>
                <w:rFonts w:hint="eastAsia" w:ascii="宋体" w:hAnsi="宋体" w:eastAsia="宋体" w:cs="Symbol"/>
                <w:sz w:val="24"/>
                <w:szCs w:val="24"/>
                <w:lang w:val="zh-CN"/>
              </w:rPr>
              <w:t>是</w:t>
            </w:r>
            <w:r>
              <w:rPr>
                <w:rFonts w:ascii="宋体" w:hAnsi="宋体" w:eastAsia="宋体" w:cs="Symbol"/>
                <w:sz w:val="24"/>
                <w:szCs w:val="24"/>
                <w:lang w:val="zh-CN"/>
              </w:rPr>
              <w:t>”</w:t>
            </w:r>
            <w:r>
              <w:rPr>
                <w:rFonts w:hint="eastAsia" w:ascii="宋体" w:hAnsi="宋体" w:eastAsia="宋体" w:cs="Symbol"/>
                <w:sz w:val="24"/>
                <w:szCs w:val="24"/>
                <w:lang w:val="zh-CN"/>
              </w:rPr>
              <w:t>或</w:t>
            </w:r>
            <w:r>
              <w:rPr>
                <w:rFonts w:ascii="宋体" w:hAnsi="宋体" w:eastAsia="宋体" w:cs="Symbol"/>
                <w:sz w:val="24"/>
                <w:szCs w:val="24"/>
                <w:lang w:val="zh-CN"/>
              </w:rPr>
              <w:t>“</w:t>
            </w:r>
            <w:r>
              <w:rPr>
                <w:rFonts w:hint="eastAsia" w:ascii="宋体" w:hAnsi="宋体" w:eastAsia="宋体" w:cs="Symbol"/>
                <w:sz w:val="24"/>
                <w:szCs w:val="24"/>
                <w:lang w:val="zh-CN"/>
              </w:rPr>
              <w:t>否）</w:t>
            </w:r>
          </w:p>
        </w:tc>
        <w:tc>
          <w:tcPr>
            <w:tcW w:w="1291" w:type="dxa"/>
            <w:vAlign w:val="center"/>
          </w:tcPr>
          <w:p w14:paraId="0F528329">
            <w:pPr>
              <w:widowControl w:val="0"/>
              <w:spacing w:line="360" w:lineRule="auto"/>
              <w:jc w:val="both"/>
              <w:rPr>
                <w:rFonts w:hint="eastAsia" w:ascii="宋体" w:hAnsi="宋体" w:eastAsia="宋体" w:cs="Symbol"/>
                <w:sz w:val="24"/>
                <w:szCs w:val="24"/>
              </w:rPr>
            </w:pPr>
          </w:p>
        </w:tc>
      </w:tr>
    </w:tbl>
    <w:p w14:paraId="0870E716"/>
    <w:p w14:paraId="2F013908">
      <w:pPr>
        <w:shd w:val="clear" w:color="auto" w:fill="FFFFFF"/>
        <w:spacing w:line="360" w:lineRule="auto"/>
        <w:rPr>
          <w:rFonts w:hint="eastAsia" w:ascii="宋体" w:hAnsi="宋体" w:eastAsia="宋体" w:cs="Arial"/>
          <w:sz w:val="24"/>
          <w:szCs w:val="24"/>
        </w:rPr>
      </w:pPr>
    </w:p>
    <w:p w14:paraId="5CF5A6EB">
      <w:pPr>
        <w:shd w:val="clear" w:color="auto" w:fill="FFFFFF"/>
        <w:spacing w:line="360" w:lineRule="auto"/>
        <w:rPr>
          <w:rFonts w:hint="eastAsia" w:ascii="宋体" w:hAnsi="宋体" w:eastAsia="宋体" w:cs="Arial"/>
          <w:sz w:val="24"/>
          <w:szCs w:val="24"/>
        </w:rPr>
      </w:pPr>
      <w:r>
        <w:rPr>
          <w:rFonts w:hint="eastAsia" w:ascii="宋体" w:hAnsi="宋体" w:eastAsia="宋体" w:cs="Arial"/>
          <w:sz w:val="24"/>
          <w:szCs w:val="24"/>
        </w:rPr>
        <w:t>说明：</w:t>
      </w:r>
    </w:p>
    <w:p w14:paraId="57117C5B">
      <w:pPr>
        <w:widowControl w:val="0"/>
        <w:shd w:val="clear" w:color="auto" w:fill="FFFFFF"/>
        <w:spacing w:line="360" w:lineRule="auto"/>
        <w:ind w:firstLine="422"/>
        <w:rPr>
          <w:rFonts w:hint="eastAsia" w:ascii="宋体" w:hAnsi="宋体" w:eastAsia="宋体" w:cs="Arial"/>
          <w:b/>
          <w:bCs/>
          <w:sz w:val="24"/>
          <w:szCs w:val="24"/>
        </w:rPr>
      </w:pPr>
      <w:r>
        <w:rPr>
          <w:rFonts w:hint="eastAsia" w:ascii="宋体" w:hAnsi="宋体" w:eastAsia="宋体" w:cs="Arial"/>
          <w:b/>
          <w:bCs/>
          <w:sz w:val="24"/>
          <w:szCs w:val="24"/>
        </w:rPr>
        <w:t>1</w:t>
      </w:r>
      <w:r>
        <w:rPr>
          <w:rFonts w:ascii="宋体" w:hAnsi="宋体" w:eastAsia="宋体" w:cs="Arial"/>
          <w:b/>
          <w:bCs/>
          <w:sz w:val="24"/>
          <w:szCs w:val="24"/>
        </w:rPr>
        <w:t>.</w:t>
      </w:r>
      <w:r>
        <w:rPr>
          <w:rFonts w:hint="eastAsia" w:ascii="宋体" w:hAnsi="宋体" w:eastAsia="宋体" w:cs="Arial"/>
          <w:b/>
          <w:bCs/>
          <w:sz w:val="24"/>
          <w:szCs w:val="24"/>
        </w:rPr>
        <w:t>本项目仅接受一个价格，不得填报有选择性报价方案。若有优惠条款须注明，但不得影响报价，影响产品整体功能。</w:t>
      </w:r>
    </w:p>
    <w:p w14:paraId="54DC99FB">
      <w:pPr>
        <w:widowControl w:val="0"/>
        <w:shd w:val="clear" w:color="auto" w:fill="FFFFFF"/>
        <w:spacing w:line="360" w:lineRule="auto"/>
        <w:ind w:firstLine="420"/>
        <w:rPr>
          <w:rFonts w:hint="eastAsia" w:ascii="宋体" w:hAnsi="宋体" w:eastAsia="宋体" w:cs="Arial"/>
          <w:b/>
          <w:bCs/>
          <w:sz w:val="24"/>
          <w:szCs w:val="24"/>
        </w:rPr>
      </w:pPr>
      <w:r>
        <w:rPr>
          <w:rFonts w:ascii="宋体" w:hAnsi="宋体" w:eastAsia="宋体" w:cs="Arial"/>
          <w:b/>
          <w:bCs/>
          <w:sz w:val="24"/>
          <w:szCs w:val="24"/>
        </w:rPr>
        <w:t>2</w:t>
      </w:r>
      <w:r>
        <w:rPr>
          <w:rFonts w:hint="eastAsia" w:ascii="宋体" w:hAnsi="宋体" w:eastAsia="宋体" w:cs="Arial"/>
          <w:b/>
          <w:bCs/>
          <w:sz w:val="24"/>
          <w:szCs w:val="24"/>
        </w:rPr>
        <w:t>.</w:t>
      </w:r>
      <w:r>
        <w:rPr>
          <w:rFonts w:ascii="宋体" w:hAnsi="宋体" w:eastAsia="宋体" w:cs="Arial"/>
          <w:b/>
          <w:bCs/>
          <w:sz w:val="24"/>
          <w:szCs w:val="24"/>
        </w:rPr>
        <w:t>“</w:t>
      </w:r>
      <w:r>
        <w:rPr>
          <w:rFonts w:hint="eastAsia" w:ascii="宋体" w:hAnsi="宋体" w:eastAsia="宋体" w:cs="Arial"/>
          <w:b/>
          <w:bCs/>
          <w:sz w:val="24"/>
          <w:szCs w:val="24"/>
        </w:rPr>
        <w:t>供应商是否属于小微型企业</w:t>
      </w:r>
      <w:r>
        <w:rPr>
          <w:rFonts w:ascii="宋体" w:hAnsi="宋体" w:eastAsia="宋体" w:cs="Arial"/>
          <w:b/>
          <w:bCs/>
          <w:sz w:val="24"/>
          <w:szCs w:val="24"/>
          <w:lang w:val="zh-CN"/>
        </w:rPr>
        <w:t>”</w:t>
      </w:r>
      <w:r>
        <w:rPr>
          <w:rFonts w:hint="eastAsia" w:ascii="宋体" w:hAnsi="宋体" w:eastAsia="宋体" w:cs="Arial"/>
          <w:b/>
          <w:bCs/>
          <w:sz w:val="24"/>
          <w:szCs w:val="24"/>
          <w:lang w:val="zh-CN"/>
        </w:rPr>
        <w:t>栏内填写</w:t>
      </w:r>
      <w:r>
        <w:rPr>
          <w:rFonts w:ascii="宋体" w:hAnsi="宋体" w:eastAsia="宋体" w:cs="Arial"/>
          <w:b/>
          <w:bCs/>
          <w:sz w:val="24"/>
          <w:szCs w:val="24"/>
          <w:lang w:val="zh-CN"/>
        </w:rPr>
        <w:t>“</w:t>
      </w:r>
      <w:r>
        <w:rPr>
          <w:rFonts w:hint="eastAsia" w:ascii="宋体" w:hAnsi="宋体" w:eastAsia="宋体" w:cs="Arial"/>
          <w:b/>
          <w:bCs/>
          <w:sz w:val="24"/>
          <w:szCs w:val="24"/>
          <w:lang w:val="zh-CN"/>
        </w:rPr>
        <w:t>是</w:t>
      </w:r>
      <w:r>
        <w:rPr>
          <w:rFonts w:ascii="宋体" w:hAnsi="宋体" w:eastAsia="宋体" w:cs="Arial"/>
          <w:b/>
          <w:bCs/>
          <w:sz w:val="24"/>
          <w:szCs w:val="24"/>
          <w:lang w:val="zh-CN"/>
        </w:rPr>
        <w:t>”</w:t>
      </w:r>
      <w:r>
        <w:rPr>
          <w:rFonts w:hint="eastAsia" w:ascii="宋体" w:hAnsi="宋体" w:eastAsia="宋体" w:cs="Arial"/>
          <w:b/>
          <w:bCs/>
          <w:sz w:val="24"/>
          <w:szCs w:val="24"/>
          <w:lang w:val="zh-CN"/>
        </w:rPr>
        <w:t>或</w:t>
      </w:r>
      <w:r>
        <w:rPr>
          <w:rFonts w:ascii="宋体" w:hAnsi="宋体" w:eastAsia="宋体" w:cs="Arial"/>
          <w:b/>
          <w:bCs/>
          <w:sz w:val="24"/>
          <w:szCs w:val="24"/>
          <w:lang w:val="zh-CN"/>
        </w:rPr>
        <w:t>“</w:t>
      </w:r>
      <w:r>
        <w:rPr>
          <w:rFonts w:hint="eastAsia" w:ascii="宋体" w:hAnsi="宋体" w:eastAsia="宋体" w:cs="Arial"/>
          <w:b/>
          <w:bCs/>
          <w:sz w:val="24"/>
          <w:szCs w:val="24"/>
          <w:lang w:val="zh-CN"/>
        </w:rPr>
        <w:t>否</w:t>
      </w:r>
      <w:r>
        <w:rPr>
          <w:rFonts w:ascii="宋体" w:hAnsi="宋体" w:eastAsia="宋体" w:cs="Arial"/>
          <w:b/>
          <w:bCs/>
          <w:sz w:val="24"/>
          <w:szCs w:val="24"/>
          <w:lang w:val="zh-CN"/>
        </w:rPr>
        <w:t>”</w:t>
      </w:r>
      <w:r>
        <w:rPr>
          <w:rFonts w:hint="eastAsia" w:ascii="宋体" w:hAnsi="宋体" w:eastAsia="宋体" w:cs="Arial"/>
          <w:b/>
          <w:bCs/>
          <w:sz w:val="24"/>
          <w:szCs w:val="24"/>
          <w:lang w:val="zh-CN"/>
        </w:rPr>
        <w:t>。如填写</w:t>
      </w:r>
      <w:r>
        <w:rPr>
          <w:rFonts w:ascii="宋体" w:hAnsi="宋体" w:eastAsia="宋体" w:cs="Arial"/>
          <w:b/>
          <w:bCs/>
          <w:sz w:val="24"/>
          <w:szCs w:val="24"/>
          <w:lang w:val="zh-CN"/>
        </w:rPr>
        <w:t>“</w:t>
      </w:r>
      <w:r>
        <w:rPr>
          <w:rFonts w:hint="eastAsia" w:ascii="宋体" w:hAnsi="宋体" w:eastAsia="宋体" w:cs="Arial"/>
          <w:b/>
          <w:bCs/>
          <w:sz w:val="24"/>
          <w:szCs w:val="24"/>
          <w:lang w:val="zh-CN"/>
        </w:rPr>
        <w:t>是</w:t>
      </w:r>
      <w:r>
        <w:rPr>
          <w:rFonts w:ascii="宋体" w:hAnsi="宋体" w:eastAsia="宋体" w:cs="Arial"/>
          <w:b/>
          <w:bCs/>
          <w:sz w:val="24"/>
          <w:szCs w:val="24"/>
          <w:lang w:val="zh-CN"/>
        </w:rPr>
        <w:t>”</w:t>
      </w:r>
      <w:r>
        <w:rPr>
          <w:rFonts w:hint="eastAsia" w:ascii="宋体" w:hAnsi="宋体" w:eastAsia="宋体" w:cs="Arial"/>
          <w:b/>
          <w:bCs/>
          <w:sz w:val="24"/>
          <w:szCs w:val="24"/>
          <w:lang w:val="zh-CN"/>
        </w:rPr>
        <w:t>，</w:t>
      </w:r>
      <w:r>
        <w:rPr>
          <w:rFonts w:hint="eastAsia" w:ascii="宋体" w:hAnsi="宋体" w:eastAsia="宋体" w:cs="Arial"/>
          <w:b/>
          <w:bCs/>
          <w:sz w:val="24"/>
          <w:szCs w:val="24"/>
        </w:rPr>
        <w:t>需提供《中小企业声明函》或《残疾人福利性单位声明函》或《属于监狱企业的证明文件》。</w:t>
      </w:r>
    </w:p>
    <w:p w14:paraId="2E0C13BE">
      <w:pPr>
        <w:widowControl w:val="0"/>
        <w:shd w:val="clear" w:color="auto" w:fill="FFFFFF"/>
        <w:spacing w:line="360" w:lineRule="auto"/>
        <w:ind w:firstLine="422"/>
        <w:rPr>
          <w:rFonts w:hint="eastAsia" w:ascii="宋体" w:hAnsi="宋体" w:eastAsia="宋体" w:cs="Arial"/>
          <w:b/>
          <w:bCs/>
          <w:sz w:val="24"/>
          <w:szCs w:val="24"/>
        </w:rPr>
      </w:pPr>
    </w:p>
    <w:p w14:paraId="205E2689">
      <w:pPr>
        <w:shd w:val="clear" w:color="auto" w:fill="FFFFFF"/>
        <w:spacing w:line="360" w:lineRule="auto"/>
        <w:rPr>
          <w:rFonts w:hint="eastAsia" w:ascii="宋体" w:hAnsi="宋体" w:eastAsia="宋体" w:cs="Arial"/>
          <w:b/>
          <w:bCs/>
          <w:szCs w:val="21"/>
          <w:lang w:val="zh-CN"/>
        </w:rPr>
      </w:pPr>
      <w:r>
        <w:rPr>
          <w:rFonts w:ascii="宋体" w:hAnsi="宋体" w:eastAsia="宋体" w:cs="Arial"/>
          <w:b/>
          <w:bCs/>
          <w:szCs w:val="21"/>
          <w:lang w:val="zh-CN"/>
        </w:rPr>
        <w:br w:type="page" w:clear="all"/>
      </w:r>
      <w:bookmarkStart w:id="36" w:name="_Toc12264"/>
    </w:p>
    <w:p w14:paraId="56F90652">
      <w:pPr>
        <w:shd w:val="clear" w:color="auto" w:fill="FFFFFF"/>
        <w:spacing w:line="360" w:lineRule="auto"/>
        <w:outlineLvl w:val="1"/>
        <w:rPr>
          <w:rFonts w:hint="eastAsia" w:ascii="宋体" w:hAnsi="宋体" w:eastAsia="宋体" w:cs="Arial"/>
          <w:b/>
          <w:bCs/>
          <w:szCs w:val="21"/>
          <w:lang w:val="zh-CN"/>
        </w:rPr>
      </w:pPr>
      <w:bookmarkStart w:id="37" w:name="_Toc28557"/>
      <w:bookmarkStart w:id="38" w:name="_Toc24422"/>
      <w:r>
        <w:rPr>
          <w:rFonts w:hint="eastAsia" w:ascii="宋体" w:hAnsi="宋体" w:eastAsia="宋体" w:cs="Arial"/>
          <w:b/>
          <w:bCs/>
          <w:szCs w:val="21"/>
        </w:rPr>
        <w:t>五</w:t>
      </w:r>
      <w:r>
        <w:rPr>
          <w:rFonts w:hint="eastAsia" w:ascii="宋体" w:hAnsi="宋体" w:eastAsia="宋体" w:cs="Arial"/>
          <w:b/>
          <w:bCs/>
          <w:szCs w:val="21"/>
          <w:lang w:val="zh-CN"/>
        </w:rPr>
        <w:t>、分项报价表</w:t>
      </w:r>
      <w:bookmarkEnd w:id="36"/>
      <w:bookmarkEnd w:id="37"/>
      <w:bookmarkEnd w:id="38"/>
    </w:p>
    <w:p w14:paraId="2A746C9B">
      <w:pPr>
        <w:widowControl w:val="0"/>
        <w:spacing w:line="360" w:lineRule="auto"/>
        <w:jc w:val="center"/>
        <w:rPr>
          <w:rFonts w:hint="eastAsia" w:ascii="宋体" w:hAnsi="宋体" w:eastAsia="宋体" w:cs="Arial"/>
          <w:b/>
          <w:bCs/>
          <w:sz w:val="32"/>
          <w:szCs w:val="32"/>
          <w:lang w:val="zh-CN"/>
        </w:rPr>
      </w:pPr>
      <w:r>
        <w:rPr>
          <w:rFonts w:hint="eastAsia" w:ascii="宋体" w:hAnsi="宋体" w:eastAsia="宋体" w:cs="Arial"/>
          <w:b/>
          <w:bCs/>
          <w:sz w:val="32"/>
          <w:szCs w:val="32"/>
          <w:lang w:val="zh-CN"/>
        </w:rPr>
        <w:t>分项报价表</w:t>
      </w:r>
    </w:p>
    <w:p w14:paraId="4F77309A">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投标人全称（CA公章）：               </w:t>
      </w:r>
    </w:p>
    <w:p w14:paraId="2A9069ED">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013C64BF">
      <w:pPr>
        <w:widowControl w:val="0"/>
        <w:wordWrap w:val="0"/>
        <w:topLinePunct/>
        <w:spacing w:line="360" w:lineRule="auto"/>
        <w:rPr>
          <w:rFonts w:hint="eastAsia" w:ascii="宋体" w:hAnsi="宋体" w:eastAsia="宋体" w:cs="Arial"/>
          <w:bCs/>
          <w:sz w:val="24"/>
          <w:szCs w:val="24"/>
        </w:rPr>
      </w:pPr>
      <w:r>
        <w:rPr>
          <w:rFonts w:hint="eastAsia" w:ascii="宋体" w:hAnsi="宋体" w:eastAsia="宋体" w:cs="Arial"/>
          <w:bCs/>
          <w:sz w:val="24"/>
          <w:szCs w:val="24"/>
        </w:rPr>
        <w:t>项目编号：</w:t>
      </w:r>
    </w:p>
    <w:p w14:paraId="4339D960">
      <w:pPr>
        <w:pStyle w:val="19"/>
        <w:ind w:left="0" w:leftChars="0" w:right="1470"/>
        <w:rPr>
          <w:rFonts w:hint="eastAsia" w:ascii="宋体" w:hAnsi="宋体" w:eastAsia="宋体" w:cs="Arial"/>
          <w:bCs/>
          <w:sz w:val="24"/>
          <w:szCs w:val="24"/>
        </w:rPr>
      </w:pPr>
      <w:r>
        <w:rPr>
          <w:rFonts w:hint="eastAsia" w:ascii="宋体" w:hAnsi="宋体" w:eastAsia="宋体" w:cs="Arial"/>
          <w:bCs/>
          <w:sz w:val="24"/>
          <w:szCs w:val="24"/>
        </w:rPr>
        <w:t xml:space="preserve">分 包 号：    </w:t>
      </w:r>
    </w:p>
    <w:tbl>
      <w:tblPr>
        <w:tblStyle w:val="37"/>
        <w:tblW w:w="10425" w:type="dxa"/>
        <w:tblInd w:w="-4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5"/>
        <w:gridCol w:w="2615"/>
        <w:gridCol w:w="1211"/>
        <w:gridCol w:w="1256"/>
        <w:gridCol w:w="1181"/>
        <w:gridCol w:w="1612"/>
        <w:gridCol w:w="930"/>
        <w:gridCol w:w="915"/>
      </w:tblGrid>
      <w:tr w14:paraId="1896F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05" w:type="dxa"/>
            <w:vAlign w:val="center"/>
          </w:tcPr>
          <w:p w14:paraId="1D551412">
            <w:pPr>
              <w:jc w:val="center"/>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序号</w:t>
            </w:r>
          </w:p>
        </w:tc>
        <w:tc>
          <w:tcPr>
            <w:tcW w:w="2615" w:type="dxa"/>
            <w:vAlign w:val="center"/>
          </w:tcPr>
          <w:p w14:paraId="63EFC91C">
            <w:pPr>
              <w:jc w:val="center"/>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项目名称</w:t>
            </w:r>
          </w:p>
        </w:tc>
        <w:tc>
          <w:tcPr>
            <w:tcW w:w="1211" w:type="dxa"/>
            <w:vAlign w:val="center"/>
          </w:tcPr>
          <w:p w14:paraId="01031775">
            <w:pPr>
              <w:jc w:val="center"/>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单位</w:t>
            </w:r>
          </w:p>
        </w:tc>
        <w:tc>
          <w:tcPr>
            <w:tcW w:w="1256" w:type="dxa"/>
            <w:shd w:val="clear" w:color="auto" w:fill="auto"/>
            <w:vAlign w:val="center"/>
          </w:tcPr>
          <w:p w14:paraId="6EA7A6A3">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预算单价</w:t>
            </w:r>
          </w:p>
        </w:tc>
        <w:tc>
          <w:tcPr>
            <w:tcW w:w="1181" w:type="dxa"/>
            <w:shd w:val="clear" w:color="auto" w:fill="auto"/>
            <w:vAlign w:val="center"/>
          </w:tcPr>
          <w:p w14:paraId="30B0B1D4">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投标</w:t>
            </w:r>
            <w:r>
              <w:rPr>
                <w:rFonts w:hint="eastAsia" w:ascii="宋体" w:hAnsi="宋体" w:eastAsia="宋体" w:cs="宋体"/>
                <w:b/>
                <w:bCs/>
                <w:sz w:val="24"/>
                <w:szCs w:val="24"/>
                <w:highlight w:val="none"/>
              </w:rPr>
              <w:t>单价</w:t>
            </w:r>
          </w:p>
        </w:tc>
        <w:tc>
          <w:tcPr>
            <w:tcW w:w="1612" w:type="dxa"/>
            <w:shd w:val="clear" w:color="auto" w:fill="auto"/>
            <w:vAlign w:val="center"/>
          </w:tcPr>
          <w:p w14:paraId="05A2E5B7">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优惠折扣率</w:t>
            </w:r>
          </w:p>
          <w:p w14:paraId="55534CD6">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（投标单价/预算单价）</w:t>
            </w:r>
          </w:p>
        </w:tc>
        <w:tc>
          <w:tcPr>
            <w:tcW w:w="930" w:type="dxa"/>
            <w:shd w:val="clear" w:color="auto" w:fill="auto"/>
            <w:vAlign w:val="center"/>
          </w:tcPr>
          <w:p w14:paraId="77B77FC9">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权数</w:t>
            </w:r>
          </w:p>
        </w:tc>
        <w:tc>
          <w:tcPr>
            <w:tcW w:w="915" w:type="dxa"/>
            <w:shd w:val="clear" w:color="auto" w:fill="auto"/>
            <w:vAlign w:val="center"/>
          </w:tcPr>
          <w:p w14:paraId="55AE3E40">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7C884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0" w:hRule="atLeast"/>
        </w:trPr>
        <w:tc>
          <w:tcPr>
            <w:tcW w:w="705" w:type="dxa"/>
            <w:vAlign w:val="center"/>
          </w:tcPr>
          <w:p w14:paraId="73837429">
            <w:pPr>
              <w:widowControl w:val="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1</w:t>
            </w:r>
          </w:p>
        </w:tc>
        <w:tc>
          <w:tcPr>
            <w:tcW w:w="2615" w:type="dxa"/>
            <w:vAlign w:val="center"/>
          </w:tcPr>
          <w:p w14:paraId="150C47C0">
            <w:pPr>
              <w:widowControl w:val="0"/>
              <w:wordWrap w:val="0"/>
              <w:topLinePunct/>
              <w:spacing w:line="360" w:lineRule="auto"/>
              <w:rPr>
                <w:rFonts w:hint="eastAsia" w:ascii="宋体" w:hAnsi="宋体" w:eastAsia="宋体" w:cs="宋体"/>
                <w:sz w:val="24"/>
                <w:szCs w:val="24"/>
                <w:lang w:eastAsia="en-US"/>
              </w:rPr>
            </w:pPr>
            <w:r>
              <w:rPr>
                <w:rFonts w:hint="eastAsia" w:ascii="宋体" w:hAnsi="宋体" w:eastAsia="宋体" w:cs="宋体"/>
                <w:sz w:val="24"/>
                <w:szCs w:val="24"/>
                <w:lang w:val="zh-CN"/>
              </w:rPr>
              <w:t>大型车(长度低于12米)</w:t>
            </w:r>
          </w:p>
        </w:tc>
        <w:tc>
          <w:tcPr>
            <w:tcW w:w="1211" w:type="dxa"/>
            <w:vAlign w:val="center"/>
          </w:tcPr>
          <w:p w14:paraId="13295829">
            <w:pPr>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元/天·辆</w:t>
            </w:r>
          </w:p>
        </w:tc>
        <w:tc>
          <w:tcPr>
            <w:tcW w:w="1256" w:type="dxa"/>
            <w:shd w:val="clear" w:color="auto" w:fill="auto"/>
            <w:vAlign w:val="center"/>
          </w:tcPr>
          <w:p w14:paraId="3427D4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40</w:t>
            </w:r>
          </w:p>
        </w:tc>
        <w:tc>
          <w:tcPr>
            <w:tcW w:w="1181" w:type="dxa"/>
            <w:shd w:val="clear" w:color="auto" w:fill="auto"/>
            <w:vAlign w:val="center"/>
          </w:tcPr>
          <w:p w14:paraId="7709F754">
            <w:pPr>
              <w:jc w:val="center"/>
              <w:rPr>
                <w:rFonts w:hint="eastAsia" w:ascii="宋体" w:hAnsi="宋体" w:eastAsia="宋体" w:cs="宋体"/>
                <w:sz w:val="24"/>
                <w:szCs w:val="24"/>
                <w:highlight w:val="none"/>
                <w:lang w:eastAsia="en-US"/>
              </w:rPr>
            </w:pPr>
          </w:p>
        </w:tc>
        <w:tc>
          <w:tcPr>
            <w:tcW w:w="1612" w:type="dxa"/>
            <w:shd w:val="clear" w:color="auto" w:fill="auto"/>
            <w:vAlign w:val="center"/>
          </w:tcPr>
          <w:p w14:paraId="546236AB">
            <w:pPr>
              <w:jc w:val="center"/>
              <w:rPr>
                <w:rFonts w:hint="eastAsia" w:ascii="宋体" w:hAnsi="宋体" w:eastAsia="宋体" w:cs="宋体"/>
                <w:sz w:val="24"/>
                <w:szCs w:val="24"/>
                <w:highlight w:val="none"/>
                <w:lang w:eastAsia="en-US"/>
              </w:rPr>
            </w:pPr>
          </w:p>
        </w:tc>
        <w:tc>
          <w:tcPr>
            <w:tcW w:w="930" w:type="dxa"/>
            <w:shd w:val="clear" w:color="auto" w:fill="auto"/>
            <w:vAlign w:val="center"/>
          </w:tcPr>
          <w:p w14:paraId="56D8205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c>
          <w:tcPr>
            <w:tcW w:w="915" w:type="dxa"/>
            <w:vMerge w:val="restart"/>
            <w:shd w:val="clear" w:color="auto" w:fill="auto"/>
            <w:vAlign w:val="center"/>
          </w:tcPr>
          <w:p w14:paraId="3C5DFB8E">
            <w:pPr>
              <w:tabs>
                <w:tab w:val="left" w:pos="25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投标单价不得高于预算单价</w:t>
            </w:r>
          </w:p>
        </w:tc>
      </w:tr>
      <w:tr w14:paraId="62F9B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05" w:type="dxa"/>
            <w:vAlign w:val="center"/>
          </w:tcPr>
          <w:p w14:paraId="1442FA1E">
            <w:pPr>
              <w:widowControl w:val="0"/>
              <w:spacing w:before="135"/>
              <w:ind w:left="1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2</w:t>
            </w:r>
          </w:p>
        </w:tc>
        <w:tc>
          <w:tcPr>
            <w:tcW w:w="2615" w:type="dxa"/>
            <w:vAlign w:val="center"/>
          </w:tcPr>
          <w:p w14:paraId="688211DC">
            <w:pPr>
              <w:widowControl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大型车(长度超过12米,含12米) </w:t>
            </w:r>
          </w:p>
        </w:tc>
        <w:tc>
          <w:tcPr>
            <w:tcW w:w="1211" w:type="dxa"/>
            <w:vAlign w:val="center"/>
          </w:tcPr>
          <w:p w14:paraId="60F41144">
            <w:pPr>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元/天·辆</w:t>
            </w:r>
          </w:p>
        </w:tc>
        <w:tc>
          <w:tcPr>
            <w:tcW w:w="1256" w:type="dxa"/>
            <w:shd w:val="clear" w:color="auto" w:fill="auto"/>
            <w:vAlign w:val="center"/>
          </w:tcPr>
          <w:p w14:paraId="0E47509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60</w:t>
            </w:r>
          </w:p>
        </w:tc>
        <w:tc>
          <w:tcPr>
            <w:tcW w:w="1181" w:type="dxa"/>
            <w:shd w:val="clear" w:color="auto" w:fill="auto"/>
            <w:vAlign w:val="center"/>
          </w:tcPr>
          <w:p w14:paraId="60EAB5F9">
            <w:pPr>
              <w:jc w:val="center"/>
              <w:rPr>
                <w:rFonts w:hint="eastAsia" w:ascii="宋体" w:hAnsi="宋体" w:eastAsia="宋体" w:cs="宋体"/>
                <w:sz w:val="24"/>
                <w:szCs w:val="24"/>
                <w:highlight w:val="none"/>
                <w:lang w:eastAsia="en-US"/>
              </w:rPr>
            </w:pPr>
          </w:p>
        </w:tc>
        <w:tc>
          <w:tcPr>
            <w:tcW w:w="1612" w:type="dxa"/>
            <w:shd w:val="clear" w:color="auto" w:fill="auto"/>
            <w:vAlign w:val="center"/>
          </w:tcPr>
          <w:p w14:paraId="2753EF7E">
            <w:pPr>
              <w:jc w:val="center"/>
              <w:rPr>
                <w:rFonts w:hint="eastAsia" w:ascii="宋体" w:hAnsi="宋体" w:eastAsia="宋体" w:cs="宋体"/>
                <w:sz w:val="24"/>
                <w:szCs w:val="24"/>
                <w:highlight w:val="none"/>
                <w:lang w:eastAsia="en-US"/>
              </w:rPr>
            </w:pPr>
          </w:p>
        </w:tc>
        <w:tc>
          <w:tcPr>
            <w:tcW w:w="930" w:type="dxa"/>
            <w:shd w:val="clear" w:color="auto" w:fill="auto"/>
            <w:vAlign w:val="center"/>
          </w:tcPr>
          <w:p w14:paraId="5A178D0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c>
          <w:tcPr>
            <w:tcW w:w="915" w:type="dxa"/>
            <w:vMerge w:val="continue"/>
            <w:shd w:val="clear" w:color="auto" w:fill="auto"/>
            <w:vAlign w:val="center"/>
          </w:tcPr>
          <w:p w14:paraId="548A916C">
            <w:pPr>
              <w:jc w:val="center"/>
              <w:rPr>
                <w:rFonts w:hint="eastAsia" w:ascii="宋体" w:hAnsi="宋体" w:eastAsia="宋体" w:cs="宋体"/>
                <w:sz w:val="24"/>
                <w:szCs w:val="24"/>
                <w:highlight w:val="none"/>
              </w:rPr>
            </w:pPr>
          </w:p>
        </w:tc>
      </w:tr>
      <w:tr w14:paraId="33955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705" w:type="dxa"/>
            <w:vAlign w:val="center"/>
          </w:tcPr>
          <w:p w14:paraId="22321869">
            <w:pPr>
              <w:widowControl w:val="0"/>
              <w:spacing w:before="135"/>
              <w:ind w:left="1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3</w:t>
            </w:r>
          </w:p>
        </w:tc>
        <w:tc>
          <w:tcPr>
            <w:tcW w:w="2615" w:type="dxa"/>
            <w:vAlign w:val="center"/>
          </w:tcPr>
          <w:p w14:paraId="76DF3D1F">
            <w:pPr>
              <w:widowControl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小型车（</w:t>
            </w:r>
            <w:r>
              <w:rPr>
                <w:rFonts w:hint="eastAsia" w:ascii="宋体" w:hAnsi="宋体" w:eastAsia="宋体" w:cs="宋体"/>
                <w:sz w:val="24"/>
                <w:szCs w:val="24"/>
              </w:rPr>
              <w:t>大型车以外的车辆</w:t>
            </w:r>
            <w:r>
              <w:rPr>
                <w:rFonts w:hint="eastAsia" w:ascii="宋体" w:hAnsi="宋体" w:eastAsia="宋体" w:cs="宋体"/>
                <w:sz w:val="24"/>
                <w:szCs w:val="24"/>
                <w:lang w:val="zh-CN"/>
              </w:rPr>
              <w:t>）</w:t>
            </w:r>
          </w:p>
        </w:tc>
        <w:tc>
          <w:tcPr>
            <w:tcW w:w="1211" w:type="dxa"/>
            <w:vAlign w:val="center"/>
          </w:tcPr>
          <w:p w14:paraId="6D38CB51">
            <w:pPr>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元/天·辆</w:t>
            </w:r>
          </w:p>
        </w:tc>
        <w:tc>
          <w:tcPr>
            <w:tcW w:w="1256" w:type="dxa"/>
            <w:shd w:val="clear" w:color="auto" w:fill="auto"/>
            <w:vAlign w:val="center"/>
          </w:tcPr>
          <w:p w14:paraId="36DCC2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1181" w:type="dxa"/>
            <w:shd w:val="clear" w:color="auto" w:fill="auto"/>
            <w:vAlign w:val="center"/>
          </w:tcPr>
          <w:p w14:paraId="4E1B03D8">
            <w:pPr>
              <w:jc w:val="center"/>
              <w:rPr>
                <w:rFonts w:hint="eastAsia" w:ascii="宋体" w:hAnsi="宋体" w:eastAsia="宋体" w:cs="宋体"/>
                <w:sz w:val="24"/>
                <w:szCs w:val="24"/>
                <w:highlight w:val="none"/>
                <w:lang w:eastAsia="en-US"/>
              </w:rPr>
            </w:pPr>
          </w:p>
        </w:tc>
        <w:tc>
          <w:tcPr>
            <w:tcW w:w="1612" w:type="dxa"/>
            <w:shd w:val="clear" w:color="auto" w:fill="auto"/>
            <w:vAlign w:val="center"/>
          </w:tcPr>
          <w:p w14:paraId="7D6F5D2B">
            <w:pPr>
              <w:jc w:val="center"/>
              <w:rPr>
                <w:rFonts w:hint="eastAsia" w:ascii="宋体" w:hAnsi="宋体" w:eastAsia="宋体" w:cs="宋体"/>
                <w:sz w:val="24"/>
                <w:szCs w:val="24"/>
                <w:highlight w:val="none"/>
                <w:lang w:eastAsia="en-US"/>
              </w:rPr>
            </w:pPr>
          </w:p>
        </w:tc>
        <w:tc>
          <w:tcPr>
            <w:tcW w:w="930" w:type="dxa"/>
            <w:shd w:val="clear" w:color="auto" w:fill="auto"/>
            <w:vAlign w:val="center"/>
          </w:tcPr>
          <w:p w14:paraId="3456237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c>
          <w:tcPr>
            <w:tcW w:w="915" w:type="dxa"/>
            <w:vMerge w:val="continue"/>
            <w:shd w:val="clear" w:color="auto" w:fill="auto"/>
            <w:vAlign w:val="center"/>
          </w:tcPr>
          <w:p w14:paraId="679AAABF">
            <w:pPr>
              <w:jc w:val="center"/>
              <w:rPr>
                <w:rFonts w:hint="eastAsia" w:ascii="宋体" w:hAnsi="宋体" w:eastAsia="宋体" w:cs="宋体"/>
                <w:sz w:val="24"/>
                <w:szCs w:val="24"/>
                <w:highlight w:val="none"/>
              </w:rPr>
            </w:pPr>
          </w:p>
        </w:tc>
      </w:tr>
      <w:tr w14:paraId="123C0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05" w:type="dxa"/>
            <w:vAlign w:val="center"/>
          </w:tcPr>
          <w:p w14:paraId="02FEE45A">
            <w:pPr>
              <w:widowControl w:val="0"/>
              <w:spacing w:before="135"/>
              <w:ind w:left="1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4</w:t>
            </w:r>
          </w:p>
        </w:tc>
        <w:tc>
          <w:tcPr>
            <w:tcW w:w="2615" w:type="dxa"/>
            <w:vAlign w:val="center"/>
          </w:tcPr>
          <w:p w14:paraId="078B0F0A">
            <w:pPr>
              <w:widowControl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摩托车（</w:t>
            </w:r>
            <w:r>
              <w:rPr>
                <w:rFonts w:hint="eastAsia" w:ascii="宋体" w:hAnsi="宋体" w:eastAsia="宋体" w:cs="宋体"/>
                <w:sz w:val="24"/>
                <w:szCs w:val="24"/>
              </w:rPr>
              <w:t>含</w:t>
            </w:r>
            <w:r>
              <w:rPr>
                <w:rFonts w:hint="eastAsia" w:ascii="宋体" w:hAnsi="宋体" w:eastAsia="宋体" w:cs="宋体"/>
                <w:sz w:val="24"/>
                <w:szCs w:val="24"/>
                <w:lang w:val="zh-CN"/>
              </w:rPr>
              <w:t>农用车、</w:t>
            </w:r>
            <w:r>
              <w:rPr>
                <w:rFonts w:hint="eastAsia" w:ascii="宋体" w:hAnsi="宋体" w:eastAsia="宋体" w:cs="宋体"/>
                <w:sz w:val="24"/>
                <w:szCs w:val="24"/>
              </w:rPr>
              <w:t>轻摩、机动或电动三轮车</w:t>
            </w:r>
            <w:r>
              <w:rPr>
                <w:rFonts w:hint="eastAsia" w:ascii="宋体" w:hAnsi="宋体" w:eastAsia="宋体" w:cs="宋体"/>
                <w:sz w:val="24"/>
                <w:szCs w:val="24"/>
                <w:lang w:val="zh-CN"/>
              </w:rPr>
              <w:t>）</w:t>
            </w:r>
          </w:p>
        </w:tc>
        <w:tc>
          <w:tcPr>
            <w:tcW w:w="1211" w:type="dxa"/>
            <w:vAlign w:val="center"/>
          </w:tcPr>
          <w:p w14:paraId="7CCCAAE7">
            <w:pPr>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元/天·辆</w:t>
            </w:r>
          </w:p>
        </w:tc>
        <w:tc>
          <w:tcPr>
            <w:tcW w:w="1256" w:type="dxa"/>
            <w:shd w:val="clear" w:color="auto" w:fill="auto"/>
            <w:vAlign w:val="center"/>
          </w:tcPr>
          <w:p w14:paraId="52C560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1181" w:type="dxa"/>
            <w:shd w:val="clear" w:color="auto" w:fill="auto"/>
            <w:vAlign w:val="center"/>
          </w:tcPr>
          <w:p w14:paraId="79163A38">
            <w:pPr>
              <w:jc w:val="center"/>
              <w:rPr>
                <w:rFonts w:hint="eastAsia" w:ascii="宋体" w:hAnsi="宋体" w:eastAsia="宋体" w:cs="宋体"/>
                <w:sz w:val="24"/>
                <w:szCs w:val="24"/>
                <w:highlight w:val="none"/>
                <w:lang w:eastAsia="en-US"/>
              </w:rPr>
            </w:pPr>
          </w:p>
        </w:tc>
        <w:tc>
          <w:tcPr>
            <w:tcW w:w="1612" w:type="dxa"/>
            <w:shd w:val="clear" w:color="auto" w:fill="auto"/>
            <w:vAlign w:val="center"/>
          </w:tcPr>
          <w:p w14:paraId="64C4623D">
            <w:pPr>
              <w:jc w:val="center"/>
              <w:rPr>
                <w:rFonts w:hint="eastAsia" w:ascii="宋体" w:hAnsi="宋体" w:eastAsia="宋体" w:cs="宋体"/>
                <w:sz w:val="24"/>
                <w:szCs w:val="24"/>
                <w:highlight w:val="none"/>
                <w:lang w:eastAsia="en-US"/>
              </w:rPr>
            </w:pPr>
          </w:p>
        </w:tc>
        <w:tc>
          <w:tcPr>
            <w:tcW w:w="930" w:type="dxa"/>
            <w:shd w:val="clear" w:color="auto" w:fill="auto"/>
            <w:vAlign w:val="center"/>
          </w:tcPr>
          <w:p w14:paraId="5CF9AD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c>
          <w:tcPr>
            <w:tcW w:w="915" w:type="dxa"/>
            <w:vMerge w:val="continue"/>
            <w:shd w:val="clear" w:color="auto" w:fill="auto"/>
            <w:vAlign w:val="center"/>
          </w:tcPr>
          <w:p w14:paraId="7184E46C">
            <w:pPr>
              <w:jc w:val="center"/>
              <w:rPr>
                <w:rFonts w:hint="eastAsia" w:ascii="宋体" w:hAnsi="宋体" w:eastAsia="宋体" w:cs="宋体"/>
                <w:sz w:val="24"/>
                <w:szCs w:val="24"/>
                <w:highlight w:val="none"/>
              </w:rPr>
            </w:pPr>
          </w:p>
        </w:tc>
      </w:tr>
      <w:tr w14:paraId="1183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705" w:type="dxa"/>
            <w:vAlign w:val="center"/>
          </w:tcPr>
          <w:p w14:paraId="23A76E13">
            <w:pPr>
              <w:widowControl w:val="0"/>
              <w:spacing w:before="4"/>
              <w:rPr>
                <w:rFonts w:hint="eastAsia" w:ascii="宋体" w:hAnsi="宋体" w:eastAsia="宋体" w:cs="宋体"/>
                <w:sz w:val="24"/>
                <w:szCs w:val="24"/>
                <w:lang w:eastAsia="en-US"/>
              </w:rPr>
            </w:pPr>
          </w:p>
          <w:p w14:paraId="693690D6">
            <w:pPr>
              <w:widowControl w:val="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5</w:t>
            </w:r>
          </w:p>
        </w:tc>
        <w:tc>
          <w:tcPr>
            <w:tcW w:w="2615" w:type="dxa"/>
            <w:vAlign w:val="center"/>
          </w:tcPr>
          <w:p w14:paraId="6D5F5BF3">
            <w:pPr>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电动自行车（含助力车、残疾人专用车、人力三轮车）</w:t>
            </w:r>
          </w:p>
        </w:tc>
        <w:tc>
          <w:tcPr>
            <w:tcW w:w="1211" w:type="dxa"/>
            <w:vAlign w:val="center"/>
          </w:tcPr>
          <w:p w14:paraId="7E575CEE">
            <w:pPr>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元/天·辆</w:t>
            </w:r>
          </w:p>
        </w:tc>
        <w:tc>
          <w:tcPr>
            <w:tcW w:w="1256" w:type="dxa"/>
            <w:shd w:val="clear" w:color="auto" w:fill="auto"/>
            <w:vAlign w:val="center"/>
          </w:tcPr>
          <w:p w14:paraId="789506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81" w:type="dxa"/>
            <w:shd w:val="clear" w:color="auto" w:fill="auto"/>
            <w:vAlign w:val="center"/>
          </w:tcPr>
          <w:p w14:paraId="0831E4ED">
            <w:pPr>
              <w:jc w:val="center"/>
              <w:rPr>
                <w:rFonts w:hint="eastAsia" w:ascii="宋体" w:hAnsi="宋体" w:eastAsia="宋体" w:cs="宋体"/>
                <w:sz w:val="24"/>
                <w:szCs w:val="24"/>
                <w:highlight w:val="none"/>
                <w:lang w:eastAsia="en-US"/>
              </w:rPr>
            </w:pPr>
          </w:p>
        </w:tc>
        <w:tc>
          <w:tcPr>
            <w:tcW w:w="1612" w:type="dxa"/>
            <w:shd w:val="clear" w:color="auto" w:fill="auto"/>
            <w:vAlign w:val="center"/>
          </w:tcPr>
          <w:p w14:paraId="7D280979">
            <w:pPr>
              <w:jc w:val="center"/>
              <w:rPr>
                <w:rFonts w:hint="eastAsia" w:ascii="宋体" w:hAnsi="宋体" w:eastAsia="宋体" w:cs="宋体"/>
                <w:sz w:val="24"/>
                <w:szCs w:val="24"/>
                <w:highlight w:val="none"/>
                <w:lang w:eastAsia="en-US"/>
              </w:rPr>
            </w:pPr>
          </w:p>
        </w:tc>
        <w:tc>
          <w:tcPr>
            <w:tcW w:w="930" w:type="dxa"/>
            <w:shd w:val="clear" w:color="auto" w:fill="auto"/>
            <w:vAlign w:val="center"/>
          </w:tcPr>
          <w:p w14:paraId="04005BB3">
            <w:pPr>
              <w:jc w:val="center"/>
              <w:rPr>
                <w:rFonts w:hint="eastAsia" w:ascii="宋体" w:hAnsi="宋体" w:eastAsia="宋体" w:cs="宋体"/>
                <w:sz w:val="24"/>
                <w:szCs w:val="24"/>
                <w:highlight w:val="none"/>
                <w:lang w:eastAsia="en-US"/>
              </w:rPr>
            </w:pPr>
          </w:p>
          <w:p w14:paraId="1CCA958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rPr>
              <w:t>15</w:t>
            </w:r>
          </w:p>
        </w:tc>
        <w:tc>
          <w:tcPr>
            <w:tcW w:w="915" w:type="dxa"/>
            <w:vMerge w:val="continue"/>
            <w:shd w:val="clear" w:color="auto" w:fill="auto"/>
            <w:vAlign w:val="center"/>
          </w:tcPr>
          <w:p w14:paraId="22D6478A">
            <w:pPr>
              <w:jc w:val="center"/>
              <w:rPr>
                <w:rFonts w:hint="eastAsia" w:ascii="宋体" w:hAnsi="宋体" w:eastAsia="宋体" w:cs="宋体"/>
                <w:sz w:val="24"/>
                <w:szCs w:val="24"/>
                <w:highlight w:val="none"/>
              </w:rPr>
            </w:pPr>
          </w:p>
        </w:tc>
      </w:tr>
      <w:tr w14:paraId="13BCF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705" w:type="dxa"/>
          </w:tcPr>
          <w:p w14:paraId="7041EF1E">
            <w:pPr>
              <w:widowControl w:val="0"/>
              <w:rPr>
                <w:rFonts w:hint="eastAsia" w:ascii="宋体" w:hAnsi="宋体" w:eastAsia="宋体" w:cs="宋体"/>
                <w:sz w:val="24"/>
                <w:szCs w:val="24"/>
                <w:lang w:eastAsia="en-US"/>
              </w:rPr>
            </w:pPr>
          </w:p>
        </w:tc>
        <w:tc>
          <w:tcPr>
            <w:tcW w:w="6263" w:type="dxa"/>
            <w:gridSpan w:val="4"/>
            <w:shd w:val="clear" w:color="auto" w:fill="auto"/>
            <w:vAlign w:val="center"/>
          </w:tcPr>
          <w:p w14:paraId="2C7F4404">
            <w:pPr>
              <w:widowControl w:val="0"/>
              <w:jc w:val="center"/>
              <w:rPr>
                <w:rFonts w:hint="eastAsia" w:ascii="宋体" w:hAnsi="宋体" w:eastAsia="宋体" w:cs="宋体"/>
                <w:b/>
                <w:sz w:val="24"/>
                <w:szCs w:val="24"/>
                <w:lang w:eastAsia="en-US"/>
              </w:rPr>
            </w:pPr>
            <w:r>
              <w:rPr>
                <w:rFonts w:hint="eastAsia" w:ascii="宋体" w:hAnsi="宋体" w:eastAsia="宋体" w:cs="宋体"/>
                <w:b/>
                <w:sz w:val="24"/>
                <w:szCs w:val="24"/>
                <w:lang w:eastAsia="en-US"/>
              </w:rPr>
              <w:t>加权平均综合单价</w:t>
            </w:r>
          </w:p>
        </w:tc>
        <w:tc>
          <w:tcPr>
            <w:tcW w:w="1612" w:type="dxa"/>
            <w:shd w:val="clear" w:color="auto" w:fill="auto"/>
            <w:vAlign w:val="center"/>
          </w:tcPr>
          <w:p w14:paraId="29611982">
            <w:pPr>
              <w:widowControl w:val="0"/>
              <w:jc w:val="center"/>
              <w:rPr>
                <w:rFonts w:hint="eastAsia" w:ascii="宋体" w:hAnsi="宋体" w:eastAsia="宋体" w:cs="宋体"/>
                <w:sz w:val="24"/>
                <w:szCs w:val="24"/>
                <w:lang w:eastAsia="en-US"/>
              </w:rPr>
            </w:pPr>
          </w:p>
        </w:tc>
        <w:tc>
          <w:tcPr>
            <w:tcW w:w="930" w:type="dxa"/>
            <w:shd w:val="clear" w:color="auto" w:fill="auto"/>
            <w:vAlign w:val="center"/>
          </w:tcPr>
          <w:p w14:paraId="0D1C51B8">
            <w:pPr>
              <w:widowControl w:val="0"/>
              <w:jc w:val="center"/>
              <w:rPr>
                <w:rFonts w:hint="eastAsia" w:ascii="宋体" w:hAnsi="宋体" w:eastAsia="宋体" w:cs="宋体"/>
                <w:sz w:val="24"/>
                <w:szCs w:val="24"/>
              </w:rPr>
            </w:pPr>
            <w:r>
              <w:rPr>
                <w:rFonts w:hint="eastAsia" w:ascii="宋体" w:hAnsi="宋体" w:eastAsia="宋体" w:cs="宋体"/>
                <w:sz w:val="24"/>
                <w:szCs w:val="24"/>
              </w:rPr>
              <w:t>1</w:t>
            </w:r>
          </w:p>
        </w:tc>
        <w:tc>
          <w:tcPr>
            <w:tcW w:w="915" w:type="dxa"/>
            <w:shd w:val="clear" w:color="auto" w:fill="auto"/>
            <w:vAlign w:val="center"/>
          </w:tcPr>
          <w:p w14:paraId="1277A9E2">
            <w:pPr>
              <w:widowControl w:val="0"/>
              <w:rPr>
                <w:rFonts w:hint="eastAsia" w:ascii="宋体" w:hAnsi="宋体" w:eastAsia="宋体" w:cs="宋体"/>
                <w:sz w:val="24"/>
                <w:szCs w:val="24"/>
                <w:lang w:eastAsia="en-US"/>
              </w:rPr>
            </w:pPr>
          </w:p>
        </w:tc>
      </w:tr>
    </w:tbl>
    <w:p w14:paraId="52B9C408">
      <w:pPr>
        <w:pStyle w:val="19"/>
        <w:ind w:left="0" w:leftChars="0" w:right="1470"/>
        <w:jc w:val="center"/>
        <w:rPr>
          <w:rFonts w:hint="eastAsia" w:ascii="宋体" w:hAnsi="宋体" w:eastAsia="宋体" w:cs="Arial"/>
          <w:bCs/>
          <w:sz w:val="24"/>
          <w:szCs w:val="24"/>
        </w:rPr>
      </w:pPr>
    </w:p>
    <w:p w14:paraId="3BA252A7">
      <w:pPr>
        <w:widowControl w:val="0"/>
        <w:spacing w:line="360" w:lineRule="auto"/>
        <w:ind w:left="480" w:hanging="480" w:hangingChars="200"/>
        <w:rPr>
          <w:rFonts w:hint="eastAsia" w:ascii="宋体" w:hAnsi="宋体" w:eastAsia="宋体" w:cs="Arial"/>
          <w:sz w:val="24"/>
          <w:szCs w:val="24"/>
        </w:rPr>
      </w:pPr>
      <w:r>
        <w:rPr>
          <w:rFonts w:hint="eastAsia" w:ascii="宋体" w:hAnsi="宋体" w:eastAsia="宋体" w:cs="Arial"/>
          <w:sz w:val="24"/>
          <w:szCs w:val="24"/>
        </w:rPr>
        <w:t>投标报价表须包括下列内容：招标清单及单项单价报价表</w:t>
      </w:r>
    </w:p>
    <w:p w14:paraId="5D49B226">
      <w:pPr>
        <w:widowControl w:val="0"/>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注：1、投标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p>
    <w:p w14:paraId="6F4441B4">
      <w:pPr>
        <w:widowControl w:val="0"/>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2、优惠折扣率在合同存续期间（包括续签）不得调整。</w:t>
      </w:r>
    </w:p>
    <w:p w14:paraId="289997CB">
      <w:pPr>
        <w:widowControl w:val="0"/>
        <w:spacing w:line="360" w:lineRule="auto"/>
        <w:ind w:firstLine="480" w:firstLineChars="200"/>
        <w:rPr>
          <w:rFonts w:hint="eastAsia" w:ascii="宋体" w:hAnsi="宋体" w:eastAsia="宋体" w:cs="Times New Roman"/>
          <w:sz w:val="24"/>
          <w:szCs w:val="24"/>
          <w:highlight w:val="none"/>
        </w:rPr>
      </w:pPr>
      <w:r>
        <w:rPr>
          <w:rFonts w:hint="eastAsia" w:ascii="宋体" w:hAnsi="宋体" w:eastAsia="宋体" w:cs="Arial"/>
          <w:sz w:val="24"/>
          <w:szCs w:val="24"/>
          <w:highlight w:val="none"/>
        </w:rPr>
        <w:t>3、加权平均综合单价=∑（单项单价×相应权数）=大型车(长度低于12米)单项单价×1/15+大型车(长度超过12米，含12米)单项单价×1/15+小型车</w:t>
      </w:r>
      <w:r>
        <w:rPr>
          <w:rFonts w:hint="eastAsia" w:ascii="宋体" w:hAnsi="宋体" w:eastAsia="宋体" w:cs="Arial"/>
          <w:sz w:val="24"/>
          <w:szCs w:val="24"/>
          <w:highlight w:val="none"/>
          <w:lang w:val="zh-CN"/>
        </w:rPr>
        <w:t>（</w:t>
      </w:r>
      <w:r>
        <w:rPr>
          <w:rFonts w:hint="eastAsia" w:ascii="宋体" w:hAnsi="宋体" w:eastAsia="宋体" w:cs="Arial"/>
          <w:sz w:val="24"/>
          <w:szCs w:val="24"/>
          <w:highlight w:val="none"/>
        </w:rPr>
        <w:t>大型车以外的车辆</w:t>
      </w:r>
      <w:r>
        <w:rPr>
          <w:rFonts w:hint="eastAsia" w:ascii="宋体" w:hAnsi="宋体" w:eastAsia="宋体" w:cs="Arial"/>
          <w:sz w:val="24"/>
          <w:szCs w:val="24"/>
          <w:highlight w:val="none"/>
          <w:lang w:val="zh-CN"/>
        </w:rPr>
        <w:t>）</w:t>
      </w:r>
      <w:r>
        <w:rPr>
          <w:rFonts w:hint="eastAsia" w:ascii="宋体" w:hAnsi="宋体" w:eastAsia="宋体" w:cs="Arial"/>
          <w:sz w:val="24"/>
          <w:szCs w:val="24"/>
          <w:highlight w:val="none"/>
        </w:rPr>
        <w:t>单项单价×7/15+</w:t>
      </w:r>
      <w:r>
        <w:rPr>
          <w:rFonts w:hint="eastAsia" w:ascii="宋体" w:hAnsi="宋体" w:eastAsia="宋体" w:cs="Arial"/>
          <w:sz w:val="24"/>
          <w:szCs w:val="24"/>
          <w:highlight w:val="none"/>
          <w:lang w:val="zh-CN"/>
        </w:rPr>
        <w:t>摩托车（</w:t>
      </w:r>
      <w:r>
        <w:rPr>
          <w:rFonts w:hint="eastAsia" w:ascii="宋体" w:hAnsi="宋体" w:eastAsia="宋体" w:cs="Arial"/>
          <w:sz w:val="24"/>
          <w:szCs w:val="24"/>
          <w:highlight w:val="none"/>
        </w:rPr>
        <w:t>含</w:t>
      </w:r>
      <w:r>
        <w:rPr>
          <w:rFonts w:hint="eastAsia" w:ascii="宋体" w:hAnsi="宋体" w:eastAsia="宋体" w:cs="Arial"/>
          <w:sz w:val="24"/>
          <w:szCs w:val="24"/>
          <w:highlight w:val="none"/>
          <w:lang w:val="zh-CN"/>
        </w:rPr>
        <w:t>农用车、</w:t>
      </w:r>
      <w:r>
        <w:rPr>
          <w:rFonts w:hint="eastAsia" w:ascii="宋体" w:hAnsi="宋体" w:eastAsia="宋体" w:cs="Arial"/>
          <w:sz w:val="24"/>
          <w:szCs w:val="24"/>
          <w:highlight w:val="none"/>
        </w:rPr>
        <w:t>轻摩、机动或电动三轮车</w:t>
      </w:r>
      <w:r>
        <w:rPr>
          <w:rFonts w:hint="eastAsia" w:ascii="宋体" w:hAnsi="宋体" w:eastAsia="宋体" w:cs="Arial"/>
          <w:sz w:val="24"/>
          <w:szCs w:val="24"/>
          <w:highlight w:val="none"/>
          <w:lang w:val="zh-CN"/>
        </w:rPr>
        <w:t>）</w:t>
      </w:r>
      <w:r>
        <w:rPr>
          <w:rFonts w:hint="eastAsia" w:ascii="宋体" w:hAnsi="宋体" w:eastAsia="宋体" w:cs="Arial"/>
          <w:sz w:val="24"/>
          <w:szCs w:val="24"/>
          <w:highlight w:val="none"/>
        </w:rPr>
        <w:t>单项单价×3/15+电动自行车（含助力车、残疾人专用车、人力三轮车）单项单价×3/15。</w:t>
      </w:r>
    </w:p>
    <w:p w14:paraId="526B8057">
      <w:pPr>
        <w:shd w:val="clear" w:color="auto" w:fill="FFFFFF"/>
        <w:spacing w:line="360" w:lineRule="auto"/>
        <w:outlineLvl w:val="1"/>
        <w:rPr>
          <w:rFonts w:hint="eastAsia" w:ascii="宋体" w:hAnsi="宋体" w:eastAsia="宋体" w:cs="Arial"/>
          <w:szCs w:val="21"/>
        </w:rPr>
      </w:pPr>
      <w:bookmarkStart w:id="39" w:name="_Toc28152"/>
      <w:bookmarkStart w:id="40" w:name="_Toc3069"/>
      <w:r>
        <w:rPr>
          <w:rFonts w:hint="eastAsia" w:ascii="宋体" w:hAnsi="宋体" w:eastAsia="宋体" w:cs="Arial"/>
          <w:b/>
          <w:bCs/>
          <w:szCs w:val="21"/>
        </w:rPr>
        <w:t>六、技术条款偏离表</w:t>
      </w:r>
      <w:bookmarkEnd w:id="39"/>
      <w:bookmarkEnd w:id="40"/>
    </w:p>
    <w:p w14:paraId="012759B5">
      <w:pPr>
        <w:shd w:val="clear" w:color="auto" w:fill="FFFFFF"/>
        <w:spacing w:line="360" w:lineRule="auto"/>
        <w:ind w:left="420"/>
        <w:jc w:val="center"/>
        <w:rPr>
          <w:rFonts w:hint="eastAsia" w:ascii="宋体" w:hAnsi="宋体" w:eastAsia="宋体" w:cs="Arial"/>
          <w:b/>
          <w:sz w:val="32"/>
          <w:szCs w:val="32"/>
        </w:rPr>
      </w:pPr>
      <w:r>
        <w:rPr>
          <w:rFonts w:hint="eastAsia" w:ascii="宋体" w:hAnsi="宋体" w:eastAsia="宋体" w:cs="Arial"/>
          <w:b/>
          <w:sz w:val="32"/>
          <w:szCs w:val="32"/>
        </w:rPr>
        <w:t>技术条款偏离表</w:t>
      </w:r>
    </w:p>
    <w:p w14:paraId="5DA92EE6">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3E790599">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项目编号：               </w:t>
      </w:r>
    </w:p>
    <w:p w14:paraId="43D88DEE">
      <w:pPr>
        <w:widowControl w:val="0"/>
        <w:wordWrap w:val="0"/>
        <w:topLinePunct/>
        <w:spacing w:line="360" w:lineRule="auto"/>
        <w:rPr>
          <w:rFonts w:hint="eastAsia" w:ascii="宋体" w:hAnsi="宋体" w:eastAsia="宋体" w:cs="Arial"/>
          <w:sz w:val="24"/>
          <w:szCs w:val="24"/>
        </w:rPr>
      </w:pPr>
      <w:r>
        <w:rPr>
          <w:rFonts w:hint="eastAsia" w:ascii="宋体" w:hAnsi="宋体" w:eastAsia="宋体" w:cs="Arial"/>
          <w:bCs/>
          <w:sz w:val="24"/>
          <w:szCs w:val="24"/>
        </w:rPr>
        <w:t>分 包 号：</w:t>
      </w:r>
      <w:r>
        <w:rPr>
          <w:rFonts w:ascii="宋体" w:hAnsi="宋体" w:eastAsia="宋体" w:cs="Arial"/>
          <w:sz w:val="24"/>
          <w:szCs w:val="24"/>
        </w:rPr>
        <w:t xml:space="preserve"> </w:t>
      </w:r>
    </w:p>
    <w:tbl>
      <w:tblPr>
        <w:tblStyle w:val="3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37"/>
        <w:gridCol w:w="2260"/>
        <w:gridCol w:w="1844"/>
        <w:gridCol w:w="3011"/>
        <w:gridCol w:w="1245"/>
      </w:tblGrid>
      <w:tr w14:paraId="3894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5C9CB03">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序号</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97E0CFB">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招标文件条目号</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3C4B953">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招标要求规格</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D066B35">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投标响应</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A4BCA17">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偏离</w:t>
            </w:r>
          </w:p>
        </w:tc>
      </w:tr>
      <w:tr w14:paraId="38F1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73130C6">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528E86E">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D69AF42">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A755504">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24B2C5C">
            <w:pPr>
              <w:spacing w:line="360" w:lineRule="auto"/>
              <w:jc w:val="center"/>
              <w:rPr>
                <w:rFonts w:hint="eastAsia" w:ascii="宋体" w:hAnsi="宋体" w:eastAsia="宋体" w:cs="Arial"/>
                <w:sz w:val="24"/>
                <w:szCs w:val="24"/>
              </w:rPr>
            </w:pPr>
            <w:r>
              <w:rPr>
                <w:rFonts w:ascii="宋体" w:hAnsi="宋体" w:eastAsia="宋体" w:cs="Arial"/>
                <w:sz w:val="24"/>
                <w:szCs w:val="24"/>
              </w:rPr>
              <w:t> </w:t>
            </w:r>
          </w:p>
        </w:tc>
      </w:tr>
      <w:tr w14:paraId="268B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28FA30A">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B6E7CFD">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8BDE541">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810C575">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673E0FD">
            <w:pPr>
              <w:spacing w:line="360" w:lineRule="auto"/>
              <w:jc w:val="center"/>
              <w:rPr>
                <w:rFonts w:hint="eastAsia" w:ascii="宋体" w:hAnsi="宋体" w:eastAsia="宋体" w:cs="Arial"/>
                <w:sz w:val="24"/>
                <w:szCs w:val="24"/>
              </w:rPr>
            </w:pPr>
            <w:r>
              <w:rPr>
                <w:rFonts w:ascii="宋体" w:hAnsi="宋体" w:eastAsia="宋体" w:cs="Arial"/>
                <w:sz w:val="24"/>
                <w:szCs w:val="24"/>
              </w:rPr>
              <w:t> </w:t>
            </w:r>
          </w:p>
        </w:tc>
      </w:tr>
      <w:tr w14:paraId="178A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ECB3DC1">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60CFAA5">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AF84424">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15AD565">
            <w:pPr>
              <w:spacing w:line="360" w:lineRule="auto"/>
              <w:jc w:val="center"/>
              <w:rPr>
                <w:rFonts w:hint="eastAsia" w:ascii="宋体" w:hAnsi="宋体" w:eastAsia="宋体" w:cs="Arial"/>
                <w:sz w:val="24"/>
                <w:szCs w:val="24"/>
              </w:rPr>
            </w:pPr>
            <w:r>
              <w:rPr>
                <w:rFonts w:ascii="宋体" w:hAnsi="宋体" w:eastAsia="宋体" w:cs="Arial"/>
                <w:sz w:val="24"/>
                <w:szCs w:val="24"/>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4B965FF">
            <w:pPr>
              <w:spacing w:line="360" w:lineRule="auto"/>
              <w:jc w:val="center"/>
              <w:rPr>
                <w:rFonts w:hint="eastAsia" w:ascii="宋体" w:hAnsi="宋体" w:eastAsia="宋体" w:cs="Arial"/>
                <w:sz w:val="24"/>
                <w:szCs w:val="24"/>
              </w:rPr>
            </w:pPr>
            <w:r>
              <w:rPr>
                <w:rFonts w:ascii="宋体" w:hAnsi="宋体" w:eastAsia="宋体" w:cs="Arial"/>
                <w:sz w:val="24"/>
                <w:szCs w:val="24"/>
              </w:rPr>
              <w:t> </w:t>
            </w:r>
          </w:p>
        </w:tc>
      </w:tr>
      <w:tr w14:paraId="5EF0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F9224D">
            <w:pPr>
              <w:spacing w:line="360" w:lineRule="auto"/>
              <w:jc w:val="center"/>
              <w:rPr>
                <w:rFonts w:hint="eastAsia" w:ascii="宋体" w:hAnsi="宋体" w:eastAsia="宋体" w:cs="Arial"/>
                <w:sz w:val="24"/>
                <w:szCs w:val="24"/>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AA5B62B">
            <w:pPr>
              <w:spacing w:line="360" w:lineRule="auto"/>
              <w:jc w:val="center"/>
              <w:rPr>
                <w:rFonts w:hint="eastAsia" w:ascii="宋体" w:hAnsi="宋体" w:eastAsia="宋体" w:cs="Arial"/>
                <w:sz w:val="24"/>
                <w:szCs w:val="24"/>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24A736C">
            <w:pPr>
              <w:spacing w:line="360" w:lineRule="auto"/>
              <w:jc w:val="center"/>
              <w:rPr>
                <w:rFonts w:hint="eastAsia" w:ascii="宋体" w:hAnsi="宋体" w:eastAsia="宋体" w:cs="Arial"/>
                <w:sz w:val="24"/>
                <w:szCs w:val="24"/>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D3AF457">
            <w:pPr>
              <w:spacing w:line="360" w:lineRule="auto"/>
              <w:jc w:val="center"/>
              <w:rPr>
                <w:rFonts w:hint="eastAsia" w:ascii="宋体" w:hAnsi="宋体" w:eastAsia="宋体" w:cs="Arial"/>
                <w:sz w:val="24"/>
                <w:szCs w:val="24"/>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9BC7C0E">
            <w:pPr>
              <w:spacing w:line="360" w:lineRule="auto"/>
              <w:jc w:val="center"/>
              <w:rPr>
                <w:rFonts w:hint="eastAsia" w:ascii="宋体" w:hAnsi="宋体" w:eastAsia="宋体" w:cs="Arial"/>
                <w:sz w:val="24"/>
                <w:szCs w:val="24"/>
              </w:rPr>
            </w:pPr>
          </w:p>
        </w:tc>
      </w:tr>
      <w:tr w14:paraId="7DE4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9193000">
            <w:pPr>
              <w:spacing w:line="360" w:lineRule="auto"/>
              <w:jc w:val="center"/>
              <w:rPr>
                <w:rFonts w:hint="eastAsia" w:ascii="宋体" w:hAnsi="宋体" w:eastAsia="宋体" w:cs="Arial"/>
                <w:sz w:val="24"/>
                <w:szCs w:val="24"/>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6535202">
            <w:pPr>
              <w:spacing w:line="360" w:lineRule="auto"/>
              <w:jc w:val="center"/>
              <w:rPr>
                <w:rFonts w:hint="eastAsia" w:ascii="宋体" w:hAnsi="宋体" w:eastAsia="宋体" w:cs="Arial"/>
                <w:sz w:val="24"/>
                <w:szCs w:val="24"/>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57DE0AF">
            <w:pPr>
              <w:spacing w:line="360" w:lineRule="auto"/>
              <w:jc w:val="center"/>
              <w:rPr>
                <w:rFonts w:hint="eastAsia" w:ascii="宋体" w:hAnsi="宋体" w:eastAsia="宋体" w:cs="Arial"/>
                <w:sz w:val="24"/>
                <w:szCs w:val="24"/>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92157C4">
            <w:pPr>
              <w:spacing w:line="360" w:lineRule="auto"/>
              <w:jc w:val="center"/>
              <w:rPr>
                <w:rFonts w:hint="eastAsia" w:ascii="宋体" w:hAnsi="宋体" w:eastAsia="宋体" w:cs="Arial"/>
                <w:sz w:val="24"/>
                <w:szCs w:val="24"/>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F30CAE7">
            <w:pPr>
              <w:spacing w:line="360" w:lineRule="auto"/>
              <w:jc w:val="center"/>
              <w:rPr>
                <w:rFonts w:hint="eastAsia" w:ascii="宋体" w:hAnsi="宋体" w:eastAsia="宋体" w:cs="Arial"/>
                <w:sz w:val="24"/>
                <w:szCs w:val="24"/>
              </w:rPr>
            </w:pPr>
          </w:p>
        </w:tc>
      </w:tr>
      <w:tr w14:paraId="5409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D5DB1D9">
            <w:pPr>
              <w:spacing w:line="360" w:lineRule="auto"/>
              <w:jc w:val="center"/>
              <w:rPr>
                <w:rFonts w:hint="eastAsia" w:ascii="宋体" w:hAnsi="宋体" w:eastAsia="宋体" w:cs="Arial"/>
                <w:sz w:val="24"/>
                <w:szCs w:val="24"/>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E7CBF28">
            <w:pPr>
              <w:spacing w:line="360" w:lineRule="auto"/>
              <w:jc w:val="center"/>
              <w:rPr>
                <w:rFonts w:hint="eastAsia" w:ascii="宋体" w:hAnsi="宋体" w:eastAsia="宋体" w:cs="Arial"/>
                <w:sz w:val="24"/>
                <w:szCs w:val="24"/>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2BE1588">
            <w:pPr>
              <w:spacing w:line="360" w:lineRule="auto"/>
              <w:jc w:val="center"/>
              <w:rPr>
                <w:rFonts w:hint="eastAsia" w:ascii="宋体" w:hAnsi="宋体" w:eastAsia="宋体" w:cs="Arial"/>
                <w:sz w:val="24"/>
                <w:szCs w:val="24"/>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14CDE7E">
            <w:pPr>
              <w:spacing w:line="360" w:lineRule="auto"/>
              <w:jc w:val="center"/>
              <w:rPr>
                <w:rFonts w:hint="eastAsia" w:ascii="宋体" w:hAnsi="宋体" w:eastAsia="宋体" w:cs="Arial"/>
                <w:sz w:val="24"/>
                <w:szCs w:val="24"/>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D006AAE">
            <w:pPr>
              <w:spacing w:line="360" w:lineRule="auto"/>
              <w:jc w:val="center"/>
              <w:rPr>
                <w:rFonts w:hint="eastAsia" w:ascii="宋体" w:hAnsi="宋体" w:eastAsia="宋体" w:cs="Arial"/>
                <w:sz w:val="24"/>
                <w:szCs w:val="24"/>
              </w:rPr>
            </w:pPr>
          </w:p>
        </w:tc>
      </w:tr>
    </w:tbl>
    <w:p w14:paraId="079D26EB">
      <w:pPr>
        <w:widowControl w:val="0"/>
        <w:spacing w:line="360" w:lineRule="auto"/>
        <w:rPr>
          <w:rFonts w:hint="eastAsia" w:ascii="宋体" w:hAnsi="宋体" w:eastAsia="宋体" w:cs="宋体"/>
          <w:sz w:val="24"/>
          <w:szCs w:val="24"/>
          <w:lang w:val="zh-CN"/>
        </w:rPr>
      </w:pPr>
    </w:p>
    <w:p w14:paraId="32EAB434">
      <w:pPr>
        <w:widowControl w:val="0"/>
        <w:spacing w:line="360" w:lineRule="auto"/>
        <w:ind w:firstLine="480"/>
        <w:rPr>
          <w:rFonts w:hint="eastAsia" w:ascii="宋体" w:hAnsi="宋体" w:eastAsia="宋体" w:cs="Arial"/>
          <w:sz w:val="24"/>
          <w:szCs w:val="24"/>
        </w:rPr>
      </w:pPr>
      <w:r>
        <w:rPr>
          <w:rFonts w:hint="eastAsia" w:ascii="宋体" w:hAnsi="宋体" w:eastAsia="宋体" w:cs="宋体"/>
          <w:sz w:val="24"/>
          <w:szCs w:val="24"/>
          <w:lang w:val="zh-CN"/>
        </w:rPr>
        <w:t>说明：</w:t>
      </w:r>
      <w:r>
        <w:rPr>
          <w:rFonts w:hint="eastAsia" w:ascii="宋体" w:hAnsi="宋体" w:eastAsia="宋体" w:cs="宋体"/>
          <w:sz w:val="24"/>
          <w:szCs w:val="24"/>
        </w:rPr>
        <w:t>供应商应对采购文件中规定的技术部分给予充分的考虑。如对技术部分有偏离，应将这些条款的偏离逐条根据上表要求的格式列明，</w:t>
      </w:r>
      <w:r>
        <w:rPr>
          <w:rFonts w:hint="eastAsia" w:ascii="宋体" w:hAnsi="宋体" w:eastAsia="宋体" w:cs="宋体"/>
          <w:sz w:val="24"/>
          <w:szCs w:val="24"/>
          <w:lang w:val="zh-CN"/>
        </w:rPr>
        <w:t>在</w:t>
      </w:r>
      <w:r>
        <w:rPr>
          <w:rFonts w:hint="eastAsia" w:ascii="宋体" w:hAnsi="宋体" w:eastAsia="宋体" w:cs="宋体"/>
          <w:sz w:val="24"/>
          <w:szCs w:val="24"/>
        </w:rPr>
        <w:t>偏离情况一栏内如实填写“正偏离或负偏离”，其他未列明的条款，如果不需要提供证明文件的，视作完全响应采购文件要求；如果需要提供证明文件，以投标文件中证明文件为准。如对技术部分无偏离，则在表格第一行偏离情况一栏内填写“无偏离”。</w:t>
      </w:r>
    </w:p>
    <w:p w14:paraId="710FF685">
      <w:pPr>
        <w:widowControl w:val="0"/>
        <w:shd w:val="clear" w:color="auto" w:fill="FFFFFF"/>
        <w:spacing w:line="360" w:lineRule="auto"/>
        <w:rPr>
          <w:rFonts w:hint="eastAsia" w:ascii="宋体" w:hAnsi="宋体" w:eastAsia="宋体" w:cs="Arial"/>
          <w:sz w:val="24"/>
          <w:szCs w:val="24"/>
        </w:rPr>
      </w:pPr>
    </w:p>
    <w:p w14:paraId="0C713F09">
      <w:pPr>
        <w:widowControl w:val="0"/>
        <w:shd w:val="clear" w:color="auto" w:fill="FFFFFF"/>
        <w:spacing w:line="360" w:lineRule="auto"/>
        <w:rPr>
          <w:rFonts w:hint="eastAsia" w:ascii="宋体" w:hAnsi="宋体" w:eastAsia="宋体" w:cs="Arial"/>
          <w:sz w:val="24"/>
          <w:szCs w:val="24"/>
        </w:rPr>
      </w:pPr>
      <w:r>
        <w:rPr>
          <w:rFonts w:hint="eastAsia" w:ascii="宋体" w:hAnsi="宋体" w:eastAsia="宋体" w:cs="Arial"/>
          <w:sz w:val="24"/>
          <w:szCs w:val="24"/>
        </w:rPr>
        <w:t>如果行数不够，请自行增加。</w:t>
      </w:r>
    </w:p>
    <w:p w14:paraId="6F8BF357">
      <w:pPr>
        <w:shd w:val="clear" w:color="auto" w:fill="FFFFFF"/>
        <w:spacing w:line="360" w:lineRule="auto"/>
        <w:rPr>
          <w:rFonts w:hint="eastAsia" w:ascii="宋体" w:hAnsi="宋体" w:eastAsia="宋体" w:cs="Arial"/>
          <w:sz w:val="24"/>
          <w:szCs w:val="24"/>
        </w:rPr>
      </w:pPr>
    </w:p>
    <w:p w14:paraId="67033DD9">
      <w:pPr>
        <w:shd w:val="clear" w:color="auto" w:fill="FFFFFF"/>
        <w:spacing w:line="360" w:lineRule="auto"/>
        <w:ind w:firstLine="6240" w:firstLineChars="2600"/>
        <w:rPr>
          <w:rFonts w:hint="eastAsia" w:ascii="宋体" w:hAnsi="宋体" w:eastAsia="宋体" w:cs="Arial"/>
          <w:sz w:val="24"/>
          <w:szCs w:val="24"/>
        </w:rPr>
      </w:pPr>
      <w:r>
        <w:rPr>
          <w:rFonts w:hint="eastAsia" w:ascii="宋体" w:hAnsi="宋体" w:eastAsia="宋体" w:cs="Arial"/>
          <w:sz w:val="24"/>
          <w:szCs w:val="24"/>
        </w:rPr>
        <w:t>投标人全称（CA公章）：</w:t>
      </w:r>
    </w:p>
    <w:p w14:paraId="0268A7BF">
      <w:pPr>
        <w:shd w:val="clear" w:color="auto" w:fill="FFFFFF"/>
        <w:spacing w:line="360" w:lineRule="auto"/>
        <w:rPr>
          <w:rFonts w:hint="eastAsia" w:ascii="宋体" w:hAnsi="宋体" w:eastAsia="宋体" w:cs="Arial"/>
          <w:szCs w:val="21"/>
        </w:rPr>
      </w:pPr>
      <w:r>
        <w:rPr>
          <w:rFonts w:ascii="宋体" w:hAnsi="宋体" w:eastAsia="宋体" w:cs="Arial"/>
          <w:szCs w:val="21"/>
        </w:rPr>
        <w:t> </w:t>
      </w:r>
    </w:p>
    <w:p w14:paraId="03F7EBCF">
      <w:pPr>
        <w:shd w:val="clear" w:color="auto" w:fill="FFFFFF"/>
        <w:spacing w:line="360" w:lineRule="auto"/>
        <w:rPr>
          <w:rFonts w:hint="eastAsia" w:ascii="宋体" w:hAnsi="宋体" w:eastAsia="宋体" w:cs="Arial"/>
          <w:szCs w:val="21"/>
        </w:rPr>
      </w:pPr>
      <w:r>
        <w:rPr>
          <w:rFonts w:ascii="宋体" w:hAnsi="宋体" w:eastAsia="宋体" w:cs="Arial"/>
          <w:szCs w:val="21"/>
        </w:rPr>
        <w:t> </w:t>
      </w:r>
    </w:p>
    <w:p w14:paraId="591E1820">
      <w:pPr>
        <w:rPr>
          <w:rFonts w:hint="eastAsia" w:ascii="宋体" w:hAnsi="宋体" w:eastAsia="宋体" w:cs="Arial"/>
          <w:b/>
          <w:bCs/>
          <w:szCs w:val="21"/>
        </w:rPr>
      </w:pPr>
      <w:r>
        <w:rPr>
          <w:rFonts w:hint="eastAsia" w:ascii="宋体" w:hAnsi="宋体" w:eastAsia="宋体" w:cs="Arial"/>
          <w:b/>
          <w:bCs/>
          <w:szCs w:val="21"/>
        </w:rPr>
        <w:br w:type="page"/>
      </w:r>
    </w:p>
    <w:p w14:paraId="72906FBC">
      <w:pPr>
        <w:shd w:val="clear" w:color="auto" w:fill="FFFFFF"/>
        <w:spacing w:line="360" w:lineRule="auto"/>
        <w:outlineLvl w:val="1"/>
        <w:rPr>
          <w:rFonts w:hint="eastAsia" w:ascii="宋体" w:hAnsi="宋体" w:eastAsia="宋体" w:cs="Arial"/>
          <w:szCs w:val="21"/>
        </w:rPr>
      </w:pPr>
      <w:bookmarkStart w:id="41" w:name="_Toc28753"/>
      <w:bookmarkStart w:id="42" w:name="_Toc1189"/>
      <w:r>
        <w:rPr>
          <w:rFonts w:hint="eastAsia" w:ascii="宋体" w:hAnsi="宋体" w:eastAsia="宋体" w:cs="Arial"/>
          <w:b/>
          <w:bCs/>
          <w:szCs w:val="21"/>
        </w:rPr>
        <w:t>七、商务条款偏离表</w:t>
      </w:r>
      <w:bookmarkEnd w:id="41"/>
      <w:bookmarkEnd w:id="42"/>
    </w:p>
    <w:p w14:paraId="2A1B7456">
      <w:pPr>
        <w:shd w:val="clear" w:color="auto" w:fill="FFFFFF"/>
        <w:spacing w:line="360" w:lineRule="auto"/>
        <w:ind w:left="420"/>
        <w:jc w:val="center"/>
        <w:rPr>
          <w:rFonts w:hint="eastAsia" w:ascii="宋体" w:hAnsi="宋体" w:eastAsia="宋体" w:cs="Arial"/>
          <w:b/>
          <w:sz w:val="32"/>
          <w:szCs w:val="32"/>
        </w:rPr>
      </w:pPr>
      <w:r>
        <w:rPr>
          <w:rFonts w:hint="eastAsia" w:ascii="宋体" w:hAnsi="宋体" w:eastAsia="宋体" w:cs="Arial"/>
          <w:b/>
          <w:sz w:val="32"/>
          <w:szCs w:val="32"/>
        </w:rPr>
        <w:t>商务条款偏离表</w:t>
      </w:r>
      <w:r>
        <w:rPr>
          <w:rFonts w:ascii="宋体" w:hAnsi="宋体" w:eastAsia="宋体" w:cs="Arial"/>
          <w:b/>
          <w:sz w:val="32"/>
          <w:szCs w:val="32"/>
        </w:rPr>
        <w:t> </w:t>
      </w:r>
    </w:p>
    <w:p w14:paraId="7A4AD697">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24174669">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项目编号：               </w:t>
      </w:r>
    </w:p>
    <w:p w14:paraId="2BF4DED2">
      <w:pPr>
        <w:widowControl w:val="0"/>
        <w:wordWrap w:val="0"/>
        <w:topLinePunct/>
        <w:spacing w:line="360" w:lineRule="auto"/>
        <w:rPr>
          <w:rFonts w:hint="eastAsia" w:ascii="宋体" w:hAnsi="宋体" w:eastAsia="宋体" w:cs="Arial"/>
          <w:sz w:val="24"/>
          <w:szCs w:val="24"/>
        </w:rPr>
      </w:pPr>
      <w:r>
        <w:rPr>
          <w:rFonts w:hint="eastAsia" w:ascii="宋体" w:hAnsi="宋体" w:eastAsia="宋体" w:cs="Arial"/>
          <w:bCs/>
          <w:sz w:val="24"/>
          <w:szCs w:val="24"/>
        </w:rPr>
        <w:t>分 包 号：</w:t>
      </w:r>
      <w:r>
        <w:rPr>
          <w:rFonts w:ascii="宋体" w:hAnsi="宋体" w:eastAsia="宋体" w:cs="Arial"/>
          <w:sz w:val="24"/>
          <w:szCs w:val="24"/>
        </w:rPr>
        <w:t xml:space="preserve"> </w:t>
      </w:r>
    </w:p>
    <w:tbl>
      <w:tblPr>
        <w:tblStyle w:val="3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41"/>
        <w:gridCol w:w="1990"/>
        <w:gridCol w:w="3014"/>
        <w:gridCol w:w="2162"/>
        <w:gridCol w:w="1299"/>
      </w:tblGrid>
      <w:tr w14:paraId="6547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C14EC5D">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序号</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9BC8FF6">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招标文件条目号</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1EBCB06">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招标文件要求的商务条款</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DD88C5B">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投标响应</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78D5D78">
            <w:pPr>
              <w:wordWrap w:val="0"/>
              <w:topLinePunct/>
              <w:jc w:val="center"/>
              <w:rPr>
                <w:rFonts w:hint="eastAsia" w:ascii="宋体" w:hAnsi="宋体" w:eastAsia="宋体" w:cs="Arial"/>
                <w:b/>
                <w:sz w:val="24"/>
                <w:szCs w:val="24"/>
              </w:rPr>
            </w:pPr>
            <w:r>
              <w:rPr>
                <w:rFonts w:hint="eastAsia" w:ascii="宋体" w:hAnsi="宋体" w:eastAsia="宋体" w:cs="Arial"/>
                <w:b/>
                <w:sz w:val="24"/>
                <w:szCs w:val="24"/>
              </w:rPr>
              <w:t>偏离</w:t>
            </w:r>
          </w:p>
        </w:tc>
      </w:tr>
      <w:tr w14:paraId="52B3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6D262CB">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024C476">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D91BDFB">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B321B3A">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C4B6021">
            <w:pPr>
              <w:wordWrap w:val="0"/>
              <w:topLinePunct/>
              <w:jc w:val="center"/>
              <w:rPr>
                <w:rFonts w:hint="eastAsia" w:ascii="宋体" w:hAnsi="宋体" w:eastAsia="宋体" w:cs="Arial"/>
                <w:sz w:val="24"/>
                <w:szCs w:val="24"/>
              </w:rPr>
            </w:pPr>
            <w:r>
              <w:rPr>
                <w:rFonts w:ascii="宋体" w:hAnsi="宋体" w:eastAsia="宋体" w:cs="Arial"/>
                <w:sz w:val="24"/>
                <w:szCs w:val="24"/>
              </w:rPr>
              <w:t> </w:t>
            </w:r>
          </w:p>
        </w:tc>
      </w:tr>
      <w:tr w14:paraId="4875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10A7EBD">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AAD05FC">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ACB488B">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AAFEF2">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2036CE5">
            <w:pPr>
              <w:wordWrap w:val="0"/>
              <w:topLinePunct/>
              <w:jc w:val="center"/>
              <w:rPr>
                <w:rFonts w:hint="eastAsia" w:ascii="宋体" w:hAnsi="宋体" w:eastAsia="宋体" w:cs="Arial"/>
                <w:sz w:val="24"/>
                <w:szCs w:val="24"/>
              </w:rPr>
            </w:pPr>
            <w:r>
              <w:rPr>
                <w:rFonts w:ascii="宋体" w:hAnsi="宋体" w:eastAsia="宋体" w:cs="Arial"/>
                <w:sz w:val="24"/>
                <w:szCs w:val="24"/>
              </w:rPr>
              <w:t> </w:t>
            </w:r>
          </w:p>
        </w:tc>
      </w:tr>
      <w:tr w14:paraId="0EF8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AB0D312">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C9E2F1B">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B820948">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6AAED43">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65D28F1">
            <w:pPr>
              <w:wordWrap w:val="0"/>
              <w:topLinePunct/>
              <w:jc w:val="center"/>
              <w:rPr>
                <w:rFonts w:hint="eastAsia" w:ascii="宋体" w:hAnsi="宋体" w:eastAsia="宋体" w:cs="Arial"/>
                <w:sz w:val="24"/>
                <w:szCs w:val="24"/>
              </w:rPr>
            </w:pPr>
            <w:r>
              <w:rPr>
                <w:rFonts w:ascii="宋体" w:hAnsi="宋体" w:eastAsia="宋体" w:cs="Arial"/>
                <w:sz w:val="24"/>
                <w:szCs w:val="24"/>
              </w:rPr>
              <w:t> </w:t>
            </w:r>
          </w:p>
        </w:tc>
      </w:tr>
      <w:tr w14:paraId="0D8C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7B8BC02">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5117DCE">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B1422F2">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E8D9952">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93FBEEC">
            <w:pPr>
              <w:wordWrap w:val="0"/>
              <w:topLinePunct/>
              <w:jc w:val="center"/>
              <w:rPr>
                <w:rFonts w:hint="eastAsia" w:ascii="宋体" w:hAnsi="宋体" w:eastAsia="宋体" w:cs="Arial"/>
                <w:sz w:val="24"/>
                <w:szCs w:val="24"/>
              </w:rPr>
            </w:pPr>
            <w:r>
              <w:rPr>
                <w:rFonts w:ascii="宋体" w:hAnsi="宋体" w:eastAsia="宋体" w:cs="Arial"/>
                <w:sz w:val="24"/>
                <w:szCs w:val="24"/>
              </w:rPr>
              <w:t> </w:t>
            </w:r>
          </w:p>
        </w:tc>
      </w:tr>
      <w:tr w14:paraId="20C8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8651F19">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A66EFC7">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A097C23">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8EC1231">
            <w:pPr>
              <w:wordWrap w:val="0"/>
              <w:topLinePunct/>
              <w:jc w:val="center"/>
              <w:rPr>
                <w:rFonts w:hint="eastAsia" w:ascii="宋体" w:hAnsi="宋体" w:eastAsia="宋体" w:cs="Arial"/>
                <w:sz w:val="24"/>
                <w:szCs w:val="24"/>
              </w:rPr>
            </w:pPr>
            <w:r>
              <w:rPr>
                <w:rFonts w:ascii="宋体" w:hAnsi="宋体" w:eastAsia="宋体" w:cs="Arial"/>
                <w:sz w:val="24"/>
                <w:szCs w:val="24"/>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382ECF2">
            <w:pPr>
              <w:wordWrap w:val="0"/>
              <w:topLinePunct/>
              <w:jc w:val="center"/>
              <w:rPr>
                <w:rFonts w:hint="eastAsia" w:ascii="宋体" w:hAnsi="宋体" w:eastAsia="宋体" w:cs="Arial"/>
                <w:sz w:val="24"/>
                <w:szCs w:val="24"/>
              </w:rPr>
            </w:pPr>
            <w:r>
              <w:rPr>
                <w:rFonts w:ascii="宋体" w:hAnsi="宋体" w:eastAsia="宋体" w:cs="Arial"/>
                <w:sz w:val="24"/>
                <w:szCs w:val="24"/>
              </w:rPr>
              <w:t> </w:t>
            </w:r>
          </w:p>
        </w:tc>
      </w:tr>
      <w:tr w14:paraId="4AF0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05D0091">
            <w:pPr>
              <w:wordWrap w:val="0"/>
              <w:topLinePunct/>
              <w:jc w:val="center"/>
              <w:rPr>
                <w:rFonts w:hint="eastAsia" w:ascii="宋体" w:hAnsi="宋体" w:eastAsia="宋体" w:cs="Arial"/>
                <w:sz w:val="24"/>
                <w:szCs w:val="24"/>
              </w:rPr>
            </w:pP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AEB951E">
            <w:pPr>
              <w:wordWrap w:val="0"/>
              <w:topLinePunct/>
              <w:jc w:val="center"/>
              <w:rPr>
                <w:rFonts w:hint="eastAsia" w:ascii="宋体" w:hAnsi="宋体" w:eastAsia="宋体" w:cs="Arial"/>
                <w:sz w:val="24"/>
                <w:szCs w:val="24"/>
              </w:rPr>
            </w:pP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AC45C97">
            <w:pPr>
              <w:wordWrap w:val="0"/>
              <w:topLinePunct/>
              <w:jc w:val="center"/>
              <w:rPr>
                <w:rFonts w:hint="eastAsia" w:ascii="宋体" w:hAnsi="宋体" w:eastAsia="宋体" w:cs="Arial"/>
                <w:sz w:val="24"/>
                <w:szCs w:val="24"/>
              </w:rPr>
            </w:pP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A20EBA4">
            <w:pPr>
              <w:wordWrap w:val="0"/>
              <w:topLinePunct/>
              <w:jc w:val="center"/>
              <w:rPr>
                <w:rFonts w:hint="eastAsia" w:ascii="宋体" w:hAnsi="宋体" w:eastAsia="宋体" w:cs="Arial"/>
                <w:sz w:val="24"/>
                <w:szCs w:val="24"/>
              </w:rPr>
            </w:pP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BFCC3CE">
            <w:pPr>
              <w:wordWrap w:val="0"/>
              <w:topLinePunct/>
              <w:jc w:val="center"/>
              <w:rPr>
                <w:rFonts w:hint="eastAsia" w:ascii="宋体" w:hAnsi="宋体" w:eastAsia="宋体" w:cs="Arial"/>
                <w:sz w:val="24"/>
                <w:szCs w:val="24"/>
              </w:rPr>
            </w:pPr>
          </w:p>
        </w:tc>
      </w:tr>
      <w:tr w14:paraId="4937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36F7A77">
            <w:pPr>
              <w:wordWrap w:val="0"/>
              <w:topLinePunct/>
              <w:jc w:val="center"/>
              <w:rPr>
                <w:rFonts w:hint="eastAsia" w:ascii="宋体" w:hAnsi="宋体" w:eastAsia="宋体" w:cs="Arial"/>
                <w:sz w:val="24"/>
                <w:szCs w:val="24"/>
              </w:rPr>
            </w:pP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6B9CA5F">
            <w:pPr>
              <w:wordWrap w:val="0"/>
              <w:topLinePunct/>
              <w:jc w:val="center"/>
              <w:rPr>
                <w:rFonts w:hint="eastAsia" w:ascii="宋体" w:hAnsi="宋体" w:eastAsia="宋体" w:cs="Arial"/>
                <w:sz w:val="24"/>
                <w:szCs w:val="24"/>
              </w:rPr>
            </w:pP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0957F9F">
            <w:pPr>
              <w:wordWrap w:val="0"/>
              <w:topLinePunct/>
              <w:jc w:val="center"/>
              <w:rPr>
                <w:rFonts w:hint="eastAsia" w:ascii="宋体" w:hAnsi="宋体" w:eastAsia="宋体" w:cs="Arial"/>
                <w:sz w:val="24"/>
                <w:szCs w:val="24"/>
              </w:rPr>
            </w:pP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24DB9D4">
            <w:pPr>
              <w:wordWrap w:val="0"/>
              <w:topLinePunct/>
              <w:jc w:val="center"/>
              <w:rPr>
                <w:rFonts w:hint="eastAsia" w:ascii="宋体" w:hAnsi="宋体" w:eastAsia="宋体" w:cs="Arial"/>
                <w:sz w:val="24"/>
                <w:szCs w:val="24"/>
              </w:rPr>
            </w:pP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ADE9CEE">
            <w:pPr>
              <w:wordWrap w:val="0"/>
              <w:topLinePunct/>
              <w:jc w:val="center"/>
              <w:rPr>
                <w:rFonts w:hint="eastAsia" w:ascii="宋体" w:hAnsi="宋体" w:eastAsia="宋体" w:cs="Arial"/>
                <w:sz w:val="24"/>
                <w:szCs w:val="24"/>
              </w:rPr>
            </w:pPr>
          </w:p>
        </w:tc>
      </w:tr>
    </w:tbl>
    <w:p w14:paraId="6AB28626">
      <w:pPr>
        <w:widowControl w:val="0"/>
        <w:spacing w:line="360" w:lineRule="auto"/>
        <w:ind w:firstLine="420"/>
        <w:jc w:val="both"/>
        <w:rPr>
          <w:rFonts w:hint="eastAsia" w:ascii="宋体" w:hAnsi="宋体" w:eastAsia="宋体" w:cs="宋体"/>
          <w:sz w:val="24"/>
          <w:szCs w:val="24"/>
          <w:lang w:val="zh-CN"/>
        </w:rPr>
      </w:pPr>
    </w:p>
    <w:p w14:paraId="5DD1481A">
      <w:pPr>
        <w:widowControl w:val="0"/>
        <w:spacing w:line="360" w:lineRule="auto"/>
        <w:ind w:firstLine="420"/>
        <w:jc w:val="both"/>
        <w:rPr>
          <w:rFonts w:hint="eastAsia" w:ascii="宋体" w:hAnsi="宋体" w:eastAsia="宋体" w:cs="Arial"/>
          <w:sz w:val="24"/>
          <w:szCs w:val="24"/>
        </w:rPr>
      </w:pPr>
      <w:r>
        <w:rPr>
          <w:rFonts w:hint="eastAsia" w:ascii="宋体" w:hAnsi="宋体" w:eastAsia="宋体" w:cs="宋体"/>
          <w:sz w:val="24"/>
          <w:szCs w:val="24"/>
          <w:lang w:val="zh-CN"/>
        </w:rPr>
        <w:t>说明：</w:t>
      </w:r>
      <w:r>
        <w:rPr>
          <w:rFonts w:hint="eastAsia" w:ascii="宋体" w:hAnsi="宋体" w:eastAsia="宋体" w:cs="宋体"/>
          <w:sz w:val="24"/>
          <w:szCs w:val="24"/>
        </w:rPr>
        <w:t>供应商应对采购文件中规定的商务部分给予充分的考虑。如对商务部分有偏离，应将这些条款的偏离逐条根据上表要求的格式列明，</w:t>
      </w:r>
      <w:r>
        <w:rPr>
          <w:rFonts w:hint="eastAsia" w:ascii="宋体" w:hAnsi="宋体" w:eastAsia="宋体" w:cs="宋体"/>
          <w:sz w:val="24"/>
          <w:szCs w:val="24"/>
          <w:lang w:val="zh-CN"/>
        </w:rPr>
        <w:t>在</w:t>
      </w:r>
      <w:r>
        <w:rPr>
          <w:rFonts w:hint="eastAsia" w:ascii="宋体" w:hAnsi="宋体" w:eastAsia="宋体" w:cs="宋体"/>
          <w:sz w:val="24"/>
          <w:szCs w:val="24"/>
        </w:rPr>
        <w:t>偏离情况一栏内如实填写“正偏离或负偏离”，其他未列明的条款，如果不需要提供证明文件的，视作完全响应采购文件要求；如果需要提供证明文件，以投标文件中证明文件为准。如对商务部分无偏离，则在表格第一行偏离情况一栏内填写“无偏离”。</w:t>
      </w:r>
    </w:p>
    <w:p w14:paraId="40C807A7">
      <w:pPr>
        <w:widowControl w:val="0"/>
        <w:shd w:val="clear" w:color="auto" w:fill="FFFFFF"/>
        <w:spacing w:line="360" w:lineRule="auto"/>
        <w:rPr>
          <w:rFonts w:hint="eastAsia" w:ascii="宋体" w:hAnsi="宋体" w:eastAsia="宋体" w:cs="Arial"/>
          <w:sz w:val="24"/>
          <w:szCs w:val="24"/>
        </w:rPr>
      </w:pPr>
    </w:p>
    <w:p w14:paraId="54DA7552">
      <w:pPr>
        <w:widowControl w:val="0"/>
        <w:shd w:val="clear" w:color="auto" w:fill="FFFFFF"/>
        <w:spacing w:line="360" w:lineRule="auto"/>
        <w:rPr>
          <w:rFonts w:hint="eastAsia" w:ascii="宋体" w:hAnsi="宋体" w:eastAsia="宋体" w:cs="Arial"/>
          <w:sz w:val="24"/>
          <w:szCs w:val="24"/>
        </w:rPr>
      </w:pPr>
      <w:r>
        <w:rPr>
          <w:rFonts w:hint="eastAsia" w:ascii="宋体" w:hAnsi="宋体" w:eastAsia="宋体" w:cs="Arial"/>
          <w:sz w:val="24"/>
          <w:szCs w:val="24"/>
        </w:rPr>
        <w:t>如果行数不够，请自行增加。</w:t>
      </w:r>
    </w:p>
    <w:p w14:paraId="5BD3BAF5">
      <w:pPr>
        <w:shd w:val="clear" w:color="auto" w:fill="FFFFFF"/>
        <w:spacing w:line="360" w:lineRule="auto"/>
        <w:rPr>
          <w:rFonts w:hint="eastAsia" w:ascii="宋体" w:hAnsi="宋体" w:eastAsia="宋体" w:cs="Arial"/>
          <w:sz w:val="24"/>
          <w:szCs w:val="24"/>
        </w:rPr>
      </w:pPr>
    </w:p>
    <w:p w14:paraId="64B81F9E">
      <w:pPr>
        <w:shd w:val="clear" w:color="auto" w:fill="FFFFFF"/>
        <w:spacing w:line="360" w:lineRule="auto"/>
        <w:ind w:firstLine="6240" w:firstLineChars="2600"/>
        <w:rPr>
          <w:rFonts w:hint="eastAsia" w:ascii="宋体" w:hAnsi="宋体" w:eastAsia="宋体" w:cs="Arial"/>
          <w:sz w:val="24"/>
          <w:szCs w:val="24"/>
        </w:rPr>
      </w:pPr>
      <w:r>
        <w:rPr>
          <w:rFonts w:hint="eastAsia" w:ascii="宋体" w:hAnsi="宋体" w:eastAsia="宋体" w:cs="Arial"/>
          <w:sz w:val="24"/>
          <w:szCs w:val="24"/>
        </w:rPr>
        <w:t>投标人全称（CA公章）：</w:t>
      </w:r>
    </w:p>
    <w:p w14:paraId="06A1EFB5">
      <w:pPr>
        <w:shd w:val="clear" w:color="auto" w:fill="FFFFFF"/>
        <w:spacing w:line="360" w:lineRule="auto"/>
        <w:rPr>
          <w:rFonts w:hint="eastAsia" w:ascii="宋体" w:hAnsi="宋体" w:eastAsia="宋体" w:cs="Arial"/>
          <w:szCs w:val="21"/>
          <w:u w:val="single"/>
        </w:rPr>
      </w:pPr>
    </w:p>
    <w:p w14:paraId="0D75972C">
      <w:pPr>
        <w:shd w:val="clear" w:color="auto" w:fill="FFFFFF"/>
        <w:spacing w:line="360" w:lineRule="auto"/>
        <w:rPr>
          <w:rFonts w:hint="eastAsia" w:ascii="宋体" w:hAnsi="宋体" w:eastAsia="宋体" w:cs="Arial"/>
          <w:szCs w:val="21"/>
        </w:rPr>
      </w:pPr>
    </w:p>
    <w:p w14:paraId="73353119">
      <w:pPr>
        <w:shd w:val="clear" w:color="auto" w:fill="FFFFFF"/>
        <w:spacing w:line="360" w:lineRule="auto"/>
        <w:rPr>
          <w:rFonts w:hint="eastAsia" w:ascii="宋体" w:hAnsi="宋体" w:eastAsia="宋体" w:cs="Arial"/>
          <w:szCs w:val="21"/>
        </w:rPr>
      </w:pPr>
      <w:r>
        <w:rPr>
          <w:rFonts w:ascii="宋体" w:hAnsi="宋体" w:eastAsia="宋体" w:cs="Arial"/>
          <w:szCs w:val="21"/>
        </w:rPr>
        <w:t> </w:t>
      </w:r>
    </w:p>
    <w:p w14:paraId="5AA97C2C">
      <w:pPr>
        <w:shd w:val="clear" w:color="auto" w:fill="FFFFFF"/>
        <w:spacing w:line="360" w:lineRule="auto"/>
        <w:rPr>
          <w:rFonts w:hint="eastAsia" w:ascii="宋体" w:hAnsi="宋体" w:eastAsia="宋体" w:cs="Arial"/>
          <w:szCs w:val="21"/>
        </w:rPr>
      </w:pPr>
      <w:r>
        <w:rPr>
          <w:rFonts w:ascii="宋体" w:hAnsi="宋体" w:eastAsia="宋体" w:cs="Arial"/>
          <w:szCs w:val="21"/>
        </w:rPr>
        <w:t> </w:t>
      </w:r>
    </w:p>
    <w:p w14:paraId="330D99FF">
      <w:pPr>
        <w:shd w:val="clear" w:color="auto" w:fill="FFFFFF"/>
        <w:spacing w:line="360" w:lineRule="auto"/>
        <w:rPr>
          <w:rFonts w:hint="eastAsia" w:ascii="宋体" w:hAnsi="宋体" w:eastAsia="宋体" w:cs="Arial"/>
          <w:szCs w:val="21"/>
        </w:rPr>
      </w:pPr>
    </w:p>
    <w:p w14:paraId="2BD9A8B3">
      <w:pPr>
        <w:shd w:val="clear" w:color="auto" w:fill="FFFFFF"/>
        <w:spacing w:line="360" w:lineRule="auto"/>
        <w:outlineLvl w:val="1"/>
        <w:rPr>
          <w:rFonts w:hint="eastAsia" w:ascii="宋体" w:hAnsi="宋体" w:eastAsia="宋体" w:cs="Arial"/>
          <w:b/>
          <w:szCs w:val="21"/>
          <w:lang w:val="zh-CN"/>
        </w:rPr>
      </w:pPr>
      <w:r>
        <w:rPr>
          <w:rFonts w:ascii="宋体" w:hAnsi="宋体" w:eastAsia="宋体" w:cs="Arial"/>
          <w:b/>
          <w:bCs/>
          <w:szCs w:val="21"/>
        </w:rPr>
        <w:br w:type="page" w:clear="all"/>
      </w:r>
      <w:bookmarkStart w:id="43" w:name="_Toc24454"/>
      <w:bookmarkStart w:id="44" w:name="_Toc24568"/>
      <w:r>
        <w:rPr>
          <w:rFonts w:hint="eastAsia" w:ascii="宋体" w:hAnsi="宋体" w:eastAsia="宋体" w:cs="Arial"/>
          <w:b/>
          <w:bCs/>
          <w:szCs w:val="21"/>
        </w:rPr>
        <w:t>八、项目实施方案、服务承诺</w:t>
      </w:r>
      <w:bookmarkEnd w:id="43"/>
      <w:bookmarkEnd w:id="44"/>
    </w:p>
    <w:p w14:paraId="5829A56E">
      <w:pPr>
        <w:spacing w:line="460" w:lineRule="atLeast"/>
        <w:jc w:val="both"/>
        <w:rPr>
          <w:rFonts w:hint="eastAsia" w:ascii="宋体" w:hAnsi="宋体" w:eastAsia="宋体" w:cs="Arial"/>
          <w:b/>
          <w:bCs/>
          <w:szCs w:val="21"/>
        </w:rPr>
      </w:pPr>
    </w:p>
    <w:p w14:paraId="50BC54F6">
      <w:pPr>
        <w:spacing w:line="460" w:lineRule="atLeast"/>
        <w:jc w:val="both"/>
        <w:rPr>
          <w:rFonts w:hint="eastAsia" w:ascii="宋体" w:hAnsi="宋体" w:eastAsia="宋体" w:cs="Arial"/>
          <w:b/>
          <w:bCs/>
          <w:szCs w:val="21"/>
        </w:rPr>
      </w:pPr>
    </w:p>
    <w:p w14:paraId="64143FB3">
      <w:pPr>
        <w:spacing w:line="460" w:lineRule="atLeast"/>
        <w:jc w:val="both"/>
        <w:rPr>
          <w:rFonts w:hint="eastAsia" w:ascii="宋体" w:hAnsi="宋体" w:eastAsia="宋体" w:cs="Arial"/>
          <w:b/>
          <w:bCs/>
          <w:szCs w:val="21"/>
        </w:rPr>
      </w:pPr>
    </w:p>
    <w:p w14:paraId="77DCAA2A">
      <w:pPr>
        <w:spacing w:line="460" w:lineRule="atLeast"/>
        <w:jc w:val="both"/>
        <w:rPr>
          <w:rFonts w:hint="eastAsia" w:ascii="宋体" w:hAnsi="宋体" w:eastAsia="宋体" w:cs="Arial"/>
          <w:b/>
          <w:bCs/>
          <w:szCs w:val="21"/>
        </w:rPr>
      </w:pPr>
    </w:p>
    <w:p w14:paraId="6778FBED">
      <w:pPr>
        <w:spacing w:line="460" w:lineRule="atLeast"/>
        <w:jc w:val="both"/>
        <w:outlineLvl w:val="1"/>
        <w:rPr>
          <w:rFonts w:hint="eastAsia" w:ascii="宋体" w:hAnsi="宋体" w:eastAsia="宋体" w:cs="Arial"/>
          <w:b/>
          <w:bCs/>
          <w:szCs w:val="21"/>
        </w:rPr>
      </w:pPr>
      <w:bookmarkStart w:id="45" w:name="_Toc13338"/>
      <w:bookmarkStart w:id="46" w:name="_Toc27214"/>
      <w:r>
        <w:rPr>
          <w:rFonts w:hint="eastAsia" w:ascii="宋体" w:hAnsi="宋体" w:eastAsia="宋体" w:cs="Arial"/>
          <w:b/>
          <w:bCs/>
          <w:szCs w:val="21"/>
        </w:rPr>
        <w:t>九、拟参与本项目服务人员一览表</w:t>
      </w:r>
      <w:bookmarkEnd w:id="45"/>
      <w:bookmarkEnd w:id="46"/>
    </w:p>
    <w:p w14:paraId="276597E1">
      <w:pPr>
        <w:widowControl w:val="0"/>
        <w:jc w:val="both"/>
        <w:rPr>
          <w:rFonts w:hint="eastAsia" w:ascii="宋体" w:hAnsi="宋体" w:eastAsia="宋体" w:cs="Times New Roman"/>
          <w:b/>
          <w:bCs/>
          <w:sz w:val="44"/>
          <w:szCs w:val="24"/>
        </w:rPr>
      </w:pPr>
    </w:p>
    <w:p w14:paraId="7F8051F9">
      <w:pPr>
        <w:shd w:val="clear" w:color="auto" w:fill="FFFFFF"/>
        <w:spacing w:line="360" w:lineRule="auto"/>
        <w:ind w:left="420"/>
        <w:jc w:val="center"/>
        <w:rPr>
          <w:rFonts w:hint="eastAsia" w:ascii="宋体" w:hAnsi="宋体" w:eastAsia="宋体" w:cs="Arial"/>
          <w:b/>
          <w:sz w:val="32"/>
          <w:szCs w:val="32"/>
        </w:rPr>
      </w:pPr>
      <w:r>
        <w:rPr>
          <w:rFonts w:hint="eastAsia" w:ascii="宋体" w:hAnsi="宋体" w:eastAsia="宋体" w:cs="Arial"/>
          <w:b/>
          <w:sz w:val="32"/>
          <w:szCs w:val="32"/>
        </w:rPr>
        <w:t>拟参与本项目服务人员一览表</w:t>
      </w:r>
    </w:p>
    <w:p w14:paraId="78D5C958">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3C9A39F8">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项目编号：               </w:t>
      </w:r>
    </w:p>
    <w:p w14:paraId="03AEA275">
      <w:pPr>
        <w:jc w:val="both"/>
        <w:rPr>
          <w:rFonts w:hint="eastAsia" w:ascii="宋体" w:hAnsi="宋体" w:eastAsia="宋体" w:cs="Arial"/>
          <w:b/>
          <w:bCs/>
          <w:sz w:val="24"/>
          <w:szCs w:val="24"/>
        </w:rPr>
      </w:pPr>
      <w:r>
        <w:rPr>
          <w:rFonts w:hint="eastAsia" w:ascii="宋体" w:hAnsi="宋体" w:eastAsia="宋体" w:cs="Arial"/>
          <w:bCs/>
          <w:sz w:val="24"/>
          <w:szCs w:val="24"/>
        </w:rPr>
        <w:t>分 包 号：</w:t>
      </w:r>
    </w:p>
    <w:tbl>
      <w:tblPr>
        <w:tblStyle w:val="37"/>
        <w:tblW w:w="9941" w:type="dxa"/>
        <w:jc w:val="center"/>
        <w:tblLayout w:type="fixed"/>
        <w:tblCellMar>
          <w:top w:w="0" w:type="dxa"/>
          <w:left w:w="108" w:type="dxa"/>
          <w:bottom w:w="0" w:type="dxa"/>
          <w:right w:w="108" w:type="dxa"/>
        </w:tblCellMar>
      </w:tblPr>
      <w:tblGrid>
        <w:gridCol w:w="762"/>
        <w:gridCol w:w="996"/>
        <w:gridCol w:w="777"/>
        <w:gridCol w:w="782"/>
        <w:gridCol w:w="1038"/>
        <w:gridCol w:w="852"/>
        <w:gridCol w:w="934"/>
        <w:gridCol w:w="1045"/>
        <w:gridCol w:w="928"/>
        <w:gridCol w:w="968"/>
        <w:gridCol w:w="859"/>
      </w:tblGrid>
      <w:tr w14:paraId="49176D6E">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vAlign w:val="center"/>
          </w:tcPr>
          <w:p w14:paraId="5D9B214B">
            <w:pPr>
              <w:jc w:val="center"/>
              <w:rPr>
                <w:rFonts w:hint="eastAsia" w:ascii="宋体" w:hAnsi="宋体" w:eastAsia="宋体" w:cs="Arial"/>
                <w:b/>
                <w:bCs/>
                <w:sz w:val="24"/>
                <w:szCs w:val="24"/>
              </w:rPr>
            </w:pPr>
            <w:r>
              <w:rPr>
                <w:rFonts w:hint="eastAsia" w:ascii="宋体" w:hAnsi="宋体" w:eastAsia="宋体" w:cs="Arial"/>
                <w:b/>
                <w:bCs/>
                <w:sz w:val="24"/>
                <w:szCs w:val="24"/>
              </w:rPr>
              <w:t>序号</w:t>
            </w:r>
          </w:p>
        </w:tc>
        <w:tc>
          <w:tcPr>
            <w:tcW w:w="996" w:type="dxa"/>
            <w:tcBorders>
              <w:top w:val="single" w:color="000000" w:sz="4" w:space="0"/>
              <w:left w:val="nil"/>
              <w:bottom w:val="single" w:color="000000" w:sz="4" w:space="0"/>
              <w:right w:val="single" w:color="000000" w:sz="4" w:space="0"/>
            </w:tcBorders>
            <w:vAlign w:val="center"/>
          </w:tcPr>
          <w:p w14:paraId="23591C54">
            <w:pPr>
              <w:jc w:val="center"/>
              <w:rPr>
                <w:rFonts w:hint="eastAsia" w:ascii="宋体" w:hAnsi="宋体" w:eastAsia="宋体" w:cs="Arial"/>
                <w:b/>
                <w:bCs/>
                <w:sz w:val="24"/>
                <w:szCs w:val="24"/>
              </w:rPr>
            </w:pPr>
            <w:r>
              <w:rPr>
                <w:rFonts w:hint="eastAsia" w:ascii="宋体" w:hAnsi="宋体" w:eastAsia="宋体" w:cs="Arial"/>
                <w:b/>
                <w:bCs/>
                <w:sz w:val="24"/>
                <w:szCs w:val="24"/>
              </w:rPr>
              <w:t>姓名</w:t>
            </w:r>
          </w:p>
        </w:tc>
        <w:tc>
          <w:tcPr>
            <w:tcW w:w="777" w:type="dxa"/>
            <w:tcBorders>
              <w:top w:val="single" w:color="000000" w:sz="4" w:space="0"/>
              <w:left w:val="nil"/>
              <w:bottom w:val="single" w:color="000000" w:sz="4" w:space="0"/>
              <w:right w:val="single" w:color="000000" w:sz="4" w:space="0"/>
            </w:tcBorders>
            <w:vAlign w:val="center"/>
          </w:tcPr>
          <w:p w14:paraId="2CA09371">
            <w:pPr>
              <w:jc w:val="center"/>
              <w:rPr>
                <w:rFonts w:hint="eastAsia" w:ascii="宋体" w:hAnsi="宋体" w:eastAsia="宋体" w:cs="Arial"/>
                <w:b/>
                <w:bCs/>
                <w:sz w:val="24"/>
                <w:szCs w:val="24"/>
              </w:rPr>
            </w:pPr>
            <w:r>
              <w:rPr>
                <w:rFonts w:hint="eastAsia" w:ascii="宋体" w:hAnsi="宋体" w:eastAsia="宋体" w:cs="Arial"/>
                <w:b/>
                <w:bCs/>
                <w:sz w:val="24"/>
                <w:szCs w:val="24"/>
              </w:rPr>
              <w:t>性别</w:t>
            </w:r>
          </w:p>
        </w:tc>
        <w:tc>
          <w:tcPr>
            <w:tcW w:w="782" w:type="dxa"/>
            <w:tcBorders>
              <w:top w:val="single" w:color="000000" w:sz="4" w:space="0"/>
              <w:left w:val="nil"/>
              <w:bottom w:val="single" w:color="000000" w:sz="4" w:space="0"/>
              <w:right w:val="single" w:color="000000" w:sz="4" w:space="0"/>
            </w:tcBorders>
            <w:vAlign w:val="center"/>
          </w:tcPr>
          <w:p w14:paraId="2745101F">
            <w:pPr>
              <w:jc w:val="center"/>
              <w:rPr>
                <w:rFonts w:hint="eastAsia" w:ascii="宋体" w:hAnsi="宋体" w:eastAsia="宋体" w:cs="Arial"/>
                <w:b/>
                <w:bCs/>
                <w:sz w:val="24"/>
                <w:szCs w:val="24"/>
              </w:rPr>
            </w:pPr>
            <w:r>
              <w:rPr>
                <w:rFonts w:hint="eastAsia" w:ascii="宋体" w:hAnsi="宋体" w:eastAsia="宋体" w:cs="Arial"/>
                <w:b/>
                <w:bCs/>
                <w:sz w:val="24"/>
                <w:szCs w:val="24"/>
              </w:rPr>
              <w:t>年龄</w:t>
            </w:r>
          </w:p>
        </w:tc>
        <w:tc>
          <w:tcPr>
            <w:tcW w:w="1038" w:type="dxa"/>
            <w:tcBorders>
              <w:top w:val="single" w:color="000000" w:sz="4" w:space="0"/>
              <w:left w:val="nil"/>
              <w:bottom w:val="single" w:color="000000" w:sz="4" w:space="0"/>
              <w:right w:val="single" w:color="000000" w:sz="4" w:space="0"/>
            </w:tcBorders>
            <w:vAlign w:val="center"/>
          </w:tcPr>
          <w:p w14:paraId="1F884656">
            <w:pPr>
              <w:jc w:val="center"/>
              <w:rPr>
                <w:rFonts w:hint="eastAsia" w:ascii="宋体" w:hAnsi="宋体" w:eastAsia="宋体" w:cs="Arial"/>
                <w:b/>
                <w:bCs/>
                <w:sz w:val="24"/>
                <w:szCs w:val="24"/>
              </w:rPr>
            </w:pPr>
            <w:r>
              <w:rPr>
                <w:rFonts w:hint="eastAsia" w:ascii="宋体" w:hAnsi="宋体" w:eastAsia="宋体" w:cs="Arial"/>
                <w:b/>
                <w:bCs/>
                <w:sz w:val="24"/>
                <w:szCs w:val="24"/>
              </w:rPr>
              <w:t>专业</w:t>
            </w:r>
          </w:p>
        </w:tc>
        <w:tc>
          <w:tcPr>
            <w:tcW w:w="852" w:type="dxa"/>
            <w:tcBorders>
              <w:top w:val="single" w:color="000000" w:sz="4" w:space="0"/>
              <w:left w:val="nil"/>
              <w:bottom w:val="single" w:color="000000" w:sz="4" w:space="0"/>
              <w:right w:val="single" w:color="000000" w:sz="4" w:space="0"/>
            </w:tcBorders>
            <w:vAlign w:val="center"/>
          </w:tcPr>
          <w:p w14:paraId="49FF193F">
            <w:pPr>
              <w:jc w:val="center"/>
              <w:rPr>
                <w:rFonts w:hint="eastAsia" w:ascii="宋体" w:hAnsi="宋体" w:eastAsia="宋体" w:cs="Arial"/>
                <w:b/>
                <w:bCs/>
                <w:sz w:val="24"/>
                <w:szCs w:val="24"/>
              </w:rPr>
            </w:pPr>
            <w:r>
              <w:rPr>
                <w:rFonts w:hint="eastAsia" w:ascii="宋体" w:hAnsi="宋体" w:eastAsia="宋体" w:cs="Arial"/>
                <w:b/>
                <w:bCs/>
                <w:sz w:val="24"/>
                <w:szCs w:val="24"/>
              </w:rPr>
              <w:t>学历</w:t>
            </w:r>
          </w:p>
        </w:tc>
        <w:tc>
          <w:tcPr>
            <w:tcW w:w="934" w:type="dxa"/>
            <w:tcBorders>
              <w:top w:val="single" w:color="000000" w:sz="4" w:space="0"/>
              <w:left w:val="nil"/>
              <w:bottom w:val="single" w:color="000000" w:sz="4" w:space="0"/>
              <w:right w:val="single" w:color="000000" w:sz="4" w:space="0"/>
            </w:tcBorders>
            <w:vAlign w:val="center"/>
          </w:tcPr>
          <w:p w14:paraId="5A787514">
            <w:pPr>
              <w:jc w:val="center"/>
              <w:rPr>
                <w:rFonts w:hint="eastAsia" w:ascii="宋体" w:hAnsi="宋体" w:eastAsia="宋体" w:cs="Arial"/>
                <w:b/>
                <w:bCs/>
                <w:sz w:val="24"/>
                <w:szCs w:val="24"/>
              </w:rPr>
            </w:pPr>
            <w:r>
              <w:rPr>
                <w:rFonts w:hint="eastAsia" w:ascii="宋体" w:hAnsi="宋体" w:eastAsia="宋体" w:cs="Arial"/>
                <w:b/>
                <w:bCs/>
                <w:sz w:val="24"/>
                <w:szCs w:val="24"/>
              </w:rPr>
              <w:t>执业</w:t>
            </w:r>
          </w:p>
          <w:p w14:paraId="5A306F62">
            <w:pPr>
              <w:jc w:val="center"/>
              <w:rPr>
                <w:rFonts w:hint="eastAsia" w:ascii="宋体" w:hAnsi="宋体" w:eastAsia="宋体" w:cs="Arial"/>
                <w:b/>
                <w:bCs/>
                <w:sz w:val="24"/>
                <w:szCs w:val="24"/>
              </w:rPr>
            </w:pPr>
            <w:r>
              <w:rPr>
                <w:rFonts w:hint="eastAsia" w:ascii="宋体" w:hAnsi="宋体" w:eastAsia="宋体" w:cs="Arial"/>
                <w:b/>
                <w:bCs/>
                <w:sz w:val="24"/>
                <w:szCs w:val="24"/>
              </w:rPr>
              <w:t>资格</w:t>
            </w:r>
          </w:p>
        </w:tc>
        <w:tc>
          <w:tcPr>
            <w:tcW w:w="1045" w:type="dxa"/>
            <w:tcBorders>
              <w:top w:val="single" w:color="000000" w:sz="4" w:space="0"/>
              <w:left w:val="nil"/>
              <w:bottom w:val="single" w:color="000000" w:sz="4" w:space="0"/>
              <w:right w:val="single" w:color="000000" w:sz="4" w:space="0"/>
            </w:tcBorders>
            <w:vAlign w:val="center"/>
          </w:tcPr>
          <w:p w14:paraId="0F2DEAC1">
            <w:pPr>
              <w:jc w:val="center"/>
              <w:rPr>
                <w:rFonts w:hint="eastAsia" w:ascii="宋体" w:hAnsi="宋体" w:eastAsia="宋体" w:cs="Arial"/>
                <w:b/>
                <w:bCs/>
                <w:sz w:val="24"/>
                <w:szCs w:val="24"/>
              </w:rPr>
            </w:pPr>
            <w:r>
              <w:rPr>
                <w:rFonts w:hint="eastAsia" w:ascii="宋体" w:hAnsi="宋体" w:eastAsia="宋体" w:cs="Arial"/>
                <w:b/>
                <w:bCs/>
                <w:sz w:val="24"/>
                <w:szCs w:val="24"/>
              </w:rPr>
              <w:t>证书号</w:t>
            </w:r>
          </w:p>
        </w:tc>
        <w:tc>
          <w:tcPr>
            <w:tcW w:w="928" w:type="dxa"/>
            <w:tcBorders>
              <w:top w:val="single" w:color="000000" w:sz="4" w:space="0"/>
              <w:left w:val="nil"/>
              <w:bottom w:val="single" w:color="000000" w:sz="4" w:space="0"/>
              <w:right w:val="single" w:color="000000" w:sz="4" w:space="0"/>
            </w:tcBorders>
            <w:vAlign w:val="center"/>
          </w:tcPr>
          <w:p w14:paraId="6F93B405">
            <w:pPr>
              <w:jc w:val="center"/>
              <w:rPr>
                <w:rFonts w:hint="eastAsia" w:ascii="宋体" w:hAnsi="宋体" w:eastAsia="宋体" w:cs="Arial"/>
                <w:b/>
                <w:bCs/>
                <w:sz w:val="24"/>
                <w:szCs w:val="24"/>
              </w:rPr>
            </w:pPr>
            <w:r>
              <w:rPr>
                <w:rFonts w:hint="eastAsia" w:ascii="宋体" w:hAnsi="宋体" w:eastAsia="宋体" w:cs="Arial"/>
                <w:b/>
                <w:bCs/>
                <w:sz w:val="24"/>
                <w:szCs w:val="24"/>
              </w:rPr>
              <w:t>技术职称</w:t>
            </w:r>
          </w:p>
        </w:tc>
        <w:tc>
          <w:tcPr>
            <w:tcW w:w="968" w:type="dxa"/>
            <w:tcBorders>
              <w:top w:val="single" w:color="000000" w:sz="4" w:space="0"/>
              <w:left w:val="nil"/>
              <w:bottom w:val="single" w:color="000000" w:sz="4" w:space="0"/>
              <w:right w:val="single" w:color="000000" w:sz="4" w:space="0"/>
            </w:tcBorders>
            <w:vAlign w:val="center"/>
          </w:tcPr>
          <w:p w14:paraId="106E0FB7">
            <w:pPr>
              <w:jc w:val="center"/>
              <w:rPr>
                <w:rFonts w:hint="eastAsia" w:ascii="宋体" w:hAnsi="宋体" w:eastAsia="宋体" w:cs="Arial"/>
                <w:b/>
                <w:bCs/>
                <w:sz w:val="24"/>
                <w:szCs w:val="24"/>
              </w:rPr>
            </w:pPr>
            <w:r>
              <w:rPr>
                <w:rFonts w:hint="eastAsia" w:ascii="宋体" w:hAnsi="宋体" w:eastAsia="宋体" w:cs="Arial"/>
                <w:b/>
                <w:bCs/>
                <w:sz w:val="24"/>
                <w:szCs w:val="24"/>
              </w:rPr>
              <w:t>相关工作年限</w:t>
            </w:r>
          </w:p>
        </w:tc>
        <w:tc>
          <w:tcPr>
            <w:tcW w:w="859" w:type="dxa"/>
            <w:tcBorders>
              <w:top w:val="single" w:color="000000" w:sz="4" w:space="0"/>
              <w:left w:val="nil"/>
              <w:bottom w:val="single" w:color="000000" w:sz="4" w:space="0"/>
              <w:right w:val="single" w:color="000000" w:sz="4" w:space="0"/>
            </w:tcBorders>
            <w:vAlign w:val="center"/>
          </w:tcPr>
          <w:p w14:paraId="695DA889">
            <w:pPr>
              <w:jc w:val="center"/>
              <w:rPr>
                <w:rFonts w:hint="eastAsia" w:ascii="宋体" w:hAnsi="宋体" w:eastAsia="宋体" w:cs="Arial"/>
                <w:b/>
                <w:bCs/>
                <w:sz w:val="24"/>
                <w:szCs w:val="24"/>
              </w:rPr>
            </w:pPr>
            <w:r>
              <w:rPr>
                <w:rFonts w:hint="eastAsia" w:ascii="宋体" w:hAnsi="宋体" w:eastAsia="宋体" w:cs="Arial"/>
                <w:b/>
                <w:bCs/>
                <w:sz w:val="24"/>
                <w:szCs w:val="24"/>
              </w:rPr>
              <w:t>备注</w:t>
            </w:r>
          </w:p>
        </w:tc>
      </w:tr>
      <w:tr w14:paraId="1815803B">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22CDF0C0">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5199BCC8">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11EC25FE">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2B7A32E1">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09FE9EA9">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0819605C">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50926E48">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1C9D973A">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64BF4217">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18576B23">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6CB5DE13">
            <w:pPr>
              <w:jc w:val="both"/>
              <w:rPr>
                <w:rFonts w:hint="eastAsia" w:ascii="宋体" w:hAnsi="宋体" w:eastAsia="宋体" w:cs="Arial"/>
                <w:sz w:val="24"/>
                <w:szCs w:val="24"/>
              </w:rPr>
            </w:pPr>
          </w:p>
        </w:tc>
      </w:tr>
      <w:tr w14:paraId="77F93D7D">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0BE51EB2">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6FD73C2C">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2F2C55F4">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52EA2FC1">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7D36EF34">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3F8393E7">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35CDE20E">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36660475">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02C5E063">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7C3DEE4F">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6EEC3D51">
            <w:pPr>
              <w:jc w:val="both"/>
              <w:rPr>
                <w:rFonts w:hint="eastAsia" w:ascii="宋体" w:hAnsi="宋体" w:eastAsia="宋体" w:cs="Arial"/>
                <w:sz w:val="24"/>
                <w:szCs w:val="24"/>
              </w:rPr>
            </w:pPr>
          </w:p>
        </w:tc>
      </w:tr>
      <w:tr w14:paraId="16DB86BA">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2FB8E85C">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63B6E650">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7AAE838B">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13F96EB3">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63187E99">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3DBDAEEA">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30EC2019">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6D9837CB">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03A1695A">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625345E2">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2FACE50A">
            <w:pPr>
              <w:jc w:val="both"/>
              <w:rPr>
                <w:rFonts w:hint="eastAsia" w:ascii="宋体" w:hAnsi="宋体" w:eastAsia="宋体" w:cs="Arial"/>
                <w:sz w:val="24"/>
                <w:szCs w:val="24"/>
              </w:rPr>
            </w:pPr>
          </w:p>
        </w:tc>
      </w:tr>
      <w:tr w14:paraId="79D71C40">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7ECC5C17">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00F5EC59">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7578CDE6">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367FD9E8">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61D76721">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1F9C52A1">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4B1AA4B5">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582D92C3">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676428F7">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08847BAD">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5D895D8F">
            <w:pPr>
              <w:jc w:val="both"/>
              <w:rPr>
                <w:rFonts w:hint="eastAsia" w:ascii="宋体" w:hAnsi="宋体" w:eastAsia="宋体" w:cs="Arial"/>
                <w:sz w:val="24"/>
                <w:szCs w:val="24"/>
              </w:rPr>
            </w:pPr>
          </w:p>
        </w:tc>
      </w:tr>
      <w:tr w14:paraId="20192B98">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4C63B344">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27E126D3">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039B2E72">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73516AF5">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158124E7">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16717AFA">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1A87801F">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5B4ADAAF">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61B458F8">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5EC6036D">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6D7E4490">
            <w:pPr>
              <w:jc w:val="both"/>
              <w:rPr>
                <w:rFonts w:hint="eastAsia" w:ascii="宋体" w:hAnsi="宋体" w:eastAsia="宋体" w:cs="Arial"/>
                <w:sz w:val="24"/>
                <w:szCs w:val="24"/>
              </w:rPr>
            </w:pPr>
          </w:p>
        </w:tc>
      </w:tr>
      <w:tr w14:paraId="3CDBF1A3">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00AA33A0">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1C8B2697">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215441CE">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386D3DBC">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51E638D7">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081F62AE">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37196722">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6496467C">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741AF9A8">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49E8907A">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79FB6844">
            <w:pPr>
              <w:jc w:val="both"/>
              <w:rPr>
                <w:rFonts w:hint="eastAsia" w:ascii="宋体" w:hAnsi="宋体" w:eastAsia="宋体" w:cs="Arial"/>
                <w:sz w:val="24"/>
                <w:szCs w:val="24"/>
              </w:rPr>
            </w:pPr>
          </w:p>
        </w:tc>
      </w:tr>
      <w:tr w14:paraId="31F3C000">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5CD1DAA5">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79BDE360">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04C8C840">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25B6E1CB">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7400F878">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6448F79F">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5E507B7B">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509E0D07">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5A669C3C">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2D8489B5">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50A3AB69">
            <w:pPr>
              <w:jc w:val="both"/>
              <w:rPr>
                <w:rFonts w:hint="eastAsia" w:ascii="宋体" w:hAnsi="宋体" w:eastAsia="宋体" w:cs="Arial"/>
                <w:sz w:val="24"/>
                <w:szCs w:val="24"/>
              </w:rPr>
            </w:pPr>
          </w:p>
        </w:tc>
      </w:tr>
      <w:tr w14:paraId="44591794">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6F198635">
            <w:pPr>
              <w:jc w:val="both"/>
              <w:rPr>
                <w:rFonts w:hint="eastAsia" w:ascii="宋体" w:hAnsi="宋体" w:eastAsia="宋体" w:cs="Arial"/>
                <w:sz w:val="24"/>
                <w:szCs w:val="24"/>
              </w:rPr>
            </w:pPr>
          </w:p>
        </w:tc>
        <w:tc>
          <w:tcPr>
            <w:tcW w:w="996" w:type="dxa"/>
            <w:tcBorders>
              <w:top w:val="single" w:color="000000" w:sz="4" w:space="0"/>
              <w:left w:val="nil"/>
              <w:bottom w:val="single" w:color="000000" w:sz="4" w:space="0"/>
              <w:right w:val="single" w:color="000000" w:sz="4" w:space="0"/>
            </w:tcBorders>
          </w:tcPr>
          <w:p w14:paraId="413E80A9">
            <w:pPr>
              <w:jc w:val="both"/>
              <w:rPr>
                <w:rFonts w:hint="eastAsia" w:ascii="宋体" w:hAnsi="宋体" w:eastAsia="宋体" w:cs="Arial"/>
                <w:sz w:val="24"/>
                <w:szCs w:val="24"/>
              </w:rPr>
            </w:pPr>
          </w:p>
        </w:tc>
        <w:tc>
          <w:tcPr>
            <w:tcW w:w="777" w:type="dxa"/>
            <w:tcBorders>
              <w:top w:val="single" w:color="000000" w:sz="4" w:space="0"/>
              <w:left w:val="nil"/>
              <w:bottom w:val="single" w:color="000000" w:sz="4" w:space="0"/>
              <w:right w:val="single" w:color="000000" w:sz="4" w:space="0"/>
            </w:tcBorders>
          </w:tcPr>
          <w:p w14:paraId="15DAB255">
            <w:pPr>
              <w:jc w:val="both"/>
              <w:rPr>
                <w:rFonts w:hint="eastAsia" w:ascii="宋体" w:hAnsi="宋体" w:eastAsia="宋体" w:cs="Arial"/>
                <w:sz w:val="24"/>
                <w:szCs w:val="24"/>
              </w:rPr>
            </w:pPr>
          </w:p>
        </w:tc>
        <w:tc>
          <w:tcPr>
            <w:tcW w:w="782" w:type="dxa"/>
            <w:tcBorders>
              <w:top w:val="single" w:color="000000" w:sz="4" w:space="0"/>
              <w:left w:val="nil"/>
              <w:bottom w:val="single" w:color="000000" w:sz="4" w:space="0"/>
              <w:right w:val="single" w:color="000000" w:sz="4" w:space="0"/>
            </w:tcBorders>
          </w:tcPr>
          <w:p w14:paraId="01F81FAE">
            <w:pPr>
              <w:jc w:val="both"/>
              <w:rPr>
                <w:rFonts w:hint="eastAsia" w:ascii="宋体" w:hAnsi="宋体" w:eastAsia="宋体" w:cs="Arial"/>
                <w:sz w:val="24"/>
                <w:szCs w:val="24"/>
              </w:rPr>
            </w:pPr>
          </w:p>
        </w:tc>
        <w:tc>
          <w:tcPr>
            <w:tcW w:w="1038" w:type="dxa"/>
            <w:tcBorders>
              <w:top w:val="single" w:color="000000" w:sz="4" w:space="0"/>
              <w:left w:val="nil"/>
              <w:bottom w:val="single" w:color="000000" w:sz="4" w:space="0"/>
              <w:right w:val="single" w:color="000000" w:sz="4" w:space="0"/>
            </w:tcBorders>
          </w:tcPr>
          <w:p w14:paraId="26E3FD8D">
            <w:pPr>
              <w:jc w:val="both"/>
              <w:rPr>
                <w:rFonts w:hint="eastAsia" w:ascii="宋体" w:hAnsi="宋体" w:eastAsia="宋体" w:cs="Arial"/>
                <w:sz w:val="24"/>
                <w:szCs w:val="24"/>
              </w:rPr>
            </w:pPr>
          </w:p>
        </w:tc>
        <w:tc>
          <w:tcPr>
            <w:tcW w:w="852" w:type="dxa"/>
            <w:tcBorders>
              <w:top w:val="single" w:color="000000" w:sz="4" w:space="0"/>
              <w:left w:val="nil"/>
              <w:bottom w:val="single" w:color="000000" w:sz="4" w:space="0"/>
              <w:right w:val="single" w:color="000000" w:sz="4" w:space="0"/>
            </w:tcBorders>
          </w:tcPr>
          <w:p w14:paraId="1382CB91">
            <w:pPr>
              <w:jc w:val="both"/>
              <w:rPr>
                <w:rFonts w:hint="eastAsia" w:ascii="宋体" w:hAnsi="宋体" w:eastAsia="宋体" w:cs="Arial"/>
                <w:sz w:val="24"/>
                <w:szCs w:val="24"/>
              </w:rPr>
            </w:pPr>
          </w:p>
        </w:tc>
        <w:tc>
          <w:tcPr>
            <w:tcW w:w="934" w:type="dxa"/>
            <w:tcBorders>
              <w:top w:val="single" w:color="000000" w:sz="4" w:space="0"/>
              <w:left w:val="nil"/>
              <w:bottom w:val="single" w:color="000000" w:sz="4" w:space="0"/>
              <w:right w:val="single" w:color="000000" w:sz="4" w:space="0"/>
            </w:tcBorders>
          </w:tcPr>
          <w:p w14:paraId="1BC82CC8">
            <w:pPr>
              <w:jc w:val="both"/>
              <w:rPr>
                <w:rFonts w:hint="eastAsia" w:ascii="宋体" w:hAnsi="宋体" w:eastAsia="宋体" w:cs="Arial"/>
                <w:sz w:val="24"/>
                <w:szCs w:val="24"/>
              </w:rPr>
            </w:pPr>
          </w:p>
        </w:tc>
        <w:tc>
          <w:tcPr>
            <w:tcW w:w="1045" w:type="dxa"/>
            <w:tcBorders>
              <w:top w:val="single" w:color="000000" w:sz="4" w:space="0"/>
              <w:left w:val="nil"/>
              <w:bottom w:val="single" w:color="000000" w:sz="4" w:space="0"/>
              <w:right w:val="single" w:color="000000" w:sz="4" w:space="0"/>
            </w:tcBorders>
          </w:tcPr>
          <w:p w14:paraId="696AA37C">
            <w:pPr>
              <w:jc w:val="both"/>
              <w:rPr>
                <w:rFonts w:hint="eastAsia" w:ascii="宋体" w:hAnsi="宋体" w:eastAsia="宋体" w:cs="Arial"/>
                <w:sz w:val="24"/>
                <w:szCs w:val="24"/>
              </w:rPr>
            </w:pPr>
          </w:p>
        </w:tc>
        <w:tc>
          <w:tcPr>
            <w:tcW w:w="928" w:type="dxa"/>
            <w:tcBorders>
              <w:top w:val="single" w:color="000000" w:sz="4" w:space="0"/>
              <w:left w:val="nil"/>
              <w:bottom w:val="single" w:color="000000" w:sz="4" w:space="0"/>
              <w:right w:val="single" w:color="000000" w:sz="4" w:space="0"/>
            </w:tcBorders>
          </w:tcPr>
          <w:p w14:paraId="3B0EBA0B">
            <w:pPr>
              <w:jc w:val="both"/>
              <w:rPr>
                <w:rFonts w:hint="eastAsia" w:ascii="宋体" w:hAnsi="宋体" w:eastAsia="宋体" w:cs="Arial"/>
                <w:sz w:val="24"/>
                <w:szCs w:val="24"/>
              </w:rPr>
            </w:pPr>
          </w:p>
        </w:tc>
        <w:tc>
          <w:tcPr>
            <w:tcW w:w="968" w:type="dxa"/>
            <w:tcBorders>
              <w:top w:val="single" w:color="000000" w:sz="4" w:space="0"/>
              <w:left w:val="nil"/>
              <w:bottom w:val="single" w:color="000000" w:sz="4" w:space="0"/>
              <w:right w:val="single" w:color="000000" w:sz="4" w:space="0"/>
            </w:tcBorders>
          </w:tcPr>
          <w:p w14:paraId="3F040459">
            <w:pPr>
              <w:jc w:val="both"/>
              <w:rPr>
                <w:rFonts w:hint="eastAsia" w:ascii="宋体" w:hAnsi="宋体" w:eastAsia="宋体" w:cs="Arial"/>
                <w:sz w:val="24"/>
                <w:szCs w:val="24"/>
              </w:rPr>
            </w:pPr>
          </w:p>
        </w:tc>
        <w:tc>
          <w:tcPr>
            <w:tcW w:w="859" w:type="dxa"/>
            <w:tcBorders>
              <w:top w:val="single" w:color="000000" w:sz="4" w:space="0"/>
              <w:left w:val="nil"/>
              <w:bottom w:val="single" w:color="000000" w:sz="4" w:space="0"/>
              <w:right w:val="single" w:color="000000" w:sz="4" w:space="0"/>
            </w:tcBorders>
          </w:tcPr>
          <w:p w14:paraId="1827A7B2">
            <w:pPr>
              <w:jc w:val="both"/>
              <w:rPr>
                <w:rFonts w:hint="eastAsia" w:ascii="宋体" w:hAnsi="宋体" w:eastAsia="宋体" w:cs="Arial"/>
                <w:sz w:val="24"/>
                <w:szCs w:val="24"/>
              </w:rPr>
            </w:pPr>
          </w:p>
        </w:tc>
      </w:tr>
    </w:tbl>
    <w:p w14:paraId="28EA6049">
      <w:pPr>
        <w:shd w:val="clear" w:color="auto" w:fill="FFFFFF"/>
        <w:spacing w:line="360" w:lineRule="auto"/>
        <w:rPr>
          <w:rFonts w:hint="eastAsia" w:ascii="宋体" w:hAnsi="宋体" w:eastAsia="宋体" w:cs="Times New Roman"/>
          <w:sz w:val="24"/>
          <w:szCs w:val="24"/>
        </w:rPr>
      </w:pPr>
    </w:p>
    <w:p w14:paraId="427C89FD">
      <w:pPr>
        <w:shd w:val="clear" w:color="auto" w:fill="FFFFFF"/>
        <w:spacing w:line="360" w:lineRule="auto"/>
        <w:rPr>
          <w:rFonts w:hint="eastAsia" w:ascii="宋体" w:hAnsi="宋体" w:eastAsia="宋体" w:cs="Arial"/>
          <w:sz w:val="24"/>
          <w:szCs w:val="24"/>
        </w:rPr>
      </w:pPr>
      <w:r>
        <w:rPr>
          <w:rFonts w:hint="eastAsia" w:ascii="宋体" w:hAnsi="宋体" w:eastAsia="宋体" w:cs="Times New Roman"/>
          <w:sz w:val="24"/>
          <w:szCs w:val="24"/>
        </w:rPr>
        <w:t>注：按招标文件要求及评标标准的要求，提供人员证书等，附后。</w:t>
      </w:r>
    </w:p>
    <w:p w14:paraId="3EC694F6">
      <w:pPr>
        <w:widowControl w:val="0"/>
        <w:shd w:val="clear" w:color="auto" w:fill="FFFFFF"/>
        <w:spacing w:line="360" w:lineRule="auto"/>
        <w:rPr>
          <w:rFonts w:hint="eastAsia" w:ascii="宋体" w:hAnsi="宋体" w:eastAsia="宋体" w:cs="Arial"/>
          <w:sz w:val="24"/>
          <w:szCs w:val="24"/>
        </w:rPr>
      </w:pPr>
    </w:p>
    <w:p w14:paraId="634D8A57">
      <w:pPr>
        <w:widowControl w:val="0"/>
        <w:shd w:val="clear" w:color="auto" w:fill="FFFFFF"/>
        <w:spacing w:line="360" w:lineRule="auto"/>
        <w:rPr>
          <w:rFonts w:hint="eastAsia" w:ascii="宋体" w:hAnsi="宋体" w:eastAsia="宋体" w:cs="Arial"/>
          <w:sz w:val="24"/>
          <w:szCs w:val="24"/>
        </w:rPr>
      </w:pPr>
      <w:r>
        <w:rPr>
          <w:rFonts w:hint="eastAsia" w:ascii="宋体" w:hAnsi="宋体" w:eastAsia="宋体" w:cs="Arial"/>
          <w:sz w:val="24"/>
          <w:szCs w:val="24"/>
        </w:rPr>
        <w:t>如果行数不够，请自行增加。</w:t>
      </w:r>
    </w:p>
    <w:p w14:paraId="30C117CE">
      <w:pPr>
        <w:shd w:val="clear" w:color="auto" w:fill="FFFFFF"/>
        <w:spacing w:line="360" w:lineRule="auto"/>
        <w:rPr>
          <w:rFonts w:hint="eastAsia" w:ascii="宋体" w:hAnsi="宋体" w:eastAsia="宋体" w:cs="Arial"/>
          <w:sz w:val="24"/>
          <w:szCs w:val="24"/>
        </w:rPr>
      </w:pPr>
    </w:p>
    <w:p w14:paraId="7ABAF866">
      <w:pPr>
        <w:shd w:val="clear" w:color="auto" w:fill="FFFFFF"/>
        <w:spacing w:line="360" w:lineRule="auto"/>
        <w:ind w:firstLine="6240" w:firstLineChars="2600"/>
        <w:rPr>
          <w:rFonts w:hint="eastAsia" w:ascii="宋体" w:hAnsi="宋体" w:eastAsia="宋体" w:cs="Arial"/>
          <w:sz w:val="24"/>
          <w:szCs w:val="24"/>
        </w:rPr>
      </w:pPr>
      <w:r>
        <w:rPr>
          <w:rFonts w:hint="eastAsia" w:ascii="宋体" w:hAnsi="宋体" w:eastAsia="宋体" w:cs="Arial"/>
          <w:sz w:val="24"/>
          <w:szCs w:val="24"/>
        </w:rPr>
        <w:t>投标人全称（CA公章）：</w:t>
      </w:r>
    </w:p>
    <w:p w14:paraId="71D85497">
      <w:pPr>
        <w:shd w:val="clear" w:color="auto" w:fill="FFFFFF"/>
        <w:spacing w:line="360" w:lineRule="auto"/>
        <w:rPr>
          <w:rFonts w:hint="eastAsia" w:ascii="宋体" w:hAnsi="宋体" w:eastAsia="宋体" w:cs="Arial"/>
          <w:sz w:val="24"/>
          <w:szCs w:val="24"/>
          <w:u w:val="single"/>
        </w:rPr>
      </w:pPr>
    </w:p>
    <w:p w14:paraId="133228A8">
      <w:pPr>
        <w:jc w:val="both"/>
        <w:rPr>
          <w:rFonts w:hint="eastAsia" w:ascii="宋体" w:hAnsi="宋体" w:eastAsia="宋体" w:cs="Arial"/>
          <w:szCs w:val="21"/>
        </w:rPr>
      </w:pPr>
    </w:p>
    <w:p w14:paraId="064E7BFE">
      <w:pPr>
        <w:jc w:val="both"/>
        <w:rPr>
          <w:rFonts w:hint="eastAsia" w:ascii="宋体" w:hAnsi="宋体" w:eastAsia="宋体" w:cs="Arial"/>
          <w:b/>
          <w:bCs/>
          <w:szCs w:val="21"/>
        </w:rPr>
      </w:pPr>
    </w:p>
    <w:p w14:paraId="0BF77347">
      <w:pPr>
        <w:spacing w:line="360" w:lineRule="auto"/>
        <w:jc w:val="both"/>
        <w:outlineLvl w:val="1"/>
        <w:rPr>
          <w:rFonts w:hint="eastAsia" w:ascii="宋体" w:hAnsi="宋体" w:eastAsia="宋体" w:cs="Arial"/>
          <w:b/>
          <w:bCs/>
          <w:sz w:val="24"/>
          <w:szCs w:val="24"/>
        </w:rPr>
      </w:pPr>
      <w:r>
        <w:rPr>
          <w:rFonts w:ascii="宋体" w:hAnsi="宋体" w:eastAsia="宋体" w:cs="Arial"/>
          <w:b/>
          <w:bCs/>
          <w:sz w:val="24"/>
          <w:szCs w:val="24"/>
        </w:rPr>
        <w:br w:type="page" w:clear="all"/>
      </w:r>
      <w:bookmarkStart w:id="47" w:name="_Toc29151"/>
      <w:bookmarkStart w:id="48" w:name="_Toc227"/>
      <w:r>
        <w:rPr>
          <w:rFonts w:hint="eastAsia" w:ascii="宋体" w:hAnsi="宋体" w:eastAsia="宋体" w:cs="Arial"/>
          <w:b/>
          <w:bCs/>
          <w:szCs w:val="21"/>
        </w:rPr>
        <w:t>十、投标人类似业绩情况表</w:t>
      </w:r>
      <w:bookmarkEnd w:id="47"/>
      <w:bookmarkEnd w:id="48"/>
    </w:p>
    <w:p w14:paraId="2F0E2085">
      <w:pPr>
        <w:shd w:val="clear" w:color="auto" w:fill="FFFFFF"/>
        <w:spacing w:line="360" w:lineRule="auto"/>
        <w:ind w:left="420"/>
        <w:jc w:val="center"/>
        <w:rPr>
          <w:rFonts w:hint="eastAsia" w:ascii="宋体" w:hAnsi="宋体" w:eastAsia="宋体" w:cs="Arial"/>
          <w:b/>
          <w:sz w:val="32"/>
          <w:szCs w:val="32"/>
        </w:rPr>
      </w:pPr>
      <w:r>
        <w:rPr>
          <w:rFonts w:hint="eastAsia" w:ascii="宋体" w:hAnsi="宋体" w:eastAsia="宋体" w:cs="Arial"/>
          <w:b/>
          <w:sz w:val="32"/>
          <w:szCs w:val="32"/>
        </w:rPr>
        <w:t>投标人类似业绩情况表</w:t>
      </w:r>
    </w:p>
    <w:p w14:paraId="4C024ADC">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项目名称：               </w:t>
      </w:r>
    </w:p>
    <w:p w14:paraId="0EFEAAC6">
      <w:pPr>
        <w:widowControl w:val="0"/>
        <w:spacing w:line="360" w:lineRule="auto"/>
        <w:rPr>
          <w:rFonts w:hint="eastAsia" w:ascii="宋体" w:hAnsi="宋体" w:eastAsia="宋体" w:cs="Arial"/>
          <w:bCs/>
          <w:sz w:val="24"/>
          <w:szCs w:val="24"/>
        </w:rPr>
      </w:pPr>
      <w:r>
        <w:rPr>
          <w:rFonts w:hint="eastAsia" w:ascii="宋体" w:hAnsi="宋体" w:eastAsia="宋体" w:cs="Arial"/>
          <w:bCs/>
          <w:sz w:val="24"/>
          <w:szCs w:val="24"/>
        </w:rPr>
        <w:t xml:space="preserve">项目编号：               </w:t>
      </w:r>
    </w:p>
    <w:p w14:paraId="5AEA2108">
      <w:pPr>
        <w:jc w:val="both"/>
        <w:rPr>
          <w:rFonts w:hint="eastAsia" w:ascii="宋体" w:hAnsi="宋体" w:eastAsia="宋体" w:cs="Arial"/>
          <w:b/>
          <w:bCs/>
          <w:sz w:val="24"/>
          <w:szCs w:val="24"/>
        </w:rPr>
      </w:pPr>
      <w:r>
        <w:rPr>
          <w:rFonts w:hint="eastAsia" w:ascii="宋体" w:hAnsi="宋体" w:eastAsia="宋体" w:cs="Arial"/>
          <w:bCs/>
          <w:sz w:val="24"/>
          <w:szCs w:val="24"/>
        </w:rPr>
        <w:t>分 包 号：</w:t>
      </w:r>
    </w:p>
    <w:tbl>
      <w:tblPr>
        <w:tblStyle w:val="37"/>
        <w:tblW w:w="9584" w:type="dxa"/>
        <w:jc w:val="center"/>
        <w:tblLayout w:type="fixed"/>
        <w:tblCellMar>
          <w:top w:w="0" w:type="dxa"/>
          <w:left w:w="108" w:type="dxa"/>
          <w:bottom w:w="0" w:type="dxa"/>
          <w:right w:w="108" w:type="dxa"/>
        </w:tblCellMar>
      </w:tblPr>
      <w:tblGrid>
        <w:gridCol w:w="1067"/>
        <w:gridCol w:w="2080"/>
        <w:gridCol w:w="1550"/>
        <w:gridCol w:w="1200"/>
        <w:gridCol w:w="1391"/>
        <w:gridCol w:w="1283"/>
        <w:gridCol w:w="1013"/>
      </w:tblGrid>
      <w:tr w14:paraId="183EDC94">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vAlign w:val="center"/>
          </w:tcPr>
          <w:p w14:paraId="63020519">
            <w:pPr>
              <w:wordWrap w:val="0"/>
              <w:topLinePunct/>
              <w:jc w:val="both"/>
              <w:rPr>
                <w:rFonts w:hint="eastAsia" w:ascii="宋体" w:hAnsi="宋体" w:eastAsia="宋体" w:cs="Arial"/>
                <w:sz w:val="24"/>
                <w:szCs w:val="24"/>
              </w:rPr>
            </w:pPr>
            <w:r>
              <w:rPr>
                <w:rFonts w:hint="eastAsia" w:ascii="宋体" w:hAnsi="宋体" w:eastAsia="宋体" w:cs="Arial"/>
                <w:b/>
                <w:bCs/>
                <w:sz w:val="24"/>
                <w:szCs w:val="24"/>
              </w:rPr>
              <w:t>序号</w:t>
            </w:r>
          </w:p>
        </w:tc>
        <w:tc>
          <w:tcPr>
            <w:tcW w:w="2080" w:type="dxa"/>
            <w:tcBorders>
              <w:top w:val="single" w:color="000000" w:sz="4" w:space="0"/>
              <w:left w:val="nil"/>
              <w:bottom w:val="single" w:color="000000" w:sz="4" w:space="0"/>
              <w:right w:val="single" w:color="000000" w:sz="4" w:space="0"/>
            </w:tcBorders>
            <w:vAlign w:val="center"/>
          </w:tcPr>
          <w:p w14:paraId="5F8A7E13">
            <w:pPr>
              <w:jc w:val="center"/>
              <w:rPr>
                <w:rFonts w:hint="eastAsia" w:ascii="宋体" w:hAnsi="宋体" w:eastAsia="宋体" w:cs="Arial"/>
                <w:b/>
                <w:bCs/>
                <w:sz w:val="24"/>
                <w:szCs w:val="24"/>
              </w:rPr>
            </w:pPr>
            <w:r>
              <w:rPr>
                <w:rFonts w:hint="eastAsia" w:ascii="宋体" w:hAnsi="宋体" w:eastAsia="宋体" w:cs="Arial"/>
                <w:b/>
                <w:bCs/>
                <w:sz w:val="24"/>
                <w:szCs w:val="24"/>
              </w:rPr>
              <w:t>项目名称</w:t>
            </w:r>
          </w:p>
        </w:tc>
        <w:tc>
          <w:tcPr>
            <w:tcW w:w="1550" w:type="dxa"/>
            <w:tcBorders>
              <w:top w:val="single" w:color="000000" w:sz="4" w:space="0"/>
              <w:left w:val="nil"/>
              <w:bottom w:val="single" w:color="000000" w:sz="4" w:space="0"/>
              <w:right w:val="single" w:color="000000" w:sz="4" w:space="0"/>
            </w:tcBorders>
            <w:vAlign w:val="center"/>
          </w:tcPr>
          <w:p w14:paraId="5F13919E">
            <w:pPr>
              <w:jc w:val="center"/>
              <w:rPr>
                <w:rFonts w:hint="eastAsia" w:ascii="宋体" w:hAnsi="宋体" w:eastAsia="宋体" w:cs="Arial"/>
                <w:b/>
                <w:bCs/>
                <w:sz w:val="24"/>
                <w:szCs w:val="24"/>
              </w:rPr>
            </w:pPr>
            <w:r>
              <w:rPr>
                <w:rFonts w:hint="eastAsia" w:ascii="宋体" w:hAnsi="宋体" w:eastAsia="宋体" w:cs="Arial"/>
                <w:b/>
                <w:bCs/>
                <w:sz w:val="24"/>
                <w:szCs w:val="24"/>
              </w:rPr>
              <w:t>业主单位</w:t>
            </w:r>
          </w:p>
        </w:tc>
        <w:tc>
          <w:tcPr>
            <w:tcW w:w="1200" w:type="dxa"/>
            <w:tcBorders>
              <w:top w:val="single" w:color="000000" w:sz="4" w:space="0"/>
              <w:left w:val="nil"/>
              <w:bottom w:val="single" w:color="000000" w:sz="4" w:space="0"/>
              <w:right w:val="single" w:color="000000" w:sz="4" w:space="0"/>
            </w:tcBorders>
            <w:vAlign w:val="center"/>
          </w:tcPr>
          <w:p w14:paraId="0CC637C3">
            <w:pPr>
              <w:jc w:val="center"/>
              <w:rPr>
                <w:rFonts w:hint="eastAsia" w:ascii="宋体" w:hAnsi="宋体" w:eastAsia="宋体" w:cs="Arial"/>
                <w:b/>
                <w:bCs/>
                <w:sz w:val="24"/>
                <w:szCs w:val="24"/>
              </w:rPr>
            </w:pPr>
            <w:r>
              <w:rPr>
                <w:rFonts w:hint="eastAsia" w:ascii="宋体" w:hAnsi="宋体" w:eastAsia="宋体" w:cs="Arial"/>
                <w:b/>
                <w:bCs/>
                <w:sz w:val="24"/>
                <w:szCs w:val="24"/>
              </w:rPr>
              <w:t>项目</w:t>
            </w:r>
          </w:p>
          <w:p w14:paraId="2B55F3C1">
            <w:pPr>
              <w:jc w:val="center"/>
              <w:rPr>
                <w:rFonts w:hint="eastAsia" w:ascii="宋体" w:hAnsi="宋体" w:eastAsia="宋体" w:cs="Arial"/>
                <w:b/>
                <w:bCs/>
                <w:sz w:val="24"/>
                <w:szCs w:val="24"/>
              </w:rPr>
            </w:pPr>
            <w:r>
              <w:rPr>
                <w:rFonts w:hint="eastAsia" w:ascii="宋体" w:hAnsi="宋体" w:eastAsia="宋体" w:cs="Arial"/>
                <w:b/>
                <w:bCs/>
                <w:sz w:val="24"/>
                <w:szCs w:val="24"/>
              </w:rPr>
              <w:t>规模</w:t>
            </w:r>
          </w:p>
        </w:tc>
        <w:tc>
          <w:tcPr>
            <w:tcW w:w="1391" w:type="dxa"/>
            <w:tcBorders>
              <w:top w:val="single" w:color="000000" w:sz="4" w:space="0"/>
              <w:left w:val="nil"/>
              <w:bottom w:val="single" w:color="000000" w:sz="4" w:space="0"/>
              <w:right w:val="single" w:color="000000" w:sz="4" w:space="0"/>
            </w:tcBorders>
            <w:vAlign w:val="center"/>
          </w:tcPr>
          <w:p w14:paraId="1B750AA2">
            <w:pPr>
              <w:jc w:val="center"/>
              <w:rPr>
                <w:rFonts w:hint="eastAsia" w:ascii="宋体" w:hAnsi="宋体" w:eastAsia="宋体" w:cs="Arial"/>
                <w:b/>
                <w:bCs/>
                <w:sz w:val="24"/>
                <w:szCs w:val="24"/>
              </w:rPr>
            </w:pPr>
            <w:r>
              <w:rPr>
                <w:rFonts w:hint="eastAsia" w:ascii="宋体" w:hAnsi="宋体" w:eastAsia="宋体" w:cs="Arial"/>
                <w:b/>
                <w:bCs/>
                <w:sz w:val="24"/>
                <w:szCs w:val="24"/>
              </w:rPr>
              <w:t>签约及</w:t>
            </w:r>
          </w:p>
          <w:p w14:paraId="7425A252">
            <w:pPr>
              <w:jc w:val="center"/>
              <w:rPr>
                <w:rFonts w:hint="eastAsia" w:ascii="宋体" w:hAnsi="宋体" w:eastAsia="宋体" w:cs="Arial"/>
                <w:b/>
                <w:bCs/>
                <w:sz w:val="24"/>
                <w:szCs w:val="24"/>
              </w:rPr>
            </w:pPr>
            <w:r>
              <w:rPr>
                <w:rFonts w:hint="eastAsia" w:ascii="宋体" w:hAnsi="宋体" w:eastAsia="宋体" w:cs="Arial"/>
                <w:b/>
                <w:bCs/>
                <w:sz w:val="24"/>
                <w:szCs w:val="24"/>
              </w:rPr>
              <w:t>服务时间</w:t>
            </w:r>
          </w:p>
        </w:tc>
        <w:tc>
          <w:tcPr>
            <w:tcW w:w="1283" w:type="dxa"/>
            <w:tcBorders>
              <w:top w:val="single" w:color="000000" w:sz="4" w:space="0"/>
              <w:left w:val="nil"/>
              <w:bottom w:val="single" w:color="000000" w:sz="4" w:space="0"/>
              <w:right w:val="single" w:color="000000" w:sz="4" w:space="0"/>
            </w:tcBorders>
            <w:vAlign w:val="center"/>
          </w:tcPr>
          <w:p w14:paraId="62D109D7">
            <w:pPr>
              <w:jc w:val="center"/>
              <w:rPr>
                <w:rFonts w:hint="eastAsia" w:ascii="宋体" w:hAnsi="宋体" w:eastAsia="宋体" w:cs="Arial"/>
                <w:b/>
                <w:bCs/>
                <w:sz w:val="24"/>
                <w:szCs w:val="24"/>
              </w:rPr>
            </w:pPr>
            <w:r>
              <w:rPr>
                <w:rFonts w:hint="eastAsia" w:ascii="宋体" w:hAnsi="宋体" w:eastAsia="宋体" w:cs="Arial"/>
                <w:b/>
                <w:bCs/>
                <w:sz w:val="24"/>
                <w:szCs w:val="24"/>
              </w:rPr>
              <w:t>联系人</w:t>
            </w:r>
          </w:p>
          <w:p w14:paraId="0873663C">
            <w:pPr>
              <w:jc w:val="center"/>
              <w:rPr>
                <w:rFonts w:hint="eastAsia" w:ascii="宋体" w:hAnsi="宋体" w:eastAsia="宋体" w:cs="Arial"/>
                <w:b/>
                <w:bCs/>
                <w:sz w:val="24"/>
                <w:szCs w:val="24"/>
              </w:rPr>
            </w:pPr>
            <w:r>
              <w:rPr>
                <w:rFonts w:hint="eastAsia" w:ascii="宋体" w:hAnsi="宋体" w:eastAsia="宋体" w:cs="Arial"/>
                <w:b/>
                <w:bCs/>
                <w:sz w:val="24"/>
                <w:szCs w:val="24"/>
              </w:rPr>
              <w:t>及电话</w:t>
            </w:r>
          </w:p>
        </w:tc>
        <w:tc>
          <w:tcPr>
            <w:tcW w:w="1013" w:type="dxa"/>
            <w:tcBorders>
              <w:top w:val="single" w:color="000000" w:sz="4" w:space="0"/>
              <w:left w:val="nil"/>
              <w:bottom w:val="single" w:color="000000" w:sz="4" w:space="0"/>
              <w:right w:val="single" w:color="000000" w:sz="4" w:space="0"/>
            </w:tcBorders>
            <w:vAlign w:val="center"/>
          </w:tcPr>
          <w:p w14:paraId="4E25B934">
            <w:pPr>
              <w:jc w:val="center"/>
              <w:rPr>
                <w:rFonts w:hint="eastAsia" w:ascii="宋体" w:hAnsi="宋体" w:eastAsia="宋体" w:cs="Arial"/>
                <w:b/>
                <w:bCs/>
                <w:sz w:val="24"/>
                <w:szCs w:val="24"/>
              </w:rPr>
            </w:pPr>
            <w:r>
              <w:rPr>
                <w:rFonts w:hint="eastAsia" w:ascii="宋体" w:hAnsi="宋体" w:eastAsia="宋体" w:cs="Arial"/>
                <w:b/>
                <w:bCs/>
                <w:sz w:val="24"/>
                <w:szCs w:val="24"/>
              </w:rPr>
              <w:t>备注</w:t>
            </w:r>
          </w:p>
        </w:tc>
      </w:tr>
      <w:tr w14:paraId="2A14975A">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3EA0E7B1">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3DE5478B">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1FF67BF6">
            <w:pPr>
              <w:spacing w:line="400" w:lineRule="atLeast"/>
              <w:ind w:firstLine="120"/>
              <w:jc w:val="both"/>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4DFE4563">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2EB8C992">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0219C161">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311C69D3">
            <w:pPr>
              <w:spacing w:line="400" w:lineRule="atLeast"/>
              <w:jc w:val="center"/>
              <w:rPr>
                <w:rFonts w:hint="eastAsia" w:ascii="宋体" w:hAnsi="宋体" w:eastAsia="宋体" w:cs="Arial"/>
                <w:sz w:val="24"/>
                <w:szCs w:val="24"/>
              </w:rPr>
            </w:pPr>
          </w:p>
        </w:tc>
      </w:tr>
      <w:tr w14:paraId="13896A74">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72FF1E0D">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4030C811">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2A780B05">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5A4B864C">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1E6BF664">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2ED81992">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3359B534">
            <w:pPr>
              <w:spacing w:line="400" w:lineRule="atLeast"/>
              <w:jc w:val="center"/>
              <w:rPr>
                <w:rFonts w:hint="eastAsia" w:ascii="宋体" w:hAnsi="宋体" w:eastAsia="宋体" w:cs="Arial"/>
                <w:sz w:val="24"/>
                <w:szCs w:val="24"/>
              </w:rPr>
            </w:pPr>
          </w:p>
        </w:tc>
      </w:tr>
      <w:tr w14:paraId="2DC1B4B3">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19C5A076">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4DA98ACF">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7C3F0D06">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19E3999D">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4B88EE62">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5F2DF0FA">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00829CB0">
            <w:pPr>
              <w:spacing w:line="400" w:lineRule="atLeast"/>
              <w:jc w:val="center"/>
              <w:rPr>
                <w:rFonts w:hint="eastAsia" w:ascii="宋体" w:hAnsi="宋体" w:eastAsia="宋体" w:cs="Arial"/>
                <w:sz w:val="24"/>
                <w:szCs w:val="24"/>
              </w:rPr>
            </w:pPr>
          </w:p>
        </w:tc>
      </w:tr>
      <w:tr w14:paraId="53C5FC33">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7B3E09AC">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1605FE3D">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7EF737DB">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6D26DA9F">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069DEE97">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73D6CED3">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12C968CB">
            <w:pPr>
              <w:spacing w:line="400" w:lineRule="atLeast"/>
              <w:jc w:val="center"/>
              <w:rPr>
                <w:rFonts w:hint="eastAsia" w:ascii="宋体" w:hAnsi="宋体" w:eastAsia="宋体" w:cs="Arial"/>
                <w:sz w:val="24"/>
                <w:szCs w:val="24"/>
              </w:rPr>
            </w:pPr>
          </w:p>
        </w:tc>
      </w:tr>
      <w:tr w14:paraId="5A59149B">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6D69232A">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7576FF03">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7122008F">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407C727F">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0141586B">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42E9B206">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1A5F7004">
            <w:pPr>
              <w:spacing w:line="400" w:lineRule="atLeast"/>
              <w:jc w:val="center"/>
              <w:rPr>
                <w:rFonts w:hint="eastAsia" w:ascii="宋体" w:hAnsi="宋体" w:eastAsia="宋体" w:cs="Arial"/>
                <w:sz w:val="24"/>
                <w:szCs w:val="24"/>
              </w:rPr>
            </w:pPr>
          </w:p>
        </w:tc>
      </w:tr>
      <w:tr w14:paraId="28D44E38">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26785F45">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72EB8F30">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51E11C52">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4408679B">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117B7BC7">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49484C4C">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75A3D2A1">
            <w:pPr>
              <w:spacing w:line="400" w:lineRule="atLeast"/>
              <w:jc w:val="center"/>
              <w:rPr>
                <w:rFonts w:hint="eastAsia" w:ascii="宋体" w:hAnsi="宋体" w:eastAsia="宋体" w:cs="Arial"/>
                <w:sz w:val="24"/>
                <w:szCs w:val="24"/>
              </w:rPr>
            </w:pPr>
          </w:p>
        </w:tc>
      </w:tr>
      <w:tr w14:paraId="0E274D4E">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73C98B30">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15EDB045">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5A8FF60C">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5FDEFFED">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090D1193">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5567EC26">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0EDB4D0B">
            <w:pPr>
              <w:spacing w:line="400" w:lineRule="atLeast"/>
              <w:jc w:val="center"/>
              <w:rPr>
                <w:rFonts w:hint="eastAsia" w:ascii="宋体" w:hAnsi="宋体" w:eastAsia="宋体" w:cs="Arial"/>
                <w:sz w:val="24"/>
                <w:szCs w:val="24"/>
              </w:rPr>
            </w:pPr>
          </w:p>
        </w:tc>
      </w:tr>
      <w:tr w14:paraId="4462CA79">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14CD668E">
            <w:pPr>
              <w:spacing w:line="400" w:lineRule="atLeast"/>
              <w:jc w:val="center"/>
              <w:rPr>
                <w:rFonts w:hint="eastAsia" w:ascii="宋体" w:hAnsi="宋体" w:eastAsia="宋体" w:cs="Arial"/>
                <w:sz w:val="24"/>
                <w:szCs w:val="24"/>
              </w:rPr>
            </w:pPr>
          </w:p>
        </w:tc>
        <w:tc>
          <w:tcPr>
            <w:tcW w:w="2080" w:type="dxa"/>
            <w:tcBorders>
              <w:top w:val="single" w:color="000000" w:sz="4" w:space="0"/>
              <w:left w:val="nil"/>
              <w:bottom w:val="single" w:color="000000" w:sz="4" w:space="0"/>
              <w:right w:val="single" w:color="000000" w:sz="4" w:space="0"/>
            </w:tcBorders>
          </w:tcPr>
          <w:p w14:paraId="26E4186D">
            <w:pPr>
              <w:spacing w:line="400" w:lineRule="atLeast"/>
              <w:jc w:val="center"/>
              <w:rPr>
                <w:rFonts w:hint="eastAsia" w:ascii="宋体" w:hAnsi="宋体" w:eastAsia="宋体" w:cs="Arial"/>
                <w:sz w:val="24"/>
                <w:szCs w:val="24"/>
              </w:rPr>
            </w:pPr>
          </w:p>
        </w:tc>
        <w:tc>
          <w:tcPr>
            <w:tcW w:w="1550" w:type="dxa"/>
            <w:tcBorders>
              <w:top w:val="single" w:color="000000" w:sz="4" w:space="0"/>
              <w:left w:val="nil"/>
              <w:bottom w:val="single" w:color="000000" w:sz="4" w:space="0"/>
              <w:right w:val="single" w:color="000000" w:sz="4" w:space="0"/>
            </w:tcBorders>
          </w:tcPr>
          <w:p w14:paraId="1789C1FA">
            <w:pPr>
              <w:spacing w:line="400" w:lineRule="atLeast"/>
              <w:jc w:val="center"/>
              <w:rPr>
                <w:rFonts w:hint="eastAsia" w:ascii="宋体" w:hAnsi="宋体" w:eastAsia="宋体" w:cs="Arial"/>
                <w:sz w:val="24"/>
                <w:szCs w:val="24"/>
              </w:rPr>
            </w:pPr>
          </w:p>
        </w:tc>
        <w:tc>
          <w:tcPr>
            <w:tcW w:w="1200" w:type="dxa"/>
            <w:tcBorders>
              <w:top w:val="single" w:color="000000" w:sz="4" w:space="0"/>
              <w:left w:val="nil"/>
              <w:bottom w:val="single" w:color="000000" w:sz="4" w:space="0"/>
              <w:right w:val="single" w:color="000000" w:sz="4" w:space="0"/>
            </w:tcBorders>
          </w:tcPr>
          <w:p w14:paraId="1AE34606">
            <w:pPr>
              <w:spacing w:line="400" w:lineRule="atLeast"/>
              <w:jc w:val="center"/>
              <w:rPr>
                <w:rFonts w:hint="eastAsia" w:ascii="宋体" w:hAnsi="宋体" w:eastAsia="宋体" w:cs="Arial"/>
                <w:sz w:val="24"/>
                <w:szCs w:val="24"/>
              </w:rPr>
            </w:pPr>
          </w:p>
        </w:tc>
        <w:tc>
          <w:tcPr>
            <w:tcW w:w="1391" w:type="dxa"/>
            <w:tcBorders>
              <w:top w:val="single" w:color="000000" w:sz="4" w:space="0"/>
              <w:left w:val="nil"/>
              <w:bottom w:val="single" w:color="000000" w:sz="4" w:space="0"/>
              <w:right w:val="single" w:color="000000" w:sz="4" w:space="0"/>
            </w:tcBorders>
          </w:tcPr>
          <w:p w14:paraId="1C02227B">
            <w:pPr>
              <w:spacing w:line="400" w:lineRule="atLeast"/>
              <w:jc w:val="center"/>
              <w:rPr>
                <w:rFonts w:hint="eastAsia" w:ascii="宋体" w:hAnsi="宋体" w:eastAsia="宋体" w:cs="Arial"/>
                <w:sz w:val="24"/>
                <w:szCs w:val="24"/>
              </w:rPr>
            </w:pPr>
          </w:p>
        </w:tc>
        <w:tc>
          <w:tcPr>
            <w:tcW w:w="1283" w:type="dxa"/>
            <w:tcBorders>
              <w:top w:val="single" w:color="000000" w:sz="4" w:space="0"/>
              <w:left w:val="nil"/>
              <w:bottom w:val="single" w:color="000000" w:sz="4" w:space="0"/>
              <w:right w:val="single" w:color="000000" w:sz="4" w:space="0"/>
            </w:tcBorders>
          </w:tcPr>
          <w:p w14:paraId="18F19B68">
            <w:pPr>
              <w:spacing w:line="400" w:lineRule="atLeast"/>
              <w:jc w:val="center"/>
              <w:rPr>
                <w:rFonts w:hint="eastAsia" w:ascii="宋体" w:hAnsi="宋体" w:eastAsia="宋体" w:cs="Arial"/>
                <w:sz w:val="24"/>
                <w:szCs w:val="24"/>
              </w:rPr>
            </w:pPr>
          </w:p>
        </w:tc>
        <w:tc>
          <w:tcPr>
            <w:tcW w:w="1013" w:type="dxa"/>
            <w:tcBorders>
              <w:top w:val="single" w:color="000000" w:sz="4" w:space="0"/>
              <w:left w:val="nil"/>
              <w:bottom w:val="single" w:color="000000" w:sz="4" w:space="0"/>
              <w:right w:val="single" w:color="000000" w:sz="4" w:space="0"/>
            </w:tcBorders>
          </w:tcPr>
          <w:p w14:paraId="07E3ACA4">
            <w:pPr>
              <w:spacing w:line="400" w:lineRule="atLeast"/>
              <w:jc w:val="center"/>
              <w:rPr>
                <w:rFonts w:hint="eastAsia" w:ascii="宋体" w:hAnsi="宋体" w:eastAsia="宋体" w:cs="Arial"/>
                <w:sz w:val="24"/>
                <w:szCs w:val="24"/>
              </w:rPr>
            </w:pPr>
          </w:p>
        </w:tc>
      </w:tr>
    </w:tbl>
    <w:p w14:paraId="1CFE54F5">
      <w:pPr>
        <w:shd w:val="clear" w:color="auto" w:fill="FFFFFF"/>
        <w:spacing w:line="360" w:lineRule="auto"/>
        <w:rPr>
          <w:rFonts w:hint="eastAsia" w:ascii="宋体" w:hAnsi="宋体" w:eastAsia="宋体" w:cs="Times New Roman"/>
          <w:sz w:val="24"/>
          <w:szCs w:val="24"/>
        </w:rPr>
      </w:pPr>
    </w:p>
    <w:p w14:paraId="640DFC0A">
      <w:pPr>
        <w:shd w:val="clear" w:color="auto" w:fill="FFFFFF"/>
        <w:spacing w:line="360" w:lineRule="auto"/>
        <w:rPr>
          <w:rFonts w:hint="eastAsia" w:ascii="宋体" w:hAnsi="宋体" w:eastAsia="宋体" w:cs="Arial"/>
          <w:sz w:val="24"/>
          <w:szCs w:val="24"/>
        </w:rPr>
      </w:pPr>
      <w:r>
        <w:rPr>
          <w:rFonts w:hint="eastAsia" w:ascii="宋体" w:hAnsi="宋体" w:eastAsia="宋体" w:cs="Times New Roman"/>
          <w:sz w:val="24"/>
          <w:szCs w:val="24"/>
        </w:rPr>
        <w:t>注：按招标文件要求及评标标准的要求，提供业绩证明材料等，附后。</w:t>
      </w:r>
    </w:p>
    <w:p w14:paraId="078AFEF4">
      <w:pPr>
        <w:widowControl w:val="0"/>
        <w:shd w:val="clear" w:color="auto" w:fill="FFFFFF"/>
        <w:spacing w:line="360" w:lineRule="auto"/>
        <w:rPr>
          <w:rFonts w:hint="eastAsia" w:ascii="宋体" w:hAnsi="宋体" w:eastAsia="宋体" w:cs="Arial"/>
          <w:sz w:val="24"/>
          <w:szCs w:val="24"/>
        </w:rPr>
      </w:pPr>
    </w:p>
    <w:p w14:paraId="7A6378A8">
      <w:pPr>
        <w:widowControl w:val="0"/>
        <w:shd w:val="clear" w:color="auto" w:fill="FFFFFF"/>
        <w:spacing w:line="360" w:lineRule="auto"/>
        <w:rPr>
          <w:rFonts w:hint="eastAsia" w:ascii="宋体" w:hAnsi="宋体" w:eastAsia="宋体" w:cs="Arial"/>
          <w:sz w:val="24"/>
          <w:szCs w:val="24"/>
        </w:rPr>
      </w:pPr>
      <w:r>
        <w:rPr>
          <w:rFonts w:hint="eastAsia" w:ascii="宋体" w:hAnsi="宋体" w:eastAsia="宋体" w:cs="Arial"/>
          <w:sz w:val="24"/>
          <w:szCs w:val="24"/>
        </w:rPr>
        <w:t>如果行数不够，请自行增加。</w:t>
      </w:r>
    </w:p>
    <w:p w14:paraId="5518B0B4">
      <w:pPr>
        <w:shd w:val="clear" w:color="auto" w:fill="FFFFFF"/>
        <w:spacing w:line="360" w:lineRule="auto"/>
        <w:rPr>
          <w:rFonts w:hint="eastAsia" w:ascii="宋体" w:hAnsi="宋体" w:eastAsia="宋体" w:cs="Arial"/>
          <w:sz w:val="24"/>
          <w:szCs w:val="24"/>
        </w:rPr>
      </w:pPr>
    </w:p>
    <w:p w14:paraId="2F3FC3FB">
      <w:pPr>
        <w:shd w:val="clear" w:color="auto" w:fill="FFFFFF"/>
        <w:spacing w:line="360" w:lineRule="auto"/>
        <w:ind w:firstLine="6240" w:firstLineChars="2600"/>
        <w:rPr>
          <w:rFonts w:hint="eastAsia" w:ascii="宋体" w:hAnsi="宋体" w:eastAsia="宋体" w:cs="Arial"/>
          <w:sz w:val="24"/>
          <w:szCs w:val="24"/>
        </w:rPr>
      </w:pPr>
      <w:r>
        <w:rPr>
          <w:rFonts w:hint="eastAsia" w:ascii="宋体" w:hAnsi="宋体" w:eastAsia="宋体" w:cs="Arial"/>
          <w:sz w:val="24"/>
          <w:szCs w:val="24"/>
        </w:rPr>
        <w:t>投标人全称（CA公章）：</w:t>
      </w:r>
    </w:p>
    <w:p w14:paraId="3C4E3ED0">
      <w:pPr>
        <w:spacing w:line="360" w:lineRule="auto"/>
        <w:jc w:val="both"/>
        <w:rPr>
          <w:rFonts w:hint="eastAsia" w:ascii="宋体" w:hAnsi="宋体" w:eastAsia="宋体" w:cs="Arial"/>
          <w:b/>
          <w:bCs/>
          <w:szCs w:val="21"/>
        </w:rPr>
      </w:pPr>
    </w:p>
    <w:p w14:paraId="20CC881B">
      <w:pPr>
        <w:spacing w:line="360" w:lineRule="auto"/>
        <w:jc w:val="both"/>
        <w:rPr>
          <w:rFonts w:hint="eastAsia" w:ascii="宋体" w:hAnsi="宋体" w:eastAsia="宋体" w:cs="Arial"/>
          <w:b/>
          <w:bCs/>
          <w:szCs w:val="21"/>
        </w:rPr>
      </w:pPr>
    </w:p>
    <w:p w14:paraId="618E45C7">
      <w:pPr>
        <w:widowControl w:val="0"/>
        <w:spacing w:line="360" w:lineRule="auto"/>
        <w:jc w:val="both"/>
        <w:rPr>
          <w:rFonts w:hint="eastAsia" w:ascii="宋体" w:hAnsi="宋体" w:eastAsia="宋体" w:cs="Arial"/>
          <w:szCs w:val="24"/>
        </w:rPr>
      </w:pPr>
    </w:p>
    <w:p w14:paraId="2A17D88F">
      <w:pPr>
        <w:widowControl w:val="0"/>
        <w:spacing w:line="360" w:lineRule="auto"/>
        <w:jc w:val="both"/>
        <w:outlineLvl w:val="1"/>
        <w:rPr>
          <w:rFonts w:hint="eastAsia" w:ascii="宋体" w:hAnsi="宋体" w:eastAsia="宋体" w:cs="Arial"/>
          <w:b/>
          <w:bCs/>
          <w:szCs w:val="24"/>
        </w:rPr>
      </w:pPr>
      <w:r>
        <w:rPr>
          <w:rFonts w:ascii="宋体" w:hAnsi="宋体" w:eastAsia="宋体" w:cs="Arial"/>
          <w:b/>
          <w:szCs w:val="24"/>
        </w:rPr>
        <w:br w:type="page" w:clear="all"/>
      </w:r>
      <w:bookmarkStart w:id="49" w:name="_Toc4132"/>
      <w:bookmarkStart w:id="50" w:name="_Toc3176"/>
      <w:r>
        <w:rPr>
          <w:rFonts w:hint="eastAsia" w:ascii="宋体" w:hAnsi="宋体" w:eastAsia="宋体" w:cs="Arial"/>
          <w:b/>
          <w:szCs w:val="24"/>
        </w:rPr>
        <w:t>十一</w:t>
      </w:r>
      <w:r>
        <w:rPr>
          <w:rFonts w:hint="eastAsia" w:ascii="宋体" w:hAnsi="宋体" w:eastAsia="宋体" w:cs="Arial"/>
          <w:b/>
          <w:bCs/>
          <w:szCs w:val="24"/>
        </w:rPr>
        <w:t>、企业声明函</w:t>
      </w:r>
      <w:bookmarkEnd w:id="49"/>
      <w:bookmarkEnd w:id="50"/>
    </w:p>
    <w:p w14:paraId="6FDBA3B0">
      <w:pPr>
        <w:widowControl w:val="0"/>
        <w:spacing w:line="440" w:lineRule="exact"/>
        <w:ind w:firstLine="422"/>
        <w:jc w:val="center"/>
        <w:rPr>
          <w:rFonts w:hint="eastAsia" w:ascii="宋体" w:hAnsi="宋体" w:eastAsia="宋体" w:cs="Arial"/>
          <w:sz w:val="32"/>
          <w:szCs w:val="32"/>
        </w:rPr>
      </w:pPr>
      <w:bookmarkStart w:id="51" w:name="bookmark34"/>
      <w:bookmarkStart w:id="52" w:name="bookmark32"/>
      <w:bookmarkStart w:id="53" w:name="bookmark33"/>
      <w:r>
        <w:rPr>
          <w:rFonts w:hint="eastAsia" w:ascii="宋体" w:hAnsi="宋体" w:eastAsia="宋体" w:cs="Arial"/>
          <w:b/>
          <w:bCs/>
          <w:sz w:val="32"/>
          <w:szCs w:val="32"/>
        </w:rPr>
        <w:t>中小企业声明函（工程、服务）</w:t>
      </w:r>
      <w:bookmarkEnd w:id="51"/>
      <w:bookmarkEnd w:id="52"/>
      <w:bookmarkEnd w:id="53"/>
    </w:p>
    <w:p w14:paraId="58238A8D">
      <w:pPr>
        <w:widowControl w:val="0"/>
        <w:spacing w:line="360" w:lineRule="auto"/>
        <w:rPr>
          <w:rFonts w:hint="eastAsia" w:ascii="宋体" w:hAnsi="宋体" w:eastAsia="宋体" w:cs="Arial"/>
          <w:sz w:val="24"/>
          <w:szCs w:val="24"/>
        </w:rPr>
      </w:pPr>
    </w:p>
    <w:p w14:paraId="6687278D">
      <w:pPr>
        <w:widowControl w:val="0"/>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本公司（联合体）郑重声明，根据《政府采购促进中小企业发展管理办法》（财库〔2020〕46号）的规定，本公司（联合体）参加</w:t>
      </w:r>
      <w:r>
        <w:rPr>
          <w:rFonts w:hint="eastAsia" w:ascii="宋体" w:hAnsi="宋体" w:eastAsia="宋体" w:cs="Arial"/>
          <w:sz w:val="24"/>
          <w:szCs w:val="24"/>
          <w:u w:val="single"/>
        </w:rPr>
        <w:t>（单位名称）</w:t>
      </w:r>
      <w:r>
        <w:rPr>
          <w:rFonts w:hint="eastAsia" w:ascii="宋体" w:hAnsi="宋体" w:eastAsia="宋体" w:cs="Arial"/>
          <w:sz w:val="24"/>
          <w:szCs w:val="24"/>
        </w:rPr>
        <w:t>的</w:t>
      </w:r>
      <w:r>
        <w:rPr>
          <w:rFonts w:hint="eastAsia" w:ascii="宋体" w:hAnsi="宋体" w:eastAsia="宋体" w:cs="Arial"/>
          <w:sz w:val="24"/>
          <w:szCs w:val="24"/>
          <w:u w:val="single"/>
        </w:rPr>
        <w:t>（项目名称）（采购包号）</w:t>
      </w:r>
      <w:r>
        <w:rPr>
          <w:rFonts w:hint="eastAsia" w:ascii="宋体" w:hAnsi="宋体" w:eastAsia="宋体" w:cs="Arial"/>
          <w:sz w:val="24"/>
          <w:szCs w:val="24"/>
        </w:rPr>
        <w:t>采购活动，工程的施工单位全部为符合政策要求的中小企业（或者：服务全部由符合政策要求的中小企业承接）。</w:t>
      </w:r>
      <w:r>
        <w:rPr>
          <w:rFonts w:hint="eastAsia" w:ascii="宋体" w:hAnsi="宋体"/>
          <w:sz w:val="24"/>
          <w:szCs w:val="24"/>
        </w:rPr>
        <w:t>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300号）的规定，相关企业（含联合体中的小微企业、签订分包意向协议的中小企业）的具体情况如下：</w:t>
      </w:r>
    </w:p>
    <w:p w14:paraId="6A052E60">
      <w:pPr>
        <w:widowControl w:val="0"/>
        <w:adjustRightInd w:val="0"/>
        <w:snapToGrid w:val="0"/>
        <w:spacing w:line="360" w:lineRule="auto"/>
        <w:ind w:firstLine="480" w:firstLineChars="200"/>
        <w:rPr>
          <w:rFonts w:hint="eastAsia" w:ascii="宋体" w:hAnsi="宋体" w:eastAsia="宋体"/>
          <w:i/>
          <w:sz w:val="24"/>
          <w:szCs w:val="24"/>
          <w:u w:val="single"/>
        </w:rPr>
      </w:pPr>
      <w:bookmarkStart w:id="54" w:name="bookmark35"/>
      <w:bookmarkEnd w:id="54"/>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eastAsia="宋体" w:cs="Times New Roman"/>
          <w:sz w:val="24"/>
          <w:szCs w:val="24"/>
        </w:rPr>
        <w:t>招标文件中明</w:t>
      </w:r>
      <w:r>
        <w:rPr>
          <w:rFonts w:hint="eastAsia" w:ascii="宋体" w:hAnsi="宋体"/>
          <w:sz w:val="24"/>
          <w:szCs w:val="24"/>
        </w:rPr>
        <w:t>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63D11721">
      <w:pPr>
        <w:widowControl w:val="0"/>
        <w:adjustRightInd w:val="0"/>
        <w:snapToGrid w:val="0"/>
        <w:spacing w:line="360" w:lineRule="auto"/>
        <w:ind w:firstLine="480" w:firstLineChars="200"/>
        <w:rPr>
          <w:rFonts w:hint="eastAsia" w:ascii="宋体" w:hAnsi="宋体" w:eastAsia="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6771294C">
      <w:pPr>
        <w:widowControl w:val="0"/>
        <w:spacing w:line="360" w:lineRule="auto"/>
        <w:ind w:firstLine="420"/>
        <w:rPr>
          <w:rFonts w:hint="eastAsia" w:ascii="宋体" w:hAnsi="宋体" w:eastAsia="宋体" w:cs="Arial"/>
          <w:sz w:val="24"/>
          <w:szCs w:val="24"/>
        </w:rPr>
      </w:pPr>
      <w:r>
        <w:rPr>
          <w:rFonts w:hint="eastAsia" w:ascii="宋体" w:hAnsi="宋体" w:eastAsia="宋体" w:cs="Arial"/>
          <w:sz w:val="24"/>
          <w:szCs w:val="24"/>
        </w:rPr>
        <w:t>……</w:t>
      </w:r>
      <w:r>
        <w:rPr>
          <w:rFonts w:hint="eastAsia" w:ascii="宋体" w:hAnsi="宋体" w:eastAsia="宋体" w:cs="Arial"/>
          <w:sz w:val="24"/>
          <w:szCs w:val="24"/>
        </w:rPr>
        <w:tab/>
      </w:r>
    </w:p>
    <w:p w14:paraId="7B4A406B">
      <w:pPr>
        <w:widowControl w:val="0"/>
        <w:spacing w:line="360" w:lineRule="auto"/>
        <w:ind w:firstLine="420"/>
        <w:rPr>
          <w:rFonts w:hint="eastAsia" w:ascii="宋体" w:hAnsi="宋体" w:eastAsia="宋体" w:cs="Arial"/>
          <w:sz w:val="24"/>
          <w:szCs w:val="24"/>
        </w:rPr>
      </w:pPr>
      <w:r>
        <w:rPr>
          <w:rFonts w:hint="eastAsia" w:ascii="宋体" w:hAnsi="宋体" w:eastAsia="宋体" w:cs="Arial"/>
          <w:sz w:val="24"/>
          <w:szCs w:val="24"/>
        </w:rPr>
        <w:t>以上企业，不属于大企业的分支机构，不存在控股股东 为大企业的情形，也不存在与大企业的负责人为同一人的情形。</w:t>
      </w:r>
    </w:p>
    <w:p w14:paraId="6A9633B7">
      <w:pPr>
        <w:widowControl w:val="0"/>
        <w:spacing w:line="360" w:lineRule="auto"/>
        <w:ind w:firstLine="420"/>
        <w:rPr>
          <w:rFonts w:hint="eastAsia" w:ascii="宋体" w:hAnsi="宋体" w:eastAsia="宋体" w:cs="Arial"/>
          <w:sz w:val="24"/>
          <w:szCs w:val="24"/>
        </w:rPr>
      </w:pPr>
      <w:r>
        <w:rPr>
          <w:rFonts w:hint="eastAsia" w:ascii="宋体" w:hAnsi="宋体" w:eastAsia="宋体" w:cs="Arial"/>
          <w:sz w:val="24"/>
          <w:szCs w:val="24"/>
        </w:rPr>
        <w:t>本企业对上述声明内容的真实性负责。如有虚假，将依法承担相应责任。</w:t>
      </w:r>
    </w:p>
    <w:p w14:paraId="1F4AF496">
      <w:pPr>
        <w:widowControl w:val="0"/>
        <w:spacing w:line="440" w:lineRule="exact"/>
        <w:rPr>
          <w:rFonts w:hint="eastAsia" w:ascii="宋体" w:hAnsi="宋体" w:eastAsia="宋体" w:cs="Arial"/>
          <w:sz w:val="24"/>
          <w:szCs w:val="24"/>
        </w:rPr>
      </w:pPr>
    </w:p>
    <w:p w14:paraId="1995D0B2">
      <w:pPr>
        <w:widowControl w:val="0"/>
        <w:spacing w:line="440" w:lineRule="exact"/>
        <w:ind w:firstLine="5880"/>
        <w:jc w:val="both"/>
        <w:rPr>
          <w:rFonts w:hint="eastAsia" w:ascii="宋体" w:hAnsi="宋体" w:eastAsia="宋体" w:cs="Arial"/>
          <w:sz w:val="24"/>
          <w:szCs w:val="24"/>
        </w:rPr>
      </w:pPr>
      <w:r>
        <w:rPr>
          <w:rFonts w:hint="eastAsia" w:ascii="宋体" w:hAnsi="宋体" w:eastAsia="宋体" w:cs="Arial"/>
          <w:sz w:val="24"/>
          <w:szCs w:val="24"/>
        </w:rPr>
        <w:t>企业名称（盖章）：</w:t>
      </w:r>
    </w:p>
    <w:p w14:paraId="23740AF7">
      <w:pPr>
        <w:widowControl w:val="0"/>
        <w:spacing w:line="440" w:lineRule="exact"/>
        <w:ind w:firstLine="420"/>
        <w:jc w:val="center"/>
        <w:rPr>
          <w:rFonts w:hint="eastAsia" w:ascii="宋体" w:hAnsi="宋体" w:eastAsia="宋体" w:cs="Arial"/>
          <w:sz w:val="24"/>
          <w:szCs w:val="24"/>
        </w:rPr>
      </w:pPr>
      <w:r>
        <w:rPr>
          <w:rFonts w:hint="eastAsia" w:ascii="宋体" w:hAnsi="宋体" w:eastAsia="宋体" w:cs="Arial"/>
          <w:sz w:val="24"/>
          <w:szCs w:val="24"/>
        </w:rPr>
        <w:t xml:space="preserve">                    日期：</w:t>
      </w:r>
    </w:p>
    <w:p w14:paraId="35D57874">
      <w:pPr>
        <w:widowControl w:val="0"/>
        <w:spacing w:line="440" w:lineRule="exact"/>
        <w:ind w:firstLine="420"/>
        <w:jc w:val="center"/>
        <w:rPr>
          <w:rFonts w:hint="eastAsia" w:ascii="宋体" w:hAnsi="宋体" w:eastAsia="宋体" w:cs="Arial"/>
          <w:sz w:val="24"/>
          <w:szCs w:val="24"/>
        </w:rPr>
      </w:pPr>
    </w:p>
    <w:p w14:paraId="597AC1FF">
      <w:pPr>
        <w:widowControl w:val="0"/>
        <w:spacing w:line="440" w:lineRule="exact"/>
        <w:ind w:firstLine="420"/>
        <w:jc w:val="center"/>
        <w:rPr>
          <w:rFonts w:hint="eastAsia" w:ascii="宋体" w:hAnsi="宋体" w:eastAsia="宋体" w:cs="Arial"/>
          <w:sz w:val="24"/>
          <w:szCs w:val="24"/>
        </w:rPr>
      </w:pPr>
    </w:p>
    <w:p w14:paraId="557134E5">
      <w:pPr>
        <w:widowControl w:val="0"/>
        <w:spacing w:line="360" w:lineRule="auto"/>
        <w:rPr>
          <w:rFonts w:hint="eastAsia" w:ascii="宋体" w:hAnsi="宋体" w:eastAsia="宋体" w:cs="Arial"/>
          <w:sz w:val="24"/>
          <w:szCs w:val="24"/>
        </w:rPr>
      </w:pPr>
      <w:bookmarkStart w:id="55" w:name="OLE_LINK13"/>
      <w:bookmarkStart w:id="56" w:name="OLE_LINK14"/>
      <w:r>
        <w:rPr>
          <w:rFonts w:hint="eastAsia" w:ascii="宋体" w:hAnsi="宋体" w:eastAsia="宋体" w:cs="Arial"/>
          <w:sz w:val="24"/>
          <w:szCs w:val="24"/>
          <w:vertAlign w:val="superscript"/>
        </w:rPr>
        <w:t>1</w:t>
      </w:r>
      <w:r>
        <w:rPr>
          <w:rFonts w:hint="eastAsia" w:ascii="宋体" w:hAnsi="宋体" w:eastAsia="宋体" w:cs="Arial"/>
          <w:sz w:val="24"/>
          <w:szCs w:val="24"/>
        </w:rPr>
        <w:t>从业人员、营业收入、资产总额填报上一年度数据，无上一年度数据的新成立企业可不填报。</w:t>
      </w:r>
    </w:p>
    <w:p w14:paraId="73070630">
      <w:pPr>
        <w:widowControl w:val="0"/>
        <w:spacing w:line="360" w:lineRule="auto"/>
        <w:rPr>
          <w:rFonts w:hint="eastAsia" w:ascii="宋体" w:hAnsi="宋体" w:eastAsia="宋体" w:cs="宋体"/>
          <w:sz w:val="24"/>
          <w:szCs w:val="24"/>
        </w:rPr>
      </w:pPr>
      <w:r>
        <w:rPr>
          <w:rFonts w:hint="eastAsia" w:ascii="宋体" w:hAnsi="宋体" w:eastAsia="宋体" w:cs="宋体"/>
          <w:sz w:val="24"/>
          <w:szCs w:val="24"/>
        </w:rPr>
        <w:t>注：根据《关于印发中小企业划型标准规定的通知》工信部联企业〔2011〕300号</w:t>
      </w:r>
    </w:p>
    <w:p w14:paraId="6F8546D6">
      <w:pPr>
        <w:widowControl w:val="0"/>
        <w:spacing w:line="360" w:lineRule="auto"/>
        <w:jc w:val="center"/>
        <w:rPr>
          <w:rFonts w:hint="eastAsia" w:ascii="宋体" w:hAnsi="宋体" w:eastAsia="宋体" w:cs="Arial"/>
          <w:b/>
          <w:bCs/>
          <w:sz w:val="28"/>
          <w:szCs w:val="24"/>
        </w:rPr>
      </w:pPr>
      <w:r>
        <w:rPr>
          <w:rFonts w:hint="eastAsia" w:ascii="宋体" w:hAnsi="宋体" w:eastAsia="宋体" w:cs="宋体"/>
          <w:sz w:val="24"/>
          <w:szCs w:val="24"/>
        </w:rPr>
        <w:t>其他未列明行业。从业人员300人以下的为中小微型企业。其中，从业人员100人及以上的为中型企业；从业人员10人及以上的为小型企业；从业人员10人以下的为微型企业。</w:t>
      </w:r>
      <w:r>
        <w:rPr>
          <w:rFonts w:ascii="宋体" w:hAnsi="宋体" w:eastAsia="宋体" w:cs="Arial"/>
          <w:b/>
          <w:bCs/>
          <w:sz w:val="28"/>
          <w:szCs w:val="24"/>
        </w:rPr>
        <w:br w:type="page" w:clear="all"/>
      </w:r>
      <w:r>
        <w:rPr>
          <w:rFonts w:hint="eastAsia" w:ascii="宋体" w:hAnsi="宋体" w:eastAsia="宋体" w:cs="Arial"/>
          <w:b/>
          <w:sz w:val="32"/>
          <w:szCs w:val="32"/>
        </w:rPr>
        <w:t>残疾人福利性单位声明函</w:t>
      </w:r>
      <w:bookmarkEnd w:id="55"/>
      <w:bookmarkEnd w:id="56"/>
    </w:p>
    <w:p w14:paraId="66FB730E">
      <w:pPr>
        <w:widowControl w:val="0"/>
        <w:spacing w:line="360" w:lineRule="auto"/>
        <w:ind w:firstLine="420"/>
        <w:rPr>
          <w:rFonts w:hint="eastAsia" w:ascii="宋体" w:hAnsi="宋体" w:eastAsia="宋体" w:cs="Arial"/>
          <w:sz w:val="24"/>
          <w:szCs w:val="24"/>
        </w:rPr>
      </w:pPr>
    </w:p>
    <w:p w14:paraId="5779CEE7">
      <w:pPr>
        <w:widowControl w:val="0"/>
        <w:spacing w:line="360" w:lineRule="auto"/>
        <w:ind w:firstLine="480" w:firstLineChars="200"/>
        <w:rPr>
          <w:rFonts w:hint="eastAsia" w:ascii="宋体" w:hAnsi="宋体" w:eastAsia="宋体" w:cs="Arial"/>
          <w:sz w:val="24"/>
          <w:szCs w:val="24"/>
        </w:rPr>
      </w:pPr>
      <w:r>
        <w:rPr>
          <w:rFonts w:hint="eastAsia" w:ascii="宋体" w:hAnsi="宋体" w:eastAsia="宋体" w:cs="Arial"/>
          <w:sz w:val="24"/>
          <w:szCs w:val="24"/>
        </w:rPr>
        <w:t>本单位郑重声明，根据《财政部 民政部 中国残疾人联合会关于促进残疾人就业政府采购政策的通知》（财库〔2017〕141号）的规定，本单位为符合条件的残疾人福利性单位，参加</w:t>
      </w:r>
      <w:r>
        <w:rPr>
          <w:rFonts w:hint="eastAsia" w:ascii="宋体" w:hAnsi="宋体" w:eastAsia="宋体" w:cs="Arial"/>
          <w:sz w:val="24"/>
          <w:szCs w:val="24"/>
          <w:u w:val="single"/>
        </w:rPr>
        <w:t>（单位名称）</w:t>
      </w:r>
      <w:r>
        <w:rPr>
          <w:rFonts w:hint="eastAsia" w:ascii="宋体" w:hAnsi="宋体" w:eastAsia="宋体" w:cs="Arial"/>
          <w:sz w:val="24"/>
          <w:szCs w:val="24"/>
        </w:rPr>
        <w:t>采购编号为</w:t>
      </w:r>
      <w:r>
        <w:rPr>
          <w:rFonts w:hint="eastAsia" w:ascii="宋体" w:hAnsi="宋体" w:eastAsia="宋体" w:cs="Arial"/>
          <w:sz w:val="24"/>
          <w:szCs w:val="24"/>
          <w:u w:val="single"/>
        </w:rPr>
        <w:t xml:space="preserve">         </w:t>
      </w:r>
      <w:r>
        <w:rPr>
          <w:rFonts w:hint="eastAsia" w:ascii="宋体" w:hAnsi="宋体" w:eastAsia="宋体" w:cs="Arial"/>
          <w:sz w:val="24"/>
          <w:szCs w:val="24"/>
        </w:rPr>
        <w:t>项目（采购包号：</w:t>
      </w:r>
      <w:r>
        <w:rPr>
          <w:rFonts w:hint="eastAsia" w:ascii="宋体" w:hAnsi="宋体" w:eastAsia="宋体" w:cs="Arial"/>
          <w:sz w:val="24"/>
          <w:szCs w:val="24"/>
          <w:u w:val="single"/>
        </w:rPr>
        <w:t xml:space="preserve">      </w:t>
      </w:r>
      <w:r>
        <w:rPr>
          <w:rFonts w:hint="eastAsia" w:ascii="宋体" w:hAnsi="宋体" w:eastAsia="宋体" w:cs="Arial"/>
          <w:sz w:val="24"/>
          <w:szCs w:val="24"/>
        </w:rPr>
        <w:t>）的采购活动，服务全部由本单位提供。</w:t>
      </w:r>
    </w:p>
    <w:p w14:paraId="7703668E">
      <w:pPr>
        <w:widowControl w:val="0"/>
        <w:spacing w:line="360" w:lineRule="auto"/>
        <w:ind w:firstLine="480" w:firstLineChars="200"/>
        <w:rPr>
          <w:rFonts w:hint="eastAsia" w:ascii="宋体" w:hAnsi="宋体" w:eastAsia="宋体" w:cs="Arial"/>
          <w:sz w:val="24"/>
          <w:szCs w:val="24"/>
        </w:rPr>
      </w:pPr>
      <w:r>
        <w:rPr>
          <w:rFonts w:hint="eastAsia" w:ascii="宋体" w:hAnsi="宋体"/>
          <w:sz w:val="24"/>
        </w:rPr>
        <w:t>本单位对上述声明的真实性负责，如有虚假，将依法承担相应责任。</w:t>
      </w:r>
      <w:r>
        <w:rPr>
          <w:rFonts w:hint="eastAsia" w:ascii="宋体" w:hAnsi="宋体" w:eastAsia="宋体" w:cs="Arial"/>
          <w:sz w:val="24"/>
          <w:szCs w:val="24"/>
        </w:rPr>
        <w:t>本单位对上述声明的真实性负责。如有虚假，将依法承担相应责任。</w:t>
      </w:r>
    </w:p>
    <w:p w14:paraId="58825257">
      <w:pPr>
        <w:widowControl w:val="0"/>
        <w:spacing w:line="360" w:lineRule="auto"/>
        <w:ind w:firstLine="5520" w:firstLineChars="2300"/>
        <w:rPr>
          <w:rFonts w:hint="eastAsia" w:ascii="宋体" w:hAnsi="宋体" w:eastAsia="宋体" w:cs="Arial"/>
          <w:sz w:val="24"/>
          <w:szCs w:val="24"/>
        </w:rPr>
      </w:pPr>
    </w:p>
    <w:p w14:paraId="1A9DBE15">
      <w:pPr>
        <w:widowControl w:val="0"/>
        <w:spacing w:line="360" w:lineRule="auto"/>
        <w:ind w:firstLine="5520" w:firstLineChars="2300"/>
        <w:rPr>
          <w:rFonts w:hint="eastAsia" w:ascii="宋体" w:hAnsi="宋体" w:eastAsia="宋体" w:cs="Arial"/>
          <w:sz w:val="24"/>
          <w:szCs w:val="24"/>
        </w:rPr>
      </w:pPr>
      <w:r>
        <w:rPr>
          <w:rFonts w:hint="eastAsia" w:ascii="宋体" w:hAnsi="宋体" w:eastAsia="宋体" w:cs="Arial"/>
          <w:sz w:val="24"/>
          <w:szCs w:val="24"/>
        </w:rPr>
        <w:t>单位名称（盖章）：</w:t>
      </w:r>
    </w:p>
    <w:p w14:paraId="3091E360">
      <w:pPr>
        <w:widowControl w:val="0"/>
        <w:spacing w:line="360" w:lineRule="auto"/>
        <w:ind w:firstLine="5520" w:firstLineChars="2300"/>
        <w:rPr>
          <w:rFonts w:hint="eastAsia" w:ascii="宋体" w:hAnsi="宋体" w:eastAsia="宋体" w:cs="Arial"/>
          <w:sz w:val="24"/>
          <w:szCs w:val="24"/>
        </w:rPr>
      </w:pPr>
      <w:r>
        <w:rPr>
          <w:rFonts w:hint="eastAsia" w:ascii="宋体" w:hAnsi="宋体" w:eastAsia="宋体" w:cs="Arial"/>
          <w:sz w:val="24"/>
          <w:szCs w:val="24"/>
        </w:rPr>
        <w:t>日期：</w:t>
      </w:r>
    </w:p>
    <w:p w14:paraId="67CCB91B">
      <w:pPr>
        <w:widowControl w:val="0"/>
        <w:spacing w:line="360" w:lineRule="auto"/>
        <w:jc w:val="both"/>
        <w:rPr>
          <w:rFonts w:hint="eastAsia" w:ascii="宋体" w:hAnsi="宋体" w:eastAsia="宋体" w:cs="Arial"/>
          <w:b/>
          <w:bCs/>
          <w:szCs w:val="24"/>
        </w:rPr>
      </w:pPr>
    </w:p>
    <w:p w14:paraId="33E63BD8">
      <w:pPr>
        <w:widowControl w:val="0"/>
        <w:spacing w:line="360" w:lineRule="auto"/>
        <w:jc w:val="both"/>
        <w:rPr>
          <w:rFonts w:hint="eastAsia" w:ascii="宋体" w:hAnsi="宋体" w:eastAsia="宋体" w:cs="Arial"/>
          <w:b/>
          <w:szCs w:val="24"/>
        </w:rPr>
      </w:pPr>
    </w:p>
    <w:p w14:paraId="22928AB0">
      <w:pPr>
        <w:widowControl w:val="0"/>
        <w:spacing w:line="360" w:lineRule="auto"/>
        <w:jc w:val="both"/>
        <w:rPr>
          <w:rFonts w:hint="eastAsia" w:ascii="宋体" w:hAnsi="宋体" w:eastAsia="宋体" w:cs="Arial"/>
          <w:b/>
          <w:szCs w:val="24"/>
        </w:rPr>
      </w:pPr>
    </w:p>
    <w:p w14:paraId="6ADF44C5">
      <w:pPr>
        <w:widowControl w:val="0"/>
        <w:spacing w:line="360" w:lineRule="auto"/>
        <w:jc w:val="both"/>
        <w:outlineLvl w:val="1"/>
        <w:rPr>
          <w:rFonts w:hint="eastAsia" w:ascii="宋体" w:hAnsi="宋体" w:eastAsia="宋体" w:cs="Arial"/>
          <w:b/>
          <w:szCs w:val="24"/>
        </w:rPr>
      </w:pPr>
      <w:bookmarkStart w:id="57" w:name="_Toc24555"/>
      <w:bookmarkStart w:id="58" w:name="_Toc23641"/>
      <w:r>
        <w:rPr>
          <w:rFonts w:hint="eastAsia" w:ascii="宋体" w:hAnsi="宋体" w:eastAsia="宋体" w:cs="Arial"/>
          <w:b/>
          <w:szCs w:val="24"/>
        </w:rPr>
        <w:t>十二、无重大违法记录声明</w:t>
      </w:r>
      <w:bookmarkEnd w:id="57"/>
      <w:bookmarkEnd w:id="58"/>
    </w:p>
    <w:p w14:paraId="125E3AAC">
      <w:pPr>
        <w:shd w:val="clear" w:color="auto" w:fill="FFFFFF"/>
        <w:spacing w:line="360" w:lineRule="auto"/>
        <w:ind w:left="420"/>
        <w:jc w:val="center"/>
        <w:rPr>
          <w:rFonts w:hint="eastAsia" w:ascii="宋体" w:hAnsi="宋体" w:eastAsia="宋体" w:cs="Arial"/>
          <w:b/>
          <w:sz w:val="32"/>
          <w:szCs w:val="32"/>
        </w:rPr>
      </w:pPr>
      <w:r>
        <w:rPr>
          <w:rFonts w:hint="eastAsia" w:ascii="宋体" w:hAnsi="宋体" w:eastAsia="宋体" w:cs="Arial"/>
          <w:b/>
          <w:sz w:val="32"/>
          <w:szCs w:val="32"/>
        </w:rPr>
        <w:t>无重大违法记录声明</w:t>
      </w:r>
    </w:p>
    <w:p w14:paraId="43FD8AC3">
      <w:pPr>
        <w:widowControl w:val="0"/>
        <w:spacing w:line="360" w:lineRule="auto"/>
        <w:jc w:val="both"/>
        <w:rPr>
          <w:rFonts w:hint="eastAsia" w:ascii="宋体" w:hAnsi="宋体" w:eastAsia="宋体" w:cs="Arial"/>
          <w:sz w:val="24"/>
          <w:szCs w:val="24"/>
        </w:rPr>
      </w:pPr>
    </w:p>
    <w:p w14:paraId="70C1301B">
      <w:pPr>
        <w:widowControl w:val="0"/>
        <w:spacing w:line="360" w:lineRule="auto"/>
        <w:jc w:val="both"/>
        <w:rPr>
          <w:rFonts w:hint="eastAsia" w:ascii="宋体" w:hAnsi="宋体" w:eastAsia="宋体" w:cs="Arial"/>
          <w:sz w:val="24"/>
          <w:szCs w:val="24"/>
        </w:rPr>
      </w:pPr>
      <w:r>
        <w:rPr>
          <w:rFonts w:hint="eastAsia" w:ascii="宋体" w:hAnsi="宋体" w:eastAsia="宋体" w:cs="Arial"/>
          <w:sz w:val="24"/>
          <w:szCs w:val="24"/>
        </w:rPr>
        <w:t>致：南京市公安局江宁分局</w:t>
      </w:r>
    </w:p>
    <w:p w14:paraId="3E5F70C6">
      <w:pPr>
        <w:widowControl w:val="0"/>
        <w:spacing w:line="360" w:lineRule="auto"/>
        <w:jc w:val="both"/>
        <w:rPr>
          <w:rFonts w:hint="eastAsia" w:ascii="宋体" w:hAnsi="宋体" w:eastAsia="宋体" w:cs="Arial"/>
          <w:sz w:val="24"/>
          <w:szCs w:val="24"/>
        </w:rPr>
      </w:pPr>
    </w:p>
    <w:p w14:paraId="6E76243C">
      <w:pPr>
        <w:widowControl w:val="0"/>
        <w:spacing w:line="360" w:lineRule="auto"/>
        <w:ind w:firstLine="480" w:firstLineChars="200"/>
        <w:jc w:val="both"/>
        <w:rPr>
          <w:rFonts w:hint="eastAsia" w:ascii="宋体" w:hAnsi="宋体" w:eastAsia="宋体" w:cs="Arial"/>
          <w:sz w:val="24"/>
          <w:szCs w:val="24"/>
        </w:rPr>
      </w:pPr>
      <w:r>
        <w:rPr>
          <w:rFonts w:hint="eastAsia" w:ascii="宋体" w:hAnsi="宋体" w:eastAsia="宋体" w:cs="Arial"/>
          <w:sz w:val="24"/>
          <w:szCs w:val="24"/>
        </w:rPr>
        <w:t>我单位（供应商名称）郑重声明：</w:t>
      </w:r>
    </w:p>
    <w:p w14:paraId="4558F680">
      <w:pPr>
        <w:shd w:val="clear" w:color="auto" w:fill="FFFFFF"/>
        <w:spacing w:line="360" w:lineRule="auto"/>
        <w:ind w:firstLine="480" w:firstLineChars="200"/>
        <w:jc w:val="both"/>
        <w:rPr>
          <w:rFonts w:hint="eastAsia" w:ascii="宋体" w:hAnsi="宋体" w:eastAsia="宋体" w:cs="Arial"/>
          <w:b/>
          <w:sz w:val="24"/>
          <w:szCs w:val="24"/>
        </w:rPr>
      </w:pPr>
      <w:r>
        <w:rPr>
          <w:rFonts w:hint="eastAsia" w:ascii="宋体" w:hAnsi="宋体" w:eastAsia="宋体" w:cs="Arial"/>
          <w:sz w:val="24"/>
          <w:szCs w:val="24"/>
        </w:rPr>
        <w:t>我单位参加政府采购活动前</w:t>
      </w:r>
      <w:r>
        <w:rPr>
          <w:rFonts w:ascii="宋体" w:hAnsi="宋体" w:eastAsia="宋体" w:cs="Arial"/>
          <w:sz w:val="24"/>
          <w:szCs w:val="24"/>
        </w:rPr>
        <w:t>3</w:t>
      </w:r>
      <w:r>
        <w:rPr>
          <w:rFonts w:hint="eastAsia" w:ascii="宋体" w:hAnsi="宋体" w:eastAsia="宋体" w:cs="Arial"/>
          <w:sz w:val="24"/>
          <w:szCs w:val="24"/>
        </w:rPr>
        <w:t>年内在经营活动中（</w:t>
      </w:r>
      <w:r>
        <w:rPr>
          <w:rFonts w:hint="eastAsia" w:ascii="宋体" w:hAnsi="宋体" w:eastAsia="宋体" w:cs="Arial"/>
          <w:b/>
          <w:i/>
          <w:sz w:val="24"/>
          <w:szCs w:val="24"/>
          <w:u w:val="single"/>
        </w:rPr>
        <w:t>在下划线上如实填写：有或没有</w:t>
      </w:r>
      <w:r>
        <w:rPr>
          <w:rFonts w:hint="eastAsia" w:ascii="宋体" w:hAnsi="宋体" w:eastAsia="宋体" w:cs="Arial"/>
          <w:sz w:val="24"/>
          <w:szCs w:val="24"/>
        </w:rPr>
        <w:t>）</w:t>
      </w:r>
      <w:r>
        <w:rPr>
          <w:rFonts w:hint="eastAsia" w:ascii="宋体" w:hAnsi="宋体" w:eastAsia="宋体" w:cs="Arial"/>
          <w:b/>
          <w:sz w:val="24"/>
          <w:szCs w:val="24"/>
        </w:rPr>
        <w:t>重大违法记录，且不是失信被执行人、重大税收违法案件当事人名单、政府采购严重违法失信行为记录名单的供应商。</w:t>
      </w:r>
    </w:p>
    <w:p w14:paraId="00F56B23">
      <w:pPr>
        <w:widowControl w:val="0"/>
        <w:spacing w:line="360" w:lineRule="auto"/>
        <w:ind w:firstLine="480"/>
        <w:jc w:val="both"/>
        <w:rPr>
          <w:rFonts w:hint="eastAsia" w:ascii="宋体" w:hAnsi="宋体" w:eastAsia="宋体" w:cs="Arial"/>
          <w:sz w:val="24"/>
          <w:szCs w:val="24"/>
        </w:rPr>
      </w:pPr>
    </w:p>
    <w:p w14:paraId="621BE100">
      <w:pPr>
        <w:widowControl w:val="0"/>
        <w:spacing w:line="360" w:lineRule="auto"/>
        <w:ind w:firstLine="360"/>
        <w:jc w:val="both"/>
        <w:rPr>
          <w:rFonts w:hint="eastAsia" w:ascii="宋体" w:hAnsi="宋体" w:eastAsia="宋体" w:cs="Arial"/>
          <w:sz w:val="24"/>
          <w:szCs w:val="24"/>
        </w:rPr>
      </w:pPr>
      <w:r>
        <w:rPr>
          <w:rFonts w:hint="eastAsia" w:ascii="宋体" w:hAnsi="宋体" w:eastAsia="宋体" w:cs="Arial"/>
          <w:sz w:val="24"/>
          <w:szCs w:val="24"/>
        </w:rPr>
        <w:t>（说明：政府采购法第二十二条第一款第五项所称重大违法记录，是指供应商因违法经营受到刑事处罚或者责令停产停业、吊销许可证或者执照、较大数额罚款等行政处罚。）</w:t>
      </w:r>
    </w:p>
    <w:p w14:paraId="62939B2F">
      <w:pPr>
        <w:widowControl w:val="0"/>
        <w:spacing w:line="360" w:lineRule="auto"/>
        <w:jc w:val="both"/>
        <w:rPr>
          <w:rFonts w:hint="eastAsia" w:ascii="宋体" w:hAnsi="宋体" w:eastAsia="宋体" w:cs="Arial"/>
          <w:sz w:val="24"/>
          <w:szCs w:val="24"/>
        </w:rPr>
      </w:pPr>
    </w:p>
    <w:p w14:paraId="53B54BBD">
      <w:pPr>
        <w:widowControl w:val="0"/>
        <w:spacing w:line="360" w:lineRule="auto"/>
        <w:jc w:val="both"/>
        <w:rPr>
          <w:rFonts w:hint="eastAsia" w:ascii="宋体" w:hAnsi="宋体" w:eastAsia="宋体" w:cs="Arial"/>
          <w:sz w:val="24"/>
          <w:szCs w:val="24"/>
        </w:rPr>
      </w:pPr>
    </w:p>
    <w:p w14:paraId="6D27808D">
      <w:pPr>
        <w:widowControl w:val="0"/>
        <w:spacing w:line="360" w:lineRule="auto"/>
        <w:ind w:left="4520" w:firstLine="720" w:firstLineChars="300"/>
        <w:jc w:val="both"/>
        <w:rPr>
          <w:rFonts w:hint="eastAsia" w:ascii="宋体" w:hAnsi="宋体" w:eastAsia="宋体" w:cs="Times New Roman"/>
          <w:sz w:val="24"/>
          <w:szCs w:val="24"/>
        </w:rPr>
      </w:pPr>
      <w:r>
        <w:rPr>
          <w:rFonts w:ascii="宋体" w:hAnsi="宋体" w:eastAsia="宋体" w:cs="Times New Roman"/>
          <w:sz w:val="24"/>
          <w:szCs w:val="24"/>
        </w:rPr>
        <w:t>声明人（公章）：</w:t>
      </w:r>
    </w:p>
    <w:p w14:paraId="1F7B9AD5">
      <w:pPr>
        <w:widowControl w:val="0"/>
        <w:tabs>
          <w:tab w:val="left" w:pos="6300"/>
          <w:tab w:val="left" w:pos="6940"/>
        </w:tabs>
        <w:spacing w:line="360" w:lineRule="auto"/>
        <w:ind w:firstLine="5184" w:firstLineChars="2160"/>
        <w:jc w:val="both"/>
        <w:rPr>
          <w:rFonts w:hint="eastAsia" w:ascii="宋体" w:hAnsi="宋体" w:eastAsia="宋体" w:cs="Times New Roman"/>
          <w:sz w:val="24"/>
          <w:szCs w:val="24"/>
        </w:rPr>
      </w:pPr>
      <w:r>
        <w:rPr>
          <w:rFonts w:ascii="宋体" w:hAnsi="宋体" w:eastAsia="宋体" w:cs="Times New Roman"/>
          <w:sz w:val="24"/>
          <w:szCs w:val="24"/>
        </w:rPr>
        <w:t>日期：</w:t>
      </w:r>
    </w:p>
    <w:p w14:paraId="63EFAFB9">
      <w:pPr>
        <w:widowControl w:val="0"/>
        <w:spacing w:line="360" w:lineRule="auto"/>
        <w:ind w:firstLine="5060"/>
        <w:jc w:val="both"/>
        <w:rPr>
          <w:rFonts w:hint="eastAsia" w:ascii="宋体" w:hAnsi="宋体" w:eastAsia="宋体" w:cs="Arial"/>
          <w:b/>
          <w:szCs w:val="24"/>
        </w:rPr>
      </w:pPr>
      <w:r>
        <w:rPr>
          <w:rFonts w:ascii="宋体" w:hAnsi="宋体" w:eastAsia="宋体" w:cs="Arial"/>
          <w:b/>
          <w:szCs w:val="21"/>
          <w:lang w:val="zh-CN"/>
        </w:rPr>
        <w:br w:type="page" w:clear="all"/>
      </w:r>
    </w:p>
    <w:p w14:paraId="7D353DF2">
      <w:pPr>
        <w:widowControl w:val="0"/>
        <w:spacing w:line="360" w:lineRule="auto"/>
        <w:jc w:val="both"/>
        <w:outlineLvl w:val="1"/>
        <w:rPr>
          <w:rFonts w:hint="eastAsia" w:ascii="宋体" w:hAnsi="宋体" w:eastAsia="宋体" w:cs="Times New Roman"/>
          <w:b/>
          <w:szCs w:val="24"/>
        </w:rPr>
      </w:pPr>
      <w:bookmarkStart w:id="59" w:name="_Toc24602"/>
      <w:bookmarkStart w:id="60" w:name="_Toc28889"/>
      <w:r>
        <w:rPr>
          <w:rFonts w:hint="eastAsia" w:ascii="宋体" w:hAnsi="宋体" w:eastAsia="宋体" w:cs="Times New Roman"/>
          <w:b/>
          <w:szCs w:val="24"/>
        </w:rPr>
        <w:t>十三</w:t>
      </w:r>
      <w:r>
        <w:rPr>
          <w:rFonts w:ascii="宋体" w:hAnsi="宋体" w:eastAsia="宋体" w:cs="Times New Roman"/>
          <w:b/>
          <w:szCs w:val="24"/>
        </w:rPr>
        <w:t>、具备履行合同所必需的设备和专业技术能力</w:t>
      </w:r>
      <w:bookmarkEnd w:id="59"/>
      <w:bookmarkEnd w:id="60"/>
    </w:p>
    <w:p w14:paraId="7E9662C6">
      <w:pPr>
        <w:widowControl w:val="0"/>
        <w:spacing w:line="360" w:lineRule="auto"/>
        <w:jc w:val="both"/>
        <w:rPr>
          <w:rFonts w:hint="eastAsia" w:ascii="宋体" w:hAnsi="宋体" w:eastAsia="宋体" w:cs="Times New Roman"/>
          <w:szCs w:val="24"/>
        </w:rPr>
      </w:pPr>
    </w:p>
    <w:p w14:paraId="6A583B7D">
      <w:pPr>
        <w:shd w:val="clear" w:color="auto" w:fill="FFFFFF"/>
        <w:spacing w:line="360" w:lineRule="auto"/>
        <w:ind w:left="420"/>
        <w:jc w:val="center"/>
        <w:rPr>
          <w:rFonts w:hint="eastAsia" w:ascii="宋体" w:hAnsi="宋体" w:eastAsia="宋体" w:cs="Arial"/>
          <w:b/>
          <w:sz w:val="32"/>
          <w:szCs w:val="32"/>
        </w:rPr>
      </w:pPr>
      <w:r>
        <w:rPr>
          <w:rFonts w:ascii="宋体" w:hAnsi="宋体" w:eastAsia="宋体" w:cs="Arial"/>
          <w:b/>
          <w:sz w:val="32"/>
          <w:szCs w:val="32"/>
        </w:rPr>
        <w:t>具备履行合同所必需的设备和专业技术能力</w:t>
      </w:r>
    </w:p>
    <w:p w14:paraId="55EF2A76">
      <w:pPr>
        <w:widowControl w:val="0"/>
        <w:tabs>
          <w:tab w:val="left" w:pos="4180"/>
        </w:tabs>
        <w:spacing w:line="360" w:lineRule="auto"/>
        <w:jc w:val="both"/>
        <w:rPr>
          <w:rFonts w:hint="eastAsia" w:ascii="宋体" w:hAnsi="宋体" w:eastAsia="宋体" w:cs="Times New Roman"/>
          <w:sz w:val="24"/>
          <w:szCs w:val="24"/>
        </w:rPr>
      </w:pPr>
    </w:p>
    <w:p w14:paraId="533CDAF7">
      <w:pPr>
        <w:widowControl w:val="0"/>
        <w:tabs>
          <w:tab w:val="left" w:pos="4180"/>
        </w:tabs>
        <w:spacing w:line="360" w:lineRule="auto"/>
        <w:jc w:val="both"/>
        <w:rPr>
          <w:rFonts w:hint="eastAsia" w:ascii="宋体" w:hAnsi="宋体" w:eastAsia="宋体" w:cs="Times New Roman"/>
          <w:sz w:val="24"/>
          <w:szCs w:val="24"/>
        </w:rPr>
      </w:pPr>
      <w:r>
        <w:rPr>
          <w:rFonts w:hint="eastAsia" w:ascii="宋体" w:hAnsi="宋体" w:eastAsia="宋体" w:cs="Times New Roman"/>
          <w:sz w:val="24"/>
          <w:szCs w:val="24"/>
        </w:rPr>
        <w:t>致：南京市公安局江宁分局</w:t>
      </w:r>
    </w:p>
    <w:p w14:paraId="60A9175C">
      <w:pPr>
        <w:widowControl w:val="0"/>
        <w:tabs>
          <w:tab w:val="left" w:pos="4180"/>
        </w:tabs>
        <w:spacing w:line="360" w:lineRule="auto"/>
        <w:ind w:firstLine="480" w:firstLineChars="200"/>
        <w:jc w:val="both"/>
        <w:rPr>
          <w:rFonts w:hint="eastAsia" w:ascii="宋体" w:hAnsi="宋体" w:eastAsia="宋体" w:cs="Times New Roman"/>
          <w:sz w:val="24"/>
          <w:szCs w:val="24"/>
        </w:rPr>
      </w:pPr>
    </w:p>
    <w:p w14:paraId="51F21843">
      <w:pPr>
        <w:widowControl w:val="0"/>
        <w:tabs>
          <w:tab w:val="left" w:pos="4180"/>
        </w:tabs>
        <w:spacing w:line="360" w:lineRule="auto"/>
        <w:ind w:firstLine="480" w:firstLineChars="200"/>
        <w:jc w:val="both"/>
        <w:rPr>
          <w:rFonts w:hint="eastAsia" w:ascii="宋体" w:hAnsi="宋体" w:eastAsia="宋体" w:cs="Times New Roman"/>
          <w:sz w:val="24"/>
          <w:szCs w:val="24"/>
        </w:rPr>
      </w:pPr>
      <w:r>
        <w:rPr>
          <w:rFonts w:ascii="宋体" w:hAnsi="宋体" w:eastAsia="宋体" w:cs="Times New Roman"/>
          <w:sz w:val="24"/>
          <w:szCs w:val="24"/>
        </w:rPr>
        <w:t>我单位</w:t>
      </w:r>
      <w:r>
        <w:rPr>
          <w:rFonts w:ascii="宋体" w:hAnsi="宋体" w:eastAsia="宋体" w:cs="Times New Roman"/>
          <w:sz w:val="24"/>
          <w:szCs w:val="24"/>
          <w:u w:val="single"/>
        </w:rPr>
        <w:tab/>
      </w:r>
      <w:r>
        <w:rPr>
          <w:rFonts w:ascii="宋体" w:hAnsi="宋体" w:eastAsia="宋体" w:cs="Times New Roman"/>
          <w:sz w:val="24"/>
          <w:szCs w:val="24"/>
        </w:rPr>
        <w:t>（供应商名称）郑重声明：我公司具备履行本项采购合同所必需的设备和专业技术能力，为履行本项采购合同我单位具备如下主要设备和主要专业技术能力：</w:t>
      </w:r>
    </w:p>
    <w:p w14:paraId="4F999523">
      <w:pPr>
        <w:widowControl w:val="0"/>
        <w:tabs>
          <w:tab w:val="left" w:pos="4460"/>
        </w:tabs>
        <w:spacing w:line="360" w:lineRule="auto"/>
        <w:ind w:left="500"/>
        <w:jc w:val="both"/>
        <w:rPr>
          <w:rFonts w:hint="eastAsia" w:ascii="宋体" w:hAnsi="宋体" w:eastAsia="宋体" w:cs="Times New Roman"/>
          <w:sz w:val="24"/>
          <w:szCs w:val="24"/>
        </w:rPr>
      </w:pPr>
      <w:r>
        <w:rPr>
          <w:rFonts w:ascii="宋体" w:hAnsi="宋体" w:eastAsia="宋体" w:cs="Times New Roman"/>
          <w:sz w:val="24"/>
          <w:szCs w:val="24"/>
        </w:rPr>
        <w:t>主要设备有：</w:t>
      </w:r>
      <w:r>
        <w:rPr>
          <w:rFonts w:ascii="宋体" w:hAnsi="宋体" w:eastAsia="宋体" w:cs="Times New Roman"/>
          <w:sz w:val="24"/>
          <w:szCs w:val="24"/>
          <w:u w:val="single"/>
        </w:rPr>
        <w:tab/>
      </w:r>
      <w:r>
        <w:rPr>
          <w:rFonts w:hint="eastAsia" w:ascii="宋体" w:hAnsi="宋体" w:eastAsia="宋体" w:cs="Times New Roman"/>
          <w:sz w:val="24"/>
          <w:szCs w:val="24"/>
        </w:rPr>
        <w:t>；</w:t>
      </w:r>
    </w:p>
    <w:p w14:paraId="51FB2E8A">
      <w:pPr>
        <w:widowControl w:val="0"/>
        <w:tabs>
          <w:tab w:val="left" w:pos="4460"/>
        </w:tabs>
        <w:spacing w:line="360" w:lineRule="auto"/>
        <w:ind w:left="500"/>
        <w:jc w:val="both"/>
        <w:rPr>
          <w:rFonts w:hint="eastAsia" w:ascii="宋体" w:hAnsi="宋体" w:eastAsia="宋体" w:cs="Times New Roman"/>
          <w:sz w:val="24"/>
          <w:szCs w:val="24"/>
        </w:rPr>
      </w:pPr>
      <w:r>
        <w:rPr>
          <w:rFonts w:ascii="宋体" w:hAnsi="宋体" w:eastAsia="宋体" w:cs="Times New Roman"/>
          <w:sz w:val="24"/>
          <w:szCs w:val="24"/>
        </w:rPr>
        <w:t>主要专业技术能力有：</w:t>
      </w:r>
      <w:r>
        <w:rPr>
          <w:rFonts w:ascii="宋体" w:hAnsi="宋体" w:eastAsia="宋体" w:cs="Times New Roman"/>
          <w:sz w:val="24"/>
          <w:szCs w:val="24"/>
          <w:u w:val="single"/>
        </w:rPr>
        <w:tab/>
      </w:r>
      <w:r>
        <w:rPr>
          <w:rFonts w:ascii="宋体" w:hAnsi="宋体" w:eastAsia="宋体" w:cs="Times New Roman"/>
          <w:sz w:val="24"/>
          <w:szCs w:val="24"/>
        </w:rPr>
        <w:t>。</w:t>
      </w:r>
    </w:p>
    <w:p w14:paraId="2C354145">
      <w:pPr>
        <w:widowControl w:val="0"/>
        <w:spacing w:line="360" w:lineRule="auto"/>
        <w:jc w:val="both"/>
        <w:rPr>
          <w:rFonts w:hint="eastAsia" w:ascii="宋体" w:hAnsi="宋体" w:eastAsia="宋体" w:cs="Times New Roman"/>
          <w:sz w:val="24"/>
          <w:szCs w:val="24"/>
        </w:rPr>
      </w:pPr>
    </w:p>
    <w:p w14:paraId="1215C571">
      <w:pPr>
        <w:widowControl w:val="0"/>
        <w:spacing w:line="360" w:lineRule="auto"/>
        <w:jc w:val="both"/>
        <w:rPr>
          <w:rFonts w:hint="eastAsia" w:ascii="宋体" w:hAnsi="宋体" w:eastAsia="宋体" w:cs="Times New Roman"/>
          <w:sz w:val="24"/>
          <w:szCs w:val="24"/>
        </w:rPr>
      </w:pPr>
    </w:p>
    <w:p w14:paraId="68443D91">
      <w:pPr>
        <w:keepNext w:val="0"/>
        <w:keepLines w:val="0"/>
        <w:pageBreakBefore w:val="0"/>
        <w:widowControl w:val="0"/>
        <w:kinsoku/>
        <w:wordWrap/>
        <w:overflowPunct/>
        <w:topLinePunct w:val="0"/>
        <w:autoSpaceDE/>
        <w:autoSpaceDN/>
        <w:bidi w:val="0"/>
        <w:adjustRightInd/>
        <w:snapToGrid/>
        <w:spacing w:line="360" w:lineRule="auto"/>
        <w:ind w:left="4535" w:firstLine="1200" w:firstLineChars="500"/>
        <w:jc w:val="both"/>
        <w:textAlignment w:val="auto"/>
        <w:rPr>
          <w:rFonts w:hint="eastAsia" w:ascii="宋体" w:hAnsi="宋体" w:eastAsia="宋体" w:cs="Times New Roman"/>
          <w:sz w:val="24"/>
          <w:szCs w:val="24"/>
        </w:rPr>
      </w:pPr>
      <w:r>
        <w:rPr>
          <w:rFonts w:ascii="宋体" w:hAnsi="宋体" w:eastAsia="宋体" w:cs="Times New Roman"/>
          <w:sz w:val="24"/>
          <w:szCs w:val="24"/>
        </w:rPr>
        <w:t>声明人（公章）：</w:t>
      </w:r>
    </w:p>
    <w:p w14:paraId="1CFAC263">
      <w:pPr>
        <w:widowControl w:val="0"/>
        <w:tabs>
          <w:tab w:val="left" w:pos="6300"/>
          <w:tab w:val="left" w:pos="6940"/>
        </w:tabs>
        <w:spacing w:line="360" w:lineRule="auto"/>
        <w:ind w:firstLine="5760" w:firstLineChars="2400"/>
        <w:jc w:val="both"/>
        <w:rPr>
          <w:rFonts w:hint="eastAsia" w:ascii="宋体" w:hAnsi="宋体" w:eastAsia="宋体" w:cs="Times New Roman"/>
          <w:sz w:val="24"/>
          <w:szCs w:val="24"/>
        </w:rPr>
      </w:pPr>
      <w:r>
        <w:rPr>
          <w:rFonts w:ascii="宋体" w:hAnsi="宋体" w:eastAsia="宋体" w:cs="Times New Roman"/>
          <w:sz w:val="24"/>
          <w:szCs w:val="24"/>
        </w:rPr>
        <w:t>日期：</w:t>
      </w:r>
    </w:p>
    <w:p w14:paraId="5B001A38">
      <w:pPr>
        <w:widowControl w:val="0"/>
        <w:tabs>
          <w:tab w:val="left" w:pos="6300"/>
          <w:tab w:val="left" w:pos="6940"/>
        </w:tabs>
        <w:spacing w:line="360" w:lineRule="auto"/>
        <w:ind w:left="4440"/>
        <w:jc w:val="both"/>
        <w:rPr>
          <w:rFonts w:hint="eastAsia" w:ascii="宋体" w:hAnsi="宋体" w:eastAsia="宋体" w:cs="Times New Roman"/>
          <w:sz w:val="24"/>
          <w:szCs w:val="24"/>
        </w:rPr>
      </w:pPr>
    </w:p>
    <w:p w14:paraId="2DFAB069">
      <w:pPr>
        <w:widowControl w:val="0"/>
        <w:spacing w:line="360" w:lineRule="auto"/>
        <w:jc w:val="both"/>
        <w:rPr>
          <w:rFonts w:hint="eastAsia" w:ascii="宋体" w:hAnsi="宋体" w:eastAsia="宋体" w:cs="Times New Roman"/>
          <w:sz w:val="24"/>
          <w:szCs w:val="24"/>
        </w:rPr>
      </w:pPr>
    </w:p>
    <w:p w14:paraId="054E6C5D">
      <w:pPr>
        <w:spacing w:line="360" w:lineRule="auto"/>
        <w:ind w:left="500"/>
        <w:rPr>
          <w:rFonts w:hint="eastAsia" w:ascii="宋体" w:hAnsi="宋体" w:eastAsia="宋体" w:cs="Times New Roman"/>
          <w:sz w:val="24"/>
          <w:szCs w:val="24"/>
        </w:rPr>
      </w:pPr>
      <w:r>
        <w:rPr>
          <w:rFonts w:ascii="宋体" w:hAnsi="宋体" w:eastAsia="宋体" w:cs="Times New Roman"/>
          <w:sz w:val="24"/>
          <w:szCs w:val="24"/>
        </w:rPr>
        <w:t>其他证明材料及文件：（如果投标人认为需要提供的话）</w:t>
      </w:r>
      <w:r>
        <w:rPr>
          <w:rFonts w:ascii="宋体" w:hAnsi="宋体" w:eastAsia="宋体" w:cs="Times New Roman"/>
          <w:sz w:val="24"/>
          <w:szCs w:val="24"/>
        </w:rPr>
        <w:br w:type="textWrapping"/>
      </w:r>
    </w:p>
    <w:p w14:paraId="2C9FD273">
      <w:pPr>
        <w:rPr>
          <w:rFonts w:hint="eastAsia" w:ascii="宋体" w:hAnsi="宋体" w:eastAsia="宋体" w:cs="Times New Roman"/>
          <w:sz w:val="24"/>
          <w:szCs w:val="24"/>
        </w:rPr>
      </w:pPr>
    </w:p>
    <w:p w14:paraId="0A595521">
      <w:pPr>
        <w:rPr>
          <w:rFonts w:hint="eastAsia" w:ascii="宋体" w:hAnsi="宋体" w:eastAsia="宋体" w:cs="Times New Roman"/>
          <w:sz w:val="24"/>
          <w:szCs w:val="24"/>
        </w:rPr>
      </w:pPr>
    </w:p>
    <w:p w14:paraId="2023942E">
      <w:pPr>
        <w:widowControl w:val="0"/>
        <w:spacing w:line="360" w:lineRule="auto"/>
        <w:jc w:val="both"/>
        <w:rPr>
          <w:rFonts w:hint="eastAsia" w:ascii="宋体" w:hAnsi="宋体" w:eastAsia="宋体" w:cs="Arial"/>
          <w:b/>
          <w:szCs w:val="24"/>
        </w:rPr>
      </w:pPr>
    </w:p>
    <w:p w14:paraId="0FF85D3D">
      <w:pPr>
        <w:widowControl w:val="0"/>
        <w:spacing w:line="360" w:lineRule="auto"/>
        <w:jc w:val="both"/>
        <w:rPr>
          <w:rFonts w:hint="eastAsia" w:ascii="宋体" w:hAnsi="宋体" w:eastAsia="宋体" w:cs="Arial"/>
          <w:b/>
          <w:szCs w:val="24"/>
        </w:rPr>
      </w:pPr>
    </w:p>
    <w:p w14:paraId="461DAD4C">
      <w:pPr>
        <w:widowControl w:val="0"/>
        <w:spacing w:line="360" w:lineRule="auto"/>
        <w:jc w:val="both"/>
        <w:rPr>
          <w:rFonts w:hint="eastAsia" w:ascii="宋体" w:hAnsi="宋体" w:eastAsia="宋体" w:cs="Arial"/>
          <w:b/>
          <w:szCs w:val="24"/>
        </w:rPr>
      </w:pPr>
    </w:p>
    <w:p w14:paraId="7B8E2907">
      <w:pPr>
        <w:widowControl w:val="0"/>
        <w:spacing w:line="360" w:lineRule="auto"/>
        <w:jc w:val="both"/>
        <w:rPr>
          <w:rFonts w:hint="eastAsia" w:ascii="宋体" w:hAnsi="宋体" w:eastAsia="宋体" w:cs="Arial"/>
          <w:b/>
          <w:szCs w:val="24"/>
        </w:rPr>
      </w:pPr>
    </w:p>
    <w:p w14:paraId="17C8EB61">
      <w:pPr>
        <w:widowControl w:val="0"/>
        <w:spacing w:line="360" w:lineRule="auto"/>
        <w:jc w:val="both"/>
        <w:rPr>
          <w:rFonts w:hint="eastAsia" w:ascii="宋体" w:hAnsi="宋体" w:eastAsia="宋体" w:cs="Arial"/>
          <w:b/>
          <w:szCs w:val="24"/>
        </w:rPr>
      </w:pPr>
    </w:p>
    <w:p w14:paraId="11FAA934">
      <w:pPr>
        <w:widowControl w:val="0"/>
        <w:spacing w:line="360" w:lineRule="auto"/>
        <w:jc w:val="both"/>
        <w:rPr>
          <w:rFonts w:hint="eastAsia" w:ascii="宋体" w:hAnsi="宋体" w:eastAsia="宋体" w:cs="Arial"/>
          <w:b/>
          <w:szCs w:val="24"/>
        </w:rPr>
      </w:pPr>
    </w:p>
    <w:p w14:paraId="5839F5DF">
      <w:pPr>
        <w:widowControl w:val="0"/>
        <w:spacing w:line="360" w:lineRule="auto"/>
        <w:jc w:val="both"/>
        <w:rPr>
          <w:rFonts w:hint="eastAsia" w:ascii="宋体" w:hAnsi="宋体" w:eastAsia="宋体" w:cs="Arial"/>
          <w:b/>
          <w:szCs w:val="24"/>
        </w:rPr>
      </w:pPr>
    </w:p>
    <w:p w14:paraId="429A5EE1">
      <w:pPr>
        <w:rPr>
          <w:rFonts w:hint="eastAsia" w:ascii="宋体" w:hAnsi="宋体" w:eastAsia="宋体" w:cs="Arial"/>
          <w:b/>
          <w:szCs w:val="24"/>
        </w:rPr>
      </w:pPr>
      <w:r>
        <w:rPr>
          <w:rFonts w:hint="eastAsia" w:ascii="宋体" w:hAnsi="宋体" w:eastAsia="宋体" w:cs="Arial"/>
          <w:b/>
          <w:szCs w:val="24"/>
        </w:rPr>
        <w:br w:type="page"/>
      </w:r>
    </w:p>
    <w:p w14:paraId="3736A2AC">
      <w:pPr>
        <w:widowControl w:val="0"/>
        <w:jc w:val="both"/>
        <w:outlineLvl w:val="1"/>
        <w:rPr>
          <w:rFonts w:hint="eastAsia" w:ascii="宋体" w:hAnsi="宋体" w:eastAsia="宋体" w:cs="Arial"/>
          <w:b/>
          <w:szCs w:val="24"/>
        </w:rPr>
      </w:pPr>
      <w:bookmarkStart w:id="61" w:name="_Toc6293"/>
      <w:bookmarkStart w:id="62" w:name="_Toc15727"/>
      <w:r>
        <w:rPr>
          <w:rFonts w:hint="eastAsia" w:ascii="宋体" w:hAnsi="宋体" w:eastAsia="宋体" w:cs="Arial"/>
          <w:b/>
          <w:szCs w:val="24"/>
        </w:rPr>
        <w:t>十四、承诺书1</w:t>
      </w:r>
      <w:bookmarkEnd w:id="61"/>
      <w:bookmarkEnd w:id="62"/>
    </w:p>
    <w:p w14:paraId="460B7E8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bCs/>
          <w:sz w:val="32"/>
        </w:rPr>
      </w:pPr>
    </w:p>
    <w:p w14:paraId="42018C9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bCs/>
        </w:rPr>
      </w:pPr>
      <w:r>
        <w:rPr>
          <w:rFonts w:hint="eastAsia" w:ascii="宋体" w:hAnsi="宋体" w:eastAsia="宋体" w:cs="宋体"/>
          <w:b/>
          <w:bCs/>
          <w:sz w:val="32"/>
        </w:rPr>
        <w:t>承诺书</w:t>
      </w:r>
    </w:p>
    <w:p w14:paraId="507B08EB">
      <w:pPr>
        <w:widowControl w:val="0"/>
        <w:tabs>
          <w:tab w:val="left" w:pos="4180"/>
        </w:tabs>
        <w:spacing w:line="360" w:lineRule="auto"/>
        <w:jc w:val="both"/>
        <w:rPr>
          <w:rFonts w:hint="eastAsia" w:ascii="宋体" w:hAnsi="宋体" w:eastAsia="宋体" w:cs="Times New Roman"/>
          <w:sz w:val="24"/>
          <w:szCs w:val="24"/>
        </w:rPr>
      </w:pPr>
    </w:p>
    <w:p w14:paraId="1B120294">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szCs w:val="24"/>
        </w:rPr>
      </w:pPr>
      <w:r>
        <w:rPr>
          <w:rFonts w:hint="eastAsia" w:ascii="宋体" w:hAnsi="宋体" w:eastAsia="宋体" w:cs="宋体"/>
          <w:sz w:val="24"/>
          <w:szCs w:val="24"/>
        </w:rPr>
        <w:t>我公司承诺以下内容：</w:t>
      </w:r>
    </w:p>
    <w:p w14:paraId="1CF9AE20">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1、中标后提供满足招标文件要求的足额面积的场地给采购人使用。</w:t>
      </w:r>
    </w:p>
    <w:p w14:paraId="3199CA9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2、提供的涉案停车场面积是以涉案车辆实际可停放区域面积为准。</w:t>
      </w:r>
    </w:p>
    <w:p w14:paraId="73FE72F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3、停车场内24小时人员值守、办理相关业务。人员需熟练掌握电脑操作，所有人员均需岗前培训，熟悉岗位职责及办事流程并熟练掌握各种消防设施的使用。</w:t>
      </w:r>
    </w:p>
    <w:p w14:paraId="038EA6E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4、中标场地只为南京市公安局交通管理局江宁区大队涉案车辆停放使用，不得作为他用，如后续有违承诺，采购人有权拒签合同，所有后果由中标供应商承担。</w:t>
      </w:r>
    </w:p>
    <w:p w14:paraId="12A5FF4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5、签订合同后，如因政策变化等不可控因素导致须更换场地，供应商应提供满足合同约定的场地及配套设施，并将原场地车辆转运至新场地，所涉费用均由中标供应商承担。更换的场地及配套设施应满足投标文件中该分包的各项需求。</w:t>
      </w:r>
    </w:p>
    <w:p w14:paraId="054011D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6、停车场围墙应为砖砌围墙或金属栏杆围墙，高度不低于2m，透视型围墙的应加装防攀爬护栏。停车场外围需设置醒目的指路引导牌，设置专用的出入口，出入口及停车场内需安装照明设施，24小时办理车辆存取手续，方便群众。</w:t>
      </w:r>
    </w:p>
    <w:p w14:paraId="05F8B83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7、停车场场地硬化满足停车需要。对涉案车辆按照事故、违法、机非分类管理。提供的停车场要专场专用，不得与其他服务项目或功能混用，保证其相对封闭性。</w:t>
      </w:r>
    </w:p>
    <w:p w14:paraId="31C0441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8、停车场要安装视频监控设备，视频可视范围应覆盖整个停车场并24小时录像，保存时间不少于6个月。</w:t>
      </w:r>
    </w:p>
    <w:p w14:paraId="3801EB7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9、停车场要严格落实防火、防水、防盗等安全措施。</w:t>
      </w:r>
    </w:p>
    <w:p w14:paraId="3CB339C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10、停车场具备专用业务办公用房，具备连接互联网（安装数据专网）的电脑、打印机等办公设备。自行承担水电费。</w:t>
      </w:r>
    </w:p>
    <w:p w14:paraId="42BB6ED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11、停车场出入口规范合理，满足车辆正常出入条件，保证出入安全。</w:t>
      </w:r>
    </w:p>
    <w:p w14:paraId="2B97094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12、刑事案件和行政案件扣留的车辆须分区摆放，在投标方案中投标人须对此进行响应，在同一场地内分区的，提供分区示意图，提供分区物理分隔（如设置格栅）措施。</w:t>
      </w:r>
    </w:p>
    <w:p w14:paraId="5C4B382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13、在涉案车辆保管场所悬挂合法的营业执照，设置专人看管，监控及安全防护设施齐全有效，有完善的安全管理制度及巡查措施，具备防雨、防晒、防火、防盗、防水淹等管理设施，保证停车场地的正常安全使用。</w:t>
      </w:r>
    </w:p>
    <w:p w14:paraId="4CB6818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14、停车场地应根据现行国家标准《建筑灭火器配置设计规范》GB50140的最新有关规定并根据不同车型、物品等燃烧特点，针对性设置各种类型灭火设施。</w:t>
      </w:r>
    </w:p>
    <w:p w14:paraId="1093922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15、停车场地内发生的人员、车辆、财产等任何损失，由中标供应商承担全部法律及经济赔偿责任。</w:t>
      </w:r>
    </w:p>
    <w:p w14:paraId="0859A20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16、采购人将于中标通知书发放后的3个工作日内对中标供应商进行考察，如发现不满足招标文件实质性要求或不满足投标文件中实质性响应的，采购人有权拒绝签订合同，有权向监管部门反映情况并建议取消其中标资格。</w:t>
      </w:r>
    </w:p>
    <w:p w14:paraId="71AAB10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17、合同期满后，不得以任何理由向采购人主张包括土地平整设施设备采购或安装等在内产生的任何赔偿或补偿。</w:t>
      </w:r>
    </w:p>
    <w:p w14:paraId="3C5721E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18、如中标须按采购人要求，在合同签订之日起2日内，将停放在其他停车场地的涉案车辆拖移至中标供应商所在场地，因转场产生的费用由中标供应商自理。</w:t>
      </w:r>
    </w:p>
    <w:p w14:paraId="75BB8CC7"/>
    <w:p w14:paraId="3714988B">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rPr>
      </w:pPr>
      <w:r>
        <w:rPr>
          <w:rFonts w:hint="eastAsia" w:ascii="宋体" w:hAnsi="宋体" w:eastAsia="宋体" w:cs="宋体"/>
        </w:rPr>
        <w:t> </w:t>
      </w:r>
    </w:p>
    <w:p w14:paraId="2C2CD5DA">
      <w:pPr>
        <w:shd w:val="clear" w:color="auto" w:fill="FFFFFF"/>
        <w:spacing w:line="360" w:lineRule="auto"/>
        <w:ind w:left="5460" w:leftChars="2600"/>
        <w:rPr>
          <w:rFonts w:hint="eastAsia" w:ascii="宋体" w:hAnsi="宋体" w:eastAsia="宋体" w:cs="Arial"/>
          <w:sz w:val="24"/>
          <w:szCs w:val="24"/>
        </w:rPr>
      </w:pPr>
      <w:r>
        <w:rPr>
          <w:rFonts w:hint="eastAsia" w:ascii="宋体" w:hAnsi="宋体" w:eastAsia="宋体" w:cs="宋体"/>
          <w:spacing w:val="15"/>
        </w:rPr>
        <w:t xml:space="preserve">     </w:t>
      </w:r>
      <w:r>
        <w:rPr>
          <w:rFonts w:hint="eastAsia" w:ascii="宋体" w:hAnsi="宋体" w:eastAsia="宋体" w:cs="Arial"/>
          <w:sz w:val="24"/>
          <w:szCs w:val="24"/>
        </w:rPr>
        <w:t>投标人全称（CA公章）：</w:t>
      </w:r>
    </w:p>
    <w:p w14:paraId="4F14DF5D">
      <w:pPr>
        <w:pBdr>
          <w:top w:val="none" w:color="000000" w:sz="0" w:space="0"/>
          <w:left w:val="none" w:color="000000" w:sz="0" w:space="0"/>
          <w:bottom w:val="none" w:color="000000" w:sz="0" w:space="0"/>
          <w:right w:val="none" w:color="000000" w:sz="0" w:space="0"/>
        </w:pBdr>
        <w:spacing w:line="360" w:lineRule="auto"/>
        <w:ind w:firstLine="480"/>
        <w:jc w:val="center"/>
        <w:rPr>
          <w:rFonts w:hint="eastAsia" w:ascii="宋体" w:hAnsi="宋体" w:eastAsia="宋体" w:cs="宋体"/>
          <w:spacing w:val="15"/>
        </w:rPr>
      </w:pPr>
      <w:r>
        <w:rPr>
          <w:rFonts w:hint="eastAsia" w:ascii="宋体" w:hAnsi="宋体" w:eastAsia="宋体" w:cs="宋体"/>
          <w:spacing w:val="15"/>
        </w:rPr>
        <w:t xml:space="preserve">              </w:t>
      </w:r>
      <w:r>
        <w:rPr>
          <w:rFonts w:hint="eastAsia" w:ascii="宋体" w:hAnsi="宋体" w:eastAsia="宋体" w:cs="Arial"/>
          <w:sz w:val="24"/>
          <w:szCs w:val="24"/>
        </w:rPr>
        <w:t xml:space="preserve">          日期：</w:t>
      </w:r>
      <w:r>
        <w:rPr>
          <w:rFonts w:hint="eastAsia" w:ascii="宋体" w:hAnsi="宋体" w:eastAsia="宋体" w:cs="宋体"/>
          <w:spacing w:val="15"/>
        </w:rPr>
        <w:t> </w:t>
      </w:r>
    </w:p>
    <w:p w14:paraId="6EC9E473">
      <w:pPr>
        <w:pStyle w:val="16"/>
        <w:jc w:val="both"/>
      </w:pPr>
    </w:p>
    <w:p w14:paraId="524DFEAC">
      <w:pPr>
        <w:pBdr>
          <w:top w:val="none" w:color="000000" w:sz="0" w:space="0"/>
          <w:left w:val="none" w:color="000000" w:sz="0" w:space="0"/>
          <w:bottom w:val="none" w:color="000000" w:sz="0" w:space="0"/>
          <w:right w:val="none" w:color="000000" w:sz="0" w:space="0"/>
        </w:pBdr>
        <w:ind w:left="1470" w:right="1470"/>
        <w:jc w:val="both"/>
        <w:rPr>
          <w:rFonts w:hint="eastAsia" w:ascii="宋体" w:hAnsi="宋体" w:eastAsia="宋体" w:cs="宋体"/>
        </w:rPr>
      </w:pPr>
      <w:r>
        <w:rPr>
          <w:rFonts w:hint="eastAsia" w:ascii="宋体" w:hAnsi="宋体" w:eastAsia="宋体" w:cs="宋体"/>
        </w:rPr>
        <w:t> </w:t>
      </w:r>
    </w:p>
    <w:p w14:paraId="152FDFBC">
      <w:pPr>
        <w:rPr>
          <w:rFonts w:hint="eastAsia" w:ascii="宋体" w:hAnsi="宋体"/>
          <w:b/>
          <w:sz w:val="32"/>
        </w:rPr>
      </w:pPr>
      <w:r>
        <w:rPr>
          <w:rFonts w:hint="eastAsia" w:ascii="宋体" w:hAnsi="宋体"/>
          <w:b/>
          <w:sz w:val="32"/>
        </w:rPr>
        <w:br w:type="page"/>
      </w:r>
    </w:p>
    <w:p w14:paraId="68A6DB34">
      <w:pPr>
        <w:widowControl w:val="0"/>
        <w:jc w:val="both"/>
        <w:outlineLvl w:val="1"/>
        <w:rPr>
          <w:rFonts w:hint="eastAsia" w:ascii="宋体" w:hAnsi="宋体" w:eastAsia="宋体" w:cs="Arial"/>
          <w:b/>
          <w:szCs w:val="24"/>
        </w:rPr>
      </w:pPr>
      <w:bookmarkStart w:id="63" w:name="_Toc2177"/>
      <w:bookmarkStart w:id="64" w:name="_Toc6431"/>
      <w:r>
        <w:rPr>
          <w:rFonts w:hint="eastAsia" w:ascii="宋体" w:hAnsi="宋体" w:eastAsia="宋体" w:cs="Arial"/>
          <w:b/>
          <w:szCs w:val="24"/>
        </w:rPr>
        <w:t>十五、承诺书2</w:t>
      </w:r>
      <w:bookmarkEnd w:id="63"/>
      <w:bookmarkEnd w:id="64"/>
    </w:p>
    <w:p w14:paraId="643444A9">
      <w:pPr>
        <w:rPr>
          <w:rFonts w:hint="eastAsia" w:ascii="宋体" w:hAnsi="宋体"/>
          <w:b/>
          <w:sz w:val="32"/>
        </w:rPr>
      </w:pPr>
    </w:p>
    <w:p w14:paraId="443B016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bCs/>
          <w:sz w:val="32"/>
        </w:rPr>
      </w:pPr>
      <w:r>
        <w:rPr>
          <w:rFonts w:hint="eastAsia" w:ascii="宋体" w:hAnsi="宋体" w:eastAsia="宋体" w:cs="宋体"/>
          <w:b/>
          <w:bCs/>
          <w:sz w:val="32"/>
        </w:rPr>
        <w:t>承诺书</w:t>
      </w:r>
    </w:p>
    <w:p w14:paraId="26B0B4FD">
      <w:pPr>
        <w:spacing w:line="360" w:lineRule="auto"/>
        <w:ind w:firstLine="420"/>
        <w:rPr>
          <w:rFonts w:hint="eastAsia" w:asciiTheme="minorEastAsia" w:hAnsiTheme="minorEastAsia"/>
          <w:sz w:val="24"/>
          <w:szCs w:val="24"/>
        </w:rPr>
      </w:pPr>
    </w:p>
    <w:p w14:paraId="641C2413">
      <w:pPr>
        <w:shd w:val="clear" w:color="auto" w:fill="FFFFFF"/>
        <w:spacing w:line="360" w:lineRule="auto"/>
        <w:ind w:firstLine="480" w:firstLineChars="200"/>
        <w:rPr>
          <w:rFonts w:hint="eastAsia" w:ascii="宋体" w:hAnsi="宋体" w:eastAsia="宋体" w:cs="Arial"/>
          <w:sz w:val="24"/>
          <w:szCs w:val="24"/>
        </w:rPr>
      </w:pPr>
      <w:r>
        <w:rPr>
          <w:rFonts w:ascii="宋体" w:hAnsi="宋体" w:eastAsia="宋体" w:cs="宋体"/>
          <w:sz w:val="24"/>
          <w:szCs w:val="24"/>
        </w:rPr>
        <w:t>我公司郑重承诺：若本项目中标，将严格按照招标文件及合同约定要求，为本项目停车场足额办理对应责任类保险，保险险种包含但不限于停车场火灾公众责任险、车辆盗抢险、第三者责任险等相关险种；保险保单累计赔偿限额不低于</w:t>
      </w:r>
      <w:r>
        <w:rPr>
          <w:rFonts w:hint="eastAsia" w:ascii="宋体" w:hAnsi="宋体" w:eastAsia="宋体" w:cs="宋体"/>
          <w:sz w:val="24"/>
          <w:szCs w:val="24"/>
        </w:rPr>
        <w:t>100</w:t>
      </w:r>
      <w:r>
        <w:rPr>
          <w:rFonts w:ascii="宋体" w:hAnsi="宋体" w:eastAsia="宋体" w:cs="宋体"/>
          <w:sz w:val="24"/>
          <w:szCs w:val="24"/>
        </w:rPr>
        <w:t>万元。所有保险投保手续将在合同约定时限内办理完毕，保证保单真实、合法、持续有效，保险期间完整覆盖停车场全部服务运营周期，保险到期前及时完成续保，确保服务期内无保险断档情形。如因保险险种不全、保额不足、脱保断保或未按期投保，造成招标人及第三方产生任何损失、索赔、纠纷的，我公司自愿承担由此引发的全部经济赔偿、法律责任及合同约定的全部违约责任，并无条件配合做好相关善后处置工作。</w:t>
      </w:r>
    </w:p>
    <w:p w14:paraId="26A0E8C3">
      <w:pPr>
        <w:shd w:val="clear" w:color="auto" w:fill="FFFFFF"/>
        <w:spacing w:line="360" w:lineRule="auto"/>
        <w:ind w:firstLine="5520" w:firstLineChars="2300"/>
        <w:rPr>
          <w:rFonts w:hint="eastAsia" w:ascii="宋体" w:hAnsi="宋体" w:eastAsia="宋体" w:cs="Arial"/>
          <w:sz w:val="24"/>
          <w:szCs w:val="24"/>
        </w:rPr>
      </w:pPr>
    </w:p>
    <w:p w14:paraId="060E3DFC">
      <w:pPr>
        <w:shd w:val="clear" w:color="auto" w:fill="FFFFFF"/>
        <w:spacing w:line="360" w:lineRule="auto"/>
        <w:ind w:firstLine="5520" w:firstLineChars="2300"/>
        <w:rPr>
          <w:rFonts w:hint="eastAsia" w:ascii="宋体" w:hAnsi="宋体" w:eastAsia="宋体" w:cs="Arial"/>
          <w:sz w:val="24"/>
          <w:szCs w:val="24"/>
        </w:rPr>
      </w:pPr>
      <w:r>
        <w:rPr>
          <w:rFonts w:hint="eastAsia" w:ascii="宋体" w:hAnsi="宋体" w:eastAsia="宋体" w:cs="Arial"/>
          <w:sz w:val="24"/>
          <w:szCs w:val="24"/>
        </w:rPr>
        <w:t>投标人全称（CA公章）：</w:t>
      </w:r>
    </w:p>
    <w:p w14:paraId="6B6CA86A">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b/>
          <w:bCs/>
        </w:rPr>
      </w:pPr>
      <w:r>
        <w:rPr>
          <w:rFonts w:hint="eastAsia" w:ascii="宋体" w:hAnsi="宋体" w:eastAsia="宋体" w:cs="宋体"/>
          <w:spacing w:val="15"/>
        </w:rPr>
        <w:t xml:space="preserve">              </w:t>
      </w:r>
      <w:r>
        <w:rPr>
          <w:rFonts w:hint="eastAsia" w:ascii="宋体" w:hAnsi="宋体" w:eastAsia="宋体" w:cs="Arial"/>
          <w:sz w:val="24"/>
          <w:szCs w:val="24"/>
        </w:rPr>
        <w:t xml:space="preserve">                                日期：</w:t>
      </w:r>
    </w:p>
    <w:p w14:paraId="4285C95E">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b/>
          <w:bCs/>
        </w:rPr>
      </w:pPr>
    </w:p>
    <w:p w14:paraId="218AF37E">
      <w:pPr>
        <w:rPr>
          <w:rFonts w:hint="eastAsia" w:ascii="宋体" w:hAnsi="宋体" w:eastAsia="宋体" w:cs="宋体"/>
          <w:b/>
          <w:bCs/>
        </w:rPr>
      </w:pPr>
    </w:p>
    <w:p w14:paraId="6AABE22B">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b/>
          <w:bCs/>
        </w:rPr>
      </w:pPr>
    </w:p>
    <w:p w14:paraId="5F106AB4">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b/>
          <w:bCs/>
        </w:rPr>
      </w:pPr>
    </w:p>
    <w:p w14:paraId="13DA687D">
      <w:pPr>
        <w:pBdr>
          <w:top w:val="none" w:color="000000" w:sz="0" w:space="0"/>
          <w:left w:val="none" w:color="000000" w:sz="0" w:space="0"/>
          <w:bottom w:val="none" w:color="000000" w:sz="0" w:space="0"/>
          <w:right w:val="none" w:color="000000" w:sz="0" w:space="0"/>
        </w:pBdr>
        <w:ind w:right="1470"/>
        <w:jc w:val="both"/>
        <w:outlineLvl w:val="1"/>
        <w:rPr>
          <w:rFonts w:hint="eastAsia" w:ascii="宋体" w:hAnsi="宋体" w:eastAsia="宋体" w:cs="宋体"/>
          <w:b/>
          <w:bCs/>
        </w:rPr>
      </w:pPr>
      <w:bookmarkStart w:id="67" w:name="_GoBack"/>
      <w:bookmarkEnd w:id="67"/>
      <w:bookmarkStart w:id="65" w:name="_Toc24406"/>
      <w:bookmarkStart w:id="66" w:name="_Toc25252"/>
      <w:r>
        <w:rPr>
          <w:rFonts w:hint="eastAsia" w:ascii="宋体" w:hAnsi="宋体" w:eastAsia="宋体" w:cs="宋体"/>
          <w:b/>
          <w:bCs/>
        </w:rPr>
        <w:t>十六、其他</w:t>
      </w:r>
      <w:bookmarkEnd w:id="65"/>
      <w:bookmarkEnd w:id="66"/>
    </w:p>
    <w:p w14:paraId="3CE748DF">
      <w:pPr>
        <w:pBdr>
          <w:top w:val="none" w:color="000000" w:sz="0" w:space="0"/>
          <w:left w:val="none" w:color="000000" w:sz="0" w:space="0"/>
          <w:bottom w:val="none" w:color="000000" w:sz="0" w:space="0"/>
          <w:right w:val="none" w:color="000000" w:sz="0" w:space="0"/>
        </w:pBdr>
        <w:ind w:right="1470"/>
        <w:jc w:val="both"/>
        <w:outlineLvl w:val="1"/>
        <w:rPr>
          <w:rFonts w:hint="eastAsia" w:ascii="宋体" w:hAnsi="宋体" w:eastAsia="宋体" w:cs="宋体"/>
          <w:b/>
          <w:bCs/>
        </w:rPr>
      </w:pPr>
    </w:p>
    <w:p w14:paraId="0FE3551A">
      <w:pPr>
        <w:pBdr>
          <w:top w:val="none" w:color="000000" w:sz="0" w:space="0"/>
          <w:left w:val="none" w:color="000000" w:sz="0" w:space="0"/>
          <w:bottom w:val="none" w:color="000000" w:sz="0" w:space="0"/>
          <w:right w:val="none" w:color="000000" w:sz="0" w:space="0"/>
        </w:pBdr>
        <w:ind w:right="1470"/>
        <w:jc w:val="center"/>
        <w:rPr>
          <w:rFonts w:hint="eastAsia" w:ascii="宋体" w:hAnsi="宋体" w:eastAsia="宋体" w:cs="宋体"/>
          <w:sz w:val="24"/>
          <w:szCs w:val="24"/>
        </w:rPr>
      </w:pPr>
      <w:r>
        <w:rPr>
          <w:rFonts w:hint="eastAsia" w:ascii="宋体" w:hAnsi="宋体" w:eastAsia="宋体" w:cs="宋体"/>
          <w:sz w:val="24"/>
          <w:szCs w:val="24"/>
        </w:rPr>
        <w:t>（投标人可根据自身情况提交与本项目相关的补充资料）</w:t>
      </w:r>
    </w:p>
    <w:p w14:paraId="1F4481DE">
      <w:pPr>
        <w:pBdr>
          <w:top w:val="none" w:color="000000" w:sz="0" w:space="0"/>
          <w:left w:val="none" w:color="000000" w:sz="0" w:space="0"/>
          <w:bottom w:val="none" w:color="000000" w:sz="0" w:space="0"/>
          <w:right w:val="none" w:color="000000" w:sz="0" w:space="0"/>
        </w:pBdr>
        <w:ind w:left="1470" w:right="1470"/>
        <w:jc w:val="both"/>
        <w:rPr>
          <w:rFonts w:hint="eastAsia" w:ascii="宋体" w:hAnsi="宋体" w:eastAsia="宋体" w:cs="宋体"/>
        </w:rPr>
      </w:pPr>
      <w:r>
        <w:rPr>
          <w:rFonts w:hint="eastAsia" w:ascii="宋体" w:hAnsi="宋体" w:eastAsia="宋体" w:cs="宋体"/>
        </w:rPr>
        <w:t> </w:t>
      </w:r>
    </w:p>
    <w:p w14:paraId="2236D6B3">
      <w:pPr>
        <w:pBdr>
          <w:top w:val="none" w:color="000000" w:sz="0" w:space="0"/>
          <w:left w:val="none" w:color="000000" w:sz="0" w:space="0"/>
          <w:bottom w:val="none" w:color="000000" w:sz="0" w:space="0"/>
          <w:right w:val="none" w:color="000000" w:sz="0" w:space="0"/>
        </w:pBdr>
        <w:ind w:left="1470" w:right="1470"/>
        <w:jc w:val="both"/>
        <w:rPr>
          <w:rFonts w:hint="eastAsia" w:ascii="宋体" w:hAnsi="宋体" w:eastAsia="宋体" w:cs="宋体"/>
        </w:rPr>
      </w:pPr>
      <w:r>
        <w:rPr>
          <w:rFonts w:hint="eastAsia" w:ascii="宋体" w:hAnsi="宋体" w:eastAsia="宋体" w:cs="宋体"/>
        </w:rPr>
        <w:t> </w:t>
      </w:r>
    </w:p>
    <w:p w14:paraId="2CD75B95">
      <w:pPr>
        <w:pBdr>
          <w:top w:val="none" w:color="000000" w:sz="0" w:space="0"/>
          <w:left w:val="none" w:color="000000" w:sz="0" w:space="0"/>
          <w:bottom w:val="none" w:color="000000" w:sz="0" w:space="0"/>
          <w:right w:val="none" w:color="000000" w:sz="0" w:space="0"/>
        </w:pBdr>
        <w:ind w:left="1470" w:right="1470"/>
        <w:jc w:val="both"/>
        <w:rPr>
          <w:rFonts w:hint="eastAsia" w:ascii="宋体" w:hAnsi="宋体" w:eastAsia="宋体" w:cs="宋体"/>
        </w:rPr>
      </w:pPr>
      <w:r>
        <w:rPr>
          <w:rFonts w:hint="eastAsia" w:ascii="宋体" w:hAnsi="宋体" w:eastAsia="宋体" w:cs="宋体"/>
        </w:rPr>
        <w:t> </w:t>
      </w:r>
    </w:p>
    <w:p w14:paraId="5CE132B4">
      <w:pPr>
        <w:pBdr>
          <w:top w:val="none" w:color="000000" w:sz="0" w:space="0"/>
          <w:left w:val="none" w:color="000000" w:sz="0" w:space="0"/>
          <w:bottom w:val="none" w:color="000000" w:sz="0" w:space="0"/>
          <w:right w:val="none" w:color="000000" w:sz="0" w:space="0"/>
        </w:pBdr>
        <w:ind w:left="1470" w:right="1470"/>
        <w:jc w:val="both"/>
        <w:rPr>
          <w:rFonts w:hint="eastAsia" w:ascii="宋体" w:hAnsi="宋体" w:eastAsia="宋体" w:cs="宋体"/>
        </w:rPr>
      </w:pPr>
      <w:r>
        <w:rPr>
          <w:rFonts w:hint="eastAsia" w:ascii="宋体" w:hAnsi="宋体" w:eastAsia="宋体" w:cs="宋体"/>
        </w:rPr>
        <w:t> </w:t>
      </w:r>
    </w:p>
    <w:p w14:paraId="4662F97C">
      <w:pPr>
        <w:pBdr>
          <w:top w:val="none" w:color="000000" w:sz="0" w:space="0"/>
          <w:left w:val="none" w:color="000000" w:sz="0" w:space="0"/>
          <w:bottom w:val="none" w:color="000000" w:sz="0" w:space="0"/>
          <w:right w:val="none" w:color="000000" w:sz="0" w:space="0"/>
        </w:pBdr>
        <w:ind w:right="1470"/>
        <w:jc w:val="both"/>
        <w:rPr>
          <w:rFonts w:hint="eastAsia" w:ascii="宋体" w:hAnsi="宋体" w:eastAsia="宋体" w:cs="宋体"/>
        </w:rPr>
      </w:pPr>
      <w:r>
        <w:rPr>
          <w:rFonts w:hint="eastAsia" w:ascii="宋体" w:hAnsi="宋体" w:eastAsia="宋体" w:cs="宋体"/>
        </w:rPr>
        <w:t> </w:t>
      </w:r>
    </w:p>
    <w:sectPr>
      <w:footerReference r:id="rId4" w:type="default"/>
      <w:pgSz w:w="11906" w:h="16838"/>
      <w:pgMar w:top="1134" w:right="1134" w:bottom="1134" w:left="1134"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F544CF1-25B5-45EC-BD02-91834FC6CDD4}"/>
  </w:font>
  <w:font w:name="Arial">
    <w:panose1 w:val="020B0604020202020204"/>
    <w:charset w:val="01"/>
    <w:family w:val="swiss"/>
    <w:pitch w:val="default"/>
    <w:sig w:usb0="E0002EFF" w:usb1="C000785B" w:usb2="00000009" w:usb3="00000000" w:csb0="400001FF" w:csb1="FFFF0000"/>
    <w:embedRegular r:id="rId2" w:fontKey="{62E6BE66-97E2-493F-BBCF-D66013C59E4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576ABC38-6238-4404-B224-058374B5EAAD}"/>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embedRegular r:id="rId4" w:fontKey="{8070ABE9-D04E-4CCE-ADE9-7482F3E09493}"/>
  </w:font>
  <w:font w:name="Arial">
    <w:panose1 w:val="020B0604020202020204"/>
    <w:charset w:val="00"/>
    <w:family w:val="auto"/>
    <w:pitch w:val="default"/>
    <w:sig w:usb0="E0002EFF" w:usb1="C000785B" w:usb2="00000009" w:usb3="00000000" w:csb0="400001FF" w:csb1="FFFF0000"/>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D8988">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20451">
    <w:pPr>
      <w:pStyle w:val="24"/>
    </w:pPr>
    <w:r>
      <mc:AlternateContent>
        <mc:Choice Requires="wps">
          <w:drawing>
            <wp:anchor distT="0" distB="0" distL="114300" distR="114300" simplePos="0" relativeHeight="251659264" behindDoc="0" locked="0" layoutInCell="1" allowOverlap="1">
              <wp:simplePos x="0" y="0"/>
              <wp:positionH relativeFrom="margin">
                <wp:posOffset>2980690</wp:posOffset>
              </wp:positionH>
              <wp:positionV relativeFrom="paragraph">
                <wp:posOffset>0</wp:posOffset>
              </wp:positionV>
              <wp:extent cx="197485" cy="2025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7485" cy="2025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C2D9B">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4.7pt;margin-top:0pt;height:15.95pt;width:15.55pt;mso-position-horizontal-relative:margin;z-index:251659264;mso-width-relative:page;mso-height-relative:page;" filled="f" stroked="f" coordsize="21600,21600" o:gfxdata="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A8+jh1wAAAAcBAAAPAAAAAAAAAAEAIAAAACIAAABkcnMvZG93bnJldi54bWxQ&#10;SwECFAAUAAAACACHTuJAE5V6KDECAABVBAAADgAAAAAAAAABACAAAAAmAQAAZHJzL2Uyb0RvYy54&#10;bWxQSwUGAAAAAAYABgBZAQAAyQUAAAAA&#10;">
              <v:fill on="f" focussize="0,0"/>
              <v:stroke on="f" weight="0.5pt"/>
              <v:imagedata o:title=""/>
              <o:lock v:ext="edit" aspectratio="f"/>
              <v:textbox inset="0mm,0mm,0mm,0mm">
                <w:txbxContent>
                  <w:p w14:paraId="090C2D9B">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09"/>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0C3"/>
    <w:rsid w:val="00174D10"/>
    <w:rsid w:val="002414A0"/>
    <w:rsid w:val="002A2745"/>
    <w:rsid w:val="003011A5"/>
    <w:rsid w:val="00382603"/>
    <w:rsid w:val="003F16BE"/>
    <w:rsid w:val="004164C8"/>
    <w:rsid w:val="005361A3"/>
    <w:rsid w:val="006D70A7"/>
    <w:rsid w:val="006E44BE"/>
    <w:rsid w:val="00726CBE"/>
    <w:rsid w:val="00740342"/>
    <w:rsid w:val="00773C7C"/>
    <w:rsid w:val="007C70C3"/>
    <w:rsid w:val="00B06E28"/>
    <w:rsid w:val="00B5382D"/>
    <w:rsid w:val="00BD5BA7"/>
    <w:rsid w:val="00BE5772"/>
    <w:rsid w:val="00BE6A5B"/>
    <w:rsid w:val="00BF7868"/>
    <w:rsid w:val="00CE1E24"/>
    <w:rsid w:val="00D94DE1"/>
    <w:rsid w:val="00DE411E"/>
    <w:rsid w:val="00E80370"/>
    <w:rsid w:val="00F16F62"/>
    <w:rsid w:val="010A29DC"/>
    <w:rsid w:val="01FD609D"/>
    <w:rsid w:val="01FE2C99"/>
    <w:rsid w:val="031A5554"/>
    <w:rsid w:val="037405E1"/>
    <w:rsid w:val="04180F6C"/>
    <w:rsid w:val="04293179"/>
    <w:rsid w:val="049752DD"/>
    <w:rsid w:val="04AD3DAA"/>
    <w:rsid w:val="04B64A7E"/>
    <w:rsid w:val="04E050B2"/>
    <w:rsid w:val="0532605E"/>
    <w:rsid w:val="056C5A14"/>
    <w:rsid w:val="05CC64B2"/>
    <w:rsid w:val="05EC26B0"/>
    <w:rsid w:val="0661309E"/>
    <w:rsid w:val="066F6E3E"/>
    <w:rsid w:val="06B86A37"/>
    <w:rsid w:val="070E2AFA"/>
    <w:rsid w:val="071C5217"/>
    <w:rsid w:val="0737494B"/>
    <w:rsid w:val="074D53D1"/>
    <w:rsid w:val="08BB69AE"/>
    <w:rsid w:val="08DC019D"/>
    <w:rsid w:val="08DF02AB"/>
    <w:rsid w:val="08F55D20"/>
    <w:rsid w:val="09304FAA"/>
    <w:rsid w:val="0A1B3564"/>
    <w:rsid w:val="0B316C9B"/>
    <w:rsid w:val="0C801DA5"/>
    <w:rsid w:val="0D1D5845"/>
    <w:rsid w:val="0D272220"/>
    <w:rsid w:val="0D3C216F"/>
    <w:rsid w:val="0E71575C"/>
    <w:rsid w:val="0E884F40"/>
    <w:rsid w:val="0EA0228A"/>
    <w:rsid w:val="0EBC363A"/>
    <w:rsid w:val="0EF95E3E"/>
    <w:rsid w:val="0FB57929"/>
    <w:rsid w:val="0FE4264A"/>
    <w:rsid w:val="10036F74"/>
    <w:rsid w:val="101316CB"/>
    <w:rsid w:val="10142F30"/>
    <w:rsid w:val="10572D77"/>
    <w:rsid w:val="111C4E7A"/>
    <w:rsid w:val="114A2981"/>
    <w:rsid w:val="11D5049D"/>
    <w:rsid w:val="11FC3C7B"/>
    <w:rsid w:val="123A0C48"/>
    <w:rsid w:val="126D2DCB"/>
    <w:rsid w:val="12D93FBD"/>
    <w:rsid w:val="12E116D5"/>
    <w:rsid w:val="13394A5B"/>
    <w:rsid w:val="13C72D3C"/>
    <w:rsid w:val="14832432"/>
    <w:rsid w:val="1530464E"/>
    <w:rsid w:val="156102B8"/>
    <w:rsid w:val="1609105D"/>
    <w:rsid w:val="16A11295"/>
    <w:rsid w:val="16DE1346"/>
    <w:rsid w:val="170D3471"/>
    <w:rsid w:val="1784740E"/>
    <w:rsid w:val="17936E30"/>
    <w:rsid w:val="18E3544F"/>
    <w:rsid w:val="18E702C9"/>
    <w:rsid w:val="18FF0FF2"/>
    <w:rsid w:val="19CF2F48"/>
    <w:rsid w:val="1A310B82"/>
    <w:rsid w:val="1AC15A62"/>
    <w:rsid w:val="1AF37BE5"/>
    <w:rsid w:val="1D6B7F07"/>
    <w:rsid w:val="1E5729D0"/>
    <w:rsid w:val="1E62755C"/>
    <w:rsid w:val="1E7814A7"/>
    <w:rsid w:val="1ECE699F"/>
    <w:rsid w:val="1F122D30"/>
    <w:rsid w:val="1F1C0DD2"/>
    <w:rsid w:val="206A0BA7"/>
    <w:rsid w:val="20A57BD4"/>
    <w:rsid w:val="21004E0A"/>
    <w:rsid w:val="212705E9"/>
    <w:rsid w:val="21845A3B"/>
    <w:rsid w:val="223034CD"/>
    <w:rsid w:val="22E95145"/>
    <w:rsid w:val="232638A1"/>
    <w:rsid w:val="2391082F"/>
    <w:rsid w:val="23CC456F"/>
    <w:rsid w:val="24294678"/>
    <w:rsid w:val="246F29D3"/>
    <w:rsid w:val="24D9609E"/>
    <w:rsid w:val="24E8008F"/>
    <w:rsid w:val="25BA5ED0"/>
    <w:rsid w:val="260D24A3"/>
    <w:rsid w:val="264C3087"/>
    <w:rsid w:val="26AA7CF2"/>
    <w:rsid w:val="26DD1E76"/>
    <w:rsid w:val="27015E22"/>
    <w:rsid w:val="270C62B7"/>
    <w:rsid w:val="270D0281"/>
    <w:rsid w:val="27435A51"/>
    <w:rsid w:val="279D58ED"/>
    <w:rsid w:val="27BA3720"/>
    <w:rsid w:val="27D112AE"/>
    <w:rsid w:val="2852419D"/>
    <w:rsid w:val="28EF7C3E"/>
    <w:rsid w:val="294F445E"/>
    <w:rsid w:val="295D54F0"/>
    <w:rsid w:val="298957BD"/>
    <w:rsid w:val="299F1898"/>
    <w:rsid w:val="29EC061F"/>
    <w:rsid w:val="2A3325E4"/>
    <w:rsid w:val="2A704DAF"/>
    <w:rsid w:val="2A705F20"/>
    <w:rsid w:val="2AE15CAC"/>
    <w:rsid w:val="2AE9690F"/>
    <w:rsid w:val="2B91392E"/>
    <w:rsid w:val="2C043A01"/>
    <w:rsid w:val="2C245E51"/>
    <w:rsid w:val="2C3818FC"/>
    <w:rsid w:val="2CDC2BCF"/>
    <w:rsid w:val="2CE101E6"/>
    <w:rsid w:val="2D095047"/>
    <w:rsid w:val="2D300825"/>
    <w:rsid w:val="2E9C1044"/>
    <w:rsid w:val="2EC4391B"/>
    <w:rsid w:val="2F745341"/>
    <w:rsid w:val="2FAD43AF"/>
    <w:rsid w:val="2FF124EE"/>
    <w:rsid w:val="30E262DA"/>
    <w:rsid w:val="313905F0"/>
    <w:rsid w:val="3152520E"/>
    <w:rsid w:val="31701B38"/>
    <w:rsid w:val="318B24CE"/>
    <w:rsid w:val="31905D36"/>
    <w:rsid w:val="31AF08B2"/>
    <w:rsid w:val="31B00187"/>
    <w:rsid w:val="31C854D0"/>
    <w:rsid w:val="32327209"/>
    <w:rsid w:val="32F3657D"/>
    <w:rsid w:val="330E785B"/>
    <w:rsid w:val="332826CA"/>
    <w:rsid w:val="338D3D76"/>
    <w:rsid w:val="33BE4DDD"/>
    <w:rsid w:val="33E83C08"/>
    <w:rsid w:val="34003E18"/>
    <w:rsid w:val="344277BC"/>
    <w:rsid w:val="352D676C"/>
    <w:rsid w:val="35696FCA"/>
    <w:rsid w:val="35D308DD"/>
    <w:rsid w:val="35E6631F"/>
    <w:rsid w:val="366F23BE"/>
    <w:rsid w:val="378A2E2C"/>
    <w:rsid w:val="38060B00"/>
    <w:rsid w:val="397877DC"/>
    <w:rsid w:val="399651CC"/>
    <w:rsid w:val="39985FFF"/>
    <w:rsid w:val="3B950B19"/>
    <w:rsid w:val="3B9528C7"/>
    <w:rsid w:val="3BED2703"/>
    <w:rsid w:val="3C8D359E"/>
    <w:rsid w:val="3D031AB2"/>
    <w:rsid w:val="3D84116E"/>
    <w:rsid w:val="3DE93535"/>
    <w:rsid w:val="3DE96EFA"/>
    <w:rsid w:val="3E39391E"/>
    <w:rsid w:val="3E52684D"/>
    <w:rsid w:val="3E570308"/>
    <w:rsid w:val="3E78202C"/>
    <w:rsid w:val="3EA572C5"/>
    <w:rsid w:val="3F0F2990"/>
    <w:rsid w:val="3F1C5008"/>
    <w:rsid w:val="40300E10"/>
    <w:rsid w:val="404228F2"/>
    <w:rsid w:val="406805AA"/>
    <w:rsid w:val="40CE4A65"/>
    <w:rsid w:val="40F57964"/>
    <w:rsid w:val="412F2E76"/>
    <w:rsid w:val="41CE1D04"/>
    <w:rsid w:val="41EF257E"/>
    <w:rsid w:val="41F45E6E"/>
    <w:rsid w:val="42F36125"/>
    <w:rsid w:val="43016A94"/>
    <w:rsid w:val="43566DE0"/>
    <w:rsid w:val="44CE67D1"/>
    <w:rsid w:val="44E4041B"/>
    <w:rsid w:val="451313F6"/>
    <w:rsid w:val="45FE72BB"/>
    <w:rsid w:val="4638488F"/>
    <w:rsid w:val="469B0FAE"/>
    <w:rsid w:val="46C16C66"/>
    <w:rsid w:val="48853CC3"/>
    <w:rsid w:val="48E21116"/>
    <w:rsid w:val="48E376BD"/>
    <w:rsid w:val="491B0C26"/>
    <w:rsid w:val="49296D45"/>
    <w:rsid w:val="493A7112"/>
    <w:rsid w:val="498B5309"/>
    <w:rsid w:val="49CA4084"/>
    <w:rsid w:val="49F17862"/>
    <w:rsid w:val="4AF9077E"/>
    <w:rsid w:val="4B0B4954"/>
    <w:rsid w:val="4B4F786C"/>
    <w:rsid w:val="4BC62629"/>
    <w:rsid w:val="4BD42F98"/>
    <w:rsid w:val="4C393BE8"/>
    <w:rsid w:val="4C63273B"/>
    <w:rsid w:val="4C7E2F03"/>
    <w:rsid w:val="4DCD5EF0"/>
    <w:rsid w:val="4EB86BA1"/>
    <w:rsid w:val="4EE41C2E"/>
    <w:rsid w:val="4EFE3A16"/>
    <w:rsid w:val="4FA233AD"/>
    <w:rsid w:val="4FD712A8"/>
    <w:rsid w:val="4FEB4D54"/>
    <w:rsid w:val="50C51101"/>
    <w:rsid w:val="50C53BB8"/>
    <w:rsid w:val="51422751"/>
    <w:rsid w:val="520957B0"/>
    <w:rsid w:val="521E24E7"/>
    <w:rsid w:val="52BD2D6A"/>
    <w:rsid w:val="52D40070"/>
    <w:rsid w:val="53110296"/>
    <w:rsid w:val="5345477B"/>
    <w:rsid w:val="54A86D6F"/>
    <w:rsid w:val="54E4423A"/>
    <w:rsid w:val="55760C1C"/>
    <w:rsid w:val="55D6223F"/>
    <w:rsid w:val="55E26EC3"/>
    <w:rsid w:val="56170651"/>
    <w:rsid w:val="56290384"/>
    <w:rsid w:val="56505911"/>
    <w:rsid w:val="573963A5"/>
    <w:rsid w:val="57BB325E"/>
    <w:rsid w:val="588819C1"/>
    <w:rsid w:val="589110F9"/>
    <w:rsid w:val="58C93758"/>
    <w:rsid w:val="58DF4D2A"/>
    <w:rsid w:val="591744C4"/>
    <w:rsid w:val="59613991"/>
    <w:rsid w:val="599F7074"/>
    <w:rsid w:val="5A8E4C59"/>
    <w:rsid w:val="5AE34FA5"/>
    <w:rsid w:val="5B4044D2"/>
    <w:rsid w:val="5D325D70"/>
    <w:rsid w:val="5D3F5111"/>
    <w:rsid w:val="5D414205"/>
    <w:rsid w:val="5D616655"/>
    <w:rsid w:val="5DBF0709"/>
    <w:rsid w:val="5DCB3ACF"/>
    <w:rsid w:val="5E4C4C10"/>
    <w:rsid w:val="5E4F64AE"/>
    <w:rsid w:val="5F3A3A12"/>
    <w:rsid w:val="5FB131D2"/>
    <w:rsid w:val="5FC6687A"/>
    <w:rsid w:val="5FDC0215"/>
    <w:rsid w:val="601D6507"/>
    <w:rsid w:val="60822B6A"/>
    <w:rsid w:val="60B757D5"/>
    <w:rsid w:val="60CF1B28"/>
    <w:rsid w:val="60DF620F"/>
    <w:rsid w:val="60F057B0"/>
    <w:rsid w:val="61486AA4"/>
    <w:rsid w:val="624F1172"/>
    <w:rsid w:val="62935DB1"/>
    <w:rsid w:val="6311467A"/>
    <w:rsid w:val="631657EC"/>
    <w:rsid w:val="63316ACA"/>
    <w:rsid w:val="634618F9"/>
    <w:rsid w:val="63936E3D"/>
    <w:rsid w:val="639704E6"/>
    <w:rsid w:val="63A27DA3"/>
    <w:rsid w:val="642D7291"/>
    <w:rsid w:val="64656A2B"/>
    <w:rsid w:val="64B11C70"/>
    <w:rsid w:val="65474383"/>
    <w:rsid w:val="65647CCC"/>
    <w:rsid w:val="66E7201D"/>
    <w:rsid w:val="670D4A21"/>
    <w:rsid w:val="675B4115"/>
    <w:rsid w:val="678216A2"/>
    <w:rsid w:val="67CA2B7C"/>
    <w:rsid w:val="67E91721"/>
    <w:rsid w:val="68000819"/>
    <w:rsid w:val="689B6CEA"/>
    <w:rsid w:val="68B24209"/>
    <w:rsid w:val="68D423D1"/>
    <w:rsid w:val="692F13B6"/>
    <w:rsid w:val="695232F6"/>
    <w:rsid w:val="6A700331"/>
    <w:rsid w:val="6B317F9D"/>
    <w:rsid w:val="6BC06C3D"/>
    <w:rsid w:val="6BDF5315"/>
    <w:rsid w:val="6BE20961"/>
    <w:rsid w:val="6C785AF0"/>
    <w:rsid w:val="6CA420BB"/>
    <w:rsid w:val="6CDA3D2E"/>
    <w:rsid w:val="6D4B15EF"/>
    <w:rsid w:val="6E557B10"/>
    <w:rsid w:val="6EA2087C"/>
    <w:rsid w:val="6EAE01D8"/>
    <w:rsid w:val="6F347726"/>
    <w:rsid w:val="6FEF5D43"/>
    <w:rsid w:val="70384FF4"/>
    <w:rsid w:val="70457711"/>
    <w:rsid w:val="707237E2"/>
    <w:rsid w:val="70730722"/>
    <w:rsid w:val="70983CE4"/>
    <w:rsid w:val="70B86DF1"/>
    <w:rsid w:val="70C26FB3"/>
    <w:rsid w:val="70D02C72"/>
    <w:rsid w:val="70FF2DCA"/>
    <w:rsid w:val="71A861A9"/>
    <w:rsid w:val="71C762D9"/>
    <w:rsid w:val="72907369"/>
    <w:rsid w:val="72E2393D"/>
    <w:rsid w:val="73403702"/>
    <w:rsid w:val="7410041A"/>
    <w:rsid w:val="74714F78"/>
    <w:rsid w:val="753328B9"/>
    <w:rsid w:val="753B0061"/>
    <w:rsid w:val="754D5C67"/>
    <w:rsid w:val="755F2CCE"/>
    <w:rsid w:val="75BF1D13"/>
    <w:rsid w:val="76654669"/>
    <w:rsid w:val="766E5C13"/>
    <w:rsid w:val="77C74EAF"/>
    <w:rsid w:val="77D84051"/>
    <w:rsid w:val="77FE4D75"/>
    <w:rsid w:val="780B1240"/>
    <w:rsid w:val="786D24FD"/>
    <w:rsid w:val="788130DA"/>
    <w:rsid w:val="78AC2A23"/>
    <w:rsid w:val="78C064CE"/>
    <w:rsid w:val="78E71CAD"/>
    <w:rsid w:val="78FD327E"/>
    <w:rsid w:val="793547C6"/>
    <w:rsid w:val="798E3290"/>
    <w:rsid w:val="79D21E6C"/>
    <w:rsid w:val="79D8066B"/>
    <w:rsid w:val="79EB757B"/>
    <w:rsid w:val="7A472D93"/>
    <w:rsid w:val="7A792DD8"/>
    <w:rsid w:val="7ACF29F8"/>
    <w:rsid w:val="7B917CAE"/>
    <w:rsid w:val="7BC40083"/>
    <w:rsid w:val="7BC462D5"/>
    <w:rsid w:val="7BFF2E69"/>
    <w:rsid w:val="7C5B205F"/>
    <w:rsid w:val="7C661A55"/>
    <w:rsid w:val="7CE309DD"/>
    <w:rsid w:val="7D32101D"/>
    <w:rsid w:val="7D4C20DE"/>
    <w:rsid w:val="7D891584"/>
    <w:rsid w:val="7DA30042"/>
    <w:rsid w:val="7E0D0DF7"/>
    <w:rsid w:val="7E1C7D03"/>
    <w:rsid w:val="7E4D5916"/>
    <w:rsid w:val="7E503E50"/>
    <w:rsid w:val="7E5B46A5"/>
    <w:rsid w:val="7EA87C4F"/>
    <w:rsid w:val="7EAB1087"/>
    <w:rsid w:val="7EBE068F"/>
    <w:rsid w:val="7EF17DA9"/>
    <w:rsid w:val="7F567244"/>
    <w:rsid w:val="7F9D1317"/>
    <w:rsid w:val="7FE17456"/>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3">
    <w:name w:val="heading 1"/>
    <w:next w:val="1"/>
    <w:link w:val="81"/>
    <w:qFormat/>
    <w:uiPriority w:val="9"/>
    <w:pPr>
      <w:keepNext/>
      <w:keepLines/>
      <w:spacing w:before="480" w:after="200"/>
      <w:outlineLvl w:val="0"/>
    </w:pPr>
    <w:rPr>
      <w:rFonts w:ascii="Arial" w:hAnsi="Arial" w:eastAsia="Arial" w:cs="Arial"/>
      <w:sz w:val="40"/>
      <w:szCs w:val="40"/>
      <w:lang w:val="en-US" w:eastAsia="zh-CN" w:bidi="ar-SA"/>
    </w:rPr>
  </w:style>
  <w:style w:type="paragraph" w:styleId="4">
    <w:name w:val="heading 2"/>
    <w:next w:val="1"/>
    <w:link w:val="82"/>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5">
    <w:name w:val="heading 3"/>
    <w:next w:val="1"/>
    <w:link w:val="83"/>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6">
    <w:name w:val="heading 4"/>
    <w:basedOn w:val="1"/>
    <w:next w:val="7"/>
    <w:link w:val="8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next w:val="1"/>
    <w:link w:val="85"/>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9">
    <w:name w:val="heading 6"/>
    <w:next w:val="1"/>
    <w:link w:val="86"/>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0">
    <w:name w:val="heading 7"/>
    <w:next w:val="1"/>
    <w:link w:val="87"/>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1">
    <w:name w:val="heading 8"/>
    <w:next w:val="1"/>
    <w:link w:val="88"/>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2">
    <w:name w:val="heading 9"/>
    <w:next w:val="1"/>
    <w:link w:val="89"/>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rPr>
  </w:style>
  <w:style w:type="paragraph" w:styleId="7">
    <w:name w:val="Normal Indent"/>
    <w:basedOn w:val="1"/>
    <w:unhideWhenUsed/>
    <w:qFormat/>
    <w:uiPriority w:val="99"/>
    <w:pPr>
      <w:ind w:firstLine="420"/>
    </w:pPr>
    <w:rPr>
      <w:b/>
      <w:sz w:val="24"/>
    </w:rPr>
  </w:style>
  <w:style w:type="paragraph" w:styleId="13">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4">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5">
    <w:name w:val="annotation text"/>
    <w:basedOn w:val="1"/>
    <w:link w:val="213"/>
    <w:semiHidden/>
    <w:unhideWhenUsed/>
    <w:qFormat/>
    <w:uiPriority w:val="99"/>
  </w:style>
  <w:style w:type="paragraph" w:styleId="16">
    <w:name w:val="Body Text"/>
    <w:basedOn w:val="1"/>
    <w:unhideWhenUsed/>
    <w:qFormat/>
    <w:uiPriority w:val="99"/>
    <w:pPr>
      <w:jc w:val="center"/>
    </w:pPr>
    <w:rPr>
      <w:rFonts w:eastAsia="幼圆"/>
      <w:b/>
      <w:bCs/>
      <w:sz w:val="44"/>
    </w:rPr>
  </w:style>
  <w:style w:type="paragraph" w:styleId="17">
    <w:name w:val="Body Text Indent"/>
    <w:basedOn w:val="1"/>
    <w:next w:val="18"/>
    <w:qFormat/>
    <w:uiPriority w:val="0"/>
    <w:pPr>
      <w:ind w:firstLine="645"/>
    </w:pPr>
    <w:rPr>
      <w:rFonts w:ascii="楷体_GB2312" w:eastAsia="楷体_GB2312"/>
      <w:sz w:val="32"/>
      <w:szCs w:val="32"/>
    </w:rPr>
  </w:style>
  <w:style w:type="paragraph" w:styleId="18">
    <w:name w:val="envelope return"/>
    <w:basedOn w:val="1"/>
    <w:qFormat/>
    <w:uiPriority w:val="0"/>
    <w:pPr>
      <w:snapToGrid w:val="0"/>
    </w:pPr>
    <w:rPr>
      <w:rFonts w:ascii="Arial" w:hAnsi="Arial" w:cs="宋体"/>
    </w:rPr>
  </w:style>
  <w:style w:type="paragraph" w:styleId="19">
    <w:name w:val="Block Text"/>
    <w:basedOn w:val="1"/>
    <w:unhideWhenUsed/>
    <w:qFormat/>
    <w:uiPriority w:val="99"/>
    <w:pPr>
      <w:ind w:left="1440" w:leftChars="700" w:right="700" w:rightChars="700"/>
    </w:pPr>
    <w:rPr>
      <w:rFonts w:ascii="Verdana" w:hAnsi="Verdana" w:cs="Times New Roman"/>
      <w:szCs w:val="20"/>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3">
    <w:name w:val="endnote text"/>
    <w:link w:val="208"/>
    <w:semiHidden/>
    <w:unhideWhenUsed/>
    <w:qFormat/>
    <w:uiPriority w:val="99"/>
    <w:rPr>
      <w:rFonts w:asciiTheme="minorHAnsi" w:hAnsiTheme="minorHAnsi" w:eastAsiaTheme="minorEastAsia" w:cstheme="minorBidi"/>
      <w:szCs w:val="22"/>
      <w:lang w:val="en-US" w:eastAsia="zh-CN" w:bidi="ar-SA"/>
    </w:rPr>
  </w:style>
  <w:style w:type="paragraph" w:styleId="24">
    <w:name w:val="footer"/>
    <w:link w:val="100"/>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header"/>
    <w:link w:val="98"/>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7">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8">
    <w:name w:val="Subtitle"/>
    <w:link w:val="93"/>
    <w:qFormat/>
    <w:uiPriority w:val="11"/>
    <w:pPr>
      <w:spacing w:before="200" w:after="200"/>
    </w:pPr>
    <w:rPr>
      <w:rFonts w:asciiTheme="minorHAnsi" w:hAnsiTheme="minorHAnsi" w:eastAsiaTheme="minorEastAsia" w:cstheme="minorBidi"/>
      <w:sz w:val="24"/>
      <w:szCs w:val="24"/>
      <w:lang w:val="en-US" w:eastAsia="zh-CN" w:bidi="ar-SA"/>
    </w:rPr>
  </w:style>
  <w:style w:type="paragraph" w:styleId="29">
    <w:name w:val="footnote text"/>
    <w:link w:val="207"/>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0">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1">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2">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3">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4">
    <w:name w:val="Title"/>
    <w:link w:val="92"/>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5">
    <w:name w:val="annotation subject"/>
    <w:basedOn w:val="15"/>
    <w:next w:val="15"/>
    <w:link w:val="214"/>
    <w:semiHidden/>
    <w:unhideWhenUsed/>
    <w:qFormat/>
    <w:uiPriority w:val="99"/>
    <w:rPr>
      <w:b/>
      <w:bCs/>
    </w:rPr>
  </w:style>
  <w:style w:type="paragraph" w:styleId="36">
    <w:name w:val="Body Text First Indent 2"/>
    <w:basedOn w:val="17"/>
    <w:next w:val="1"/>
    <w:qFormat/>
    <w:uiPriority w:val="0"/>
    <w:pPr>
      <w:spacing w:line="360" w:lineRule="auto"/>
      <w:ind w:firstLine="420" w:firstLineChars="200"/>
    </w:pPr>
    <w:rPr>
      <w:rFonts w:ascii="宋体" w:hAnsi="宋体" w:eastAsia="宋体"/>
      <w:sz w:val="21"/>
      <w:szCs w:val="20"/>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basedOn w:val="39"/>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uiPriority w:val="99"/>
    <w:rPr>
      <w:sz w:val="21"/>
      <w:szCs w:val="21"/>
    </w:rPr>
  </w:style>
  <w:style w:type="character" w:styleId="43">
    <w:name w:val="footnote reference"/>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qFormat/>
    <w:uiPriority w:val="9"/>
    <w:rPr>
      <w:rFonts w:ascii="Arial" w:hAnsi="Arial" w:eastAsia="Arial" w:cs="Arial"/>
      <w:b/>
      <w:bCs/>
      <w:sz w:val="24"/>
      <w:szCs w:val="24"/>
    </w:rPr>
  </w:style>
  <w:style w:type="character" w:customStyle="1" w:styleId="49">
    <w:name w:val="Heading 6 Char"/>
    <w:basedOn w:val="39"/>
    <w:qFormat/>
    <w:uiPriority w:val="9"/>
    <w:rPr>
      <w:rFonts w:ascii="Arial" w:hAnsi="Arial" w:eastAsia="Arial" w:cs="Arial"/>
      <w:b/>
      <w:bCs/>
      <w:sz w:val="22"/>
      <w:szCs w:val="22"/>
    </w:rPr>
  </w:style>
  <w:style w:type="character" w:customStyle="1" w:styleId="50">
    <w:name w:val="Heading 7 Char"/>
    <w:basedOn w:val="39"/>
    <w:qFormat/>
    <w:uiPriority w:val="9"/>
    <w:rPr>
      <w:rFonts w:ascii="Arial" w:hAnsi="Arial" w:eastAsia="Arial" w:cs="Arial"/>
      <w:b/>
      <w:bCs/>
      <w:i/>
      <w:iCs/>
      <w:sz w:val="22"/>
      <w:szCs w:val="22"/>
    </w:rPr>
  </w:style>
  <w:style w:type="character" w:customStyle="1" w:styleId="51">
    <w:name w:val="Heading 8 Char"/>
    <w:basedOn w:val="39"/>
    <w:qFormat/>
    <w:uiPriority w:val="9"/>
    <w:rPr>
      <w:rFonts w:ascii="Arial" w:hAnsi="Arial" w:eastAsia="Arial" w:cs="Arial"/>
      <w:i/>
      <w:iCs/>
      <w:sz w:val="22"/>
      <w:szCs w:val="22"/>
    </w:rPr>
  </w:style>
  <w:style w:type="character" w:customStyle="1" w:styleId="52">
    <w:name w:val="Heading 9 Char"/>
    <w:basedOn w:val="39"/>
    <w:qFormat/>
    <w:uiPriority w:val="9"/>
    <w:rPr>
      <w:rFonts w:ascii="Arial" w:hAnsi="Arial" w:eastAsia="Arial" w:cs="Arial"/>
      <w:i/>
      <w:iCs/>
      <w:sz w:val="21"/>
      <w:szCs w:val="21"/>
    </w:rPr>
  </w:style>
  <w:style w:type="character" w:customStyle="1" w:styleId="53">
    <w:name w:val="Title Char"/>
    <w:basedOn w:val="39"/>
    <w:qFormat/>
    <w:uiPriority w:val="10"/>
    <w:rPr>
      <w:sz w:val="48"/>
      <w:szCs w:val="48"/>
    </w:rPr>
  </w:style>
  <w:style w:type="character" w:customStyle="1" w:styleId="54">
    <w:name w:val="Subtitle Char"/>
    <w:basedOn w:val="39"/>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9"/>
    <w:qFormat/>
    <w:uiPriority w:val="99"/>
  </w:style>
  <w:style w:type="character" w:customStyle="1" w:styleId="58">
    <w:name w:val="Caption Char"/>
    <w:qFormat/>
    <w:uiPriority w:val="99"/>
  </w:style>
  <w:style w:type="table" w:customStyle="1" w:styleId="59">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37"/>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37"/>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37"/>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37"/>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37"/>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37"/>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标题1"/>
    <w:unhideWhenUsed/>
    <w:qFormat/>
    <w:uiPriority w:val="39"/>
    <w:rPr>
      <w:rFonts w:ascii="Times New Roman" w:hAnsi="Times New Roman" w:eastAsia="宋体" w:cs="Times New Roman"/>
      <w:lang w:val="en-US" w:eastAsia="zh-CN" w:bidi="ar-SA"/>
    </w:rPr>
  </w:style>
  <w:style w:type="character" w:customStyle="1" w:styleId="81">
    <w:name w:val="标题 1 字符"/>
    <w:link w:val="3"/>
    <w:qFormat/>
    <w:uiPriority w:val="9"/>
    <w:rPr>
      <w:rFonts w:ascii="Arial" w:hAnsi="Arial" w:eastAsia="Arial" w:cs="Arial"/>
      <w:sz w:val="40"/>
      <w:szCs w:val="40"/>
    </w:rPr>
  </w:style>
  <w:style w:type="character" w:customStyle="1" w:styleId="82">
    <w:name w:val="标题 2 字符"/>
    <w:link w:val="4"/>
    <w:qFormat/>
    <w:uiPriority w:val="9"/>
    <w:rPr>
      <w:rFonts w:ascii="Arial" w:hAnsi="Arial" w:eastAsia="Arial" w:cs="Arial"/>
      <w:sz w:val="34"/>
    </w:rPr>
  </w:style>
  <w:style w:type="character" w:customStyle="1" w:styleId="83">
    <w:name w:val="标题 3 字符"/>
    <w:link w:val="5"/>
    <w:qFormat/>
    <w:uiPriority w:val="9"/>
    <w:rPr>
      <w:rFonts w:ascii="Arial" w:hAnsi="Arial" w:eastAsia="Arial" w:cs="Arial"/>
      <w:sz w:val="30"/>
      <w:szCs w:val="30"/>
    </w:rPr>
  </w:style>
  <w:style w:type="character" w:customStyle="1" w:styleId="84">
    <w:name w:val="标题 4 字符"/>
    <w:link w:val="6"/>
    <w:qFormat/>
    <w:uiPriority w:val="9"/>
    <w:rPr>
      <w:rFonts w:ascii="Arial" w:hAnsi="Arial" w:eastAsia="Arial" w:cs="Arial"/>
      <w:b/>
      <w:bCs/>
      <w:sz w:val="26"/>
      <w:szCs w:val="26"/>
    </w:rPr>
  </w:style>
  <w:style w:type="character" w:customStyle="1" w:styleId="85">
    <w:name w:val="标题 5 字符"/>
    <w:link w:val="8"/>
    <w:qFormat/>
    <w:uiPriority w:val="9"/>
    <w:rPr>
      <w:rFonts w:ascii="Arial" w:hAnsi="Arial" w:eastAsia="Arial" w:cs="Arial"/>
      <w:b/>
      <w:bCs/>
      <w:sz w:val="24"/>
      <w:szCs w:val="24"/>
    </w:rPr>
  </w:style>
  <w:style w:type="character" w:customStyle="1" w:styleId="86">
    <w:name w:val="标题 6 字符"/>
    <w:link w:val="9"/>
    <w:qFormat/>
    <w:uiPriority w:val="9"/>
    <w:rPr>
      <w:rFonts w:ascii="Arial" w:hAnsi="Arial" w:eastAsia="Arial" w:cs="Arial"/>
      <w:b/>
      <w:bCs/>
      <w:sz w:val="22"/>
      <w:szCs w:val="22"/>
    </w:rPr>
  </w:style>
  <w:style w:type="character" w:customStyle="1" w:styleId="87">
    <w:name w:val="标题 7 字符"/>
    <w:link w:val="10"/>
    <w:qFormat/>
    <w:uiPriority w:val="9"/>
    <w:rPr>
      <w:rFonts w:ascii="Arial" w:hAnsi="Arial" w:eastAsia="Arial" w:cs="Arial"/>
      <w:b/>
      <w:bCs/>
      <w:i/>
      <w:iCs/>
      <w:sz w:val="22"/>
      <w:szCs w:val="22"/>
    </w:rPr>
  </w:style>
  <w:style w:type="character" w:customStyle="1" w:styleId="88">
    <w:name w:val="标题 8 字符"/>
    <w:link w:val="11"/>
    <w:qFormat/>
    <w:uiPriority w:val="9"/>
    <w:rPr>
      <w:rFonts w:ascii="Arial" w:hAnsi="Arial" w:eastAsia="Arial" w:cs="Arial"/>
      <w:i/>
      <w:iCs/>
      <w:sz w:val="22"/>
      <w:szCs w:val="22"/>
    </w:rPr>
  </w:style>
  <w:style w:type="character" w:customStyle="1" w:styleId="89">
    <w:name w:val="标题 9 字符"/>
    <w:link w:val="12"/>
    <w:qFormat/>
    <w:uiPriority w:val="9"/>
    <w:rPr>
      <w:rFonts w:ascii="Arial" w:hAnsi="Arial" w:eastAsia="Arial" w:cs="Arial"/>
      <w:i/>
      <w:iCs/>
      <w:sz w:val="21"/>
      <w:szCs w:val="21"/>
    </w:rPr>
  </w:style>
  <w:style w:type="paragraph" w:styleId="90">
    <w:name w:val="List Paragraph"/>
    <w:basedOn w:val="1"/>
    <w:qFormat/>
    <w:uiPriority w:val="34"/>
    <w:pPr>
      <w:ind w:left="720"/>
      <w:contextualSpacing/>
    </w:pPr>
  </w:style>
  <w:style w:type="paragraph" w:styleId="91">
    <w:name w:val="No Spacing"/>
    <w:qFormat/>
    <w:uiPriority w:val="1"/>
    <w:rPr>
      <w:rFonts w:asciiTheme="minorHAnsi" w:hAnsiTheme="minorHAnsi" w:eastAsiaTheme="minorEastAsia" w:cstheme="minorBidi"/>
      <w:sz w:val="21"/>
      <w:szCs w:val="22"/>
      <w:lang w:val="en-US" w:eastAsia="zh-CN" w:bidi="ar-SA"/>
    </w:rPr>
  </w:style>
  <w:style w:type="character" w:customStyle="1" w:styleId="92">
    <w:name w:val="标题 字符"/>
    <w:link w:val="34"/>
    <w:qFormat/>
    <w:uiPriority w:val="10"/>
    <w:rPr>
      <w:sz w:val="48"/>
      <w:szCs w:val="48"/>
    </w:rPr>
  </w:style>
  <w:style w:type="character" w:customStyle="1" w:styleId="93">
    <w:name w:val="副标题 字符"/>
    <w:link w:val="28"/>
    <w:qFormat/>
    <w:uiPriority w:val="11"/>
    <w:rPr>
      <w:sz w:val="24"/>
      <w:szCs w:val="24"/>
    </w:rPr>
  </w:style>
  <w:style w:type="paragraph" w:styleId="94">
    <w:name w:val="Quote"/>
    <w:link w:val="95"/>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95">
    <w:name w:val="引用 字符"/>
    <w:link w:val="94"/>
    <w:qFormat/>
    <w:uiPriority w:val="29"/>
    <w:rPr>
      <w:i/>
    </w:rPr>
  </w:style>
  <w:style w:type="paragraph" w:styleId="96">
    <w:name w:val="Intense Quote"/>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97">
    <w:name w:val="明显引用 字符"/>
    <w:link w:val="96"/>
    <w:qFormat/>
    <w:uiPriority w:val="30"/>
    <w:rPr>
      <w:i/>
    </w:rPr>
  </w:style>
  <w:style w:type="character" w:customStyle="1" w:styleId="98">
    <w:name w:val="页眉 字符"/>
    <w:link w:val="25"/>
    <w:qFormat/>
    <w:uiPriority w:val="99"/>
  </w:style>
  <w:style w:type="character" w:customStyle="1" w:styleId="99">
    <w:name w:val="Footer Char"/>
    <w:qFormat/>
    <w:uiPriority w:val="99"/>
  </w:style>
  <w:style w:type="character" w:customStyle="1" w:styleId="100">
    <w:name w:val="页脚 字符"/>
    <w:link w:val="24"/>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29"/>
    <w:qFormat/>
    <w:uiPriority w:val="99"/>
    <w:rPr>
      <w:sz w:val="18"/>
    </w:rPr>
  </w:style>
  <w:style w:type="character" w:customStyle="1" w:styleId="208">
    <w:name w:val="尾注文本 字符"/>
    <w:link w:val="23"/>
    <w:qFormat/>
    <w:uiPriority w:val="99"/>
    <w:rPr>
      <w:sz w:val="20"/>
    </w:rPr>
  </w:style>
  <w:style w:type="paragraph" w:customStyle="1" w:styleId="209">
    <w:name w:val="TOC 标题11"/>
    <w:unhideWhenUsed/>
    <w:qFormat/>
    <w:uiPriority w:val="39"/>
    <w:rPr>
      <w:rFonts w:asciiTheme="minorHAnsi" w:hAnsiTheme="minorHAnsi" w:eastAsiaTheme="minorEastAsia" w:cstheme="minorBidi"/>
      <w:sz w:val="21"/>
      <w:szCs w:val="22"/>
      <w:lang w:val="en-US" w:eastAsia="zh-CN" w:bidi="ar-SA"/>
    </w:rPr>
  </w:style>
  <w:style w:type="paragraph" w:customStyle="1" w:styleId="210">
    <w:name w:val="Table Paragraph"/>
    <w:basedOn w:val="1"/>
    <w:qFormat/>
    <w:uiPriority w:val="1"/>
    <w:rPr>
      <w:rFonts w:ascii="Calibri" w:hAnsi="Calibri"/>
      <w:sz w:val="22"/>
      <w:lang w:eastAsia="en-US"/>
    </w:rPr>
  </w:style>
  <w:style w:type="paragraph" w:customStyle="1" w:styleId="211">
    <w:name w:val="普通(网站)1"/>
    <w:basedOn w:val="1"/>
    <w:qFormat/>
    <w:uiPriority w:val="99"/>
    <w:pPr>
      <w:spacing w:before="100" w:beforeAutospacing="1" w:after="100" w:afterAutospacing="1"/>
    </w:pPr>
    <w:rPr>
      <w:rFonts w:ascii="宋体" w:hAnsi="宋体" w:cs="宋体"/>
      <w:sz w:val="24"/>
      <w:szCs w:val="24"/>
    </w:rPr>
  </w:style>
  <w:style w:type="paragraph" w:customStyle="1" w:styleId="212">
    <w:name w:val="正文文本 211"/>
    <w:basedOn w:val="1"/>
    <w:qFormat/>
    <w:uiPriority w:val="99"/>
    <w:pPr>
      <w:jc w:val="center"/>
    </w:pPr>
    <w:rPr>
      <w:b/>
      <w:bCs/>
      <w:sz w:val="20"/>
      <w:szCs w:val="20"/>
    </w:rPr>
  </w:style>
  <w:style w:type="character" w:customStyle="1" w:styleId="213">
    <w:name w:val="批注文字 字符"/>
    <w:basedOn w:val="39"/>
    <w:link w:val="15"/>
    <w:semiHidden/>
    <w:uiPriority w:val="99"/>
    <w:rPr>
      <w:rFonts w:asciiTheme="minorHAnsi" w:hAnsiTheme="minorHAnsi" w:eastAsiaTheme="minorEastAsia" w:cstheme="minorBidi"/>
      <w:sz w:val="21"/>
      <w:szCs w:val="22"/>
    </w:rPr>
  </w:style>
  <w:style w:type="character" w:customStyle="1" w:styleId="214">
    <w:name w:val="批注主题 字符"/>
    <w:basedOn w:val="213"/>
    <w:link w:val="35"/>
    <w:semiHidden/>
    <w:uiPriority w:val="99"/>
    <w:rPr>
      <w:rFonts w:asciiTheme="minorHAnsi" w:hAnsiTheme="minorHAnsi" w:eastAsiaTheme="minorEastAsia" w:cstheme="minorBidi"/>
      <w:b/>
      <w:bCs/>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22359</Words>
  <Characters>23413</Characters>
  <Lines>1417</Lines>
  <Paragraphs>1323</Paragraphs>
  <TotalTime>173</TotalTime>
  <ScaleCrop>false</ScaleCrop>
  <LinksUpToDate>false</LinksUpToDate>
  <CharactersWithSpaces>23596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2026-09-15T07:16:00Z</dcterms:created>
  <dc:creator>Apache POI</dc:creator>
  <cp:lastModifiedBy>苏雨</cp:lastModifiedBy>
  <cp:lastPrinted>2026-09-15T05:31:00Z</cp:lastPrinted>
  <dcterms:modified xsi:type="dcterms:W3CDTF">2026-09-18T08:53:46Z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eyJoZGlkIjoiOWQ2MGMwMjBkN2E3ZTAwZWM4ZDI1ZWQ2NzQ5YzQwMTEiLCJ1c2VySWQiOiI1ODkzOTU5OTUifQ==</vt:lpwstr>
  </property>
  <property fmtid="{D5CDD505-2E9C-101B-9397-08002B2CF9AE}" pid="3" name="KSOProductBuildVer">
    <vt:lpwstr>2052-12.1.0.28505</vt:lpwstr>
  </property>
  <property fmtid="{D5CDD505-2E9C-101B-9397-08002B2CF9AE}" pid="4" name="ICV">
    <vt:lpwstr>F6FB49DDA0BF4D1B82E0F071E5C67975_13</vt:lpwstr>
  </property>
</Properties>
</file>