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6"/>
        <w:ind w:firstLine="0"/>
        <w:jc w:val="center"/>
        <w:spacing w:line="360" w:lineRule="auto"/>
        <w:rPr>
          <w:rFonts w:ascii="宋体" w:hAnsi="宋体" w:cs="宋体"/>
        </w:rPr>
      </w:pPr>
      <w:r>
        <w:rPr>
          <w:rFonts w:ascii="宋体" w:hAnsi="宋体" w:cs="宋体"/>
        </w:rPr>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JSZC-320500-SZCH-G2026-0041</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采购内容：超高分辨转盘共聚焦显微镜</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2"/>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2"/>
        <w:ind w:left="0" w:firstLine="0"/>
        <w:jc w:val="center"/>
        <w:rPr>
          <w:rFonts w:ascii="宋体" w:hAnsi="宋体" w:eastAsia="宋体" w:cs="宋体"/>
        </w:rPr>
      </w:pPr>
      <w:r>
        <w:rPr>
          <w:rFonts w:ascii="宋体" w:hAnsi="宋体" w:eastAsia="宋体" w:cs="宋体"/>
        </w:rPr>
      </w:r>
      <w:r/>
    </w:p>
    <w:p>
      <w:pPr>
        <w:pStyle w:val="762"/>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w:t>
      </w:r>
      <w:r>
        <w:rPr>
          <w:rFonts w:hint="eastAsia" w:ascii="宋体" w:hAnsi="宋体" w:eastAsia="宋体" w:cs="宋体"/>
          <w:b/>
          <w:sz w:val="32"/>
          <w:szCs w:val="20"/>
          <w:shd w:val="clear" w:color="auto" w:fill="ffffff"/>
          <w:lang w:val="en-US" w:eastAsia="zh-CN"/>
        </w:rPr>
        <w:t xml:space="preserve">九</w:t>
      </w:r>
      <w:r>
        <w:rPr>
          <w:rFonts w:hint="eastAsia" w:ascii="宋体" w:hAnsi="宋体" w:eastAsia="宋体" w:cs="宋体"/>
          <w:b/>
          <w:sz w:val="32"/>
          <w:szCs w:val="20"/>
          <w:shd w:val="clear" w:color="auto" w:fill="ffffff"/>
        </w:rPr>
        <w:t xml:space="preserve">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采购内容：超高分辨转盘共聚焦显微镜</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30"/>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bookmarkStart w:id="83" w:name="_GoBack"/>
            <w:r/>
            <w:bookmarkEnd w:id="83"/>
            <w:r>
              <w:rPr>
                <w:rFonts w:hint="eastAsia" w:ascii="宋体" w:hAnsi="宋体" w:eastAsia="宋体" w:cs="宋体"/>
                <w:szCs w:val="21"/>
                <w:shd w:val="clear" w:color="auto" w:fill="ffffff"/>
                <w:lang w:eastAsia="zh-CN"/>
              </w:rPr>
              <w:t xml:space="preserve">2026年10月9日</w:t>
            </w:r>
            <w:r>
              <w:rPr>
                <w:rFonts w:hint="eastAsia" w:ascii="宋体" w:hAnsi="宋体" w:eastAsia="宋体" w:cs="宋体"/>
                <w:szCs w:val="21"/>
                <w:shd w:val="clear" w:color="auto" w:fill="ffffff"/>
                <w:lang w:val="en-US" w:eastAsia="zh-CN"/>
              </w:rPr>
              <w:t xml:space="preserve">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2026年10月9日</w:t>
            </w:r>
            <w:r>
              <w:rPr>
                <w:rFonts w:hint="eastAsia" w:ascii="宋体" w:hAnsi="宋体" w:eastAsia="宋体" w:cs="宋体"/>
                <w:szCs w:val="21"/>
                <w:shd w:val="clear" w:color="auto" w:fill="ffffff"/>
                <w:lang w:val="en-US" w:eastAsia="zh-CN"/>
              </w:rPr>
              <w:t xml:space="preserve">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需提交，中标合同金额的    %。</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 w:val="24"/>
                <w:szCs w:val="20"/>
              </w:rPr>
              <w:t xml:space="preserve">¥</w:t>
            </w:r>
            <w:r>
              <w:rPr>
                <w:rFonts w:hint="eastAsia" w:ascii="宋体" w:hAnsi="宋体" w:eastAsia="宋体" w:cs="宋体"/>
                <w:szCs w:val="21"/>
              </w:rPr>
              <w:t xml:space="preserve">10,298.00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50</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56</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59</w:t>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rPr>
          <w:rFonts w:ascii="宋体" w:hAnsi="宋体" w:eastAsia="宋体" w:cs="宋体"/>
          <w:b/>
          <w:sz w:val="24"/>
        </w:rPr>
      </w:pPr>
      <w:r>
        <w:rPr>
          <w:rFonts w:ascii="宋体" w:hAnsi="宋体" w:eastAsia="宋体" w:cs="宋体"/>
          <w:b/>
          <w:sz w:val="24"/>
        </w:rPr>
        <w:br w:type="page" w:clear="all"/>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2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超高分辨转盘共聚焦显微镜</w:t>
            </w:r>
            <w:r>
              <w:rPr>
                <w:rFonts w:hint="eastAsia" w:ascii="宋体" w:hAnsi="宋体" w:eastAsia="宋体" w:cs="宋体"/>
                <w:sz w:val="24"/>
                <w:lang w:eastAsia="zh-CN"/>
              </w:rPr>
              <w:t xml:space="preserve">JSZC-320500-SZCH-G2026-0041</w:t>
            </w:r>
            <w:r>
              <w:rPr>
                <w:rFonts w:hint="eastAsia" w:ascii="宋体" w:hAnsi="宋体" w:eastAsia="宋体" w:cs="宋体"/>
                <w:sz w:val="24"/>
              </w:rPr>
              <w:t xml:space="preserve">的潜在投标人应在江苏省政府采购一体化平台“苏采云”系统自行免费下载招标（采购）文件，并于</w:t>
            </w:r>
            <w:r>
              <w:rPr>
                <w:rFonts w:hint="eastAsia" w:ascii="宋体" w:hAnsi="宋体" w:eastAsia="宋体" w:cs="宋体"/>
                <w:sz w:val="24"/>
                <w:lang w:eastAsia="zh-CN"/>
              </w:rPr>
              <w:t xml:space="preserve">2026年10月9日</w:t>
            </w:r>
            <w:r>
              <w:rPr>
                <w:rFonts w:hint="eastAsia" w:ascii="宋体" w:hAnsi="宋体" w:eastAsia="宋体" w:cs="宋体"/>
                <w:sz w:val="24"/>
                <w:lang w:val="en-US" w:eastAsia="zh-CN"/>
              </w:rPr>
              <w:t xml:space="preserve">9</w:t>
            </w:r>
            <w:r>
              <w:rPr>
                <w:rFonts w:hint="eastAsia" w:ascii="宋体" w:hAnsi="宋体" w:eastAsia="宋体" w:cs="宋体"/>
                <w:sz w:val="24"/>
              </w:rPr>
              <w:t xml:space="preserve">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JSZC-320500-SZCH-G2026-0041</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项目名称：超高分辨转盘共聚焦显微镜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人民币（大写）：贰佰玖拾捌万元整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人民币（小写）：¥2,980,000.00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人民币（大写）：贰佰玖拾捌万元整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人民币（小写）：¥2,980,000.00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采购需求：超高分辨转盘共聚焦显微镜1套。本项目接受进口产品投标。具体采购需求详见招标文件。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合同履行期限：中标供应商应当在合同签订后3个月内将货物运送至采购人指定地点。</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3"/>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58"/>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rPr>
          <w:rFonts w:hint="eastAsia"/>
        </w:rPr>
        <w:fldChar w:fldCharType="begin"/>
      </w:r>
      <w:r>
        <w:instrText xml:space="preserve"> HYPERLINK "https://www.creditchina.gov.cn" </w:instrText>
      </w:r>
      <w:r>
        <w:rPr>
          <w:rFonts w:hint="eastAsia"/>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2、具有所投产品的合法代理资格（所投产品为国产产品的可不提供）。</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2026年10月9日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rPr>
          <w:rFonts w:hint="eastAsia"/>
        </w:rPr>
        <w:fldChar w:fldCharType="begin"/>
      </w:r>
      <w:r>
        <w:instrText xml:space="preserve"> HYPERLINK "http://jszfcg.jsczt.cn/）" </w:instrText>
      </w:r>
      <w:r>
        <w:rPr>
          <w:rFonts w:hint="eastAsia"/>
        </w:rPr>
        <w:fldChar w:fldCharType="separate"/>
      </w:r>
      <w:r>
        <w:rPr>
          <w:rStyle w:val="767"/>
          <w:rFonts w:hint="eastAsia" w:ascii="宋体" w:hAnsi="宋体" w:eastAsia="宋体" w:cs="宋体"/>
          <w:color w:val="auto"/>
          <w:sz w:val="24"/>
          <w:szCs w:val="24"/>
        </w:rPr>
        <w:t xml:space="preserve">http://jszfcg.jsczt.cn/）</w:t>
      </w:r>
      <w:r>
        <w:rPr>
          <w:rStyle w:val="767"/>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联系人：秦老师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w:t>
      </w:r>
      <w:r>
        <w:rPr>
          <w:rFonts w:ascii="宋体" w:hAnsi="宋体" w:eastAsia="宋体" w:cs="宋体"/>
          <w:sz w:val="24"/>
        </w:rPr>
        <w:t xml:space="preserve">169460</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0"/>
        <w:tblW w:w="47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73"/>
        <w:gridCol w:w="4492"/>
      </w:tblGrid>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325"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2"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2" w:type="pct"/>
            <w:vAlign w:val="center"/>
            <w:textDirection w:val="lrTb"/>
            <w:noWrap w:val="false"/>
          </w:tcPr>
          <w:p>
            <w:pPr>
              <w:jc w:val="left"/>
              <w:rPr>
                <w:rFonts w:ascii="宋体" w:hAnsi="宋体" w:eastAsia="宋体" w:cs="宋体"/>
              </w:rPr>
            </w:pPr>
            <w:r>
              <w:rPr>
                <w:rFonts w:hint="eastAsia" w:ascii="宋体" w:hAnsi="宋体" w:eastAsia="宋体" w:cs="宋体"/>
              </w:rPr>
              <w:t xml:space="preserve">供应商提供参加本次政府采购活动前一段时间内依法缴纳税收和社会保险的凭据；依法免税或不需要缴纳社会保障资金的供应商，应提供相应证明资料证明其依法免税或不需要缴纳社会保障资金。</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2" w:type="pct"/>
            <w:textDirection w:val="lrTb"/>
            <w:noWrap w:val="false"/>
          </w:tcPr>
          <w:p>
            <w:pPr>
              <w:pStyle w:val="729"/>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2</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具有所投产品的合法代理资格（所投产品为国产产品的可不提供）。</w:t>
            </w:r>
            <w:r/>
          </w:p>
        </w:tc>
        <w:tc>
          <w:tcPr>
            <w:shd w:val="clear" w:color="auto" w:fill="auto"/>
            <w:tcW w:w="2442" w:type="pct"/>
            <w:textDirection w:val="lrTb"/>
            <w:noWrap w:val="false"/>
          </w:tcPr>
          <w:p>
            <w:pPr>
              <w:pStyle w:val="729"/>
              <w:jc w:val="left"/>
              <w:spacing w:line="240" w:lineRule="auto"/>
              <w:rPr>
                <w:rFonts w:ascii="宋体" w:hAnsi="宋体" w:eastAsia="宋体" w:cs="宋体"/>
                <w:sz w:val="21"/>
              </w:rPr>
            </w:pPr>
            <w:r>
              <w:rPr>
                <w:rFonts w:hint="eastAsia" w:ascii="宋体" w:hAnsi="宋体" w:eastAsia="宋体" w:cs="宋体"/>
                <w:sz w:val="21"/>
              </w:rPr>
              <w:t xml:space="preserve">所投产品合法代理资格的证明材料扫描件（所投产品为国产产品的可不提供）</w:t>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2734"/>
        <w:gridCol w:w="6432"/>
      </w:tblGrid>
      <w:tr>
        <w:trPr>
          <w:trHeight w:val="23"/>
        </w:trPr>
        <w:tc>
          <w:tcPr>
            <w:tcW w:w="240" w:type="pct"/>
            <w:vAlign w:val="center"/>
            <w:textDirection w:val="lrTb"/>
            <w:noWrap w:val="false"/>
          </w:tcPr>
          <w:p>
            <w:pPr>
              <w:pStyle w:val="72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20" w:type="pct"/>
            <w:vAlign w:val="center"/>
            <w:textDirection w:val="lrTb"/>
            <w:noWrap w:val="false"/>
          </w:tcPr>
          <w:p>
            <w:pPr>
              <w:pStyle w:val="729"/>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39" w:type="pct"/>
            <w:vAlign w:val="center"/>
            <w:textDirection w:val="lrTb"/>
            <w:noWrap w:val="false"/>
          </w:tcPr>
          <w:p>
            <w:pPr>
              <w:pStyle w:val="72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带“★”项技术参数要求的相关佐证材料</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能直接反映该产品技术参数的官网截图或彩页或产品说明书或具有检验（检测）资质的第三方检测机构出具的有效检验（检测）报告的相关佐证材料扫描件</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5</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0"/>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bookmarkEnd w:id="27"/>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w:t>
      </w:r>
      <w:r>
        <w:rPr>
          <w:rFonts w:hint="eastAsia" w:ascii="宋体" w:hAnsi="宋体" w:eastAsia="宋体" w:cs="宋体"/>
          <w:bCs/>
          <w:sz w:val="24"/>
          <w:szCs w:val="24"/>
        </w:rPr>
        <w:t xml:space="preserve">履约保证金形式：以支票、汇票、本票或者金融机构、担保机构出具的见索即付保函等非现金形式提交（保函内容须经学校认可）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w:t>
      </w:r>
      <w:r>
        <w:rPr>
          <w:rFonts w:hint="eastAsia" w:ascii="宋体" w:hAnsi="宋体" w:eastAsia="宋体" w:cs="宋体"/>
          <w:bCs/>
          <w:sz w:val="24"/>
          <w:szCs w:val="24"/>
        </w:rPr>
        <w:t xml:space="preserve">履约保证金自货物最终验收合格之日起稳定运行1年后无息退还</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6314345"/>
      <w:r/>
      <w:bookmarkStart w:id="30" w:name="_Hlk117242692"/>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rPr>
          <w:rFonts w:hint="eastAsia"/>
        </w:rPr>
        <w:fldChar w:fldCharType="begin"/>
      </w:r>
      <w:r>
        <w:instrText xml:space="preserve"> HYPERLINK "http://www.jscredit.gov.cn/" </w:instrText>
      </w:r>
      <w:r>
        <w:rPr>
          <w:rFonts w:hint="eastAsia"/>
        </w:rP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rPr>
          <w:rFonts w:hint="eastAsia"/>
        </w:rPr>
        <w:fldChar w:fldCharType="begin"/>
      </w:r>
      <w:r>
        <w:instrText xml:space="preserve"> HYPERLINK "http://czju.suzhou.gov.cn/zfcg/html/content/20180305093615738.shtml" \t "http://czju.suzhou.gov.cn/zfcg/html/channel/_blank" \o "政府采购供应商质疑函范本" </w:instrText>
      </w:r>
      <w:r>
        <w:rPr>
          <w:rFonts w:hint="eastAsia"/>
        </w:rP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lang w:eastAsia="zh-CN"/>
        </w:rPr>
        <w:t xml:space="preserve">JSZC-320500-SZCH-G2026-0041</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w:t>
      </w:r>
      <w:r>
        <w:rPr>
          <w:rFonts w:hint="eastAsia" w:ascii="宋体" w:hAnsi="宋体" w:eastAsia="宋体" w:cs="宋体"/>
          <w:sz w:val="24"/>
          <w:szCs w:val="24"/>
        </w:rPr>
        <w:t xml:space="preserve">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eastAsia="宋体" w:cs="宋体"/>
          <w:sz w:val="24"/>
          <w:szCs w:val="24"/>
          <w:shd w:val="clear" w:color="auto" w:fill="ffffff"/>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29"/>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3"/>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19"/>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2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1"/>
        <w:ind w:left="0" w:right="0"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0"/>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3"/>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bl>
    <w:p>
      <w:pPr>
        <w:pStyle w:val="723"/>
        <w:ind w:firstLine="0"/>
        <w:jc w:val="both"/>
        <w:spacing w:line="360" w:lineRule="auto"/>
        <w:rPr>
          <w:rFonts w:ascii="宋体" w:hAnsi="宋体" w:eastAsia="宋体" w:cs="宋体"/>
          <w:b/>
          <w:szCs w:val="24"/>
        </w:rPr>
      </w:pPr>
      <w:r>
        <w:rPr>
          <w:rFonts w:ascii="宋体" w:hAnsi="宋体" w:eastAsia="宋体" w:cs="宋体"/>
          <w:b/>
          <w:szCs w:val="24"/>
        </w:rPr>
      </w:r>
      <w:r/>
    </w:p>
    <w:p>
      <w:pPr>
        <w:pStyle w:val="1033"/>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0"/>
        <w:ind w:left="0"/>
        <w:jc w:val="center"/>
        <w:spacing w:line="360" w:lineRule="auto"/>
        <w:rPr>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2"/>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0"/>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0"/>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1"/>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58"/>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58"/>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29"/>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29"/>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3"/>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超高分辨转盘共聚焦显微镜</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29"/>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3"/>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0"/>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19"/>
        <w:ind w:firstLine="480"/>
        <w:jc w:val="left"/>
        <w:spacing w:line="360" w:lineRule="auto"/>
        <w:rPr>
          <w:rFonts w:hAnsi="宋体" w:eastAsia="宋体" w:cs="宋体"/>
          <w:sz w:val="24"/>
          <w:szCs w:val="24"/>
        </w:rPr>
      </w:pPr>
      <w:r>
        <w:rPr>
          <w:rFonts w:hAnsi="宋体" w:eastAsia="宋体" w:cs="宋体"/>
          <w:sz w:val="24"/>
          <w:szCs w:val="24"/>
        </w:rPr>
      </w:r>
      <w:r/>
    </w:p>
    <w:p>
      <w:pPr>
        <w:pStyle w:val="1019"/>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19"/>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1"/>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1"/>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3642115"/>
      <w:r/>
      <w:bookmarkStart w:id="63" w:name="_Toc105940240"/>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苏州诚和招投标咨询有限公司受苏州大学的委托，就其所需的超高分辨转盘共聚焦显微镜进行国内公开招标。欢迎有资格的供应商前来参加投标（响应）。</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lang w:eastAsia="zh-CN"/>
        </w:rPr>
        <w:t xml:space="preserve">JSZC-320500-SZCH-G2026-0041</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（一）主要技术参数要求</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激光光源系统</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至少配置405</w:t>
      </w:r>
      <w:bookmarkStart w:id="66" w:name="OLE_LINK57"/>
      <w:r>
        <w:rPr>
          <w:rFonts w:hint="eastAsia" w:ascii="宋体" w:hAnsi="宋体" w:eastAsia="宋体" w:cs="宋体"/>
          <w:bCs/>
          <w:sz w:val="24"/>
          <w:szCs w:val="24"/>
        </w:rPr>
        <w:t xml:space="preserve">±5</w:t>
      </w:r>
      <w:bookmarkEnd w:id="66"/>
      <w:r>
        <w:rPr>
          <w:rFonts w:hint="eastAsia" w:ascii="宋体" w:hAnsi="宋体" w:eastAsia="宋体" w:cs="宋体"/>
          <w:bCs/>
          <w:sz w:val="24"/>
          <w:szCs w:val="24"/>
          <w:lang w:eastAsia="zh-TW"/>
        </w:rPr>
        <w:t xml:space="preserve">nm、488</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nm、561</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nm、640</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nm等四个高功率激光器，能够适用可见光范围内不同荧光染料进行成像。</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转盘式超高分辨系统</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2.1扫描单元：配置针孔直径≥50</w:t>
      </w:r>
      <w:r>
        <w:rPr>
          <w:rFonts w:hint="eastAsia" w:ascii="宋体" w:hAnsi="宋体" w:eastAsia="宋体" w:cs="宋体"/>
          <w:bCs/>
          <w:sz w:val="24"/>
          <w:szCs w:val="24"/>
        </w:rPr>
        <w:t xml:space="preserve">μm</w:t>
      </w:r>
      <w:r>
        <w:rPr>
          <w:rFonts w:hint="eastAsia" w:ascii="宋体" w:hAnsi="宋体" w:eastAsia="宋体" w:cs="宋体"/>
          <w:bCs/>
          <w:sz w:val="24"/>
          <w:szCs w:val="24"/>
          <w:lang w:eastAsia="zh-TW"/>
        </w:rPr>
        <w:t xml:space="preserve">，微透镜增强型双层</w:t>
      </w:r>
      <w:r>
        <w:rPr>
          <w:rFonts w:hint="eastAsia" w:ascii="宋体" w:hAnsi="宋体" w:eastAsia="宋体" w:cs="宋体"/>
          <w:bCs/>
          <w:sz w:val="24"/>
          <w:szCs w:val="24"/>
        </w:rPr>
        <w:t xml:space="preserve">同步</w:t>
      </w:r>
      <w:r>
        <w:rPr>
          <w:rFonts w:hint="eastAsia" w:ascii="宋体" w:hAnsi="宋体" w:eastAsia="宋体" w:cs="宋体"/>
          <w:bCs/>
          <w:sz w:val="24"/>
          <w:szCs w:val="24"/>
          <w:lang w:eastAsia="zh-TW"/>
        </w:rPr>
        <w:t xml:space="preserve">转盘扫描头；</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2.2转盘最大转速≤4</w:t>
      </w:r>
      <w:r>
        <w:rPr>
          <w:rFonts w:hint="eastAsia" w:ascii="宋体" w:hAnsi="宋体" w:eastAsia="宋体" w:cs="宋体"/>
          <w:bCs/>
          <w:sz w:val="24"/>
          <w:szCs w:val="24"/>
        </w:rPr>
        <w:t xml:space="preserve">2</w:t>
      </w:r>
      <w:r>
        <w:rPr>
          <w:rFonts w:hint="eastAsia" w:ascii="宋体" w:hAnsi="宋体" w:eastAsia="宋体" w:cs="宋体"/>
          <w:bCs/>
          <w:sz w:val="24"/>
          <w:szCs w:val="24"/>
          <w:lang w:eastAsia="zh-TW"/>
        </w:rPr>
        <w:t xml:space="preserve">00rpm，共聚焦模式支持最大扫描帧率≥200fps，超高分辨采集速度≤5ms/f；</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2.3成像模式：支持宽场荧光/转盘共聚焦/超分辨成像/明场成像/活细胞成像等电动切换；</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2.4</w:t>
      </w:r>
      <w:r>
        <w:rPr>
          <w:rFonts w:hint="eastAsia" w:ascii="宋体" w:hAnsi="宋体" w:eastAsia="宋体" w:cs="宋体"/>
          <w:bCs/>
          <w:sz w:val="24"/>
          <w:szCs w:val="24"/>
        </w:rPr>
        <w:t xml:space="preserve">显微镜主机同品牌超高分辨硬件模块</w:t>
      </w:r>
      <w:r>
        <w:rPr>
          <w:rFonts w:hint="eastAsia" w:ascii="宋体" w:hAnsi="宋体" w:eastAsia="宋体" w:cs="宋体"/>
          <w:bCs/>
          <w:sz w:val="24"/>
          <w:szCs w:val="24"/>
          <w:lang w:eastAsia="zh-TW"/>
        </w:rPr>
        <w:t xml:space="preserve">：至少包含≥1x、≥3x两种电动变倍可调，匹配共聚焦和超高分辨率两种成像模式，通过光学变倍体实现光学的超高分辨，超高分辨率成像适用物镜倍数</w:t>
      </w:r>
      <w:r>
        <w:rPr>
          <w:rFonts w:hint="eastAsia" w:ascii="宋体" w:hAnsi="宋体" w:eastAsia="宋体" w:cs="宋体"/>
          <w:bCs/>
          <w:sz w:val="24"/>
          <w:szCs w:val="24"/>
        </w:rPr>
        <w:t xml:space="preserve">至少包含（30</w:t>
      </w:r>
      <w:r>
        <w:rPr>
          <w:rFonts w:hint="eastAsia" w:ascii="宋体" w:hAnsi="宋体" w:eastAsia="宋体" w:cs="宋体"/>
          <w:bCs/>
          <w:sz w:val="24"/>
          <w:szCs w:val="24"/>
          <w:lang w:eastAsia="zh-TW"/>
        </w:rPr>
        <w:t xml:space="preserve">X</w:t>
      </w:r>
      <w:r>
        <w:rPr>
          <w:rFonts w:hint="eastAsia" w:ascii="宋体" w:hAnsi="宋体" w:eastAsia="宋体" w:cs="宋体"/>
          <w:bCs/>
          <w:sz w:val="24"/>
          <w:szCs w:val="24"/>
        </w:rPr>
        <w:t xml:space="preserve">，40X,60/63X,100X)</w:t>
      </w:r>
      <w:r>
        <w:rPr>
          <w:rFonts w:hint="eastAsia" w:ascii="宋体" w:hAnsi="宋体" w:eastAsia="宋体" w:cs="宋体"/>
          <w:bCs/>
          <w:sz w:val="24"/>
          <w:szCs w:val="24"/>
          <w:lang w:eastAsia="zh-TW"/>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2.5实时同步控制模块：并行控制部件，独立于电脑的中央控制器，可以根据指令自行调整各硬件同步工作状态；</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2.5.1具备相机触发端口，不少于</w:t>
      </w:r>
      <w:r>
        <w:rPr>
          <w:rFonts w:hint="eastAsia" w:ascii="宋体" w:hAnsi="宋体" w:eastAsia="宋体" w:cs="宋体"/>
          <w:bCs/>
          <w:sz w:val="24"/>
          <w:szCs w:val="24"/>
        </w:rPr>
        <w:t xml:space="preserve">8</w:t>
      </w:r>
      <w:r>
        <w:rPr>
          <w:rFonts w:hint="eastAsia" w:ascii="宋体" w:hAnsi="宋体" w:eastAsia="宋体" w:cs="宋体"/>
          <w:bCs/>
          <w:sz w:val="24"/>
          <w:szCs w:val="24"/>
          <w:lang w:eastAsia="zh-TW"/>
        </w:rPr>
        <w:t xml:space="preserve">个模拟信号输出端口和</w:t>
      </w:r>
      <w:r>
        <w:rPr>
          <w:rFonts w:hint="eastAsia" w:ascii="宋体" w:hAnsi="宋体" w:eastAsia="宋体" w:cs="宋体"/>
          <w:bCs/>
          <w:sz w:val="24"/>
          <w:szCs w:val="24"/>
        </w:rPr>
        <w:t xml:space="preserve">8</w:t>
      </w:r>
      <w:r>
        <w:rPr>
          <w:rFonts w:hint="eastAsia" w:ascii="宋体" w:hAnsi="宋体" w:eastAsia="宋体" w:cs="宋体"/>
          <w:bCs/>
          <w:sz w:val="24"/>
          <w:szCs w:val="24"/>
          <w:lang w:eastAsia="zh-TW"/>
        </w:rPr>
        <w:t xml:space="preserve">数字信号输出端口；</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2.5.2多命令间隔时间≤0.2ms,时间精度≤0.005ms；</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2.6超高分辨硬件模块：非软件算法后期计算所得，可实现XY分辨率≤120nm，Z分辨率≤300nm；超高分辨率成像不依赖特定激光波段，不需使用特殊荧光染料。</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高灵敏度成像系统：大靶面sCMOS，像素≥5</w:t>
      </w:r>
      <w:r>
        <w:rPr>
          <w:rFonts w:hint="eastAsia" w:ascii="宋体" w:hAnsi="宋体" w:eastAsia="宋体" w:cs="宋体"/>
          <w:bCs/>
          <w:sz w:val="24"/>
          <w:szCs w:val="24"/>
        </w:rPr>
        <w:t xml:space="preserve">0</w:t>
      </w:r>
      <w:r>
        <w:rPr>
          <w:rFonts w:hint="eastAsia" w:ascii="宋体" w:hAnsi="宋体" w:eastAsia="宋体" w:cs="宋体"/>
          <w:bCs/>
          <w:sz w:val="24"/>
          <w:szCs w:val="24"/>
          <w:lang w:eastAsia="zh-TW"/>
        </w:rPr>
        <w:t xml:space="preserve">0万像素；单像素大小≥6.5×6.5μm；感光芯片≥14mm×14mm；高量子效率，峰值QE≥95%；高动态范围成像，位深≥16bit。</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全电动显微镜光学系统</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4.1 具备多种观察方式，包括明场、相差、DIC微分干涉、荧光等；</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4.2 显微镜镜体内置中间变倍器，提供≥3档可选倍率；</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4.3 电动控制Z轴，Z轴行程≥10mm；最小Z轴步进精度≤10nm；最大调节速度≥3mm/s；</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4.4电动滤色镜转盘：≥8孔位，无需拆卸更换激发块，内置电动光闸；</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4.5 电动聚光镜：≥7孔位，数值孔径N.A.≥0.55，工作距离W.D.≥27mm；</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4.6 荧光光源：高亮度LED光源，光源寿命≥20000小时。可通过软件控制光强，步进精度</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1%。TTL独立控制每个通道，开关速度≤10μs；</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4.7 明场光源：高亮度白光LED光源，可软件调节大小；</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 </w:t>
      </w:r>
      <w:r>
        <w:rPr>
          <w:rFonts w:hint="eastAsia" w:ascii="宋体" w:hAnsi="宋体" w:eastAsia="宋体" w:cs="宋体"/>
          <w:bCs/>
          <w:sz w:val="24"/>
          <w:szCs w:val="24"/>
          <w:lang w:eastAsia="zh-TW"/>
        </w:rPr>
        <w:t xml:space="preserve">共聚焦专用物镜，齐焦距离≤50mm；</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4.8.1  10×干镜，数值孔径NA≥0.40；</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4.8.2  20×干镜，数值孔径NA≥0.8；</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3</w:t>
      </w:r>
      <w:r>
        <w:rPr>
          <w:rFonts w:hint="eastAsia" w:ascii="宋体" w:hAnsi="宋体" w:eastAsia="宋体" w:cs="宋体"/>
          <w:bCs/>
          <w:sz w:val="24"/>
          <w:szCs w:val="24"/>
          <w:lang w:eastAsia="zh-TW"/>
        </w:rPr>
        <w:t xml:space="preserve">  40×干镜，数值孔径NA≥0.95；</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4</w:t>
      </w:r>
      <w:r>
        <w:rPr>
          <w:rFonts w:hint="eastAsia" w:ascii="宋体" w:hAnsi="宋体" w:eastAsia="宋体" w:cs="宋体"/>
          <w:bCs/>
          <w:sz w:val="24"/>
          <w:szCs w:val="24"/>
          <w:lang w:eastAsia="zh-TW"/>
        </w:rPr>
        <w:t xml:space="preserve">  60×/63×油镜，数值孔径NA≥1.</w:t>
      </w:r>
      <w:r>
        <w:rPr>
          <w:rFonts w:hint="eastAsia" w:ascii="宋体" w:hAnsi="宋体" w:eastAsia="宋体" w:cs="宋体"/>
          <w:bCs/>
          <w:sz w:val="24"/>
          <w:szCs w:val="24"/>
        </w:rPr>
        <w:t xml:space="preserve">48</w:t>
      </w:r>
      <w:r>
        <w:rPr>
          <w:rFonts w:hint="eastAsia" w:ascii="宋体" w:hAnsi="宋体" w:eastAsia="宋体" w:cs="宋体"/>
          <w:bCs/>
          <w:sz w:val="24"/>
          <w:szCs w:val="24"/>
          <w:lang w:eastAsia="zh-TW"/>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  100×油镜，数值孔径NA≥1.</w:t>
      </w:r>
      <w:r>
        <w:rPr>
          <w:rFonts w:hint="eastAsia" w:ascii="宋体" w:hAnsi="宋体" w:eastAsia="宋体" w:cs="宋体"/>
          <w:bCs/>
          <w:sz w:val="24"/>
          <w:szCs w:val="24"/>
        </w:rPr>
        <w:t xml:space="preserve">42</w:t>
      </w:r>
      <w:r>
        <w:rPr>
          <w:rFonts w:hint="eastAsia" w:ascii="宋体" w:hAnsi="宋体" w:eastAsia="宋体" w:cs="宋体"/>
          <w:bCs/>
          <w:sz w:val="24"/>
          <w:szCs w:val="24"/>
          <w:lang w:eastAsia="zh-TW"/>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4.9 明场观察附件：全套微分干涉附件，配备起偏镜、检偏镜；</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4.10 精准电动载物台，XY精度≤0.1μm，同时配有扫描台控制手柄。</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4.11 活细胞CO</w:t>
      </w:r>
      <w:r>
        <w:rPr>
          <w:rFonts w:hint="eastAsia" w:ascii="宋体" w:hAnsi="宋体" w:eastAsia="宋体" w:cs="宋体"/>
          <w:bCs/>
          <w:sz w:val="24"/>
          <w:szCs w:val="24"/>
          <w:vertAlign w:val="subscript"/>
        </w:rPr>
        <w:t xml:space="preserve">2</w:t>
      </w:r>
      <w:r>
        <w:rPr>
          <w:rFonts w:hint="eastAsia" w:ascii="宋体" w:hAnsi="宋体" w:eastAsia="宋体" w:cs="宋体"/>
          <w:bCs/>
          <w:sz w:val="24"/>
          <w:szCs w:val="24"/>
        </w:rPr>
        <w:t xml:space="preserve">培养系统：能够提供细胞生长所需的环境条件。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4.12 Z轴硬件防漂移系统：可自动对共聚焦小皿或玻片样品进行自动聚焦。</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软件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1图形化编程系统，可自定义设计复杂流程实验，支持自动对实验流程进行验证。配合时序管理器和实时采集模块，支持不同成像任务之间按编辑逻辑快速切换，保证时间分辨率和数据完整性。可保存流程图和参数，支持随时调用查看</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.2调节亮度、对比度、伽玛值以及灰度显示范围，并可以单独调节RGB各通道的亮度，可以改变图像分辨率、旋转图像等各种操作，支持反转、低通、高通、锐化等滤镜</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.3支持电动载物台进行切片和多孔板等全区域扫描，并提供整体图像相对位置的参照；可以进行自动多点位采集，大标本的高分辨率全视野图像采集，具备自动对焦地形图功能</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.4超高分辨算法，系统配备智能超高分辨算法，根据实验样品的状况可自动匹配最合适的超高分辨处理参数，超高分辨算法支持10个以上不同的处理等级，并满足≥25X物镜超高分辨成像需求</w:t>
      </w:r>
      <w:r>
        <w:rPr>
          <w:rFonts w:hint="eastAsia" w:ascii="宋体" w:hAnsi="宋体" w:eastAsia="宋体" w:cs="宋体"/>
          <w:bCs/>
          <w:sz w:val="24"/>
          <w:szCs w:val="24"/>
        </w:rPr>
        <w:t xml:space="preserve">；算法带有3D处理模式实现Z轴最高分辨率</w:t>
      </w:r>
      <w:r>
        <w:rPr>
          <w:rStyle w:val="770"/>
          <w:rFonts w:hint="eastAsia" w:ascii="Calibri" w:hAnsi="Calibri" w:eastAsia="楷体_GB2312" w:cs="Times New Roman"/>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.5阴影校准算法，支持计算导致拼接图像阴影的原因，并在采集拼接图像后实时自动去除</w:t>
      </w:r>
      <w:r>
        <w:rPr>
          <w:rFonts w:hint="eastAsia" w:ascii="宋体" w:hAnsi="宋体" w:eastAsia="宋体" w:cs="宋体"/>
          <w:bCs/>
          <w:sz w:val="24"/>
          <w:szCs w:val="24"/>
        </w:rPr>
        <w:t xml:space="preserve">拼接</w:t>
      </w:r>
      <w:r>
        <w:rPr>
          <w:rFonts w:hint="eastAsia" w:ascii="宋体" w:hAnsi="宋体" w:eastAsia="宋体" w:cs="宋体"/>
          <w:bCs/>
          <w:sz w:val="24"/>
          <w:szCs w:val="24"/>
          <w:lang w:eastAsia="zh-TW"/>
        </w:rPr>
        <w:t xml:space="preserve">阴影。用户可选是否启用该功能。</w:t>
      </w:r>
      <w:r/>
    </w:p>
    <w:p>
      <w:pPr>
        <w:ind w:firstLine="482"/>
        <w:jc w:val="left"/>
        <w:spacing w:line="360" w:lineRule="auto"/>
        <w:rPr>
          <w:rFonts w:ascii="宋体" w:hAnsi="宋体" w:eastAsia="宋体" w:cs="宋体"/>
          <w:b/>
          <w:sz w:val="24"/>
          <w:szCs w:val="24"/>
          <w:lang w:eastAsia="zh-TW"/>
        </w:rPr>
        <w:outlineLvl w:val="1"/>
      </w:pPr>
      <w:r>
        <w:rPr>
          <w:rFonts w:hint="eastAsia" w:ascii="宋体" w:hAnsi="宋体" w:eastAsia="宋体" w:cs="宋体"/>
          <w:bCs/>
          <w:sz w:val="24"/>
          <w:szCs w:val="24"/>
        </w:rPr>
        <w:t xml:space="preserve">6、</w:t>
      </w:r>
      <w:r>
        <w:rPr>
          <w:rFonts w:hint="eastAsia" w:ascii="宋体" w:hAnsi="宋体" w:eastAsia="宋体" w:cs="宋体"/>
          <w:bCs/>
          <w:sz w:val="24"/>
          <w:szCs w:val="24"/>
          <w:lang w:eastAsia="zh-TW"/>
        </w:rPr>
        <w:t xml:space="preserve">防震台：专用气垫式防震工作台。</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带“★”项为实质性响应内容，投标人须全部满足，不得存在负偏离。以投标人提供的能直接反映该产品技术参数的官网或彩页或产品说明书或具有检验（检测）资质的第三方检测机构出具的有效检验（检测）报告的相关佐证材料作为主要评判依据。否则将视为未实质性响应招标文件，其投标将被否决（作无效投标处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（二）配置清单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1、全电动倒置显微镜1套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2、超高分辨转盘共聚焦模块1套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3、配套软件1套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4、计算工作站1套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5、防震台1套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1、交付流程：中标供应商应当在合同签订后3个月内将货物运送至采购人指定地点。</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（四）验收标准</w:t>
      </w:r>
      <w:r/>
    </w:p>
    <w:p>
      <w:pPr>
        <w:ind w:firstLine="482"/>
        <w:jc w:val="left"/>
        <w:spacing w:line="360" w:lineRule="auto"/>
        <w:rPr>
          <w:rFonts w:ascii="宋体" w:hAnsi="宋体" w:eastAsia="宋体" w:cs="宋体"/>
          <w:bCs/>
          <w:sz w:val="24"/>
          <w:szCs w:val="24"/>
        </w:rPr>
        <w:outlineLvl w:val="1"/>
      </w:pPr>
      <w:r/>
      <w:bookmarkStart w:id="67" w:name="_Hlk234652762"/>
      <w:r>
        <w:rPr>
          <w:rFonts w:hint="eastAsia" w:ascii="宋体" w:hAnsi="宋体" w:eastAsia="宋体" w:cs="宋体"/>
          <w:bCs/>
          <w:sz w:val="24"/>
          <w:szCs w:val="24"/>
        </w:rPr>
        <w:t xml:space="preserve">按采购文件列出的技术指标，国际、国家相关标准、行业通行标准及厂方出厂标准进行验收。</w:t>
      </w:r>
      <w:bookmarkEnd w:id="67"/>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（五）质保服务要求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1、设备免费质保期不少于3年，自最终验收完成合格之日起算；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（六）付款条款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本项目接受进口产品投标，付款方式根据是否为进口产品分为下列情况：</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签字盖章的验收报告后支付。</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（七）报价要求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如投标产品为进口产品，投标响应报价必须报进口免税价。进口免税价须包含在采购人指定地点交货的，除进口关税和进口增值税外的全部费用，并包含进口代理服务费、安装、调试、培训和检测等的全部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报价时应充分考虑所有可能影响到报价的因素，一旦评审结束最终成交，如发生漏、缺、少项都将被认为是成交供应商的报价让利行为，损失自负。如投标产品为进口产品，一切汇率波动的风险由供应商承担。</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国内运费、报关费用、港杂费用、港口至采购人目的现场运保费、办理各项证书、代理报酬等一切进口相关费用；但不包含货款、进口关税、进口增值税等法定税费。</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Cs/>
          <w:sz w:val="24"/>
          <w:szCs w:val="24"/>
        </w:rPr>
        <w:t xml:space="preserve">代理服务费收费标准如下：</w:t>
      </w:r>
      <w:r/>
    </w:p>
    <w:tbl>
      <w:tblPr>
        <w:tblStyle w:val="720"/>
        <w:tblW w:w="8373" w:type="dxa"/>
        <w:jc w:val="center"/>
        <w:tblLayout w:type="fixed"/>
        <w:tblCellMar>
          <w:left w:w="0" w:type="dxa"/>
          <w:top w:w="0" w:type="dxa"/>
          <w:right w:w="0" w:type="dxa"/>
          <w:bottom w:w="0" w:type="dxa"/>
        </w:tblCellMar>
        <w:tblLook w:val="04A0" w:firstRow="1" w:lastRow="0" w:firstColumn="1" w:lastColumn="0" w:noHBand="0" w:noVBand="1"/>
      </w:tblPr>
      <w:tblGrid>
        <w:gridCol w:w="4562"/>
        <w:gridCol w:w="3811"/>
      </w:tblGrid>
      <w:tr>
        <w:trPr>
          <w:jc w:val="center"/>
          <w:trHeight w:val="45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合同价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（单位：万美元）</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1美元代理服务费报价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（单位：元人民币）</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合同价≤1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0.19</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1＜合同价≤3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0.14</w:t>
            </w:r>
            <w:r/>
          </w:p>
        </w:tc>
      </w:tr>
      <w:tr>
        <w:trPr>
          <w:jc w:val="cente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3＜合同价≤5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0.12</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5＜合同价≤10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0.10</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10＜合同价≤20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0.067</w:t>
            </w:r>
            <w:r/>
          </w:p>
        </w:tc>
      </w:tr>
      <w:tr>
        <w:trPr>
          <w:jc w:val="cente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20＜合同价≤30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0.046</w:t>
            </w:r>
            <w:r/>
          </w:p>
        </w:tc>
      </w:tr>
      <w:tr>
        <w:trPr>
          <w:jc w:val="cente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30＜合同价≤100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0.034</w:t>
            </w:r>
            <w:r/>
          </w:p>
        </w:tc>
      </w:tr>
      <w:tr>
        <w:trPr>
          <w:jc w:val="cente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0.03</w:t>
            </w:r>
            <w:r/>
          </w:p>
        </w:tc>
      </w:tr>
    </w:tbl>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注：美元汇率以中标合同签订当日中国银行外汇卖出牌价为准。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（八）采购主要标的物数量、交付期及交付方式、付款方式、质保期、质保方式及带“★”项参数属于实质性响应要求，不得出现负偏离，否则视为无效投标。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4、售后服务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6、单位负责人为同一人或者存在直接控股、管理关系的不同供应商，不得参加同一合同项下的政府采购活动。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7、为本项目提供整体设计、规范编制或者项目管理、监理、监测等服务的供应商，不得再参加该采购项目的其他采购活动。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8、如接受进口产品投标的项目，优先采购向我国企业转让技术、与我国企业签订消化吸收再创新方案的供应商的进口产品。</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9、采购项目需要落实的政府采购政策：</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9.1根据财政部、工业和信息化部关于印发《政府采购促进中小企业发展管理办法》的规定执行。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9.2根据财政部、司法部《关于政府采购支持监狱企业发展有关问题的通知》（财库〔2014〕68号）的规定执行。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9.3根据财政部、民政部、中国残疾人联合会《关于促进残疾人就业政府采购政策的通知》（财库〔2017〕141号）的规定执行。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9.4绿色采购（本项目不涉及节能环保产品采购）</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10、凡涉及采购文件的补充说明和修改，均以政府采购网所发布的公告为准。</w:t>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5"/>
        <w:rPr>
          <w:rFonts w:hAnsi="宋体"/>
        </w:rPr>
      </w:pPr>
      <w:r>
        <w:rPr>
          <w:rFonts w:hAnsi="宋体"/>
        </w:rPr>
      </w:r>
      <w:r/>
    </w:p>
    <w:p>
      <w:pPr>
        <w:pStyle w:val="73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68" w:name="_Toc396747046"/>
      <w:r/>
      <w:bookmarkStart w:id="69" w:name="_Toc105940241"/>
      <w:r>
        <w:rPr>
          <w:rFonts w:hint="eastAsia" w:ascii="宋体" w:hAnsi="宋体" w:eastAsia="宋体" w:cs="宋体"/>
          <w:b/>
          <w:sz w:val="48"/>
          <w:szCs w:val="48"/>
          <w:shd w:val="clear" w:color="auto" w:fill="ffffff"/>
        </w:rPr>
        <w:t xml:space="preserve">第五章 合同主要条款</w:t>
      </w:r>
      <w:bookmarkEnd w:id="68"/>
      <w:r/>
      <w:bookmarkEnd w:id="69"/>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70" w:name="_Toc13642118"/>
      <w:r/>
      <w:bookmarkStart w:id="71" w:name="_Toc13889378"/>
      <w:r>
        <w:rPr>
          <w:rFonts w:hint="eastAsia" w:ascii="宋体" w:hAnsi="宋体" w:eastAsia="宋体" w:cs="宋体"/>
          <w:b/>
          <w:sz w:val="44"/>
        </w:rPr>
        <w:t xml:space="preserve">政府采购合同书</w:t>
      </w:r>
      <w:r/>
    </w:p>
    <w:p>
      <w:pPr>
        <w:ind w:right="960" w:firstLine="480"/>
        <w:jc w:val="center"/>
        <w:spacing w:line="360" w:lineRule="auto"/>
        <w:rPr>
          <w:b/>
          <w:sz w:val="24"/>
        </w:rPr>
      </w:pPr>
      <w:r>
        <w:rPr>
          <w:rFonts w:hint="eastAsia"/>
          <w:b/>
          <w:sz w:val="24"/>
        </w:rPr>
        <w:t xml:space="preserve"> </w:t>
      </w:r>
      <w:r>
        <w:rPr>
          <w:b/>
          <w:sz w:val="24"/>
        </w:rPr>
        <w:t xml:space="preserve">                                  </w:t>
      </w: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乙方根据甲方需求提供下列货物：</w:t>
      </w:r>
      <w:r/>
    </w:p>
    <w:tbl>
      <w:tblPr>
        <w:tblStyle w:val="720"/>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设备配置、技术指标、安装条件及验收指标等详见附件一技术协议。</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本合同总价款涵盖货物从设计、制造、包装、仓储、运输、安装直至验收合格之前的全部含税费用，以及保修期内备品备件相关的所有含税费用（进口设备</w:t>
      </w:r>
      <w:r>
        <w:rPr>
          <w:rFonts w:hint="eastAsia" w:ascii="宋体" w:hAnsi="宋体" w:eastAsia="宋体" w:cs="宋体"/>
          <w:bCs/>
          <w:sz w:val="24"/>
          <w:szCs w:val="24"/>
        </w:rPr>
        <w:t xml:space="preserve">除进口关税和进口增值税</w:t>
      </w:r>
      <w:r>
        <w:rPr>
          <w:rFonts w:hint="eastAsia" w:ascii="宋体" w:hAnsi="宋体" w:eastAsia="宋体" w:cs="宋体"/>
          <w:sz w:val="24"/>
          <w:szCs w:val="24"/>
        </w:rPr>
        <w:t xml:space="preserve">）。乙方依约应提供的伴随服务及售后服务所涉费用，亦包含在本合同总价款内。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第三条  权利保证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第四条  质量保证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第五条  包装要求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第六条  交货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1、乙方应当在合同签订</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个月内将货物运送至采购人指定地点。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交货地址：</w:t>
      </w:r>
      <w:r>
        <w:rPr>
          <w:rFonts w:hint="eastAsia" w:ascii="宋体" w:hAnsi="宋体" w:eastAsia="宋体" w:cs="宋体"/>
          <w:sz w:val="24"/>
          <w:szCs w:val="24"/>
          <w:u w:val="single"/>
        </w:rPr>
        <w:t xml:space="preserve">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收货人及联系方式：</w:t>
      </w:r>
      <w:r>
        <w:rPr>
          <w:rFonts w:hint="eastAsia" w:ascii="宋体" w:hAnsi="宋体" w:eastAsia="宋体" w:cs="宋体"/>
          <w:sz w:val="24"/>
          <w:szCs w:val="24"/>
          <w:u w:val="single"/>
        </w:rPr>
        <w:t xml:space="preserve">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第七条 安装调试、培训和验收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2、甲方应当在乙方安装调试完成后的 5个工作日内对货物进行验收，验收合格的，由甲方签署验收单并加盖单位公章。特殊情况，甲乙双方协商解决。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货物安装调试完成后，按乙方投标文件中列明的技术指标进行逐项测试，除满足上述技术指标外，本合同未规定的其他指标应按国家相关标准、行业通行标准及厂方出厂标准进行验收。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且要求乙方退还甲方已支付的全部款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如果双方对验收结果有争议，可委托双方一致认可的国家相关权威检测中心进行检测，以检测结果作为最终验收结果，费用由乙方承担。</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第八条  伴随服务／售后服务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482"/>
        <w:jc w:val="left"/>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第九条   货款支付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及学校设备处签字盖章的验收报告后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20"/>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5、乙方指定账户信息</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户名：</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乙方开户银行：</w:t>
      </w:r>
      <w:r>
        <w:rPr>
          <w:rFonts w:hint="eastAsia" w:ascii="宋体" w:hAnsi="宋体" w:eastAsia="宋体" w:cs="宋体"/>
          <w:sz w:val="24"/>
          <w:szCs w:val="24"/>
          <w:u w:val="single"/>
        </w:rPr>
        <w:t xml:space="preserve">                    </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第十条　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地点的，每逾期1周（不足1周按1周计算），乙方向甲方偿付逾期交货部分合同总额的5‰的滞纳金。如乙方逾期15天仍未交齐货物的，甲方有权终止合同，乙方则应按合同总价的5%向甲方支付违约金，并全额退还甲方所有预付给乙方的货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2、乙方所交付的货物品种、型号、规格不符合合同规定的，甲方有权拒收，乙方应向甲方支付合同总额10%的违约金。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合同总额10%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第十一条  不可抗力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第十二条　合同的变更和终止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合同的转让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争议的解决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合同生效及其他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乙方的投标文件；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3、本合同一式5 份，甲方执 3 份，乙方执 1 份，代理机构执1份，具有同等法律效力。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2" w:name="_Toc105940242"/>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0"/>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pStyle w:val="72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38</w:t>
      </w:r>
      <w:r>
        <w:rPr>
          <w:rFonts w:hint="eastAsia" w:ascii="宋体" w:hAnsi="宋体" w:eastAsia="宋体" w:cs="宋体"/>
          <w:b/>
          <w:sz w:val="24"/>
          <w:szCs w:val="24"/>
        </w:rPr>
        <w:t xml:space="preserve">分</w:t>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32"/>
        <w:gridCol w:w="7374"/>
        <w:gridCol w:w="902"/>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以投标人提供的能直接反映该产品技术参数的官网或彩页或产品说明书或具有检验（检测）资质的第三方检测机构出具的有效检验（检测）报告等相关佐证材料作为主要评判依据。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全部响应即满足招标文件功能技术参数要求的得20分。所提供产品不满足招标文件要求（负偏离）、配置不详、技术参数不明确、缺漏项的，每项扣2分，扣完为止。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供应商提供为实现本项目招标文件技术参数要求而制定的技术方案。技术方案详尽合理、针对性强，能完全符合用户科研需求的得</w:t>
            </w:r>
            <w:r>
              <w:rPr>
                <w:rFonts w:ascii="宋体" w:hAnsi="宋体" w:eastAsia="宋体" w:cs="宋体"/>
                <w:bCs/>
                <w:sz w:val="24"/>
                <w:szCs w:val="24"/>
              </w:rPr>
              <w:t xml:space="preserve">9</w:t>
            </w:r>
            <w:r>
              <w:rPr>
                <w:rFonts w:hint="eastAsia" w:ascii="宋体" w:hAnsi="宋体" w:eastAsia="宋体" w:cs="宋体"/>
                <w:bCs/>
                <w:sz w:val="24"/>
                <w:szCs w:val="24"/>
              </w:rPr>
              <w:t xml:space="preserve">分。技术方案基本规范合理、具有较强针对性，能基本符合用户科研需求的得</w:t>
            </w:r>
            <w:r>
              <w:rPr>
                <w:rFonts w:ascii="宋体" w:hAnsi="宋体" w:eastAsia="宋体" w:cs="宋体"/>
                <w:bCs/>
                <w:sz w:val="24"/>
                <w:szCs w:val="24"/>
              </w:rPr>
              <w:t xml:space="preserve">5</w:t>
            </w:r>
            <w:r>
              <w:rPr>
                <w:rFonts w:hint="eastAsia" w:ascii="宋体" w:hAnsi="宋体" w:eastAsia="宋体" w:cs="宋体"/>
                <w:bCs/>
                <w:sz w:val="24"/>
                <w:szCs w:val="24"/>
              </w:rPr>
              <w:t xml:space="preserve">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ascii="宋体" w:hAnsi="宋体" w:eastAsia="宋体" w:cs="宋体"/>
                <w:b/>
                <w:sz w:val="24"/>
                <w:szCs w:val="24"/>
              </w:rPr>
              <w:t xml:space="preserve">9</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32 </w:t>
      </w:r>
      <w:r>
        <w:rPr>
          <w:rFonts w:hint="eastAsia" w:ascii="宋体" w:hAnsi="宋体" w:eastAsia="宋体" w:cs="宋体"/>
          <w:b/>
          <w:sz w:val="24"/>
          <w:szCs w:val="24"/>
        </w:rPr>
        <w:t xml:space="preserve">分</w:t>
      </w:r>
      <w:r/>
    </w:p>
    <w:tbl>
      <w:tblPr>
        <w:tblStyle w:val="7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424"/>
        <w:gridCol w:w="7000"/>
        <w:gridCol w:w="745"/>
      </w:tblGrid>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6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提供投标人的所投产品（同型号设备）自2023年8月1日起至今的销售业绩，每提供1份业绩得1分，满分4分。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注：①提供业绩合同复印件；②以合同签订日期为准；③同一单位业绩不重复计分。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质保期</w:t>
            </w:r>
            <w:r/>
          </w:p>
        </w:tc>
        <w:tc>
          <w:tcPr>
            <w:shd w:val="clear" w:color="auto" w:fill="auto"/>
            <w:tcW w:w="3637" w:type="pct"/>
            <w:vAlign w:val="center"/>
            <w:textDirection w:val="lrTb"/>
            <w:noWrap w:val="false"/>
          </w:tcPr>
          <w:p>
            <w:pPr>
              <w:jc w:val="lef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在招标文件要求基础上每增加1年加3分，最多得6分。</w:t>
            </w:r>
            <w:r/>
          </w:p>
        </w:tc>
        <w:tc>
          <w:tcPr>
            <w:shd w:val="clear" w:color="auto" w:fill="auto"/>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6</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培训方案</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供应商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7" w:name="_Toc48723925"/>
      <w:r/>
      <w:bookmarkStart w:id="78" w:name="_Toc105940243"/>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4"/>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（国办发［2025］34号）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0"/>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1" w:name="OLE_LINK8"/>
      <w:r/>
      <w:bookmarkStart w:id="82" w:name="OLE_LINK9"/>
      <w:r>
        <w:rPr>
          <w:rFonts w:hint="eastAsia" w:ascii="宋体" w:hAnsi="宋体" w:eastAsia="宋体" w:cs="宋体"/>
          <w:szCs w:val="24"/>
        </w:rPr>
        <w:t xml:space="preserve">接受供应商为联合体投标（响应）</w:t>
      </w:r>
      <w:bookmarkEnd w:id="81"/>
      <w:r/>
      <w:bookmarkEnd w:id="82"/>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7"/>
      <w:r/>
      <w:bookmarkEnd w:id="78"/>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61"/>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61"/>
        <w:ind w:firstLine="0"/>
        <w:jc w:val="left"/>
        <w:rPr>
          <w:rFonts w:ascii="宋体" w:hAnsi="宋体" w:eastAsia="宋体" w:cs="宋体"/>
          <w:b/>
          <w:bCs/>
        </w:rPr>
      </w:pPr>
      <w:r>
        <w:rPr>
          <w:rFonts w:hint="eastAsia" w:ascii="宋体" w:hAnsi="宋体" w:eastAsia="宋体" w:cs="宋体"/>
          <w:b/>
          <w:bCs/>
        </w:rPr>
        <w:t xml:space="preserve">附件3：</w:t>
      </w:r>
      <w:r/>
    </w:p>
    <w:p>
      <w:pPr>
        <w:pStyle w:val="961"/>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29"/>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ascii="宋体" w:hAnsi="宋体" w:eastAsia="宋体"/>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8">
    <w:name w:val="TOC Heading"/>
    <w:uiPriority w:val="39"/>
    <w:unhideWhenUsed/>
  </w:style>
  <w:style w:type="paragraph" w:styleId="70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0">
    <w:name w:val="Heading 1"/>
    <w:basedOn w:val="709"/>
    <w:next w:val="709"/>
    <w:link w:val="927"/>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1">
    <w:name w:val="Heading 2"/>
    <w:basedOn w:val="709"/>
    <w:next w:val="709"/>
    <w:link w:val="928"/>
    <w:uiPriority w:val="0"/>
    <w:qFormat/>
    <w:pPr>
      <w:jc w:val="left"/>
      <w:keepLines/>
      <w:keepNext/>
      <w:outlineLvl w:val="1"/>
    </w:pPr>
    <w:rPr>
      <w:rFonts w:ascii="宋体" w:hAnsi="宋体" w:eastAsia="楷体_GB2312" w:cs="Times New Roman"/>
      <w:b/>
      <w:sz w:val="26"/>
      <w:szCs w:val="20"/>
    </w:rPr>
  </w:style>
  <w:style w:type="paragraph" w:styleId="712">
    <w:name w:val="Heading 3"/>
    <w:basedOn w:val="709"/>
    <w:next w:val="709"/>
    <w:link w:val="929"/>
    <w:uiPriority w:val="0"/>
    <w:qFormat/>
    <w:pPr>
      <w:jc w:val="left"/>
      <w:keepLines/>
      <w:keepNext/>
      <w:outlineLvl w:val="2"/>
    </w:pPr>
    <w:rPr>
      <w:rFonts w:ascii="Calibri" w:hAnsi="Calibri" w:eastAsia="楷体_GB2312" w:cs="Times New Roman"/>
      <w:b/>
      <w:sz w:val="26"/>
      <w:szCs w:val="20"/>
    </w:rPr>
  </w:style>
  <w:style w:type="paragraph" w:styleId="713">
    <w:name w:val="Heading 4"/>
    <w:basedOn w:val="709"/>
    <w:next w:val="709"/>
    <w:link w:val="930"/>
    <w:uiPriority w:val="0"/>
    <w:qFormat/>
    <w:pPr>
      <w:keepLines/>
      <w:keepNext/>
      <w:spacing w:before="280" w:after="290" w:line="376" w:lineRule="auto"/>
      <w:outlineLvl w:val="3"/>
    </w:pPr>
    <w:rPr>
      <w:rFonts w:ascii="Arial" w:hAnsi="Arial" w:eastAsia="黑体" w:cs="Times New Roman"/>
      <w:b/>
      <w:bCs/>
      <w:sz w:val="28"/>
      <w:szCs w:val="28"/>
    </w:rPr>
  </w:style>
  <w:style w:type="paragraph" w:styleId="714">
    <w:name w:val="Heading 5"/>
    <w:basedOn w:val="709"/>
    <w:next w:val="709"/>
    <w:link w:val="931"/>
    <w:uiPriority w:val="0"/>
    <w:qFormat/>
    <w:pPr>
      <w:keepNext/>
      <w:outlineLvl w:val="4"/>
    </w:pPr>
    <w:rPr>
      <w:rFonts w:ascii="宋体" w:hAnsi="宋体" w:eastAsia="宋体" w:cs="Times New Roman"/>
      <w:color w:val="000000"/>
      <w:sz w:val="28"/>
      <w:szCs w:val="20"/>
    </w:rPr>
  </w:style>
  <w:style w:type="paragraph" w:styleId="715">
    <w:name w:val="Heading 6"/>
    <w:basedOn w:val="709"/>
    <w:next w:val="709"/>
    <w:link w:val="932"/>
    <w:uiPriority w:val="0"/>
    <w:qFormat/>
    <w:pPr>
      <w:keepNext/>
      <w:outlineLvl w:val="5"/>
    </w:pPr>
    <w:rPr>
      <w:rFonts w:ascii="宋体" w:hAnsi="宋体" w:eastAsia="宋体" w:cs="Times New Roman"/>
      <w:sz w:val="28"/>
      <w:szCs w:val="20"/>
    </w:rPr>
  </w:style>
  <w:style w:type="paragraph" w:styleId="716">
    <w:name w:val="Heading 7"/>
    <w:basedOn w:val="709"/>
    <w:next w:val="709"/>
    <w:link w:val="803"/>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804"/>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805"/>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0"/>
    <w:qFormat/>
    <w:pPr>
      <w:ind w:left="2520"/>
    </w:pPr>
    <w:rPr>
      <w:rFonts w:ascii="Calibri" w:hAnsi="Calibri" w:eastAsia="楷体_GB2312" w:cs="Times New Roman"/>
      <w:sz w:val="26"/>
      <w:szCs w:val="20"/>
    </w:rPr>
  </w:style>
  <w:style w:type="paragraph" w:styleId="722">
    <w:name w:val="index 8"/>
    <w:basedOn w:val="709"/>
    <w:next w:val="709"/>
    <w:uiPriority w:val="0"/>
    <w:qFormat/>
    <w:pPr>
      <w:ind w:left="2940"/>
    </w:pPr>
    <w:rPr>
      <w:rFonts w:ascii="Calibri" w:hAnsi="Calibri" w:eastAsia="楷体_GB2312" w:cs="Times New Roman"/>
      <w:sz w:val="26"/>
      <w:szCs w:val="20"/>
    </w:rPr>
  </w:style>
  <w:style w:type="paragraph" w:styleId="723">
    <w:name w:val="Normal Indent"/>
    <w:basedOn w:val="709"/>
    <w:next w:val="709"/>
    <w:link w:val="933"/>
    <w:uiPriority w:val="0"/>
    <w:qFormat/>
    <w:pPr>
      <w:ind w:firstLine="420"/>
      <w:jc w:val="left"/>
    </w:pPr>
    <w:rPr>
      <w:rFonts w:ascii="Calibri" w:hAnsi="Calibri" w:eastAsia="楷体_GB2312" w:cs="Times New Roman"/>
      <w:sz w:val="24"/>
      <w:szCs w:val="20"/>
    </w:r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9"/>
    <w:next w:val="709"/>
    <w:uiPriority w:val="0"/>
    <w:qFormat/>
    <w:pPr>
      <w:ind w:left="1680"/>
    </w:pPr>
    <w:rPr>
      <w:rFonts w:ascii="Calibri" w:hAnsi="Calibri" w:eastAsia="楷体_GB2312" w:cs="Times New Roman"/>
      <w:sz w:val="26"/>
      <w:szCs w:val="20"/>
    </w:rPr>
  </w:style>
  <w:style w:type="paragraph" w:styleId="726">
    <w:name w:val="Document Map"/>
    <w:basedOn w:val="709"/>
    <w:link w:val="934"/>
    <w:uiPriority w:val="0"/>
    <w:qFormat/>
    <w:pPr>
      <w:shd w:val="clear" w:color="auto" w:fill="000080"/>
    </w:pPr>
    <w:rPr>
      <w:rFonts w:ascii="Calibri" w:hAnsi="Calibri" w:eastAsia="楷体_GB2312" w:cs="Times New Roman"/>
      <w:sz w:val="26"/>
      <w:szCs w:val="20"/>
    </w:rPr>
  </w:style>
  <w:style w:type="paragraph" w:styleId="727">
    <w:name w:val="annotation text"/>
    <w:basedOn w:val="709"/>
    <w:link w:val="935"/>
    <w:uiPriority w:val="0"/>
    <w:qFormat/>
    <w:pPr>
      <w:jc w:val="left"/>
    </w:pPr>
    <w:rPr>
      <w:rFonts w:ascii="Calibri" w:hAnsi="Calibri" w:eastAsia="楷体_GB2312" w:cs="Times New Roman"/>
      <w:sz w:val="26"/>
      <w:szCs w:val="20"/>
    </w:rPr>
  </w:style>
  <w:style w:type="paragraph" w:styleId="728">
    <w:name w:val="index 6"/>
    <w:basedOn w:val="709"/>
    <w:next w:val="709"/>
    <w:uiPriority w:val="0"/>
    <w:qFormat/>
    <w:pPr>
      <w:ind w:left="2100"/>
    </w:pPr>
    <w:rPr>
      <w:rFonts w:ascii="Calibri" w:hAnsi="Calibri" w:eastAsia="楷体_GB2312" w:cs="Times New Roman"/>
      <w:sz w:val="26"/>
      <w:szCs w:val="20"/>
    </w:rPr>
  </w:style>
  <w:style w:type="paragraph" w:styleId="729">
    <w:name w:val="Body Text"/>
    <w:basedOn w:val="709"/>
    <w:link w:val="936"/>
    <w:uiPriority w:val="0"/>
    <w:qFormat/>
    <w:pPr>
      <w:spacing w:line="400" w:lineRule="exact"/>
    </w:pPr>
    <w:rPr>
      <w:rFonts w:ascii="楷体_GB2312" w:hAnsi="Calibri" w:eastAsia="楷体_GB2312" w:cs="Times New Roman"/>
      <w:sz w:val="28"/>
      <w:szCs w:val="20"/>
    </w:rPr>
  </w:style>
  <w:style w:type="paragraph" w:styleId="730">
    <w:name w:val="Body Text Indent"/>
    <w:basedOn w:val="709"/>
    <w:link w:val="937"/>
    <w:uiPriority w:val="99"/>
    <w:qFormat/>
    <w:pPr>
      <w:ind w:left="570"/>
      <w:spacing w:line="520" w:lineRule="exact"/>
    </w:pPr>
    <w:rPr>
      <w:rFonts w:ascii="方正仿宋简体" w:hAnsi="创艺简仿宋" w:eastAsia="方正仿宋简体" w:cs="Times New Roman"/>
      <w:sz w:val="24"/>
      <w:szCs w:val="20"/>
    </w:rPr>
  </w:style>
  <w:style w:type="paragraph" w:styleId="731">
    <w:name w:val="Block Text"/>
    <w:basedOn w:val="709"/>
    <w:next w:val="70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2">
    <w:name w:val="index 4"/>
    <w:basedOn w:val="709"/>
    <w:next w:val="709"/>
    <w:uiPriority w:val="0"/>
    <w:qFormat/>
    <w:pPr>
      <w:ind w:left="1260"/>
    </w:pPr>
    <w:rPr>
      <w:rFonts w:ascii="Calibri" w:hAnsi="Calibri" w:eastAsia="楷体_GB2312" w:cs="Times New Roman"/>
      <w:sz w:val="26"/>
      <w:szCs w:val="20"/>
    </w:rPr>
  </w:style>
  <w:style w:type="paragraph" w:styleId="733">
    <w:name w:val="toc 5"/>
    <w:basedOn w:val="709"/>
    <w:next w:val="709"/>
    <w:uiPriority w:val="0"/>
    <w:qFormat/>
    <w:pPr>
      <w:ind w:left="1680"/>
    </w:pPr>
    <w:rPr>
      <w:rFonts w:ascii="Calibri" w:hAnsi="Calibri" w:eastAsia="楷体_GB2312" w:cs="Times New Roman"/>
      <w:sz w:val="26"/>
      <w:szCs w:val="20"/>
    </w:rPr>
  </w:style>
  <w:style w:type="paragraph" w:styleId="734">
    <w:name w:val="toc 3"/>
    <w:basedOn w:val="709"/>
    <w:next w:val="709"/>
    <w:uiPriority w:val="0"/>
    <w:qFormat/>
    <w:pPr>
      <w:ind w:left="840"/>
    </w:pPr>
    <w:rPr>
      <w:rFonts w:ascii="Calibri" w:hAnsi="Calibri" w:eastAsia="楷体_GB2312" w:cs="Times New Roman"/>
      <w:sz w:val="26"/>
      <w:szCs w:val="20"/>
    </w:rPr>
  </w:style>
  <w:style w:type="paragraph" w:styleId="735">
    <w:name w:val="Plain Text"/>
    <w:basedOn w:val="709"/>
    <w:link w:val="938"/>
    <w:uiPriority w:val="0"/>
    <w:qFormat/>
    <w:rPr>
      <w:rFonts w:ascii="宋体" w:hAnsi="Courier New" w:eastAsia="楷体_GB2312" w:cs="Times New Roman"/>
      <w:sz w:val="26"/>
      <w:szCs w:val="20"/>
    </w:rPr>
  </w:style>
  <w:style w:type="paragraph" w:styleId="736">
    <w:name w:val="toc 8"/>
    <w:basedOn w:val="709"/>
    <w:next w:val="709"/>
    <w:uiPriority w:val="0"/>
    <w:qFormat/>
    <w:pPr>
      <w:ind w:left="2940"/>
    </w:pPr>
    <w:rPr>
      <w:rFonts w:ascii="Calibri" w:hAnsi="Calibri" w:eastAsia="楷体_GB2312" w:cs="Times New Roman"/>
      <w:sz w:val="26"/>
      <w:szCs w:val="20"/>
    </w:rPr>
  </w:style>
  <w:style w:type="paragraph" w:styleId="737">
    <w:name w:val="index 3"/>
    <w:basedOn w:val="709"/>
    <w:next w:val="709"/>
    <w:uiPriority w:val="0"/>
    <w:qFormat/>
    <w:pPr>
      <w:ind w:left="840"/>
    </w:pPr>
    <w:rPr>
      <w:rFonts w:ascii="Calibri" w:hAnsi="Calibri" w:eastAsia="楷体_GB2312" w:cs="Times New Roman"/>
      <w:sz w:val="26"/>
      <w:szCs w:val="20"/>
    </w:rPr>
  </w:style>
  <w:style w:type="paragraph" w:styleId="738">
    <w:name w:val="Date"/>
    <w:basedOn w:val="709"/>
    <w:next w:val="709"/>
    <w:link w:val="939"/>
    <w:uiPriority w:val="0"/>
    <w:qFormat/>
    <w:rPr>
      <w:rFonts w:ascii="宋体" w:hAnsi="宋体" w:eastAsia="楷体_GB2312" w:cs="Times New Roman"/>
      <w:sz w:val="24"/>
      <w:szCs w:val="20"/>
    </w:rPr>
  </w:style>
  <w:style w:type="paragraph" w:styleId="739">
    <w:name w:val="Body Text Indent 2"/>
    <w:basedOn w:val="709"/>
    <w:link w:val="940"/>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0">
    <w:name w:val="endnote text"/>
    <w:basedOn w:val="709"/>
    <w:link w:val="941"/>
    <w:uiPriority w:val="0"/>
    <w:qFormat/>
    <w:pPr>
      <w:jc w:val="left"/>
    </w:pPr>
    <w:rPr>
      <w:rFonts w:ascii="Calibri" w:hAnsi="Calibri" w:eastAsia="楷体_GB2312" w:cs="Times New Roman"/>
      <w:sz w:val="26"/>
      <w:szCs w:val="20"/>
    </w:rPr>
  </w:style>
  <w:style w:type="paragraph" w:styleId="741">
    <w:name w:val="Balloon Text"/>
    <w:basedOn w:val="709"/>
    <w:link w:val="942"/>
    <w:uiPriority w:val="99"/>
    <w:qFormat/>
    <w:rPr>
      <w:rFonts w:ascii="Calibri" w:hAnsi="Calibri" w:eastAsia="楷体_GB2312" w:cs="Times New Roman"/>
      <w:sz w:val="18"/>
      <w:szCs w:val="18"/>
    </w:rPr>
  </w:style>
  <w:style w:type="paragraph" w:styleId="742">
    <w:name w:val="Footer"/>
    <w:basedOn w:val="709"/>
    <w:link w:val="943"/>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3">
    <w:name w:val="Header"/>
    <w:basedOn w:val="709"/>
    <w:link w:val="944"/>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4">
    <w:name w:val="toc 1"/>
    <w:basedOn w:val="709"/>
    <w:next w:val="709"/>
    <w:uiPriority w:val="39"/>
    <w:qFormat/>
    <w:pPr>
      <w:jc w:val="left"/>
    </w:pPr>
    <w:rPr>
      <w:rFonts w:ascii="Calibri" w:hAnsi="Calibri" w:eastAsia="楷体_GB2312" w:cs="Times New Roman"/>
      <w:sz w:val="24"/>
      <w:szCs w:val="20"/>
    </w:rPr>
  </w:style>
  <w:style w:type="paragraph" w:styleId="745">
    <w:name w:val="toc 4"/>
    <w:basedOn w:val="709"/>
    <w:next w:val="709"/>
    <w:uiPriority w:val="0"/>
    <w:qFormat/>
    <w:pPr>
      <w:ind w:left="1260"/>
    </w:pPr>
    <w:rPr>
      <w:rFonts w:ascii="Calibri" w:hAnsi="Calibri" w:eastAsia="楷体_GB2312" w:cs="Times New Roman"/>
      <w:sz w:val="26"/>
      <w:szCs w:val="20"/>
    </w:rPr>
  </w:style>
  <w:style w:type="paragraph" w:styleId="746">
    <w:name w:val="index heading"/>
    <w:basedOn w:val="709"/>
    <w:next w:val="747"/>
    <w:uiPriority w:val="0"/>
    <w:qFormat/>
    <w:rPr>
      <w:rFonts w:ascii="Calibri" w:hAnsi="Calibri" w:eastAsia="楷体_GB2312" w:cs="Times New Roman"/>
      <w:sz w:val="26"/>
      <w:szCs w:val="20"/>
    </w:rPr>
  </w:style>
  <w:style w:type="paragraph" w:styleId="747">
    <w:name w:val="index 1"/>
    <w:basedOn w:val="709"/>
    <w:next w:val="709"/>
    <w:uiPriority w:val="0"/>
    <w:unhideWhenUsed/>
    <w:qFormat/>
  </w:style>
  <w:style w:type="paragraph" w:styleId="748">
    <w:name w:val="Subtitle"/>
    <w:basedOn w:val="709"/>
    <w:next w:val="709"/>
    <w:link w:val="945"/>
    <w:uiPriority w:val="0"/>
    <w:qFormat/>
    <w:pPr>
      <w:jc w:val="left"/>
      <w:spacing w:before="120"/>
      <w:outlineLvl w:val="1"/>
    </w:pPr>
    <w:rPr>
      <w:rFonts w:ascii="Cambria" w:hAnsi="Cambria" w:eastAsia="宋体" w:cs="Times New Roman"/>
      <w:b/>
      <w:bCs/>
      <w:sz w:val="24"/>
      <w:szCs w:val="32"/>
    </w:rPr>
  </w:style>
  <w:style w:type="paragraph" w:styleId="749">
    <w:name w:val="footnote text"/>
    <w:basedOn w:val="709"/>
    <w:link w:val="946"/>
    <w:uiPriority w:val="0"/>
    <w:qFormat/>
    <w:pPr>
      <w:jc w:val="left"/>
    </w:pPr>
    <w:rPr>
      <w:rFonts w:ascii="Calibri" w:hAnsi="Calibri" w:eastAsia="楷体_GB2312" w:cs="Times New Roman"/>
      <w:sz w:val="18"/>
      <w:szCs w:val="20"/>
    </w:rPr>
  </w:style>
  <w:style w:type="paragraph" w:styleId="750">
    <w:name w:val="toc 6"/>
    <w:basedOn w:val="709"/>
    <w:next w:val="709"/>
    <w:uiPriority w:val="0"/>
    <w:qFormat/>
    <w:pPr>
      <w:ind w:left="2100"/>
    </w:pPr>
    <w:rPr>
      <w:rFonts w:ascii="Calibri" w:hAnsi="Calibri" w:eastAsia="楷体_GB2312" w:cs="Times New Roman"/>
      <w:sz w:val="26"/>
      <w:szCs w:val="20"/>
    </w:rPr>
  </w:style>
  <w:style w:type="paragraph" w:styleId="751">
    <w:name w:val="Body Text Indent 3"/>
    <w:basedOn w:val="709"/>
    <w:link w:val="947"/>
    <w:uiPriority w:val="0"/>
    <w:qFormat/>
    <w:pPr>
      <w:ind w:firstLine="617"/>
      <w:spacing w:line="360" w:lineRule="auto"/>
    </w:pPr>
    <w:rPr>
      <w:rFonts w:ascii="Calibri" w:hAnsi="Calibri" w:eastAsia="宋体" w:cs="Times New Roman"/>
      <w:sz w:val="24"/>
      <w:szCs w:val="24"/>
    </w:rPr>
  </w:style>
  <w:style w:type="paragraph" w:styleId="752">
    <w:name w:val="index 7"/>
    <w:basedOn w:val="709"/>
    <w:next w:val="709"/>
    <w:uiPriority w:val="0"/>
    <w:qFormat/>
    <w:pPr>
      <w:ind w:left="2520"/>
    </w:pPr>
    <w:rPr>
      <w:rFonts w:ascii="Calibri" w:hAnsi="Calibri" w:eastAsia="楷体_GB2312" w:cs="Times New Roman"/>
      <w:sz w:val="26"/>
      <w:szCs w:val="20"/>
    </w:rPr>
  </w:style>
  <w:style w:type="paragraph" w:styleId="753">
    <w:name w:val="index 9"/>
    <w:basedOn w:val="709"/>
    <w:next w:val="709"/>
    <w:uiPriority w:val="0"/>
    <w:qFormat/>
    <w:pPr>
      <w:ind w:left="3360"/>
    </w:pPr>
    <w:rPr>
      <w:rFonts w:ascii="Calibri" w:hAnsi="Calibri" w:eastAsia="楷体_GB2312" w:cs="Times New Roman"/>
      <w:sz w:val="26"/>
      <w:szCs w:val="20"/>
    </w:rPr>
  </w:style>
  <w:style w:type="paragraph" w:styleId="754">
    <w:name w:val="table of figures"/>
    <w:basedOn w:val="709"/>
    <w:next w:val="709"/>
    <w:uiPriority w:val="0"/>
    <w:qFormat/>
    <w:pPr>
      <w:ind w:left="420" w:hanging="420"/>
      <w:jc w:val="left"/>
    </w:pPr>
    <w:rPr>
      <w:rFonts w:ascii="Calibri" w:hAnsi="Calibri" w:eastAsia="楷体_GB2312" w:cs="Times New Roman"/>
      <w:smallCaps/>
      <w:sz w:val="24"/>
      <w:szCs w:val="20"/>
    </w:rPr>
  </w:style>
  <w:style w:type="paragraph" w:styleId="755">
    <w:name w:val="toc 2"/>
    <w:basedOn w:val="709"/>
    <w:next w:val="709"/>
    <w:uiPriority w:val="0"/>
    <w:qFormat/>
    <w:pPr>
      <w:ind w:left="420"/>
    </w:pPr>
    <w:rPr>
      <w:rFonts w:ascii="Calibri" w:hAnsi="Calibri" w:eastAsia="楷体_GB2312" w:cs="Times New Roman"/>
      <w:sz w:val="26"/>
      <w:szCs w:val="20"/>
    </w:rPr>
  </w:style>
  <w:style w:type="paragraph" w:styleId="756">
    <w:name w:val="toc 9"/>
    <w:basedOn w:val="709"/>
    <w:next w:val="709"/>
    <w:uiPriority w:val="0"/>
    <w:qFormat/>
    <w:pPr>
      <w:ind w:left="3360"/>
    </w:pPr>
    <w:rPr>
      <w:rFonts w:ascii="Calibri" w:hAnsi="Calibri" w:eastAsia="楷体_GB2312" w:cs="Times New Roman"/>
      <w:sz w:val="26"/>
      <w:szCs w:val="20"/>
    </w:rPr>
  </w:style>
  <w:style w:type="paragraph" w:styleId="757">
    <w:name w:val="HTML Preformatted"/>
    <w:basedOn w:val="709"/>
    <w:link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58">
    <w:name w:val="Normal (Web)"/>
    <w:basedOn w:val="709"/>
    <w:uiPriority w:val="99"/>
    <w:qFormat/>
    <w:pPr>
      <w:jc w:val="left"/>
      <w:spacing w:before="100" w:beforeAutospacing="1" w:after="100" w:afterAutospacing="1"/>
    </w:pPr>
    <w:rPr>
      <w:rFonts w:ascii="Calibri" w:hAnsi="Calibri" w:eastAsia="楷体_GB2312" w:cs="Times New Roman"/>
      <w:sz w:val="24"/>
    </w:rPr>
  </w:style>
  <w:style w:type="paragraph" w:styleId="759">
    <w:name w:val="index 2"/>
    <w:basedOn w:val="709"/>
    <w:next w:val="709"/>
    <w:uiPriority w:val="0"/>
    <w:qFormat/>
    <w:pPr>
      <w:ind w:left="420"/>
    </w:pPr>
    <w:rPr>
      <w:rFonts w:ascii="Calibri" w:hAnsi="Calibri" w:eastAsia="楷体_GB2312" w:cs="Times New Roman"/>
      <w:sz w:val="26"/>
      <w:szCs w:val="20"/>
    </w:rPr>
  </w:style>
  <w:style w:type="paragraph" w:styleId="760">
    <w:name w:val="Title"/>
    <w:basedOn w:val="709"/>
    <w:next w:val="709"/>
    <w:link w:val="949"/>
    <w:uiPriority w:val="0"/>
    <w:qFormat/>
    <w:pPr>
      <w:jc w:val="center"/>
      <w:spacing w:before="240" w:after="60"/>
      <w:outlineLvl w:val="0"/>
    </w:pPr>
    <w:rPr>
      <w:rFonts w:ascii="Cambria" w:hAnsi="Cambria" w:eastAsia="宋体" w:cs="Times New Roman"/>
      <w:b/>
      <w:bCs/>
      <w:sz w:val="32"/>
      <w:szCs w:val="32"/>
    </w:rPr>
  </w:style>
  <w:style w:type="paragraph" w:styleId="761">
    <w:name w:val="annotation subject"/>
    <w:basedOn w:val="727"/>
    <w:next w:val="727"/>
    <w:link w:val="950"/>
    <w:uiPriority w:val="99"/>
    <w:qFormat/>
    <w:rPr>
      <w:b/>
      <w:bCs/>
    </w:rPr>
  </w:style>
  <w:style w:type="paragraph" w:styleId="762">
    <w:name w:val="Body Text First Indent 2"/>
    <w:basedOn w:val="730"/>
    <w:link w:val="951"/>
    <w:uiPriority w:val="0"/>
    <w:qFormat/>
    <w:pPr>
      <w:ind w:left="420" w:firstLine="420"/>
      <w:spacing w:after="120" w:line="240" w:lineRule="auto"/>
    </w:pPr>
    <w:rPr>
      <w:rFonts w:ascii="Calibri" w:hAnsi="Calibri" w:eastAsia="楷体_GB2312"/>
      <w:sz w:val="26"/>
    </w:rPr>
  </w:style>
  <w:style w:type="table" w:styleId="763">
    <w:name w:val="Table Grid"/>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19"/>
    <w:uiPriority w:val="0"/>
    <w:qFormat/>
    <w:rPr>
      <w:b/>
    </w:rPr>
  </w:style>
  <w:style w:type="character" w:styleId="765">
    <w:name w:val="endnote reference"/>
    <w:uiPriority w:val="0"/>
    <w:qFormat/>
    <w:rPr>
      <w:vertAlign w:val="superscript"/>
    </w:rPr>
  </w:style>
  <w:style w:type="character" w:styleId="766">
    <w:name w:val="page number"/>
    <w:basedOn w:val="719"/>
    <w:uiPriority w:val="0"/>
    <w:qFormat/>
  </w:style>
  <w:style w:type="character" w:styleId="767">
    <w:name w:val="FollowedHyperlink"/>
    <w:uiPriority w:val="99"/>
    <w:unhideWhenUsed/>
    <w:qFormat/>
    <w:rPr>
      <w:color w:val="800080"/>
      <w:u w:val="single"/>
    </w:rPr>
  </w:style>
  <w:style w:type="character" w:styleId="768">
    <w:name w:val="Emphasis"/>
    <w:uiPriority w:val="0"/>
    <w:qFormat/>
    <w:rPr>
      <w:i/>
    </w:rPr>
  </w:style>
  <w:style w:type="character" w:styleId="769">
    <w:name w:val="Hyperlink"/>
    <w:uiPriority w:val="0"/>
    <w:unhideWhenUsed/>
    <w:qFormat/>
    <w:rPr>
      <w:color w:val="0000ff"/>
      <w:u w:val="single"/>
    </w:rPr>
  </w:style>
  <w:style w:type="character" w:styleId="770">
    <w:name w:val="annotation reference"/>
    <w:uiPriority w:val="99"/>
    <w:qFormat/>
    <w:rPr>
      <w:sz w:val="21"/>
      <w:szCs w:val="21"/>
    </w:rPr>
  </w:style>
  <w:style w:type="character" w:styleId="771">
    <w:name w:val="footnote reference"/>
    <w:uiPriority w:val="0"/>
    <w:qFormat/>
    <w:rPr>
      <w:vertAlign w:val="superscript"/>
    </w:rPr>
  </w:style>
  <w:style w:type="character" w:styleId="772" w:customStyle="1">
    <w:name w:val="Heading 7 Char"/>
    <w:basedOn w:val="719"/>
    <w:uiPriority w:val="9"/>
    <w:qFormat/>
    <w:rPr>
      <w:rFonts w:ascii="Arial" w:hAnsi="Arial" w:eastAsia="Arial" w:cs="Arial"/>
      <w:b/>
      <w:bCs/>
      <w:i/>
      <w:iCs/>
      <w:sz w:val="22"/>
      <w:szCs w:val="22"/>
    </w:rPr>
  </w:style>
  <w:style w:type="character" w:styleId="773" w:customStyle="1">
    <w:name w:val="Heading 8 Char"/>
    <w:basedOn w:val="719"/>
    <w:uiPriority w:val="9"/>
    <w:qFormat/>
    <w:rPr>
      <w:rFonts w:ascii="Arial" w:hAnsi="Arial" w:eastAsia="Arial" w:cs="Arial"/>
      <w:i/>
      <w:iCs/>
      <w:sz w:val="22"/>
      <w:szCs w:val="22"/>
    </w:rPr>
  </w:style>
  <w:style w:type="character" w:styleId="774" w:customStyle="1">
    <w:name w:val="Heading 9 Char"/>
    <w:basedOn w:val="719"/>
    <w:uiPriority w:val="9"/>
    <w:qFormat/>
    <w:rPr>
      <w:rFonts w:ascii="Arial" w:hAnsi="Arial" w:eastAsia="Arial" w:cs="Arial"/>
      <w:i/>
      <w:iCs/>
      <w:sz w:val="21"/>
      <w:szCs w:val="21"/>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character" w:styleId="797" w:customStyle="1">
    <w:name w:val="Heading 1 Char"/>
    <w:basedOn w:val="719"/>
    <w:uiPriority w:val="9"/>
    <w:qFormat/>
    <w:rPr>
      <w:rFonts w:ascii="Arial" w:hAnsi="Arial" w:eastAsia="Arial" w:cs="Arial"/>
      <w:sz w:val="40"/>
      <w:szCs w:val="40"/>
    </w:rPr>
  </w:style>
  <w:style w:type="character" w:styleId="798" w:customStyle="1">
    <w:name w:val="Heading 2 Char"/>
    <w:basedOn w:val="719"/>
    <w:uiPriority w:val="9"/>
    <w:qFormat/>
    <w:rPr>
      <w:rFonts w:ascii="Arial" w:hAnsi="Arial" w:eastAsia="Arial" w:cs="Arial"/>
      <w:sz w:val="34"/>
    </w:rPr>
  </w:style>
  <w:style w:type="character" w:styleId="799" w:customStyle="1">
    <w:name w:val="Heading 3 Char"/>
    <w:basedOn w:val="719"/>
    <w:uiPriority w:val="9"/>
    <w:qFormat/>
    <w:rPr>
      <w:rFonts w:ascii="Arial" w:hAnsi="Arial" w:eastAsia="Arial" w:cs="Arial"/>
      <w:sz w:val="30"/>
      <w:szCs w:val="30"/>
    </w:rPr>
  </w:style>
  <w:style w:type="character" w:styleId="800" w:customStyle="1">
    <w:name w:val="Heading 4 Char"/>
    <w:basedOn w:val="719"/>
    <w:uiPriority w:val="9"/>
    <w:qFormat/>
    <w:rPr>
      <w:rFonts w:ascii="Arial" w:hAnsi="Arial" w:eastAsia="Arial" w:cs="Arial"/>
      <w:b/>
      <w:bCs/>
      <w:sz w:val="26"/>
      <w:szCs w:val="26"/>
    </w:rPr>
  </w:style>
  <w:style w:type="character" w:styleId="801" w:customStyle="1">
    <w:name w:val="Heading 5 Char"/>
    <w:basedOn w:val="719"/>
    <w:uiPriority w:val="9"/>
    <w:qFormat/>
    <w:rPr>
      <w:rFonts w:ascii="Arial" w:hAnsi="Arial" w:eastAsia="Arial" w:cs="Arial"/>
      <w:b/>
      <w:bCs/>
      <w:sz w:val="24"/>
      <w:szCs w:val="24"/>
    </w:rPr>
  </w:style>
  <w:style w:type="character" w:styleId="802" w:customStyle="1">
    <w:name w:val="Heading 6 Char"/>
    <w:basedOn w:val="719"/>
    <w:uiPriority w:val="9"/>
    <w:qFormat/>
    <w:rPr>
      <w:rFonts w:ascii="Arial" w:hAnsi="Arial" w:eastAsia="Arial" w:cs="Arial"/>
      <w:b/>
      <w:bCs/>
      <w:sz w:val="22"/>
      <w:szCs w:val="22"/>
    </w:rPr>
  </w:style>
  <w:style w:type="character" w:styleId="803" w:customStyle="1">
    <w:name w:val="标题 7 字符"/>
    <w:basedOn w:val="719"/>
    <w:link w:val="716"/>
    <w:uiPriority w:val="9"/>
    <w:qFormat/>
    <w:rPr>
      <w:rFonts w:ascii="Arial" w:hAnsi="Arial" w:eastAsia="Arial" w:cs="Arial"/>
      <w:b/>
      <w:bCs/>
      <w:i/>
      <w:iCs/>
      <w:sz w:val="22"/>
      <w:szCs w:val="22"/>
    </w:rPr>
  </w:style>
  <w:style w:type="character" w:styleId="804" w:customStyle="1">
    <w:name w:val="标题 8 字符"/>
    <w:basedOn w:val="719"/>
    <w:link w:val="717"/>
    <w:uiPriority w:val="9"/>
    <w:qFormat/>
    <w:rPr>
      <w:rFonts w:ascii="Arial" w:hAnsi="Arial" w:eastAsia="Arial" w:cs="Arial"/>
      <w:i/>
      <w:iCs/>
      <w:sz w:val="22"/>
      <w:szCs w:val="22"/>
    </w:rPr>
  </w:style>
  <w:style w:type="character" w:styleId="805" w:customStyle="1">
    <w:name w:val="标题 9 字符"/>
    <w:basedOn w:val="719"/>
    <w:link w:val="718"/>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Title Char"/>
    <w:basedOn w:val="719"/>
    <w:uiPriority w:val="10"/>
    <w:qFormat/>
    <w:rPr>
      <w:sz w:val="48"/>
      <w:szCs w:val="48"/>
    </w:rPr>
  </w:style>
  <w:style w:type="character" w:styleId="808" w:customStyle="1">
    <w:name w:val="Subtitle Char"/>
    <w:basedOn w:val="719"/>
    <w:uiPriority w:val="11"/>
    <w:qFormat/>
    <w:rPr>
      <w:sz w:val="24"/>
      <w:szCs w:val="24"/>
    </w:rPr>
  </w:style>
  <w:style w:type="paragraph" w:styleId="809">
    <w:name w:val="Quote"/>
    <w:basedOn w:val="709"/>
    <w:next w:val="709"/>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09"/>
    <w:next w:val="709"/>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basedOn w:val="719"/>
    <w:uiPriority w:val="99"/>
    <w:qFormat/>
  </w:style>
  <w:style w:type="character" w:styleId="814" w:customStyle="1">
    <w:name w:val="Footer Char"/>
    <w:basedOn w:val="719"/>
    <w:uiPriority w:val="99"/>
    <w:qFormat/>
  </w:style>
  <w:style w:type="character" w:styleId="815" w:customStyle="1">
    <w:name w:val="Caption Char"/>
    <w:uiPriority w:val="99"/>
    <w:qFormat/>
  </w:style>
  <w:style w:type="table" w:styleId="816" w:customStyle="1">
    <w:name w:val="Table Grid Light"/>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Grid Table 1 Light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 Accent 1"/>
    <w:basedOn w:val="7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 Accent 1"/>
    <w:basedOn w:val="7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 Accent 1"/>
    <w:basedOn w:val="7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 Accent 1"/>
    <w:basedOn w:val="7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 Accent 1"/>
    <w:basedOn w:val="7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 Accent 1"/>
    <w:basedOn w:val="7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 Accent 1"/>
    <w:basedOn w:val="7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 Accent 1"/>
    <w:basedOn w:val="7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 Accent 1"/>
    <w:basedOn w:val="72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basedOn w:val="72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basedOn w:val="7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basedOn w:val="7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basedOn w:val="7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basedOn w:val="7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 Accent 1"/>
    <w:basedOn w:val="72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paragraph" w:styleId="925" w:customStyle="1">
    <w:name w:val="段"/>
    <w:next w:val="709"/>
    <w:uiPriority w:val="0"/>
    <w:qFormat/>
    <w:pPr>
      <w:ind w:firstLine="200"/>
      <w:jc w:val="both"/>
    </w:pPr>
    <w:rPr>
      <w:rFonts w:ascii="宋体" w:hAnsi="Times New Roman" w:eastAsia="宋体" w:cs="宋体"/>
      <w:sz w:val="21"/>
      <w:szCs w:val="21"/>
      <w:lang w:val="en-US" w:eastAsia="zh-CN" w:bidi="ar-SA"/>
    </w:rPr>
  </w:style>
  <w:style w:type="paragraph" w:styleId="926" w:customStyle="1">
    <w:name w:val="首行缩进"/>
    <w:basedOn w:val="709"/>
    <w:uiPriority w:val="0"/>
    <w:qFormat/>
    <w:pPr>
      <w:ind w:firstLine="480"/>
    </w:pPr>
    <w:rPr>
      <w:rFonts w:ascii="Calibri" w:hAnsi="Calibri" w:eastAsia="宋体" w:cs="Times New Roman"/>
      <w:szCs w:val="20"/>
      <w:lang w:val="zh-CN"/>
    </w:rPr>
  </w:style>
  <w:style w:type="character" w:styleId="927" w:customStyle="1">
    <w:name w:val="标题 1 字符"/>
    <w:basedOn w:val="719"/>
    <w:link w:val="710"/>
    <w:uiPriority w:val="0"/>
    <w:qFormat/>
    <w:rPr>
      <w:rFonts w:ascii="Calibri" w:hAnsi="Calibri" w:eastAsia="楷体_GB2312" w:cs="Times New Roman"/>
      <w:b/>
      <w:sz w:val="44"/>
      <w:szCs w:val="20"/>
    </w:rPr>
  </w:style>
  <w:style w:type="character" w:styleId="928" w:customStyle="1">
    <w:name w:val="标题 2 字符"/>
    <w:basedOn w:val="719"/>
    <w:link w:val="711"/>
    <w:uiPriority w:val="0"/>
    <w:qFormat/>
    <w:rPr>
      <w:rFonts w:ascii="宋体" w:hAnsi="宋体" w:eastAsia="楷体_GB2312" w:cs="Times New Roman"/>
      <w:b/>
      <w:sz w:val="26"/>
      <w:szCs w:val="20"/>
    </w:rPr>
  </w:style>
  <w:style w:type="character" w:styleId="929" w:customStyle="1">
    <w:name w:val="标题 3 字符"/>
    <w:basedOn w:val="719"/>
    <w:link w:val="712"/>
    <w:uiPriority w:val="0"/>
    <w:qFormat/>
    <w:rPr>
      <w:rFonts w:ascii="Calibri" w:hAnsi="Calibri" w:eastAsia="楷体_GB2312" w:cs="Times New Roman"/>
      <w:b/>
      <w:sz w:val="26"/>
      <w:szCs w:val="20"/>
    </w:rPr>
  </w:style>
  <w:style w:type="character" w:styleId="930" w:customStyle="1">
    <w:name w:val="标题 4 字符"/>
    <w:basedOn w:val="719"/>
    <w:link w:val="713"/>
    <w:uiPriority w:val="0"/>
    <w:qFormat/>
    <w:rPr>
      <w:rFonts w:ascii="Arial" w:hAnsi="Arial" w:eastAsia="黑体" w:cs="Times New Roman"/>
      <w:b/>
      <w:bCs/>
      <w:sz w:val="28"/>
      <w:szCs w:val="28"/>
    </w:rPr>
  </w:style>
  <w:style w:type="character" w:styleId="931" w:customStyle="1">
    <w:name w:val="标题 5 字符"/>
    <w:basedOn w:val="719"/>
    <w:link w:val="714"/>
    <w:uiPriority w:val="0"/>
    <w:qFormat/>
    <w:rPr>
      <w:rFonts w:ascii="宋体" w:hAnsi="宋体" w:eastAsia="宋体" w:cs="Times New Roman"/>
      <w:color w:val="000000"/>
      <w:sz w:val="28"/>
      <w:szCs w:val="20"/>
    </w:rPr>
  </w:style>
  <w:style w:type="character" w:styleId="932" w:customStyle="1">
    <w:name w:val="标题 6 字符"/>
    <w:basedOn w:val="719"/>
    <w:link w:val="715"/>
    <w:uiPriority w:val="0"/>
    <w:qFormat/>
    <w:rPr>
      <w:rFonts w:ascii="宋体" w:hAnsi="宋体" w:eastAsia="宋体" w:cs="Times New Roman"/>
      <w:sz w:val="28"/>
      <w:szCs w:val="20"/>
    </w:rPr>
  </w:style>
  <w:style w:type="character" w:styleId="933" w:customStyle="1">
    <w:name w:val="正文缩进 字符"/>
    <w:link w:val="723"/>
    <w:uiPriority w:val="0"/>
    <w:qFormat/>
    <w:rPr>
      <w:rFonts w:ascii="Calibri" w:hAnsi="Calibri" w:eastAsia="楷体_GB2312" w:cs="Times New Roman"/>
      <w:sz w:val="24"/>
      <w:szCs w:val="20"/>
    </w:rPr>
  </w:style>
  <w:style w:type="character" w:styleId="934" w:customStyle="1">
    <w:name w:val="文档结构图 字符"/>
    <w:basedOn w:val="719"/>
    <w:link w:val="726"/>
    <w:uiPriority w:val="0"/>
    <w:qFormat/>
    <w:rPr>
      <w:rFonts w:ascii="Calibri" w:hAnsi="Calibri" w:eastAsia="楷体_GB2312" w:cs="Times New Roman"/>
      <w:sz w:val="26"/>
      <w:szCs w:val="20"/>
      <w:shd w:val="clear" w:color="auto" w:fill="000080"/>
    </w:rPr>
  </w:style>
  <w:style w:type="character" w:styleId="935" w:customStyle="1">
    <w:name w:val="批注文字 字符"/>
    <w:basedOn w:val="719"/>
    <w:link w:val="727"/>
    <w:uiPriority w:val="0"/>
    <w:qFormat/>
    <w:rPr>
      <w:rFonts w:ascii="Calibri" w:hAnsi="Calibri" w:eastAsia="楷体_GB2312" w:cs="Times New Roman"/>
      <w:sz w:val="26"/>
      <w:szCs w:val="20"/>
    </w:rPr>
  </w:style>
  <w:style w:type="character" w:styleId="936" w:customStyle="1">
    <w:name w:val="正文文本 字符"/>
    <w:basedOn w:val="719"/>
    <w:link w:val="729"/>
    <w:uiPriority w:val="0"/>
    <w:qFormat/>
    <w:rPr>
      <w:rFonts w:ascii="楷体_GB2312" w:hAnsi="Calibri" w:eastAsia="楷体_GB2312" w:cs="Times New Roman"/>
      <w:sz w:val="28"/>
      <w:szCs w:val="20"/>
    </w:rPr>
  </w:style>
  <w:style w:type="character" w:styleId="937" w:customStyle="1">
    <w:name w:val="正文文本缩进 字符"/>
    <w:basedOn w:val="719"/>
    <w:link w:val="730"/>
    <w:uiPriority w:val="99"/>
    <w:qFormat/>
    <w:rPr>
      <w:rFonts w:ascii="方正仿宋简体" w:hAnsi="创艺简仿宋" w:eastAsia="方正仿宋简体" w:cs="Times New Roman"/>
      <w:sz w:val="24"/>
      <w:szCs w:val="20"/>
    </w:rPr>
  </w:style>
  <w:style w:type="character" w:styleId="938" w:customStyle="1">
    <w:name w:val="纯文本 字符"/>
    <w:basedOn w:val="719"/>
    <w:link w:val="735"/>
    <w:uiPriority w:val="0"/>
    <w:qFormat/>
    <w:rPr>
      <w:rFonts w:ascii="宋体" w:hAnsi="Courier New" w:eastAsia="楷体_GB2312" w:cs="Times New Roman"/>
      <w:sz w:val="26"/>
      <w:szCs w:val="20"/>
    </w:rPr>
  </w:style>
  <w:style w:type="character" w:styleId="939" w:customStyle="1">
    <w:name w:val="日期 字符"/>
    <w:basedOn w:val="719"/>
    <w:link w:val="738"/>
    <w:uiPriority w:val="0"/>
    <w:qFormat/>
    <w:rPr>
      <w:rFonts w:ascii="宋体" w:hAnsi="宋体" w:eastAsia="楷体_GB2312" w:cs="Times New Roman"/>
      <w:sz w:val="24"/>
      <w:szCs w:val="20"/>
    </w:rPr>
  </w:style>
  <w:style w:type="character" w:styleId="940" w:customStyle="1">
    <w:name w:val="正文文本缩进 2 字符"/>
    <w:basedOn w:val="719"/>
    <w:link w:val="739"/>
    <w:uiPriority w:val="0"/>
    <w:qFormat/>
    <w:rPr>
      <w:rFonts w:ascii="宋体" w:hAnsi="Calibri" w:eastAsia="宋体" w:cs="Times New Roman"/>
      <w:b/>
      <w:bCs/>
      <w:sz w:val="24"/>
      <w:szCs w:val="20"/>
    </w:rPr>
  </w:style>
  <w:style w:type="character" w:styleId="941" w:customStyle="1">
    <w:name w:val="尾注文本 字符"/>
    <w:basedOn w:val="719"/>
    <w:link w:val="740"/>
    <w:uiPriority w:val="0"/>
    <w:qFormat/>
    <w:rPr>
      <w:rFonts w:ascii="Calibri" w:hAnsi="Calibri" w:eastAsia="楷体_GB2312" w:cs="Times New Roman"/>
      <w:sz w:val="26"/>
      <w:szCs w:val="20"/>
    </w:rPr>
  </w:style>
  <w:style w:type="character" w:styleId="942" w:customStyle="1">
    <w:name w:val="批注框文本 字符"/>
    <w:basedOn w:val="719"/>
    <w:link w:val="741"/>
    <w:uiPriority w:val="99"/>
    <w:qFormat/>
    <w:rPr>
      <w:rFonts w:ascii="Calibri" w:hAnsi="Calibri" w:eastAsia="楷体_GB2312" w:cs="Times New Roman"/>
      <w:sz w:val="18"/>
      <w:szCs w:val="18"/>
    </w:rPr>
  </w:style>
  <w:style w:type="character" w:styleId="943" w:customStyle="1">
    <w:name w:val="页脚 字符"/>
    <w:basedOn w:val="719"/>
    <w:link w:val="742"/>
    <w:uiPriority w:val="99"/>
    <w:qFormat/>
    <w:rPr>
      <w:rFonts w:ascii="Calibri" w:hAnsi="Calibri" w:eastAsia="楷体_GB2312" w:cs="Times New Roman"/>
      <w:sz w:val="18"/>
      <w:szCs w:val="20"/>
    </w:rPr>
  </w:style>
  <w:style w:type="character" w:styleId="944" w:customStyle="1">
    <w:name w:val="页眉 字符"/>
    <w:basedOn w:val="719"/>
    <w:link w:val="743"/>
    <w:uiPriority w:val="99"/>
    <w:qFormat/>
    <w:rPr>
      <w:rFonts w:ascii="Calibri" w:hAnsi="Calibri" w:eastAsia="楷体_GB2312" w:cs="Times New Roman"/>
      <w:sz w:val="18"/>
      <w:szCs w:val="20"/>
    </w:rPr>
  </w:style>
  <w:style w:type="character" w:styleId="945" w:customStyle="1">
    <w:name w:val="副标题 字符"/>
    <w:basedOn w:val="719"/>
    <w:link w:val="748"/>
    <w:uiPriority w:val="0"/>
    <w:qFormat/>
    <w:rPr>
      <w:rFonts w:ascii="Cambria" w:hAnsi="Cambria" w:eastAsia="宋体" w:cs="Times New Roman"/>
      <w:b/>
      <w:bCs/>
      <w:sz w:val="24"/>
      <w:szCs w:val="32"/>
    </w:rPr>
  </w:style>
  <w:style w:type="character" w:styleId="946" w:customStyle="1">
    <w:name w:val="脚注文本 字符"/>
    <w:basedOn w:val="719"/>
    <w:link w:val="749"/>
    <w:uiPriority w:val="0"/>
    <w:qFormat/>
    <w:rPr>
      <w:rFonts w:ascii="Calibri" w:hAnsi="Calibri" w:eastAsia="楷体_GB2312" w:cs="Times New Roman"/>
      <w:sz w:val="18"/>
      <w:szCs w:val="20"/>
    </w:rPr>
  </w:style>
  <w:style w:type="character" w:styleId="947" w:customStyle="1">
    <w:name w:val="正文文本缩进 3 字符"/>
    <w:basedOn w:val="719"/>
    <w:link w:val="751"/>
    <w:uiPriority w:val="0"/>
    <w:qFormat/>
    <w:rPr>
      <w:rFonts w:ascii="Calibri" w:hAnsi="Calibri" w:eastAsia="宋体" w:cs="Times New Roman"/>
      <w:sz w:val="24"/>
      <w:szCs w:val="24"/>
    </w:rPr>
  </w:style>
  <w:style w:type="character" w:styleId="948" w:customStyle="1">
    <w:name w:val="HTML 预设格式 字符"/>
    <w:basedOn w:val="719"/>
    <w:link w:val="757"/>
    <w:uiPriority w:val="0"/>
    <w:qFormat/>
    <w:rPr>
      <w:rFonts w:ascii="黑体" w:hAnsi="Courier New" w:eastAsia="黑体" w:cs="Times New Roman"/>
      <w:sz w:val="20"/>
      <w:szCs w:val="20"/>
    </w:rPr>
  </w:style>
  <w:style w:type="character" w:styleId="949" w:customStyle="1">
    <w:name w:val="标题 字符"/>
    <w:basedOn w:val="719"/>
    <w:link w:val="760"/>
    <w:uiPriority w:val="0"/>
    <w:qFormat/>
    <w:rPr>
      <w:rFonts w:ascii="Cambria" w:hAnsi="Cambria" w:eastAsia="宋体" w:cs="Times New Roman"/>
      <w:b/>
      <w:bCs/>
      <w:sz w:val="32"/>
      <w:szCs w:val="32"/>
    </w:rPr>
  </w:style>
  <w:style w:type="character" w:styleId="950" w:customStyle="1">
    <w:name w:val="批注主题 字符"/>
    <w:basedOn w:val="935"/>
    <w:link w:val="761"/>
    <w:uiPriority w:val="99"/>
    <w:qFormat/>
    <w:rPr>
      <w:rFonts w:ascii="Calibri" w:hAnsi="Calibri" w:eastAsia="楷体_GB2312" w:cs="Times New Roman"/>
      <w:b/>
      <w:bCs/>
      <w:sz w:val="26"/>
      <w:szCs w:val="20"/>
    </w:rPr>
  </w:style>
  <w:style w:type="character" w:styleId="951" w:customStyle="1">
    <w:name w:val="正文文本首行缩进 2 字符"/>
    <w:basedOn w:val="937"/>
    <w:link w:val="762"/>
    <w:uiPriority w:val="0"/>
    <w:qFormat/>
    <w:rPr>
      <w:rFonts w:ascii="Calibri" w:hAnsi="Calibri" w:eastAsia="楷体_GB2312" w:cs="Times New Roman"/>
      <w:sz w:val="26"/>
      <w:szCs w:val="20"/>
    </w:rPr>
  </w:style>
  <w:style w:type="character" w:styleId="952" w:customStyle="1">
    <w:name w:val="Plain Text Char Char"/>
    <w:link w:val="953"/>
    <w:uiPriority w:val="0"/>
    <w:qFormat/>
    <w:rPr>
      <w:rFonts w:ascii="宋体" w:hAnsi="Courier New" w:eastAsia="楷体_GB2312"/>
      <w:sz w:val="26"/>
    </w:rPr>
  </w:style>
  <w:style w:type="paragraph" w:styleId="953" w:customStyle="1">
    <w:name w:val="纯文本3"/>
    <w:basedOn w:val="709"/>
    <w:link w:val="952"/>
    <w:uiPriority w:val="0"/>
    <w:qFormat/>
    <w:rPr>
      <w:rFonts w:ascii="宋体" w:hAnsi="Courier New" w:eastAsia="楷体_GB2312"/>
      <w:sz w:val="26"/>
    </w:rPr>
  </w:style>
  <w:style w:type="character" w:styleId="954" w:customStyle="1">
    <w:name w:val="styl81"/>
    <w:uiPriority w:val="0"/>
    <w:qFormat/>
    <w:rPr>
      <w:sz w:val="21"/>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709"/>
    <w:link w:val="955"/>
    <w:uiPriority w:val="0"/>
    <w:qFormat/>
    <w:rPr>
      <w:rFonts w:ascii="宋体" w:hAnsi="Courier New" w:eastAsia="楷体_GB2312"/>
      <w:sz w:val="26"/>
    </w:rPr>
  </w:style>
  <w:style w:type="character" w:styleId="957" w:customStyle="1">
    <w:name w:val="表正文 Char1"/>
    <w:uiPriority w:val="0"/>
    <w:qFormat/>
    <w:rPr>
      <w:rFonts w:eastAsia="楷体_GB2312"/>
      <w:sz w:val="24"/>
      <w:lang w:val="en-US" w:eastAsia="zh-CN" w:bidi="ar-SA"/>
    </w:rPr>
  </w:style>
  <w:style w:type="character" w:styleId="958" w:customStyle="1">
    <w:name w:val="_正文段落 Char"/>
    <w:link w:val="959"/>
    <w:uiPriority w:val="0"/>
    <w:qFormat/>
    <w:rPr>
      <w:rFonts w:ascii="宋体" w:hAnsi="宋体"/>
      <w:sz w:val="24"/>
      <w:szCs w:val="24"/>
    </w:rPr>
  </w:style>
  <w:style w:type="paragraph" w:styleId="959" w:customStyle="1">
    <w:name w:val="_正文段落"/>
    <w:basedOn w:val="709"/>
    <w:link w:val="958"/>
    <w:uiPriority w:val="0"/>
    <w:qFormat/>
    <w:pPr>
      <w:ind w:firstLine="480"/>
      <w:spacing w:line="360" w:lineRule="auto"/>
    </w:pPr>
    <w:rPr>
      <w:rFonts w:ascii="宋体" w:hAnsi="宋体"/>
      <w:sz w:val="24"/>
      <w:szCs w:val="24"/>
    </w:rPr>
  </w:style>
  <w:style w:type="character" w:styleId="960" w:customStyle="1">
    <w:name w:val="Andy_正文 Char"/>
    <w:link w:val="961"/>
    <w:uiPriority w:val="0"/>
    <w:qFormat/>
    <w:rPr>
      <w:sz w:val="24"/>
      <w:szCs w:val="24"/>
    </w:rPr>
  </w:style>
  <w:style w:type="paragraph" w:styleId="961" w:customStyle="1">
    <w:name w:val="Andy_正文"/>
    <w:basedOn w:val="709"/>
    <w:link w:val="960"/>
    <w:uiPriority w:val="0"/>
    <w:qFormat/>
    <w:pPr>
      <w:ind w:firstLine="480"/>
      <w:spacing w:line="360" w:lineRule="auto"/>
    </w:pPr>
    <w:rPr>
      <w:sz w:val="24"/>
      <w:szCs w:val="24"/>
    </w:rPr>
  </w:style>
  <w:style w:type="character" w:styleId="962" w:customStyle="1">
    <w:name w:val="正文缩进 Char1"/>
    <w:uiPriority w:val="0"/>
    <w:qFormat/>
    <w:rPr>
      <w:rFonts w:eastAsia="楷体_GB2312"/>
      <w:sz w:val="24"/>
    </w:rPr>
  </w:style>
  <w:style w:type="character" w:styleId="963" w:customStyle="1">
    <w:name w:val="副标题 Char1"/>
    <w:uiPriority w:val="11"/>
    <w:qFormat/>
    <w:rPr>
      <w:rFonts w:ascii="Cambria" w:hAnsi="Cambria" w:cs="Times New Roman"/>
      <w:b/>
      <w:bCs/>
      <w:sz w:val="32"/>
      <w:szCs w:val="32"/>
    </w:rPr>
  </w:style>
  <w:style w:type="character" w:styleId="964" w:customStyle="1">
    <w:name w:val="Andy_2级 Char"/>
    <w:link w:val="965"/>
    <w:uiPriority w:val="0"/>
    <w:qFormat/>
    <w:rPr>
      <w:sz w:val="24"/>
    </w:rPr>
  </w:style>
  <w:style w:type="paragraph" w:styleId="965" w:customStyle="1">
    <w:name w:val="Andy_2级"/>
    <w:basedOn w:val="709"/>
    <w:link w:val="964"/>
    <w:uiPriority w:val="0"/>
    <w:qFormat/>
    <w:pPr>
      <w:numPr>
        <w:ilvl w:val="1"/>
        <w:numId w:val="1"/>
      </w:numPr>
      <w:spacing w:line="360" w:lineRule="auto"/>
    </w:pPr>
    <w:rPr>
      <w:sz w:val="24"/>
    </w:rPr>
  </w:style>
  <w:style w:type="character" w:styleId="966" w:customStyle="1">
    <w:name w:val="副标题 Char2"/>
    <w:uiPriority w:val="0"/>
    <w:qFormat/>
    <w:rPr>
      <w:rFonts w:ascii="Cambria" w:hAnsi="Cambria" w:cs="Times New Roman"/>
      <w:b/>
      <w:bCs/>
      <w:sz w:val="32"/>
      <w:szCs w:val="32"/>
    </w:rPr>
  </w:style>
  <w:style w:type="character" w:styleId="967" w:customStyle="1">
    <w:name w:val="正文首行缩进 2 Char1"/>
    <w:uiPriority w:val="0"/>
    <w:qFormat/>
    <w:rPr>
      <w:rFonts w:ascii="方正仿宋简体" w:hAnsi="创艺简仿宋" w:eastAsia="楷体_GB2312"/>
      <w:sz w:val="26"/>
    </w:rPr>
  </w:style>
  <w:style w:type="character" w:styleId="968" w:customStyle="1">
    <w:name w:val="ca-221"/>
    <w:uiPriority w:val="0"/>
    <w:qFormat/>
    <w:rPr>
      <w:rFonts w:hint="eastAsia" w:ascii="宋体" w:hAnsi="宋体" w:eastAsia="宋体"/>
      <w:color w:val="ff0000"/>
      <w:sz w:val="24"/>
      <w:szCs w:val="24"/>
    </w:rPr>
  </w:style>
  <w:style w:type="paragraph" w:styleId="969" w:customStyle="1">
    <w:name w:val="纯文本11"/>
    <w:basedOn w:val="709"/>
    <w:uiPriority w:val="0"/>
    <w:qFormat/>
    <w:rPr>
      <w:rFonts w:ascii="宋体" w:hAnsi="Courier New" w:eastAsia="楷体_GB2312" w:cs="Times New Roman"/>
      <w:sz w:val="26"/>
      <w:szCs w:val="20"/>
    </w:rPr>
  </w:style>
  <w:style w:type="paragraph" w:styleId="970" w:customStyle="1">
    <w:name w:val="xl7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1" w:customStyle="1">
    <w:name w:val="xl6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2" w:customStyle="1">
    <w:name w:val="xl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3" w:customStyle="1">
    <w:name w:val="xl8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4" w:customStyle="1">
    <w:name w:val="纯文本2"/>
    <w:basedOn w:val="709"/>
    <w:uiPriority w:val="0"/>
    <w:qFormat/>
    <w:rPr>
      <w:rFonts w:ascii="宋体" w:hAnsi="Courier New" w:eastAsia="楷体_GB2312" w:cs="Times New Roman"/>
      <w:sz w:val="26"/>
      <w:szCs w:val="20"/>
    </w:rPr>
  </w:style>
  <w:style w:type="paragraph" w:styleId="975" w:customStyle="1">
    <w:name w:val="列出段落2"/>
    <w:basedOn w:val="709"/>
    <w:uiPriority w:val="0"/>
    <w:qFormat/>
    <w:pPr>
      <w:ind w:firstLine="420"/>
    </w:pPr>
    <w:rPr>
      <w:rFonts w:ascii="Calibri" w:hAnsi="Calibri" w:eastAsia="宋体" w:cs="Times New Roman"/>
    </w:rPr>
  </w:style>
  <w:style w:type="paragraph" w:styleId="976"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7" w:customStyle="1">
    <w:name w:val="xl9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8" w:customStyle="1">
    <w:name w:val="Char Char Char Char"/>
    <w:basedOn w:val="726"/>
    <w:uiPriority w:val="0"/>
    <w:qFormat/>
    <w:pPr>
      <w:ind w:left="357"/>
      <w:jc w:val="left"/>
      <w:spacing w:line="436" w:lineRule="exact"/>
      <w:outlineLvl w:val="3"/>
    </w:pPr>
    <w:rPr>
      <w:rFonts w:ascii="Tahoma" w:hAnsi="Tahoma" w:eastAsia="宋体"/>
      <w:b/>
      <w:sz w:val="24"/>
      <w:szCs w:val="24"/>
    </w:rPr>
  </w:style>
  <w:style w:type="paragraph" w:styleId="979" w:customStyle="1">
    <w:name w:val="列出段落1"/>
    <w:basedOn w:val="709"/>
    <w:uiPriority w:val="0"/>
    <w:qFormat/>
    <w:pPr>
      <w:ind w:firstLine="420"/>
    </w:pPr>
    <w:rPr>
      <w:rFonts w:ascii="Calibri" w:hAnsi="Calibri" w:eastAsia="楷体_GB2312" w:cs="Times New Roman"/>
      <w:sz w:val="26"/>
      <w:szCs w:val="20"/>
    </w:rPr>
  </w:style>
  <w:style w:type="paragraph" w:styleId="980" w:customStyle="1">
    <w:name w:val="xl7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1" w:customStyle="1">
    <w:name w:val="纯文本4"/>
    <w:basedOn w:val="709"/>
    <w:uiPriority w:val="0"/>
    <w:qFormat/>
    <w:rPr>
      <w:rFonts w:ascii="宋体" w:hAnsi="Courier New" w:eastAsia="楷体_GB2312" w:cs="Times New Roman"/>
      <w:sz w:val="26"/>
      <w:szCs w:val="20"/>
    </w:rPr>
  </w:style>
  <w:style w:type="paragraph" w:styleId="982" w:customStyle="1">
    <w:name w:val="xl9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3" w:customStyle="1">
    <w:name w:val="xl66"/>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4" w:customStyle="1">
    <w:name w:val="xl94"/>
    <w:basedOn w:val="70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5" w:customStyle="1">
    <w:name w:val="Char Char3"/>
    <w:basedOn w:val="709"/>
    <w:uiPriority w:val="0"/>
    <w:qFormat/>
    <w:pPr>
      <w:jc w:val="left"/>
      <w:spacing w:after="160" w:line="240" w:lineRule="exact"/>
      <w:widowControl/>
    </w:pPr>
    <w:rPr>
      <w:rFonts w:ascii="Calibri" w:hAnsi="Calibri" w:eastAsia="宋体" w:cs="Times New Roman"/>
      <w:sz w:val="24"/>
      <w:szCs w:val="24"/>
    </w:rPr>
  </w:style>
  <w:style w:type="paragraph" w:styleId="986" w:customStyle="1">
    <w:name w:val="xl9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7" w:customStyle="1">
    <w:name w:val="xl8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8" w:customStyle="1">
    <w:name w:val="q3"/>
    <w:basedOn w:val="70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9" w:customStyle="1">
    <w:name w:val="xl9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0" w:customStyle="1">
    <w:name w:val="Char Char Char"/>
    <w:basedOn w:val="709"/>
    <w:uiPriority w:val="0"/>
    <w:qFormat/>
    <w:pPr>
      <w:numPr>
        <w:ilvl w:val="0"/>
        <w:numId w:val="2"/>
      </w:numPr>
    </w:pPr>
    <w:rPr>
      <w:rFonts w:ascii="Calibri" w:hAnsi="Calibri" w:eastAsia="宋体" w:cs="Times New Roman"/>
      <w:sz w:val="24"/>
      <w:szCs w:val="24"/>
    </w:rPr>
  </w:style>
  <w:style w:type="paragraph" w:styleId="991" w:customStyle="1">
    <w:name w:val="xl8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2" w:customStyle="1">
    <w:name w:val="修订1"/>
    <w:uiPriority w:val="99"/>
    <w:unhideWhenUsed/>
    <w:qFormat/>
    <w:rPr>
      <w:rFonts w:ascii="Calibri" w:hAnsi="Calibri" w:eastAsia="楷体_GB2312" w:cs="Times New Roman"/>
      <w:sz w:val="26"/>
      <w:lang w:val="en-US" w:eastAsia="zh-CN" w:bidi="ar-SA"/>
    </w:rPr>
  </w:style>
  <w:style w:type="paragraph" w:styleId="993" w:customStyle="1">
    <w:name w:val="xl7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4"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5" w:customStyle="1">
    <w:name w:val="纯文本111"/>
    <w:basedOn w:val="709"/>
    <w:uiPriority w:val="0"/>
    <w:qFormat/>
    <w:rPr>
      <w:rFonts w:ascii="宋体" w:hAnsi="Courier New" w:eastAsia="楷体_GB2312" w:cs="Times New Roman"/>
      <w:sz w:val="26"/>
      <w:szCs w:val="20"/>
    </w:rPr>
  </w:style>
  <w:style w:type="paragraph" w:styleId="996" w:customStyle="1">
    <w:name w:val="xl93"/>
    <w:basedOn w:val="7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7"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8" w:customStyle="1">
    <w:name w:val="xl7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9" w:customStyle="1">
    <w:name w:val="xl8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0" w:customStyle="1">
    <w:name w:val="Char"/>
    <w:basedOn w:val="70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1" w:customStyle="1">
    <w:name w:val="xl67"/>
    <w:basedOn w:val="70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2" w:customStyle="1">
    <w:name w:val="xl8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3" w:customStyle="1">
    <w:name w:val="xl7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4" w:customStyle="1">
    <w:name w:val="xl68"/>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5" w:customStyle="1">
    <w:name w:val="正文1"/>
    <w:basedOn w:val="709"/>
    <w:next w:val="709"/>
    <w:uiPriority w:val="0"/>
    <w:qFormat/>
    <w:pPr>
      <w:ind w:left="420" w:firstLine="527"/>
      <w:spacing w:before="120" w:line="360" w:lineRule="auto"/>
    </w:pPr>
    <w:rPr>
      <w:rFonts w:ascii="宋体" w:hAnsi="宋体" w:eastAsia="宋体" w:cs="Times New Roman"/>
      <w:sz w:val="24"/>
      <w:szCs w:val="24"/>
    </w:rPr>
  </w:style>
  <w:style w:type="paragraph" w:styleId="1006" w:customStyle="1">
    <w:name w:val="xl9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7" w:customStyle="1">
    <w:name w:val="xl8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8" w:customStyle="1">
    <w:name w:val="xl7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9" w:customStyle="1">
    <w:name w:val="xl8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0">
    <w:name w:val="List Paragraph"/>
    <w:basedOn w:val="709"/>
    <w:uiPriority w:val="34"/>
    <w:qFormat/>
    <w:pPr>
      <w:ind w:firstLine="420"/>
    </w:pPr>
    <w:rPr>
      <w:rFonts w:ascii="Calibri" w:hAnsi="Calibri" w:eastAsia="楷体_GB2312" w:cs="Times New Roman"/>
      <w:sz w:val="26"/>
      <w:szCs w:val="20"/>
    </w:rPr>
  </w:style>
  <w:style w:type="paragraph" w:styleId="1011" w:customStyle="1">
    <w:name w:val="纯文本5"/>
    <w:basedOn w:val="709"/>
    <w:uiPriority w:val="0"/>
    <w:qFormat/>
    <w:rPr>
      <w:rFonts w:ascii="宋体" w:hAnsi="Courier New" w:eastAsia="楷体_GB2312" w:cs="Times New Roman"/>
      <w:sz w:val="26"/>
      <w:szCs w:val="20"/>
    </w:rPr>
  </w:style>
  <w:style w:type="paragraph" w:styleId="1012" w:customStyle="1">
    <w:name w:val="xl8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3" w:customStyle="1">
    <w:name w:val="xl8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4" w:customStyle="1">
    <w:name w:val="xl7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5" w:customStyle="1">
    <w:name w:val="xl9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6" w:customStyle="1">
    <w:name w:val="xl7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7" w:customStyle="1">
    <w:name w:val="xl8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8" w:customStyle="1">
    <w:name w:val="网格型1"/>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9" w:customStyle="1">
    <w:name w:val="Plain Text1"/>
    <w:basedOn w:val="709"/>
    <w:uiPriority w:val="0"/>
    <w:qFormat/>
    <w:rPr>
      <w:rFonts w:ascii="宋体" w:hAnsi="Courier New" w:eastAsia="楷体_GB2312" w:cs="Times New Roman"/>
      <w:sz w:val="26"/>
      <w:szCs w:val="20"/>
    </w:rPr>
  </w:style>
  <w:style w:type="paragraph" w:styleId="1020"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1"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4"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6" w:customStyle="1">
    <w:name w:val="font81"/>
    <w:basedOn w:val="719"/>
    <w:uiPriority w:val="0"/>
    <w:qFormat/>
    <w:rPr>
      <w:rFonts w:hint="eastAsia" w:ascii="宋体" w:hAnsi="宋体" w:eastAsia="宋体" w:cs="宋体"/>
      <w:color w:val="000000"/>
      <w:sz w:val="18"/>
      <w:szCs w:val="18"/>
      <w:u w:val="none"/>
    </w:rPr>
  </w:style>
  <w:style w:type="character" w:styleId="1027" w:customStyle="1">
    <w:name w:val="font91"/>
    <w:basedOn w:val="719"/>
    <w:uiPriority w:val="0"/>
    <w:qFormat/>
    <w:rPr>
      <w:rFonts w:hint="eastAsia" w:ascii="宋体" w:hAnsi="宋体" w:eastAsia="宋体" w:cs="宋体"/>
      <w:b/>
      <w:bCs/>
      <w:color w:val="ff0000"/>
      <w:sz w:val="18"/>
      <w:szCs w:val="18"/>
      <w:u w:val="none"/>
    </w:rPr>
  </w:style>
  <w:style w:type="character" w:styleId="1028" w:customStyle="1">
    <w:name w:val="font21"/>
    <w:basedOn w:val="719"/>
    <w:uiPriority w:val="0"/>
    <w:qFormat/>
    <w:rPr>
      <w:rFonts w:hint="eastAsia" w:ascii="宋体" w:hAnsi="宋体" w:eastAsia="宋体" w:cs="宋体"/>
      <w:b/>
      <w:bCs/>
      <w:color w:val="000000"/>
      <w:sz w:val="22"/>
      <w:szCs w:val="22"/>
      <w:u w:val="none"/>
    </w:rPr>
  </w:style>
  <w:style w:type="character" w:styleId="1029" w:customStyle="1">
    <w:name w:val="font51"/>
    <w:basedOn w:val="719"/>
    <w:uiPriority w:val="0"/>
    <w:qFormat/>
    <w:rPr>
      <w:rFonts w:hint="eastAsia" w:ascii="宋体" w:hAnsi="宋体" w:eastAsia="宋体" w:cs="宋体"/>
      <w:b/>
      <w:bCs/>
      <w:color w:val="ff0000"/>
      <w:sz w:val="22"/>
      <w:szCs w:val="22"/>
      <w:u w:val="none"/>
    </w:rPr>
  </w:style>
  <w:style w:type="character" w:styleId="1030" w:customStyle="1">
    <w:name w:val="font31"/>
    <w:basedOn w:val="719"/>
    <w:uiPriority w:val="0"/>
    <w:qFormat/>
    <w:rPr>
      <w:rFonts w:hint="eastAsia" w:ascii="宋体" w:hAnsi="宋体" w:eastAsia="宋体" w:cs="宋体"/>
      <w:color w:val="000000"/>
      <w:sz w:val="22"/>
      <w:szCs w:val="22"/>
      <w:u w:val="none"/>
    </w:rPr>
  </w:style>
  <w:style w:type="character" w:styleId="1031" w:customStyle="1">
    <w:name w:val="font61"/>
    <w:basedOn w:val="719"/>
    <w:uiPriority w:val="0"/>
    <w:qFormat/>
    <w:rPr>
      <w:rFonts w:hint="eastAsia" w:ascii="宋体" w:hAnsi="宋体" w:eastAsia="宋体" w:cs="宋体"/>
      <w:color w:val="ff0000"/>
      <w:sz w:val="22"/>
      <w:szCs w:val="22"/>
      <w:u w:val="none"/>
    </w:rPr>
  </w:style>
  <w:style w:type="table" w:styleId="1032" w:customStyle="1">
    <w:name w:val="Table Normal"/>
    <w:uiPriority w:val="0"/>
    <w:unhideWhenUsed/>
    <w:qFormat/>
    <w:tblPr>
      <w:tblCellMar>
        <w:left w:w="0" w:type="dxa"/>
        <w:top w:w="0" w:type="dxa"/>
        <w:right w:w="0" w:type="dxa"/>
        <w:bottom w:w="0" w:type="dxa"/>
      </w:tblCellMar>
    </w:tblPr>
  </w:style>
  <w:style w:type="paragraph" w:styleId="1033" w:customStyle="1">
    <w:name w:val="纯文本6"/>
    <w:basedOn w:val="709"/>
    <w:uiPriority w:val="0"/>
    <w:qFormat/>
    <w:rPr>
      <w:rFonts w:ascii="宋体" w:hAnsi="Courier New"/>
    </w:rPr>
  </w:style>
  <w:style w:type="character" w:styleId="1034" w:customStyle="1">
    <w:name w:val="NormalCharacter"/>
    <w:uiPriority w:val="0"/>
    <w:semiHidden/>
    <w:qFormat/>
  </w:style>
  <w:style w:type="paragraph" w:styleId="1035" w:customStyle="1">
    <w:name w:val="正文缩进1"/>
    <w:basedOn w:val="709"/>
    <w:next w:val="709"/>
    <w:uiPriority w:val="0"/>
    <w:qFormat/>
    <w:pPr>
      <w:ind w:firstLine="420"/>
      <w:jc w:val="left"/>
    </w:pPr>
    <w:rPr>
      <w:sz w:val="24"/>
    </w:rPr>
  </w:style>
  <w:style w:type="paragraph" w:styleId="1036"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7"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38" w:customStyle="1">
    <w:name w:val="p_text_indent_2"/>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39"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280</cp:revision>
  <dcterms:created xsi:type="dcterms:W3CDTF">2026-07-16T03:06:00Z</dcterms:created>
  <dcterms:modified xsi:type="dcterms:W3CDTF">2026-09-16T02:19:35Z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0A0646F1BEF3409E9C455129CB8677F1_13</vt:lpwstr>
  </property>
  <property fmtid="{D5CDD505-2E9C-101B-9397-08002B2CF9AE}" pid="4" name="KSOTemplateDocerSaveRecord">
    <vt:lpwstr>eyJoZGlkIjoiNDcyOTY2ZDg2ZWQ5ZmU4ZTI4MDIxMTM2NjJiNDA2MzYiLCJ1c2VySWQiOiIzMjk1NDQ3OTEifQ==</vt:lpwstr>
  </property>
</Properties>
</file>