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bookmarkStart w:id="6" w:name="_GoBack"/>
      <w:r/>
      <w:bookmarkEnd w:id="6"/>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126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rPr>
        <w:t xml:space="preserve">JSZC-320500-HWZX-G2026-0616</w:t>
      </w:r>
      <w:r/>
    </w:p>
    <w:p>
      <w:pPr>
        <w:ind w:left="126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126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：自动化移液工作站</w:t>
      </w:r>
      <w:r/>
    </w:p>
    <w:p>
      <w:pPr>
        <w:ind w:left="12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82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十</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8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36"/>
        <w:gridCol w:w="6684"/>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自动化移液工作站</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中标供应商应当在合同签订后2个月内将货物运送至采购人指定仓库，由双方对货物进行预验收</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人民币240万元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人民币240万元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w:t>
            </w:r>
            <w:r>
              <w:rPr>
                <w:rFonts w:hint="eastAsia" w:ascii="宋体" w:hAnsi="宋体" w:eastAsia="宋体" w:cs="宋体"/>
                <w:sz w:val="24"/>
                <w:highlight w:val="none"/>
              </w:rPr>
              <w:t xml:space="preserve">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0.912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2026年11月04日09时30分（北京时间）</w:t>
            </w:r>
            <w:r/>
          </w:p>
        </w:tc>
      </w:tr>
      <w:tr>
        <w:trPr>
          <w:trHeight w:val="451"/>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2026年11月04日09时30分（北京时间）</w:t>
            </w:r>
            <w:r/>
          </w:p>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采购人根据评标委员会确定的中标候选人名单确定中标人</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金额：合同金额的10%，相关条款详见招标文件。</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82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54</w:t>
          </w:r>
          <w:r>
            <w:rPr>
              <w:rFonts w:hint="eastAsia" w:ascii="宋体" w:hAnsi="宋体" w:eastAsia="宋体" w:cs="宋体"/>
              <w:sz w:val="24"/>
              <w:szCs w:val="24"/>
              <w:highlight w:val="none"/>
            </w:rPr>
            <w:fldChar w:fldCharType="end"/>
          </w:r>
          <w:r>
            <w:rPr>
              <w:rFonts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68</w:t>
          </w:r>
          <w:r>
            <w:rPr>
              <w:rFonts w:hint="eastAsia" w:ascii="宋体" w:hAnsi="宋体" w:eastAsia="宋体" w:cs="宋体"/>
              <w:sz w:val="24"/>
              <w:szCs w:val="24"/>
              <w:highlight w:val="none"/>
            </w:rPr>
            <w:fldChar w:fldCharType="end"/>
          </w:r>
          <w:r>
            <w:rPr>
              <w:rFonts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自动化移液工作站</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w:t>
      </w:r>
      <w:r>
        <w:rPr>
          <w:rFonts w:ascii="宋体" w:hAnsi="宋体" w:eastAsia="宋体" w:cs="宋体"/>
          <w:sz w:val="24"/>
          <w:szCs w:val="24"/>
          <w:highlight w:val="none"/>
        </w:rPr>
        <w:t xml:space="preserve">在</w:t>
      </w:r>
      <w:r>
        <w:rPr>
          <w:rFonts w:ascii="宋体" w:hAnsi="宋体" w:eastAsia="宋体" w:cs="宋体"/>
          <w:sz w:val="24"/>
          <w:szCs w:val="24"/>
          <w:highlight w:val="none"/>
          <w:u w:val="single"/>
        </w:rPr>
        <w:t xml:space="preserve">“苏采云”系统</w:t>
      </w:r>
      <w:r>
        <w:rPr>
          <w:rFonts w:ascii="宋体" w:hAnsi="宋体" w:eastAsia="宋体" w:cs="宋体"/>
          <w:sz w:val="24"/>
          <w:szCs w:val="24"/>
          <w:highlight w:val="none"/>
        </w:rPr>
        <w:t xml:space="preserve">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，并于</w:t>
      </w:r>
      <w:r>
        <w:rPr>
          <w:rFonts w:hint="eastAsia" w:ascii="宋体" w:hAnsi="宋体" w:eastAsia="宋体" w:cs="宋体"/>
          <w:sz w:val="24"/>
          <w:szCs w:val="24"/>
          <w:highlight w:val="none"/>
          <w:u w:val="single"/>
        </w:rPr>
        <w:t xml:space="preserve">2026年11月04日09时30分（北京时间）</w:t>
      </w:r>
      <w:r>
        <w:rPr>
          <w:rFonts w:ascii="宋体" w:hAnsi="宋体" w:eastAsia="宋体" w:cs="宋体"/>
          <w:sz w:val="24"/>
          <w:szCs w:val="24"/>
          <w:highlight w:val="none"/>
        </w:rPr>
        <w:t xml:space="preserve">前递交投标文件。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JSZC-320500-HWZX-G2026-0616</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rPr>
          <w:rFonts w:hint="eastAsia" w:ascii="宋体" w:hAnsi="宋体" w:eastAsia="宋体" w:cs="宋体"/>
          <w:sz w:val="24"/>
          <w:szCs w:val="24"/>
          <w:highlight w:val="none"/>
        </w:rPr>
        <w:t xml:space="preserve">自动化移液工作站</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人民币240万元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人民币240万元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自动化移液工作站1套。具体采购需求详见招标文件。</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中标供应商应当在合同签订后2个月内将货物运送至采购人指定仓库，由双方对货物进行预验收。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本项目(是/否)接受联合体投标:否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无。</w:t>
      </w:r>
      <w:r/>
    </w:p>
    <w:p>
      <w:pPr>
        <w:pStyle w:val="819"/>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rPr>
        <w:t xml:space="preserve">2026年11月04日09时30分（北京时间）</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w:t>
      </w:r>
      <w:r>
        <w:rPr>
          <w:rFonts w:hint="eastAsia" w:ascii="宋体" w:hAnsi="宋体" w:eastAsia="宋体" w:cs="宋体"/>
          <w:b/>
          <w:bCs/>
          <w:sz w:val="24"/>
          <w:szCs w:val="24"/>
          <w:highlight w:val="none"/>
          <w:lang w:eastAsia="zh-CN"/>
        </w:rPr>
        <w:t xml:space="preserve">0512-65737699</w:t>
      </w:r>
      <w:r>
        <w:rPr>
          <w:rFonts w:hint="eastAsia" w:ascii="宋体" w:hAnsi="宋体" w:eastAsia="宋体" w:cs="宋体"/>
          <w:b/>
          <w:bCs/>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联系人：丁老师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：0512-67504359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10.2供应商应自行对有关现场和周围环境进行考察，以获取编制投标文件和签署合同所需的信息。考察现场所发生的费用由供应商自己承担。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16.3《开标一览表》为在开标时唱标的内容，要求按格式填写，统一规范，不得自行增减内容。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w:t>
      </w:r>
      <w:r>
        <w:rPr>
          <w:rFonts w:hint="eastAsia" w:ascii="宋体" w:hAnsi="宋体" w:eastAsia="宋体" w:cs="宋体"/>
          <w:sz w:val="24"/>
          <w:szCs w:val="24"/>
          <w:highlight w:val="none"/>
          <w:lang w:eastAsia="zh-CN"/>
        </w:rPr>
        <w:t xml:space="preserve">采购包</w:t>
      </w:r>
      <w:r>
        <w:rPr>
          <w:rFonts w:hint="eastAsia" w:ascii="宋体" w:hAnsi="宋体" w:eastAsia="宋体" w:cs="宋体"/>
          <w:sz w:val="24"/>
          <w:szCs w:val="24"/>
          <w:highlight w:val="none"/>
        </w:rPr>
        <w:t xml:space="preserve">投标的，则供应商可以按招标文件要求有选择地只投其中一个或几个</w:t>
      </w:r>
      <w:r>
        <w:rPr>
          <w:rFonts w:hint="eastAsia" w:ascii="宋体" w:hAnsi="宋体" w:eastAsia="宋体" w:cs="宋体"/>
          <w:sz w:val="24"/>
          <w:szCs w:val="24"/>
          <w:highlight w:val="none"/>
          <w:lang w:eastAsia="zh-CN"/>
        </w:rPr>
        <w:t xml:space="preserve">采购包</w:t>
      </w:r>
      <w:r>
        <w:rPr>
          <w:rFonts w:hint="eastAsia" w:ascii="宋体" w:hAnsi="宋体" w:eastAsia="宋体" w:cs="宋体"/>
          <w:sz w:val="24"/>
          <w:szCs w:val="24"/>
          <w:highlight w:val="none"/>
        </w:rPr>
        <w:t xml:space="preserve">，也可以投全部</w:t>
      </w:r>
      <w:r>
        <w:rPr>
          <w:rFonts w:hint="eastAsia" w:ascii="宋体" w:hAnsi="宋体" w:eastAsia="宋体" w:cs="宋体"/>
          <w:sz w:val="24"/>
          <w:szCs w:val="24"/>
          <w:highlight w:val="none"/>
          <w:lang w:eastAsia="zh-CN"/>
        </w:rPr>
        <w:t xml:space="preserve">采购包</w:t>
      </w:r>
      <w:r>
        <w:rPr>
          <w:rFonts w:hint="eastAsia" w:ascii="宋体" w:hAnsi="宋体" w:eastAsia="宋体" w:cs="宋体"/>
          <w:sz w:val="24"/>
          <w:szCs w:val="24"/>
          <w:highlight w:val="none"/>
        </w:rPr>
        <w:t xml:space="preserve">，但各</w:t>
      </w:r>
      <w:r>
        <w:rPr>
          <w:rFonts w:hint="eastAsia" w:ascii="宋体" w:hAnsi="宋体" w:eastAsia="宋体" w:cs="宋体"/>
          <w:sz w:val="24"/>
          <w:szCs w:val="24"/>
          <w:highlight w:val="none"/>
          <w:lang w:eastAsia="zh-CN"/>
        </w:rPr>
        <w:t xml:space="preserve">采购包</w:t>
      </w:r>
      <w:r>
        <w:rPr>
          <w:rFonts w:hint="eastAsia" w:ascii="宋体" w:hAnsi="宋体" w:eastAsia="宋体" w:cs="宋体"/>
          <w:sz w:val="24"/>
          <w:szCs w:val="24"/>
          <w:highlight w:val="none"/>
        </w:rPr>
        <w:t xml:space="preserve">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rPr>
        <w:t xml:space="preserve">的有效期也相应延长。拒绝接受延期要求的供应商的投标将被拒绝，但投标保证金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rPr>
        <w:t xml:space="preserve">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32.3本项目中标单位数量：1个。</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本项目非专门面向中小企业。</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837"/>
        <w:ind w:firstLine="482"/>
        <w:spacing w:before="0" w:beforeAutospacing="0" w:after="0" w:afterAutospacing="0" w:line="360" w:lineRule="auto"/>
        <w:rPr>
          <w:rFonts w:ascii="宋体" w:hAnsi="宋体" w:eastAsia="宋体" w:cs="宋体"/>
          <w:szCs w:val="24"/>
          <w:highlight w:val="none"/>
        </w:rPr>
      </w:pPr>
      <w:r>
        <w:rPr>
          <w:rStyle w:val="843"/>
          <w:rFonts w:hint="eastAsia" w:ascii="宋体" w:hAnsi="宋体" w:eastAsia="宋体" w:cs="宋体"/>
          <w:szCs w:val="24"/>
          <w:highlight w:val="none"/>
          <w:shd w:val="clear" w:color="auto" w:fill="ffffff"/>
        </w:rPr>
        <w:t xml:space="preserve">41.1本国产品标准</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83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7">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7" o:title=""/>
              </v:shape>
            </w:pict>
          </mc:Fallback>
        </mc:AlternateConten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83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83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837"/>
        <w:jc w:val="center"/>
        <w:spacing w:before="20" w:beforeAutospacing="0" w:after="20" w:afterAutospacing="0" w:line="320" w:lineRule="atLeast"/>
        <w:rPr>
          <w:rFonts w:ascii="宋体" w:hAnsi="宋体" w:eastAsia="宋体" w:cs="宋体"/>
          <w:sz w:val="16"/>
          <w:szCs w:val="16"/>
          <w:highlight w:val="none"/>
        </w:rPr>
      </w:pPr>
      <w:r>
        <w:rPr>
          <w:rStyle w:val="843"/>
          <w:rFonts w:hint="eastAsia" w:ascii="宋体" w:hAnsi="宋体" w:eastAsia="宋体" w:cs="宋体"/>
          <w:szCs w:val="24"/>
          <w:highlight w:val="none"/>
          <w:shd w:val="clear" w:color="auto" w:fill="ffffff"/>
        </w:rPr>
        <w:t xml:space="preserve">中国境内生产的组件成本核算基本规则</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837"/>
        <w:ind w:firstLine="482"/>
        <w:spacing w:before="0" w:beforeAutospacing="0" w:after="0" w:afterAutospacing="0" w:line="360" w:lineRule="auto"/>
        <w:rPr>
          <w:rFonts w:ascii="宋体" w:hAnsi="宋体" w:eastAsia="宋体" w:cs="宋体"/>
          <w:szCs w:val="24"/>
          <w:highlight w:val="none"/>
        </w:rPr>
      </w:pPr>
      <w:r>
        <w:rPr>
          <w:rStyle w:val="843"/>
          <w:rFonts w:hint="eastAsia" w:ascii="宋体" w:hAnsi="宋体" w:eastAsia="宋体" w:cs="宋体"/>
          <w:szCs w:val="24"/>
          <w:highlight w:val="none"/>
          <w:shd w:val="clear" w:color="auto" w:fill="ffffff"/>
        </w:rPr>
        <w:t xml:space="preserve">41.2本国产品标准的适用范围</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7"/>
        <w:ind w:firstLine="482"/>
        <w:spacing w:before="0" w:beforeAutospacing="0" w:after="0" w:afterAutospacing="0" w:line="360" w:lineRule="auto"/>
        <w:rPr>
          <w:rFonts w:ascii="宋体" w:hAnsi="宋体" w:eastAsia="宋体" w:cs="宋体"/>
          <w:szCs w:val="24"/>
          <w:highlight w:val="none"/>
        </w:rPr>
      </w:pPr>
      <w:r>
        <w:rPr>
          <w:rStyle w:val="843"/>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818"/>
        <w:ind w:left="0"/>
        <w:rPr>
          <w:rFonts w:hint="eastAsia"/>
          <w:highlight w:val="none"/>
        </w:rPr>
      </w:pPr>
      <w:r>
        <w:rPr>
          <w:rFonts w:hint="eastAsia"/>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8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8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8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886"/>
        <w:gridCol w:w="1015"/>
        <w:gridCol w:w="1015"/>
        <w:gridCol w:w="785"/>
        <w:gridCol w:w="2242"/>
        <w:gridCol w:w="2225"/>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81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1904"/>
        <w:gridCol w:w="1436"/>
        <w:gridCol w:w="1893"/>
        <w:gridCol w:w="1212"/>
      </w:tblGrid>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81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81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81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8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47"/>
        <w:gridCol w:w="1721"/>
        <w:gridCol w:w="2604"/>
        <w:gridCol w:w="941"/>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83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845"/>
          <w:rFonts w:hint="eastAsia" w:ascii="宋体" w:hAnsi="宋体" w:eastAsia="宋体" w:cs="宋体"/>
          <w:i w:val="0"/>
          <w:szCs w:val="24"/>
          <w:highlight w:val="none"/>
          <w:u w:val="single"/>
          <w:shd w:val="clear" w:color="auto" w:fill="ffffff"/>
        </w:rPr>
        <w:t xml:space="preserve">（产品名称1）</w:t>
      </w:r>
      <w:r>
        <w:rPr>
          <w:rStyle w:val="845"/>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845"/>
          <w:rFonts w:hint="eastAsia" w:ascii="宋体" w:hAnsi="宋体" w:eastAsia="宋体" w:cs="宋体"/>
          <w:i w:val="0"/>
          <w:szCs w:val="24"/>
          <w:highlight w:val="none"/>
          <w:u w:val="single"/>
          <w:shd w:val="clear" w:color="auto" w:fill="ffffff"/>
        </w:rPr>
        <w:t xml:space="preserve">（厂名）</w:t>
      </w:r>
      <w:r>
        <w:rPr>
          <w:rStyle w:val="845"/>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84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4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845"/>
          <w:rFonts w:hint="eastAsia" w:ascii="宋体" w:hAnsi="宋体" w:eastAsia="宋体" w:cs="宋体"/>
          <w:i w:val="0"/>
          <w:szCs w:val="24"/>
          <w:highlight w:val="none"/>
          <w:u w:val="single"/>
          <w:shd w:val="clear" w:color="auto" w:fill="ffffff"/>
        </w:rPr>
        <w:t xml:space="preserve">（规定比例）</w:t>
      </w:r>
      <w:r>
        <w:rPr>
          <w:rStyle w:val="845"/>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84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45"/>
          <w:rFonts w:hint="eastAsia" w:ascii="宋体" w:hAnsi="宋体" w:eastAsia="宋体" w:cs="宋体"/>
          <w:i w:val="0"/>
          <w:szCs w:val="24"/>
          <w:highlight w:val="none"/>
          <w:u w:val="single"/>
          <w:shd w:val="clear" w:color="auto" w:fill="ffffff"/>
        </w:rPr>
        <w:t xml:space="preserve">（关键组件）</w:t>
      </w:r>
      <w:r>
        <w:rPr>
          <w:rStyle w:val="845"/>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84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45"/>
          <w:rFonts w:hint="eastAsia" w:ascii="宋体" w:hAnsi="宋体" w:eastAsia="宋体" w:cs="宋体"/>
          <w:i w:val="0"/>
          <w:szCs w:val="24"/>
          <w:highlight w:val="none"/>
          <w:u w:val="single"/>
          <w:shd w:val="clear" w:color="auto" w:fill="ffffff"/>
        </w:rPr>
        <w:t xml:space="preserve">（关键工序）</w:t>
      </w:r>
      <w:r>
        <w:rPr>
          <w:rStyle w:val="845"/>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84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845"/>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84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4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845"/>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84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45"/>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84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45"/>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83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83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83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83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83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83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自动化移液工作站</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JSZC-320500-HWZX-G2026-0616</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自动化移液工作站   1套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人民币240万元；最高限价：人民币240万元。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本项目核心产品：</w:t>
      </w:r>
      <w:r>
        <w:rPr>
          <w:rFonts w:hint="eastAsia" w:ascii="宋体" w:hAnsi="宋体" w:eastAsia="宋体" w:cs="宋体"/>
          <w:b/>
          <w:bCs/>
          <w:sz w:val="24"/>
          <w:szCs w:val="24"/>
          <w:highlight w:val="none"/>
        </w:rPr>
        <w:t xml:space="preserve">自动化移液工作站</w:t>
      </w:r>
      <w:r/>
    </w:p>
    <w:p>
      <w:pPr>
        <w:pStyle w:val="858"/>
        <w:ind w:left="0" w:firstLine="482"/>
        <w:spacing w:line="360" w:lineRule="auto"/>
        <w:tabs>
          <w:tab w:val="left" w:pos="360"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（一）主要技术参数要求</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工作站台面具有至少24个SBS标准板位和附加的4个台面外板位。</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工作站具有至少两个独立的移液机械臂。</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 工作站两个独立的移液机械臂均可支持转移微孔板功能。抓板手可在装载吸头及移液分液操作的同时持有试剂槽或样品板盖，保证无交叉污染。抓板手可设置不同的张开、关合阈值，工作过程中遇断电不掉板。具有抓板不成功报警功能。</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 独立移液机械臂具备灵活8通道移液工具。</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★（1）8个通道移液工具采用液体置换式移液技术，保证可以自动管道清洗，杜绝样品污染。</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）8通道移液工具配备≤500ul体积的注射泵，同时覆盖1</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5000ul的移液分液量程，1ul CV≤5%，可根据需求选配250ul、1000ul、2500ul、5000ul注射泵，满足不同移液需求。</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）加样针可在一个实验流程中自动切换钢针和一次性吸头加样模式。</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每个通道的加样针在Z轴方向可以独立控制和运动，并非8个通道齐上齐下，提高浓度均一化和混合样本的效率。</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8道移液工具的通道间距可自动调节，通道间距范围≥9</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40mm，以适应各种不同孔尺寸的实验器具。</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8通道移液工具可直接装载20ul、50ul、200ul以及1000ul等不同量程一次性吸头，无需任何切换或更换、加载适配器。</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 配置蠕动泵，8通道移液头采用液压原理能对移液针进行洗涤并能减少污染。</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 独立移液机械臂具备模块化96通道移液工具。</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（1）96通道移液工具能够实现单道，单行、单列，多行，多列地进行移液。</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96通道移液工具移液范围在1</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200ul，在1</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5ul移液时CV&lt;5%，在5</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200ul移液范围内CV&lt;2%。</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）96通道的机械臂运动的最小步进单位可达100um（X、Y、Z轴三个方向），以保证各种液体处理、抓取耗材的位置精确性。</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）96通道移液工具可配备50ul、175ul、200ul等不同规格的枪头。</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 工作站台面需采用模块式设计，每个板位均可根据实验需求进行移动调整摆放，优化布局，并可做90度、180度、270度三种角度旋转摆放，满足特殊实验需求。</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 工作站配备全封闭环境保护罩，左右窗可以打开方便维护。</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 环境保护罩中具有状态指示灯，可显示仪器的运行状态，指示灯也受软件控制可变更颜色。</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 环境保护罩的安全门装备有感应器，打开安全门仪器可自动暂停工作，在未完全关闭的情况下应能够拒绝启动（或暂停）程序，以达成生物及物理防护，确保仪器运行过程中的人身安全，避免操作者误入仪器运行区域。</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10、保护罩外有暂停按钮，可在任一时间进行暂停，处理异常事件。</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 工作站装有摄像头，具有桌面确认功能。可自动识别工作站台面上试剂、耗材型号与摆放位置是否正确。如不正确，需提醒客户改正。</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 配备3个温控孵育模块，温度范围4℃</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110℃。</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 装验收单日需提供IQ和OQ验证服务及报告。</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 按安装验收完成之日起算，提供5年全维保服务；维保期间，设备任何部件故障需要48小时内响应，两周内进行免费维修和更换。</w:t>
      </w:r>
      <w:r/>
    </w:p>
    <w:p>
      <w:pPr>
        <w:pStyle w:val="858"/>
        <w:ind w:left="0" w:firstLine="482"/>
        <w:spacing w:line="360" w:lineRule="auto"/>
        <w:tabs>
          <w:tab w:val="left" w:pos="360" w:leader="none"/>
        </w:tabs>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（二）主要配置要求</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1、独立控制计算机，24寸显示器</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2、抓板机械手</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3、移液针适配器</w:t>
      </w:r>
      <w:r/>
    </w:p>
    <w:p>
      <w:pPr>
        <w:pStyle w:val="858"/>
        <w:ind w:left="0" w:firstLine="480"/>
        <w:spacing w:line="360" w:lineRule="auto"/>
        <w:tabs>
          <w:tab w:val="left" w:pos="36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4、低温温控模块</w:t>
      </w:r>
      <w:r/>
    </w:p>
    <w:p>
      <w:pPr>
        <w:pStyle w:val="1015"/>
        <w:ind w:firstLine="482"/>
        <w:spacing w:before="0" w:beforeAutospacing="0" w:after="0" w:afterAutospacing="0" w:line="360" w:lineRule="auto"/>
        <w:shd w:val="clear" w:color="auto" w:fill="ffffff"/>
        <w:rPr>
          <w:b/>
          <w:bCs/>
          <w:color w:val="333333"/>
          <w:highlight w:val="none"/>
        </w:rPr>
      </w:pPr>
      <w:r>
        <w:rPr>
          <w:rFonts w:hint="eastAsia"/>
          <w:b/>
          <w:bCs/>
          <w:color w:val="333333"/>
          <w:highlight w:val="none"/>
          <w:lang w:val="en-US" w:eastAsia="zh-CN"/>
        </w:rPr>
        <w:t xml:space="preserve">五</w:t>
      </w:r>
      <w:r>
        <w:rPr>
          <w:rFonts w:hint="eastAsia"/>
          <w:b/>
          <w:bCs/>
          <w:color w:val="333333"/>
          <w:highlight w:val="none"/>
        </w:rPr>
        <w:t xml:space="preserve">、付款条款</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合同签订且采购人收到中标单位缴纳的履约保证金后支付10%预付款；设备运至采购人指定仓库且预验收合格后支付40%货款；设备完成二次运输、安装、调试，且稳定运行一个月后，采购人签署最终验收合格证明，支付50%货款。每次付款前，中标单位均须提供对应的等额增值税专用发票。</w:t>
      </w:r>
      <w:r/>
    </w:p>
    <w:p>
      <w:pPr>
        <w:pStyle w:val="1015"/>
        <w:ind w:firstLine="482"/>
        <w:spacing w:before="0" w:beforeAutospacing="0" w:after="0" w:afterAutospacing="0" w:line="360" w:lineRule="auto"/>
        <w:shd w:val="clear" w:color="auto" w:fill="ffffff"/>
        <w:rPr>
          <w:rFonts w:ascii="宋体" w:hAnsi="宋体" w:cs="宋体"/>
          <w:b/>
          <w:bCs/>
          <w:color w:val="333333"/>
          <w:highlight w:val="none"/>
        </w:rPr>
      </w:pPr>
      <w:r>
        <w:rPr>
          <w:rFonts w:hint="eastAsia" w:cs="宋体"/>
          <w:b/>
          <w:bCs/>
          <w:color w:val="333333"/>
          <w:highlight w:val="none"/>
          <w:lang w:val="en-US" w:eastAsia="zh-CN"/>
        </w:rPr>
        <w:t xml:space="preserve">六</w:t>
      </w:r>
      <w:r>
        <w:rPr>
          <w:rFonts w:hint="eastAsia" w:ascii="宋体" w:hAnsi="宋体" w:cs="宋体"/>
          <w:b/>
          <w:bCs/>
          <w:color w:val="333333"/>
          <w:highlight w:val="none"/>
        </w:rPr>
        <w:t xml:space="preserve">、履约保证金</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供应商须在签订合同前向采购人缴纳合同金额的10%作为履约保证金，至采购人签署最终验收合格证明之日起稳定运行1年后无息退还。</w:t>
      </w:r>
      <w:r/>
    </w:p>
    <w:p>
      <w:pPr>
        <w:pStyle w:val="1015"/>
        <w:ind w:firstLine="480"/>
        <w:spacing w:before="0" w:beforeAutospacing="0" w:after="0" w:afterAutospacing="0" w:line="360" w:lineRule="auto"/>
        <w:shd w:val="clear" w:color="auto" w:fill="ffffff"/>
        <w:rPr>
          <w:rFonts w:hint="eastAsia" w:ascii="宋体" w:hAnsi="宋体" w:cs="宋体"/>
          <w:highlight w:val="none"/>
        </w:rPr>
      </w:pPr>
      <w:r>
        <w:rPr>
          <w:rFonts w:hint="eastAsia" w:ascii="宋体" w:hAnsi="宋体" w:cs="宋体"/>
          <w:highlight w:val="none"/>
        </w:rPr>
        <w:t xml:space="preserve">履约保证金形式：以转账、支票、汇票、本票或者金融机构、担保机构出具的见索即付保函等非现金形式提交（保函内容须经学校认可）。</w:t>
      </w:r>
      <w:r/>
    </w:p>
    <w:p>
      <w:pPr>
        <w:pStyle w:val="1015"/>
        <w:ind w:firstLine="482"/>
        <w:spacing w:before="0" w:beforeAutospacing="0" w:after="0" w:afterAutospacing="0" w:line="360" w:lineRule="auto"/>
        <w:shd w:val="clear" w:color="auto" w:fill="ffffff"/>
        <w:rPr>
          <w:rFonts w:ascii="宋体" w:hAnsi="宋体" w:cs="宋体"/>
          <w:b/>
          <w:bCs/>
          <w:color w:val="333333"/>
          <w:highlight w:val="none"/>
        </w:rPr>
      </w:pPr>
      <w:r>
        <w:rPr>
          <w:rFonts w:hint="eastAsia"/>
          <w:b/>
          <w:bCs/>
          <w:color w:val="333333"/>
          <w:highlight w:val="none"/>
          <w:lang w:val="en-US" w:eastAsia="zh-CN"/>
        </w:rPr>
        <w:t xml:space="preserve">七</w:t>
      </w:r>
      <w:r>
        <w:rPr>
          <w:rFonts w:hint="eastAsia"/>
          <w:b/>
          <w:bCs/>
          <w:color w:val="333333"/>
          <w:highlight w:val="none"/>
        </w:rPr>
        <w:t xml:space="preserve">、</w:t>
      </w:r>
      <w:r>
        <w:rPr>
          <w:rFonts w:hint="eastAsia" w:ascii="宋体" w:hAnsi="宋体" w:cs="宋体"/>
          <w:b/>
          <w:bCs/>
          <w:color w:val="333333"/>
          <w:highlight w:val="none"/>
        </w:rPr>
        <w:t xml:space="preserve">交付及安装调试</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1．交付流程：供应商应当在合同签订后2个月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2．安装、调试及培训：供应商完成二次运输后的5个工作日内，采购人与供应商应确认安装调试日期，供应商派专人到现场进行安装调试，并对采购方人员进行相关培训。</w:t>
      </w:r>
      <w:r/>
    </w:p>
    <w:p>
      <w:pPr>
        <w:pStyle w:val="1015"/>
        <w:ind w:firstLine="482"/>
        <w:spacing w:before="0" w:beforeAutospacing="0" w:after="0" w:afterAutospacing="0" w:line="360" w:lineRule="auto"/>
        <w:shd w:val="clear" w:color="auto" w:fill="ffffff"/>
        <w:rPr>
          <w:rFonts w:ascii="宋体" w:hAnsi="宋体" w:cs="宋体"/>
          <w:b/>
          <w:bCs/>
          <w:color w:val="333333"/>
          <w:highlight w:val="none"/>
        </w:rPr>
      </w:pPr>
      <w:r>
        <w:rPr>
          <w:rFonts w:hint="eastAsia" w:cs="宋体"/>
          <w:b/>
          <w:bCs/>
          <w:color w:val="333333"/>
          <w:highlight w:val="none"/>
          <w:lang w:val="en-US" w:eastAsia="zh-CN"/>
        </w:rPr>
        <w:t xml:space="preserve">八</w:t>
      </w:r>
      <w:r>
        <w:rPr>
          <w:rFonts w:hint="eastAsia" w:ascii="宋体" w:hAnsi="宋体" w:cs="宋体"/>
          <w:b/>
          <w:bCs/>
          <w:color w:val="333333"/>
          <w:highlight w:val="none"/>
        </w:rPr>
        <w:t xml:space="preserve">、验收标准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（1）预验收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货物到达采购人指定的仓库后，对货物包装是否完好进行验收。若货物包装存在损坏，采购人有权拒收，供应商应在7个工作日内重新送达。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（2）最终验收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安装调试完毕，由采购人组织最终验收，设备配置、所有技术参数须符合招标文件和中标商投标响应文件要求。验收内容还包括资料完整性、设备“三漏”</w:t>
      </w:r>
      <w:r>
        <w:rPr>
          <w:rFonts w:ascii="宋体" w:hAnsi="宋体" w:eastAsia="宋体" w:cs="宋体"/>
          <w:sz w:val="24"/>
          <w:szCs w:val="24"/>
          <w:highlight w:val="none"/>
        </w:rPr>
        <w:t xml:space="preserve">(漏水、漏电、漏气)检查、设备运行稳定性、技术规格</w:t>
      </w:r>
      <w:r>
        <w:rPr>
          <w:rFonts w:hint="eastAsia" w:ascii="宋体" w:hAnsi="宋体" w:eastAsia="宋体" w:cs="宋体"/>
          <w:sz w:val="24"/>
          <w:szCs w:val="24"/>
          <w:highlight w:val="none"/>
        </w:rPr>
        <w:t xml:space="preserve">符合性</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各项指标还应符合国家质量和安全标准，设备可以在现有条件下安全稳定运行。</w:t>
      </w:r>
      <w:r/>
    </w:p>
    <w:p>
      <w:pPr>
        <w:pStyle w:val="1015"/>
        <w:ind w:firstLine="482"/>
        <w:spacing w:before="0" w:beforeAutospacing="0" w:after="0" w:afterAutospacing="0" w:line="360" w:lineRule="auto"/>
        <w:shd w:val="clear" w:color="auto" w:fill="ffffff"/>
        <w:rPr>
          <w:rFonts w:ascii="宋体" w:hAnsi="宋体" w:cs="宋体"/>
          <w:b/>
          <w:bCs/>
          <w:color w:val="333333"/>
          <w:highlight w:val="none"/>
        </w:rPr>
      </w:pPr>
      <w:r>
        <w:rPr>
          <w:rFonts w:hint="eastAsia" w:cs="宋体"/>
          <w:b/>
          <w:bCs/>
          <w:color w:val="333333"/>
          <w:highlight w:val="none"/>
          <w:lang w:val="en-US" w:eastAsia="zh-CN"/>
        </w:rPr>
        <w:t xml:space="preserve">九</w:t>
      </w:r>
      <w:r>
        <w:rPr>
          <w:rFonts w:hint="eastAsia" w:ascii="宋体" w:hAnsi="宋体" w:cs="宋体"/>
          <w:b/>
          <w:bCs/>
          <w:color w:val="333333"/>
          <w:highlight w:val="none"/>
        </w:rPr>
        <w:t xml:space="preserve">、质保服务要求</w:t>
      </w:r>
      <w:r/>
    </w:p>
    <w:p>
      <w:pPr>
        <w:pStyle w:val="1015"/>
        <w:ind w:firstLine="482"/>
        <w:spacing w:before="0" w:beforeAutospacing="0" w:after="0" w:afterAutospacing="0" w:line="360" w:lineRule="auto"/>
        <w:shd w:val="clear" w:color="auto" w:fill="ffffff"/>
        <w:rPr>
          <w:rFonts w:hint="eastAsia" w:ascii="宋体" w:hAnsi="宋体" w:cs="宋体"/>
          <w:b/>
          <w:bCs/>
          <w:color w:val="333333"/>
          <w:highlight w:val="none"/>
        </w:rPr>
      </w:pPr>
      <w:r>
        <w:rPr>
          <w:rFonts w:hint="eastAsia" w:ascii="宋体" w:hAnsi="宋体" w:cs="宋体"/>
          <w:b/>
          <w:bCs/>
          <w:color w:val="333333"/>
          <w:highlight w:val="none"/>
        </w:rPr>
        <w:t xml:space="preserve">1．设备免费质保期不少于5年，自最终验收完成合格之日起算，</w:t>
      </w:r>
      <w:r>
        <w:rPr>
          <w:rFonts w:hint="eastAsia"/>
          <w:b/>
          <w:bCs/>
          <w:highlight w:val="none"/>
        </w:rPr>
        <w:t xml:space="preserve">终身维修</w:t>
      </w:r>
      <w:r>
        <w:rPr>
          <w:rFonts w:hint="eastAsia" w:ascii="宋体" w:hAnsi="宋体" w:cs="宋体"/>
          <w:b/>
          <w:bCs/>
          <w:color w:val="333333"/>
          <w:highlight w:val="none"/>
        </w:rPr>
        <w:t xml:space="preserve">；</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pStyle w:val="1015"/>
        <w:ind w:firstLine="482"/>
        <w:spacing w:before="0" w:beforeAutospacing="0" w:after="0" w:afterAutospacing="0" w:line="360" w:lineRule="auto"/>
        <w:shd w:val="clear" w:color="auto" w:fill="ffffff"/>
        <w:rPr>
          <w:rFonts w:ascii="宋体" w:hAnsi="宋体" w:cs="宋体"/>
          <w:b/>
          <w:bCs/>
          <w:color w:val="333333"/>
          <w:highlight w:val="none"/>
        </w:rPr>
      </w:pPr>
      <w:r>
        <w:rPr>
          <w:rFonts w:hint="eastAsia" w:cs="宋体"/>
          <w:b/>
          <w:bCs/>
          <w:color w:val="333333"/>
          <w:highlight w:val="none"/>
          <w:lang w:val="en-US" w:eastAsia="zh-CN"/>
        </w:rPr>
        <w:t xml:space="preserve">十</w:t>
      </w:r>
      <w:r>
        <w:rPr>
          <w:rFonts w:hint="eastAsia" w:ascii="宋体" w:hAnsi="宋体" w:cs="宋体"/>
          <w:b/>
          <w:bCs/>
          <w:color w:val="333333"/>
          <w:highlight w:val="none"/>
        </w:rPr>
        <w:t xml:space="preserve">、</w:t>
      </w:r>
      <w:r>
        <w:rPr>
          <w:rFonts w:hint="eastAsia"/>
          <w:b/>
          <w:bCs/>
          <w:color w:val="333333"/>
          <w:highlight w:val="none"/>
        </w:rPr>
        <w:t xml:space="preserve">报</w:t>
      </w:r>
      <w:r>
        <w:rPr>
          <w:rFonts w:hint="eastAsia" w:ascii="宋体" w:hAnsi="宋体" w:cs="宋体"/>
          <w:b/>
          <w:bCs/>
          <w:color w:val="333333"/>
          <w:highlight w:val="none"/>
        </w:rPr>
        <w:t xml:space="preserve">价要求</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1.报价币种为人民币。</w:t>
      </w:r>
      <w:r/>
    </w:p>
    <w:p>
      <w:pPr>
        <w:pStyle w:val="1015"/>
        <w:ind w:firstLine="480"/>
        <w:spacing w:before="0" w:beforeAutospacing="0" w:after="0" w:afterAutospacing="0" w:line="360" w:lineRule="auto"/>
        <w:shd w:val="clear" w:color="auto" w:fill="ffffff"/>
        <w:rPr>
          <w:rFonts w:hint="eastAsia" w:ascii="宋体" w:hAnsi="宋体" w:cs="宋体"/>
          <w:color w:val="333333"/>
          <w:highlight w:val="none"/>
        </w:rPr>
      </w:pPr>
      <w:r>
        <w:rPr>
          <w:rFonts w:hint="eastAsia" w:ascii="宋体" w:hAnsi="宋体" w:cs="宋体"/>
          <w:color w:val="333333"/>
          <w:highlight w:val="none"/>
        </w:rPr>
        <w:t xml:space="preserve">2.报价应包括完成对应</w:t>
      </w:r>
      <w:r>
        <w:rPr>
          <w:rFonts w:hint="eastAsia" w:cs="宋体"/>
          <w:color w:val="333333"/>
          <w:highlight w:val="none"/>
          <w:lang w:eastAsia="zh-CN"/>
        </w:rPr>
        <w:t xml:space="preserve">采购包</w:t>
      </w:r>
      <w:r>
        <w:rPr>
          <w:rFonts w:hint="eastAsia" w:ascii="宋体" w:hAnsi="宋体" w:cs="宋体"/>
          <w:color w:val="333333"/>
          <w:highlight w:val="none"/>
        </w:rPr>
        <w:t xml:space="preserve">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注：本项目</w:t>
      </w:r>
      <w:r>
        <w:rPr>
          <w:rFonts w:hint="eastAsia" w:ascii="宋体" w:hAnsi="宋体" w:eastAsia="宋体" w:cs="宋体"/>
          <w:b/>
          <w:bCs/>
          <w:sz w:val="24"/>
          <w:szCs w:val="24"/>
          <w:highlight w:val="none"/>
        </w:rPr>
        <w:t xml:space="preserve">采购主要标的物数量、交付期及交付方式、付款方式、质保期、质保方式、主要技术参数要求中带</w:t>
      </w:r>
      <w:r>
        <w:rPr>
          <w:rFonts w:hint="eastAsia" w:ascii="宋体" w:hAnsi="宋体" w:eastAsia="宋体" w:cs="宋体"/>
          <w:b/>
          <w:bCs/>
          <w:color w:val="000000" w:themeColor="text1"/>
          <w:sz w:val="24"/>
          <w:szCs w:val="24"/>
          <w:highlight w:val="none"/>
          <w14:textFill>
            <w14:solidFill>
              <w14:schemeClr w14:val="tx1"/>
            </w14:solidFill>
          </w14:textFill>
        </w:rPr>
        <w:t xml:space="preserve">★项</w:t>
      </w:r>
      <w:r>
        <w:rPr>
          <w:rFonts w:hint="eastAsia" w:ascii="宋体" w:hAnsi="宋体" w:eastAsia="宋体" w:cs="宋体"/>
          <w:b/>
          <w:bCs/>
          <w:sz w:val="24"/>
          <w:szCs w:val="24"/>
          <w:highlight w:val="none"/>
        </w:rPr>
        <w:t xml:space="preserve">属于实质性响应要求，不得出现负偏离，否则视为无效投标。</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jc w:val="center"/>
        <w:rPr>
          <w:rFonts w:ascii="宋体" w:hAnsi="宋体" w:eastAsia="宋体" w:cs="宋体"/>
          <w:sz w:val="24"/>
          <w:highlight w:val="none"/>
        </w:rPr>
      </w:pPr>
      <w:r>
        <w:rPr>
          <w:rFonts w:hint="eastAsia"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80"/>
        <w:spacing w:line="360" w:lineRule="auto"/>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80"/>
        <w:spacing w:line="360" w:lineRule="auto"/>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80"/>
        <w:spacing w:line="360" w:lineRule="auto"/>
        <w:rPr>
          <w:rFonts w:hAnsi="宋体"/>
          <w:sz w:val="24"/>
          <w:szCs w:val="24"/>
          <w:highlight w:val="none"/>
          <w:lang w:val="zh-CN"/>
        </w:rPr>
      </w:pPr>
      <w:r>
        <w:rPr>
          <w:rFonts w:hAnsi="宋体"/>
          <w:sz w:val="24"/>
          <w:szCs w:val="24"/>
          <w:highlight w:val="none"/>
          <w:lang w:val="zh-CN"/>
        </w:rPr>
      </w:r>
      <w:r/>
    </w:p>
    <w:p>
      <w:pPr>
        <w:ind w:firstLine="480"/>
        <w:spacing w:line="360" w:lineRule="auto"/>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rPr>
        <w:t xml:space="preserve">            </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sz w:val="24"/>
          <w:szCs w:val="24"/>
          <w:highlight w:val="none"/>
          <w:u w:val="single"/>
        </w:rPr>
        <w:t xml:space="preserve">                  </w:t>
      </w:r>
      <w:r>
        <w:rPr>
          <w:rFonts w:hAnsi="宋体"/>
          <w:sz w:val="24"/>
          <w:szCs w:val="24"/>
          <w:highlight w:val="none"/>
          <w:lang w:val="zh-CN"/>
        </w:rPr>
        <w:t xml:space="preserve">事宜，签订本合同书。</w:t>
      </w:r>
      <w:r/>
    </w:p>
    <w:p>
      <w:pPr>
        <w:ind w:left="0" w:firstLine="482"/>
        <w:spacing w:line="360" w:lineRule="auto"/>
        <w:rPr>
          <w:rFonts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81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326"/>
        <w:gridCol w:w="1694"/>
        <w:gridCol w:w="847"/>
        <w:gridCol w:w="1512"/>
        <w:gridCol w:w="1455"/>
        <w:gridCol w:w="706"/>
        <w:gridCol w:w="1095"/>
      </w:tblGrid>
      <w:tr>
        <w:trPr/>
        <w:tc>
          <w:tcPr>
            <w:tcW w:w="348"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714"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912"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456"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right w:val="single" w:color="auto" w:sz="4" w:space="0"/>
            </w:tcBorders>
            <w:tcW w:w="814"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Borders>
              <w:left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Borders>
              <w:left w:val="single" w:color="auto" w:sz="4" w:space="0"/>
            </w:tcBorders>
            <w:tcW w:w="380"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589"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Borders>
              <w:bottom w:val="single" w:color="auto" w:sz="4" w:space="0"/>
            </w:tcBorders>
            <w:tcW w:w="348"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bottom w:val="single" w:color="auto" w:sz="4" w:space="0"/>
            </w:tcBorders>
            <w:tcW w:w="7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912"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456"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8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380"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589"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Borders>
              <w:bottom w:val="single" w:color="auto" w:sz="4" w:space="0"/>
              <w:right w:val="single" w:color="auto" w:sz="4" w:space="0"/>
            </w:tcBorders>
            <w:tcW w:w="348"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bottom w:val="single" w:color="auto" w:sz="4" w:space="0"/>
              <w:right w:val="single" w:color="auto" w:sz="4" w:space="0"/>
            </w:tcBorders>
            <w:tcW w:w="7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912"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456"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8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380"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589"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Borders>
              <w:top w:val="single" w:color="auto" w:sz="4" w:space="0"/>
              <w:right w:val="single" w:color="auto" w:sz="4" w:space="0"/>
            </w:tcBorders>
            <w:tcW w:w="348" w:type="pc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714"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912"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456"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814"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783"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380"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tcBorders>
            <w:tcW w:w="589"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left="0"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设备配置及技术指标详见附件一技术协议。</w:t>
      </w:r>
      <w:r/>
    </w:p>
    <w:p>
      <w:pPr>
        <w:ind w:left="0" w:firstLine="482"/>
        <w:spacing w:line="360" w:lineRule="auto"/>
        <w:rPr>
          <w:rFonts w:ascii="宋体" w:hAnsi="宋体" w:cs="宋体"/>
          <w:b/>
          <w:sz w:val="24"/>
          <w:szCs w:val="24"/>
          <w:highlight w:val="none"/>
        </w:rPr>
      </w:pPr>
      <w:r>
        <w:rPr>
          <w:rFonts w:ascii="宋体" w:hAnsi="宋体" w:cs="宋体"/>
          <w:b/>
          <w:sz w:val="24"/>
          <w:szCs w:val="24"/>
          <w:highlight w:val="none"/>
        </w:rPr>
        <w:t xml:space="preserve">第二条</w:t>
      </w:r>
      <w:r>
        <w:rPr>
          <w:rFonts w:hint="eastAsia" w:ascii="宋体" w:hAnsi="宋体" w:cs="宋体"/>
          <w:b/>
          <w:sz w:val="24"/>
          <w:szCs w:val="24"/>
          <w:highlight w:val="none"/>
        </w:rPr>
        <w:t xml:space="preserve"> 合同总价款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本合同总价款是货物设计、制造、包装、仓储、运输（含二次运输）、安装及验收合格之前及保修期内备品备件发生的所有含税费用。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本合同总价款还包含乙方应当提供的伴随服务/售后服务费用。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firstLine="480"/>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w:t>
      </w:r>
      <w:r>
        <w:rPr>
          <w:rFonts w:hint="eastAsia" w:ascii="宋体" w:hAnsi="宋体" w:cs="宋体"/>
          <w:color w:val="333333"/>
          <w:sz w:val="24"/>
          <w:szCs w:val="24"/>
          <w:highlight w:val="none"/>
        </w:rPr>
        <w:t xml:space="preserve">至</w:t>
      </w:r>
      <w:r>
        <w:rPr>
          <w:rFonts w:hint="eastAsia" w:ascii="宋体" w:hAnsi="宋体" w:cs="宋体"/>
          <w:color w:val="333333"/>
          <w:sz w:val="24"/>
          <w:szCs w:val="24"/>
          <w:highlight w:val="none"/>
          <w:lang w:val="en-US" w:eastAsia="zh-CN"/>
        </w:rPr>
        <w:t xml:space="preserve">甲方</w:t>
      </w:r>
      <w:r>
        <w:rPr>
          <w:rFonts w:hint="eastAsia" w:ascii="宋体" w:hAnsi="宋体" w:cs="宋体"/>
          <w:color w:val="333333"/>
          <w:sz w:val="24"/>
          <w:szCs w:val="24"/>
          <w:highlight w:val="none"/>
        </w:rPr>
        <w:t xml:space="preserve">签署最终验收合格证明之日起稳定运行1年后无息退还</w:t>
      </w:r>
      <w:r>
        <w:rPr>
          <w:rFonts w:hint="eastAsia" w:ascii="宋体" w:hAnsi="宋体" w:cs="宋体"/>
          <w:sz w:val="24"/>
          <w:szCs w:val="24"/>
          <w:highlight w:val="none"/>
        </w:rPr>
        <w:t xml:space="preserve">。履约保证金形式：以转账、支票、汇票、本票或者金融机构、担保机构出具的见索即付保函等非现金形式提交（保函内容须经甲方认可）。</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3、设备的质保期为最终验收合格之日起</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1、乙方应在本合同生效后</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天内按照甲方要求将货物运送至指定仓库开展预验收。预验收合格后，</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应在接到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通知后30天内，约定二次运输日期（最晚不晚于合同签订后一年），到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指定仓库开展二次运输，将货物从指定仓库运送至最终安装地点（指定仓库与最终安装地点位于同一建筑的不同楼层）。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、乙方应将所提供货物的装箱清单、用户手册、原厂保修卡、随机资料及配件、随机工具等应一并最迟在二次运输完成时交付给</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；乙方不能完整交付货物及本款规定的单证和工具的，视为未按合同约定交货，乙方负责补齐，因此导致逾期交付的，由乙方承担相关的违约责任。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 安装调试、培训和验收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1、甲方在乙方完成二次运输后</w:t>
      </w:r>
      <w:r>
        <w:rPr>
          <w:rFonts w:ascii="宋体" w:hAnsi="宋体" w:cs="宋体"/>
          <w:sz w:val="24"/>
          <w:szCs w:val="24"/>
          <w:highlight w:val="none"/>
        </w:rPr>
        <w:t xml:space="preserve">5个</w:t>
      </w:r>
      <w:r>
        <w:rPr>
          <w:rFonts w:hint="eastAsia" w:ascii="宋体" w:hAnsi="宋体" w:cs="宋体"/>
          <w:sz w:val="24"/>
          <w:szCs w:val="24"/>
          <w:highlight w:val="none"/>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验收条款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（1）预验收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货物到达甲方指定的仓库后，对货物包装是否完好进行验收。若货物包装存在损坏，甲方有权拒收，乙方应在7个工作日内重新送达。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（2）最终验收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安装调试完毕，由甲方组织最终验收，设备配置、所有技术参数须符合招标文件和乙方投标响应文件要求。验收内容还包括资料完整性、设备“三漏”</w:t>
      </w:r>
      <w:r>
        <w:rPr>
          <w:rFonts w:ascii="宋体" w:hAnsi="宋体" w:cs="宋体"/>
          <w:sz w:val="24"/>
          <w:szCs w:val="24"/>
          <w:highlight w:val="none"/>
        </w:rPr>
        <w:t xml:space="preserve">(漏水、漏电、漏气)检查、设备运行稳定性、技术规格</w:t>
      </w:r>
      <w:r>
        <w:rPr>
          <w:rFonts w:hint="eastAsia" w:ascii="宋体" w:hAnsi="宋体" w:cs="宋体"/>
          <w:sz w:val="24"/>
          <w:szCs w:val="24"/>
          <w:highlight w:val="none"/>
        </w:rPr>
        <w:t xml:space="preserve">符合性</w:t>
      </w:r>
      <w:r>
        <w:rPr>
          <w:rFonts w:ascii="宋体" w:hAnsi="宋体" w:cs="宋体"/>
          <w:sz w:val="24"/>
          <w:szCs w:val="24"/>
          <w:highlight w:val="none"/>
        </w:rPr>
        <w:t xml:space="preserve">。</w:t>
      </w:r>
      <w:r>
        <w:rPr>
          <w:rFonts w:hint="eastAsia" w:ascii="宋体" w:hAnsi="宋体" w:cs="宋体"/>
          <w:sz w:val="24"/>
          <w:szCs w:val="24"/>
          <w:highlight w:val="none"/>
        </w:rPr>
        <w:t xml:space="preserve">各项指标还应符合国家质量和安全标准，设备可以在现有条件下安全稳定运行。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最终验收完成后，应当签署最终验收证明，载明验收是否合格。若验收不合格，验收证明应同时列明不合格的具体原因，乙方应当在</w:t>
      </w:r>
      <w:r>
        <w:rPr>
          <w:rFonts w:ascii="宋体" w:hAnsi="宋体" w:cs="宋体"/>
          <w:sz w:val="24"/>
          <w:szCs w:val="24"/>
          <w:highlight w:val="none"/>
        </w:rPr>
        <w:t xml:space="preserve">30</w:t>
      </w:r>
      <w:r>
        <w:rPr>
          <w:rFonts w:hint="eastAsia" w:ascii="宋体" w:hAnsi="宋体" w:cs="宋体"/>
          <w:sz w:val="24"/>
          <w:szCs w:val="24"/>
          <w:highlight w:val="none"/>
        </w:rPr>
        <w:t xml:space="preserve">天内通过免费更换、维修等方式予以补正，双方再次验收。若再次验收仍不合格，乙方应当再次在</w:t>
      </w:r>
      <w:r>
        <w:rPr>
          <w:rFonts w:ascii="宋体" w:hAnsi="宋体" w:cs="宋体"/>
          <w:sz w:val="24"/>
          <w:szCs w:val="24"/>
          <w:highlight w:val="none"/>
        </w:rPr>
        <w:t xml:space="preserve">30</w:t>
      </w:r>
      <w:r>
        <w:rPr>
          <w:rFonts w:hint="eastAsia" w:ascii="宋体" w:hAnsi="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（3）如果双方对验收结果有争议，可委托双方一致认可的国家相关权威检测中心进行检测，以检测结果作为最终验收结果，费用由乙方承担。</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4、货物故障报修的响应</w:t>
      </w:r>
      <w:r>
        <w:rPr>
          <w:rFonts w:hint="eastAsia" w:ascii="宋体" w:hAnsi="宋体" w:eastAsia="宋体" w:cs="宋体"/>
          <w:color w:val="auto"/>
          <w:sz w:val="24"/>
          <w:szCs w:val="24"/>
          <w:highlight w:val="none"/>
        </w:rPr>
        <w:t xml:space="preserve">时间为：质保期内设备发生任何部件故障，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须在48小时内上门免费维修。</w:t>
      </w:r>
      <w:r/>
    </w:p>
    <w:p>
      <w:pPr>
        <w:ind w:firstLine="480"/>
        <w:spacing w:line="360" w:lineRule="auto"/>
        <w:tabs>
          <w:tab w:val="left" w:pos="1620" w:leader="none"/>
        </w:tabs>
        <w:rPr>
          <w:rFonts w:ascii="宋体" w:hAnsi="宋体" w:cs="宋体"/>
          <w:sz w:val="24"/>
          <w:szCs w:val="24"/>
          <w:highlight w:val="none"/>
        </w:rPr>
      </w:pPr>
      <w:r>
        <w:rPr>
          <w:rFonts w:ascii="宋体" w:hAnsi="宋体" w:cs="宋体"/>
          <w:sz w:val="24"/>
          <w:szCs w:val="24"/>
          <w:highlight w:val="none"/>
        </w:rPr>
        <w:t xml:space="preserve">5、若货物故障在检修48</w:t>
      </w:r>
      <w:r>
        <w:rPr>
          <w:rFonts w:hint="eastAsia" w:ascii="宋体" w:hAnsi="宋体" w:cs="宋体"/>
          <w:sz w:val="24"/>
          <w:szCs w:val="24"/>
          <w:highlight w:val="none"/>
        </w:rPr>
        <w:t xml:space="preserve">小时后仍无法排除，乙方应在</w:t>
      </w:r>
      <w:r>
        <w:rPr>
          <w:rFonts w:ascii="宋体" w:hAnsi="宋体" w:cs="宋体"/>
          <w:sz w:val="24"/>
          <w:szCs w:val="24"/>
          <w:highlight w:val="none"/>
        </w:rPr>
        <w:t xml:space="preserve">72</w:t>
      </w:r>
      <w:r>
        <w:rPr>
          <w:rFonts w:hint="eastAsia" w:ascii="宋体" w:hAnsi="宋体" w:cs="宋体"/>
          <w:sz w:val="24"/>
          <w:szCs w:val="24"/>
          <w:highlight w:val="none"/>
        </w:rPr>
        <w:t xml:space="preserve">小时内免费提供不低于故障货物规格型号档次的备用货物供甲方使用，直至故障货物修复。</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firstLine="482"/>
        <w:spacing w:line="360" w:lineRule="auto"/>
        <w:tabs>
          <w:tab w:val="left" w:pos="1620" w:leader="none"/>
        </w:tabs>
        <w:rPr>
          <w:rFonts w:ascii="宋体" w:hAnsi="宋体" w:cs="宋体"/>
          <w:b/>
          <w:bCs/>
          <w:sz w:val="24"/>
          <w:szCs w:val="24"/>
          <w:highlight w:val="none"/>
        </w:rPr>
      </w:pPr>
      <w:r>
        <w:rPr>
          <w:rFonts w:hint="eastAsia" w:ascii="宋体" w:hAnsi="宋体" w:cs="宋体"/>
          <w:b/>
          <w:bCs/>
          <w:sz w:val="24"/>
          <w:szCs w:val="24"/>
          <w:highlight w:val="none"/>
        </w:rPr>
        <w:t xml:space="preserve">第十条   货款支付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2、本合同按照以下付款节点及条件支付：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（1）合同签订且甲方收到乙方缴纳的履约保证金后支付合同总金额的10%作为预付款；</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（2）设备运至甲方指定仓库且预验收合格后支付合同总金额的40%；</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color w:val="333333"/>
          <w:sz w:val="24"/>
          <w:szCs w:val="24"/>
          <w:highlight w:val="none"/>
        </w:rPr>
        <w:t xml:space="preserve">设备完成二次运输、安装、调试，且稳定运行一个月后，</w:t>
      </w:r>
      <w:r>
        <w:rPr>
          <w:rFonts w:hint="eastAsia" w:ascii="宋体" w:hAnsi="宋体" w:cs="宋体"/>
          <w:color w:val="333333"/>
          <w:sz w:val="24"/>
          <w:szCs w:val="24"/>
          <w:highlight w:val="none"/>
          <w:lang w:val="en-US" w:eastAsia="zh-CN"/>
        </w:rPr>
        <w:t xml:space="preserve">甲方</w:t>
      </w:r>
      <w:r>
        <w:rPr>
          <w:rFonts w:hint="eastAsia" w:ascii="宋体" w:hAnsi="宋体" w:cs="宋体"/>
          <w:color w:val="333333"/>
          <w:sz w:val="24"/>
          <w:szCs w:val="24"/>
          <w:highlight w:val="none"/>
        </w:rPr>
        <w:t xml:space="preserve">签署最终验收合格证明，支付50%货款</w:t>
      </w:r>
      <w:r>
        <w:rPr>
          <w:rFonts w:hint="eastAsia" w:ascii="宋体" w:hAnsi="宋体" w:cs="宋体"/>
          <w:sz w:val="24"/>
          <w:szCs w:val="24"/>
          <w:highlight w:val="none"/>
        </w:rPr>
        <w:t xml:space="preserve">。 </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（4）每次付款前，乙方均须提供对应的等额增值税专用发票。</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乙方开户银行：</w:t>
      </w:r>
      <w:r>
        <w:rPr>
          <w:rFonts w:hint="eastAsia" w:ascii="宋体" w:hAnsi="宋体" w:cs="宋体"/>
          <w:sz w:val="24"/>
          <w:szCs w:val="24"/>
          <w:highlight w:val="none"/>
          <w:u w:val="single"/>
        </w:rPr>
        <w:t xml:space="preserve">                           </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银行账号：</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3、付款方式：银行汇票或转账</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81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73"/>
        <w:gridCol w:w="2823"/>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苏州大学增值税开票资料"/>
                              <pic:cNvPicPr>
                                <a:picLocks noChangeAspect="1"/>
                              </pic:cNvPicPr>
                              <pic:nvPr/>
                            </pic:nvPicPr>
                            <pic:blipFill>
                              <a:blip r:embed="rId18"/>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8"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1、乙方逾期将货物运送至甲方指定仓库的，每逾期1周（不足1周按1周计算），乙方向甲方偿付逾期交货部分货款总额的5‰的滞纳金。如乙方逾期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甲方（盖章）：                   乙方（盖章）：    </w:t>
      </w:r>
      <w:r/>
    </w:p>
    <w:p>
      <w:pPr>
        <w:ind w:firstLine="480"/>
        <w:spacing w:line="360" w:lineRule="auto"/>
        <w:rPr>
          <w:sz w:val="24"/>
          <w:szCs w:val="24"/>
          <w:highlight w:val="none"/>
        </w:rPr>
      </w:pPr>
      <w:r>
        <w:rPr>
          <w:rFonts w:hint="eastAsia"/>
          <w:sz w:val="24"/>
          <w:szCs w:val="24"/>
          <w:highlight w:val="none"/>
        </w:rPr>
        <w:t xml:space="preserve">单位地址：                       单位地址： </w:t>
      </w:r>
      <w:r/>
    </w:p>
    <w:p>
      <w:pPr>
        <w:ind w:firstLine="480"/>
        <w:spacing w:line="360" w:lineRule="auto"/>
        <w:rPr>
          <w:sz w:val="24"/>
          <w:szCs w:val="24"/>
          <w:highlight w:val="none"/>
        </w:rPr>
      </w:pPr>
      <w:r>
        <w:rPr>
          <w:rFonts w:hint="eastAsia"/>
          <w:sz w:val="24"/>
          <w:szCs w:val="24"/>
          <w:highlight w:val="none"/>
        </w:rPr>
        <w:t xml:space="preserve">设备购置负责人：                 授权代表：</w:t>
      </w:r>
      <w:r/>
    </w:p>
    <w:p>
      <w:pPr>
        <w:ind w:firstLine="480"/>
        <w:spacing w:line="360" w:lineRule="auto"/>
        <w:rPr>
          <w:sz w:val="24"/>
          <w:szCs w:val="24"/>
          <w:highlight w:val="none"/>
        </w:rPr>
      </w:pPr>
      <w:r>
        <w:rPr>
          <w:rFonts w:hint="eastAsia"/>
          <w:sz w:val="24"/>
          <w:szCs w:val="24"/>
          <w:highlight w:val="none"/>
        </w:rPr>
        <w:t xml:space="preserve">电话：                           电话：</w:t>
      </w:r>
      <w:r/>
    </w:p>
    <w:p>
      <w:pPr>
        <w:ind w:firstLine="480"/>
        <w:spacing w:line="360" w:lineRule="auto"/>
        <w:rPr>
          <w:sz w:val="24"/>
          <w:szCs w:val="24"/>
          <w:highlight w:val="none"/>
        </w:rPr>
      </w:pPr>
      <w:r>
        <w:rPr>
          <w:rFonts w:hint="eastAsia"/>
          <w:sz w:val="24"/>
          <w:szCs w:val="24"/>
          <w:highlight w:val="none"/>
        </w:rPr>
        <w:t xml:space="preserve">采购部门经办人：                 经办人：</w:t>
      </w:r>
      <w:r/>
    </w:p>
    <w:p>
      <w:pPr>
        <w:ind w:firstLine="480"/>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电话：                           电话：                          </w:t>
      </w:r>
      <w:r/>
    </w:p>
    <w:p>
      <w:pPr>
        <w:ind w:firstLine="480"/>
        <w:spacing w:line="360" w:lineRule="auto"/>
        <w:rPr>
          <w:sz w:val="24"/>
          <w:szCs w:val="24"/>
          <w:highlight w:val="none"/>
        </w:rPr>
      </w:pPr>
      <w:r>
        <w:rPr>
          <w:rFonts w:hint="eastAsia"/>
          <w:sz w:val="24"/>
          <w:szCs w:val="24"/>
          <w:highlight w:val="none"/>
        </w:rPr>
        <w:t xml:space="preserve">日期：   年     月    日         日期：   年     月    日</w:t>
      </w:r>
      <w:r/>
    </w:p>
    <w:p>
      <w:pPr>
        <w:ind w:firstLine="480"/>
        <w:spacing w:line="360" w:lineRule="auto"/>
        <w:rPr>
          <w:sz w:val="24"/>
          <w:szCs w:val="24"/>
          <w:highlight w:val="none"/>
        </w:rPr>
      </w:pPr>
      <w:r>
        <w:rPr>
          <w:sz w:val="24"/>
          <w:szCs w:val="24"/>
          <w:highlight w:val="none"/>
        </w:rPr>
      </w:r>
      <w:r/>
    </w:p>
    <w:p>
      <w:pPr>
        <w:ind w:firstLine="480"/>
        <w:spacing w:line="360" w:lineRule="auto"/>
        <w:rPr>
          <w:color w:val="ff0000"/>
          <w:sz w:val="24"/>
          <w:highlight w:val="none"/>
        </w:rPr>
      </w:pPr>
      <w:r>
        <w:rPr>
          <w:color w:val="ff0000"/>
          <w:sz w:val="24"/>
          <w:highlight w:val="none"/>
        </w:rPr>
      </w:r>
      <w:r/>
    </w:p>
    <w:p>
      <w:pPr>
        <w:ind w:firstLine="482"/>
        <w:spacing w:line="360" w:lineRule="auto"/>
        <w:rPr>
          <w:b/>
          <w:bCs/>
          <w:color w:val="ff0000"/>
          <w:sz w:val="24"/>
          <w:highlight w:val="none"/>
        </w:rPr>
      </w:pPr>
      <w:r>
        <w:rPr>
          <w:rFonts w:hint="eastAsia"/>
          <w:b/>
          <w:bCs/>
          <w:sz w:val="24"/>
          <w:highlight w:val="none"/>
        </w:rPr>
        <w:t xml:space="preserve">附件一 技术协议</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ascii="宋体" w:hAnsi="宋体" w:eastAsia="宋体" w:cs="宋体"/>
          <w:b/>
          <w:sz w:val="44"/>
          <w:highlight w:val="none"/>
        </w:rPr>
      </w:pPr>
      <w:r/>
      <w:bookmarkStart w:id="5" w:name="_Toc9204"/>
      <w:r/>
      <w:r/>
    </w:p>
    <w:p>
      <w:pPr>
        <w:pStyle w:val="80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80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0"/>
        <w:spacing w:line="360" w:lineRule="auto"/>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4.投标文件满足招标文件全部实质性要求，且按照前述综合评审得分由高到低的排序选择前三名供应商作为中标候选人。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81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81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843"/>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81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（一）价格（30分）</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w:t>
      </w:r>
      <w:r>
        <w:rPr>
          <w:rFonts w:hint="eastAsia" w:ascii="宋体" w:hAnsi="宋体" w:eastAsia="宋体" w:cs="宋体"/>
          <w:bCs/>
          <w:sz w:val="24"/>
          <w:szCs w:val="24"/>
          <w:highlight w:val="none"/>
        </w:rPr>
        <w:t xml:space="preserve">采购预算和最高限价），其价格分为满分30分。其他投标人的价格分统一按照下列公式计算：</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（二）技术参数及技术方案（29分）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1.技术参数及配置（20分）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2.技术方案（9分）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供应商提供为实现本项目招标文件技术参数要求而制定的技术方案。</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技术方案详尽合理、针对性强，能完全符合用户科研需求的得9分。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技术方案基本规范合理、具有较强针对性，能基本符合用户科研需求的得5分。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技术方案有疏漏、合理性及针对性较差，仅能符合用户部分科研需求的得2分。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技术方案完全不能符合用户科研需求或未提供技术方案的不得分。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（三）项目实施方案（9分）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（四）综合商务（32分）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1.业绩（</w:t>
      </w: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提供所投产品（同型号设备）自2023年9月起至今的销售业绩，每提供1份业绩得1分，满分</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分。（注：①提供业绩合同复印件；②以合同签订日期为准；③同一单位业绩不重复计分。）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2.市场反馈情况（5分）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3.售后服务（2</w:t>
      </w:r>
      <w:r>
        <w:rPr>
          <w:rFonts w:ascii="宋体" w:hAnsi="宋体" w:eastAsia="宋体" w:cs="宋体"/>
          <w:b/>
          <w:sz w:val="24"/>
          <w:szCs w:val="24"/>
          <w:highlight w:val="none"/>
        </w:rPr>
        <w:t xml:space="preserve">0</w:t>
      </w:r>
      <w:r>
        <w:rPr>
          <w:rFonts w:hint="eastAsia" w:ascii="宋体" w:hAnsi="宋体" w:eastAsia="宋体" w:cs="宋体"/>
          <w:b/>
          <w:sz w:val="24"/>
          <w:szCs w:val="24"/>
          <w:highlight w:val="none"/>
        </w:rPr>
        <w:t xml:space="preserve">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）售后服务方案（12分）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2</w:t>
      </w:r>
      <w:r>
        <w:rPr>
          <w:rFonts w:hint="eastAsia" w:ascii="宋体" w:hAnsi="宋体" w:eastAsia="宋体" w:cs="宋体"/>
          <w:b/>
          <w:sz w:val="24"/>
          <w:szCs w:val="24"/>
          <w:highlight w:val="none"/>
        </w:rPr>
        <w:t xml:space="preserve">）培训方案（8分）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4．其它优惠措施（2分）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优惠措施内容具体明确，具有实际价值及可行性高的得2分；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优惠措施内容较为具体明确，实际价值及可行性较高的得1分；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优惠措施内容不够具体明确，实际价值及可行性较低的得0.5分；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不具备可行性或未提供具体内容的不得分。</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43</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43</w:t>
                    </w:r>
                    <w:r>
                      <w:rPr>
                        <w:rFonts w:ascii="宋体" w:hAnsi="宋体" w:eastAsia="宋体" w:cs="宋体"/>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811"/>
    <w:link w:val="802"/>
    <w:uiPriority w:val="9"/>
    <w:rPr>
      <w:rFonts w:ascii="Arial" w:hAnsi="Arial" w:eastAsia="Arial" w:cs="Arial"/>
      <w:sz w:val="40"/>
      <w:szCs w:val="40"/>
    </w:rPr>
  </w:style>
  <w:style w:type="character" w:styleId="765">
    <w:name w:val="Heading 2 Char"/>
    <w:basedOn w:val="811"/>
    <w:link w:val="803"/>
    <w:uiPriority w:val="9"/>
    <w:rPr>
      <w:rFonts w:ascii="Arial" w:hAnsi="Arial" w:eastAsia="Arial" w:cs="Arial"/>
      <w:sz w:val="34"/>
    </w:rPr>
  </w:style>
  <w:style w:type="character" w:styleId="766">
    <w:name w:val="Heading 3 Char"/>
    <w:basedOn w:val="811"/>
    <w:link w:val="804"/>
    <w:uiPriority w:val="9"/>
    <w:rPr>
      <w:rFonts w:ascii="Arial" w:hAnsi="Arial" w:eastAsia="Arial" w:cs="Arial"/>
      <w:sz w:val="30"/>
      <w:szCs w:val="30"/>
    </w:rPr>
  </w:style>
  <w:style w:type="character" w:styleId="767">
    <w:name w:val="Heading 4 Char"/>
    <w:basedOn w:val="811"/>
    <w:link w:val="805"/>
    <w:uiPriority w:val="9"/>
    <w:rPr>
      <w:rFonts w:ascii="Arial" w:hAnsi="Arial" w:eastAsia="Arial" w:cs="Arial"/>
      <w:b/>
      <w:bCs/>
      <w:sz w:val="26"/>
      <w:szCs w:val="26"/>
    </w:rPr>
  </w:style>
  <w:style w:type="character" w:styleId="768">
    <w:name w:val="Heading 5 Char"/>
    <w:basedOn w:val="811"/>
    <w:link w:val="806"/>
    <w:uiPriority w:val="9"/>
    <w:rPr>
      <w:rFonts w:ascii="Arial" w:hAnsi="Arial" w:eastAsia="Arial" w:cs="Arial"/>
      <w:b/>
      <w:bCs/>
      <w:sz w:val="24"/>
      <w:szCs w:val="24"/>
    </w:rPr>
  </w:style>
  <w:style w:type="character" w:styleId="769">
    <w:name w:val="Heading 6 Char"/>
    <w:basedOn w:val="811"/>
    <w:link w:val="807"/>
    <w:uiPriority w:val="9"/>
    <w:rPr>
      <w:rFonts w:ascii="Arial" w:hAnsi="Arial" w:eastAsia="Arial" w:cs="Arial"/>
      <w:b/>
      <w:bCs/>
      <w:sz w:val="22"/>
      <w:szCs w:val="22"/>
    </w:rPr>
  </w:style>
  <w:style w:type="character" w:styleId="770">
    <w:name w:val="Heading 7 Char"/>
    <w:basedOn w:val="811"/>
    <w:link w:val="808"/>
    <w:uiPriority w:val="9"/>
    <w:rPr>
      <w:rFonts w:ascii="Arial" w:hAnsi="Arial" w:eastAsia="Arial" w:cs="Arial"/>
      <w:b/>
      <w:bCs/>
      <w:i/>
      <w:iCs/>
      <w:sz w:val="22"/>
      <w:szCs w:val="22"/>
    </w:rPr>
  </w:style>
  <w:style w:type="character" w:styleId="771">
    <w:name w:val="Heading 8 Char"/>
    <w:basedOn w:val="811"/>
    <w:link w:val="809"/>
    <w:uiPriority w:val="9"/>
    <w:rPr>
      <w:rFonts w:ascii="Arial" w:hAnsi="Arial" w:eastAsia="Arial" w:cs="Arial"/>
      <w:i/>
      <w:iCs/>
      <w:sz w:val="22"/>
      <w:szCs w:val="22"/>
    </w:rPr>
  </w:style>
  <w:style w:type="character" w:styleId="772">
    <w:name w:val="Heading 9 Char"/>
    <w:basedOn w:val="811"/>
    <w:link w:val="810"/>
    <w:uiPriority w:val="9"/>
    <w:rPr>
      <w:rFonts w:ascii="Arial" w:hAnsi="Arial" w:eastAsia="Arial" w:cs="Arial"/>
      <w:i/>
      <w:iCs/>
      <w:sz w:val="21"/>
      <w:szCs w:val="21"/>
    </w:rPr>
  </w:style>
  <w:style w:type="character" w:styleId="773">
    <w:name w:val="Title Char"/>
    <w:basedOn w:val="811"/>
    <w:link w:val="838"/>
    <w:uiPriority w:val="10"/>
    <w:rPr>
      <w:sz w:val="48"/>
      <w:szCs w:val="48"/>
    </w:rPr>
  </w:style>
  <w:style w:type="character" w:styleId="774">
    <w:name w:val="Subtitle Char"/>
    <w:basedOn w:val="811"/>
    <w:link w:val="831"/>
    <w:uiPriority w:val="11"/>
    <w:rPr>
      <w:sz w:val="24"/>
      <w:szCs w:val="24"/>
    </w:rPr>
  </w:style>
  <w:style w:type="character" w:styleId="775">
    <w:name w:val="Quote Char"/>
    <w:link w:val="862"/>
    <w:uiPriority w:val="29"/>
    <w:rPr>
      <w:i/>
    </w:rPr>
  </w:style>
  <w:style w:type="character" w:styleId="776">
    <w:name w:val="Intense Quote Char"/>
    <w:link w:val="864"/>
    <w:uiPriority w:val="30"/>
    <w:rPr>
      <w:i/>
    </w:rPr>
  </w:style>
  <w:style w:type="character" w:styleId="777">
    <w:name w:val="Header Char"/>
    <w:basedOn w:val="811"/>
    <w:link w:val="828"/>
    <w:uiPriority w:val="99"/>
  </w:style>
  <w:style w:type="character" w:styleId="778">
    <w:name w:val="Caption Char"/>
    <w:basedOn w:val="815"/>
    <w:link w:val="826"/>
    <w:uiPriority w:val="99"/>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32"/>
    <w:uiPriority w:val="99"/>
    <w:rPr>
      <w:sz w:val="18"/>
    </w:rPr>
  </w:style>
  <w:style w:type="character" w:styleId="799">
    <w:name w:val="Endnote Text Char"/>
    <w:link w:val="824"/>
    <w:uiPriority w:val="99"/>
    <w:rPr>
      <w:sz w:val="20"/>
    </w:rPr>
  </w:style>
  <w:style w:type="paragraph" w:styleId="800">
    <w:name w:val="TOC Heading"/>
    <w:uiPriority w:val="39"/>
    <w:unhideWhenUsed/>
  </w:style>
  <w:style w:type="paragraph" w:styleId="801" w:default="1">
    <w:name w:val="Normal"/>
    <w:uiPriority w:val="0"/>
    <w:qFormat/>
    <w:rPr>
      <w:rFonts w:asciiTheme="minorHAnsi" w:hAnsiTheme="minorHAnsi" w:eastAsiaTheme="minorEastAsia" w:cstheme="minorBidi"/>
      <w:sz w:val="21"/>
      <w:szCs w:val="22"/>
      <w:lang w:val="en-US" w:eastAsia="zh-CN" w:bidi="ar-SA"/>
    </w:rPr>
  </w:style>
  <w:style w:type="paragraph" w:styleId="802">
    <w:name w:val="Heading 1"/>
    <w:basedOn w:val="801"/>
    <w:next w:val="801"/>
    <w:link w:val="849"/>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50"/>
    <w:uiPriority w:val="9"/>
    <w:unhideWhenUsed/>
    <w:qFormat/>
    <w:pPr>
      <w:keepLines/>
      <w:keepNext/>
      <w:spacing w:before="360" w:after="200"/>
      <w:outlineLvl w:val="1"/>
    </w:pPr>
    <w:rPr>
      <w:rFonts w:ascii="Arial" w:hAnsi="Arial" w:eastAsia="Arial" w:cs="Arial"/>
      <w:sz w:val="34"/>
    </w:rPr>
  </w:style>
  <w:style w:type="paragraph" w:styleId="804">
    <w:name w:val="Heading 3"/>
    <w:link w:val="85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05">
    <w:name w:val="Heading 4"/>
    <w:link w:val="85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06">
    <w:name w:val="Heading 5"/>
    <w:link w:val="85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07">
    <w:name w:val="Heading 6"/>
    <w:link w:val="85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08">
    <w:name w:val="Heading 7"/>
    <w:link w:val="85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09">
    <w:name w:val="Heading 8"/>
    <w:link w:val="85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10">
    <w:name w:val="Heading 9"/>
    <w:link w:val="85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814">
    <w:name w:val="Normal Indent"/>
    <w:basedOn w:val="801"/>
    <w:next w:val="801"/>
    <w:uiPriority w:val="0"/>
    <w:unhideWhenUsed/>
    <w:qFormat/>
    <w:pPr>
      <w:ind w:firstLine="420"/>
    </w:pPr>
    <w:rPr>
      <w:sz w:val="24"/>
    </w:rPr>
  </w:style>
  <w:style w:type="paragraph" w:styleId="81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816">
    <w:name w:val="annotation text"/>
    <w:basedOn w:val="801"/>
    <w:link w:val="1020"/>
    <w:uiPriority w:val="99"/>
    <w:semiHidden/>
    <w:unhideWhenUsed/>
    <w:qFormat/>
    <w:rPr>
      <w:rFonts w:eastAsia="宋体"/>
      <w:b/>
      <w:sz w:val="24"/>
    </w:rPr>
  </w:style>
  <w:style w:type="paragraph" w:styleId="817">
    <w:name w:val="Body Text"/>
    <w:basedOn w:val="801"/>
    <w:next w:val="801"/>
    <w:uiPriority w:val="0"/>
    <w:unhideWhenUsed/>
    <w:qFormat/>
    <w:pPr>
      <w:spacing w:after="120"/>
    </w:pPr>
    <w:rPr>
      <w:rFonts w:ascii="Times New Roman" w:hAnsi="Times New Roman"/>
    </w:rPr>
  </w:style>
  <w:style w:type="paragraph" w:styleId="818">
    <w:name w:val="Body Text Indent"/>
    <w:basedOn w:val="801"/>
    <w:next w:val="801"/>
    <w:link w:val="1012"/>
    <w:uiPriority w:val="0"/>
    <w:qFormat/>
    <w:pPr>
      <w:ind w:left="570"/>
      <w:spacing w:line="520" w:lineRule="exact"/>
    </w:pPr>
    <w:rPr>
      <w:rFonts w:ascii="方正仿宋简体" w:hAnsi="创艺简仿宋" w:eastAsia="方正仿宋简体"/>
      <w:sz w:val="24"/>
      <w:szCs w:val="20"/>
    </w:rPr>
  </w:style>
  <w:style w:type="paragraph" w:styleId="819">
    <w:name w:val="Block Text"/>
    <w:basedOn w:val="801"/>
    <w:uiPriority w:val="0"/>
    <w:qFormat/>
    <w:pPr>
      <w:ind w:left="630" w:right="-609" w:firstLine="420"/>
      <w:spacing w:line="360" w:lineRule="auto"/>
    </w:pPr>
    <w:rPr>
      <w:rFonts w:hint="eastAsia" w:ascii="仿宋_GB2312" w:eastAsia="仿宋_GB2312"/>
    </w:rPr>
  </w:style>
  <w:style w:type="paragraph" w:styleId="82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82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822">
    <w:name w:val="Plain Text"/>
    <w:basedOn w:val="801"/>
    <w:uiPriority w:val="0"/>
    <w:qFormat/>
    <w:rPr>
      <w:rFonts w:hint="eastAsia" w:ascii="宋体" w:hAnsi="Courier New"/>
    </w:rPr>
  </w:style>
  <w:style w:type="paragraph" w:styleId="82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824">
    <w:name w:val="endnote text"/>
    <w:link w:val="995"/>
    <w:uiPriority w:val="99"/>
    <w:semiHidden/>
    <w:unhideWhenUsed/>
    <w:qFormat/>
    <w:rPr>
      <w:rFonts w:asciiTheme="minorHAnsi" w:hAnsiTheme="minorHAnsi" w:eastAsiaTheme="minorEastAsia" w:cstheme="minorBidi"/>
      <w:szCs w:val="22"/>
      <w:lang w:val="en-US" w:eastAsia="zh-CN" w:bidi="ar-SA"/>
    </w:rPr>
  </w:style>
  <w:style w:type="paragraph" w:styleId="825">
    <w:name w:val="Balloon Text"/>
    <w:basedOn w:val="801"/>
    <w:link w:val="1011"/>
    <w:uiPriority w:val="99"/>
    <w:semiHidden/>
    <w:unhideWhenUsed/>
    <w:qFormat/>
    <w:rPr>
      <w:sz w:val="18"/>
      <w:szCs w:val="18"/>
    </w:rPr>
  </w:style>
  <w:style w:type="paragraph" w:styleId="826">
    <w:name w:val="Footer"/>
    <w:link w:val="86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827">
    <w:name w:val="envelope return"/>
    <w:basedOn w:val="801"/>
    <w:uiPriority w:val="0"/>
    <w:qFormat/>
    <w:rPr>
      <w:rFonts w:ascii="Arial" w:hAnsi="Arial" w:eastAsia="宋体"/>
      <w:szCs w:val="24"/>
    </w:rPr>
  </w:style>
  <w:style w:type="paragraph" w:styleId="828">
    <w:name w:val="Header"/>
    <w:link w:val="86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82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83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831">
    <w:name w:val="Subtitle"/>
    <w:link w:val="861"/>
    <w:uiPriority w:val="11"/>
    <w:qFormat/>
    <w:pPr>
      <w:spacing w:before="200" w:after="200"/>
    </w:pPr>
    <w:rPr>
      <w:rFonts w:asciiTheme="minorHAnsi" w:hAnsiTheme="minorHAnsi" w:eastAsiaTheme="minorEastAsia" w:cstheme="minorBidi"/>
      <w:sz w:val="24"/>
      <w:szCs w:val="24"/>
      <w:lang w:val="en-US" w:eastAsia="zh-CN" w:bidi="ar-SA"/>
    </w:rPr>
  </w:style>
  <w:style w:type="paragraph" w:styleId="832">
    <w:name w:val="footnote text"/>
    <w:link w:val="99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83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83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83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83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837">
    <w:name w:val="Normal (Web)"/>
    <w:basedOn w:val="801"/>
    <w:uiPriority w:val="0"/>
    <w:qFormat/>
    <w:pPr>
      <w:spacing w:before="100" w:beforeAutospacing="1" w:after="100" w:afterAutospacing="1"/>
    </w:pPr>
    <w:rPr>
      <w:rFonts w:cs="Times New Roman"/>
      <w:sz w:val="24"/>
    </w:rPr>
  </w:style>
  <w:style w:type="paragraph" w:styleId="838">
    <w:name w:val="Title"/>
    <w:link w:val="860"/>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839">
    <w:name w:val="annotation subject"/>
    <w:basedOn w:val="816"/>
    <w:next w:val="816"/>
    <w:link w:val="1021"/>
    <w:uiPriority w:val="99"/>
    <w:semiHidden/>
    <w:unhideWhenUsed/>
    <w:qFormat/>
    <w:rPr>
      <w:rFonts w:eastAsiaTheme="minorEastAsia"/>
      <w:bCs/>
      <w:sz w:val="21"/>
    </w:rPr>
  </w:style>
  <w:style w:type="paragraph" w:styleId="840">
    <w:name w:val="Body Text First Indent"/>
    <w:basedOn w:val="817"/>
    <w:uiPriority w:val="0"/>
    <w:qFormat/>
    <w:pPr>
      <w:ind w:firstLine="420"/>
    </w:pPr>
  </w:style>
  <w:style w:type="paragraph" w:styleId="841">
    <w:name w:val="Body Text First Indent 2"/>
    <w:basedOn w:val="818"/>
    <w:next w:val="801"/>
    <w:uiPriority w:val="0"/>
    <w:qFormat/>
    <w:pPr>
      <w:ind w:firstLine="420"/>
    </w:p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11"/>
    <w:uiPriority w:val="22"/>
    <w:qFormat/>
    <w:rPr>
      <w:b/>
    </w:rPr>
  </w:style>
  <w:style w:type="character" w:styleId="844">
    <w:name w:val="endnote reference"/>
    <w:uiPriority w:val="99"/>
    <w:semiHidden/>
    <w:unhideWhenUsed/>
    <w:qFormat/>
    <w:rPr>
      <w:vertAlign w:val="superscript"/>
    </w:rPr>
  </w:style>
  <w:style w:type="character" w:styleId="845">
    <w:name w:val="Emphasis"/>
    <w:basedOn w:val="811"/>
    <w:uiPriority w:val="0"/>
    <w:qFormat/>
    <w:rPr>
      <w:i/>
    </w:rPr>
  </w:style>
  <w:style w:type="character" w:styleId="846">
    <w:name w:val="Hyperlink"/>
    <w:uiPriority w:val="99"/>
    <w:unhideWhenUsed/>
    <w:qFormat/>
    <w:rPr>
      <w:color w:val="0000ff" w:themeColor="hyperlink"/>
      <w:u w:val="single"/>
      <w14:textFill>
        <w14:solidFill>
          <w14:schemeClr w14:val="hlink"/>
        </w14:solidFill>
      </w14:textFill>
    </w:rPr>
  </w:style>
  <w:style w:type="character" w:styleId="847">
    <w:name w:val="annotation reference"/>
    <w:basedOn w:val="811"/>
    <w:uiPriority w:val="0"/>
    <w:qFormat/>
    <w:rPr>
      <w:sz w:val="21"/>
      <w:szCs w:val="21"/>
    </w:rPr>
  </w:style>
  <w:style w:type="character" w:styleId="848">
    <w:name w:val="footnote reference"/>
    <w:uiPriority w:val="99"/>
    <w:unhideWhenUsed/>
    <w:qFormat/>
    <w:rPr>
      <w:vertAlign w:val="superscript"/>
    </w:rPr>
  </w:style>
  <w:style w:type="character" w:styleId="849" w:customStyle="1">
    <w:name w:val="标题 1 字符"/>
    <w:link w:val="802"/>
    <w:uiPriority w:val="9"/>
    <w:qFormat/>
    <w:rPr>
      <w:rFonts w:ascii="Arial" w:hAnsi="Arial" w:eastAsia="Arial" w:cs="Arial"/>
      <w:sz w:val="40"/>
      <w:szCs w:val="40"/>
    </w:rPr>
  </w:style>
  <w:style w:type="character" w:styleId="850" w:customStyle="1">
    <w:name w:val="标题 2 字符"/>
    <w:link w:val="803"/>
    <w:uiPriority w:val="9"/>
    <w:qFormat/>
    <w:rPr>
      <w:rFonts w:ascii="Arial" w:hAnsi="Arial" w:eastAsia="Arial" w:cs="Arial"/>
      <w:sz w:val="34"/>
    </w:rPr>
  </w:style>
  <w:style w:type="character" w:styleId="851" w:customStyle="1">
    <w:name w:val="标题 3 字符"/>
    <w:link w:val="804"/>
    <w:uiPriority w:val="9"/>
    <w:qFormat/>
    <w:rPr>
      <w:rFonts w:ascii="Arial" w:hAnsi="Arial" w:eastAsia="Arial" w:cs="Arial"/>
      <w:sz w:val="30"/>
      <w:szCs w:val="30"/>
    </w:rPr>
  </w:style>
  <w:style w:type="character" w:styleId="852" w:customStyle="1">
    <w:name w:val="标题 4 字符"/>
    <w:link w:val="805"/>
    <w:uiPriority w:val="9"/>
    <w:qFormat/>
    <w:rPr>
      <w:rFonts w:ascii="Arial" w:hAnsi="Arial" w:eastAsia="Arial" w:cs="Arial"/>
      <w:b/>
      <w:bCs/>
      <w:sz w:val="26"/>
      <w:szCs w:val="26"/>
    </w:rPr>
  </w:style>
  <w:style w:type="character" w:styleId="853" w:customStyle="1">
    <w:name w:val="标题 5 字符"/>
    <w:link w:val="806"/>
    <w:uiPriority w:val="9"/>
    <w:qFormat/>
    <w:rPr>
      <w:rFonts w:ascii="Arial" w:hAnsi="Arial" w:eastAsia="Arial" w:cs="Arial"/>
      <w:b/>
      <w:bCs/>
      <w:sz w:val="24"/>
      <w:szCs w:val="24"/>
    </w:rPr>
  </w:style>
  <w:style w:type="character" w:styleId="854" w:customStyle="1">
    <w:name w:val="标题 6 字符"/>
    <w:link w:val="807"/>
    <w:uiPriority w:val="9"/>
    <w:qFormat/>
    <w:rPr>
      <w:rFonts w:ascii="Arial" w:hAnsi="Arial" w:eastAsia="Arial" w:cs="Arial"/>
      <w:b/>
      <w:bCs/>
      <w:sz w:val="22"/>
      <w:szCs w:val="22"/>
    </w:rPr>
  </w:style>
  <w:style w:type="character" w:styleId="855" w:customStyle="1">
    <w:name w:val="标题 7 字符"/>
    <w:link w:val="808"/>
    <w:uiPriority w:val="9"/>
    <w:qFormat/>
    <w:rPr>
      <w:rFonts w:ascii="Arial" w:hAnsi="Arial" w:eastAsia="Arial" w:cs="Arial"/>
      <w:b/>
      <w:bCs/>
      <w:i/>
      <w:iCs/>
      <w:sz w:val="22"/>
      <w:szCs w:val="22"/>
    </w:rPr>
  </w:style>
  <w:style w:type="character" w:styleId="856" w:customStyle="1">
    <w:name w:val="标题 8 字符"/>
    <w:link w:val="809"/>
    <w:uiPriority w:val="9"/>
    <w:qFormat/>
    <w:rPr>
      <w:rFonts w:ascii="Arial" w:hAnsi="Arial" w:eastAsia="Arial" w:cs="Arial"/>
      <w:i/>
      <w:iCs/>
      <w:sz w:val="22"/>
      <w:szCs w:val="22"/>
    </w:rPr>
  </w:style>
  <w:style w:type="character" w:styleId="857" w:customStyle="1">
    <w:name w:val="标题 9 字符"/>
    <w:link w:val="810"/>
    <w:uiPriority w:val="9"/>
    <w:qFormat/>
    <w:rPr>
      <w:rFonts w:ascii="Arial" w:hAnsi="Arial" w:eastAsia="Arial" w:cs="Arial"/>
      <w:i/>
      <w:iCs/>
      <w:sz w:val="21"/>
      <w:szCs w:val="21"/>
    </w:rPr>
  </w:style>
  <w:style w:type="paragraph" w:styleId="858">
    <w:name w:val="List Paragraph"/>
    <w:basedOn w:val="801"/>
    <w:uiPriority w:val="34"/>
    <w:qFormat/>
    <w:pPr>
      <w:contextualSpacing/>
      <w:ind w:left="720"/>
    </w:pPr>
  </w:style>
  <w:style w:type="paragraph" w:styleId="859">
    <w:name w:val="No Spacing"/>
    <w:uiPriority w:val="1"/>
    <w:qFormat/>
    <w:rPr>
      <w:rFonts w:asciiTheme="minorHAnsi" w:hAnsiTheme="minorHAnsi" w:eastAsiaTheme="minorEastAsia" w:cstheme="minorBidi"/>
      <w:sz w:val="21"/>
      <w:szCs w:val="22"/>
      <w:lang w:val="en-US" w:eastAsia="zh-CN" w:bidi="ar-SA"/>
    </w:rPr>
  </w:style>
  <w:style w:type="character" w:styleId="860" w:customStyle="1">
    <w:name w:val="标题 字符"/>
    <w:link w:val="838"/>
    <w:uiPriority w:val="10"/>
    <w:qFormat/>
    <w:rPr>
      <w:sz w:val="48"/>
      <w:szCs w:val="48"/>
    </w:rPr>
  </w:style>
  <w:style w:type="character" w:styleId="861" w:customStyle="1">
    <w:name w:val="副标题 字符"/>
    <w:link w:val="831"/>
    <w:uiPriority w:val="11"/>
    <w:qFormat/>
    <w:rPr>
      <w:sz w:val="24"/>
      <w:szCs w:val="24"/>
    </w:rPr>
  </w:style>
  <w:style w:type="paragraph" w:styleId="862">
    <w:name w:val="Quote"/>
    <w:link w:val="863"/>
    <w:uiPriority w:val="29"/>
    <w:qFormat/>
    <w:pPr>
      <w:ind w:left="720" w:right="720"/>
    </w:pPr>
    <w:rPr>
      <w:rFonts w:asciiTheme="minorHAnsi" w:hAnsiTheme="minorHAnsi" w:eastAsiaTheme="minorEastAsia" w:cstheme="minorBidi"/>
      <w:i/>
      <w:sz w:val="21"/>
      <w:szCs w:val="22"/>
      <w:lang w:val="en-US" w:eastAsia="zh-CN" w:bidi="ar-SA"/>
    </w:rPr>
  </w:style>
  <w:style w:type="character" w:styleId="863" w:customStyle="1">
    <w:name w:val="引用 字符"/>
    <w:link w:val="862"/>
    <w:uiPriority w:val="29"/>
    <w:qFormat/>
    <w:rPr>
      <w:i/>
    </w:rPr>
  </w:style>
  <w:style w:type="paragraph" w:styleId="864">
    <w:name w:val="Intense Quote"/>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65" w:customStyle="1">
    <w:name w:val="明显引用 字符"/>
    <w:link w:val="864"/>
    <w:uiPriority w:val="30"/>
    <w:qFormat/>
    <w:rPr>
      <w:i/>
    </w:rPr>
  </w:style>
  <w:style w:type="character" w:styleId="866" w:customStyle="1">
    <w:name w:val="页眉 字符"/>
    <w:link w:val="828"/>
    <w:uiPriority w:val="99"/>
    <w:qFormat/>
  </w:style>
  <w:style w:type="character" w:styleId="867" w:customStyle="1">
    <w:name w:val="Footer Char"/>
    <w:uiPriority w:val="99"/>
    <w:qFormat/>
  </w:style>
  <w:style w:type="character" w:styleId="868" w:customStyle="1">
    <w:name w:val="页脚 字符"/>
    <w:link w:val="826"/>
    <w:uiPriority w:val="99"/>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832"/>
    <w:uiPriority w:val="99"/>
    <w:qFormat/>
    <w:rPr>
      <w:sz w:val="18"/>
    </w:rPr>
  </w:style>
  <w:style w:type="character" w:styleId="995" w:customStyle="1">
    <w:name w:val="尾注文本 字符"/>
    <w:link w:val="824"/>
    <w:uiPriority w:val="99"/>
    <w:qFormat/>
    <w:rPr>
      <w:sz w:val="20"/>
    </w:rPr>
  </w:style>
  <w:style w:type="paragraph" w:styleId="99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97" w:customStyle="1">
    <w:name w:val="WPSOffice手动目录 1"/>
    <w:uiPriority w:val="0"/>
    <w:qFormat/>
    <w:rPr>
      <w:rFonts w:asciiTheme="minorHAnsi" w:hAnsiTheme="minorHAnsi" w:eastAsiaTheme="minorEastAsia" w:cstheme="minorBidi"/>
      <w:lang w:val="en-US" w:eastAsia="zh-CN" w:bidi="ar-SA"/>
    </w:rPr>
  </w:style>
  <w:style w:type="character" w:styleId="998" w:customStyle="1">
    <w:name w:val="font71"/>
    <w:basedOn w:val="811"/>
    <w:uiPriority w:val="0"/>
    <w:qFormat/>
    <w:rPr>
      <w:rFonts w:ascii="Arial" w:hAnsi="Arial" w:cs="Arial"/>
      <w:color w:val="000000"/>
      <w:sz w:val="20"/>
      <w:szCs w:val="20"/>
      <w:u w:val="none"/>
    </w:rPr>
  </w:style>
  <w:style w:type="character" w:styleId="999" w:customStyle="1">
    <w:name w:val="font11"/>
    <w:basedOn w:val="811"/>
    <w:uiPriority w:val="0"/>
    <w:qFormat/>
    <w:rPr>
      <w:rFonts w:hint="eastAsia" w:ascii="宋体" w:hAnsi="宋体" w:eastAsia="宋体" w:cs="宋体"/>
      <w:color w:val="000000"/>
      <w:sz w:val="20"/>
      <w:szCs w:val="20"/>
      <w:u w:val="none"/>
    </w:rPr>
  </w:style>
  <w:style w:type="character" w:styleId="1000" w:customStyle="1">
    <w:name w:val="font81"/>
    <w:basedOn w:val="811"/>
    <w:uiPriority w:val="0"/>
    <w:qFormat/>
    <w:rPr>
      <w:rFonts w:hint="default" w:ascii="Times New Roman" w:hAnsi="Times New Roman" w:cs="Times New Roman"/>
      <w:color w:val="000000"/>
      <w:sz w:val="20"/>
      <w:szCs w:val="20"/>
      <w:u w:val="none"/>
    </w:rPr>
  </w:style>
  <w:style w:type="paragraph" w:styleId="1001" w:customStyle="1">
    <w:name w:val="Normal_17"/>
    <w:uiPriority w:val="0"/>
    <w:qFormat/>
    <w:rPr>
      <w:rFonts w:ascii="Times New Roman" w:hAnsi="Times New Roman" w:eastAsia="Times New Roman" w:cs="Times New Roman"/>
      <w:sz w:val="24"/>
      <w:szCs w:val="24"/>
      <w:lang w:val="en-US" w:eastAsia="zh-CN" w:bidi="ar-SA"/>
    </w:rPr>
  </w:style>
  <w:style w:type="character" w:styleId="1002" w:customStyle="1">
    <w:name w:val="font21"/>
    <w:basedOn w:val="811"/>
    <w:uiPriority w:val="0"/>
    <w:qFormat/>
    <w:rPr>
      <w:rFonts w:hint="eastAsia" w:ascii="宋体" w:hAnsi="宋体" w:eastAsia="宋体" w:cs="宋体"/>
      <w:color w:val="ff0000"/>
      <w:sz w:val="20"/>
      <w:szCs w:val="20"/>
      <w:u w:val="none"/>
    </w:rPr>
  </w:style>
  <w:style w:type="paragraph" w:styleId="1003" w:customStyle="1">
    <w:name w:val="纯文本1"/>
    <w:basedOn w:val="801"/>
    <w:uiPriority w:val="0"/>
    <w:qFormat/>
    <w:rPr>
      <w:rFonts w:ascii="宋体" w:hAnsi="Courier New" w:eastAsia="楷体_GB2312"/>
      <w:sz w:val="26"/>
    </w:rPr>
  </w:style>
  <w:style w:type="character" w:styleId="1004" w:customStyle="1">
    <w:name w:val="font51"/>
    <w:basedOn w:val="811"/>
    <w:uiPriority w:val="0"/>
    <w:qFormat/>
    <w:rPr>
      <w:rFonts w:hint="eastAsia" w:ascii="华文细黑" w:hAnsi="华文细黑" w:eastAsia="华文细黑" w:cs="华文细黑"/>
      <w:color w:val="000000"/>
      <w:sz w:val="20"/>
      <w:szCs w:val="20"/>
      <w:u w:val="none"/>
      <w:vertAlign w:val="superscript"/>
    </w:rPr>
  </w:style>
  <w:style w:type="paragraph" w:styleId="1005" w:customStyle="1">
    <w:name w:val="标题 11"/>
    <w:basedOn w:val="801"/>
    <w:next w:val="801"/>
    <w:uiPriority w:val="0"/>
    <w:qFormat/>
    <w:pPr>
      <w:jc w:val="center"/>
      <w:keepNext/>
      <w:outlineLvl w:val="0"/>
    </w:pPr>
    <w:rPr>
      <w:rFonts w:ascii="楷体_GB2312" w:hAnsi="Times New Roman" w:eastAsia="楷体_GB2312" w:cs="Times New Roman"/>
      <w:sz w:val="28"/>
      <w:szCs w:val="28"/>
    </w:rPr>
  </w:style>
  <w:style w:type="paragraph" w:styleId="1006" w:customStyle="1">
    <w:name w:val="Table Paragraph"/>
    <w:basedOn w:val="801"/>
    <w:uiPriority w:val="1"/>
    <w:qFormat/>
    <w:rPr>
      <w:sz w:val="24"/>
    </w:rPr>
  </w:style>
  <w:style w:type="paragraph" w:styleId="1007" w:customStyle="1">
    <w:name w:val="首行缩进"/>
    <w:basedOn w:val="801"/>
    <w:uiPriority w:val="0"/>
    <w:qFormat/>
    <w:pPr>
      <w:ind w:firstLine="480"/>
    </w:pPr>
    <w:rPr>
      <w:lang w:val="zh-CN"/>
    </w:rPr>
  </w:style>
  <w:style w:type="paragraph" w:styleId="1008" w:customStyle="1">
    <w:name w:val="Table Text"/>
    <w:basedOn w:val="801"/>
    <w:uiPriority w:val="0"/>
    <w:semiHidden/>
    <w:qFormat/>
    <w:rPr>
      <w:rFonts w:ascii="仿宋" w:hAnsi="仿宋" w:eastAsia="仿宋" w:cs="宋体"/>
      <w:color w:val="000000"/>
      <w:sz w:val="28"/>
      <w:szCs w:val="28"/>
    </w:rPr>
  </w:style>
  <w:style w:type="paragraph" w:styleId="100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101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1011" w:customStyle="1">
    <w:name w:val="批注框文本 字符"/>
    <w:basedOn w:val="811"/>
    <w:link w:val="825"/>
    <w:uiPriority w:val="99"/>
    <w:semiHidden/>
    <w:qFormat/>
    <w:rPr>
      <w:rFonts w:asciiTheme="minorHAnsi" w:hAnsiTheme="minorHAnsi" w:eastAsiaTheme="minorEastAsia" w:cstheme="minorBidi"/>
      <w:sz w:val="18"/>
      <w:szCs w:val="18"/>
    </w:rPr>
  </w:style>
  <w:style w:type="character" w:styleId="1012" w:customStyle="1">
    <w:name w:val="正文文本缩进 字符"/>
    <w:basedOn w:val="811"/>
    <w:link w:val="818"/>
    <w:uiPriority w:val="0"/>
    <w:qFormat/>
    <w:rPr>
      <w:rFonts w:ascii="方正仿宋简体" w:hAnsi="创艺简仿宋" w:eastAsia="方正仿宋简体" w:cstheme="minorBidi"/>
      <w:sz w:val="24"/>
    </w:rPr>
  </w:style>
  <w:style w:type="paragraph" w:styleId="1013" w:customStyle="1">
    <w:name w:val="段"/>
    <w:next w:val="80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14"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p_text_indent_2"/>
    <w:basedOn w:val="801"/>
    <w:uiPriority w:val="0"/>
    <w:qFormat/>
    <w:pPr>
      <w:spacing w:before="100" w:beforeAutospacing="1" w:after="100" w:afterAutospacing="1"/>
    </w:pPr>
    <w:rPr>
      <w:rFonts w:ascii="宋体" w:hAnsi="宋体" w:eastAsia="宋体" w:cs="宋体"/>
      <w:sz w:val="24"/>
      <w:szCs w:val="24"/>
    </w:rPr>
  </w:style>
  <w:style w:type="paragraph" w:styleId="1016"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1017" w:customStyle="1">
    <w:name w:val="列表段落1"/>
    <w:basedOn w:val="801"/>
    <w:uiPriority w:val="34"/>
    <w:qFormat/>
    <w:pPr>
      <w:ind w:firstLine="420"/>
      <w:spacing w:line="360" w:lineRule="auto"/>
    </w:pPr>
    <w:rPr>
      <w:rFonts w:ascii="Tahoma" w:hAnsi="Tahoma" w:eastAsia="宋体"/>
      <w:sz w:val="22"/>
    </w:rPr>
  </w:style>
  <w:style w:type="paragraph" w:styleId="1018"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1019"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1020" w:customStyle="1">
    <w:name w:val="批注文字 字符"/>
    <w:basedOn w:val="811"/>
    <w:link w:val="816"/>
    <w:uiPriority w:val="99"/>
    <w:semiHidden/>
    <w:qFormat/>
    <w:rPr>
      <w:rFonts w:asciiTheme="minorHAnsi" w:hAnsiTheme="minorHAnsi" w:cstheme="minorBidi"/>
      <w:b/>
      <w:sz w:val="24"/>
      <w:szCs w:val="22"/>
    </w:rPr>
  </w:style>
  <w:style w:type="character" w:styleId="1021" w:customStyle="1">
    <w:name w:val="批注主题 字符"/>
    <w:basedOn w:val="1020"/>
    <w:link w:val="839"/>
    <w:uiPriority w:val="99"/>
    <w:semiHidden/>
    <w:qFormat/>
    <w:rPr>
      <w:rFonts w:asciiTheme="minorHAnsi" w:hAnsiTheme="minorHAnsi" w:eastAsiaTheme="minorEastAsia" w:cstheme="minorBidi"/>
      <w:bCs/>
      <w:sz w:val="21"/>
      <w:szCs w:val="22"/>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199</cp:revision>
  <dcterms:created xsi:type="dcterms:W3CDTF">2026-08-24T01:06:00Z</dcterms:created>
  <dcterms:modified xsi:type="dcterms:W3CDTF">2026-10-10T08:39:55Z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A9D8AE43EB9A441EAD0FCEA087C7917D_13</vt:lpwstr>
  </property>
  <property fmtid="{D5CDD505-2E9C-101B-9397-08002B2CF9AE}" pid="4" name="KSOTemplateDocerSaveRecord">
    <vt:lpwstr>eyJoZGlkIjoiMjI3NzRiYzFjN2ZmNzdjZjA2Nzg2OTM4N2EwMGI1NjIiLCJ1c2VySWQiOiIxMTAwNzg1MTUyIn0=</vt:lpwstr>
  </property>
</Properties>
</file>