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570" w:hanging="570"/>
        <w:jc w:val="center"/>
        <w:spacing w:line="360" w:lineRule="auto"/>
        <w:rPr>
          <w:rFonts w:hint="eastAsia" w:ascii="宋体" w:hAnsi="宋体" w:eastAsia="宋体" w:cs="宋体"/>
          <w:sz w:val="60"/>
          <w:szCs w:val="60"/>
        </w:rPr>
      </w:pPr>
      <w:r>
        <w:rPr>
          <w:rFonts w:hint="eastAsia" w:ascii="宋体" w:hAnsi="宋体" w:eastAsia="宋体" w:cs="宋体"/>
          <w:sz w:val="60"/>
          <w:szCs w:val="60"/>
        </w:rPr>
      </w:r>
      <w:r/>
    </w:p>
    <w:p>
      <w:pPr>
        <w:jc w:val="center"/>
        <w:spacing w:after="312" w:line="720" w:lineRule="auto"/>
        <w:rPr>
          <w:rFonts w:hint="eastAsia" w:ascii="宋体" w:hAnsi="宋体" w:eastAsia="宋体" w:cs="宋体"/>
          <w:b/>
          <w:sz w:val="60"/>
          <w:szCs w:val="60"/>
        </w:rPr>
      </w:pPr>
      <w:r>
        <w:rPr>
          <w:rFonts w:hint="eastAsia" w:ascii="宋体" w:hAnsi="宋体" w:eastAsia="宋体" w:cs="宋体"/>
          <w:b/>
          <w:spacing w:val="112"/>
          <w:sz w:val="60"/>
          <w:szCs w:val="60"/>
        </w:rPr>
        <w:t xml:space="preserve">常州市政府采购项</w:t>
      </w:r>
      <w:r>
        <w:rPr>
          <w:rFonts w:hint="eastAsia" w:ascii="宋体" w:hAnsi="宋体" w:eastAsia="宋体" w:cs="宋体"/>
          <w:b/>
          <w:spacing w:val="5"/>
          <w:sz w:val="60"/>
          <w:szCs w:val="60"/>
        </w:rPr>
        <w:t xml:space="preserve">目</w:t>
      </w:r>
      <w:r/>
    </w:p>
    <w:p>
      <w:pPr>
        <w:ind w:left="1028" w:hanging="1028"/>
        <w:jc w:val="center"/>
        <w:spacing w:after="312" w:line="720" w:lineRule="auto"/>
        <w:rPr>
          <w:rFonts w:hint="eastAsia" w:ascii="宋体" w:hAnsi="宋体" w:eastAsia="宋体" w:cs="宋体"/>
          <w:b/>
          <w:sz w:val="60"/>
          <w:szCs w:val="60"/>
        </w:rPr>
      </w:pPr>
      <w:r>
        <w:rPr>
          <w:rFonts w:hint="eastAsia" w:ascii="宋体" w:hAnsi="宋体" w:eastAsia="宋体" w:cs="宋体"/>
          <w:b/>
          <w:spacing w:val="240"/>
          <w:sz w:val="60"/>
          <w:szCs w:val="60"/>
        </w:rPr>
        <w:t xml:space="preserve">公开招标文</w:t>
      </w:r>
      <w:r>
        <w:rPr>
          <w:rFonts w:hint="eastAsia" w:ascii="宋体" w:hAnsi="宋体" w:eastAsia="宋体" w:cs="宋体"/>
          <w:b/>
          <w:spacing w:val="3"/>
          <w:sz w:val="60"/>
          <w:szCs w:val="60"/>
        </w:rPr>
        <w:t xml:space="preserve">件</w:t>
      </w:r>
      <w:r/>
    </w:p>
    <w:p>
      <w:pPr>
        <w:spacing w:line="360" w:lineRule="auto"/>
        <w:rPr>
          <w:rFonts w:hint="eastAsia" w:ascii="宋体" w:hAnsi="宋体" w:eastAsia="宋体" w:cs="宋体"/>
          <w:sz w:val="60"/>
          <w:szCs w:val="60"/>
        </w:rPr>
      </w:pPr>
      <w:r>
        <w:rPr>
          <w:rFonts w:hint="eastAsia" w:ascii="宋体" w:hAnsi="宋体" w:eastAsia="宋体" w:cs="宋体"/>
          <w:sz w:val="60"/>
          <w:szCs w:val="60"/>
        </w:rPr>
      </w:r>
      <w:r/>
    </w:p>
    <w:p>
      <w:pPr>
        <w:ind w:left="285" w:hanging="285"/>
        <w:jc w:val="left"/>
        <w:spacing w:line="360" w:lineRule="auto"/>
        <w:tabs>
          <w:tab w:val="left" w:pos="5609" w:leader="none"/>
        </w:tabs>
        <w:rPr>
          <w:rFonts w:hint="eastAsia" w:ascii="宋体" w:hAnsi="宋体" w:eastAsia="宋体" w:cs="宋体"/>
          <w:bCs/>
          <w:sz w:val="30"/>
          <w:szCs w:val="30"/>
        </w:rPr>
      </w:pPr>
      <w:r>
        <w:rPr>
          <w:rFonts w:hint="eastAsia" w:ascii="宋体" w:hAnsi="宋体" w:eastAsia="宋体" w:cs="宋体"/>
          <w:bCs/>
          <w:sz w:val="30"/>
          <w:szCs w:val="30"/>
        </w:rPr>
      </w:r>
      <w:r/>
    </w:p>
    <w:p>
      <w:pPr>
        <w:ind w:left="285" w:hanging="285"/>
        <w:jc w:val="left"/>
        <w:spacing w:line="360" w:lineRule="auto"/>
        <w:tabs>
          <w:tab w:val="left" w:pos="5609" w:leader="none"/>
        </w:tabs>
        <w:rPr>
          <w:rFonts w:hint="eastAsia" w:ascii="宋体" w:hAnsi="宋体" w:eastAsia="宋体" w:cs="宋体"/>
          <w:bCs/>
          <w:sz w:val="30"/>
          <w:szCs w:val="30"/>
        </w:rPr>
      </w:pPr>
      <w:r>
        <w:rPr>
          <w:rFonts w:hint="eastAsia" w:ascii="宋体" w:hAnsi="宋体" w:eastAsia="宋体" w:cs="宋体"/>
          <w:bCs/>
          <w:sz w:val="30"/>
          <w:szCs w:val="30"/>
        </w:rPr>
        <w:t xml:space="preserve">项目名称：</w:t>
      </w:r>
      <w:bookmarkStart w:id="0" w:name="OLE_LINK12"/>
      <w:r>
        <w:rPr>
          <w:rFonts w:hint="eastAsia" w:ascii="宋体" w:hAnsi="宋体" w:eastAsia="宋体" w:cs="宋体"/>
          <w:bCs/>
          <w:sz w:val="30"/>
          <w:szCs w:val="30"/>
        </w:rPr>
        <w:t xml:space="preserve">常州市退役军人事务局慰问品采购及配送服务项目</w:t>
      </w:r>
      <w:bookmarkEnd w:id="0"/>
      <w:r/>
      <w:r/>
    </w:p>
    <w:p>
      <w:pPr>
        <w:ind w:left="1500" w:hanging="1500"/>
        <w:jc w:val="left"/>
        <w:spacing w:line="360" w:lineRule="auto"/>
        <w:tabs>
          <w:tab w:val="left" w:pos="5609" w:leader="none"/>
        </w:tabs>
        <w:rPr>
          <w:rFonts w:hint="eastAsia" w:ascii="宋体" w:hAnsi="宋体" w:eastAsia="宋体" w:cs="宋体"/>
          <w:bCs/>
        </w:rPr>
      </w:pPr>
      <w:r>
        <w:rPr>
          <w:rFonts w:hint="eastAsia" w:ascii="宋体" w:hAnsi="宋体" w:eastAsia="宋体" w:cs="宋体"/>
          <w:bCs/>
          <w:sz w:val="30"/>
          <w:szCs w:val="30"/>
        </w:rPr>
        <w:t xml:space="preserve">项目编号：</w:t>
      </w:r>
      <w:r>
        <w:rPr>
          <w:rFonts w:hint="eastAsia" w:ascii="宋体" w:hAnsi="宋体" w:eastAsia="宋体" w:cs="宋体"/>
          <w:bCs/>
          <w:sz w:val="30"/>
          <w:szCs w:val="30"/>
        </w:rPr>
        <w:t xml:space="preserve">JSZC-320400-CZJC-G2026-0073</w:t>
      </w:r>
      <w:r/>
    </w:p>
    <w:p>
      <w:pPr>
        <w:ind w:left="285" w:hanging="285"/>
        <w:jc w:val="left"/>
        <w:spacing w:line="360" w:lineRule="auto"/>
        <w:tabs>
          <w:tab w:val="left" w:pos="5609" w:leader="none"/>
        </w:tabs>
        <w:rPr>
          <w:rFonts w:hint="eastAsia" w:ascii="宋体" w:hAnsi="宋体" w:eastAsia="宋体" w:cs="宋体"/>
          <w:bCs/>
          <w:sz w:val="30"/>
          <w:szCs w:val="30"/>
        </w:rPr>
      </w:pPr>
      <w:r>
        <w:rPr>
          <w:rFonts w:hint="eastAsia" w:ascii="宋体" w:hAnsi="宋体" w:eastAsia="宋体" w:cs="宋体"/>
          <w:bCs/>
          <w:sz w:val="30"/>
          <w:szCs w:val="30"/>
        </w:rPr>
        <w:t xml:space="preserve">采 购 人：常州市退役军人事务局</w:t>
      </w:r>
      <w:r/>
    </w:p>
    <w:p>
      <w:pPr>
        <w:ind w:left="285" w:hanging="285"/>
        <w:jc w:val="left"/>
        <w:spacing w:line="360" w:lineRule="auto"/>
        <w:tabs>
          <w:tab w:val="left" w:pos="3240" w:leader="none"/>
          <w:tab w:val="left" w:pos="3420" w:leader="none"/>
        </w:tabs>
        <w:rPr>
          <w:rFonts w:hint="eastAsia" w:ascii="宋体" w:hAnsi="宋体" w:eastAsia="宋体" w:cs="宋体"/>
          <w:bCs/>
          <w:sz w:val="30"/>
          <w:szCs w:val="30"/>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30"/>
          <w:szCs w:val="30"/>
        </w:rPr>
        <w:t xml:space="preserve">采购代理机构：</w:t>
      </w:r>
      <w:r>
        <w:rPr>
          <w:rStyle w:val="927"/>
          <w:rFonts w:hint="eastAsia" w:ascii="宋体" w:hAnsi="宋体" w:eastAsia="宋体" w:cs="宋体"/>
          <w:sz w:val="30"/>
          <w:szCs w:val="30"/>
        </w:rPr>
        <w:t xml:space="preserve">常州金诚招投标有限公司</w:t>
      </w:r>
      <w:r/>
    </w:p>
    <w:p>
      <w:pPr>
        <w:ind w:left="343" w:hanging="343"/>
        <w:jc w:val="center"/>
        <w:widowControl/>
        <w:rPr>
          <w:rFonts w:hint="eastAsia" w:ascii="宋体" w:hAnsi="宋体" w:eastAsia="宋体" w:cs="宋体"/>
          <w:b/>
          <w:bCs/>
          <w:sz w:val="36"/>
          <w:szCs w:val="36"/>
        </w:rPr>
      </w:pPr>
      <w:r>
        <w:rPr>
          <w:rFonts w:hint="eastAsia" w:ascii="宋体" w:hAnsi="宋体" w:eastAsia="宋体" w:cs="宋体"/>
          <w:b/>
          <w:bCs/>
          <w:sz w:val="36"/>
          <w:szCs w:val="36"/>
        </w:rPr>
        <w:t xml:space="preserve">目录</w:t>
      </w:r>
      <w:r/>
    </w:p>
    <w:p>
      <w:pPr>
        <w:pStyle w:val="908"/>
        <w:tabs>
          <w:tab w:val="right" w:pos="8306" w:leader="dot"/>
        </w:tabs>
        <w:rPr>
          <w:rFonts w:hint="eastAsia"/>
        </w:rPr>
      </w:pPr>
      <w:r>
        <w:rPr>
          <w:rFonts w:hint="eastAsia"/>
          <w:b w:val="0"/>
          <w:bCs/>
          <w:sz w:val="36"/>
          <w:szCs w:val="36"/>
        </w:rPr>
        <w:fldChar w:fldCharType="begin"/>
      </w:r>
      <w:r>
        <w:rPr>
          <w:rFonts w:hint="eastAsia"/>
          <w:b w:val="0"/>
          <w:bCs/>
          <w:sz w:val="36"/>
          <w:szCs w:val="36"/>
        </w:rPr>
        <w:instrText xml:space="preserve"> TOC \o "1-1" \h \z \u </w:instrText>
      </w:r>
      <w:r>
        <w:rPr>
          <w:rFonts w:hint="eastAsia"/>
          <w:b w:val="0"/>
          <w:bCs/>
          <w:sz w:val="36"/>
          <w:szCs w:val="36"/>
        </w:rPr>
        <w:fldChar w:fldCharType="separate"/>
      </w:r>
      <w:hyperlink w:tooltip="#_Toc683" w:anchor="_Toc683" w:history="1">
        <w:r>
          <w:rPr>
            <w:rFonts w:hint="eastAsia"/>
          </w:rPr>
          <w:t xml:space="preserve">第一章 投标邀请</w:t>
        </w:r>
        <w:r>
          <w:tab/>
        </w:r>
        <w:r>
          <w:fldChar w:fldCharType="begin"/>
        </w:r>
        <w:r>
          <w:instrText xml:space="preserve"> PAGEREF _Toc683 \h </w:instrText>
        </w:r>
        <w:r>
          <w:fldChar w:fldCharType="separate"/>
        </w:r>
        <w:r>
          <w:t xml:space="preserve">1</w:t>
        </w:r>
        <w:r>
          <w:fldChar w:fldCharType="end"/>
        </w:r>
      </w:hyperlink>
      <w:r/>
      <w:r/>
    </w:p>
    <w:p>
      <w:pPr>
        <w:pStyle w:val="908"/>
        <w:tabs>
          <w:tab w:val="right" w:pos="8306" w:leader="dot"/>
        </w:tabs>
        <w:rPr>
          <w:rFonts w:hint="eastAsia"/>
        </w:rPr>
      </w:pPr>
      <w:r/>
      <w:hyperlink w:tooltip="#_Toc23148" w:anchor="_Toc23148" w:history="1">
        <w:r>
          <w:rPr>
            <w:rFonts w:hint="eastAsia"/>
          </w:rPr>
          <w:t xml:space="preserve">第二章 投标人须知</w:t>
        </w:r>
        <w:r>
          <w:tab/>
        </w:r>
        <w:r>
          <w:fldChar w:fldCharType="begin"/>
        </w:r>
        <w:r>
          <w:instrText xml:space="preserve"> PAGEREF _Toc23148 \h </w:instrText>
        </w:r>
        <w:r>
          <w:fldChar w:fldCharType="separate"/>
        </w:r>
        <w:r>
          <w:t xml:space="preserve">5</w:t>
        </w:r>
        <w:r>
          <w:fldChar w:fldCharType="end"/>
        </w:r>
      </w:hyperlink>
      <w:r/>
      <w:r/>
    </w:p>
    <w:p>
      <w:pPr>
        <w:pStyle w:val="908"/>
        <w:tabs>
          <w:tab w:val="right" w:pos="8306" w:leader="dot"/>
        </w:tabs>
        <w:rPr>
          <w:rFonts w:hint="eastAsia"/>
        </w:rPr>
      </w:pPr>
      <w:r/>
      <w:hyperlink w:tooltip="#_Toc29623" w:anchor="_Toc29623" w:history="1">
        <w:r>
          <w:rPr>
            <w:rFonts w:hint="eastAsia"/>
          </w:rPr>
          <w:t xml:space="preserve">第三章 资格审查</w:t>
        </w:r>
        <w:r>
          <w:tab/>
        </w:r>
        <w:r>
          <w:fldChar w:fldCharType="begin"/>
        </w:r>
        <w:r>
          <w:instrText xml:space="preserve"> PAGEREF _Toc29623 \h </w:instrText>
        </w:r>
        <w:r>
          <w:fldChar w:fldCharType="separate"/>
        </w:r>
        <w:r>
          <w:t xml:space="preserve">21</w:t>
        </w:r>
        <w:r>
          <w:fldChar w:fldCharType="end"/>
        </w:r>
      </w:hyperlink>
      <w:r/>
      <w:r/>
    </w:p>
    <w:p>
      <w:pPr>
        <w:pStyle w:val="908"/>
        <w:tabs>
          <w:tab w:val="right" w:pos="8306" w:leader="dot"/>
        </w:tabs>
        <w:rPr>
          <w:rFonts w:hint="eastAsia"/>
        </w:rPr>
      </w:pPr>
      <w:r/>
      <w:hyperlink w:tooltip="#_Toc861" w:anchor="_Toc861" w:history="1">
        <w:r>
          <w:rPr>
            <w:rFonts w:hint="eastAsia"/>
          </w:rPr>
          <w:t xml:space="preserve">第四章 评标程序、评标方法和评标标准</w:t>
        </w:r>
        <w:r>
          <w:tab/>
        </w:r>
        <w:r>
          <w:fldChar w:fldCharType="begin"/>
        </w:r>
        <w:r>
          <w:instrText xml:space="preserve"> PAGEREF _Toc861 \h </w:instrText>
        </w:r>
        <w:r>
          <w:fldChar w:fldCharType="separate"/>
        </w:r>
        <w:r>
          <w:t xml:space="preserve">22</w:t>
        </w:r>
        <w:r>
          <w:fldChar w:fldCharType="end"/>
        </w:r>
      </w:hyperlink>
      <w:r/>
      <w:r/>
    </w:p>
    <w:p>
      <w:pPr>
        <w:pStyle w:val="908"/>
        <w:tabs>
          <w:tab w:val="right" w:pos="8306" w:leader="dot"/>
        </w:tabs>
        <w:rPr>
          <w:rFonts w:hint="eastAsia"/>
        </w:rPr>
      </w:pPr>
      <w:r/>
      <w:hyperlink w:tooltip="#_Toc19013" w:anchor="_Toc19013" w:history="1">
        <w:r>
          <w:rPr>
            <w:rFonts w:hint="eastAsia"/>
          </w:rPr>
          <w:t xml:space="preserve">第五章 采购需求</w:t>
        </w:r>
        <w:r>
          <w:tab/>
        </w:r>
        <w:r>
          <w:fldChar w:fldCharType="begin"/>
        </w:r>
        <w:r>
          <w:instrText xml:space="preserve"> PAGEREF _Toc19013 \h </w:instrText>
        </w:r>
        <w:r>
          <w:fldChar w:fldCharType="separate"/>
        </w:r>
        <w:r>
          <w:t xml:space="preserve">31</w:t>
        </w:r>
        <w:r>
          <w:fldChar w:fldCharType="end"/>
        </w:r>
      </w:hyperlink>
      <w:r/>
      <w:r/>
    </w:p>
    <w:p>
      <w:pPr>
        <w:pStyle w:val="908"/>
        <w:tabs>
          <w:tab w:val="right" w:pos="8306" w:leader="dot"/>
        </w:tabs>
        <w:rPr>
          <w:rFonts w:hint="eastAsia"/>
        </w:rPr>
      </w:pPr>
      <w:r/>
      <w:hyperlink w:tooltip="#_Toc15023" w:anchor="_Toc15023" w:history="1">
        <w:r>
          <w:rPr>
            <w:rFonts w:hint="eastAsia"/>
          </w:rPr>
          <w:t xml:space="preserve">第六章 拟签订的合同文本</w:t>
        </w:r>
        <w:r>
          <w:tab/>
        </w:r>
        <w:r>
          <w:fldChar w:fldCharType="begin"/>
        </w:r>
        <w:r>
          <w:instrText xml:space="preserve"> PAGEREF _Toc15023 \h </w:instrText>
        </w:r>
        <w:r>
          <w:fldChar w:fldCharType="separate"/>
        </w:r>
        <w:r>
          <w:t xml:space="preserve">35</w:t>
        </w:r>
        <w:r>
          <w:fldChar w:fldCharType="end"/>
        </w:r>
      </w:hyperlink>
      <w:r/>
      <w:r/>
    </w:p>
    <w:p>
      <w:pPr>
        <w:pStyle w:val="908"/>
        <w:tabs>
          <w:tab w:val="right" w:pos="8306" w:leader="dot"/>
        </w:tabs>
        <w:rPr>
          <w:rFonts w:hint="eastAsia"/>
        </w:rPr>
      </w:pPr>
      <w:r/>
      <w:hyperlink w:tooltip="#_Toc26106" w:anchor="_Toc26106" w:history="1">
        <w:r>
          <w:rPr>
            <w:rFonts w:hint="eastAsia"/>
          </w:rPr>
          <w:t xml:space="preserve">第七章 投标文件格式</w:t>
        </w:r>
        <w:r>
          <w:tab/>
        </w:r>
        <w:r>
          <w:fldChar w:fldCharType="begin"/>
        </w:r>
        <w:r>
          <w:instrText xml:space="preserve"> PAGEREF _Toc26106 \h </w:instrText>
        </w:r>
        <w:r>
          <w:fldChar w:fldCharType="separate"/>
        </w:r>
        <w:r>
          <w:t xml:space="preserve">42</w:t>
        </w:r>
        <w:r>
          <w:fldChar w:fldCharType="end"/>
        </w:r>
      </w:hyperlink>
      <w:r/>
      <w:r/>
    </w:p>
    <w:p>
      <w:pPr>
        <w:ind w:left="199" w:hanging="199"/>
        <w:widowControl/>
        <w:rPr>
          <w:rFonts w:hint="eastAsia" w:ascii="宋体" w:hAnsi="宋体" w:eastAsia="宋体" w:cs="宋体"/>
          <w:bCs/>
          <w:sz w:val="36"/>
          <w:szCs w:val="36"/>
        </w:rPr>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Cs w:val="36"/>
        </w:rPr>
        <w:fldChar w:fldCharType="end"/>
      </w:r>
      <w:r/>
    </w:p>
    <w:p>
      <w:pPr>
        <w:pStyle w:val="891"/>
      </w:pPr>
      <w:r/>
      <w:bookmarkStart w:id="1" w:name="_Toc683"/>
      <w:r>
        <w:rPr>
          <w:rFonts w:hint="eastAsia"/>
        </w:rPr>
        <w:t xml:space="preserve">第一章</w:t>
      </w:r>
      <w:r>
        <w:rPr>
          <w:rFonts w:hint="eastAsia"/>
        </w:rPr>
        <w:t xml:space="preserve"> </w:t>
      </w:r>
      <w:r>
        <w:rPr>
          <w:rFonts w:hint="eastAsia"/>
        </w:rPr>
        <w:t xml:space="preserve">投标邀请</w:t>
      </w:r>
      <w:bookmarkEnd w:id="1"/>
      <w:r/>
      <w:r/>
    </w:p>
    <w:tbl>
      <w:tblPr>
        <w:tblStyle w:val="914"/>
        <w:tblW w:w="0" w:type="auto"/>
        <w:jc w:val="center"/>
        <w:tblLook w:val="04A0" w:firstRow="1" w:lastRow="0" w:firstColumn="1" w:lastColumn="0" w:noHBand="0" w:noVBand="1"/>
      </w:tblPr>
      <w:tblGrid>
        <w:gridCol w:w="8296"/>
      </w:tblGrid>
      <w:tr>
        <w:trPr>
          <w:jc w:val="center"/>
        </w:trPr>
        <w:tc>
          <w:tcPr>
            <w:tcW w:w="8522" w:type="dxa"/>
            <w:vAlign w:val="center"/>
            <w:textDirection w:val="lrTb"/>
            <w:noWrap w:val="false"/>
          </w:tcPr>
          <w:p>
            <w:pPr>
              <w:ind w:left="232" w:hanging="232"/>
              <w:spacing w:line="360" w:lineRule="auto"/>
              <w:rPr>
                <w:rStyle w:val="927"/>
                <w:rFonts w:hint="eastAsia" w:ascii="宋体" w:hAnsi="宋体" w:eastAsia="宋体" w:cs="宋体"/>
                <w:bCs/>
                <w:spacing w:val="2"/>
                <w:sz w:val="24"/>
              </w:rPr>
            </w:pPr>
            <w:r>
              <w:rPr>
                <w:rStyle w:val="927"/>
                <w:rFonts w:hint="eastAsia" w:ascii="宋体" w:hAnsi="宋体" w:eastAsia="宋体" w:cs="宋体"/>
                <w:bCs/>
                <w:spacing w:val="2"/>
                <w:sz w:val="24"/>
              </w:rPr>
              <w:t xml:space="preserve">项目概况</w:t>
            </w:r>
            <w:r/>
          </w:p>
          <w:p>
            <w:pPr>
              <w:ind w:firstLine="480"/>
              <w:spacing w:line="360" w:lineRule="auto"/>
              <w:rPr>
                <w:rStyle w:val="927"/>
                <w:rFonts w:hint="eastAsia" w:ascii="宋体" w:hAnsi="宋体" w:eastAsia="宋体" w:cs="宋体"/>
                <w:sz w:val="24"/>
                <w:szCs w:val="24"/>
              </w:rPr>
            </w:pPr>
            <w:r>
              <w:rPr>
                <w:rFonts w:hint="eastAsia" w:ascii="宋体" w:hAnsi="宋体" w:eastAsia="宋体" w:cs="宋体"/>
                <w:sz w:val="24"/>
                <w:szCs w:val="24"/>
              </w:rPr>
              <w:t xml:space="preserve">常州市退役军人事务局慰问品采购及配送服务项目的潜在投标人应在“苏采云”系统获取招标文件，并于2026年11月</w:t>
            </w:r>
            <w:r>
              <w:rPr>
                <w:rFonts w:hint="eastAsia" w:ascii="宋体" w:hAnsi="宋体" w:eastAsia="宋体" w:cs="宋体"/>
                <w:sz w:val="24"/>
                <w:szCs w:val="24"/>
              </w:rPr>
              <w:t xml:space="preserve">17</w:t>
            </w:r>
            <w:r>
              <w:rPr>
                <w:rFonts w:hint="eastAsia" w:ascii="宋体" w:hAnsi="宋体" w:eastAsia="宋体" w:cs="宋体"/>
                <w:sz w:val="24"/>
                <w:szCs w:val="24"/>
              </w:rPr>
              <w:t xml:space="preserve">日14点00分（北京时间）前提交投标文件。</w:t>
            </w:r>
            <w:r/>
          </w:p>
        </w:tc>
      </w:tr>
    </w:tbl>
    <w:p>
      <w:pPr>
        <w:ind w:left="229" w:hanging="229"/>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一、项目基本情况</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1.项目编号：</w:t>
      </w:r>
      <w:r>
        <w:rPr>
          <w:rFonts w:hint="eastAsia" w:ascii="宋体" w:hAnsi="宋体" w:eastAsia="宋体" w:cs="宋体"/>
          <w:sz w:val="24"/>
          <w:szCs w:val="24"/>
        </w:rPr>
        <w:t xml:space="preserve">JSZC-320400-CZJC-G2026-0073</w:t>
      </w:r>
      <w:r/>
    </w:p>
    <w:p>
      <w:pPr>
        <w:ind w:firstLine="480"/>
        <w:spacing w:line="360" w:lineRule="auto"/>
        <w:rPr>
          <w:rStyle w:val="927"/>
          <w:rFonts w:hint="eastAsia" w:ascii="宋体" w:hAnsi="宋体" w:eastAsia="宋体" w:cs="宋体"/>
          <w:bCs/>
          <w:sz w:val="24"/>
        </w:rPr>
      </w:pPr>
      <w:r>
        <w:rPr>
          <w:rFonts w:hint="eastAsia" w:ascii="宋体" w:hAnsi="宋体" w:eastAsia="宋体" w:cs="宋体"/>
          <w:sz w:val="24"/>
          <w:szCs w:val="24"/>
        </w:rPr>
        <w:t xml:space="preserve">2.项目名称：</w:t>
      </w:r>
      <w:bookmarkStart w:id="2" w:name="OLE_LINK1"/>
      <w:r>
        <w:rPr>
          <w:rStyle w:val="927"/>
          <w:rFonts w:hint="eastAsia" w:ascii="宋体" w:hAnsi="宋体" w:eastAsia="宋体" w:cs="宋体"/>
          <w:bCs/>
          <w:sz w:val="24"/>
        </w:rPr>
        <w:t xml:space="preserve">常州市退役军人事务局慰问品采购及配送服务项目</w:t>
      </w:r>
      <w:bookmarkEnd w:id="2"/>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3.采购方式：公开招标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4.预算金额：201万元</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5.最高限价（如有）：</w:t>
      </w:r>
      <w:r>
        <w:rPr>
          <w:rFonts w:ascii="宋体" w:hAnsi="宋体" w:eastAsia="宋体" w:cs="宋体"/>
          <w:sz w:val="24"/>
          <w:szCs w:val="24"/>
        </w:rPr>
        <w:t xml:space="preserve">本项目以优惠率进行报价。优惠率报价范围为0%（含）至100%（不含），超出此范围视为无效响应。</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6.采购需求：</w:t>
      </w:r>
      <w:bookmarkStart w:id="3" w:name="OLE_LINK5"/>
      <w:r>
        <w:rPr>
          <w:rFonts w:ascii="宋体" w:hAnsi="宋体" w:eastAsia="宋体" w:cs="宋体"/>
          <w:sz w:val="24"/>
          <w:szCs w:val="24"/>
        </w:rPr>
        <w:t xml:space="preserve">本项目为</w:t>
      </w:r>
      <w:r>
        <w:rPr>
          <w:rFonts w:ascii="SimSun" w:hAnsi="SimSun" w:eastAsia="SimSun" w:cs="SimSun"/>
          <w:color w:val="000000"/>
          <w:sz w:val="24"/>
        </w:rPr>
        <w:t xml:space="preserve">本项目为常州市退役军人事务局慰问品采购及配送服务项目</w:t>
      </w:r>
      <w:r>
        <w:rPr>
          <w:rFonts w:ascii="宋体" w:hAnsi="宋体" w:eastAsia="宋体" w:cs="宋体"/>
          <w:sz w:val="24"/>
          <w:szCs w:val="24"/>
        </w:rPr>
        <w:t xml:space="preserve">，具体结算数量以采购人实际验收合格供货数量为准，项目最终结算总价不超过本项目核定预算总额。具体要求详见</w:t>
      </w:r>
      <w:r>
        <w:rPr>
          <w:rFonts w:hint="eastAsia" w:ascii="宋体" w:hAnsi="宋体" w:eastAsia="宋体" w:cs="宋体"/>
          <w:sz w:val="24"/>
          <w:szCs w:val="24"/>
        </w:rPr>
        <w:t xml:space="preserve">采购</w:t>
      </w:r>
      <w:r>
        <w:rPr>
          <w:rFonts w:ascii="宋体" w:hAnsi="宋体" w:eastAsia="宋体" w:cs="宋体"/>
          <w:sz w:val="24"/>
          <w:szCs w:val="24"/>
        </w:rPr>
        <w:t xml:space="preserve">文件</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cs="宋体"/>
          <w:sz w:val="24"/>
          <w:szCs w:val="24"/>
        </w:rPr>
        <w:t xml:space="preserve">中标供应商须全权负责本项目全部工作内容，包含但不限于本项目货源组织、生产采购、标准化包装、仓储、全程运输、现场卸货搬运、就位摆放、运输保险、售后服务、现场配合验收及招标文件约定的全部配套服务，直至通过验收为止。</w:t>
      </w:r>
      <w:bookmarkEnd w:id="3"/>
      <w:r/>
      <w:r/>
    </w:p>
    <w:p>
      <w:pPr>
        <w:ind w:firstLine="480"/>
        <w:jc w:val="left"/>
        <w:spacing w:line="360" w:lineRule="auto"/>
        <w:rPr>
          <w:sz w:val="24"/>
        </w:rPr>
      </w:pPr>
      <w:r>
        <w:rPr>
          <w:rFonts w:hint="eastAsia" w:ascii="宋体" w:hAnsi="宋体" w:eastAsia="宋体" w:cs="宋体"/>
          <w:sz w:val="24"/>
          <w:szCs w:val="24"/>
        </w:rPr>
        <w:t xml:space="preserve">7.合同履行期限：</w:t>
      </w:r>
      <w:r>
        <w:rPr>
          <w:rFonts w:ascii="宋体" w:hAnsi="宋体" w:eastAsia="宋体"/>
          <w:sz w:val="24"/>
        </w:rPr>
        <w:t xml:space="preserve">合同签订生效后于2027年1月15日前完成全部慰问品的配送。所有慰问品须按采购人的要求配送至指定地点。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8.本项目是否接受联合体：□</w:t>
      </w:r>
      <w:r>
        <w:rPr>
          <w:rFonts w:hint="eastAsia" w:ascii="宋体" w:hAnsi="宋体" w:eastAsia="宋体" w:cs="宋体"/>
          <w:sz w:val="24"/>
          <w:szCs w:val="24"/>
        </w:rPr>
        <w:t xml:space="preserve">是  ■</w:t>
      </w:r>
      <w:r>
        <w:rPr>
          <w:rFonts w:hint="eastAsia" w:ascii="宋体" w:hAnsi="宋体" w:eastAsia="宋体" w:cs="宋体"/>
          <w:sz w:val="24"/>
          <w:szCs w:val="24"/>
        </w:rPr>
        <w:t xml:space="preserve">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9.本项目是否接受进口产品响应：□</w:t>
      </w:r>
      <w:r>
        <w:rPr>
          <w:rFonts w:hint="eastAsia" w:ascii="宋体" w:hAnsi="宋体" w:eastAsia="宋体" w:cs="宋体"/>
          <w:sz w:val="24"/>
          <w:szCs w:val="24"/>
        </w:rPr>
        <w:t xml:space="preserve">是  ■</w:t>
      </w:r>
      <w:r>
        <w:rPr>
          <w:rFonts w:hint="eastAsia" w:ascii="宋体" w:hAnsi="宋体" w:eastAsia="宋体" w:cs="宋体"/>
          <w:sz w:val="24"/>
          <w:szCs w:val="24"/>
        </w:rPr>
        <w:t xml:space="preserve">否。</w:t>
      </w:r>
      <w:r/>
    </w:p>
    <w:p>
      <w:pPr>
        <w:ind w:left="229" w:hanging="229"/>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二、申请人的资格要求（须同时满足）</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1.满足《中华人民共和国政府采购法》第二十二条规定以及下列情形：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1.2单位负责人为同一人或者存在直接控股、管理关系的不同投标人（包含法定代表人为同一个人的两个及两个以上法人，母公司、全资子公司及其控股公</w:t>
      </w:r>
      <w:r>
        <w:rPr>
          <w:rFonts w:hint="eastAsia" w:ascii="宋体" w:hAnsi="宋体" w:eastAsia="宋体" w:cs="宋体"/>
          <w:sz w:val="24"/>
          <w:szCs w:val="24"/>
        </w:rPr>
        <w:t xml:space="preserve">司），不得参加同一合同项下的政府采购活动。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2.落实政府采购政策需满足的资格要求：</w:t>
      </w:r>
      <w:r/>
    </w:p>
    <w:p>
      <w:pPr>
        <w:ind w:firstLine="480"/>
        <w:spacing w:line="360" w:lineRule="auto"/>
        <w:rPr>
          <w:rFonts w:hint="eastAsia" w:ascii="宋体" w:hAnsi="宋体" w:eastAsia="宋体" w:cs="宋体"/>
          <w:sz w:val="24"/>
          <w:szCs w:val="24"/>
        </w:rPr>
      </w:pPr>
      <w:r/>
      <w:bookmarkStart w:id="4" w:name="OLE_LINK18"/>
      <w:r>
        <w:rPr>
          <w:rFonts w:hint="eastAsia" w:ascii="宋体" w:hAnsi="宋体" w:eastAsia="宋体" w:cs="宋体"/>
          <w:sz w:val="24"/>
          <w:szCs w:val="24"/>
        </w:rPr>
        <w:t xml:space="preserve">2.1 中小企业政策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■本项目不专门面向中小企业预留采购份额。</w:t>
      </w:r>
      <w:r/>
    </w:p>
    <w:p>
      <w:pPr>
        <w:ind w:firstLine="480"/>
        <w:spacing w:line="360" w:lineRule="auto"/>
        <w:rPr>
          <w:rFonts w:hint="eastAsia" w:ascii="宋体" w:hAnsi="宋体" w:eastAsia="宋体" w:cs="宋体"/>
          <w:sz w:val="24"/>
          <w:szCs w:val="24"/>
        </w:rPr>
      </w:pPr>
      <w:r>
        <w:rPr>
          <w:rFonts w:ascii="Wingdings 2" w:hAnsi="Wingdings 2" w:eastAsia="Wingdings 2" w:cs="Wingdings 2"/>
          <w:sz w:val="24"/>
          <w:szCs w:val="24"/>
        </w:rPr>
        <w:t xml:space="preserve">£</w:t>
      </w:r>
      <w:r>
        <w:rPr>
          <w:rFonts w:hint="eastAsia" w:ascii="宋体" w:hAnsi="宋体" w:eastAsia="宋体" w:cs="宋体"/>
          <w:sz w:val="24"/>
          <w:szCs w:val="24"/>
        </w:rPr>
        <w:t xml:space="preserve">本项目专门面向  </w:t>
      </w:r>
      <w:r>
        <w:rPr>
          <w:rFonts w:ascii="Wingdings 2" w:hAnsi="Wingdings 2" w:eastAsia="Wingdings 2" w:cs="Wingdings 2"/>
          <w:sz w:val="24"/>
          <w:szCs w:val="24"/>
        </w:rPr>
        <w:t xml:space="preserve">£</w:t>
      </w:r>
      <w:r>
        <w:rPr>
          <w:rFonts w:hint="eastAsia" w:ascii="宋体" w:hAnsi="宋体" w:eastAsia="宋体" w:cs="宋体"/>
          <w:sz w:val="24"/>
          <w:szCs w:val="24"/>
        </w:rPr>
        <w:t xml:space="preserve">中小 </w:t>
      </w:r>
      <w:r>
        <w:rPr>
          <w:rFonts w:ascii="Wingdings 2" w:hAnsi="Wingdings 2" w:eastAsia="Wingdings 2" w:cs="Wingdings 2"/>
          <w:sz w:val="24"/>
          <w:szCs w:val="24"/>
        </w:rPr>
        <w:t xml:space="preserve">£</w:t>
      </w:r>
      <w:r>
        <w:rPr>
          <w:rFonts w:hint="eastAsia" w:ascii="宋体" w:hAnsi="宋体" w:eastAsia="宋体" w:cs="宋体"/>
          <w:sz w:val="24"/>
          <w:szCs w:val="24"/>
        </w:rPr>
        <w:t xml:space="preserve">小微企业 采购。即：提供的货物全部由符合政策要求的中小/小微企业制造、服务全部由符合政策要求的中小/小微企业承接。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 其它落实政府采购政策的资格要求（如有）：</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bookmarkEnd w:id="4"/>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3.本项目的特定资格要求：</w:t>
      </w:r>
      <w:r/>
    </w:p>
    <w:p>
      <w:pPr>
        <w:ind w:firstLine="480"/>
        <w:spacing w:line="360" w:lineRule="auto"/>
        <w:rPr>
          <w:rFonts w:hint="eastAsia" w:ascii="宋体" w:hAnsi="宋体" w:eastAsia="宋体" w:cs="宋体"/>
          <w:sz w:val="24"/>
          <w:szCs w:val="24"/>
        </w:rPr>
      </w:pPr>
      <w:r/>
      <w:bookmarkStart w:id="5" w:name="OLE_LINK19"/>
      <w:r>
        <w:rPr>
          <w:rFonts w:hint="eastAsia" w:ascii="宋体" w:hAnsi="宋体" w:eastAsia="宋体" w:cs="宋体"/>
          <w:sz w:val="24"/>
          <w:szCs w:val="24"/>
        </w:rPr>
        <w:t xml:space="preserve">3.1本项目是否接受分支机构参与投标：□是   ■否；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3.2 本项目是否属于政府购买服务：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□是，公益一类事业单位、使用事业编制且由财政拨款保障的群团组织，不得作为承接主体；</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3.3其他特定资格要求：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3.3.1投标人具备有效的食品经营许可证（经营范围含预包装食品销售），或仅销售预包装食品经营者备案表（含有效备案编号）。</w:t>
      </w:r>
      <w:bookmarkEnd w:id="5"/>
      <w:r/>
      <w:r/>
    </w:p>
    <w:p>
      <w:pPr>
        <w:ind w:left="229" w:hanging="229"/>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三、获取招标文件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1.时间：自招标文件公告发布之日起5个工作日。</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2.地点：“苏采云”系统</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3.方式：供应商持CA数字认证证书登录“苏采云”系统获取电子版招标文件。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4.售价：0元。</w:t>
      </w:r>
      <w:r/>
    </w:p>
    <w:p>
      <w:pPr>
        <w:ind w:left="229" w:hanging="229"/>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四、提交投标文件截止时间、开标时间和地点</w:t>
      </w:r>
      <w:r/>
    </w:p>
    <w:p>
      <w:pPr>
        <w:ind w:firstLine="480"/>
        <w:spacing w:line="360" w:lineRule="auto"/>
        <w:rPr>
          <w:rFonts w:hint="eastAsia" w:ascii="宋体" w:hAnsi="宋体" w:eastAsia="宋体" w:cs="宋体"/>
          <w:sz w:val="24"/>
          <w:szCs w:val="24"/>
        </w:rPr>
      </w:pPr>
      <w:r/>
      <w:bookmarkStart w:id="6" w:name="OLE_LINK4"/>
      <w:r>
        <w:rPr>
          <w:rFonts w:hint="eastAsia" w:ascii="宋体" w:hAnsi="宋体" w:eastAsia="宋体" w:cs="宋体"/>
          <w:sz w:val="24"/>
        </w:rPr>
        <w:t xml:space="preserve">投标截止时间、开标时间：</w:t>
      </w:r>
      <w:r>
        <w:rPr>
          <w:rFonts w:hint="eastAsia" w:ascii="宋体" w:hAnsi="宋体" w:eastAsia="宋体" w:cs="宋体"/>
          <w:sz w:val="24"/>
          <w:szCs w:val="24"/>
        </w:rPr>
        <w:t xml:space="preserve">2026年11月</w:t>
      </w:r>
      <w:r>
        <w:rPr>
          <w:rFonts w:hint="eastAsia" w:ascii="宋体" w:hAnsi="宋体" w:eastAsia="宋体" w:cs="宋体"/>
          <w:sz w:val="24"/>
          <w:szCs w:val="24"/>
        </w:rPr>
        <w:t xml:space="preserve">17</w:t>
      </w:r>
      <w:r>
        <w:rPr>
          <w:rFonts w:hint="eastAsia" w:ascii="宋体" w:hAnsi="宋体" w:eastAsia="宋体" w:cs="宋体"/>
          <w:sz w:val="24"/>
          <w:szCs w:val="24"/>
        </w:rPr>
        <w:t xml:space="preserve">日14点00分（北京时间）。</w:t>
      </w:r>
      <w:bookmarkEnd w:id="6"/>
      <w:r/>
      <w:r/>
    </w:p>
    <w:p>
      <w:pPr>
        <w:ind w:firstLine="480"/>
        <w:spacing w:line="360" w:lineRule="auto"/>
        <w:rPr>
          <w:rFonts w:hint="eastAsia" w:ascii="宋体" w:hAnsi="宋体" w:eastAsia="宋体" w:cs="宋体"/>
          <w:sz w:val="24"/>
        </w:rPr>
      </w:pPr>
      <w:r/>
      <w:bookmarkStart w:id="7" w:name="_Toc28359007"/>
      <w:r/>
      <w:bookmarkStart w:id="8" w:name="_Toc35393794"/>
      <w:r/>
      <w:bookmarkStart w:id="9" w:name="_Toc35393625"/>
      <w:r/>
      <w:bookmarkStart w:id="10" w:name="_Toc28359084"/>
      <w:r>
        <w:rPr>
          <w:rFonts w:hint="eastAsia" w:ascii="宋体" w:hAnsi="宋体" w:eastAsia="宋体" w:cs="宋体"/>
          <w:sz w:val="24"/>
        </w:rPr>
        <w:t xml:space="preserve">地点：“苏采云”系统“开标大厅”。</w:t>
      </w:r>
      <w:r/>
    </w:p>
    <w:p>
      <w:pPr>
        <w:ind w:left="229" w:hanging="229"/>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五、公告期限</w:t>
      </w:r>
      <w:bookmarkEnd w:id="7"/>
      <w:r/>
      <w:bookmarkEnd w:id="8"/>
      <w:r/>
      <w:bookmarkEnd w:id="9"/>
      <w:r/>
      <w:bookmarkEnd w:id="10"/>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p>
    <w:p>
      <w:pPr>
        <w:numPr>
          <w:ilvl w:val="0"/>
          <w:numId w:val="2"/>
        </w:numPr>
        <w:ind w:left="229" w:hanging="229"/>
        <w:spacing w:line="360" w:lineRule="auto"/>
        <w:rPr>
          <w:rFonts w:hint="eastAsia" w:ascii="宋体" w:hAnsi="宋体" w:eastAsia="宋体" w:cs="宋体"/>
          <w:b/>
          <w:sz w:val="24"/>
          <w:szCs w:val="24"/>
        </w:rPr>
      </w:pPr>
      <w:r/>
      <w:bookmarkStart w:id="11" w:name="_Toc35393795"/>
      <w:r/>
      <w:bookmarkStart w:id="12" w:name="_Toc35393626"/>
      <w:r>
        <w:rPr>
          <w:rFonts w:hint="eastAsia" w:ascii="宋体" w:hAnsi="宋体" w:eastAsia="宋体" w:cs="宋体"/>
          <w:b/>
          <w:sz w:val="24"/>
          <w:szCs w:val="24"/>
        </w:rPr>
        <w:t xml:space="preserve">其他补充事宜</w:t>
      </w:r>
      <w:bookmarkEnd w:id="11"/>
      <w:r/>
      <w:bookmarkEnd w:id="12"/>
      <w:r/>
      <w:r/>
    </w:p>
    <w:p>
      <w:pPr>
        <w:ind w:firstLine="480"/>
        <w:spacing w:line="360" w:lineRule="auto"/>
        <w:rPr>
          <w:rFonts w:hint="eastAsia" w:ascii="宋体" w:hAnsi="宋体" w:eastAsia="宋体" w:cs="宋体"/>
          <w:sz w:val="24"/>
        </w:rPr>
      </w:pPr>
      <w:r/>
      <w:bookmarkStart w:id="13" w:name="_Toc28359085"/>
      <w:r/>
      <w:bookmarkStart w:id="14" w:name="_Toc28359008"/>
      <w:r/>
      <w:bookmarkStart w:id="15" w:name="_Toc35393796"/>
      <w:r/>
      <w:bookmarkStart w:id="16" w:name="_Toc35393627"/>
      <w:r>
        <w:rPr>
          <w:rFonts w:hint="eastAsia" w:ascii="宋体" w:hAnsi="宋体" w:eastAsia="宋体" w:cs="宋体"/>
          <w:sz w:val="24"/>
        </w:rPr>
        <w:t xml:space="preserve">1．本项目需要落实的政府采购政策：促进中小企业及监狱企业发展、促进残疾人就业、政府采购节能产品、环境标志产品、支持乡村产业振兴管理、正版软件、信息安全产品、政府采购创新产品政策、绿色采购政策具体落实情况详见招标文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 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领取CA和办理电子签章（技术支持服务热线：0519-85588210）、进行注册并按《操作手册》要求制作、上传电子投标文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 有关本次招标的事项若存在变动或修改，敬请及时关注“江苏政府采购网”、“常州市政府采购网”发布的公告。</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4.关于常州市中小企业政府采购信用融资：</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left="229" w:hanging="229"/>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七、对本项目提出询问，请按以下方式联系。</w:t>
      </w:r>
      <w:bookmarkEnd w:id="13"/>
      <w:r/>
      <w:bookmarkEnd w:id="14"/>
      <w:r/>
      <w:bookmarkEnd w:id="15"/>
      <w:r/>
      <w:bookmarkEnd w:id="16"/>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ind w:firstLine="480"/>
        <w:spacing w:line="360" w:lineRule="auto"/>
        <w:rPr>
          <w:rFonts w:hint="eastAsia" w:ascii="宋体" w:hAnsi="宋体" w:eastAsia="宋体" w:cs="宋体"/>
          <w:sz w:val="24"/>
          <w:szCs w:val="24"/>
        </w:rPr>
      </w:pPr>
      <w:r/>
      <w:bookmarkStart w:id="17" w:name="_Toc28359086"/>
      <w:r/>
      <w:bookmarkStart w:id="18" w:name="_Toc28359009"/>
      <w:r>
        <w:rPr>
          <w:rFonts w:hint="eastAsia" w:ascii="宋体" w:hAnsi="宋体" w:eastAsia="宋体" w:cs="宋体"/>
          <w:sz w:val="24"/>
          <w:szCs w:val="24"/>
        </w:rPr>
        <w:t xml:space="preserve">单位名称：常州市退役军人事务局</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单位地址：</w:t>
      </w:r>
      <w:r>
        <w:rPr>
          <w:rFonts w:ascii="宋体" w:hAnsi="宋体" w:eastAsia="宋体" w:cs="宋体"/>
          <w:sz w:val="24"/>
          <w:szCs w:val="24"/>
        </w:rPr>
        <w:t xml:space="preserve">常州市新北区汉江路390号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w:t>
      </w:r>
      <w:bookmarkStart w:id="19" w:name="OLE_LINK7"/>
      <w:r>
        <w:rPr>
          <w:rFonts w:ascii="宋体" w:hAnsi="宋体" w:eastAsia="宋体" w:cs="宋体"/>
          <w:sz w:val="24"/>
          <w:szCs w:val="24"/>
        </w:rPr>
        <w:t xml:space="preserve">刘先生</w:t>
      </w:r>
      <w:bookmarkEnd w:id="19"/>
      <w:r/>
      <w:r/>
    </w:p>
    <w:p>
      <w:pPr>
        <w:ind w:firstLine="480"/>
        <w:spacing w:line="360" w:lineRule="auto"/>
        <w:rPr>
          <w:rFonts w:eastAsia="宋体"/>
        </w:rPr>
      </w:pPr>
      <w:r>
        <w:rPr>
          <w:rFonts w:hint="eastAsia" w:ascii="宋体" w:hAnsi="宋体" w:eastAsia="宋体" w:cs="宋体"/>
          <w:sz w:val="24"/>
          <w:szCs w:val="24"/>
        </w:rPr>
        <w:t xml:space="preserve">联系电话：</w:t>
      </w:r>
      <w:r>
        <w:rPr>
          <w:rFonts w:ascii="宋体" w:hAnsi="宋体" w:eastAsia="宋体" w:cs="宋体"/>
          <w:sz w:val="24"/>
          <w:szCs w:val="24"/>
        </w:rPr>
        <w:t xml:space="preserve">0519-85686152</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2.采购代理机构信息</w:t>
      </w:r>
      <w:bookmarkEnd w:id="17"/>
      <w:r/>
      <w:bookmarkEnd w:id="18"/>
      <w:r/>
      <w:r/>
    </w:p>
    <w:p>
      <w:pPr>
        <w:ind w:firstLine="480"/>
        <w:spacing w:line="360" w:lineRule="auto"/>
        <w:rPr>
          <w:rFonts w:hint="eastAsia" w:ascii="宋体" w:hAnsi="宋体" w:eastAsia="宋体" w:cs="宋体"/>
          <w:sz w:val="24"/>
          <w:szCs w:val="24"/>
        </w:rPr>
      </w:pPr>
      <w:r/>
      <w:bookmarkStart w:id="20" w:name="_Toc28359087"/>
      <w:r/>
      <w:bookmarkStart w:id="21" w:name="_Toc28359010"/>
      <w:r>
        <w:rPr>
          <w:rFonts w:hint="eastAsia" w:ascii="宋体" w:hAnsi="宋体" w:eastAsia="宋体" w:cs="宋体"/>
          <w:sz w:val="24"/>
          <w:szCs w:val="24"/>
        </w:rPr>
        <w:t xml:space="preserve">单位名称：常州金诚招投标有限公司</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单位地址：常州市新北区汉江路368号金城大厦1910室</w:t>
      </w:r>
      <w:r/>
    </w:p>
    <w:p>
      <w:pPr>
        <w:ind w:firstLine="480"/>
        <w:spacing w:line="360" w:lineRule="auto"/>
        <w:rPr>
          <w:rFonts w:eastAsia="宋体"/>
        </w:rPr>
      </w:pPr>
      <w:r>
        <w:rPr>
          <w:rFonts w:hint="eastAsia" w:ascii="宋体" w:hAnsi="宋体" w:eastAsia="宋体" w:cs="宋体"/>
          <w:sz w:val="24"/>
          <w:szCs w:val="24"/>
        </w:rPr>
        <w:t xml:space="preserve">联系人:</w:t>
      </w:r>
      <w:r>
        <w:rPr>
          <w:rFonts w:hint="eastAsia" w:ascii="宋体" w:hAnsi="宋体" w:eastAsia="宋体" w:cs="宋体"/>
          <w:sz w:val="24"/>
          <w:szCs w:val="24"/>
        </w:rPr>
        <w:t xml:space="preserve">窦文卓</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联系方式：0519-85183350</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3.项目联系方式</w:t>
      </w:r>
      <w:bookmarkEnd w:id="20"/>
      <w:r/>
      <w:bookmarkEnd w:id="21"/>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项目联系人：窦文卓</w:t>
      </w:r>
      <w:r/>
    </w:p>
    <w:p>
      <w:pPr>
        <w:ind w:firstLine="480"/>
        <w:spacing w:line="360" w:lineRule="auto"/>
        <w:rPr>
          <w:rFonts w:hint="eastAsia" w:ascii="宋体" w:hAnsi="宋体" w:eastAsia="宋体" w:cs="宋体"/>
          <w:sz w:val="24"/>
          <w:szCs w:val="24"/>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sz w:val="24"/>
          <w:szCs w:val="24"/>
        </w:rPr>
        <w:t xml:space="preserve">电      话：0519-85183350</w:t>
      </w:r>
      <w:r/>
    </w:p>
    <w:p>
      <w:pPr>
        <w:pStyle w:val="891"/>
        <w:ind w:left="343" w:hanging="343"/>
        <w:rPr>
          <w:rFonts w:hint="eastAsia" w:ascii="宋体" w:hAnsi="宋体" w:eastAsia="宋体" w:cs="宋体"/>
        </w:rPr>
      </w:pPr>
      <w:r/>
      <w:bookmarkStart w:id="22" w:name="_Toc23148"/>
      <w:r>
        <w:rPr>
          <w:rFonts w:hint="eastAsia" w:ascii="宋体" w:hAnsi="宋体" w:eastAsia="宋体" w:cs="宋体"/>
        </w:rPr>
        <w:t xml:space="preserve">第二章 投标人须知</w:t>
      </w:r>
      <w:bookmarkEnd w:id="22"/>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投标人须知资料表</w:t>
      </w:r>
      <w:r/>
    </w:p>
    <w:p>
      <w:pPr>
        <w:ind w:left="228" w:hanging="228"/>
        <w:spacing w:line="360" w:lineRule="auto"/>
        <w:rPr>
          <w:rFonts w:hint="eastAsia" w:ascii="宋体" w:hAnsi="宋体" w:eastAsia="宋体" w:cs="宋体"/>
          <w:sz w:val="24"/>
        </w:rPr>
      </w:pPr>
      <w:r>
        <w:rPr>
          <w:rFonts w:hint="eastAsia" w:ascii="宋体" w:hAnsi="宋体" w:eastAsia="宋体" w:cs="宋体"/>
          <w:sz w:val="24"/>
        </w:rPr>
        <w:t xml:space="preserve">本表是对投标人须知的具体补充和修改，如有矛盾，均以本资料表为准。</w:t>
      </w:r>
      <w:r/>
    </w:p>
    <w:p>
      <w:pPr>
        <w:ind w:left="228" w:hanging="228"/>
        <w:spacing w:line="360" w:lineRule="auto"/>
        <w:rPr>
          <w:rFonts w:hint="eastAsia" w:ascii="宋体" w:hAnsi="宋体" w:eastAsia="宋体" w:cs="宋体"/>
          <w:sz w:val="24"/>
          <w:szCs w:val="24"/>
        </w:rPr>
      </w:pPr>
      <w:r>
        <w:rPr>
          <w:rFonts w:hint="eastAsia" w:ascii="宋体" w:hAnsi="宋体" w:eastAsia="宋体" w:cs="宋体"/>
          <w:sz w:val="24"/>
        </w:rPr>
        <w:t xml:space="preserve">标记“</w:t>
      </w:r>
      <w:r>
        <w:rPr>
          <w:rFonts w:hint="eastAsia" w:ascii="宋体" w:hAnsi="宋体" w:eastAsia="宋体" w:cs="宋体"/>
          <w:sz w:val="24"/>
          <w:szCs w:val="24"/>
        </w:rPr>
        <w:t xml:space="preserve">■</w:t>
      </w:r>
      <w:r>
        <w:rPr>
          <w:rFonts w:hint="eastAsia" w:ascii="宋体" w:hAnsi="宋体" w:eastAsia="宋体" w:cs="宋体"/>
          <w:sz w:val="24"/>
        </w:rPr>
        <w:t xml:space="preserve">”的选项意为适用于本项目，标记“</w:t>
      </w:r>
      <w:r>
        <w:rPr>
          <w:rFonts w:hint="eastAsia" w:ascii="宋体" w:hAnsi="宋体" w:eastAsia="宋体" w:cs="宋体"/>
          <w:sz w:val="24"/>
          <w:szCs w:val="24"/>
        </w:rPr>
        <w:t xml:space="preserve">□</w:t>
      </w:r>
      <w:r>
        <w:rPr>
          <w:rFonts w:hint="eastAsia" w:ascii="宋体" w:hAnsi="宋体" w:eastAsia="宋体" w:cs="宋体"/>
          <w:sz w:val="24"/>
        </w:rPr>
        <w:t xml:space="preserve">”的选项意为不适用于本项目</w:t>
      </w:r>
      <w:r>
        <w:rPr>
          <w:rFonts w:hint="eastAsia" w:ascii="宋体" w:hAnsi="宋体" w:eastAsia="宋体" w:cs="宋体"/>
          <w:sz w:val="24"/>
          <w:szCs w:val="24"/>
        </w:rPr>
        <w:t xml:space="preserve">。</w:t>
      </w:r>
      <w:r/>
    </w:p>
    <w:tbl>
      <w:tblPr>
        <w:tblW w:w="9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2"/>
        <w:gridCol w:w="1516"/>
        <w:gridCol w:w="6668"/>
      </w:tblGrid>
      <w:tr>
        <w:trPr>
          <w:jc w:val="center"/>
          <w:trHeight w:val="594"/>
          <w:tblHeader/>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条款号</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条目</w:t>
            </w:r>
            <w:r/>
          </w:p>
        </w:tc>
        <w:tc>
          <w:tcPr>
            <w:tcW w:w="6668"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内容</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2.2</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项目属性</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项目属性：</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■服务</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□货物</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2.3</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科研仪器设备</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是否属于科研仪器设备采购项目：</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□是</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■否</w:t>
            </w:r>
            <w:r/>
          </w:p>
        </w:tc>
      </w:tr>
      <w:tr>
        <w:trPr>
          <w:jc w:val="center"/>
          <w:trHeight w:val="1054"/>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2.4</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核心产品</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■关于核心产品本项目不适用。</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□本项目为单一产品采购项目。</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□本项目为非单一产品采购项目，核心产品为：</w:t>
            </w:r>
            <w:r/>
          </w:p>
        </w:tc>
      </w:tr>
      <w:tr>
        <w:trPr>
          <w:jc w:val="center"/>
          <w:trHeight w:val="20"/>
        </w:trPr>
        <w:tc>
          <w:tcPr>
            <w:tcW w:w="1122" w:type="dxa"/>
            <w:vAlign w:val="center"/>
            <w:vMerge w:val="restart"/>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3.1</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现场考察</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■不组织</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□组织，考察时间：__年_月_日_点_分</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考察地点：____________。</w:t>
            </w:r>
            <w:r/>
          </w:p>
        </w:tc>
      </w:tr>
      <w:tr>
        <w:trPr>
          <w:jc w:val="center"/>
          <w:trHeight w:val="20"/>
        </w:trPr>
        <w:tc>
          <w:tcPr>
            <w:tcW w:w="1122" w:type="dxa"/>
            <w:vAlign w:val="center"/>
            <w:vMerge w:val="continue"/>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开标前答疑会</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■不召开</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□召开，召开时间：__年_月_日_点_分</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召开地点：____________。</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4.1</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样品</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投标样品递交：</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□不需要</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■需要，具体要求如下：</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（1）样品制作的标准和要求：详见采购需求</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（2）是否需要随样品提交相关检测报告：不需要</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（3）样品递交要求：详见采购需求</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（4）未中标人样品退还：详见采购需求</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（5）中标人样品保管、封存及退还：详见采购需求</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（6）其他要求（如有）：详见采购需求</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5.2.5</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标的所属行业</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本项目采购标的对应的中小企业划分标准所属行业：</w:t>
            </w:r>
            <w:r>
              <w:rPr>
                <w:rFonts w:hint="eastAsia" w:ascii="宋体" w:hAnsi="宋体"/>
                <w:sz w:val="24"/>
                <w:u w:val="single"/>
              </w:rPr>
              <w:t xml:space="preserve">批发业</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sz w:val="24"/>
                <w:szCs w:val="24"/>
              </w:rPr>
              <w:t xml:space="preserve">5.8</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sz w:val="24"/>
                <w:szCs w:val="24"/>
              </w:rPr>
              <w:t xml:space="preserve">采购本国产品的支持政策</w:t>
            </w:r>
            <w:r/>
          </w:p>
        </w:tc>
        <w:tc>
          <w:tcPr>
            <w:tcW w:w="6668" w:type="dxa"/>
            <w:vAlign w:val="center"/>
            <w:textDirection w:val="lrTb"/>
            <w:noWrap w:val="false"/>
          </w:tcPr>
          <w:p>
            <w:pPr>
              <w:ind w:firstLine="480"/>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关于对采购本国产品给予政策支持，本项目：不适用。</w:t>
            </w:r>
            <w:r/>
          </w:p>
          <w:p>
            <w:pPr>
              <w:ind w:firstLine="480"/>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政府采购活动中既有本国产品又有非本国产品参与竞争的，依法对本国产品给予价格评审优惠，对本国产品的报价给予20%的价格扣除，用扣除后的价格参与评审。</w:t>
            </w:r>
            <w:r/>
          </w:p>
          <w:p>
            <w:pPr>
              <w:ind w:firstLine="480"/>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具体内容详见招标文件“第四章 评标程序、评标方法和评标标准”。</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11.2</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投标报价</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投标报价的特殊规定：</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■无</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□有，具体情形：/。</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12</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投标保证金</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免收</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13.1</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投标有效期</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自提交投标文件的截止之日起算60日历天。</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25.5</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分包</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本项目的非主体、非关键性工作是否允许分包：</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■不允许</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□允许，具体要求：</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（1）可以分包履行的具体内容：_____；</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（2）允许分包的金额或者比例：_____；</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（3）其他要求：_____。</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26.1</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询问</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询问送达形式：纸质书面送达。</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26.2</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质疑</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质疑送达形式：纸质书面送达。</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26.3</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联系方式</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接收询问和质疑的联系方式</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联系部门：常州金诚招投标有限公司；</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联系电话：0519-85183350；</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通讯地址：常州市新北区汉江路368号金城大厦1910室常州金诚招投标有限公司（综合办公室）。</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27</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代理费</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收费对象：</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□采购人</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■中标人</w:t>
            </w:r>
            <w:r/>
          </w:p>
          <w:p>
            <w:pPr>
              <w:ind w:left="228" w:hanging="228"/>
              <w:jc w:val="left"/>
              <w:spacing w:line="276" w:lineRule="auto"/>
              <w:rPr>
                <w:rFonts w:hint="eastAsia" w:ascii="宋体" w:hAnsi="宋体" w:eastAsia="宋体" w:cs="宋体"/>
                <w:b/>
                <w:bCs/>
                <w:sz w:val="24"/>
                <w:szCs w:val="24"/>
              </w:rPr>
            </w:pPr>
            <w:r>
              <w:rPr>
                <w:rFonts w:ascii="宋体" w:hAnsi="宋体" w:eastAsia="宋体" w:cs="宋体"/>
                <w:b/>
                <w:bCs/>
                <w:sz w:val="24"/>
                <w:szCs w:val="24"/>
              </w:rPr>
              <w:t xml:space="preserve">代理服务费支付说明及原因：</w:t>
            </w:r>
            <w:r/>
          </w:p>
          <w:p>
            <w:pPr>
              <w:spacing w:line="276" w:lineRule="auto"/>
              <w:rPr>
                <w:rFonts w:hint="eastAsia" w:ascii="宋体" w:hAnsi="宋体" w:eastAsia="宋体" w:cs="宋体"/>
                <w:sz w:val="24"/>
                <w:szCs w:val="24"/>
              </w:rPr>
            </w:pPr>
            <w:r>
              <w:rPr>
                <w:rFonts w:hint="eastAsia" w:ascii="宋体" w:hAnsi="宋体" w:eastAsia="宋体" w:cs="宋体"/>
                <w:sz w:val="24"/>
                <w:szCs w:val="24"/>
              </w:rPr>
              <w:t xml:space="preserve">因采购预算已包含本项目代理服务费用，根据《政府采购代理机构管理暂行办法》（财库〔2018〕2号）第十五条及《政府采购货物和服务招标投标管理办法》（财政部令第87号）第二十条执行，由中标（成交）供应商支付，中标（成交）供应商</w:t>
            </w:r>
            <w:r>
              <w:rPr>
                <w:rFonts w:hint="eastAsia" w:ascii="宋体" w:hAnsi="宋体" w:eastAsia="宋体" w:cs="宋体"/>
                <w:sz w:val="24"/>
                <w:szCs w:val="24"/>
              </w:rPr>
              <w:t xml:space="preserve">应当在响应报价中包含代理服务费，并在领取中标（成交）通知书时向采购代理机构一次性付清。</w:t>
            </w:r>
            <w:r/>
          </w:p>
          <w:p>
            <w:pPr>
              <w:spacing w:line="360" w:lineRule="auto"/>
              <w:rPr>
                <w:rFonts w:hint="eastAsia" w:ascii="宋体" w:hAnsi="宋体" w:eastAsia="宋体"/>
                <w:b/>
                <w:bCs/>
                <w:sz w:val="24"/>
                <w:szCs w:val="24"/>
              </w:rPr>
            </w:pPr>
            <w:r>
              <w:rPr>
                <w:rFonts w:ascii="宋体" w:hAnsi="宋体" w:eastAsia="宋体"/>
                <w:b/>
                <w:bCs/>
                <w:sz w:val="24"/>
                <w:szCs w:val="24"/>
              </w:rPr>
              <w:t xml:space="preserve">收费标准</w:t>
            </w:r>
            <w:r>
              <w:rPr>
                <w:rFonts w:hint="eastAsia" w:ascii="宋体" w:hAnsi="宋体" w:eastAsia="宋体"/>
                <w:b/>
                <w:bCs/>
                <w:sz w:val="24"/>
                <w:szCs w:val="24"/>
              </w:rPr>
              <w:t xml:space="preserve">：</w:t>
            </w:r>
            <w:r/>
          </w:p>
          <w:p>
            <w:pPr>
              <w:jc w:val="left"/>
              <w:spacing w:before="109" w:after="109"/>
              <w:rPr>
                <w:rFonts w:hint="eastAsia" w:ascii="宋体" w:hAnsi="宋体" w:eastAsia="宋体"/>
                <w:sz w:val="24"/>
                <w:szCs w:val="24"/>
              </w:rPr>
            </w:pPr>
            <w:r>
              <w:rPr>
                <w:rFonts w:hint="eastAsia" w:ascii="宋体" w:hAnsi="宋体" w:eastAsia="宋体"/>
                <w:sz w:val="24"/>
                <w:szCs w:val="24"/>
              </w:rPr>
              <w:t xml:space="preserve">代理服务费按照下列标准收取，中标服务收费按此计算方法不足人民币3000元的，按人民币3000元收取。</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913"/>
              <w:gridCol w:w="2346"/>
            </w:tblGrid>
            <w:tr>
              <w:trPr>
                <w:jc w:val="center"/>
                <w:trHeight w:val="1975"/>
              </w:trPr>
              <w:tc>
                <w:tcPr>
                  <w:tcBorders>
                    <w:top w:val="single" w:color="auto" w:sz="4" w:space="0"/>
                    <w:left w:val="single" w:color="auto" w:sz="4" w:space="0"/>
                    <w:bottom w:val="single" w:color="auto" w:sz="4" w:space="0"/>
                    <w:right w:val="single" w:color="auto" w:sz="4" w:space="0"/>
                  </w:tcBorders>
                  <w:tcW w:w="2913" w:type="dxa"/>
                  <w:textDirection w:val="lrTb"/>
                  <w:noWrap w:val="false"/>
                </w:tcPr>
                <w:p>
                  <w:pPr>
                    <w:ind w:firstLine="945"/>
                    <w:spacing w:line="400" w:lineRule="exact"/>
                    <w:rPr>
                      <w:rFonts w:hint="eastAsia" w:ascii="宋体" w:hAnsi="宋体" w:eastAsia="宋体" w:cs="宋体"/>
                      <w:b/>
                      <w:szCs w:val="21"/>
                    </w:rPr>
                  </w:pPr>
                  <w:r>
                    <w:rPr>
                      <w:rFonts w:hint="eastAsia" w:ascii="宋体" w:hAnsi="宋体" w:eastAsia="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296545</wp:posOffset>
                            </wp:positionH>
                            <wp:positionV relativeFrom="paragraph">
                              <wp:posOffset>1905</wp:posOffset>
                            </wp:positionV>
                            <wp:extent cx="1374140" cy="1545590"/>
                            <wp:effectExtent l="3810" t="3175" r="3175" b="3810"/>
                            <wp:wrapNone/>
                            <wp:docPr id="1" name="直线 4"/>
                            <wp:cNvGraphicFramePr/>
                            <a:graphic xmlns:a="http://schemas.openxmlformats.org/drawingml/2006/main">
                              <a:graphicData uri="http://schemas.microsoft.com/office/word/2010/wordprocessingShape">
                                <wps:wsp>
                                  <wps:cNvPr id="0" name=""/>
                                  <wps:cNvSpPr/>
                                  <wps:spPr bwMode="auto">
                                    <a:xfrm flipH="1" flipV="1">
                                      <a:off x="0" y="0"/>
                                      <a:ext cx="1374139" cy="154559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flip:xy;visibility:visible;" from="23.3pt,0.1pt" to="131.5pt,121.8pt" filled="f" strokecolor="#000000" strokeweight="0.75pt">
                            <v:stroke dashstyle="solid"/>
                          </v:line>
                        </w:pict>
                      </mc:Fallback>
                    </mc:AlternateContent>
                  </w:r>
                  <w:r>
                    <w:rPr>
                      <w:rFonts w:hint="eastAsia" w:ascii="宋体" w:hAnsi="宋体" w:eastAsia="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-6350</wp:posOffset>
                            </wp:positionV>
                            <wp:extent cx="635" cy="0"/>
                            <wp:effectExtent l="0" t="4445" r="8890" b="5080"/>
                            <wp:wrapNone/>
                            <wp:docPr id="2" name="直线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9.0pt,-0.5pt" to="-8.9pt,-0.5pt" filled="f" strokecolor="#000000" strokeweight="0.75pt">
                            <v:stroke dashstyle="solid"/>
                          </v:line>
                        </w:pict>
                      </mc:Fallback>
                    </mc:AlternateContent>
                  </w:r>
                  <w:r>
                    <w:rPr>
                      <w:rFonts w:hint="eastAsia" w:ascii="宋体" w:hAnsi="宋体" w:eastAsia="宋体" w:cs="宋体"/>
                      <w:b/>
                      <w:szCs w:val="21"/>
                    </w:rPr>
                    <w:t xml:space="preserve">服</w:t>
                  </w:r>
                  <w:r/>
                </w:p>
                <w:p>
                  <w:pPr>
                    <w:ind w:firstLine="211"/>
                    <w:spacing w:line="400" w:lineRule="exact"/>
                    <w:rPr>
                      <w:rFonts w:hint="eastAsia" w:ascii="宋体" w:hAnsi="宋体" w:eastAsia="宋体" w:cs="宋体"/>
                      <w:b/>
                      <w:szCs w:val="21"/>
                    </w:rPr>
                  </w:pPr>
                  <w:r>
                    <w:rPr>
                      <w:rFonts w:hint="eastAsia" w:ascii="宋体" w:hAnsi="宋体" w:eastAsia="宋体" w:cs="宋体"/>
                      <w:b/>
                      <w:szCs w:val="21"/>
                    </w:rPr>
                    <w:t xml:space="preserve">费　　　　务</w:t>
                  </w:r>
                  <w:r/>
                </w:p>
                <w:p>
                  <w:pPr>
                    <w:ind w:firstLine="1004"/>
                    <w:spacing w:line="400" w:lineRule="exact"/>
                    <w:rPr>
                      <w:rFonts w:hint="eastAsia" w:ascii="宋体" w:hAnsi="宋体" w:eastAsia="宋体" w:cs="宋体"/>
                      <w:b/>
                      <w:szCs w:val="21"/>
                    </w:rPr>
                  </w:pPr>
                  <w:r>
                    <w:rPr>
                      <w:rFonts w:hint="eastAsia" w:ascii="宋体" w:hAnsi="宋体" w:eastAsia="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-60325</wp:posOffset>
                            </wp:positionH>
                            <wp:positionV relativeFrom="paragraph">
                              <wp:posOffset>46355</wp:posOffset>
                            </wp:positionV>
                            <wp:extent cx="1685290" cy="970280"/>
                            <wp:effectExtent l="2540" t="3810" r="7620" b="6985"/>
                            <wp:wrapNone/>
                            <wp:docPr id="3" name="直线 5"/>
                            <wp:cNvGraphicFramePr/>
                            <a:graphic xmlns:a="http://schemas.openxmlformats.org/drawingml/2006/main">
                              <a:graphicData uri="http://schemas.microsoft.com/office/word/2010/wordprocessingShape">
                                <wps:wsp>
                                  <wps:cNvPr id="0" name=""/>
                                  <wps:cNvSpPr/>
                                  <wps:spPr bwMode="auto">
                                    <a:xfrm flipH="1" flipV="1">
                                      <a:off x="0" y="0"/>
                                      <a:ext cx="1685289" cy="97028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2" o:spid="_x0000_s2" style="position:absolute;left:0;text-align:left;z-index:251661312;mso-wrap-distance-left:9.0pt;mso-wrap-distance-top:0.0pt;mso-wrap-distance-right:9.0pt;mso-wrap-distance-bottom:0.0pt;flip:xy;visibility:visible;" from="-4.8pt,3.6pt" to="127.9pt,80.0pt" filled="f" strokecolor="#000000" strokeweight="0.75pt">
                            <v:stroke dashstyle="solid"/>
                          </v:line>
                        </w:pict>
                      </mc:Fallback>
                    </mc:AlternateContent>
                  </w:r>
                  <w:r>
                    <w:rPr>
                      <w:rFonts w:hint="eastAsia" w:ascii="宋体" w:hAnsi="宋体" w:eastAsia="宋体" w:cs="宋体"/>
                      <w:b/>
                      <w:szCs w:val="21"/>
                    </w:rPr>
                    <w:t xml:space="preserve">率　　类</w:t>
                  </w:r>
                  <w:r/>
                </w:p>
                <w:p>
                  <w:pPr>
                    <w:spacing w:line="400" w:lineRule="exact"/>
                    <w:rPr>
                      <w:rFonts w:hint="eastAsia" w:ascii="宋体" w:hAnsi="宋体" w:eastAsia="宋体" w:cs="宋体"/>
                      <w:b/>
                      <w:szCs w:val="21"/>
                    </w:rPr>
                  </w:pPr>
                  <w:r>
                    <w:rPr>
                      <w:rFonts w:hint="eastAsia" w:ascii="宋体" w:hAnsi="宋体" w:eastAsia="宋体" w:cs="宋体"/>
                      <w:b/>
                      <w:szCs w:val="21"/>
                    </w:rPr>
                    <w:t xml:space="preserve">　　               型</w:t>
                  </w:r>
                  <w:r/>
                </w:p>
                <w:p>
                  <w:pPr>
                    <w:spacing w:line="400" w:lineRule="exact"/>
                    <w:rPr>
                      <w:rFonts w:hint="eastAsia" w:ascii="宋体" w:hAnsi="宋体" w:eastAsia="宋体" w:cs="宋体"/>
                      <w:b/>
                      <w:szCs w:val="21"/>
                    </w:rPr>
                  </w:pPr>
                  <w:r>
                    <w:rPr>
                      <w:rFonts w:hint="eastAsia" w:ascii="宋体" w:hAnsi="宋体" w:eastAsia="宋体" w:cs="宋体"/>
                      <w:b/>
                      <w:szCs w:val="21"/>
                    </w:rPr>
                  </w:r>
                  <w:r/>
                </w:p>
                <w:p>
                  <w:pPr>
                    <w:spacing w:line="400" w:lineRule="exact"/>
                    <w:rPr>
                      <w:rFonts w:hint="eastAsia" w:ascii="宋体" w:hAnsi="宋体" w:eastAsia="宋体" w:cs="宋体"/>
                      <w:b/>
                      <w:szCs w:val="21"/>
                    </w:rPr>
                  </w:pPr>
                  <w:r>
                    <w:rPr>
                      <w:rFonts w:hint="eastAsia" w:ascii="宋体" w:hAnsi="宋体" w:eastAsia="宋体" w:cs="宋体"/>
                      <w:b/>
                      <w:szCs w:val="21"/>
                    </w:rPr>
                    <w:t xml:space="preserve">预算金额（万元）</w:t>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spacing w:line="400" w:lineRule="exact"/>
                    <w:rPr>
                      <w:rFonts w:hint="eastAsia" w:ascii="宋体" w:hAnsi="宋体" w:eastAsia="宋体" w:cs="宋体"/>
                      <w:bCs/>
                      <w:szCs w:val="21"/>
                    </w:rPr>
                  </w:pPr>
                  <w:r>
                    <w:rPr>
                      <w:rFonts w:hint="eastAsia" w:ascii="宋体" w:hAnsi="宋体" w:cs="宋体"/>
                      <w:b/>
                      <w:szCs w:val="21"/>
                    </w:rPr>
                    <w:t xml:space="preserve">服务</w:t>
                  </w:r>
                  <w:r>
                    <w:rPr>
                      <w:rFonts w:hint="eastAsia" w:ascii="宋体" w:hAnsi="宋体" w:eastAsia="宋体" w:cs="宋体"/>
                      <w:b/>
                      <w:szCs w:val="21"/>
                    </w:rPr>
                    <w:t xml:space="preserve">招标</w:t>
                  </w:r>
                  <w:r/>
                </w:p>
              </w:tc>
            </w:tr>
            <w:tr>
              <w:trPr>
                <w:jc w:val="center"/>
                <w:trHeight w:val="336"/>
              </w:trPr>
              <w:tc>
                <w:tcPr>
                  <w:tcBorders>
                    <w:top w:val="single" w:color="auto" w:sz="4" w:space="0"/>
                    <w:left w:val="single" w:color="auto" w:sz="4" w:space="0"/>
                    <w:bottom w:val="single" w:color="auto" w:sz="4" w:space="0"/>
                    <w:right w:val="single" w:color="auto" w:sz="4" w:space="0"/>
                  </w:tcBorders>
                  <w:tcW w:w="2913" w:type="dxa"/>
                  <w:textDirection w:val="lrTb"/>
                  <w:noWrap w:val="false"/>
                </w:tcPr>
                <w:p>
                  <w:pPr>
                    <w:jc w:val="center"/>
                    <w:spacing w:line="400" w:lineRule="exact"/>
                    <w:rPr>
                      <w:rFonts w:hint="eastAsia" w:ascii="宋体" w:hAnsi="宋体" w:eastAsia="宋体" w:cs="宋体"/>
                      <w:szCs w:val="21"/>
                    </w:rPr>
                  </w:pPr>
                  <w:r>
                    <w:rPr>
                      <w:rFonts w:hint="eastAsia" w:ascii="宋体" w:hAnsi="宋体" w:eastAsia="宋体" w:cs="宋体"/>
                      <w:szCs w:val="21"/>
                    </w:rPr>
                    <w:t xml:space="preserve">100以下</w:t>
                  </w:r>
                  <w:r/>
                </w:p>
              </w:tc>
              <w:tc>
                <w:tcPr>
                  <w:tcBorders>
                    <w:top w:val="single" w:color="auto" w:sz="4" w:space="0"/>
                    <w:left w:val="single" w:color="auto" w:sz="4" w:space="0"/>
                    <w:bottom w:val="single" w:color="auto" w:sz="4" w:space="0"/>
                    <w:right w:val="single" w:color="auto" w:sz="4" w:space="0"/>
                  </w:tcBorders>
                  <w:tcW w:w="2346" w:type="dxa"/>
                  <w:textDirection w:val="lrTb"/>
                  <w:noWrap w:val="false"/>
                </w:tcPr>
                <w:p>
                  <w:pPr>
                    <w:jc w:val="center"/>
                    <w:spacing w:line="400" w:lineRule="exact"/>
                    <w:rPr>
                      <w:rFonts w:hint="eastAsia" w:ascii="宋体" w:hAnsi="宋体" w:eastAsia="宋体" w:cs="宋体"/>
                      <w:szCs w:val="21"/>
                    </w:rPr>
                  </w:pPr>
                  <w:r>
                    <w:rPr>
                      <w:rFonts w:hint="eastAsia" w:ascii="宋体" w:hAnsi="宋体" w:eastAsia="宋体" w:cs="宋体"/>
                      <w:szCs w:val="21"/>
                    </w:rPr>
                    <w:t xml:space="preserve">1.5%</w:t>
                  </w:r>
                  <w:r/>
                </w:p>
              </w:tc>
            </w:tr>
            <w:tr>
              <w:trPr>
                <w:jc w:val="center"/>
                <w:trHeight w:val="336"/>
              </w:trPr>
              <w:tc>
                <w:tcPr>
                  <w:tcBorders>
                    <w:top w:val="single" w:color="auto" w:sz="4" w:space="0"/>
                    <w:left w:val="single" w:color="auto" w:sz="4" w:space="0"/>
                    <w:bottom w:val="single" w:color="auto" w:sz="4" w:space="0"/>
                    <w:right w:val="single" w:color="auto" w:sz="4" w:space="0"/>
                  </w:tcBorders>
                  <w:tcW w:w="2913" w:type="dxa"/>
                  <w:textDirection w:val="lrTb"/>
                  <w:noWrap w:val="false"/>
                </w:tcPr>
                <w:p>
                  <w:pPr>
                    <w:jc w:val="center"/>
                    <w:spacing w:line="400" w:lineRule="exact"/>
                    <w:rPr>
                      <w:rFonts w:hint="eastAsia" w:ascii="宋体" w:hAnsi="宋体" w:eastAsia="宋体" w:cs="宋体"/>
                      <w:szCs w:val="21"/>
                    </w:rPr>
                  </w:pPr>
                  <w:r>
                    <w:rPr>
                      <w:rFonts w:hint="eastAsia" w:ascii="宋体" w:hAnsi="宋体" w:eastAsia="宋体" w:cs="宋体"/>
                      <w:szCs w:val="21"/>
                    </w:rPr>
                    <w:t xml:space="preserve">100-500</w:t>
                  </w:r>
                  <w:r/>
                </w:p>
              </w:tc>
              <w:tc>
                <w:tcPr>
                  <w:tcBorders>
                    <w:top w:val="single" w:color="auto" w:sz="4" w:space="0"/>
                    <w:left w:val="single" w:color="auto" w:sz="4" w:space="0"/>
                    <w:bottom w:val="single" w:color="auto" w:sz="4" w:space="0"/>
                    <w:right w:val="single" w:color="auto" w:sz="4" w:space="0"/>
                  </w:tcBorders>
                  <w:tcW w:w="2346" w:type="dxa"/>
                  <w:textDirection w:val="lrTb"/>
                  <w:noWrap w:val="false"/>
                </w:tcPr>
                <w:p>
                  <w:pPr>
                    <w:jc w:val="center"/>
                    <w:spacing w:line="400" w:lineRule="exact"/>
                    <w:rPr>
                      <w:rFonts w:hint="eastAsia" w:ascii="宋体" w:hAnsi="宋体" w:eastAsia="宋体" w:cs="宋体"/>
                      <w:szCs w:val="21"/>
                    </w:rPr>
                  </w:pPr>
                  <w:r>
                    <w:rPr>
                      <w:rFonts w:hint="eastAsia" w:ascii="宋体" w:hAnsi="宋体" w:cs="宋体"/>
                      <w:szCs w:val="21"/>
                    </w:rPr>
                    <w:t xml:space="preserve">0.8</w:t>
                  </w:r>
                  <w:r>
                    <w:rPr>
                      <w:rFonts w:hint="eastAsia" w:ascii="宋体" w:hAnsi="宋体" w:eastAsia="宋体" w:cs="宋体"/>
                      <w:szCs w:val="21"/>
                    </w:rPr>
                    <w:t xml:space="preserve">%</w:t>
                  </w:r>
                  <w:r/>
                </w:p>
              </w:tc>
            </w:tr>
            <w:tr>
              <w:trPr>
                <w:jc w:val="center"/>
                <w:trHeight w:val="394"/>
              </w:trPr>
              <w:tc>
                <w:tcPr>
                  <w:gridSpan w:val="2"/>
                  <w:tcBorders>
                    <w:top w:val="single" w:color="auto" w:sz="4" w:space="0"/>
                    <w:left w:val="single" w:color="auto" w:sz="4" w:space="0"/>
                    <w:bottom w:val="single" w:color="auto" w:sz="4" w:space="0"/>
                    <w:right w:val="single" w:color="auto" w:sz="4" w:space="0"/>
                  </w:tcBorders>
                  <w:tcW w:w="5259" w:type="dxa"/>
                  <w:textDirection w:val="lrTb"/>
                  <w:noWrap w:val="false"/>
                </w:tcPr>
                <w:p>
                  <w:pPr>
                    <w:jc w:val="left"/>
                    <w:spacing w:line="300" w:lineRule="exact"/>
                    <w:rPr>
                      <w:rFonts w:hint="eastAsia" w:ascii="宋体" w:hAnsi="宋体" w:eastAsia="宋体" w:cs="宋体"/>
                      <w:szCs w:val="21"/>
                    </w:rPr>
                  </w:pPr>
                  <w:r>
                    <w:rPr>
                      <w:rFonts w:hint="eastAsia" w:ascii="宋体" w:hAnsi="宋体" w:eastAsia="宋体" w:cs="宋体"/>
                      <w:szCs w:val="21"/>
                    </w:rPr>
                    <w:t xml:space="preserve">备注：按差额定率累进法计算。</w:t>
                  </w:r>
                  <w:r/>
                </w:p>
              </w:tc>
            </w:tr>
          </w:tbl>
          <w:p>
            <w:pPr>
              <w:ind w:left="228" w:hanging="228"/>
              <w:spacing w:line="276" w:lineRule="auto"/>
              <w:rPr>
                <w:rFonts w:hint="eastAsia" w:ascii="宋体" w:hAnsi="宋体" w:eastAsia="宋体" w:cs="宋体"/>
                <w:sz w:val="24"/>
                <w:szCs w:val="24"/>
              </w:rPr>
            </w:pPr>
            <w:r>
              <w:rPr>
                <w:rFonts w:ascii="宋体" w:hAnsi="宋体" w:eastAsia="宋体"/>
                <w:b/>
                <w:bCs/>
                <w:sz w:val="24"/>
                <w:szCs w:val="24"/>
              </w:rPr>
              <w:t xml:space="preserve">缴纳时间：</w:t>
            </w:r>
            <w:r>
              <w:rPr>
                <w:rFonts w:hint="eastAsia" w:ascii="宋体" w:hAnsi="宋体" w:eastAsia="宋体"/>
                <w:sz w:val="24"/>
              </w:rPr>
              <w:t xml:space="preserve">成交后，领取中标</w:t>
            </w:r>
            <w:r>
              <w:rPr>
                <w:rFonts w:hint="eastAsia" w:ascii="宋体" w:hAnsi="宋体" w:eastAsia="宋体"/>
                <w:sz w:val="24"/>
              </w:rPr>
              <w:t xml:space="preserve">(成交)</w:t>
            </w:r>
            <w:r>
              <w:rPr>
                <w:rFonts w:hint="eastAsia" w:ascii="宋体" w:hAnsi="宋体" w:eastAsia="宋体"/>
                <w:sz w:val="24"/>
              </w:rPr>
              <w:t xml:space="preserve">通知书前</w:t>
            </w:r>
            <w:r>
              <w:rPr>
                <w:rFonts w:ascii="宋体" w:hAnsi="宋体" w:eastAsia="宋体"/>
                <w:sz w:val="24"/>
              </w:rPr>
              <w:t xml:space="preserve">。</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28</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履约保证金</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■免收</w:t>
            </w:r>
            <w:r/>
          </w:p>
          <w:p>
            <w:pPr>
              <w:ind w:left="228" w:hanging="228"/>
              <w:jc w:val="left"/>
              <w:spacing w:line="276" w:lineRule="auto"/>
              <w:rPr>
                <w:rFonts w:hint="eastAsia" w:ascii="宋体" w:hAnsi="宋体" w:eastAsia="宋体" w:cs="宋体"/>
                <w:sz w:val="24"/>
                <w:szCs w:val="24"/>
              </w:rPr>
            </w:pPr>
            <w:r>
              <w:rPr>
                <w:rFonts w:ascii="宋体" w:hAnsi="宋体" w:eastAsia="宋体" w:cs="宋体"/>
                <w:sz w:val="24"/>
                <w:szCs w:val="24"/>
              </w:rPr>
              <w:t xml:space="preserve">□/元，由采购人自行收取</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29</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纸质投标文件</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中标人在签订合同前向代理机构提供正本1套纸质投标文件。</w:t>
            </w:r>
            <w:r/>
          </w:p>
        </w:tc>
      </w:tr>
    </w:tbl>
    <w:p>
      <w:pPr>
        <w:ind w:left="228" w:hanging="228"/>
        <w:jc w:val="center"/>
        <w:spacing w:line="360" w:lineRule="auto"/>
        <w:rPr>
          <w:rFonts w:hint="eastAsia" w:ascii="宋体" w:hAnsi="宋体" w:eastAsia="宋体" w:cs="宋体"/>
          <w:sz w:val="24"/>
          <w:szCs w:val="24"/>
        </w:rPr>
      </w:pPr>
      <w:r>
        <w:rPr>
          <w:rFonts w:hint="eastAsia" w:ascii="宋体" w:hAnsi="宋体" w:eastAsia="宋体" w:cs="宋体"/>
          <w:sz w:val="24"/>
          <w:szCs w:val="24"/>
        </w:rPr>
        <w:br w:type="page" w:clear="all"/>
      </w:r>
      <w:r/>
    </w:p>
    <w:p>
      <w:pPr>
        <w:ind w:left="228" w:hanging="228"/>
        <w:jc w:val="left"/>
        <w:widowControl/>
        <w:rPr>
          <w:rFonts w:hint="eastAsia" w:ascii="宋体" w:hAnsi="宋体" w:eastAsia="宋体" w:cs="宋体"/>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24"/>
          <w:szCs w:val="24"/>
        </w:rPr>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投标人须知</w:t>
      </w:r>
      <w:r/>
    </w:p>
    <w:p>
      <w:pPr>
        <w:ind w:left="267" w:hanging="267"/>
        <w:jc w:val="center"/>
        <w:spacing w:line="360" w:lineRule="auto"/>
        <w:rPr>
          <w:rFonts w:hint="eastAsia" w:ascii="宋体" w:hAnsi="宋体" w:eastAsia="宋体" w:cs="宋体"/>
          <w:b/>
          <w:sz w:val="28"/>
          <w:szCs w:val="28"/>
        </w:rPr>
      </w:pPr>
      <w:r/>
      <w:bookmarkStart w:id="23" w:name="_Toc151193906"/>
      <w:r/>
      <w:bookmarkStart w:id="24" w:name="_Toc264969208"/>
      <w:r/>
      <w:bookmarkStart w:id="25" w:name="_Toc226965791"/>
      <w:r/>
      <w:bookmarkStart w:id="26" w:name="_Toc151193760"/>
      <w:r/>
      <w:bookmarkStart w:id="27" w:name="_Toc150480756"/>
      <w:r/>
      <w:bookmarkStart w:id="28" w:name="_Toc151193832"/>
      <w:r/>
      <w:bookmarkStart w:id="29" w:name="_Toc226309762"/>
      <w:r/>
      <w:bookmarkStart w:id="30" w:name="_Toc195842883"/>
      <w:r/>
      <w:bookmarkStart w:id="31" w:name="_Toc150774723"/>
      <w:r/>
      <w:bookmarkStart w:id="32" w:name="_Toc305158786"/>
      <w:r/>
      <w:bookmarkStart w:id="33" w:name="_Toc226965708"/>
      <w:r/>
      <w:bookmarkStart w:id="34" w:name="_Toc151190145"/>
      <w:r/>
      <w:bookmarkStart w:id="35" w:name="_Toc150774618"/>
      <w:r/>
      <w:bookmarkStart w:id="36" w:name="_Toc305158860"/>
      <w:r/>
      <w:bookmarkStart w:id="37" w:name="_Toc150509269"/>
      <w:r/>
      <w:bookmarkStart w:id="38" w:name="_Toc226337214"/>
      <w:r/>
      <w:bookmarkStart w:id="39" w:name="_Toc151193688"/>
      <w:r/>
      <w:bookmarkStart w:id="40" w:name="_Toc151193616"/>
      <w:r/>
      <w:bookmarkStart w:id="41" w:name="_Toc142311020"/>
      <w:r/>
      <w:bookmarkStart w:id="42" w:name="_Toc265228356"/>
      <w:r>
        <w:rPr>
          <w:rFonts w:hint="eastAsia" w:ascii="宋体" w:hAnsi="宋体" w:eastAsia="宋体" w:cs="宋体"/>
          <w:b/>
          <w:sz w:val="28"/>
          <w:szCs w:val="28"/>
        </w:rPr>
        <w:t xml:space="preserve">一、</w:t>
      </w:r>
      <w:r>
        <w:rPr>
          <w:rFonts w:hint="eastAsia" w:ascii="宋体" w:hAnsi="宋体" w:eastAsia="宋体" w:cs="宋体"/>
          <w:b/>
          <w:sz w:val="28"/>
          <w:szCs w:val="28"/>
        </w:rPr>
        <w:t xml:space="preserve">说  明</w:t>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r/>
    </w:p>
    <w:p>
      <w:pPr>
        <w:pStyle w:val="931"/>
        <w:numPr>
          <w:ilvl w:val="0"/>
          <w:numId w:val="3"/>
        </w:numPr>
        <w:jc w:val="left"/>
        <w:spacing w:line="360" w:lineRule="auto"/>
        <w:rPr>
          <w:rFonts w:hint="eastAsia" w:ascii="宋体" w:hAnsi="宋体" w:eastAsia="宋体" w:cs="宋体"/>
          <w:sz w:val="24"/>
          <w:szCs w:val="24"/>
        </w:rPr>
      </w:pPr>
      <w:r/>
      <w:bookmarkStart w:id="43" w:name="_Toc305158861"/>
      <w:r/>
      <w:bookmarkStart w:id="44" w:name="_Toc264969209"/>
      <w:r/>
      <w:bookmarkStart w:id="45" w:name="_Toc305158787"/>
      <w:r/>
      <w:bookmarkStart w:id="46" w:name="_Toc265228357"/>
      <w:r/>
      <w:bookmarkStart w:id="47" w:name="_Toc226965712"/>
      <w:r/>
      <w:bookmarkStart w:id="48" w:name="_Toc265228360"/>
      <w:r/>
      <w:bookmarkStart w:id="49" w:name="_Toc151193910"/>
      <w:r/>
      <w:bookmarkStart w:id="50" w:name="_Toc305158790"/>
      <w:r/>
      <w:bookmarkStart w:id="51" w:name="_Toc226965795"/>
      <w:r/>
      <w:bookmarkStart w:id="52" w:name="_Toc226337218"/>
      <w:r/>
      <w:bookmarkStart w:id="53" w:name="_Toc151193692"/>
      <w:r/>
      <w:bookmarkStart w:id="54" w:name="_Toc264969212"/>
      <w:r/>
      <w:bookmarkStart w:id="55" w:name="_Toc226309766"/>
      <w:r/>
      <w:bookmarkStart w:id="56" w:name="_Toc151193764"/>
      <w:r/>
      <w:bookmarkStart w:id="57" w:name="_Toc127151522"/>
      <w:r/>
      <w:bookmarkStart w:id="58" w:name="_Toc142311024"/>
      <w:r/>
      <w:bookmarkStart w:id="59" w:name="_Toc195842887"/>
      <w:r/>
      <w:bookmarkStart w:id="60" w:name="_Toc150774622"/>
      <w:r/>
      <w:bookmarkStart w:id="61" w:name="_Toc150480760"/>
      <w:r/>
      <w:bookmarkStart w:id="62" w:name="_Toc305158864"/>
      <w:r/>
      <w:bookmarkStart w:id="63" w:name="_Toc150509273"/>
      <w:r/>
      <w:bookmarkStart w:id="64" w:name="_Toc151193836"/>
      <w:r/>
      <w:bookmarkStart w:id="65" w:name="_Toc151190149"/>
      <w:r/>
      <w:bookmarkStart w:id="66" w:name="_Toc150774727"/>
      <w:r/>
      <w:bookmarkStart w:id="67" w:name="_Toc151193620"/>
      <w:r/>
      <w:bookmarkStart w:id="68" w:name="_Toc520356146"/>
      <w:r>
        <w:rPr>
          <w:rFonts w:hint="eastAsia" w:ascii="宋体" w:hAnsi="宋体" w:eastAsia="宋体" w:cs="宋体"/>
          <w:sz w:val="24"/>
        </w:rPr>
        <w:t xml:space="preserve">采购人、采购代理机构、投标人</w:t>
      </w:r>
      <w:bookmarkEnd w:id="43"/>
      <w:r/>
      <w:bookmarkEnd w:id="44"/>
      <w:r/>
      <w:bookmarkEnd w:id="45"/>
      <w:r/>
      <w:bookmarkEnd w:id="46"/>
      <w:r>
        <w:rPr>
          <w:rFonts w:hint="eastAsia" w:ascii="宋体" w:hAnsi="宋体" w:eastAsia="宋体" w:cs="宋体"/>
          <w:sz w:val="24"/>
        </w:rPr>
        <w:t xml:space="preserve">、联合体</w:t>
      </w:r>
      <w:r/>
    </w:p>
    <w:p>
      <w:pPr>
        <w:pStyle w:val="931"/>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采购人、采购代理机构：指依法进行政府采购的国家机关、事业单位、团体组织，及其委托的采购代理机构。本项目采购人、采购代理机构见第一章《投标邀请》</w:t>
      </w:r>
      <w:r>
        <w:rPr>
          <w:rFonts w:hint="eastAsia" w:ascii="宋体" w:hAnsi="宋体" w:eastAsia="宋体" w:cs="宋体"/>
          <w:sz w:val="24"/>
          <w:szCs w:val="24"/>
        </w:rPr>
        <w:t xml:space="preserve">。</w:t>
      </w:r>
      <w:r/>
    </w:p>
    <w:p>
      <w:pPr>
        <w:pStyle w:val="931"/>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投标人（也称“供应商”、“申请人”）：指向采购人提供货物、工程或者服务的法人、其他组织或者自然人</w:t>
      </w:r>
      <w:r>
        <w:rPr>
          <w:rFonts w:hint="eastAsia" w:ascii="宋体" w:hAnsi="宋体" w:eastAsia="宋体" w:cs="宋体"/>
          <w:sz w:val="24"/>
          <w:szCs w:val="24"/>
        </w:rPr>
        <w:t xml:space="preserve">。</w:t>
      </w:r>
      <w:r/>
    </w:p>
    <w:p>
      <w:pPr>
        <w:pStyle w:val="931"/>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联合体：指两个以上的自然人、法人或者其他组织组成一个联合体，以一个供应商的身份共同参加政府采购</w:t>
      </w:r>
      <w:r>
        <w:rPr>
          <w:rFonts w:hint="eastAsia" w:ascii="宋体" w:hAnsi="宋体" w:eastAsia="宋体" w:cs="宋体"/>
          <w:sz w:val="24"/>
          <w:szCs w:val="24"/>
        </w:rPr>
        <w:t xml:space="preserve">。</w:t>
      </w:r>
      <w:r/>
    </w:p>
    <w:p>
      <w:pPr>
        <w:pStyle w:val="931"/>
        <w:numPr>
          <w:ilvl w:val="0"/>
          <w:numId w:val="4"/>
        </w:numPr>
        <w:jc w:val="left"/>
        <w:spacing w:line="360" w:lineRule="auto"/>
        <w:rPr>
          <w:rFonts w:hint="eastAsia" w:ascii="宋体" w:hAnsi="宋体" w:eastAsia="宋体" w:cs="宋体"/>
          <w:sz w:val="24"/>
          <w:szCs w:val="24"/>
        </w:rPr>
      </w:pPr>
      <w:r/>
      <w:bookmarkStart w:id="69" w:name="_Toc127161434"/>
      <w:r/>
      <w:bookmarkStart w:id="70" w:name="_Toc151193834"/>
      <w:r/>
      <w:bookmarkStart w:id="71" w:name="_Toc151193908"/>
      <w:r/>
      <w:bookmarkStart w:id="72" w:name="_Toc142311022"/>
      <w:r/>
      <w:bookmarkStart w:id="73" w:name="_Toc151193762"/>
      <w:r/>
      <w:bookmarkStart w:id="74" w:name="_Toc226965710"/>
      <w:r/>
      <w:bookmarkStart w:id="75" w:name="_Toc164229215"/>
      <w:r/>
      <w:bookmarkStart w:id="76" w:name="_Toc150774620"/>
      <w:r/>
      <w:bookmarkStart w:id="77" w:name="_Toc150774725"/>
      <w:r/>
      <w:bookmarkStart w:id="78" w:name="_Toc151193690"/>
      <w:r/>
      <w:bookmarkStart w:id="79" w:name="_Toc226965793"/>
      <w:r/>
      <w:bookmarkStart w:id="80" w:name="_Toc151193618"/>
      <w:r/>
      <w:bookmarkStart w:id="81" w:name="_Toc164229361"/>
      <w:r/>
      <w:bookmarkStart w:id="82" w:name="_Toc127151520"/>
      <w:r/>
      <w:bookmarkStart w:id="83" w:name="_Toc195842885"/>
      <w:r/>
      <w:bookmarkStart w:id="84" w:name="_Toc151190147"/>
      <w:r/>
      <w:bookmarkStart w:id="85" w:name="_Toc226337216"/>
      <w:r/>
      <w:bookmarkStart w:id="86" w:name="_Toc149720813"/>
      <w:r/>
      <w:bookmarkStart w:id="87" w:name="_Toc305158862"/>
      <w:r/>
      <w:bookmarkStart w:id="88" w:name="_Toc164608789"/>
      <w:r/>
      <w:bookmarkStart w:id="89" w:name="_Toc150480758"/>
      <w:r/>
      <w:bookmarkStart w:id="90" w:name="_Toc127151721"/>
      <w:r/>
      <w:bookmarkStart w:id="91" w:name="_Toc264969210"/>
      <w:r/>
      <w:bookmarkStart w:id="92" w:name="_Toc305158788"/>
      <w:r/>
      <w:bookmarkStart w:id="93" w:name="_Toc265228358"/>
      <w:r/>
      <w:bookmarkStart w:id="94" w:name="_Toc164351614"/>
      <w:r/>
      <w:bookmarkStart w:id="95" w:name="_Toc150509271"/>
      <w:r/>
      <w:bookmarkStart w:id="96" w:name="_Toc226309764"/>
      <w:r/>
      <w:bookmarkStart w:id="97" w:name="_Toc164608634"/>
      <w:r>
        <w:rPr>
          <w:rFonts w:hint="eastAsia" w:ascii="宋体" w:hAnsi="宋体" w:eastAsia="宋体" w:cs="宋体"/>
          <w:sz w:val="24"/>
        </w:rPr>
        <w:t xml:space="preserve">资金来源</w:t>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rPr>
          <w:rFonts w:hint="eastAsia" w:ascii="宋体" w:hAnsi="宋体" w:eastAsia="宋体" w:cs="宋体"/>
          <w:sz w:val="24"/>
        </w:rPr>
        <w:t xml:space="preserve">、项目属性、科研仪器设备采购、核心产品</w:t>
      </w:r>
      <w:r/>
    </w:p>
    <w:p>
      <w:pPr>
        <w:pStyle w:val="931"/>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资金来源为财政性资金和/或本项目采购中无法与财政性资金分割的非财政性资金</w:t>
      </w:r>
      <w:r>
        <w:rPr>
          <w:rFonts w:hint="eastAsia" w:ascii="宋体" w:hAnsi="宋体" w:eastAsia="宋体" w:cs="宋体"/>
          <w:sz w:val="24"/>
          <w:szCs w:val="24"/>
        </w:rPr>
        <w:t xml:space="preserve">。</w:t>
      </w:r>
      <w:r/>
    </w:p>
    <w:p>
      <w:pPr>
        <w:pStyle w:val="931"/>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项目属性见《投标人须知资料表》</w:t>
      </w:r>
      <w:r>
        <w:rPr>
          <w:rFonts w:hint="eastAsia" w:ascii="宋体" w:hAnsi="宋体" w:eastAsia="宋体" w:cs="宋体"/>
          <w:sz w:val="24"/>
          <w:szCs w:val="24"/>
        </w:rPr>
        <w:t xml:space="preserve">。</w:t>
      </w:r>
      <w:r/>
    </w:p>
    <w:p>
      <w:pPr>
        <w:pStyle w:val="931"/>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是否属于科研仪器设备采购见《投标人须知资料表》</w:t>
      </w:r>
      <w:r>
        <w:rPr>
          <w:rFonts w:hint="eastAsia" w:ascii="宋体" w:hAnsi="宋体" w:eastAsia="宋体" w:cs="宋体"/>
          <w:sz w:val="24"/>
          <w:szCs w:val="24"/>
        </w:rPr>
        <w:t xml:space="preserve">。</w:t>
      </w:r>
      <w:r/>
    </w:p>
    <w:p>
      <w:pPr>
        <w:pStyle w:val="931"/>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核心产品见《投标人须知资料表》。</w:t>
      </w:r>
      <w:r/>
    </w:p>
    <w:p>
      <w:pPr>
        <w:pStyle w:val="931"/>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现场考察、开标前答疑会</w:t>
      </w:r>
      <w:r/>
    </w:p>
    <w:p>
      <w:pPr>
        <w:pStyle w:val="931"/>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若《投标人须知资料表》中规定了组织现场考察、召开开标前答疑会，则投标人应按要求在规定的时间和地点参加</w:t>
      </w:r>
      <w:r>
        <w:rPr>
          <w:rFonts w:hint="eastAsia" w:ascii="宋体" w:hAnsi="宋体" w:eastAsia="宋体" w:cs="宋体"/>
          <w:sz w:val="24"/>
          <w:szCs w:val="24"/>
        </w:rPr>
        <w:t xml:space="preserve">。</w:t>
      </w:r>
      <w:r/>
    </w:p>
    <w:p>
      <w:pPr>
        <w:pStyle w:val="931"/>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931"/>
        <w:numPr>
          <w:ilvl w:val="0"/>
          <w:numId w:val="4"/>
        </w:num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样品</w:t>
      </w:r>
      <w:r/>
    </w:p>
    <w:p>
      <w:pPr>
        <w:pStyle w:val="931"/>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本项目是否要求投标人提供样品，以及样品制作的标准和要求、是否需要随样品提交相关检测报告、样品的递交与退还等要求见《投标人须知资料表》。</w:t>
      </w:r>
      <w:r/>
    </w:p>
    <w:p>
      <w:pPr>
        <w:pStyle w:val="931"/>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样品的评审方法以及评审标准等内容见第四章《评标方法和评标标准》。</w:t>
      </w:r>
      <w:r/>
    </w:p>
    <w:p>
      <w:pPr>
        <w:pStyle w:val="931"/>
        <w:numPr>
          <w:ilvl w:val="0"/>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政府采购政策（包括但不限于下列具体政策要求）</w:t>
      </w:r>
      <w:r/>
    </w:p>
    <w:p>
      <w:pPr>
        <w:pStyle w:val="931"/>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进口产品</w:t>
      </w:r>
      <w:r/>
    </w:p>
    <w:p>
      <w:pPr>
        <w:pStyle w:val="931"/>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31"/>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中小企业、监狱企业及残疾人福利性单位</w:t>
      </w:r>
      <w:r/>
    </w:p>
    <w:p>
      <w:pPr>
        <w:pStyle w:val="931"/>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中小企业定义</w:t>
      </w:r>
      <w:r/>
    </w:p>
    <w:p>
      <w:pPr>
        <w:pStyle w:val="931"/>
        <w:numPr>
          <w:ilvl w:val="3"/>
          <w:numId w:val="4"/>
        </w:numPr>
        <w:ind w:left="1701"/>
        <w:jc w:val="left"/>
        <w:spacing w:line="360" w:lineRule="auto"/>
        <w:rPr>
          <w:rFonts w:hint="eastAsia" w:ascii="宋体" w:hAnsi="宋体" w:eastAsia="宋体" w:cs="宋体"/>
          <w:sz w:val="24"/>
          <w:szCs w:val="24"/>
        </w:rPr>
      </w:pPr>
      <w:r>
        <w:rPr>
          <w:rFonts w:hint="eastAsia" w:ascii="宋体" w:hAnsi="宋体" w:eastAsia="宋体" w:cs="宋体"/>
          <w:sz w:val="24"/>
        </w:rPr>
        <w:t xml:space="preserve">中小企业是</w:t>
      </w:r>
      <w:r>
        <w:rPr>
          <w:rFonts w:hint="eastAsia" w:ascii="宋体" w:hAnsi="宋体" w:eastAsia="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31"/>
        <w:numPr>
          <w:ilvl w:val="3"/>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供应商提供的货物、工程或者服务符合下列情形的，享受中小企业扶持政策：（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p>
    <w:p>
      <w:pPr>
        <w:pStyle w:val="931"/>
        <w:numPr>
          <w:ilvl w:val="3"/>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在货物采购项目中，供应商提供的货物既有中小企业制造货物，也有大型企业制造货物的，不享受中小企业扶持政策。</w:t>
      </w:r>
      <w:r/>
    </w:p>
    <w:p>
      <w:pPr>
        <w:pStyle w:val="931"/>
        <w:numPr>
          <w:ilvl w:val="3"/>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以联合体形式参加政府采购活动，联合体各方均为中小企业</w:t>
      </w:r>
      <w:r>
        <w:rPr>
          <w:rFonts w:hint="eastAsia" w:ascii="宋体" w:hAnsi="宋体" w:eastAsia="宋体" w:cs="宋体"/>
          <w:sz w:val="24"/>
        </w:rPr>
        <w:t xml:space="preserve">的，联合体视同中小企业。其中，联合体各方均为小微企业的，联合体视同小微企业。</w:t>
      </w:r>
      <w:r/>
    </w:p>
    <w:p>
      <w:pPr>
        <w:pStyle w:val="931"/>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31"/>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残疾人福利单位定义：享受政府采购支持政策的残疾人福利性单位应当同时满足以下条件：</w:t>
      </w:r>
      <w:r/>
    </w:p>
    <w:p>
      <w:pPr>
        <w:pStyle w:val="931"/>
        <w:numPr>
          <w:ilvl w:val="3"/>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安置的残疾人占本单位在职职工人数的比例不低于25%（含25%），并且安置的残疾人人数不少于10 人（含10 人）；</w:t>
      </w:r>
      <w:r/>
    </w:p>
    <w:p>
      <w:pPr>
        <w:pStyle w:val="931"/>
        <w:numPr>
          <w:ilvl w:val="3"/>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依法与安置的每位残疾人签订了一年以上（含一年）的劳动合同或服务协议；</w:t>
      </w:r>
      <w:r/>
    </w:p>
    <w:p>
      <w:pPr>
        <w:pStyle w:val="931"/>
        <w:numPr>
          <w:ilvl w:val="3"/>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为安置的每位残疾人按月足额缴纳了基本养老保险、基本医疗保险、失业保险、工伤保险和生育保险等社会保险费；</w:t>
      </w:r>
      <w:r/>
    </w:p>
    <w:p>
      <w:pPr>
        <w:pStyle w:val="931"/>
        <w:numPr>
          <w:ilvl w:val="3"/>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通过银行等金融机构向安置的每位残疾人，按月支付了不低于单位所在区县适用的经省级人民政府批准的月最低工资标准的工资；</w:t>
      </w:r>
      <w:r/>
    </w:p>
    <w:p>
      <w:pPr>
        <w:pStyle w:val="931"/>
        <w:numPr>
          <w:ilvl w:val="3"/>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提供本单位制造的货物、承担的工程或者服务（以下简称产品），或者提供其他残疾人福利性单位制造的货物（不包括使用非残疾人福利性单位注册商标的货物）；</w:t>
      </w:r>
      <w:r/>
    </w:p>
    <w:p>
      <w:pPr>
        <w:pStyle w:val="931"/>
        <w:numPr>
          <w:ilvl w:val="3"/>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31"/>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本项目是否专门面向中小企业预留采购份额见第一章《投标邀请》。</w:t>
      </w:r>
      <w:r/>
    </w:p>
    <w:p>
      <w:pPr>
        <w:pStyle w:val="931"/>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采购标的对应的中小企业划分标准所属行业见《投标人须知资料</w:t>
      </w:r>
      <w:r>
        <w:rPr>
          <w:rFonts w:hint="eastAsia" w:ascii="宋体" w:hAnsi="宋体" w:eastAsia="宋体" w:cs="宋体"/>
          <w:sz w:val="24"/>
        </w:rPr>
        <w:t xml:space="preserve">表》。</w:t>
      </w:r>
      <w:r/>
    </w:p>
    <w:p>
      <w:pPr>
        <w:pStyle w:val="931"/>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小微企业价格评审优惠的政策调整：见第三章《评标方法和评标标准》。</w:t>
      </w:r>
      <w:r/>
    </w:p>
    <w:p>
      <w:pPr>
        <w:pStyle w:val="931"/>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政府采购节能产品、环境标志产品</w:t>
      </w:r>
      <w:r/>
    </w:p>
    <w:p>
      <w:pPr>
        <w:pStyle w:val="931"/>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31"/>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pStyle w:val="931"/>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eastAsia="宋体" w:cs="宋体"/>
          <w:sz w:val="24"/>
        </w:rPr>
        <w:t xml:space="preserve">否则</w:t>
      </w:r>
      <w:r>
        <w:rPr>
          <w:rFonts w:hint="eastAsia" w:ascii="宋体" w:hAnsi="宋体" w:eastAsia="宋体" w:cs="宋体"/>
          <w:b/>
          <w:sz w:val="24"/>
        </w:rPr>
        <w:t xml:space="preserve">投标无效</w:t>
      </w:r>
      <w:r>
        <w:rPr>
          <w:rFonts w:hint="eastAsia" w:ascii="宋体" w:hAnsi="宋体" w:eastAsia="宋体" w:cs="宋体"/>
          <w:sz w:val="24"/>
        </w:rPr>
        <w:t xml:space="preserve">。</w:t>
      </w:r>
      <w:r/>
    </w:p>
    <w:p>
      <w:pPr>
        <w:pStyle w:val="931"/>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非政府强制采购的节能产品或环境标志产品，依据品目清单和认证证书实施政府优先采购。优先采购的具体规定见第三章《评标方法和评标标准》（如涉及）。</w:t>
      </w:r>
      <w:r/>
    </w:p>
    <w:p>
      <w:pPr>
        <w:pStyle w:val="931"/>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中标供应商必须严格执行，必要时应按照要求在履约验收环节出具检测报告。</w:t>
      </w:r>
      <w:r/>
    </w:p>
    <w:p>
      <w:pPr>
        <w:pStyle w:val="931"/>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支持乡村产业振兴管理</w:t>
      </w:r>
      <w:r/>
    </w:p>
    <w:p>
      <w:pPr>
        <w:pStyle w:val="931"/>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931"/>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正版软件</w:t>
      </w:r>
      <w:r/>
    </w:p>
    <w:p>
      <w:pPr>
        <w:pStyle w:val="931"/>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eastAsia="宋体" w:cs="宋体"/>
          <w:sz w:val="24"/>
        </w:rPr>
        <w:t xml:space="preserve">否则</w:t>
      </w:r>
      <w:r>
        <w:rPr>
          <w:rFonts w:hint="eastAsia" w:ascii="宋体" w:hAnsi="宋体" w:eastAsia="宋体" w:cs="宋体"/>
          <w:b/>
          <w:sz w:val="24"/>
        </w:rPr>
        <w:t xml:space="preserve">投标无效</w:t>
      </w:r>
      <w:r>
        <w:rPr>
          <w:rFonts w:hint="eastAsia" w:ascii="宋体" w:hAnsi="宋体" w:eastAsia="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931"/>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931"/>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政府采购创新产品政策</w:t>
      </w:r>
      <w:r/>
    </w:p>
    <w:p>
      <w:pPr>
        <w:pStyle w:val="931"/>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采购人要将创新要求嵌入采购项目需求，可在采购文件中设定评审规则，优先采购各级政府部门公开发布的有效期内的创新产</w:t>
      </w:r>
      <w:r>
        <w:rPr>
          <w:rFonts w:hint="eastAsia" w:ascii="宋体" w:hAnsi="宋体" w:eastAsia="宋体" w:cs="宋体"/>
          <w:sz w:val="24"/>
        </w:rPr>
        <w:t xml:space="preserve">品、创新服务、首台套、首购首用等《目录》的创新产品，上述《目录》内创新产品，自认定之日起2年内视同已具备相应销售业绩，参加政府采购活动时业绩分值为满分。</w:t>
      </w:r>
      <w:r/>
    </w:p>
    <w:p>
      <w:pPr>
        <w:pStyle w:val="931"/>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绿色采购政策</w:t>
      </w:r>
      <w:r/>
    </w:p>
    <w:p>
      <w:pPr>
        <w:pStyle w:val="931"/>
        <w:numPr>
          <w:ilvl w:val="2"/>
          <w:numId w:val="4"/>
        </w:numPr>
        <w:jc w:val="left"/>
        <w:spacing w:line="360" w:lineRule="auto"/>
        <w:rPr>
          <w:rFonts w:hint="eastAsia" w:ascii="宋体" w:hAnsi="宋体" w:eastAsia="宋体" w:cs="宋体"/>
        </w:rPr>
      </w:pPr>
      <w:r>
        <w:rPr>
          <w:rFonts w:hint="eastAsia" w:ascii="宋体" w:hAnsi="宋体" w:eastAsia="宋体" w:cs="宋体"/>
          <w:b/>
          <w:bCs/>
          <w:sz w:val="24"/>
        </w:rPr>
        <w:t xml:space="preserve">绿色包装：</w:t>
      </w:r>
      <w:r>
        <w:rPr>
          <w:rFonts w:hint="eastAsia" w:ascii="宋体" w:hAnsi="宋体" w:eastAsia="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中标供应商必须严格执行，必要时应按照要求在履约验收环节出具检测报告。</w:t>
      </w:r>
      <w:r/>
    </w:p>
    <w:p>
      <w:pPr>
        <w:pStyle w:val="931"/>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绿色数据中心政策：依据《绿色数据中心政府采购需求标准（试行）》（财办库〔2023〕7号）文件精神，采购</w:t>
      </w:r>
      <w:r>
        <w:rPr>
          <w:rFonts w:hint="eastAsia" w:ascii="宋体" w:hAnsi="宋体" w:eastAsia="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31"/>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推广应用绿色建材：采购人实施政府采购工程项目，要按照《常州市政府采购支持绿色建材促进建筑品质提升试点工作方案》（常财购〔2023〕18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w:t>
      </w:r>
      <w:r>
        <w:rPr>
          <w:rFonts w:hint="eastAsia" w:ascii="宋体" w:hAnsi="宋体" w:eastAsia="宋体" w:cs="宋体"/>
          <w:sz w:val="24"/>
        </w:rPr>
        <w:t xml:space="preserve">号）,</w:t>
      </w:r>
      <w:r>
        <w:rPr>
          <w:rFonts w:hint="eastAsia" w:ascii="宋体" w:hAnsi="宋体" w:eastAsia="宋体" w:cs="宋体"/>
          <w:sz w:val="24"/>
        </w:rPr>
        <w:t xml:space="preserve">依据相关需求标准确定采购需求，在采购文件和采购合同中载明具体需求、履约验收条款和违约责任。</w:t>
      </w:r>
      <w:r/>
    </w:p>
    <w:p>
      <w:pPr>
        <w:pStyle w:val="931"/>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优先使用低挥发性有机化合物产品：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931"/>
        <w:numPr>
          <w:ilvl w:val="0"/>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投标费用</w:t>
      </w:r>
      <w:r/>
    </w:p>
    <w:p>
      <w:pPr>
        <w:pStyle w:val="931"/>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投标人应自行承担所有与准备和参加投标有关的费用，无论投标的结果如何，采购人或采购代理机构在任何情况下均无承担这些费用的义务和责任。</w:t>
      </w:r>
      <w:r/>
    </w:p>
    <w:p>
      <w:pPr>
        <w:ind w:left="267" w:hanging="267"/>
        <w:jc w:val="center"/>
        <w:spacing w:line="360" w:lineRule="auto"/>
        <w:rPr>
          <w:rFonts w:hint="eastAsia" w:ascii="宋体" w:hAnsi="宋体" w:eastAsia="宋体" w:cs="宋体"/>
          <w:sz w:val="24"/>
          <w:szCs w:val="24"/>
        </w:rPr>
      </w:pPr>
      <w:r>
        <w:rPr>
          <w:rFonts w:hint="eastAsia" w:ascii="宋体" w:hAnsi="宋体" w:eastAsia="宋体" w:cs="宋体"/>
          <w:b/>
          <w:sz w:val="28"/>
          <w:szCs w:val="28"/>
        </w:rPr>
        <w:t xml:space="preserve">二、招标文件</w:t>
      </w:r>
      <w:r/>
    </w:p>
    <w:p>
      <w:pPr>
        <w:pStyle w:val="931"/>
        <w:numPr>
          <w:ilvl w:val="0"/>
          <w:numId w:val="4"/>
        </w:numPr>
        <w:jc w:val="left"/>
        <w:spacing w:line="360" w:lineRule="auto"/>
        <w:rPr>
          <w:rFonts w:hint="eastAsia" w:ascii="宋体" w:hAnsi="宋体" w:eastAsia="宋体" w:cs="宋体"/>
          <w:sz w:val="24"/>
          <w:szCs w:val="24"/>
        </w:rPr>
      </w:pPr>
      <w:r/>
      <w:bookmarkStart w:id="98" w:name="_Toc151193837"/>
      <w:r/>
      <w:bookmarkStart w:id="99" w:name="_Toc226965796"/>
      <w:r/>
      <w:bookmarkStart w:id="100" w:name="_Toc127151724"/>
      <w:r/>
      <w:bookmarkStart w:id="101" w:name="_Toc149720816"/>
      <w:r/>
      <w:bookmarkStart w:id="102" w:name="_Toc164229218"/>
      <w:r/>
      <w:bookmarkStart w:id="103" w:name="_Toc150774728"/>
      <w:r/>
      <w:bookmarkStart w:id="104" w:name="_Toc150509274"/>
      <w:r/>
      <w:bookmarkStart w:id="105" w:name="_Toc164229364"/>
      <w:r/>
      <w:bookmarkStart w:id="106" w:name="_Toc151193765"/>
      <w:r/>
      <w:bookmarkStart w:id="107" w:name="_Toc195842888"/>
      <w:r/>
      <w:bookmarkStart w:id="108" w:name="_Toc226309767"/>
      <w:r/>
      <w:bookmarkStart w:id="109" w:name="_Toc164351617"/>
      <w:r/>
      <w:bookmarkStart w:id="110" w:name="_Toc127151523"/>
      <w:r/>
      <w:bookmarkStart w:id="111" w:name="_Toc164608637"/>
      <w:r/>
      <w:bookmarkStart w:id="112" w:name="_Toc150480761"/>
      <w:r/>
      <w:bookmarkStart w:id="113" w:name="_Toc151193621"/>
      <w:r/>
      <w:bookmarkStart w:id="114" w:name="_Toc151193911"/>
      <w:r/>
      <w:bookmarkStart w:id="115" w:name="_Toc127161437"/>
      <w:r/>
      <w:bookmarkStart w:id="116" w:name="_Toc265228361"/>
      <w:r/>
      <w:bookmarkStart w:id="117" w:name="_Toc164608792"/>
      <w:r/>
      <w:bookmarkStart w:id="118" w:name="_Toc226337219"/>
      <w:r/>
      <w:bookmarkStart w:id="119" w:name="_Toc520356147"/>
      <w:r/>
      <w:bookmarkStart w:id="120" w:name="_Toc151193693"/>
      <w:r/>
      <w:bookmarkStart w:id="121" w:name="_Toc305158791"/>
      <w:r/>
      <w:bookmarkStart w:id="122" w:name="_Toc264969213"/>
      <w:r/>
      <w:bookmarkStart w:id="123" w:name="_Toc150774623"/>
      <w:r/>
      <w:bookmarkStart w:id="124" w:name="_Toc226965713"/>
      <w:r/>
      <w:bookmarkStart w:id="125" w:name="_Toc305158865"/>
      <w:r/>
      <w:bookmarkStart w:id="126" w:name="_Toc142311025"/>
      <w:r/>
      <w:bookmarkStart w:id="127" w:name="_Toc151190150"/>
      <w:r>
        <w:rPr>
          <w:rFonts w:hint="eastAsia" w:ascii="宋体" w:hAnsi="宋体" w:eastAsia="宋体" w:cs="宋体"/>
          <w:sz w:val="24"/>
        </w:rPr>
        <w:t xml:space="preserve">招标文件构</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rPr>
          <w:rFonts w:hint="eastAsia" w:ascii="宋体" w:hAnsi="宋体" w:eastAsia="宋体" w:cs="宋体"/>
          <w:sz w:val="24"/>
        </w:rPr>
        <w:t xml:space="preserve">成</w:t>
      </w:r>
      <w:r/>
    </w:p>
    <w:p>
      <w:pPr>
        <w:pStyle w:val="931"/>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招标文件包括以下部分：</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第一章  投标邀请</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第二章  投标人须知</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第三章  资格审查</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第四章评标程序、评标方法和评标标准</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第五章采购需求</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第六章  拟签订的合同文本</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第七章  投标文件格式</w:t>
      </w:r>
      <w:r/>
    </w:p>
    <w:p>
      <w:pPr>
        <w:pStyle w:val="931"/>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sz w:val="24"/>
        </w:rPr>
        <w:t xml:space="preserve">投标无效。</w:t>
      </w:r>
      <w:r/>
    </w:p>
    <w:p>
      <w:pPr>
        <w:pStyle w:val="931"/>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对招标文件的澄清或修改</w:t>
      </w:r>
      <w:r/>
    </w:p>
    <w:p>
      <w:pPr>
        <w:pStyle w:val="931"/>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采购人或采购代理机构对已发出的招标文件进行必要澄清或者修改的，将在原公告发布媒体上以发布更正公告的形式通知所有获取招标文件的潜在投标人。</w:t>
      </w:r>
      <w:r/>
    </w:p>
    <w:p>
      <w:pPr>
        <w:pStyle w:val="931"/>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澄清或者修改的内容为招标文件的组成部分，并对所有获取招标文件的潜在投标人具有约束力。澄清或者修改的内容可能影响投标文件编制</w:t>
      </w:r>
      <w:r>
        <w:rPr>
          <w:rFonts w:hint="eastAsia" w:ascii="宋体" w:hAnsi="宋体" w:eastAsia="宋体" w:cs="宋体"/>
          <w:sz w:val="24"/>
        </w:rPr>
        <w:t xml:space="preserve">的，将在投标截止时间至少15日前，以更正公告形式通知所有获取招标文件的潜在投标人；不足15日的，将顺延提交投标文件的截止时间和开标时间。</w:t>
      </w:r>
      <w:r/>
    </w:p>
    <w:p>
      <w:pPr>
        <w:ind w:left="267" w:hanging="267"/>
        <w:jc w:val="center"/>
        <w:spacing w:line="360" w:lineRule="auto"/>
        <w:rPr>
          <w:rFonts w:hint="eastAsia" w:ascii="宋体" w:hAnsi="宋体" w:eastAsia="宋体" w:cs="宋体"/>
          <w:sz w:val="24"/>
        </w:rPr>
      </w:pPr>
      <w:r>
        <w:rPr>
          <w:rFonts w:hint="eastAsia" w:ascii="宋体" w:hAnsi="宋体" w:eastAsia="宋体" w:cs="宋体"/>
          <w:b/>
          <w:sz w:val="28"/>
          <w:szCs w:val="28"/>
        </w:rPr>
        <w:t xml:space="preserve">三、投标文件的编制</w:t>
      </w:r>
      <w:r/>
    </w:p>
    <w:p>
      <w:pPr>
        <w:pStyle w:val="931"/>
        <w:numPr>
          <w:ilvl w:val="0"/>
          <w:numId w:val="4"/>
        </w:numPr>
        <w:jc w:val="left"/>
        <w:spacing w:line="360" w:lineRule="auto"/>
        <w:rPr>
          <w:rFonts w:hint="eastAsia" w:ascii="宋体" w:hAnsi="宋体" w:eastAsia="宋体" w:cs="宋体"/>
          <w:sz w:val="24"/>
        </w:rPr>
      </w:pPr>
      <w:r/>
      <w:bookmarkStart w:id="128" w:name="_Toc164229222"/>
      <w:r/>
      <w:bookmarkStart w:id="129" w:name="_Toc226965800"/>
      <w:r/>
      <w:bookmarkStart w:id="130" w:name="_Toc516367021"/>
      <w:r/>
      <w:bookmarkStart w:id="131" w:name="_Toc305158795"/>
      <w:r/>
      <w:bookmarkStart w:id="132" w:name="_Toc226965717"/>
      <w:r/>
      <w:bookmarkStart w:id="133" w:name="_Toc142311029"/>
      <w:r/>
      <w:bookmarkStart w:id="134" w:name="_Toc151193841"/>
      <w:r/>
      <w:bookmarkStart w:id="135" w:name="_Toc127151527"/>
      <w:r/>
      <w:bookmarkStart w:id="136" w:name="_Toc127151728"/>
      <w:r/>
      <w:bookmarkStart w:id="137" w:name="_Toc265228365"/>
      <w:r/>
      <w:bookmarkStart w:id="138" w:name="_Toc164351621"/>
      <w:r/>
      <w:bookmarkStart w:id="139" w:name="_Toc226309771"/>
      <w:r/>
      <w:bookmarkStart w:id="140" w:name="_Toc127161441"/>
      <w:r/>
      <w:bookmarkStart w:id="141" w:name="_Toc151193697"/>
      <w:r/>
      <w:bookmarkStart w:id="142" w:name="_Toc150774627"/>
      <w:r/>
      <w:bookmarkStart w:id="143" w:name="_Toc150480765"/>
      <w:r/>
      <w:bookmarkStart w:id="144" w:name="_Toc149720820"/>
      <w:r/>
      <w:bookmarkStart w:id="145" w:name="_Toc151193625"/>
      <w:r/>
      <w:bookmarkStart w:id="146" w:name="_Toc164229368"/>
      <w:r/>
      <w:bookmarkStart w:id="147" w:name="_Toc195842892"/>
      <w:r/>
      <w:bookmarkStart w:id="148" w:name="_Toc151190154"/>
      <w:r/>
      <w:bookmarkStart w:id="149" w:name="_Toc520356151"/>
      <w:r/>
      <w:bookmarkStart w:id="150" w:name="_Toc264969217"/>
      <w:r/>
      <w:bookmarkStart w:id="151" w:name="_Toc305158869"/>
      <w:r/>
      <w:bookmarkStart w:id="152" w:name="_Toc150774732"/>
      <w:r/>
      <w:bookmarkStart w:id="153" w:name="_Toc151193769"/>
      <w:r/>
      <w:bookmarkStart w:id="154" w:name="_Toc151193915"/>
      <w:r/>
      <w:bookmarkStart w:id="155" w:name="_Toc164608641"/>
      <w:r/>
      <w:bookmarkStart w:id="156" w:name="_Toc150509278"/>
      <w:r/>
      <w:bookmarkStart w:id="157" w:name="_Toc164608796"/>
      <w:r/>
      <w:bookmarkStart w:id="158" w:name="_Toc226337223"/>
      <w:r>
        <w:rPr>
          <w:rFonts w:hint="eastAsia" w:ascii="宋体" w:hAnsi="宋体" w:eastAsia="宋体" w:cs="宋体"/>
          <w:sz w:val="24"/>
        </w:rPr>
        <w:t xml:space="preserve">投标范围、投标文件中计量单位的使用</w:t>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rPr>
          <w:rFonts w:hint="eastAsia" w:ascii="宋体" w:hAnsi="宋体" w:eastAsia="宋体" w:cs="宋体"/>
          <w:sz w:val="24"/>
        </w:rPr>
        <w:t xml:space="preserve">及投标语言</w:t>
      </w:r>
      <w:r/>
    </w:p>
    <w:p>
      <w:pPr>
        <w:pStyle w:val="931"/>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sz w:val="24"/>
        </w:rPr>
        <w:t xml:space="preserve">无效投标。</w:t>
      </w:r>
      <w:r/>
    </w:p>
    <w:p>
      <w:pPr>
        <w:pStyle w:val="931"/>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除招标文件有特殊要求外，本项目投标所使用的计量单位，应采用中华人民共和国法定计量单位。</w:t>
      </w:r>
      <w:r/>
    </w:p>
    <w:p>
      <w:pPr>
        <w:pStyle w:val="931"/>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931"/>
        <w:numPr>
          <w:ilvl w:val="0"/>
          <w:numId w:val="4"/>
        </w:numPr>
        <w:jc w:val="left"/>
        <w:spacing w:line="360" w:lineRule="auto"/>
        <w:rPr>
          <w:rFonts w:hint="eastAsia" w:ascii="宋体" w:hAnsi="宋体" w:eastAsia="宋体" w:cs="宋体"/>
          <w:sz w:val="24"/>
        </w:rPr>
      </w:pPr>
      <w:r/>
      <w:bookmarkStart w:id="159" w:name="_Ref467306676"/>
      <w:r/>
      <w:bookmarkStart w:id="160" w:name="_Ref467306195"/>
      <w:r/>
      <w:bookmarkStart w:id="161" w:name="_Toc516367022"/>
      <w:r/>
      <w:bookmarkStart w:id="162" w:name="_Toc164229223"/>
      <w:r/>
      <w:bookmarkStart w:id="163" w:name="_Toc195842893"/>
      <w:r/>
      <w:bookmarkStart w:id="164" w:name="_Toc164608797"/>
      <w:r/>
      <w:bookmarkStart w:id="165" w:name="_Toc164608642"/>
      <w:r/>
      <w:bookmarkStart w:id="166" w:name="_Toc149720821"/>
      <w:r/>
      <w:bookmarkStart w:id="167" w:name="_Toc127151528"/>
      <w:r/>
      <w:bookmarkStart w:id="168" w:name="_Toc150480766"/>
      <w:r/>
      <w:bookmarkStart w:id="169" w:name="_Toc151193770"/>
      <w:r/>
      <w:bookmarkStart w:id="170" w:name="_Toc150774733"/>
      <w:r/>
      <w:bookmarkStart w:id="171" w:name="_Toc226337224"/>
      <w:r/>
      <w:bookmarkStart w:id="172" w:name="_Toc151193916"/>
      <w:r/>
      <w:bookmarkStart w:id="173" w:name="_Toc226965718"/>
      <w:r/>
      <w:bookmarkStart w:id="174" w:name="_Toc226965801"/>
      <w:r/>
      <w:bookmarkStart w:id="175" w:name="_Toc151190155"/>
      <w:r/>
      <w:bookmarkStart w:id="176" w:name="_Toc226309772"/>
      <w:r/>
      <w:bookmarkStart w:id="177" w:name="_Toc305158870"/>
      <w:r/>
      <w:bookmarkStart w:id="178" w:name="_Toc127151729"/>
      <w:r/>
      <w:bookmarkStart w:id="179" w:name="_Toc305158796"/>
      <w:r/>
      <w:bookmarkStart w:id="180" w:name="_Toc520356152"/>
      <w:r/>
      <w:bookmarkStart w:id="181" w:name="_Toc264969218"/>
      <w:r/>
      <w:bookmarkStart w:id="182" w:name="_Toc164351622"/>
      <w:r/>
      <w:bookmarkStart w:id="183" w:name="_Toc142311030"/>
      <w:r/>
      <w:bookmarkStart w:id="184" w:name="_Toc151193698"/>
      <w:r/>
      <w:bookmarkStart w:id="185" w:name="_Toc164229369"/>
      <w:r/>
      <w:bookmarkStart w:id="186" w:name="_Toc150774628"/>
      <w:r/>
      <w:bookmarkStart w:id="187" w:name="_Toc127161442"/>
      <w:r/>
      <w:bookmarkStart w:id="188" w:name="_Toc151193626"/>
      <w:r/>
      <w:bookmarkStart w:id="189" w:name="_Toc150509279"/>
      <w:r/>
      <w:bookmarkStart w:id="190" w:name="_Toc265228366"/>
      <w:r/>
      <w:bookmarkStart w:id="191" w:name="_Toc151193842"/>
      <w:r>
        <w:rPr>
          <w:rFonts w:hint="eastAsia" w:ascii="宋体" w:hAnsi="宋体" w:eastAsia="宋体" w:cs="宋体"/>
          <w:sz w:val="24"/>
        </w:rPr>
        <w:t xml:space="preserve">投标文件</w:t>
      </w:r>
      <w:bookmarkEnd w:id="159"/>
      <w:r/>
      <w:bookmarkEnd w:id="160"/>
      <w:r/>
      <w:bookmarkEnd w:id="161"/>
      <w:r>
        <w:rPr>
          <w:rFonts w:hint="eastAsia" w:ascii="宋体" w:hAnsi="宋体" w:eastAsia="宋体" w:cs="宋体"/>
          <w:sz w:val="24"/>
        </w:rPr>
        <w:t xml:space="preserve">构成</w:t>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r/>
    </w:p>
    <w:p>
      <w:pPr>
        <w:pStyle w:val="931"/>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应当按照招标文件的要求编制投标文件。投标人编写的投标文件应包括资格证明文件、符合性证明文件、投标分项报价表、偏离表、其他证明文件、投标函、开标一览表等部分。投标文件的部分格式要求，见第七章《投标文件格式》。</w:t>
      </w:r>
      <w:r/>
    </w:p>
    <w:p>
      <w:pPr>
        <w:pStyle w:val="931"/>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对于招标文件中标记了“实质性格式”文件的，</w:t>
      </w:r>
      <w:r>
        <w:rPr>
          <w:rFonts w:hint="eastAsia" w:ascii="宋体" w:hAnsi="宋体" w:eastAsia="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sz w:val="24"/>
        </w:rPr>
        <w:t xml:space="preserve">否则</w:t>
      </w:r>
      <w:r>
        <w:rPr>
          <w:rFonts w:hint="eastAsia" w:ascii="宋体" w:hAnsi="宋体" w:eastAsia="宋体" w:cs="宋体"/>
          <w:b/>
          <w:sz w:val="24"/>
        </w:rPr>
        <w:t xml:space="preserve">投标无效</w:t>
      </w:r>
      <w:r>
        <w:rPr>
          <w:rFonts w:hint="eastAsia" w:ascii="宋体" w:hAnsi="宋体" w:eastAsia="宋体" w:cs="宋体"/>
          <w:sz w:val="24"/>
        </w:rPr>
        <w:t xml:space="preserve">。未标记“实质性格式”的文件和招标文件未提供格式的内容，可由投标人自行编写。</w:t>
      </w:r>
      <w:r/>
    </w:p>
    <w:p>
      <w:pPr>
        <w:pStyle w:val="931"/>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第四章《评标程序、评标方法和评标标准》中涉及的证明文件。</w:t>
      </w:r>
      <w:r/>
    </w:p>
    <w:p>
      <w:pPr>
        <w:pStyle w:val="931"/>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对照第五章《采购需求》，说明所提供货物和服务已对第五章《采购需求》做出了响应，或申明与第五章《采购需求》的偏差和例外。如第五</w:t>
      </w:r>
      <w:r>
        <w:rPr>
          <w:rFonts w:hint="eastAsia" w:ascii="宋体" w:hAnsi="宋体" w:eastAsia="宋体" w:cs="宋体"/>
          <w:sz w:val="24"/>
        </w:rPr>
        <w:t xml:space="preserve">章《采购需求》中要求提供证明文件的，投标人应当按具体要求提供证明文件。</w:t>
      </w:r>
      <w:r/>
    </w:p>
    <w:p>
      <w:pPr>
        <w:pStyle w:val="931"/>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投标人认为应附的其他材料。</w:t>
      </w:r>
      <w:r/>
    </w:p>
    <w:p>
      <w:pPr>
        <w:pStyle w:val="931"/>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如标书制作工具中格式和内容与“江苏政府采购网”</w:t>
      </w:r>
      <w:r>
        <w:rPr>
          <w:rFonts w:hint="eastAsia" w:ascii="宋体" w:hAnsi="宋体" w:eastAsia="宋体" w:cs="宋体"/>
          <w:sz w:val="24"/>
          <w:szCs w:val="24"/>
        </w:rPr>
        <w:t xml:space="preserve"> 、</w:t>
      </w:r>
      <w:r>
        <w:rPr>
          <w:rFonts w:hint="eastAsia" w:ascii="宋体" w:hAnsi="宋体" w:eastAsia="宋体" w:cs="宋体"/>
          <w:sz w:val="24"/>
          <w:szCs w:val="24"/>
        </w:rPr>
        <w:t xml:space="preserve">“常州市政府采购网”</w:t>
      </w:r>
      <w:r>
        <w:rPr>
          <w:rFonts w:hint="eastAsia" w:ascii="宋体" w:hAnsi="宋体" w:eastAsia="宋体" w:cs="宋体"/>
          <w:sz w:val="24"/>
        </w:rPr>
        <w:t xml:space="preserve">发布的招标文件不一致，请以“江苏政府采购网”</w:t>
      </w:r>
      <w:r>
        <w:rPr>
          <w:rFonts w:hint="eastAsia" w:ascii="宋体" w:hAnsi="宋体" w:eastAsia="宋体" w:cs="宋体"/>
          <w:sz w:val="24"/>
          <w:szCs w:val="24"/>
        </w:rPr>
        <w:t xml:space="preserve"> 、</w:t>
      </w:r>
      <w:r>
        <w:rPr>
          <w:rFonts w:hint="eastAsia" w:ascii="宋体" w:hAnsi="宋体" w:eastAsia="宋体" w:cs="宋体"/>
          <w:sz w:val="24"/>
          <w:szCs w:val="24"/>
        </w:rPr>
        <w:t xml:space="preserve">“常州市政府采购网”</w:t>
      </w:r>
      <w:r>
        <w:rPr>
          <w:rFonts w:hint="eastAsia" w:ascii="宋体" w:hAnsi="宋体" w:eastAsia="宋体" w:cs="宋体"/>
          <w:sz w:val="24"/>
        </w:rPr>
        <w:t xml:space="preserve">发布的招标文件为准。</w:t>
      </w:r>
      <w:r/>
    </w:p>
    <w:p>
      <w:pPr>
        <w:pStyle w:val="931"/>
        <w:numPr>
          <w:ilvl w:val="1"/>
          <w:numId w:val="4"/>
        </w:numPr>
        <w:jc w:val="left"/>
        <w:spacing w:line="360" w:lineRule="auto"/>
        <w:rPr>
          <w:rFonts w:hint="eastAsia" w:ascii="宋体" w:hAnsi="宋体" w:eastAsia="宋体" w:cs="宋体"/>
          <w:sz w:val="24"/>
        </w:rPr>
      </w:pPr>
      <w:r>
        <w:rPr>
          <w:rFonts w:hint="eastAsia" w:ascii="宋体" w:hAnsi="宋体" w:eastAsia="宋体" w:cs="宋体"/>
          <w:sz w:val="24"/>
          <w:szCs w:val="24"/>
        </w:rPr>
        <w:t xml:space="preserve">投标人应按照法律、法规、规章和规范性文件以及招标文件要求提交证明文件，证明其及投标标的符合招标文件规定。招标文件对证明文件无明确形式要求的，证明文件可以以文字资料、图纸和数据等形式提交。</w:t>
      </w:r>
      <w:r/>
    </w:p>
    <w:p>
      <w:pPr>
        <w:pStyle w:val="931"/>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投标报价</w:t>
      </w:r>
      <w:r/>
    </w:p>
    <w:p>
      <w:pPr>
        <w:pStyle w:val="931"/>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所有投标均以人民币报价。</w:t>
      </w:r>
      <w:r/>
    </w:p>
    <w:p>
      <w:pPr>
        <w:pStyle w:val="931"/>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pStyle w:val="931"/>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931"/>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按照招标文件要求完成本项目的全部相关服务费用。</w:t>
      </w:r>
      <w:r/>
    </w:p>
    <w:p>
      <w:pPr>
        <w:pStyle w:val="931"/>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采购人不得向供应商索要或者接受其给予的赠品、回扣或者与采购无关的其他商品、服务。</w:t>
      </w:r>
      <w:r/>
    </w:p>
    <w:p>
      <w:pPr>
        <w:pStyle w:val="931"/>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投标人不能提供任何有选择性或可调整的报价，否则其</w:t>
      </w:r>
      <w:r>
        <w:rPr>
          <w:rFonts w:hint="eastAsia" w:ascii="宋体" w:hAnsi="宋体" w:eastAsia="宋体" w:cs="宋体"/>
          <w:b/>
          <w:sz w:val="24"/>
        </w:rPr>
        <w:t xml:space="preserve">投标无效。</w:t>
      </w:r>
      <w:r/>
    </w:p>
    <w:p>
      <w:pPr>
        <w:pStyle w:val="931"/>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投标保证金：根据江苏省和常州市的相关文件规定，免收保证金</w:t>
      </w:r>
      <w:r/>
    </w:p>
    <w:p>
      <w:pPr>
        <w:pStyle w:val="931"/>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投标有效期</w:t>
      </w:r>
      <w:r/>
    </w:p>
    <w:p>
      <w:pPr>
        <w:pStyle w:val="931"/>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投标文件应在本招标文件《投标人须知资料表》中规定的投标有效期内保持有效，投标有效期少于招标文件规定期限的，其</w:t>
      </w:r>
      <w:r>
        <w:rPr>
          <w:rFonts w:hint="eastAsia" w:ascii="宋体" w:hAnsi="宋体" w:eastAsia="宋体" w:cs="宋体"/>
          <w:b/>
          <w:sz w:val="24"/>
        </w:rPr>
        <w:t xml:space="preserve">投标无效。</w:t>
      </w:r>
      <w:r/>
    </w:p>
    <w:p>
      <w:pPr>
        <w:pStyle w:val="931"/>
        <w:numPr>
          <w:ilvl w:val="0"/>
          <w:numId w:val="4"/>
        </w:numPr>
        <w:jc w:val="left"/>
        <w:spacing w:line="360" w:lineRule="auto"/>
        <w:rPr>
          <w:rFonts w:hint="eastAsia" w:ascii="宋体" w:hAnsi="宋体" w:eastAsia="宋体" w:cs="宋体"/>
          <w:sz w:val="24"/>
        </w:rPr>
      </w:pPr>
      <w:r/>
      <w:bookmarkStart w:id="192" w:name="_Toc151193631"/>
      <w:r/>
      <w:bookmarkStart w:id="193" w:name="_Toc150774633"/>
      <w:r/>
      <w:bookmarkStart w:id="194" w:name="_Toc127161447"/>
      <w:r/>
      <w:bookmarkStart w:id="195" w:name="_Toc226309777"/>
      <w:r/>
      <w:bookmarkStart w:id="196" w:name="_Toc226337229"/>
      <w:r/>
      <w:bookmarkStart w:id="197" w:name="_Toc226965723"/>
      <w:r/>
      <w:bookmarkStart w:id="198" w:name="_Toc151193921"/>
      <w:r/>
      <w:bookmarkStart w:id="199" w:name="_Toc264969223"/>
      <w:r/>
      <w:bookmarkStart w:id="200" w:name="_Toc305158875"/>
      <w:r/>
      <w:bookmarkStart w:id="201" w:name="_Toc195842898"/>
      <w:r/>
      <w:bookmarkStart w:id="202" w:name="_Toc151193775"/>
      <w:r/>
      <w:bookmarkStart w:id="203" w:name="_Toc164608647"/>
      <w:r/>
      <w:bookmarkStart w:id="204" w:name="_Toc164351627"/>
      <w:r/>
      <w:bookmarkStart w:id="205" w:name="_Toc150774738"/>
      <w:r/>
      <w:bookmarkStart w:id="206" w:name="_Toc150480771"/>
      <w:r/>
      <w:bookmarkStart w:id="207" w:name="_Toc127151734"/>
      <w:r/>
      <w:bookmarkStart w:id="208" w:name="_Toc164229228"/>
      <w:r/>
      <w:bookmarkStart w:id="209" w:name="_Toc164608802"/>
      <w:r/>
      <w:bookmarkStart w:id="210" w:name="_Toc164229374"/>
      <w:r/>
      <w:bookmarkStart w:id="211" w:name="_Toc226965806"/>
      <w:r/>
      <w:bookmarkStart w:id="212" w:name="_Toc305158801"/>
      <w:r/>
      <w:bookmarkStart w:id="213" w:name="_Toc151193847"/>
      <w:r/>
      <w:bookmarkStart w:id="214" w:name="_Toc265228371"/>
      <w:r/>
      <w:bookmarkStart w:id="215" w:name="_Toc150509284"/>
      <w:r/>
      <w:bookmarkStart w:id="216" w:name="_Toc149720826"/>
      <w:r/>
      <w:bookmarkStart w:id="217" w:name="_Toc520356158"/>
      <w:r/>
      <w:bookmarkStart w:id="218" w:name="_Toc142311035"/>
      <w:r/>
      <w:bookmarkStart w:id="219" w:name="_Toc151193703"/>
      <w:r/>
      <w:bookmarkStart w:id="220" w:name="_Toc127151533"/>
      <w:r/>
      <w:bookmarkStart w:id="221" w:name="_Toc151190160"/>
      <w:r>
        <w:rPr>
          <w:rFonts w:hint="eastAsia" w:ascii="宋体" w:hAnsi="宋体" w:eastAsia="宋体" w:cs="宋体"/>
          <w:sz w:val="24"/>
        </w:rPr>
        <w:t xml:space="preserve">投标文件的</w:t>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rPr>
          <w:rFonts w:hint="eastAsia" w:ascii="宋体" w:hAnsi="宋体" w:eastAsia="宋体" w:cs="宋体"/>
          <w:sz w:val="24"/>
        </w:rPr>
        <w:t xml:space="preserve">制作、密封与盖章</w:t>
      </w:r>
      <w:r/>
    </w:p>
    <w:p>
      <w:pPr>
        <w:pStyle w:val="931"/>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招标文件要求签字的内容，可以使用电子签章或使用原件的电子件（电</w:t>
      </w:r>
      <w:r>
        <w:rPr>
          <w:rFonts w:hint="eastAsia" w:ascii="宋体" w:hAnsi="宋体" w:eastAsia="宋体" w:cs="宋体"/>
          <w:sz w:val="24"/>
        </w:rPr>
        <w:t xml:space="preserve">子件指扫描件、照片等形式电子文件）；要求第三方出具的加盖公章原件（如联合协议、分包意向协议、制造商授权书等），投标文件中应使用原件的电子件。</w:t>
      </w:r>
      <w:r/>
    </w:p>
    <w:p>
      <w:pPr>
        <w:pStyle w:val="931"/>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招标文件要求加盖公章的内容，一般通过投标文件编制工具加盖电子签章。</w:t>
      </w:r>
      <w:r/>
    </w:p>
    <w:p>
      <w:pPr>
        <w:ind w:left="267" w:hanging="267"/>
        <w:jc w:val="center"/>
        <w:spacing w:line="360" w:lineRule="auto"/>
        <w:rPr>
          <w:rFonts w:hint="eastAsia" w:ascii="宋体" w:hAnsi="宋体" w:eastAsia="宋体" w:cs="宋体"/>
          <w:sz w:val="24"/>
        </w:rPr>
      </w:pPr>
      <w:r/>
      <w:bookmarkStart w:id="222" w:name="_Toc226965724"/>
      <w:r/>
      <w:bookmarkStart w:id="223" w:name="_Toc151193922"/>
      <w:r/>
      <w:bookmarkStart w:id="224" w:name="_Toc151193776"/>
      <w:r/>
      <w:bookmarkStart w:id="225" w:name="_Toc151193632"/>
      <w:r/>
      <w:bookmarkStart w:id="226" w:name="_Toc127151534"/>
      <w:r/>
      <w:bookmarkStart w:id="227" w:name="_Toc150774634"/>
      <w:r/>
      <w:bookmarkStart w:id="228" w:name="_Toc151190161"/>
      <w:r/>
      <w:bookmarkStart w:id="229" w:name="_Toc150509285"/>
      <w:r/>
      <w:bookmarkStart w:id="230" w:name="_Toc142311036"/>
      <w:r/>
      <w:bookmarkStart w:id="231" w:name="_Toc226965807"/>
      <w:r/>
      <w:bookmarkStart w:id="232" w:name="_Toc305158802"/>
      <w:r/>
      <w:bookmarkStart w:id="233" w:name="_Toc226309778"/>
      <w:r/>
      <w:bookmarkStart w:id="234" w:name="_Toc195842899"/>
      <w:r/>
      <w:bookmarkStart w:id="235" w:name="_Toc264969224"/>
      <w:r/>
      <w:bookmarkStart w:id="236" w:name="_Toc150480772"/>
      <w:r/>
      <w:bookmarkStart w:id="237" w:name="_Toc305158876"/>
      <w:r/>
      <w:bookmarkStart w:id="238" w:name="_Toc151193848"/>
      <w:r/>
      <w:bookmarkStart w:id="239" w:name="_Toc226337230"/>
      <w:r/>
      <w:bookmarkStart w:id="240" w:name="_Toc265228372"/>
      <w:r/>
      <w:bookmarkStart w:id="241" w:name="_Toc151193704"/>
      <w:r/>
      <w:bookmarkStart w:id="242" w:name="_Toc520356159"/>
      <w:r/>
      <w:bookmarkStart w:id="243" w:name="_Toc150774739"/>
      <w:r>
        <w:rPr>
          <w:rFonts w:hint="eastAsia" w:ascii="宋体" w:hAnsi="宋体" w:eastAsia="宋体" w:cs="宋体"/>
          <w:b/>
          <w:sz w:val="28"/>
          <w:szCs w:val="28"/>
        </w:rPr>
        <w:t xml:space="preserve">四、投标文件的提交</w:t>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r/>
    </w:p>
    <w:p>
      <w:pPr>
        <w:pStyle w:val="931"/>
        <w:numPr>
          <w:ilvl w:val="0"/>
          <w:numId w:val="4"/>
        </w:numPr>
        <w:jc w:val="left"/>
        <w:spacing w:line="360" w:lineRule="auto"/>
        <w:rPr>
          <w:rFonts w:hint="eastAsia" w:ascii="宋体" w:hAnsi="宋体" w:eastAsia="宋体" w:cs="宋体"/>
          <w:sz w:val="24"/>
        </w:rPr>
      </w:pPr>
      <w:r/>
      <w:bookmarkStart w:id="244" w:name="_Toc150480773"/>
      <w:r/>
      <w:bookmarkStart w:id="245" w:name="_Toc264969225"/>
      <w:r/>
      <w:bookmarkStart w:id="246" w:name="_Toc164351629"/>
      <w:r/>
      <w:bookmarkStart w:id="247" w:name="_Toc151190162"/>
      <w:r/>
      <w:bookmarkStart w:id="248" w:name="_Toc151193923"/>
      <w:r/>
      <w:bookmarkStart w:id="249" w:name="_Toc127151535"/>
      <w:r/>
      <w:bookmarkStart w:id="250" w:name="_Toc164608649"/>
      <w:r/>
      <w:bookmarkStart w:id="251" w:name="_Toc150774740"/>
      <w:r/>
      <w:bookmarkStart w:id="252" w:name="_Toc151193849"/>
      <w:r/>
      <w:bookmarkStart w:id="253" w:name="_Toc164229230"/>
      <w:r/>
      <w:bookmarkStart w:id="254" w:name="_Toc151193705"/>
      <w:r/>
      <w:bookmarkStart w:id="255" w:name="_Toc164608804"/>
      <w:r/>
      <w:bookmarkStart w:id="256" w:name="_Toc226965725"/>
      <w:r/>
      <w:bookmarkStart w:id="257" w:name="_Toc127151736"/>
      <w:r/>
      <w:bookmarkStart w:id="258" w:name="_Toc226965808"/>
      <w:r/>
      <w:bookmarkStart w:id="259" w:name="_Toc142311037"/>
      <w:r/>
      <w:bookmarkStart w:id="260" w:name="_Toc150774635"/>
      <w:r/>
      <w:bookmarkStart w:id="261" w:name="_Toc226337231"/>
      <w:r/>
      <w:bookmarkStart w:id="262" w:name="_Toc164229376"/>
      <w:r/>
      <w:bookmarkStart w:id="263" w:name="_Toc195842900"/>
      <w:r/>
      <w:bookmarkStart w:id="264" w:name="_Toc226309779"/>
      <w:r/>
      <w:bookmarkStart w:id="265" w:name="_Toc305158803"/>
      <w:r/>
      <w:bookmarkStart w:id="266" w:name="_Toc151193777"/>
      <w:r/>
      <w:bookmarkStart w:id="267" w:name="_Toc127161449"/>
      <w:r/>
      <w:bookmarkStart w:id="268" w:name="_Toc150509286"/>
      <w:r/>
      <w:bookmarkStart w:id="269" w:name="_Toc151193633"/>
      <w:r/>
      <w:bookmarkStart w:id="270" w:name="_Toc265228373"/>
      <w:r/>
      <w:bookmarkStart w:id="271" w:name="_Toc305158877"/>
      <w:r/>
      <w:bookmarkStart w:id="272" w:name="_Toc520356160"/>
      <w:r/>
      <w:bookmarkStart w:id="273" w:name="_Toc149720828"/>
      <w:r>
        <w:rPr>
          <w:rFonts w:hint="eastAsia" w:ascii="宋体" w:hAnsi="宋体" w:eastAsia="宋体" w:cs="宋体"/>
          <w:sz w:val="24"/>
        </w:rPr>
        <w:t xml:space="preserve">投标文件的</w:t>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rPr>
          <w:rFonts w:hint="eastAsia" w:ascii="宋体" w:hAnsi="宋体" w:eastAsia="宋体" w:cs="宋体"/>
          <w:sz w:val="24"/>
        </w:rPr>
        <w:t xml:space="preserve">提交</w:t>
      </w:r>
      <w:r/>
    </w:p>
    <w:p>
      <w:pPr>
        <w:pStyle w:val="931"/>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本项目使用“苏采云”系统。投标人根据招标文件及“苏采云”系统供应商操作手册要求编制、生成并提交电子投标文件。</w:t>
      </w:r>
      <w:r/>
    </w:p>
    <w:p>
      <w:pPr>
        <w:pStyle w:val="931"/>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采购人及采购代理机构拒绝接受通过“苏采云”系统以外任何形式提交的投标文件。</w:t>
      </w:r>
      <w:r/>
    </w:p>
    <w:p>
      <w:pPr>
        <w:pStyle w:val="931"/>
        <w:numPr>
          <w:ilvl w:val="0"/>
          <w:numId w:val="4"/>
        </w:numPr>
        <w:jc w:val="left"/>
        <w:spacing w:line="360" w:lineRule="auto"/>
        <w:rPr>
          <w:rFonts w:hint="eastAsia" w:ascii="宋体" w:hAnsi="宋体" w:eastAsia="宋体" w:cs="宋体"/>
          <w:sz w:val="24"/>
        </w:rPr>
      </w:pPr>
      <w:r/>
      <w:bookmarkStart w:id="274" w:name="_Toc164608805"/>
      <w:r/>
      <w:bookmarkStart w:id="275" w:name="_Toc151190163"/>
      <w:r/>
      <w:bookmarkStart w:id="276" w:name="_Toc226309780"/>
      <w:r/>
      <w:bookmarkStart w:id="277" w:name="_Toc226337232"/>
      <w:r/>
      <w:bookmarkStart w:id="278" w:name="_Toc164351630"/>
      <w:r/>
      <w:bookmarkStart w:id="279" w:name="_Toc226965809"/>
      <w:r/>
      <w:bookmarkStart w:id="280" w:name="_Toc142311038"/>
      <w:r/>
      <w:bookmarkStart w:id="281" w:name="_Toc151193634"/>
      <w:r/>
      <w:bookmarkStart w:id="282" w:name="_Toc151193924"/>
      <w:r/>
      <w:bookmarkStart w:id="283" w:name="_Toc265228374"/>
      <w:r/>
      <w:bookmarkStart w:id="284" w:name="_Toc151193706"/>
      <w:r/>
      <w:bookmarkStart w:id="285" w:name="_Toc264969226"/>
      <w:r/>
      <w:bookmarkStart w:id="286" w:name="_Toc305158878"/>
      <w:r/>
      <w:bookmarkStart w:id="287" w:name="_Toc127151536"/>
      <w:r/>
      <w:bookmarkStart w:id="288" w:name="_Toc149720829"/>
      <w:r/>
      <w:bookmarkStart w:id="289" w:name="_Toc151193778"/>
      <w:r/>
      <w:bookmarkStart w:id="290" w:name="_Toc150774741"/>
      <w:r/>
      <w:bookmarkStart w:id="291" w:name="_Toc164229231"/>
      <w:r/>
      <w:bookmarkStart w:id="292" w:name="_Toc164229377"/>
      <w:r/>
      <w:bookmarkStart w:id="293" w:name="_Toc195842901"/>
      <w:r/>
      <w:bookmarkStart w:id="294" w:name="_Toc226965726"/>
      <w:r/>
      <w:bookmarkStart w:id="295" w:name="_Toc127161450"/>
      <w:r/>
      <w:bookmarkStart w:id="296" w:name="_Toc520356161"/>
      <w:r/>
      <w:bookmarkStart w:id="297" w:name="_Toc164608650"/>
      <w:r/>
      <w:bookmarkStart w:id="298" w:name="_Toc150774636"/>
      <w:r/>
      <w:bookmarkStart w:id="299" w:name="_Toc150509287"/>
      <w:r/>
      <w:bookmarkStart w:id="300" w:name="_Toc151193850"/>
      <w:r/>
      <w:bookmarkStart w:id="301" w:name="_Toc127151737"/>
      <w:r/>
      <w:bookmarkStart w:id="302" w:name="_Toc305158804"/>
      <w:r/>
      <w:bookmarkStart w:id="303" w:name="_Toc150480774"/>
      <w:r>
        <w:rPr>
          <w:rFonts w:hint="eastAsia" w:ascii="宋体" w:hAnsi="宋体" w:eastAsia="宋体" w:cs="宋体"/>
          <w:sz w:val="24"/>
        </w:rPr>
        <w:t xml:space="preserve">投标截止</w:t>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rPr>
          <w:rFonts w:hint="eastAsia" w:ascii="宋体" w:hAnsi="宋体" w:eastAsia="宋体" w:cs="宋体"/>
          <w:sz w:val="24"/>
        </w:rPr>
        <w:t xml:space="preserve">时间</w:t>
      </w:r>
      <w:r/>
    </w:p>
    <w:p>
      <w:pPr>
        <w:pStyle w:val="931"/>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投标人应在招标文件要求提交投标文件截止时间前，将电子投标文件提交至“苏采云”系统。</w:t>
      </w:r>
      <w:r/>
    </w:p>
    <w:p>
      <w:pPr>
        <w:pStyle w:val="931"/>
        <w:numPr>
          <w:ilvl w:val="0"/>
          <w:numId w:val="4"/>
        </w:numPr>
        <w:jc w:val="left"/>
        <w:spacing w:line="360" w:lineRule="auto"/>
        <w:rPr>
          <w:rFonts w:hint="eastAsia" w:ascii="宋体" w:hAnsi="宋体" w:eastAsia="宋体" w:cs="宋体"/>
          <w:sz w:val="24"/>
        </w:rPr>
      </w:pPr>
      <w:r/>
      <w:bookmarkStart w:id="304" w:name="_Toc226965810"/>
      <w:r/>
      <w:bookmarkStart w:id="305" w:name="_Toc164351631"/>
      <w:r/>
      <w:bookmarkStart w:id="306" w:name="_Toc151193779"/>
      <w:r/>
      <w:bookmarkStart w:id="307" w:name="_Toc305158805"/>
      <w:r/>
      <w:bookmarkStart w:id="308" w:name="_Toc164608806"/>
      <w:r/>
      <w:bookmarkStart w:id="309" w:name="_Toc142311039"/>
      <w:r/>
      <w:bookmarkStart w:id="310" w:name="_Toc195842902"/>
      <w:r/>
      <w:bookmarkStart w:id="311" w:name="_Toc149720830"/>
      <w:r/>
      <w:bookmarkStart w:id="312" w:name="_Toc127161451"/>
      <w:r/>
      <w:bookmarkStart w:id="313" w:name="_Toc226337233"/>
      <w:r/>
      <w:bookmarkStart w:id="314" w:name="_Toc127151738"/>
      <w:r/>
      <w:bookmarkStart w:id="315" w:name="_Toc264969227"/>
      <w:r/>
      <w:bookmarkStart w:id="316" w:name="_Toc151193707"/>
      <w:r/>
      <w:bookmarkStart w:id="317" w:name="_Toc151190164"/>
      <w:r/>
      <w:bookmarkStart w:id="318" w:name="_Toc164229232"/>
      <w:r/>
      <w:bookmarkStart w:id="319" w:name="_Toc127151537"/>
      <w:r/>
      <w:bookmarkStart w:id="320" w:name="_Toc150774742"/>
      <w:r/>
      <w:bookmarkStart w:id="321" w:name="_Toc226309781"/>
      <w:r/>
      <w:bookmarkStart w:id="322" w:name="_Toc151193635"/>
      <w:r/>
      <w:bookmarkStart w:id="323" w:name="_Toc151193851"/>
      <w:r/>
      <w:bookmarkStart w:id="324" w:name="_Toc265228375"/>
      <w:r/>
      <w:bookmarkStart w:id="325" w:name="_Toc150774637"/>
      <w:r/>
      <w:bookmarkStart w:id="326" w:name="_Toc164229378"/>
      <w:r/>
      <w:bookmarkStart w:id="327" w:name="_Toc226965727"/>
      <w:r/>
      <w:bookmarkStart w:id="328" w:name="_Toc150509288"/>
      <w:r/>
      <w:bookmarkStart w:id="329" w:name="_Toc151193925"/>
      <w:r/>
      <w:bookmarkStart w:id="330" w:name="_Toc520356162"/>
      <w:r/>
      <w:bookmarkStart w:id="331" w:name="_Toc305158879"/>
      <w:r/>
      <w:bookmarkStart w:id="332" w:name="_Toc150480775"/>
      <w:r/>
      <w:bookmarkStart w:id="333" w:name="_Toc164608651"/>
      <w:r>
        <w:rPr>
          <w:rFonts w:hint="eastAsia" w:ascii="宋体" w:hAnsi="宋体" w:eastAsia="宋体" w:cs="宋体"/>
          <w:sz w:val="24"/>
        </w:rPr>
        <w:t xml:space="preserve">投标文件的修改与撤回</w:t>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
    </w:p>
    <w:p>
      <w:pPr>
        <w:pStyle w:val="931"/>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投标截止时间前，投标人可以通过“苏采云”系统对所提交的投标文件进行补充、修改或者撤回。具体操作方法见《操作手册》。</w:t>
      </w:r>
      <w:r/>
    </w:p>
    <w:p>
      <w:pPr>
        <w:pStyle w:val="931"/>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投标人对投标文件的补充、修改的内容应当按照招标文件要求签署、加盖公章，作为投标文件的组成部分</w:t>
      </w:r>
      <w:r>
        <w:rPr>
          <w:rFonts w:hint="eastAsia" w:ascii="宋体" w:hAnsi="宋体" w:eastAsia="宋体" w:cs="宋体"/>
          <w:sz w:val="24"/>
        </w:rPr>
        <w:t xml:space="preserve">。</w:t>
      </w:r>
      <w:r/>
    </w:p>
    <w:p>
      <w:pPr>
        <w:pStyle w:val="931"/>
        <w:numPr>
          <w:ilvl w:val="1"/>
          <w:numId w:val="4"/>
        </w:numPr>
        <w:jc w:val="left"/>
        <w:spacing w:line="360" w:lineRule="auto"/>
        <w:rPr>
          <w:rFonts w:hint="eastAsia" w:ascii="宋体" w:hAnsi="宋体" w:eastAsia="宋体" w:cs="宋体"/>
          <w:sz w:val="24"/>
        </w:rPr>
      </w:pPr>
      <w:r>
        <w:rPr>
          <w:rFonts w:hint="eastAsia" w:ascii="宋体" w:hAnsi="宋体" w:eastAsia="宋体" w:cs="宋体"/>
          <w:bCs/>
          <w:sz w:val="24"/>
        </w:rPr>
        <w:t xml:space="preserve">在投标截止时间至招标文件中规定的投标有效期满之间的这段时间内，投标人不得撤回其投标。</w:t>
      </w:r>
      <w:r/>
    </w:p>
    <w:p>
      <w:pPr>
        <w:ind w:left="267" w:hanging="267"/>
        <w:jc w:val="center"/>
        <w:spacing w:line="360" w:lineRule="auto"/>
        <w:rPr>
          <w:rFonts w:hint="eastAsia" w:ascii="宋体" w:hAnsi="宋体" w:eastAsia="宋体" w:cs="宋体"/>
          <w:b/>
          <w:sz w:val="28"/>
          <w:szCs w:val="28"/>
        </w:rPr>
      </w:pPr>
      <w:r/>
      <w:bookmarkStart w:id="334" w:name="_Toc127151538"/>
      <w:r/>
      <w:bookmarkStart w:id="335" w:name="_Toc150774743"/>
      <w:r/>
      <w:bookmarkStart w:id="336" w:name="_Toc226965728"/>
      <w:r/>
      <w:bookmarkStart w:id="337" w:name="_Toc150774638"/>
      <w:r/>
      <w:bookmarkStart w:id="338" w:name="_Toc151193708"/>
      <w:r/>
      <w:bookmarkStart w:id="339" w:name="_Toc151193852"/>
      <w:r/>
      <w:bookmarkStart w:id="340" w:name="_Toc151193926"/>
      <w:r/>
      <w:bookmarkStart w:id="341" w:name="_Toc226337234"/>
      <w:r/>
      <w:bookmarkStart w:id="342" w:name="_Toc264969228"/>
      <w:r/>
      <w:bookmarkStart w:id="343" w:name="_Toc305158806"/>
      <w:r/>
      <w:bookmarkStart w:id="344" w:name="_Toc226965811"/>
      <w:r/>
      <w:bookmarkStart w:id="345" w:name="_Toc150480776"/>
      <w:r/>
      <w:bookmarkStart w:id="346" w:name="_Toc265228376"/>
      <w:r/>
      <w:bookmarkStart w:id="347" w:name="_Toc151190165"/>
      <w:r/>
      <w:bookmarkStart w:id="348" w:name="_Toc151193780"/>
      <w:r/>
      <w:bookmarkStart w:id="349" w:name="_Toc142311040"/>
      <w:r/>
      <w:bookmarkStart w:id="350" w:name="_Toc151193636"/>
      <w:r/>
      <w:bookmarkStart w:id="351" w:name="_Toc305158880"/>
      <w:r/>
      <w:bookmarkStart w:id="352" w:name="_Toc195842903"/>
      <w:r/>
      <w:bookmarkStart w:id="353" w:name="_Toc520356163"/>
      <w:r/>
      <w:bookmarkStart w:id="354" w:name="_Toc150509289"/>
      <w:r/>
      <w:bookmarkStart w:id="355" w:name="_Toc226309782"/>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rPr>
          <w:rFonts w:hint="eastAsia" w:ascii="宋体" w:hAnsi="宋体" w:eastAsia="宋体" w:cs="宋体"/>
          <w:b/>
          <w:sz w:val="28"/>
          <w:szCs w:val="28"/>
        </w:rPr>
        <w:t xml:space="preserve">五</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rPr>
          <w:rFonts w:hint="eastAsia" w:ascii="宋体" w:hAnsi="宋体" w:eastAsia="宋体" w:cs="宋体"/>
          <w:b/>
          <w:sz w:val="28"/>
          <w:szCs w:val="28"/>
        </w:rPr>
        <w:t xml:space="preserve">、开标、资格审查及评标</w:t>
      </w:r>
      <w:r/>
    </w:p>
    <w:p>
      <w:pPr>
        <w:pStyle w:val="931"/>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开标</w:t>
      </w:r>
      <w:r/>
    </w:p>
    <w:p>
      <w:pPr>
        <w:pStyle w:val="931"/>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采购人或采购代理机构将按招标文件的规定，在投标截止时间的同一时间和招标文件预先确定的地点组织开标。</w:t>
      </w:r>
      <w:r/>
    </w:p>
    <w:p>
      <w:pPr>
        <w:pStyle w:val="931"/>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本项目开标采用不见面招投标模式，使用“苏采云”系统在线进行开标。投标人应在规定的时间内对投标文件进行解密，因非系统原因导致的解密失败，视为</w:t>
      </w:r>
      <w:r>
        <w:rPr>
          <w:rFonts w:hint="eastAsia" w:ascii="宋体" w:hAnsi="宋体" w:eastAsia="宋体" w:cs="宋体"/>
          <w:b/>
          <w:sz w:val="24"/>
        </w:rPr>
        <w:t xml:space="preserve">投标无效</w:t>
      </w:r>
      <w:r>
        <w:rPr>
          <w:rFonts w:hint="eastAsia" w:ascii="宋体" w:hAnsi="宋体" w:eastAsia="宋体" w:cs="宋体"/>
          <w:sz w:val="24"/>
        </w:rPr>
        <w:t xml:space="preserve">。</w:t>
      </w:r>
      <w:r/>
    </w:p>
    <w:p>
      <w:pPr>
        <w:pStyle w:val="931"/>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开标过程将使用“苏采云”系统公布投标人名称、投标价格和招标文件</w:t>
      </w:r>
      <w:r>
        <w:rPr>
          <w:rFonts w:hint="eastAsia" w:ascii="宋体" w:hAnsi="宋体" w:eastAsia="宋体" w:cs="宋体"/>
          <w:sz w:val="24"/>
        </w:rPr>
        <w:t xml:space="preserve">规定的需要宣布的其他内容并进行记录，并由参加开标的各投标人代表在规定时间内确认。投标人超过规定时间未确认但是未提出疑义的，系统将视同已确认。</w:t>
      </w:r>
      <w:r/>
    </w:p>
    <w:p>
      <w:pPr>
        <w:pStyle w:val="931"/>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投标人如果对开标过程和开标记录有疑义，应当根据《操作手册》规定提出，如“苏采云”系统中《开标记录表》宣布后5分钟内未提出的，视同认可开标结果。</w:t>
      </w:r>
      <w:r/>
    </w:p>
    <w:p>
      <w:pPr>
        <w:pStyle w:val="931"/>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本项目（每标段）投标人不足3家的，不予开标。</w:t>
      </w:r>
      <w:r/>
    </w:p>
    <w:p>
      <w:pPr>
        <w:pStyle w:val="931"/>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931"/>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931"/>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如果在采购活动过程中出现以下情形，导致““苏采云”系统”系统无法正常运行，或者无法保证本项目采购活动的公平、公正和安全时，代理机构可以延缓或者暂停采购活动，情况严重的可以终止采购活动：</w:t>
      </w:r>
      <w:r>
        <w:rPr>
          <w:rFonts w:hint="eastAsia" w:ascii="宋体" w:hAnsi="宋体" w:eastAsia="宋体" w:cs="宋体"/>
          <w:sz w:val="24"/>
        </w:rPr>
        <w:t xml:space="preserve">1)</w:t>
      </w:r>
      <w:r>
        <w:rPr>
          <w:rFonts w:hint="eastAsia" w:ascii="宋体" w:hAnsi="宋体" w:eastAsia="宋体" w:cs="宋体"/>
          <w:sz w:val="24"/>
        </w:rPr>
        <w:t xml:space="preserve">平台系统发生故障而无法登录访问的；</w:t>
      </w:r>
      <w:r>
        <w:rPr>
          <w:rFonts w:hint="eastAsia" w:ascii="宋体" w:hAnsi="宋体" w:eastAsia="宋体" w:cs="宋体"/>
          <w:sz w:val="24"/>
        </w:rPr>
        <w:t xml:space="preserve">2)</w:t>
      </w:r>
      <w:r>
        <w:rPr>
          <w:rFonts w:hint="eastAsia" w:ascii="宋体" w:hAnsi="宋体" w:eastAsia="宋体" w:cs="宋体"/>
          <w:sz w:val="24"/>
        </w:rPr>
        <w:t xml:space="preserve">平台系统应用或数据库出现错误，不能进行正常操作的；</w:t>
      </w:r>
      <w:r>
        <w:rPr>
          <w:rFonts w:hint="eastAsia" w:ascii="宋体" w:hAnsi="宋体" w:eastAsia="宋体" w:cs="宋体"/>
          <w:sz w:val="24"/>
        </w:rPr>
        <w:t xml:space="preserve">3)</w:t>
      </w:r>
      <w:r>
        <w:rPr>
          <w:rFonts w:hint="eastAsia" w:ascii="宋体" w:hAnsi="宋体" w:eastAsia="宋体" w:cs="宋体"/>
          <w:sz w:val="24"/>
        </w:rPr>
        <w:t xml:space="preserve">平台系统发现严重安全漏洞，有潜在泄密危险的；</w:t>
      </w:r>
      <w:r>
        <w:rPr>
          <w:rFonts w:hint="eastAsia" w:ascii="宋体" w:hAnsi="宋体" w:eastAsia="宋体" w:cs="宋体"/>
          <w:sz w:val="24"/>
        </w:rPr>
        <w:t xml:space="preserve">4)</w:t>
      </w:r>
      <w:r>
        <w:rPr>
          <w:rFonts w:hint="eastAsia" w:ascii="宋体" w:hAnsi="宋体" w:eastAsia="宋体" w:cs="宋体"/>
          <w:sz w:val="24"/>
        </w:rPr>
        <w:t xml:space="preserve">病毒发作导致平台系统不能进行正常操作的；</w:t>
      </w:r>
      <w:r>
        <w:rPr>
          <w:rFonts w:hint="eastAsia" w:ascii="宋体" w:hAnsi="宋体" w:eastAsia="宋体" w:cs="宋体"/>
          <w:sz w:val="24"/>
        </w:rPr>
        <w:t xml:space="preserve">5)</w:t>
      </w:r>
      <w:r>
        <w:rPr>
          <w:rFonts w:hint="eastAsia" w:ascii="宋体" w:hAnsi="宋体" w:eastAsia="宋体" w:cs="宋体"/>
          <w:sz w:val="24"/>
        </w:rPr>
        <w:t xml:space="preserve">其他无法保证本次采购活动的公平、公正和安全的情况。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931"/>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资格审查</w:t>
      </w:r>
      <w:r/>
    </w:p>
    <w:p>
      <w:pPr>
        <w:pStyle w:val="931"/>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见第三章《资格审查》</w:t>
      </w:r>
      <w:r/>
    </w:p>
    <w:p>
      <w:pPr>
        <w:pStyle w:val="931"/>
        <w:numPr>
          <w:ilvl w:val="0"/>
          <w:numId w:val="4"/>
        </w:numPr>
        <w:jc w:val="left"/>
        <w:spacing w:line="360" w:lineRule="auto"/>
        <w:rPr>
          <w:rFonts w:hint="eastAsia" w:ascii="宋体" w:hAnsi="宋体" w:eastAsia="宋体" w:cs="宋体"/>
          <w:sz w:val="24"/>
        </w:rPr>
      </w:pPr>
      <w:r/>
      <w:bookmarkStart w:id="356" w:name="_Toc226309784"/>
      <w:r/>
      <w:bookmarkStart w:id="357" w:name="_Toc226337236"/>
      <w:r/>
      <w:bookmarkStart w:id="358" w:name="_Toc150480778"/>
      <w:r/>
      <w:bookmarkStart w:id="359" w:name="_Toc127151540"/>
      <w:r/>
      <w:bookmarkStart w:id="360" w:name="_Toc127161454"/>
      <w:r/>
      <w:bookmarkStart w:id="361" w:name="_Toc164351634"/>
      <w:r/>
      <w:bookmarkStart w:id="362" w:name="_Toc151193638"/>
      <w:r/>
      <w:bookmarkStart w:id="363" w:name="_Toc151193782"/>
      <w:r/>
      <w:bookmarkStart w:id="364" w:name="_Toc142311042"/>
      <w:r/>
      <w:bookmarkStart w:id="365" w:name="_Toc151193710"/>
      <w:r/>
      <w:bookmarkStart w:id="366" w:name="_Toc151193854"/>
      <w:r/>
      <w:bookmarkStart w:id="367" w:name="_Toc195842905"/>
      <w:r/>
      <w:bookmarkStart w:id="368" w:name="_Toc164229381"/>
      <w:r/>
      <w:bookmarkStart w:id="369" w:name="_Toc127151741"/>
      <w:r/>
      <w:bookmarkStart w:id="370" w:name="_Toc164229235"/>
      <w:r/>
      <w:bookmarkStart w:id="371" w:name="_Toc164608809"/>
      <w:r/>
      <w:bookmarkStart w:id="372" w:name="_Toc150774745"/>
      <w:r/>
      <w:bookmarkStart w:id="373" w:name="_Toc151193928"/>
      <w:r/>
      <w:bookmarkStart w:id="374" w:name="_Toc264969230"/>
      <w:r/>
      <w:bookmarkStart w:id="375" w:name="_Toc226965813"/>
      <w:r/>
      <w:bookmarkStart w:id="376" w:name="_Toc305158808"/>
      <w:r/>
      <w:bookmarkStart w:id="377" w:name="_Toc150774640"/>
      <w:r/>
      <w:bookmarkStart w:id="378" w:name="_Toc265228378"/>
      <w:r/>
      <w:bookmarkStart w:id="379" w:name="_Toc305158882"/>
      <w:r/>
      <w:bookmarkStart w:id="380" w:name="_Toc149720833"/>
      <w:r/>
      <w:bookmarkStart w:id="381" w:name="_Toc151190167"/>
      <w:r/>
      <w:bookmarkStart w:id="382" w:name="_Toc226965730"/>
      <w:r/>
      <w:bookmarkStart w:id="383" w:name="_Toc150509291"/>
      <w:r/>
      <w:bookmarkStart w:id="384" w:name="_Toc164608654"/>
      <w:r>
        <w:rPr>
          <w:rFonts w:hint="eastAsia" w:ascii="宋体" w:hAnsi="宋体" w:eastAsia="宋体" w:cs="宋体"/>
          <w:sz w:val="24"/>
        </w:rPr>
        <w:t xml:space="preserve">评标委员会</w:t>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r/>
    </w:p>
    <w:p>
      <w:pPr>
        <w:pStyle w:val="931"/>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评标委员会根据政府采购有关规定和本次招标采购项目的特点进行组建，并负责具体评标事务，独立履行职责。</w:t>
      </w:r>
      <w:r/>
    </w:p>
    <w:p>
      <w:pPr>
        <w:pStyle w:val="931"/>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评审专家须符合相关规定。依法自行选定评审专家的，采购人和采购代理机构将查询有关信用记录，对具有行贿、受贿、欺诈等不良信用记录的人员，拒绝其参与政府采购活动。</w:t>
      </w:r>
      <w:r/>
    </w:p>
    <w:p>
      <w:pPr>
        <w:pStyle w:val="931"/>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评标程序、评标方法和评标标准</w:t>
      </w:r>
      <w:r/>
    </w:p>
    <w:p>
      <w:pPr>
        <w:pStyle w:val="931"/>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见第四章《评标程序、评标方法和评标标准》。</w:t>
      </w:r>
      <w:r/>
    </w:p>
    <w:p>
      <w:pPr>
        <w:pStyle w:val="931"/>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评审内容的保密</w:t>
      </w:r>
      <w:r/>
    </w:p>
    <w:p>
      <w:pPr>
        <w:pStyle w:val="931"/>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开标开始后，直到宣布授予中标人合同为止，凡属于审查、澄清、评价和比较投标文件的所有资料，有关授予合同的信息都不应向投标人或与评审无关的其他人泄露。</w:t>
      </w:r>
      <w:r/>
    </w:p>
    <w:p>
      <w:pPr>
        <w:pStyle w:val="931"/>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在评审过程中，投标人不得以任何行为影响评审过程，否则其投标文件将被作为无效投标文件。</w:t>
      </w:r>
      <w:r/>
    </w:p>
    <w:p>
      <w:pPr>
        <w:pStyle w:val="931"/>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评标委员会不向未中标的投标人解释未中标原因，也不公布评审过程中的相关细节。</w:t>
      </w:r>
      <w:r/>
    </w:p>
    <w:p>
      <w:pPr>
        <w:ind w:left="267" w:hanging="267"/>
        <w:jc w:val="center"/>
        <w:spacing w:line="360" w:lineRule="auto"/>
        <w:rPr>
          <w:rFonts w:hint="eastAsia" w:ascii="宋体" w:hAnsi="宋体" w:eastAsia="宋体" w:cs="宋体"/>
          <w:b/>
          <w:sz w:val="28"/>
          <w:szCs w:val="28"/>
        </w:rPr>
      </w:pPr>
      <w:r/>
      <w:bookmarkStart w:id="385" w:name="_Toc520356169"/>
      <w:r/>
      <w:bookmarkStart w:id="386" w:name="_Toc226965818"/>
      <w:r/>
      <w:bookmarkStart w:id="387" w:name="_Toc151193787"/>
      <w:r/>
      <w:bookmarkStart w:id="388" w:name="_Toc265228383"/>
      <w:r/>
      <w:bookmarkStart w:id="389" w:name="_Toc142311047"/>
      <w:r/>
      <w:bookmarkStart w:id="390" w:name="_Toc151193933"/>
      <w:r/>
      <w:bookmarkStart w:id="391" w:name="_Toc150774645"/>
      <w:r/>
      <w:bookmarkStart w:id="392" w:name="_Toc305158887"/>
      <w:r/>
      <w:bookmarkStart w:id="393" w:name="_Toc150774750"/>
      <w:r/>
      <w:bookmarkStart w:id="394" w:name="_Toc226309789"/>
      <w:r/>
      <w:bookmarkStart w:id="395" w:name="_Toc150509296"/>
      <w:r/>
      <w:bookmarkStart w:id="396" w:name="_Toc226965735"/>
      <w:r/>
      <w:bookmarkStart w:id="397" w:name="_Toc151193715"/>
      <w:r/>
      <w:bookmarkStart w:id="398" w:name="_Toc226337241"/>
      <w:r/>
      <w:bookmarkStart w:id="399" w:name="_Toc195842910"/>
      <w:r/>
      <w:bookmarkStart w:id="400" w:name="_Toc305158813"/>
      <w:r/>
      <w:bookmarkStart w:id="401" w:name="_Toc151190172"/>
      <w:r/>
      <w:bookmarkStart w:id="402" w:name="_Toc127151545"/>
      <w:r/>
      <w:bookmarkStart w:id="403" w:name="_Toc151193643"/>
      <w:r/>
      <w:bookmarkStart w:id="404" w:name="_Toc151193859"/>
      <w:r/>
      <w:bookmarkStart w:id="405" w:name="_Toc150480783"/>
      <w:r/>
      <w:bookmarkStart w:id="406" w:name="_Toc264969235"/>
      <w:r>
        <w:rPr>
          <w:rFonts w:hint="eastAsia" w:ascii="宋体" w:hAnsi="宋体" w:eastAsia="宋体" w:cs="宋体"/>
          <w:b/>
          <w:sz w:val="28"/>
          <w:szCs w:val="28"/>
        </w:rPr>
        <w:t xml:space="preserve">六</w:t>
      </w:r>
      <w:bookmarkEnd w:id="385"/>
      <w:r>
        <w:rPr>
          <w:rFonts w:hint="eastAsia" w:ascii="宋体" w:hAnsi="宋体" w:eastAsia="宋体" w:cs="宋体"/>
          <w:b/>
          <w:sz w:val="28"/>
          <w:szCs w:val="28"/>
        </w:rPr>
        <w:t xml:space="preserve">、确定</w:t>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rPr>
          <w:rFonts w:hint="eastAsia" w:ascii="宋体" w:hAnsi="宋体" w:eastAsia="宋体" w:cs="宋体"/>
          <w:b/>
          <w:sz w:val="28"/>
          <w:szCs w:val="28"/>
        </w:rPr>
        <w:t xml:space="preserve">中标</w:t>
      </w:r>
      <w:r/>
    </w:p>
    <w:p>
      <w:pPr>
        <w:pStyle w:val="931"/>
        <w:numPr>
          <w:ilvl w:val="0"/>
          <w:numId w:val="4"/>
        </w:numPr>
        <w:jc w:val="left"/>
        <w:spacing w:line="360" w:lineRule="auto"/>
        <w:rPr>
          <w:rFonts w:hint="eastAsia" w:ascii="宋体" w:hAnsi="宋体" w:eastAsia="宋体" w:cs="宋体"/>
          <w:sz w:val="24"/>
        </w:rPr>
      </w:pPr>
      <w:r/>
      <w:bookmarkStart w:id="407" w:name="_Toc226965737"/>
      <w:r/>
      <w:bookmarkStart w:id="408" w:name="_Toc151190174"/>
      <w:r/>
      <w:bookmarkStart w:id="409" w:name="_Toc127151547"/>
      <w:r/>
      <w:bookmarkStart w:id="410" w:name="_Toc151193861"/>
      <w:r/>
      <w:bookmarkStart w:id="411" w:name="_Toc151193645"/>
      <w:r/>
      <w:bookmarkStart w:id="412" w:name="_Toc151193789"/>
      <w:r/>
      <w:bookmarkStart w:id="413" w:name="_Toc265228385"/>
      <w:r/>
      <w:bookmarkStart w:id="414" w:name="_Toc127161461"/>
      <w:r/>
      <w:bookmarkStart w:id="415" w:name="_Toc150774647"/>
      <w:r/>
      <w:bookmarkStart w:id="416" w:name="_Toc150509298"/>
      <w:r/>
      <w:bookmarkStart w:id="417" w:name="_Toc264969237"/>
      <w:r/>
      <w:bookmarkStart w:id="418" w:name="_Toc151193935"/>
      <w:r/>
      <w:bookmarkStart w:id="419" w:name="_Toc226309791"/>
      <w:r/>
      <w:bookmarkStart w:id="420" w:name="_Toc149720840"/>
      <w:r/>
      <w:bookmarkStart w:id="421" w:name="_Toc164229388"/>
      <w:r/>
      <w:bookmarkStart w:id="422" w:name="_Toc142311049"/>
      <w:r/>
      <w:bookmarkStart w:id="423" w:name="_Toc226965820"/>
      <w:r/>
      <w:bookmarkStart w:id="424" w:name="_Toc164351641"/>
      <w:r/>
      <w:bookmarkStart w:id="425" w:name="_Toc164229242"/>
      <w:r/>
      <w:bookmarkStart w:id="426" w:name="_Toc150480785"/>
      <w:r/>
      <w:bookmarkStart w:id="427" w:name="_Toc127151748"/>
      <w:r/>
      <w:bookmarkStart w:id="428" w:name="_Toc164608661"/>
      <w:r/>
      <w:bookmarkStart w:id="429" w:name="_Toc226337243"/>
      <w:r/>
      <w:bookmarkStart w:id="430" w:name="_Toc305158889"/>
      <w:r/>
      <w:bookmarkStart w:id="431" w:name="_Toc195842912"/>
      <w:r/>
      <w:bookmarkStart w:id="432" w:name="_Toc164608816"/>
      <w:r/>
      <w:bookmarkStart w:id="433" w:name="_Toc305158815"/>
      <w:r/>
      <w:bookmarkStart w:id="434" w:name="_Toc150774752"/>
      <w:r/>
      <w:bookmarkStart w:id="435" w:name="_Toc151193717"/>
      <w:r>
        <w:rPr>
          <w:rFonts w:hint="eastAsia" w:ascii="宋体" w:hAnsi="宋体" w:eastAsia="宋体" w:cs="宋体"/>
          <w:sz w:val="24"/>
        </w:rPr>
        <w:t xml:space="preserve">确定</w:t>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rPr>
          <w:rFonts w:hint="eastAsia" w:ascii="宋体" w:hAnsi="宋体" w:eastAsia="宋体" w:cs="宋体"/>
          <w:sz w:val="24"/>
        </w:rPr>
        <w:t xml:space="preserve">中标人</w:t>
      </w:r>
      <w:r/>
    </w:p>
    <w:p>
      <w:pPr>
        <w:pStyle w:val="931"/>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采购人将在评标报告确定的中标候选人名单中按顺序确定中标人，中标候选人并列的，由采购人依法确定。</w:t>
      </w:r>
      <w:r/>
    </w:p>
    <w:p>
      <w:pPr>
        <w:pStyle w:val="931"/>
        <w:numPr>
          <w:ilvl w:val="0"/>
          <w:numId w:val="4"/>
        </w:numPr>
        <w:jc w:val="left"/>
        <w:spacing w:line="360" w:lineRule="auto"/>
        <w:rPr>
          <w:rFonts w:hint="eastAsia" w:ascii="宋体" w:hAnsi="宋体" w:eastAsia="宋体" w:cs="宋体"/>
          <w:sz w:val="24"/>
        </w:rPr>
      </w:pPr>
      <w:r/>
      <w:bookmarkStart w:id="436" w:name="_Toc305158817"/>
      <w:r/>
      <w:bookmarkStart w:id="437" w:name="_Toc305158891"/>
      <w:r>
        <w:rPr>
          <w:rFonts w:hint="eastAsia" w:ascii="宋体" w:hAnsi="宋体" w:eastAsia="宋体" w:cs="宋体"/>
          <w:sz w:val="24"/>
        </w:rPr>
        <w:t xml:space="preserve">中标公告与中标通知书</w:t>
      </w:r>
      <w:bookmarkEnd w:id="436"/>
      <w:r/>
      <w:bookmarkEnd w:id="437"/>
      <w:r/>
      <w:r/>
    </w:p>
    <w:p>
      <w:pPr>
        <w:pStyle w:val="931"/>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采购人或采购代理机构自中标人确定之日起2个工作日内，</w:t>
      </w:r>
      <w:r>
        <w:rPr>
          <w:rFonts w:hint="eastAsia" w:ascii="宋体" w:hAnsi="宋体" w:eastAsia="宋体" w:cs="宋体"/>
          <w:sz w:val="24"/>
        </w:rPr>
        <w:t xml:space="preserve">在常州市政府采购网、</w:t>
      </w:r>
      <w:r>
        <w:rPr>
          <w:rFonts w:hint="eastAsia" w:ascii="宋体" w:hAnsi="宋体" w:eastAsia="宋体" w:cs="宋体"/>
          <w:sz w:val="24"/>
          <w:szCs w:val="24"/>
        </w:rPr>
        <w:t xml:space="preserve">常州金诚招投标有限公司网</w:t>
      </w:r>
      <w:r>
        <w:rPr>
          <w:rFonts w:hint="eastAsia" w:ascii="宋体" w:hAnsi="宋体" w:eastAsia="宋体" w:cs="宋体"/>
          <w:sz w:val="24"/>
        </w:rPr>
        <w:t xml:space="preserve">公告中标结果</w:t>
      </w:r>
      <w:r>
        <w:rPr>
          <w:rFonts w:hint="eastAsia" w:ascii="宋体" w:hAnsi="宋体" w:eastAsia="宋体" w:cs="宋体"/>
          <w:sz w:val="24"/>
        </w:rPr>
        <w:t xml:space="preserve">，同时向中标人发出中标通知书，中标公告期限为1个工作日。</w:t>
      </w:r>
      <w:r/>
    </w:p>
    <w:p>
      <w:pPr>
        <w:pStyle w:val="931"/>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中标通知书对采购人和中标供应商均具有法律效力。中标通知书发出后，采购人改变中标结果的，或者中标供应商放弃中标项目的，应当依法承担法律责任。</w:t>
      </w:r>
      <w:r/>
    </w:p>
    <w:p>
      <w:pPr>
        <w:pStyle w:val="931"/>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废标</w:t>
      </w:r>
      <w:r/>
    </w:p>
    <w:p>
      <w:pPr>
        <w:pStyle w:val="931"/>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在招标采购中，出现下列情形之一的，应予废标：</w:t>
      </w:r>
      <w:r/>
    </w:p>
    <w:p>
      <w:pPr>
        <w:pStyle w:val="931"/>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符合专业条件的投标人或者对招标文件作实质响应的投标人不足</w:t>
      </w:r>
      <w:r>
        <w:rPr>
          <w:rFonts w:hint="eastAsia" w:ascii="宋体" w:hAnsi="宋体" w:eastAsia="宋体" w:cs="宋体"/>
          <w:sz w:val="24"/>
        </w:rPr>
        <w:t xml:space="preserve">三家的；</w:t>
      </w:r>
      <w:r/>
    </w:p>
    <w:p>
      <w:pPr>
        <w:pStyle w:val="931"/>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出现影响采购公正的违法、违规行为的；</w:t>
      </w:r>
      <w:r/>
    </w:p>
    <w:p>
      <w:pPr>
        <w:pStyle w:val="931"/>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投标人的报价均超过了采购预算，采购人不能支付的</w:t>
      </w:r>
      <w:r>
        <w:rPr>
          <w:rFonts w:hint="eastAsia" w:ascii="宋体" w:hAnsi="宋体" w:eastAsia="宋体" w:cs="宋体"/>
          <w:sz w:val="24"/>
          <w:szCs w:val="20"/>
        </w:rPr>
        <w:t xml:space="preserve">；</w:t>
      </w:r>
      <w:r/>
    </w:p>
    <w:p>
      <w:pPr>
        <w:pStyle w:val="931"/>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因重大变故，采购任务取消的；</w:t>
      </w:r>
      <w:r/>
    </w:p>
    <w:p>
      <w:pPr>
        <w:pStyle w:val="931"/>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平台系统出现序号18.8的所述情形，情况严重且影响采购活动公平、公正性的。</w:t>
      </w:r>
      <w:r/>
    </w:p>
    <w:p>
      <w:pPr>
        <w:pStyle w:val="931"/>
        <w:numPr>
          <w:ilvl w:val="0"/>
          <w:numId w:val="4"/>
        </w:numPr>
        <w:jc w:val="left"/>
        <w:spacing w:line="360" w:lineRule="auto"/>
        <w:rPr>
          <w:rFonts w:hint="eastAsia" w:ascii="宋体" w:hAnsi="宋体" w:eastAsia="宋体" w:cs="宋体"/>
          <w:sz w:val="24"/>
        </w:rPr>
      </w:pPr>
      <w:r/>
      <w:bookmarkStart w:id="438" w:name="_Toc305158818"/>
      <w:r/>
      <w:bookmarkStart w:id="439" w:name="_Toc226965740"/>
      <w:r/>
      <w:bookmarkStart w:id="440" w:name="_Toc150774650"/>
      <w:r/>
      <w:bookmarkStart w:id="441" w:name="_Toc164229391"/>
      <w:r/>
      <w:bookmarkStart w:id="442" w:name="_Toc151190177"/>
      <w:r/>
      <w:bookmarkStart w:id="443" w:name="_Toc265228388"/>
      <w:r/>
      <w:bookmarkStart w:id="444" w:name="_Toc164229245"/>
      <w:r/>
      <w:bookmarkStart w:id="445" w:name="_Toc226309794"/>
      <w:r/>
      <w:bookmarkStart w:id="446" w:name="_Toc226337246"/>
      <w:r/>
      <w:bookmarkStart w:id="447" w:name="_Toc151193938"/>
      <w:r/>
      <w:bookmarkStart w:id="448" w:name="_Toc127151751"/>
      <w:r/>
      <w:bookmarkStart w:id="449" w:name="_Toc149720843"/>
      <w:r/>
      <w:bookmarkStart w:id="450" w:name="_Toc150509301"/>
      <w:r/>
      <w:bookmarkStart w:id="451" w:name="_Toc127151550"/>
      <w:r/>
      <w:bookmarkStart w:id="452" w:name="_Toc305158892"/>
      <w:r/>
      <w:bookmarkStart w:id="453" w:name="_Ref467307062"/>
      <w:r/>
      <w:bookmarkStart w:id="454" w:name="_Toc151193864"/>
      <w:r/>
      <w:bookmarkStart w:id="455" w:name="_Toc151193792"/>
      <w:r/>
      <w:bookmarkStart w:id="456" w:name="_Ref467306377"/>
      <w:r/>
      <w:bookmarkStart w:id="457" w:name="_Toc226965823"/>
      <w:r/>
      <w:bookmarkStart w:id="458" w:name="_Toc127161464"/>
      <w:r/>
      <w:bookmarkStart w:id="459" w:name="_Toc164608664"/>
      <w:r/>
      <w:bookmarkStart w:id="460" w:name="_Toc151193720"/>
      <w:r/>
      <w:bookmarkStart w:id="461" w:name="_Toc264969240"/>
      <w:r/>
      <w:bookmarkStart w:id="462" w:name="_Toc150480788"/>
      <w:r/>
      <w:bookmarkStart w:id="463" w:name="_Toc164608819"/>
      <w:r/>
      <w:bookmarkStart w:id="464" w:name="_Toc151193648"/>
      <w:r/>
      <w:bookmarkStart w:id="465" w:name="_Toc520356175"/>
      <w:r/>
      <w:bookmarkStart w:id="466" w:name="_Toc164351644"/>
      <w:r/>
      <w:bookmarkStart w:id="467" w:name="_Ref467307204"/>
      <w:r/>
      <w:bookmarkStart w:id="468" w:name="_Toc150774755"/>
      <w:r/>
      <w:bookmarkStart w:id="469" w:name="_Toc142311052"/>
      <w:r/>
      <w:bookmarkStart w:id="470" w:name="_Toc195842915"/>
      <w:r/>
      <w:bookmarkStart w:id="471" w:name="_Ref467306978"/>
      <w:r>
        <w:rPr>
          <w:rFonts w:hint="eastAsia" w:ascii="宋体" w:hAnsi="宋体" w:eastAsia="宋体" w:cs="宋体"/>
          <w:sz w:val="24"/>
        </w:rPr>
        <w:t xml:space="preserve">签订合同</w:t>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r/>
    </w:p>
    <w:p>
      <w:pPr>
        <w:pStyle w:val="931"/>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931"/>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中标人拒绝与采购人签订合同的，采购人可以按照评标报告推荐的中标候选人名单排序，确定下一候选人为中标人，也可以重新开展政府采购活动。</w:t>
      </w:r>
      <w:r/>
    </w:p>
    <w:p>
      <w:pPr>
        <w:pStyle w:val="931"/>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联合体中标的，联合体各方应当共同与采购人签订合同，就中标项目向采购人承担连带责任。</w:t>
      </w:r>
      <w:r/>
    </w:p>
    <w:p>
      <w:pPr>
        <w:pStyle w:val="931"/>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政府采购合同不能转包。</w:t>
      </w:r>
      <w:r/>
    </w:p>
    <w:p>
      <w:pPr>
        <w:pStyle w:val="931"/>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eastAsia="宋体" w:cs="宋体"/>
          <w:b/>
          <w:sz w:val="24"/>
        </w:rPr>
        <w:t xml:space="preserve">，</w:t>
      </w:r>
      <w:r>
        <w:rPr>
          <w:rFonts w:hint="eastAsia" w:ascii="宋体" w:hAnsi="宋体" w:eastAsia="宋体" w:cs="宋体"/>
          <w:sz w:val="24"/>
        </w:rPr>
        <w:t xml:space="preserve">否则</w:t>
      </w:r>
      <w:r>
        <w:rPr>
          <w:rFonts w:hint="eastAsia" w:ascii="宋体" w:hAnsi="宋体" w:eastAsia="宋体" w:cs="宋体"/>
          <w:b/>
          <w:sz w:val="24"/>
        </w:rPr>
        <w:t xml:space="preserve">投标无效</w:t>
      </w:r>
      <w:r>
        <w:rPr>
          <w:rFonts w:hint="eastAsia" w:ascii="宋体" w:hAnsi="宋体" w:eastAsia="宋体" w:cs="宋体"/>
          <w:sz w:val="24"/>
        </w:rPr>
        <w:t xml:space="preserve">。中标人就采购项目和分包项目向采购人负责，分包供应商就分包项目承担责任。</w:t>
      </w:r>
      <w:r/>
    </w:p>
    <w:p>
      <w:pPr>
        <w:pStyle w:val="931"/>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询问与质疑</w:t>
      </w:r>
      <w:r/>
    </w:p>
    <w:p>
      <w:pPr>
        <w:pStyle w:val="931"/>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询问</w:t>
      </w:r>
      <w:r/>
    </w:p>
    <w:p>
      <w:pPr>
        <w:pStyle w:val="931"/>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投标人对政府采购活动事项有疑问的，可依法提出询问，并按《投标人须知资料表》载明的形式送达采购人或采购代理机构。</w:t>
      </w:r>
      <w:r/>
    </w:p>
    <w:p>
      <w:pPr>
        <w:pStyle w:val="931"/>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采购人或采购代理机构对供应商依法提出的询问，在3个工作日内作出答复，但答复的内容不得涉及商业秘密。</w:t>
      </w:r>
      <w:r/>
    </w:p>
    <w:p>
      <w:pPr>
        <w:pStyle w:val="931"/>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质疑</w:t>
      </w:r>
      <w:r/>
    </w:p>
    <w:p>
      <w:pPr>
        <w:pStyle w:val="931"/>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pStyle w:val="931"/>
        <w:numPr>
          <w:ilvl w:val="2"/>
          <w:numId w:val="4"/>
        </w:numPr>
        <w:jc w:val="left"/>
        <w:spacing w:line="360" w:lineRule="auto"/>
        <w:rPr>
          <w:rFonts w:hint="eastAsia" w:ascii="宋体" w:hAnsi="宋体" w:eastAsia="宋体" w:cs="宋体"/>
          <w:sz w:val="24"/>
        </w:rPr>
      </w:pPr>
      <w:r>
        <w:rPr>
          <w:rFonts w:hint="eastAsia" w:ascii="宋体" w:hAnsi="宋体" w:eastAsia="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采购人委托采购代理机构采购的，采购代理机构在委托授权范围内作出答复。</w:t>
      </w:r>
      <w:r/>
    </w:p>
    <w:p>
      <w:pPr>
        <w:pStyle w:val="931"/>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质疑函须使用财政部制定的范本文件。（下载网址：</w:t>
      </w:r>
      <w:r>
        <w:fldChar w:fldCharType="begin"/>
      </w:r>
      <w:r>
        <w:instrText xml:space="preserve">HYPERLINK "http://gks.mof.gov.cn/ztztz/zhengfucaigouguanli/201802/t20180201_2804589.htm"</w:instrText>
      </w:r>
      <w:r>
        <w:fldChar w:fldCharType="separate"/>
      </w:r>
      <w:r>
        <w:rPr>
          <w:rFonts w:hint="eastAsia" w:ascii="宋体" w:hAnsi="宋体" w:eastAsia="宋体" w:cs="宋体"/>
          <w:sz w:val="24"/>
        </w:rPr>
        <w:t xml:space="preserve">http://gk</w:t>
      </w:r>
      <w:bookmarkStart w:id="472" w:name="_Hlt100654014"/>
      <w:r>
        <w:rPr>
          <w:rFonts w:hint="eastAsia" w:ascii="宋体" w:hAnsi="宋体" w:eastAsia="宋体" w:cs="宋体"/>
          <w:sz w:val="24"/>
        </w:rPr>
        <w:t xml:space="preserve">s</w:t>
      </w:r>
      <w:bookmarkEnd w:id="472"/>
      <w:r>
        <w:rPr>
          <w:rFonts w:hint="eastAsia" w:ascii="宋体" w:hAnsi="宋体" w:eastAsia="宋体" w:cs="宋体"/>
          <w:sz w:val="24"/>
        </w:rPr>
        <w:t xml:space="preserve">.m</w:t>
      </w:r>
      <w:bookmarkStart w:id="473" w:name="_Hlt100653993"/>
      <w:r/>
      <w:bookmarkStart w:id="474" w:name="_Hlt100653994"/>
      <w:r>
        <w:rPr>
          <w:rFonts w:hint="eastAsia" w:ascii="宋体" w:hAnsi="宋体" w:eastAsia="宋体" w:cs="宋体"/>
          <w:sz w:val="24"/>
        </w:rPr>
        <w:t xml:space="preserve">o</w:t>
      </w:r>
      <w:bookmarkStart w:id="475" w:name="_Hlt101169156"/>
      <w:r/>
      <w:bookmarkEnd w:id="473"/>
      <w:r/>
      <w:bookmarkEnd w:id="474"/>
      <w:r>
        <w:rPr>
          <w:rFonts w:hint="eastAsia" w:ascii="宋体" w:hAnsi="宋体" w:eastAsia="宋体" w:cs="宋体"/>
          <w:sz w:val="24"/>
        </w:rPr>
        <w:t xml:space="preserve">f</w:t>
      </w:r>
      <w:bookmarkEnd w:id="475"/>
      <w:r>
        <w:rPr>
          <w:rFonts w:hint="eastAsia" w:ascii="宋体" w:hAnsi="宋体" w:eastAsia="宋体" w:cs="宋体"/>
          <w:sz w:val="24"/>
        </w:rPr>
        <w:t xml:space="preserve">.gov.cn/ztztz/zhengfucaigouguanli/201802/t20180201_2804589.htm</w:t>
      </w:r>
      <w:r>
        <w:fldChar w:fldCharType="end"/>
      </w:r>
      <w:r>
        <w:rPr>
          <w:rFonts w:hint="eastAsia" w:ascii="宋体" w:hAnsi="宋体" w:eastAsia="宋体" w:cs="宋体"/>
          <w:sz w:val="24"/>
        </w:rPr>
        <w:t xml:space="preserve">）。</w:t>
      </w:r>
      <w:r/>
    </w:p>
    <w:p>
      <w:pPr>
        <w:pStyle w:val="931"/>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投标人为自然人的，应当由本人签字；投标人为法人或者其他组织的，应当由法定代表人、主要负责人，或者其授权代表签字或者加盖公章，并加盖公章。</w:t>
      </w:r>
      <w:r/>
    </w:p>
    <w:p>
      <w:pPr>
        <w:pStyle w:val="931"/>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投标人应在法定质疑期内一次性提出针对同一采购程序环节的质疑，法定质疑期内针对同一采购程序环节再次提出的质疑，采购人、采购代理机构有权不予答复。</w:t>
      </w:r>
      <w:r/>
    </w:p>
    <w:p>
      <w:pPr>
        <w:pStyle w:val="931"/>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接收询问和质疑的联系部门、联系电话和通讯地址见《投标人须知资料表》。</w:t>
      </w:r>
      <w:r/>
    </w:p>
    <w:p>
      <w:pPr>
        <w:pStyle w:val="931"/>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代理费</w:t>
      </w:r>
      <w:r/>
    </w:p>
    <w:p>
      <w:pPr>
        <w:pStyle w:val="931"/>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收费对象、收费标准及缴纳时间见《投标人须知资料表》。由中标人支付的，中标人须一次性向采购代理机构缴纳代理费，投标报价应包含代理费用。</w:t>
      </w:r>
      <w:r/>
    </w:p>
    <w:p>
      <w:pPr>
        <w:pStyle w:val="931"/>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履约保证金</w:t>
      </w:r>
      <w:r/>
    </w:p>
    <w:p>
      <w:pPr>
        <w:pStyle w:val="931"/>
        <w:ind w:left="284" w:firstLine="0"/>
        <w:jc w:val="left"/>
        <w:spacing w:line="360" w:lineRule="auto"/>
        <w:rPr>
          <w:rFonts w:hint="eastAsia" w:ascii="宋体" w:hAnsi="宋体" w:eastAsia="宋体" w:cs="宋体"/>
          <w:sz w:val="24"/>
        </w:rPr>
      </w:pPr>
      <w:r>
        <w:rPr>
          <w:rFonts w:hint="eastAsia" w:ascii="宋体" w:hAnsi="宋体" w:eastAsia="宋体" w:cs="宋体"/>
          <w:sz w:val="24"/>
        </w:rPr>
        <w:t xml:space="preserve">28.1</w:t>
      </w:r>
      <w:r>
        <w:rPr>
          <w:rFonts w:hAnsi="宋体"/>
          <w:sz w:val="24"/>
          <w:szCs w:val="24"/>
        </w:rPr>
        <w:t xml:space="preserve">本项目免收履约保证金。</w:t>
      </w:r>
      <w:r/>
    </w:p>
    <w:p>
      <w:pPr>
        <w:pStyle w:val="931"/>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纸质投标文件</w:t>
      </w:r>
      <w:r/>
    </w:p>
    <w:p>
      <w:pPr>
        <w:pStyle w:val="931"/>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中标人在签订合同前向代理机构提供</w:t>
      </w:r>
      <w:r>
        <w:rPr>
          <w:rFonts w:hint="eastAsia" w:ascii="宋体" w:hAnsi="宋体" w:eastAsia="宋体" w:cs="宋体"/>
          <w:b/>
          <w:bCs/>
          <w:sz w:val="24"/>
        </w:rPr>
        <w:t xml:space="preserve">正本1套纸质投标文件</w:t>
      </w:r>
      <w:r>
        <w:rPr>
          <w:rFonts w:hint="eastAsia" w:ascii="宋体" w:hAnsi="宋体" w:eastAsia="宋体" w:cs="宋体"/>
          <w:sz w:val="24"/>
        </w:rPr>
        <w:t xml:space="preserve">。</w:t>
      </w:r>
      <w:r/>
    </w:p>
    <w:p>
      <w:pPr>
        <w:pStyle w:val="931"/>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纸质投标文件需与政府采购系统的投标文件一致，中标人应按照要求签字、盖章。</w:t>
      </w:r>
      <w:r/>
    </w:p>
    <w:p>
      <w:pPr>
        <w:pStyle w:val="931"/>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招标文件所表述（指定）的公章是指法定名称章，不包括合同专用章、业务专用章等印章；盖章是指加盖鲜章。</w:t>
      </w:r>
      <w:r/>
    </w:p>
    <w:p>
      <w:pPr>
        <w:ind w:left="228" w:hanging="228"/>
        <w:jc w:val="left"/>
        <w:spacing w:line="360" w:lineRule="auto"/>
        <w:rPr>
          <w:rFonts w:hint="eastAsia" w:ascii="宋体" w:hAnsi="宋体" w:eastAsia="宋体" w:cs="宋体"/>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24"/>
        </w:rPr>
      </w:r>
      <w:r/>
    </w:p>
    <w:p>
      <w:pPr>
        <w:pStyle w:val="891"/>
        <w:ind w:left="343" w:hanging="343"/>
        <w:rPr>
          <w:rFonts w:hint="eastAsia" w:ascii="宋体" w:hAnsi="宋体" w:eastAsia="宋体" w:cs="宋体"/>
        </w:rPr>
      </w:pPr>
      <w:r/>
      <w:bookmarkStart w:id="476" w:name="_Toc29623"/>
      <w:r/>
      <w:bookmarkStart w:id="477" w:name="_Toc104818927"/>
      <w:r>
        <w:rPr>
          <w:rFonts w:hint="eastAsia" w:ascii="宋体" w:hAnsi="宋体" w:eastAsia="宋体" w:cs="宋体"/>
        </w:rPr>
        <w:t xml:space="preserve">第三章 资格审查</w:t>
      </w:r>
      <w:bookmarkEnd w:id="476"/>
      <w:r/>
      <w:r/>
    </w:p>
    <w:p>
      <w:pPr>
        <w:ind w:left="229" w:hanging="229"/>
        <w:jc w:val="center"/>
        <w:spacing w:line="360" w:lineRule="auto"/>
        <w:rPr>
          <w:rFonts w:hint="eastAsia" w:ascii="宋体" w:hAnsi="宋体" w:eastAsia="宋体" w:cs="宋体"/>
          <w:b/>
          <w:sz w:val="24"/>
          <w:szCs w:val="24"/>
        </w:rPr>
      </w:pPr>
      <w:r/>
      <w:bookmarkStart w:id="478" w:name="_Toc99301422"/>
      <w:r>
        <w:rPr>
          <w:rFonts w:hint="eastAsia" w:ascii="宋体" w:hAnsi="宋体" w:eastAsia="宋体" w:cs="宋体"/>
          <w:b/>
          <w:sz w:val="24"/>
          <w:szCs w:val="24"/>
        </w:rPr>
        <w:t xml:space="preserve">一、资格审查程序</w:t>
      </w:r>
      <w:bookmarkEnd w:id="478"/>
      <w:r/>
      <w:r/>
    </w:p>
    <w:p>
      <w:pPr>
        <w:pStyle w:val="931"/>
        <w:numPr>
          <w:ilvl w:val="0"/>
          <w:numId w:val="5"/>
        </w:numPr>
        <w:spacing w:line="360" w:lineRule="auto"/>
        <w:rPr>
          <w:rFonts w:hint="eastAsia" w:ascii="宋体" w:hAnsi="宋体" w:eastAsia="宋体" w:cs="宋体"/>
          <w:sz w:val="24"/>
          <w:szCs w:val="24"/>
        </w:rPr>
      </w:pPr>
      <w:r>
        <w:rPr>
          <w:rFonts w:hint="eastAsia" w:ascii="宋体" w:hAnsi="宋体" w:eastAsia="宋体" w:cs="宋体"/>
          <w:sz w:val="24"/>
        </w:rPr>
        <w:t xml:space="preserve">开标结束后，采购人将根据《资格审查要求》中的规定，对投标人进行资格审查，并形成资格审查结果</w:t>
      </w:r>
      <w:r>
        <w:rPr>
          <w:rFonts w:hint="eastAsia" w:ascii="宋体" w:hAnsi="宋体" w:eastAsia="宋体" w:cs="宋体"/>
          <w:sz w:val="24"/>
          <w:szCs w:val="24"/>
        </w:rPr>
        <w:t xml:space="preserve">。</w:t>
      </w:r>
      <w:r/>
    </w:p>
    <w:p>
      <w:pPr>
        <w:pStyle w:val="931"/>
        <w:numPr>
          <w:ilvl w:val="0"/>
          <w:numId w:val="5"/>
        </w:numPr>
        <w:spacing w:line="360" w:lineRule="auto"/>
        <w:rPr>
          <w:rFonts w:hint="eastAsia" w:ascii="宋体" w:hAnsi="宋体" w:eastAsia="宋体" w:cs="宋体"/>
          <w:sz w:val="24"/>
          <w:szCs w:val="24"/>
        </w:rPr>
      </w:pPr>
      <w:r>
        <w:rPr>
          <w:rFonts w:hint="eastAsia" w:ascii="宋体" w:hAnsi="宋体" w:eastAsia="宋体" w:cs="宋体"/>
          <w:sz w:val="24"/>
        </w:rPr>
        <w:t xml:space="preserve">《资格审查要求》中对格式有要求的，除招标文件另有规定外，均为“实质性格式”文件</w:t>
      </w:r>
      <w:r>
        <w:rPr>
          <w:rFonts w:hint="eastAsia" w:ascii="宋体" w:hAnsi="宋体" w:eastAsia="宋体" w:cs="宋体"/>
          <w:sz w:val="24"/>
          <w:szCs w:val="24"/>
        </w:rPr>
        <w:t xml:space="preserve">。</w:t>
      </w:r>
      <w:r/>
    </w:p>
    <w:p>
      <w:pPr>
        <w:pStyle w:val="931"/>
        <w:numPr>
          <w:ilvl w:val="0"/>
          <w:numId w:val="5"/>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投标人《资格证明文件》有任何一项不符合《资格审查要求》的，资格审查不合格，其投标无效。</w:t>
      </w:r>
      <w:r/>
    </w:p>
    <w:p>
      <w:pPr>
        <w:pStyle w:val="931"/>
        <w:numPr>
          <w:ilvl w:val="0"/>
          <w:numId w:val="5"/>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资格审查合格的投标人不足3家的，不进行评标。</w:t>
      </w:r>
      <w:r/>
    </w:p>
    <w:p>
      <w:pPr>
        <w:ind w:left="229" w:hanging="229"/>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二、资格审查要求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4"/>
        <w:gridCol w:w="1974"/>
        <w:gridCol w:w="3866"/>
        <w:gridCol w:w="1702"/>
      </w:tblGrid>
      <w:tr>
        <w:trPr>
          <w:jc w:val="center"/>
          <w:trHeight w:val="468"/>
        </w:trPr>
        <w:tc>
          <w:tcPr>
            <w:tcW w:w="454"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序号</w:t>
            </w:r>
            <w:r/>
          </w:p>
        </w:tc>
        <w:tc>
          <w:tcPr>
            <w:tcW w:w="1190"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审查因素</w:t>
            </w:r>
            <w:r/>
          </w:p>
        </w:tc>
        <w:tc>
          <w:tcPr>
            <w:tcW w:w="2330"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审查内容</w:t>
            </w:r>
            <w:r/>
          </w:p>
        </w:tc>
        <w:tc>
          <w:tcPr>
            <w:tcW w:w="1026"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格式要求</w:t>
            </w:r>
            <w:r/>
          </w:p>
        </w:tc>
      </w:tr>
      <w:tr>
        <w:trPr>
          <w:jc w:val="center"/>
          <w:trHeight w:val="468"/>
        </w:trPr>
        <w:tc>
          <w:tcPr>
            <w:tcW w:w="454"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1</w:t>
            </w:r>
            <w:r/>
          </w:p>
        </w:tc>
        <w:tc>
          <w:tcPr>
            <w:tcW w:w="119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满足《中华人民共和国政府采购法》第二十二条规定及法律法规的其他规定</w:t>
            </w:r>
            <w:r/>
          </w:p>
        </w:tc>
        <w:tc>
          <w:tcPr>
            <w:tcW w:w="233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具体规定见第一章《投标邀请》</w:t>
            </w:r>
            <w:r/>
          </w:p>
        </w:tc>
        <w:tc>
          <w:tcPr>
            <w:tcW w:w="1026"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r>
            <w:r/>
          </w:p>
        </w:tc>
      </w:tr>
      <w:tr>
        <w:trPr>
          <w:jc w:val="center"/>
          <w:trHeight w:val="910"/>
        </w:trPr>
        <w:tc>
          <w:tcPr>
            <w:tcW w:w="454"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1-1</w:t>
            </w:r>
            <w:r/>
          </w:p>
        </w:tc>
        <w:tc>
          <w:tcPr>
            <w:tcW w:w="119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投标人资格声明函</w:t>
            </w:r>
            <w:r/>
          </w:p>
        </w:tc>
        <w:tc>
          <w:tcPr>
            <w:tcW w:w="233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提供了符合招标文件要求的《投标人资格声明函》</w:t>
            </w:r>
            <w:r/>
          </w:p>
        </w:tc>
        <w:tc>
          <w:tcPr>
            <w:tcW w:w="1026"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格式见《投标文件格式》</w:t>
            </w:r>
            <w:r/>
          </w:p>
        </w:tc>
      </w:tr>
      <w:tr>
        <w:trPr>
          <w:jc w:val="center"/>
          <w:trHeight w:val="1122"/>
        </w:trPr>
        <w:tc>
          <w:tcPr>
            <w:tcW w:w="454"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1-2</w:t>
            </w:r>
            <w:r/>
          </w:p>
        </w:tc>
        <w:tc>
          <w:tcPr>
            <w:tcW w:w="119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投标人营业执照</w:t>
            </w:r>
            <w:r/>
          </w:p>
        </w:tc>
        <w:tc>
          <w:tcPr>
            <w:tcW w:w="233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法人或者其他组织提供营业执照等证明文件，自然人提供营业执照（如有）及身份证明（双面）</w:t>
            </w:r>
            <w:r/>
          </w:p>
        </w:tc>
        <w:tc>
          <w:tcPr>
            <w:tcW w:w="1026"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提供扫描件加盖公章</w:t>
            </w:r>
            <w:r/>
          </w:p>
        </w:tc>
      </w:tr>
      <w:tr>
        <w:trPr>
          <w:jc w:val="center"/>
          <w:trHeight w:val="468"/>
        </w:trPr>
        <w:tc>
          <w:tcPr>
            <w:tcW w:w="454"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1-3</w:t>
            </w:r>
            <w:r/>
          </w:p>
        </w:tc>
        <w:tc>
          <w:tcPr>
            <w:tcW w:w="119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投标人信用记录</w:t>
            </w:r>
            <w:r/>
          </w:p>
        </w:tc>
        <w:tc>
          <w:tcPr>
            <w:tcW w:w="233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查询渠道：信用中国网站和中国政府采购网（www.creditchina.gov.cn、www.ccgp.gov.cn）；</w:t>
            </w:r>
            <w:r/>
          </w:p>
          <w:p>
            <w:pPr>
              <w:ind w:left="199" w:hanging="199"/>
              <w:tabs>
                <w:tab w:val="left" w:pos="900" w:leader="none"/>
                <w:tab w:val="left" w:pos="1980" w:leader="none"/>
              </w:tabs>
              <w:rPr>
                <w:rFonts w:hint="eastAsia" w:ascii="宋体" w:hAnsi="宋体" w:eastAsia="宋体" w:cs="宋体"/>
                <w:szCs w:val="21"/>
              </w:rPr>
            </w:pPr>
            <w:r>
              <w:rPr>
                <w:rFonts w:hint="eastAsia" w:ascii="宋体" w:hAnsi="宋体" w:eastAsia="宋体" w:cs="宋体"/>
                <w:szCs w:val="21"/>
              </w:rPr>
              <w:t xml:space="preserve">截止时点：投标截止时间以后、资格审查阶段采购人或采购代理机构的实际查询时间；</w:t>
            </w:r>
            <w:r/>
          </w:p>
          <w:p>
            <w:pPr>
              <w:ind w:left="199" w:hanging="199"/>
              <w:tabs>
                <w:tab w:val="left" w:pos="900" w:leader="none"/>
                <w:tab w:val="left" w:pos="1980" w:leader="none"/>
              </w:tabs>
              <w:rPr>
                <w:rFonts w:hint="eastAsia" w:ascii="宋体" w:hAnsi="宋体" w:eastAsia="宋体" w:cs="宋体"/>
                <w:szCs w:val="21"/>
              </w:rPr>
            </w:pPr>
            <w:r>
              <w:rPr>
                <w:rFonts w:hint="eastAsia" w:ascii="宋体" w:hAnsi="宋体" w:eastAsia="宋体" w:cs="宋体"/>
                <w:szCs w:val="21"/>
              </w:rPr>
              <w:t xml:space="preserve">信用信息查询记录和证据留存具体方式：查询结果网页打印页作为查询记录和证据，与其他采购文件一并保存；</w:t>
            </w:r>
            <w:r/>
          </w:p>
          <w:p>
            <w:pPr>
              <w:ind w:left="199" w:hanging="199"/>
              <w:rPr>
                <w:rFonts w:hint="eastAsia" w:ascii="宋体" w:hAnsi="宋体" w:eastAsia="宋体" w:cs="宋体"/>
                <w:szCs w:val="21"/>
              </w:rPr>
            </w:pPr>
            <w:r>
              <w:rPr>
                <w:rFonts w:hint="eastAsia" w:ascii="宋体" w:hAnsi="宋体" w:eastAsia="宋体" w:cs="宋体"/>
                <w:szCs w:val="21"/>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1026"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无须投标人提供，由采购代理机构查询。</w:t>
            </w:r>
            <w:r/>
          </w:p>
        </w:tc>
      </w:tr>
      <w:tr>
        <w:trPr>
          <w:jc w:val="center"/>
          <w:trHeight w:val="468"/>
        </w:trPr>
        <w:tc>
          <w:tcPr>
            <w:tcW w:w="454"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2</w:t>
            </w:r>
            <w:r/>
          </w:p>
        </w:tc>
        <w:tc>
          <w:tcPr>
            <w:tcW w:w="1190"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本项目特定资格要求</w:t>
            </w:r>
            <w:r/>
          </w:p>
        </w:tc>
        <w:tc>
          <w:tcPr>
            <w:tcW w:w="2330" w:type="pct"/>
            <w:vAlign w:val="center"/>
            <w:textDirection w:val="lrTb"/>
            <w:noWrap w:val="false"/>
          </w:tcPr>
          <w:p>
            <w:pPr>
              <w:rPr>
                <w:rFonts w:hint="eastAsia" w:ascii="宋体" w:hAnsi="宋体" w:eastAsia="宋体" w:cs="宋体"/>
                <w:szCs w:val="21"/>
              </w:rPr>
            </w:pPr>
            <w:r>
              <w:rPr>
                <w:rFonts w:ascii="宋体" w:hAnsi="宋体" w:eastAsia="宋体" w:cs="宋体"/>
                <w:szCs w:val="21"/>
              </w:rPr>
              <w:t xml:space="preserve">投标人具备有效的食品经营许可证（经营范围含预包装食品销售），或仅销售预包装食品经营者备案表（含有效备案编号）。</w:t>
            </w:r>
            <w:r/>
          </w:p>
        </w:tc>
        <w:tc>
          <w:tcPr>
            <w:tcW w:w="1026" w:type="pct"/>
            <w:vAlign w:val="center"/>
            <w:textDirection w:val="lrTb"/>
            <w:noWrap w:val="false"/>
          </w:tcPr>
          <w:p>
            <w:pPr>
              <w:rPr>
                <w:rFonts w:hint="eastAsia" w:ascii="宋体" w:hAnsi="宋体" w:eastAsia="宋体" w:cs="宋体"/>
                <w:szCs w:val="21"/>
              </w:rPr>
            </w:pPr>
            <w:r>
              <w:rPr>
                <w:rFonts w:ascii="宋体" w:hAnsi="宋体" w:eastAsia="宋体" w:cs="宋体"/>
                <w:szCs w:val="21"/>
              </w:rPr>
              <w:t xml:space="preserve">提供相关证明扫描件加盖公章</w:t>
            </w:r>
            <w:r/>
          </w:p>
        </w:tc>
      </w:tr>
    </w:tbl>
    <w:p>
      <w:pPr>
        <w:ind w:left="228" w:hanging="228"/>
        <w:rPr>
          <w:rFonts w:hint="eastAsia" w:ascii="宋体" w:hAnsi="宋体" w:eastAsia="宋体" w:cs="宋体"/>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rPr>
      </w:r>
      <w:r/>
    </w:p>
    <w:p>
      <w:pPr>
        <w:pStyle w:val="891"/>
        <w:ind w:left="343" w:hanging="343"/>
        <w:rPr>
          <w:rFonts w:hint="eastAsia" w:ascii="宋体" w:hAnsi="宋体" w:eastAsia="宋体" w:cs="宋体"/>
        </w:rPr>
      </w:pPr>
      <w:r/>
      <w:bookmarkStart w:id="479" w:name="_Toc861"/>
      <w:r>
        <w:rPr>
          <w:rFonts w:hint="eastAsia" w:ascii="宋体" w:hAnsi="宋体" w:eastAsia="宋体" w:cs="宋体"/>
        </w:rPr>
        <w:t xml:space="preserve">第四章 评标程序、评标方法和评标标准</w:t>
      </w:r>
      <w:bookmarkEnd w:id="477"/>
      <w:r/>
      <w:bookmarkEnd w:id="479"/>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一、评标程序</w:t>
      </w:r>
      <w:r/>
    </w:p>
    <w:p>
      <w:pPr>
        <w:pStyle w:val="931"/>
        <w:numPr>
          <w:ilvl w:val="0"/>
          <w:numId w:val="6"/>
        </w:numPr>
        <w:jc w:val="left"/>
        <w:spacing w:line="360" w:lineRule="auto"/>
        <w:rPr>
          <w:rFonts w:hint="eastAsia" w:ascii="宋体" w:hAnsi="宋体" w:eastAsia="宋体" w:cs="宋体"/>
          <w:sz w:val="24"/>
        </w:rPr>
      </w:pPr>
      <w:r/>
      <w:bookmarkStart w:id="480" w:name="_Toc164229236"/>
      <w:r/>
      <w:bookmarkStart w:id="481" w:name="_Toc151193929"/>
      <w:r/>
      <w:bookmarkStart w:id="482" w:name="_Toc151193639"/>
      <w:r/>
      <w:bookmarkStart w:id="483" w:name="_Toc151193783"/>
      <w:r/>
      <w:bookmarkStart w:id="484" w:name="_Toc151193711"/>
      <w:r/>
      <w:bookmarkStart w:id="485" w:name="_Toc127161455"/>
      <w:r/>
      <w:bookmarkStart w:id="486" w:name="_Toc164608810"/>
      <w:r/>
      <w:bookmarkStart w:id="487" w:name="_Toc305158809"/>
      <w:r/>
      <w:bookmarkStart w:id="488" w:name="_Toc226309785"/>
      <w:r/>
      <w:bookmarkStart w:id="489" w:name="_Toc164351635"/>
      <w:r/>
      <w:bookmarkStart w:id="490" w:name="_Toc305158883"/>
      <w:r/>
      <w:bookmarkStart w:id="491" w:name="_Toc264969231"/>
      <w:r/>
      <w:bookmarkStart w:id="492" w:name="_Toc164229382"/>
      <w:r/>
      <w:bookmarkStart w:id="493" w:name="_Toc226965814"/>
      <w:r/>
      <w:bookmarkStart w:id="494" w:name="_Toc226965731"/>
      <w:r/>
      <w:bookmarkStart w:id="495" w:name="_Toc164608655"/>
      <w:r/>
      <w:bookmarkStart w:id="496" w:name="_Toc142311043"/>
      <w:r/>
      <w:bookmarkStart w:id="497" w:name="_Toc150774746"/>
      <w:r/>
      <w:bookmarkStart w:id="498" w:name="_Toc150509292"/>
      <w:r/>
      <w:bookmarkStart w:id="499" w:name="_Toc226337237"/>
      <w:r/>
      <w:bookmarkStart w:id="500" w:name="_Toc151190168"/>
      <w:r/>
      <w:bookmarkStart w:id="501" w:name="_Toc127151742"/>
      <w:r/>
      <w:bookmarkStart w:id="502" w:name="_Toc150774641"/>
      <w:r/>
      <w:bookmarkStart w:id="503" w:name="_Toc150480779"/>
      <w:r/>
      <w:bookmarkStart w:id="504" w:name="_Toc127151541"/>
      <w:r/>
      <w:bookmarkStart w:id="505" w:name="_Toc265228379"/>
      <w:r/>
      <w:bookmarkStart w:id="506" w:name="_Toc195842906"/>
      <w:r/>
      <w:bookmarkStart w:id="507" w:name="_Toc151193855"/>
      <w:r/>
      <w:bookmarkStart w:id="508" w:name="_Toc149720834"/>
      <w:r>
        <w:rPr>
          <w:rFonts w:hint="eastAsia" w:ascii="宋体" w:hAnsi="宋体" w:eastAsia="宋体" w:cs="宋体"/>
          <w:sz w:val="24"/>
        </w:rPr>
        <w:t xml:space="preserve">投标文件的符合性审查</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r/>
    </w:p>
    <w:p>
      <w:pPr>
        <w:pStyle w:val="931"/>
        <w:numPr>
          <w:ilvl w:val="1"/>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评标委员会对资格审查合格的投标人的投标文件进行符合性审查，以确定其是否满足招标文件的实质性要求。</w:t>
      </w:r>
      <w:r/>
    </w:p>
    <w:p>
      <w:pPr>
        <w:pStyle w:val="931"/>
        <w:numPr>
          <w:ilvl w:val="1"/>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ascii="宋体" w:hAnsi="宋体" w:eastAsia="宋体" w:cs="宋体"/>
          <w:b/>
          <w:sz w:val="24"/>
        </w:rPr>
        <w:t xml:space="preserve">投标无效</w:t>
      </w:r>
      <w:r>
        <w:rPr>
          <w:rFonts w:hint="eastAsia" w:ascii="宋体" w:hAnsi="宋体" w:eastAsia="宋体" w:cs="宋体"/>
          <w:sz w:val="24"/>
        </w:rPr>
        <w:t xml:space="preserve">。</w:t>
      </w:r>
      <w:r/>
    </w:p>
    <w:p>
      <w:pPr>
        <w:ind w:left="200" w:hanging="200"/>
        <w:jc w:val="center"/>
        <w:spacing w:line="360" w:lineRule="auto"/>
        <w:rPr>
          <w:rFonts w:hint="eastAsia" w:ascii="宋体" w:hAnsi="宋体" w:eastAsia="宋体" w:cs="宋体"/>
          <w:b/>
          <w:szCs w:val="21"/>
        </w:rPr>
      </w:pPr>
      <w:r>
        <w:rPr>
          <w:rFonts w:hint="eastAsia" w:ascii="宋体" w:hAnsi="宋体" w:eastAsia="宋体" w:cs="宋体"/>
          <w:b/>
          <w:szCs w:val="21"/>
        </w:rPr>
        <w:t xml:space="preserve">符合性审查要求</w:t>
      </w:r>
      <w:r/>
    </w:p>
    <w:tbl>
      <w:tblPr>
        <w:tblW w:w="8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0"/>
        <w:gridCol w:w="1813"/>
        <w:gridCol w:w="6108"/>
      </w:tblGrid>
      <w:tr>
        <w:trPr>
          <w:jc w:val="center"/>
          <w:trHeight w:val="300"/>
        </w:trPr>
        <w:tc>
          <w:tcPr>
            <w:tcW w:w="750" w:type="dxa"/>
            <w:vAlign w:val="center"/>
            <w:textDirection w:val="lrTb"/>
            <w:noWrap w:val="false"/>
          </w:tcPr>
          <w:p>
            <w:pPr>
              <w:ind w:left="200" w:hanging="200"/>
              <w:jc w:val="center"/>
              <w:widowControl/>
              <w:rPr>
                <w:rFonts w:hint="eastAsia" w:ascii="宋体" w:hAnsi="宋体" w:eastAsia="宋体" w:cs="宋体"/>
                <w:b/>
                <w:szCs w:val="21"/>
              </w:rPr>
            </w:pPr>
            <w:r>
              <w:rPr>
                <w:rFonts w:hint="eastAsia" w:ascii="宋体" w:hAnsi="宋体" w:eastAsia="宋体" w:cs="宋体"/>
                <w:b/>
                <w:szCs w:val="21"/>
              </w:rPr>
              <w:t xml:space="preserve">序号</w:t>
            </w:r>
            <w:r/>
          </w:p>
        </w:tc>
        <w:tc>
          <w:tcPr>
            <w:tcW w:w="1813" w:type="dxa"/>
            <w:vAlign w:val="center"/>
            <w:textDirection w:val="lrTb"/>
            <w:noWrap w:val="false"/>
          </w:tcPr>
          <w:p>
            <w:pPr>
              <w:ind w:left="200" w:hanging="200"/>
              <w:jc w:val="center"/>
              <w:widowControl/>
              <w:rPr>
                <w:rFonts w:hint="eastAsia" w:ascii="宋体" w:hAnsi="宋体" w:eastAsia="宋体" w:cs="宋体"/>
                <w:b/>
                <w:szCs w:val="21"/>
              </w:rPr>
            </w:pPr>
            <w:r>
              <w:rPr>
                <w:rFonts w:hint="eastAsia" w:ascii="宋体" w:hAnsi="宋体" w:eastAsia="宋体" w:cs="宋体"/>
                <w:b/>
                <w:szCs w:val="21"/>
              </w:rPr>
              <w:t xml:space="preserve">审查因素</w:t>
            </w:r>
            <w:r/>
          </w:p>
        </w:tc>
        <w:tc>
          <w:tcPr>
            <w:tcW w:w="6108" w:type="dxa"/>
            <w:vAlign w:val="center"/>
            <w:textDirection w:val="lrTb"/>
            <w:noWrap w:val="false"/>
          </w:tcPr>
          <w:p>
            <w:pPr>
              <w:ind w:left="200" w:hanging="200"/>
              <w:jc w:val="center"/>
              <w:widowControl/>
              <w:rPr>
                <w:rFonts w:hint="eastAsia" w:ascii="宋体" w:hAnsi="宋体" w:eastAsia="宋体" w:cs="宋体"/>
                <w:b/>
                <w:szCs w:val="21"/>
              </w:rPr>
            </w:pPr>
            <w:r>
              <w:rPr>
                <w:rFonts w:hint="eastAsia" w:ascii="宋体" w:hAnsi="宋体" w:eastAsia="宋体" w:cs="宋体"/>
                <w:b/>
                <w:szCs w:val="21"/>
              </w:rPr>
              <w:t xml:space="preserve">审查内容</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投标函、</w:t>
            </w:r>
            <w:r>
              <w:rPr>
                <w:rFonts w:hint="eastAsia" w:ascii="宋体" w:hAnsi="宋体" w:eastAsia="宋体" w:cs="宋体"/>
                <w:szCs w:val="21"/>
              </w:rPr>
              <w:t xml:space="preserve">法定代表人资格证明书和政府采购供应商信用承诺书</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按招标文件要求提供投标函、法定代表人资格证明书</w:t>
            </w:r>
            <w:r>
              <w:rPr>
                <w:rFonts w:hint="eastAsia" w:ascii="宋体" w:hAnsi="宋体" w:eastAsia="宋体" w:cs="宋体"/>
                <w:b/>
                <w:bCs/>
                <w:szCs w:val="21"/>
              </w:rPr>
              <w:t xml:space="preserve">、</w:t>
            </w:r>
            <w:r>
              <w:rPr>
                <w:rFonts w:hint="eastAsia" w:ascii="宋体" w:hAnsi="宋体" w:eastAsia="宋体" w:cs="宋体"/>
                <w:szCs w:val="21"/>
              </w:rPr>
              <w:t xml:space="preserve">政府采购供应商信用承</w:t>
            </w:r>
            <w:r>
              <w:rPr>
                <w:rFonts w:hint="eastAsia" w:ascii="宋体" w:hAnsi="宋体" w:eastAsia="宋体" w:cs="宋体"/>
                <w:szCs w:val="21"/>
              </w:rPr>
              <w:t xml:space="preserve">诺书</w:t>
            </w:r>
            <w:r>
              <w:rPr>
                <w:rFonts w:hint="eastAsia" w:ascii="宋体" w:hAnsi="宋体" w:eastAsia="宋体" w:cs="宋体"/>
                <w:szCs w:val="21"/>
              </w:rPr>
              <w:t xml:space="preserve">；</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2</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投标完整性</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未将一个采购包中的内容拆开投标；（由评委审查，无需供应商提供材料）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3</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投标报价</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投标报价未</w:t>
            </w:r>
            <w:r>
              <w:rPr>
                <w:rFonts w:hint="eastAsia" w:ascii="宋体" w:hAnsi="宋体" w:eastAsia="宋体" w:cs="宋体"/>
                <w:szCs w:val="21"/>
              </w:rPr>
              <w:t xml:space="preserve">超过招标文件中规定的项目/采购包预算金额或者项目/采购包最高限价</w:t>
            </w:r>
            <w:r>
              <w:rPr>
                <w:rFonts w:hint="eastAsia" w:ascii="宋体" w:hAnsi="宋体" w:eastAsia="宋体" w:cs="宋体"/>
                <w:szCs w:val="21"/>
              </w:rPr>
              <w:t xml:space="preserve">；</w:t>
            </w:r>
            <w:r>
              <w:rPr>
                <w:rFonts w:hint="eastAsia" w:ascii="宋体" w:hAnsi="宋体" w:eastAsia="宋体" w:cs="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4</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报价唯一性</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投标文件未</w:t>
            </w:r>
            <w:r>
              <w:rPr>
                <w:rFonts w:hint="eastAsia" w:ascii="宋体" w:hAnsi="宋体" w:eastAsia="宋体" w:cs="宋体"/>
                <w:szCs w:val="21"/>
              </w:rPr>
              <w:t xml:space="preserve">出现可选择性或可调整的报价（招标文件另有规定的除外）</w:t>
            </w:r>
            <w:r>
              <w:rPr>
                <w:rFonts w:hint="eastAsia" w:ascii="宋体" w:hAnsi="宋体" w:eastAsia="宋体" w:cs="宋体"/>
                <w:szCs w:val="21"/>
              </w:rPr>
              <w:t xml:space="preserve">；</w:t>
            </w:r>
            <w:r>
              <w:rPr>
                <w:rFonts w:hint="eastAsia" w:ascii="宋体" w:hAnsi="宋体" w:eastAsia="宋体" w:cs="宋体"/>
                <w:b/>
                <w:szCs w:val="21"/>
              </w:rPr>
              <w:t xml:space="preserve">提供《开标一览表》</w:t>
            </w:r>
            <w:r>
              <w:rPr>
                <w:rFonts w:hint="eastAsia" w:ascii="宋体" w:hAnsi="宋体" w:eastAsia="宋体" w:cs="宋体"/>
                <w:szCs w:val="21"/>
              </w:rPr>
              <w:t xml:space="preserve">，详见附件格式</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5</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投标有效期</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投标文件中承诺的投标有效期满足招标文件中载明的投标有效期的；（详见附件投标函）</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6</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签署、加盖公章</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按照招标文件要求签署、加盖公章的；（由评委审查，无需供应商提供材料）</w:t>
            </w:r>
            <w:r/>
          </w:p>
        </w:tc>
      </w:tr>
      <w:tr>
        <w:trPr>
          <w:jc w:val="center"/>
          <w:trHeight w:val="90"/>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7</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实质性格式</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标记为“实质性格式”的文件均按招标文件要求提供；除前面已提供的实质性格式文件以外，</w:t>
            </w:r>
            <w:r>
              <w:rPr>
                <w:rFonts w:hint="eastAsia" w:ascii="宋体" w:hAnsi="宋体" w:eastAsia="宋体" w:cs="宋体"/>
                <w:b/>
                <w:szCs w:val="21"/>
              </w:rPr>
              <w:t xml:space="preserve">还需提供：合同条款偏离表，采购需求偏离表</w:t>
            </w:r>
            <w:r>
              <w:rPr>
                <w:rFonts w:hint="eastAsia" w:ascii="宋体" w:hAnsi="宋体" w:eastAsia="宋体" w:cs="宋体"/>
                <w:szCs w:val="21"/>
              </w:rPr>
              <w:t xml:space="preserve">，详见附件格式。</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8</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b/>
                <w:bCs/>
                <w:szCs w:val="21"/>
              </w:rPr>
              <w:t xml:space="preserve">★</w:t>
            </w:r>
            <w:r>
              <w:rPr>
                <w:rFonts w:hint="eastAsia" w:ascii="宋体" w:hAnsi="宋体" w:eastAsia="宋体" w:cs="宋体"/>
                <w:szCs w:val="21"/>
              </w:rPr>
              <w:t xml:space="preserve">号条款响应</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投标文件满足招标文件</w:t>
            </w:r>
            <w:r>
              <w:rPr>
                <w:rFonts w:hint="eastAsia" w:ascii="宋体" w:hAnsi="宋体" w:eastAsia="宋体" w:cs="宋体"/>
                <w:szCs w:val="21"/>
              </w:rPr>
              <w:t xml:space="preserve">第五章《采购需求》</w:t>
            </w:r>
            <w:r>
              <w:rPr>
                <w:rFonts w:hint="eastAsia" w:ascii="宋体" w:hAnsi="宋体" w:eastAsia="宋体" w:cs="宋体"/>
                <w:szCs w:val="21"/>
              </w:rPr>
              <w:t xml:space="preserve">中★号条款要求的。</w:t>
            </w:r>
            <w:r>
              <w:rPr>
                <w:rFonts w:hint="eastAsia" w:ascii="宋体" w:hAnsi="宋体" w:eastAsia="宋体" w:cs="宋体"/>
                <w:b/>
                <w:bCs/>
                <w:szCs w:val="21"/>
              </w:rPr>
              <w:t xml:space="preserve">（如第五章《采购需求》中有★号条款要求的，按照序号逐项提供相关证明材料；如第五章《采购需求》中没有★号条款要求的，则无需供应商提供材料。）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9</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分包承担主体资质（如有）</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分包承担主体具备《投标人须知资料表》载明的资质条件且提供了资质证书（如有）；</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10</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分包意向协议</w:t>
            </w:r>
            <w:r/>
          </w:p>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（如有）</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按招标文件规定签订并提供分包意向协议原件；</w:t>
            </w:r>
            <w:r>
              <w:rPr>
                <w:rFonts w:hint="eastAsia" w:ascii="宋体" w:hAnsi="宋体" w:eastAsia="宋体" w:cs="宋体"/>
                <w:szCs w:val="21"/>
              </w:rPr>
              <w:t xml:space="preserve">（如有）</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11</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报价的修正（如有）</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不涉及报价修正，或投标文件报价出现前后不一致时，投标人对修正后的报价予以确认；（如有，由评委审查，无需供应商提供材料）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12</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报价合理性</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报价合理，或投标人的报价明显低于其他通过符合性审查投标人的报价，有可能影响产品质量或者不能诚信履约的，能够应评标委员会要求在规定时间内证明其报价合理性的；（由评标委员会审查，按照《关于推动解决政府采购异常低价问题的通知》</w:t>
            </w:r>
            <w:r>
              <w:rPr>
                <w:rFonts w:hint="eastAsia" w:ascii="宋体" w:hAnsi="宋体" w:eastAsia="宋体" w:cs="宋体"/>
                <w:szCs w:val="21"/>
              </w:rPr>
              <w:t xml:space="preserve">(财库</w:t>
            </w:r>
            <w:r>
              <w:rPr>
                <w:rFonts w:hint="eastAsia" w:ascii="宋体" w:hAnsi="宋体" w:eastAsia="宋体" w:cs="宋体"/>
                <w:szCs w:val="21"/>
              </w:rPr>
              <w:t xml:space="preserve">〔2026〕2</w:t>
            </w:r>
            <w:r>
              <w:rPr>
                <w:rFonts w:hint="eastAsia" w:ascii="宋体" w:hAnsi="宋体" w:eastAsia="宋体" w:cs="宋体"/>
                <w:szCs w:val="21"/>
              </w:rPr>
              <w:t xml:space="preserve">号)</w:t>
            </w:r>
            <w:r>
              <w:rPr>
                <w:rFonts w:hint="eastAsia" w:ascii="宋体" w:hAnsi="宋体" w:eastAsia="宋体" w:cs="宋体"/>
                <w:szCs w:val="21"/>
              </w:rPr>
              <w:t xml:space="preserve">规定，自2026年2月1日起，政府采购评审中出现异常低价情形，</w:t>
            </w:r>
            <w:r>
              <w:rPr>
                <w:rFonts w:hint="eastAsia" w:ascii="宋体" w:hAnsi="宋体" w:cs="宋体"/>
                <w:szCs w:val="21"/>
              </w:rPr>
              <w:t xml:space="preserve">即</w:t>
            </w:r>
            <w:r>
              <w:rPr>
                <w:rFonts w:hint="eastAsia" w:ascii="宋体" w:hAnsi="宋体" w:eastAsia="宋体"/>
                <w:szCs w:val="21"/>
              </w:rPr>
              <w:t xml:space="preserve">下文2.2的情形之一</w:t>
            </w:r>
            <w:r>
              <w:rPr>
                <w:rFonts w:hint="eastAsia" w:ascii="宋体" w:hAnsi="宋体"/>
                <w:szCs w:val="21"/>
              </w:rPr>
              <w:t xml:space="preserve">，</w:t>
            </w:r>
            <w:r>
              <w:rPr>
                <w:rFonts w:hint="eastAsia" w:ascii="宋体" w:hAnsi="宋体" w:eastAsia="宋体" w:cs="宋体"/>
                <w:szCs w:val="21"/>
              </w:rPr>
              <w:t xml:space="preserve">评</w:t>
            </w:r>
            <w:r>
              <w:rPr>
                <w:rFonts w:hint="eastAsia" w:ascii="宋体" w:hAnsi="宋体" w:cs="宋体"/>
                <w:szCs w:val="21"/>
              </w:rPr>
              <w:t xml:space="preserve">标</w:t>
            </w:r>
            <w:r>
              <w:rPr>
                <w:rFonts w:hint="eastAsia" w:ascii="宋体" w:hAnsi="宋体" w:eastAsia="宋体" w:cs="宋体"/>
                <w:szCs w:val="21"/>
              </w:rPr>
              <w:t xml:space="preserve">委员会应当</w:t>
            </w:r>
            <w:r>
              <w:rPr>
                <w:rFonts w:hint="eastAsia" w:ascii="宋体" w:hAnsi="宋体" w:eastAsia="宋体"/>
                <w:szCs w:val="21"/>
              </w:rPr>
              <w:t xml:space="preserve">启动异常低价投标审查程序）</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13</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进口产品</w:t>
            </w:r>
            <w:r/>
          </w:p>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（如有）</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招标文件不接受进口产品投标的内容时，投标人所投产品非进口产品的；</w:t>
            </w:r>
            <w:r>
              <w:rPr>
                <w:rFonts w:hint="eastAsia" w:ascii="宋体" w:hAnsi="宋体" w:eastAsia="宋体" w:cs="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14</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国家有关部门对投标人的投标产品有强制性规定或要求的</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国家有关部门对投标人的投标产品有强制性规定或要求的（如相应技术、安全、节能和环保等），投标人的投标产品应符合相应规定或要求，并提供证明文件：</w:t>
            </w:r>
            <w:r/>
          </w:p>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1）采购的产品若属于《节能产品政府采购品目清单》范围中政府强制采购产品，则投标人所报产品必须获得国家确定的认证机构出具的、处于有效期之内的节能产品认证证书；</w:t>
            </w:r>
            <w:r/>
          </w:p>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2）投标产品如涉及计算机信息系统安全专用产品的，须提供公安部颁发的计算机信息系统安全专用产品销售许可证；</w:t>
            </w:r>
            <w:r/>
          </w:p>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3）投标产品如有属于开展国家信息安全产品认证产品范围的，须提供由中国网络安全审查技术与认证中心（原中国信息安全认证中心）按国家标准认证颁发的有效认证证书等）；</w:t>
            </w:r>
            <w:r/>
          </w:p>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4）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15</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公平竞争</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投标人遵循公平竞争的原则，不存在恶意串通，妨碍其他投标人的竞争行为，不存在损害采购人或者其他投标人的合法权益情形的；</w:t>
            </w:r>
            <w:r>
              <w:rPr>
                <w:rFonts w:hint="eastAsia" w:ascii="宋体" w:hAnsi="宋体" w:eastAsia="宋体" w:cs="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16</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串通投标</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17</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附加条件</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投标文件未含有采购人不能接受的附加条件的；（由评委审查，无需供应商提供材料）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18</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其他无效情形</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投标人、投标文件不存在不符合法律、法规和招标文件规定的其他无效情形。</w:t>
            </w:r>
            <w:r>
              <w:rPr>
                <w:rFonts w:hint="eastAsia" w:ascii="宋体" w:hAnsi="宋体" w:eastAsia="宋体" w:cs="宋体"/>
                <w:szCs w:val="21"/>
              </w:rPr>
              <w:t xml:space="preserve">（由评委审查，无需供应商提供材料）</w:t>
            </w:r>
            <w:r/>
          </w:p>
        </w:tc>
      </w:tr>
    </w:tbl>
    <w:p>
      <w:pPr>
        <w:pStyle w:val="931"/>
        <w:numPr>
          <w:ilvl w:val="0"/>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投标文件有关事项的澄清或者说明</w:t>
      </w:r>
      <w:r/>
    </w:p>
    <w:p>
      <w:pPr>
        <w:pStyle w:val="931"/>
        <w:numPr>
          <w:ilvl w:val="1"/>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评标过程中，评标委员会将通过“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eastAsia="宋体" w:cs="宋体"/>
          <w:sz w:val="24"/>
          <w:szCs w:val="24"/>
        </w:rPr>
        <w:t xml:space="preserve">接到评标委员会澄清、说明和补正要求的投标人如未按规定做出澄清、说明和补正，其风险由投标人自行承担。</w:t>
      </w:r>
      <w:r/>
    </w:p>
    <w:p>
      <w:pPr>
        <w:pStyle w:val="931"/>
        <w:numPr>
          <w:ilvl w:val="1"/>
          <w:numId w:val="6"/>
        </w:numPr>
        <w:jc w:val="left"/>
        <w:spacing w:line="360" w:lineRule="auto"/>
        <w:rPr>
          <w:rFonts w:hint="eastAsia" w:ascii="宋体" w:hAnsi="宋体" w:cs="宋体"/>
          <w:sz w:val="24"/>
        </w:rPr>
      </w:pPr>
      <w:r>
        <w:rPr>
          <w:rFonts w:ascii="宋体" w:hAnsi="宋体" w:cs="宋体"/>
          <w:sz w:val="24"/>
        </w:rPr>
        <w:t xml:space="preserve">评审过程中出现下列情形之一的，</w:t>
      </w:r>
      <w:r>
        <w:rPr>
          <w:rFonts w:hint="eastAsia" w:ascii="宋体" w:hAnsi="宋体" w:cs="宋体"/>
          <w:sz w:val="24"/>
        </w:rPr>
        <w:t xml:space="preserve">评标委员会</w:t>
      </w:r>
      <w:r>
        <w:rPr>
          <w:rFonts w:ascii="宋体" w:hAnsi="宋体" w:cs="宋体"/>
          <w:sz w:val="24"/>
        </w:rPr>
        <w:t xml:space="preserve">应当启动异常低价投标审查</w:t>
      </w:r>
      <w:r>
        <w:rPr>
          <w:rFonts w:hint="eastAsia" w:ascii="宋体" w:hAnsi="宋体" w:cs="宋体"/>
          <w:sz w:val="24"/>
        </w:rPr>
        <w:t xml:space="preserve">程序：</w:t>
      </w:r>
      <w:r/>
    </w:p>
    <w:p>
      <w:pPr>
        <w:pStyle w:val="948"/>
        <w:numPr>
          <w:ilvl w:val="2"/>
          <w:numId w:val="6"/>
        </w:numPr>
        <w:spacing w:line="360" w:lineRule="auto"/>
        <w:rPr>
          <w:rFonts w:hint="eastAsia" w:cs="宋体" w:asciiTheme="minorEastAsia" w:hAnsiTheme="minorEastAsia"/>
          <w:sz w:val="24"/>
        </w:rPr>
      </w:pPr>
      <w:r>
        <w:rPr>
          <w:rFonts w:hint="eastAsia" w:cs="宋体" w:asciiTheme="minorEastAsia" w:hAnsiTheme="minorEastAsia"/>
          <w:sz w:val="24"/>
        </w:rPr>
        <w:t xml:space="preserve">投标（响应）报价（1-投标优惠率）低于全部通过符合性审查供应商投标（响应）报价（1-投标优惠率）平均值65%的，即投标（响应）报价（1-投标优惠率）&lt;全部通过符合性审查供应商投标（响应）报价（所有（1-投标优惠率））的平均值×65%；</w:t>
      </w:r>
      <w:r/>
    </w:p>
    <w:p>
      <w:pPr>
        <w:pStyle w:val="948"/>
        <w:numPr>
          <w:ilvl w:val="2"/>
          <w:numId w:val="6"/>
        </w:numPr>
        <w:spacing w:line="360" w:lineRule="auto"/>
        <w:rPr>
          <w:rFonts w:hint="eastAsia" w:cs="宋体" w:asciiTheme="minorEastAsia" w:hAnsiTheme="minorEastAsia"/>
          <w:sz w:val="24"/>
        </w:rPr>
      </w:pPr>
      <w:r>
        <w:rPr>
          <w:rFonts w:hint="eastAsia" w:cs="宋体" w:asciiTheme="minorEastAsia" w:hAnsiTheme="minorEastAsia"/>
          <w:sz w:val="24"/>
        </w:rPr>
        <w:t xml:space="preserve">投标（响应）报价（1-投标优惠率）低于通过符合性审查的次低报价（1-投标优惠率）供应商投标（响应）报价65%的，即投标（响应）报价（1-投标优惠率）&lt;通过符合性审查的次低报价供应商投标（响应）报价（1-投标优惠率）×65%；</w:t>
      </w:r>
      <w:r/>
    </w:p>
    <w:p>
      <w:pPr>
        <w:pStyle w:val="948"/>
        <w:numPr>
          <w:ilvl w:val="2"/>
          <w:numId w:val="6"/>
        </w:numPr>
        <w:spacing w:line="360" w:lineRule="auto"/>
        <w:rPr>
          <w:rFonts w:hint="eastAsia" w:ascii="宋体" w:hAnsi="宋体" w:cs="宋体" w:eastAsiaTheme="minorEastAsia"/>
          <w:sz w:val="24"/>
          <w:szCs w:val="22"/>
        </w:rPr>
      </w:pPr>
      <w:r>
        <w:rPr>
          <w:rFonts w:hint="eastAsia" w:cs="宋体" w:asciiTheme="minorEastAsia" w:hAnsiTheme="minorEastAsia"/>
          <w:sz w:val="24"/>
        </w:rPr>
        <w:t xml:space="preserve">投标（响应）报价（1-投标优惠率）低于采购项目最高限价（100%）65%的，即投标（响应）报价（1-投标优惠率）&lt;65%</w:t>
      </w:r>
      <w:r>
        <w:rPr>
          <w:rFonts w:hint="eastAsia" w:cs="宋体" w:asciiTheme="minorEastAsia" w:hAnsiTheme="minorEastAsia"/>
          <w:sz w:val="24"/>
        </w:rPr>
        <w:t xml:space="preserve">；</w:t>
      </w:r>
      <w:r/>
    </w:p>
    <w:p>
      <w:pPr>
        <w:pStyle w:val="948"/>
        <w:numPr>
          <w:ilvl w:val="2"/>
          <w:numId w:val="6"/>
        </w:numPr>
        <w:spacing w:line="360" w:lineRule="auto"/>
        <w:rPr>
          <w:rFonts w:hint="eastAsia" w:cs="宋体" w:asciiTheme="minorEastAsia" w:hAnsiTheme="minorEastAsia"/>
          <w:sz w:val="24"/>
        </w:rPr>
      </w:pPr>
      <w:r>
        <w:rPr>
          <w:rFonts w:hint="eastAsia" w:cs="宋体" w:asciiTheme="minorEastAsia" w:hAnsiTheme="minorEastAsia"/>
          <w:sz w:val="24"/>
        </w:rPr>
        <w:t xml:space="preserve">评审委员会基于专业判断，认为供应商报价过低，有可能影响产品质量或者不能诚信履约的其他情形。</w:t>
      </w:r>
      <w:r/>
    </w:p>
    <w:p>
      <w:pPr>
        <w:pStyle w:val="948"/>
        <w:numPr>
          <w:ilvl w:val="2"/>
          <w:numId w:val="6"/>
        </w:numPr>
        <w:spacing w:line="360" w:lineRule="auto"/>
        <w:rPr>
          <w:rFonts w:hint="eastAsia" w:cs="宋体" w:asciiTheme="minorEastAsia" w:hAnsiTheme="minorEastAsia"/>
          <w:sz w:val="24"/>
        </w:rPr>
      </w:pPr>
      <w:r>
        <w:rPr>
          <w:rFonts w:hint="eastAsia" w:ascii="宋体" w:hAnsi="宋体" w:cs="宋体"/>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w:t>
      </w:r>
      <w:r>
        <w:rPr>
          <w:rFonts w:hint="eastAsia" w:ascii="宋体" w:hAnsi="宋体" w:cs="宋体"/>
          <w:sz w:val="24"/>
        </w:rPr>
        <w:t xml:space="preserve">本、人工成本、制造费用等，给予相关供应商的合理时间一般不少于30分钟。其中，属于第3项情形，供应商已随投标（响应）文件一并提交相关书面说明及必要的证明材料的，在评审现场可不再重复提交。 </w:t>
      </w:r>
      <w:r/>
    </w:p>
    <w:p>
      <w:pPr>
        <w:pStyle w:val="948"/>
        <w:numPr>
          <w:ilvl w:val="2"/>
          <w:numId w:val="6"/>
        </w:numPr>
        <w:spacing w:line="360" w:lineRule="auto"/>
        <w:rPr>
          <w:rFonts w:hint="eastAsia" w:cs="宋体" w:asciiTheme="minorEastAsia" w:hAnsiTheme="minorEastAsia"/>
          <w:sz w:val="24"/>
        </w:rPr>
      </w:pPr>
      <w:r>
        <w:rPr>
          <w:rFonts w:hint="eastAsia" w:ascii="宋体" w:hAnsi="宋体" w:cs="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rFonts w:hint="eastAsia" w:ascii="宋体" w:hAnsi="宋体" w:cs="宋体"/>
          <w:b/>
          <w:bCs/>
          <w:sz w:val="24"/>
        </w:rPr>
        <w:t xml:space="preserve">无效投标</w:t>
      </w:r>
      <w:r>
        <w:rPr>
          <w:rFonts w:hint="eastAsia" w:ascii="宋体" w:hAnsi="宋体" w:cs="宋体"/>
          <w:sz w:val="24"/>
        </w:rPr>
        <w:t xml:space="preserve">（响应）处理。 </w:t>
      </w:r>
      <w:r/>
    </w:p>
    <w:p>
      <w:pPr>
        <w:pStyle w:val="948"/>
        <w:numPr>
          <w:ilvl w:val="2"/>
          <w:numId w:val="6"/>
        </w:numPr>
        <w:spacing w:line="360" w:lineRule="auto"/>
        <w:rPr>
          <w:rFonts w:hint="eastAsia" w:cs="宋体" w:asciiTheme="minorEastAsia" w:hAnsiTheme="minorEastAsia"/>
          <w:sz w:val="24"/>
        </w:rPr>
      </w:pPr>
      <w:r>
        <w:rPr>
          <w:rFonts w:hint="eastAsia" w:ascii="宋体" w:hAnsi="宋体" w:cs="宋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pStyle w:val="948"/>
        <w:numPr>
          <w:ilvl w:val="2"/>
          <w:numId w:val="6"/>
        </w:numPr>
        <w:spacing w:line="360" w:lineRule="auto"/>
        <w:rPr>
          <w:rFonts w:hint="eastAsia" w:cs="宋体" w:asciiTheme="minorEastAsia" w:hAnsiTheme="minorEastAsia"/>
          <w:sz w:val="24"/>
        </w:rPr>
      </w:pPr>
      <w:r>
        <w:rPr>
          <w:rFonts w:hint="eastAsia" w:ascii="宋体" w:hAnsi="宋体" w:cs="宋体"/>
          <w:sz w:val="24"/>
        </w:rPr>
        <w:t xml:space="preserve">异常低价投标（响应）审查的启动原因、审查意见和审查结果应当在评审报告中记录，并随供应商提供的相关书面说明及证明材料，以及评审委员会有关互联网浏览、查询历史一并归档。 </w:t>
      </w:r>
      <w:r/>
    </w:p>
    <w:p>
      <w:pPr>
        <w:pStyle w:val="931"/>
        <w:numPr>
          <w:ilvl w:val="1"/>
          <w:numId w:val="6"/>
        </w:numPr>
        <w:jc w:val="left"/>
        <w:spacing w:line="360" w:lineRule="auto"/>
        <w:rPr>
          <w:rFonts w:hint="eastAsia" w:ascii="宋体" w:hAnsi="宋体" w:eastAsia="宋体"/>
          <w:sz w:val="24"/>
        </w:rPr>
      </w:pPr>
      <w:r>
        <w:rPr>
          <w:rFonts w:ascii="宋体" w:hAnsi="宋体" w:eastAsia="宋体"/>
          <w:sz w:val="24"/>
        </w:rPr>
        <w:t xml:space="preserve">投标报价须包含招标文件全部内容，如分项报价表有缺漏视为已含在其他各项报价中，将不对投标总价进行调整。评标委员会有权要求投标人在</w:t>
      </w:r>
      <w:r>
        <w:rPr>
          <w:rFonts w:hint="eastAsia" w:ascii="宋体" w:hAnsi="宋体" w:eastAsia="宋体"/>
          <w:sz w:val="24"/>
        </w:rPr>
        <w:t xml:space="preserve">规定</w:t>
      </w:r>
      <w:r>
        <w:rPr>
          <w:rFonts w:ascii="宋体" w:hAnsi="宋体" w:eastAsia="宋体"/>
          <w:sz w:val="24"/>
        </w:rPr>
        <w:t xml:space="preserve">的时间内对此进行书面确认，投标人不确认的，视为将一个采购包中的内容拆开投标，其</w:t>
      </w:r>
      <w:r>
        <w:rPr>
          <w:rFonts w:ascii="宋体" w:hAnsi="宋体" w:eastAsia="宋体"/>
          <w:b/>
          <w:sz w:val="24"/>
        </w:rPr>
        <w:t xml:space="preserve">投标无效</w:t>
      </w:r>
      <w:r>
        <w:rPr>
          <w:rFonts w:hint="eastAsia" w:ascii="宋体" w:hAnsi="宋体" w:eastAsia="宋体"/>
          <w:sz w:val="24"/>
        </w:rPr>
        <w:t xml:space="preserve">。</w:t>
      </w:r>
      <w:r/>
    </w:p>
    <w:p>
      <w:pPr>
        <w:pStyle w:val="931"/>
        <w:numPr>
          <w:ilvl w:val="1"/>
          <w:numId w:val="6"/>
        </w:numPr>
        <w:jc w:val="left"/>
        <w:spacing w:line="360" w:lineRule="auto"/>
        <w:rPr>
          <w:rFonts w:hint="eastAsia" w:ascii="宋体" w:hAnsi="宋体" w:eastAsia="宋体"/>
          <w:sz w:val="24"/>
        </w:rPr>
      </w:pPr>
      <w:r>
        <w:rPr>
          <w:rFonts w:ascii="宋体" w:hAnsi="宋体" w:eastAsia="宋体"/>
          <w:sz w:val="24"/>
        </w:rPr>
        <w:t xml:space="preserve">投标文件报价出现前后不一致的，按照下列规定修正</w:t>
      </w:r>
      <w:r>
        <w:rPr>
          <w:rFonts w:hint="eastAsia" w:ascii="宋体" w:hAnsi="宋体" w:eastAsia="宋体"/>
          <w:sz w:val="24"/>
        </w:rPr>
        <w:t xml:space="preserve">。</w:t>
      </w:r>
      <w:r/>
    </w:p>
    <w:p>
      <w:pPr>
        <w:pStyle w:val="931"/>
        <w:numPr>
          <w:ilvl w:val="2"/>
          <w:numId w:val="6"/>
        </w:numPr>
        <w:jc w:val="left"/>
        <w:spacing w:line="360" w:lineRule="auto"/>
        <w:rPr>
          <w:rFonts w:hint="eastAsia" w:ascii="宋体" w:hAnsi="宋体" w:eastAsia="宋体"/>
          <w:sz w:val="24"/>
        </w:rPr>
      </w:pPr>
      <w:r>
        <w:rPr>
          <w:rFonts w:ascii="宋体" w:hAnsi="宋体" w:eastAsia="宋体"/>
          <w:sz w:val="24"/>
        </w:rPr>
        <w:t xml:space="preserve">招标文件对于报价修正是否另有规定：</w:t>
      </w:r>
      <w:r/>
    </w:p>
    <w:p>
      <w:pPr>
        <w:ind w:firstLine="960"/>
        <w:jc w:val="left"/>
        <w:spacing w:line="360" w:lineRule="auto"/>
        <w:rPr>
          <w:rFonts w:hint="eastAsia"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有，具体规定为：</w:t>
      </w:r>
      <w:r/>
    </w:p>
    <w:p>
      <w:pPr>
        <w:ind w:firstLine="960"/>
        <w:jc w:val="left"/>
        <w:spacing w:line="360" w:lineRule="auto"/>
        <w:rPr>
          <w:rFonts w:hint="eastAsia" w:ascii="宋体" w:hAnsi="宋体" w:eastAsia="宋体"/>
          <w:sz w:val="24"/>
        </w:rPr>
      </w:pPr>
      <w:r>
        <w:rPr>
          <w:rFonts w:hint="eastAsia" w:ascii="宋体" w:hAnsi="宋体" w:eastAsia="宋体"/>
          <w:sz w:val="24"/>
          <w:szCs w:val="24"/>
        </w:rPr>
        <w:t xml:space="preserve">■无，</w:t>
      </w:r>
      <w:r>
        <w:rPr>
          <w:rFonts w:ascii="宋体" w:hAnsi="宋体" w:eastAsia="宋体"/>
          <w:sz w:val="24"/>
          <w:szCs w:val="24"/>
        </w:rPr>
        <w:t xml:space="preserve">按下述</w:t>
      </w:r>
      <w:r>
        <w:rPr>
          <w:rFonts w:hint="eastAsia" w:ascii="宋体" w:hAnsi="宋体" w:eastAsia="宋体"/>
          <w:sz w:val="24"/>
          <w:szCs w:val="24"/>
        </w:rPr>
        <w:t xml:space="preserve">2.4.2.2—2.4.7项规定修正</w:t>
      </w:r>
      <w:r/>
    </w:p>
    <w:p>
      <w:pPr>
        <w:pStyle w:val="931"/>
        <w:numPr>
          <w:ilvl w:val="2"/>
          <w:numId w:val="6"/>
        </w:numPr>
        <w:jc w:val="left"/>
        <w:spacing w:line="360" w:lineRule="auto"/>
        <w:rPr>
          <w:rFonts w:hint="eastAsia" w:ascii="宋体" w:hAnsi="宋体" w:eastAsia="宋体"/>
          <w:sz w:val="24"/>
        </w:rPr>
      </w:pPr>
      <w:r>
        <w:rPr>
          <w:rFonts w:ascii="宋体" w:hAnsi="宋体" w:eastAsia="宋体"/>
          <w:sz w:val="24"/>
        </w:rPr>
        <w:t xml:space="preserve">单独递交的开标一览表（报价表）与投标文件中开标一览表（报价表）内容不一致的，以单独递交的开标一览表（报价表）为</w:t>
      </w:r>
      <w:r>
        <w:rPr>
          <w:rFonts w:ascii="宋体" w:hAnsi="宋体" w:eastAsia="宋体"/>
          <w:sz w:val="24"/>
        </w:rPr>
        <w:t xml:space="preserve">准</w:t>
      </w:r>
      <w:r>
        <w:rPr>
          <w:rFonts w:hint="eastAsia" w:ascii="宋体" w:hAnsi="宋体" w:eastAsia="宋体"/>
          <w:sz w:val="24"/>
        </w:rPr>
        <w:t xml:space="preserve">；</w:t>
      </w:r>
      <w:r/>
    </w:p>
    <w:p>
      <w:pPr>
        <w:pStyle w:val="931"/>
        <w:numPr>
          <w:ilvl w:val="2"/>
          <w:numId w:val="6"/>
        </w:numPr>
        <w:jc w:val="left"/>
        <w:spacing w:line="360" w:lineRule="auto"/>
        <w:rPr>
          <w:rFonts w:hint="eastAsia" w:ascii="宋体" w:hAnsi="宋体" w:eastAsia="宋体"/>
          <w:sz w:val="24"/>
        </w:rPr>
      </w:pPr>
      <w:r>
        <w:rPr>
          <w:rFonts w:ascii="宋体" w:hAnsi="宋体" w:eastAsia="宋体"/>
          <w:sz w:val="24"/>
        </w:rPr>
        <w:t xml:space="preserve">投标文件中开标一览表（报价表）内容与投标文件中相应内容不一致的，以开标一览表（报价表）为准</w:t>
      </w:r>
      <w:r>
        <w:rPr>
          <w:rFonts w:hint="eastAsia" w:ascii="宋体" w:hAnsi="宋体" w:eastAsia="宋体"/>
          <w:sz w:val="24"/>
        </w:rPr>
        <w:t xml:space="preserve">；</w:t>
      </w:r>
      <w:r/>
    </w:p>
    <w:p>
      <w:pPr>
        <w:pStyle w:val="931"/>
        <w:numPr>
          <w:ilvl w:val="2"/>
          <w:numId w:val="6"/>
        </w:numPr>
        <w:jc w:val="left"/>
        <w:spacing w:line="360" w:lineRule="auto"/>
        <w:rPr>
          <w:rFonts w:hint="eastAsia" w:ascii="宋体" w:hAnsi="宋体" w:eastAsia="宋体"/>
          <w:sz w:val="24"/>
        </w:rPr>
      </w:pPr>
      <w:r>
        <w:rPr>
          <w:rFonts w:ascii="宋体" w:hAnsi="宋体" w:eastAsia="宋体"/>
          <w:sz w:val="24"/>
        </w:rPr>
        <w:t xml:space="preserve">大写金额和小写金额不一致的，以大写金额为准</w:t>
      </w:r>
      <w:r>
        <w:rPr>
          <w:rFonts w:hint="eastAsia" w:ascii="宋体" w:hAnsi="宋体" w:eastAsia="宋体"/>
          <w:sz w:val="24"/>
        </w:rPr>
        <w:t xml:space="preserve">；</w:t>
      </w:r>
      <w:r/>
    </w:p>
    <w:p>
      <w:pPr>
        <w:pStyle w:val="931"/>
        <w:numPr>
          <w:ilvl w:val="2"/>
          <w:numId w:val="6"/>
        </w:numPr>
        <w:jc w:val="left"/>
        <w:spacing w:line="360" w:lineRule="auto"/>
        <w:rPr>
          <w:rFonts w:hint="eastAsia" w:ascii="宋体" w:hAnsi="宋体" w:eastAsia="宋体"/>
          <w:sz w:val="24"/>
        </w:rPr>
      </w:pPr>
      <w:r>
        <w:rPr>
          <w:rFonts w:ascii="宋体" w:hAnsi="宋体" w:eastAsia="宋体"/>
          <w:sz w:val="24"/>
        </w:rPr>
        <w:t xml:space="preserve">单价金额小数点或者百分比有明显错位的，以开标一览表的总价为准，并修改单价</w:t>
      </w:r>
      <w:r>
        <w:rPr>
          <w:rFonts w:hint="eastAsia" w:ascii="宋体" w:hAnsi="宋体" w:eastAsia="宋体"/>
          <w:sz w:val="24"/>
        </w:rPr>
        <w:t xml:space="preserve">；</w:t>
      </w:r>
      <w:r/>
    </w:p>
    <w:p>
      <w:pPr>
        <w:pStyle w:val="931"/>
        <w:numPr>
          <w:ilvl w:val="2"/>
          <w:numId w:val="6"/>
        </w:numPr>
        <w:jc w:val="left"/>
        <w:spacing w:line="360" w:lineRule="auto"/>
        <w:rPr>
          <w:rFonts w:hint="eastAsia" w:ascii="宋体" w:hAnsi="宋体" w:eastAsia="宋体"/>
          <w:sz w:val="24"/>
        </w:rPr>
      </w:pPr>
      <w:r>
        <w:rPr>
          <w:rFonts w:ascii="宋体" w:hAnsi="宋体" w:eastAsia="宋体"/>
          <w:sz w:val="24"/>
        </w:rPr>
        <w:t xml:space="preserve">总价金额与按单价汇总金额不一致的，以单价金额计算结果为准</w:t>
      </w:r>
      <w:r>
        <w:rPr>
          <w:rFonts w:hint="eastAsia" w:ascii="宋体" w:hAnsi="宋体" w:eastAsia="宋体"/>
          <w:sz w:val="24"/>
        </w:rPr>
        <w:t xml:space="preserve">；</w:t>
      </w:r>
      <w:r/>
    </w:p>
    <w:p>
      <w:pPr>
        <w:pStyle w:val="931"/>
        <w:numPr>
          <w:ilvl w:val="2"/>
          <w:numId w:val="6"/>
        </w:numPr>
        <w:jc w:val="left"/>
        <w:spacing w:line="360" w:lineRule="auto"/>
        <w:rPr>
          <w:rFonts w:hint="eastAsia" w:ascii="宋体" w:hAnsi="宋体" w:eastAsia="宋体"/>
          <w:sz w:val="24"/>
        </w:rPr>
      </w:pPr>
      <w:r>
        <w:rPr>
          <w:rFonts w:ascii="宋体" w:hAnsi="宋体" w:eastAsia="宋体"/>
          <w:sz w:val="24"/>
        </w:rPr>
        <w:t xml:space="preserve">同时出现两种以上不一致的，按照前款规定的顺序修正。</w:t>
      </w:r>
      <w:r>
        <w:rPr>
          <w:rFonts w:hint="eastAsia" w:ascii="宋体" w:hAnsi="宋体" w:eastAsia="宋体"/>
          <w:sz w:val="24"/>
        </w:rPr>
        <w:t xml:space="preserve">评标委员会</w:t>
      </w:r>
      <w:r>
        <w:rPr>
          <w:rFonts w:hint="eastAsia" w:ascii="宋体" w:hAnsi="宋体" w:eastAsia="宋体"/>
          <w:bCs/>
          <w:sz w:val="24"/>
        </w:rPr>
        <w:t xml:space="preserve">将按上述修正错误的方法调整投标文件中的投标报价，并</w:t>
      </w:r>
      <w:r>
        <w:rPr>
          <w:rFonts w:ascii="宋体" w:hAnsi="宋体" w:eastAsia="宋体"/>
          <w:bCs/>
          <w:sz w:val="24"/>
        </w:rPr>
        <w:t xml:space="preserve">通过</w:t>
      </w:r>
      <w:r>
        <w:rPr>
          <w:rFonts w:hint="eastAsia" w:ascii="宋体" w:hAnsi="宋体" w:eastAsia="宋体"/>
          <w:bCs/>
          <w:sz w:val="24"/>
        </w:rPr>
        <w:t xml:space="preserve">“</w:t>
      </w:r>
      <w:r>
        <w:rPr>
          <w:rFonts w:hint="eastAsia" w:ascii="宋体" w:hAnsi="宋体" w:eastAsia="宋体"/>
          <w:sz w:val="24"/>
          <w:szCs w:val="24"/>
        </w:rPr>
        <w:t xml:space="preserve">苏采云”系统</w:t>
      </w:r>
      <w:r>
        <w:rPr>
          <w:rFonts w:hint="eastAsia" w:ascii="宋体" w:hAnsi="宋体" w:eastAsia="宋体"/>
          <w:bCs/>
          <w:sz w:val="24"/>
        </w:rPr>
        <w:t xml:space="preserve">告知</w:t>
      </w:r>
      <w:r>
        <w:rPr>
          <w:rFonts w:ascii="宋体" w:hAnsi="宋体" w:eastAsia="宋体"/>
          <w:bCs/>
          <w:sz w:val="24"/>
        </w:rPr>
        <w:t xml:space="preserve">投标人</w:t>
      </w:r>
      <w:r>
        <w:rPr>
          <w:rFonts w:hint="eastAsia" w:ascii="宋体" w:hAnsi="宋体" w:eastAsia="宋体"/>
          <w:bCs/>
          <w:sz w:val="24"/>
        </w:rPr>
        <w:t xml:space="preserve">，</w:t>
      </w:r>
      <w:r>
        <w:rPr>
          <w:rFonts w:ascii="宋体" w:hAnsi="宋体" w:eastAsia="宋体"/>
          <w:sz w:val="24"/>
        </w:rPr>
        <w:t xml:space="preserve">修正后的报价经投标人书面确认后产生约束力，投标人不确认的，其</w:t>
      </w:r>
      <w:r>
        <w:rPr>
          <w:rFonts w:ascii="宋体" w:hAnsi="宋体" w:eastAsia="宋体"/>
          <w:b/>
          <w:sz w:val="24"/>
        </w:rPr>
        <w:t xml:space="preserve">投标无效</w:t>
      </w:r>
      <w:r>
        <w:rPr>
          <w:rFonts w:hint="eastAsia" w:ascii="宋体" w:hAnsi="宋体" w:eastAsia="宋体"/>
          <w:b/>
          <w:sz w:val="24"/>
        </w:rPr>
        <w:t xml:space="preserve">；</w:t>
      </w:r>
      <w:r/>
    </w:p>
    <w:p>
      <w:pPr>
        <w:pStyle w:val="931"/>
        <w:numPr>
          <w:ilvl w:val="1"/>
          <w:numId w:val="6"/>
        </w:numPr>
        <w:jc w:val="left"/>
        <w:spacing w:line="360" w:lineRule="auto"/>
        <w:rPr>
          <w:rFonts w:hint="eastAsia" w:ascii="宋体" w:hAnsi="宋体" w:eastAsia="宋体"/>
          <w:sz w:val="24"/>
        </w:rPr>
      </w:pPr>
      <w:r>
        <w:rPr>
          <w:rFonts w:ascii="宋体" w:hAnsi="宋体" w:eastAsia="宋体"/>
          <w:sz w:val="24"/>
        </w:rPr>
        <w:t xml:space="preserve">落实政府采购政策的价格调整</w:t>
      </w:r>
      <w:r>
        <w:rPr>
          <w:rFonts w:hint="eastAsia" w:ascii="宋体" w:hAnsi="宋体" w:eastAsia="宋体"/>
          <w:sz w:val="24"/>
        </w:rPr>
        <w:t xml:space="preserve">（一）</w:t>
      </w:r>
      <w:r>
        <w:rPr>
          <w:rFonts w:ascii="宋体" w:hAnsi="宋体" w:eastAsia="宋体"/>
          <w:sz w:val="24"/>
        </w:rPr>
        <w:t xml:space="preserve">：只有符合第二章《投标人须知》5.2条规定情形的，可以享受中小企业扶持政策，用扣除后的价格参加评审；否则，评标时价格不予扣除。</w:t>
      </w:r>
      <w:r/>
    </w:p>
    <w:p>
      <w:pPr>
        <w:pStyle w:val="931"/>
        <w:numPr>
          <w:ilvl w:val="2"/>
          <w:numId w:val="6"/>
        </w:numPr>
        <w:jc w:val="left"/>
        <w:spacing w:line="360" w:lineRule="auto"/>
        <w:rPr>
          <w:rFonts w:hint="eastAsia" w:ascii="宋体" w:hAnsi="宋体" w:eastAsia="宋体"/>
          <w:sz w:val="24"/>
        </w:rPr>
      </w:pPr>
      <w:r>
        <w:rPr>
          <w:rFonts w:hint="eastAsia" w:ascii="宋体" w:hAnsi="宋体" w:eastAsia="宋体"/>
          <w:sz w:val="24"/>
        </w:rPr>
        <w:t xml:space="preserve">对于未预留份额专门面向中小企业采购的采购项目，以及预留份额项目中的非预留部分采购包，对小微企业报价给予10%的扣除，用扣除后的价格参加评审。</w:t>
      </w:r>
      <w:r/>
    </w:p>
    <w:p>
      <w:pPr>
        <w:pStyle w:val="931"/>
        <w:numPr>
          <w:ilvl w:val="2"/>
          <w:numId w:val="6"/>
        </w:numPr>
        <w:jc w:val="left"/>
        <w:spacing w:line="360" w:lineRule="auto"/>
        <w:rPr>
          <w:rFonts w:hint="eastAsia" w:ascii="宋体" w:hAnsi="宋体" w:eastAsia="宋体"/>
          <w:sz w:val="24"/>
        </w:rPr>
      </w:pPr>
      <w:r>
        <w:rPr>
          <w:rFonts w:ascii="宋体" w:hAnsi="宋体" w:eastAsia="宋体"/>
          <w:sz w:val="24"/>
        </w:rPr>
        <w:t xml:space="preserve">对于未预留份额专门面向中小企业采购的采购项目，以及预留份额项目中的非预留部分采购包，且接受大中型企业与</w:t>
      </w:r>
      <w:r>
        <w:rPr>
          <w:rFonts w:ascii="宋体" w:hAnsi="宋体" w:eastAsia="宋体"/>
          <w:b/>
          <w:sz w:val="24"/>
        </w:rPr>
        <w:t xml:space="preserve">小微企业</w:t>
      </w:r>
      <w:r>
        <w:rPr>
          <w:rFonts w:ascii="宋体" w:hAnsi="宋体" w:eastAsia="宋体"/>
          <w:sz w:val="24"/>
        </w:rPr>
        <w:t xml:space="preserve">组成联合体或者允许大中型企业向一家或者多家</w:t>
      </w:r>
      <w:r>
        <w:rPr>
          <w:rFonts w:ascii="宋体" w:hAnsi="宋体" w:eastAsia="宋体"/>
          <w:b/>
          <w:sz w:val="24"/>
        </w:rPr>
        <w:t xml:space="preserve">小微企业</w:t>
      </w:r>
      <w:r>
        <w:rPr>
          <w:rFonts w:ascii="宋体" w:hAnsi="宋体" w:eastAsia="宋体"/>
          <w:sz w:val="24"/>
        </w:rPr>
        <w:t xml:space="preserve">分包的采购项目，对于联合协议或者分包意向协议约定</w:t>
      </w:r>
      <w:r>
        <w:rPr>
          <w:rFonts w:ascii="宋体" w:hAnsi="宋体" w:eastAsia="宋体"/>
          <w:b/>
          <w:sz w:val="24"/>
        </w:rPr>
        <w:t xml:space="preserve">小微企业</w:t>
      </w:r>
      <w:r>
        <w:rPr>
          <w:rFonts w:ascii="宋体" w:hAnsi="宋体" w:eastAsia="宋体"/>
          <w:sz w:val="24"/>
        </w:rPr>
        <w:t xml:space="preserve">的合同份额占到合同总金额 30%以上的联合体或者大中型企业的报价给予</w:t>
      </w:r>
      <w:r>
        <w:rPr>
          <w:rFonts w:hint="eastAsia" w:ascii="宋体" w:hAnsi="宋体" w:eastAsia="宋体"/>
          <w:sz w:val="24"/>
          <w:u w:val="single"/>
        </w:rPr>
        <w:t xml:space="preserve">4</w:t>
      </w:r>
      <w:r>
        <w:rPr>
          <w:rFonts w:ascii="宋体" w:hAnsi="宋体" w:eastAsia="宋体"/>
          <w:sz w:val="24"/>
        </w:rPr>
        <w:t xml:space="preserve">%的扣除，用扣除后的价格参加评审。</w:t>
      </w:r>
      <w:r/>
    </w:p>
    <w:p>
      <w:pPr>
        <w:pStyle w:val="931"/>
        <w:numPr>
          <w:ilvl w:val="2"/>
          <w:numId w:val="6"/>
        </w:numPr>
        <w:jc w:val="left"/>
        <w:spacing w:line="360" w:lineRule="auto"/>
        <w:rPr>
          <w:rFonts w:hint="eastAsia" w:ascii="宋体" w:hAnsi="宋体" w:eastAsia="宋体"/>
          <w:sz w:val="24"/>
        </w:rPr>
      </w:pPr>
      <w:r>
        <w:rPr>
          <w:rFonts w:ascii="宋体" w:hAnsi="宋体" w:eastAsia="宋体"/>
          <w:sz w:val="24"/>
        </w:rPr>
        <w:t xml:space="preserve">组成联合体或者接受分包的小微企业与联合体内其他企业、分包企业之间存在直接控股、管理关系的，不享受价格扣除优惠政策</w:t>
      </w:r>
      <w:r>
        <w:rPr>
          <w:rFonts w:hint="eastAsia" w:ascii="宋体" w:hAnsi="宋体" w:eastAsia="宋体"/>
          <w:sz w:val="24"/>
        </w:rPr>
        <w:t xml:space="preserve">。</w:t>
      </w:r>
      <w:r/>
    </w:p>
    <w:p>
      <w:pPr>
        <w:pStyle w:val="931"/>
        <w:numPr>
          <w:ilvl w:val="2"/>
          <w:numId w:val="6"/>
        </w:numPr>
        <w:jc w:val="left"/>
        <w:spacing w:line="360" w:lineRule="auto"/>
        <w:rPr>
          <w:rFonts w:hint="eastAsia" w:ascii="宋体" w:hAnsi="宋体" w:eastAsia="宋体"/>
          <w:sz w:val="24"/>
        </w:rPr>
      </w:pPr>
      <w:r>
        <w:rPr>
          <w:rFonts w:ascii="宋体" w:hAnsi="宋体" w:eastAsia="宋体"/>
          <w:sz w:val="24"/>
        </w:rPr>
        <w:t xml:space="preserve">价格扣除比例对小型企业和微型企业同等对待，不作区分</w:t>
      </w:r>
      <w:r>
        <w:rPr>
          <w:rFonts w:hint="eastAsia" w:ascii="宋体" w:hAnsi="宋体" w:eastAsia="宋体"/>
          <w:sz w:val="24"/>
        </w:rPr>
        <w:t xml:space="preserve">。</w:t>
      </w:r>
      <w:r/>
    </w:p>
    <w:p>
      <w:pPr>
        <w:pStyle w:val="931"/>
        <w:numPr>
          <w:ilvl w:val="2"/>
          <w:numId w:val="6"/>
        </w:numPr>
        <w:jc w:val="left"/>
        <w:spacing w:line="360" w:lineRule="auto"/>
        <w:rPr>
          <w:rFonts w:hint="eastAsia" w:ascii="宋体" w:hAnsi="宋体" w:eastAsia="宋体"/>
          <w:sz w:val="24"/>
        </w:rPr>
      </w:pPr>
      <w:r>
        <w:rPr>
          <w:rFonts w:ascii="宋体" w:hAnsi="宋体" w:eastAsia="宋体"/>
          <w:sz w:val="24"/>
        </w:rPr>
        <w:t xml:space="preserve">中小企业参加政府采购活动，应当按照招标文件给定的格式出具</w:t>
      </w:r>
      <w:r>
        <w:rPr>
          <w:rFonts w:ascii="宋体" w:hAnsi="宋体" w:eastAsia="宋体"/>
          <w:sz w:val="24"/>
        </w:rPr>
        <w:t xml:space="preserve">《中小企业声明函》，否则不得享受相关中小企业扶持政策</w:t>
      </w:r>
      <w:r>
        <w:rPr>
          <w:rFonts w:hint="eastAsia" w:ascii="宋体" w:hAnsi="宋体" w:eastAsia="宋体"/>
          <w:sz w:val="24"/>
        </w:rPr>
        <w:t xml:space="preserve">。</w:t>
      </w:r>
      <w:r/>
    </w:p>
    <w:p>
      <w:pPr>
        <w:pStyle w:val="931"/>
        <w:numPr>
          <w:ilvl w:val="2"/>
          <w:numId w:val="6"/>
        </w:numPr>
        <w:jc w:val="left"/>
        <w:spacing w:line="360" w:lineRule="auto"/>
        <w:rPr>
          <w:rFonts w:hint="eastAsia" w:ascii="宋体" w:hAnsi="宋体" w:eastAsia="宋体"/>
          <w:sz w:val="24"/>
        </w:rPr>
      </w:pPr>
      <w:r>
        <w:rPr>
          <w:rFonts w:ascii="宋体" w:hAnsi="宋体" w:eastAsia="宋体"/>
          <w:sz w:val="24"/>
        </w:rPr>
        <w:t xml:space="preserve">监狱企业提供了由省级以上监狱管理局（常州市含教育矫治局）、戒毒管理局（含新疆生产建设兵团）出具的属于监狱企业的证明文件的，视同小微企业</w:t>
      </w:r>
      <w:r>
        <w:rPr>
          <w:rFonts w:hint="eastAsia" w:ascii="宋体" w:hAnsi="宋体" w:eastAsia="宋体"/>
          <w:sz w:val="24"/>
        </w:rPr>
        <w:t xml:space="preserve">。</w:t>
      </w:r>
      <w:r/>
    </w:p>
    <w:p>
      <w:pPr>
        <w:pStyle w:val="931"/>
        <w:numPr>
          <w:ilvl w:val="2"/>
          <w:numId w:val="6"/>
        </w:numPr>
        <w:jc w:val="left"/>
        <w:spacing w:line="360" w:lineRule="auto"/>
        <w:rPr>
          <w:rFonts w:hint="eastAsia" w:ascii="宋体" w:hAnsi="宋体" w:eastAsia="宋体"/>
          <w:sz w:val="24"/>
        </w:rPr>
      </w:pPr>
      <w:r>
        <w:rPr>
          <w:rFonts w:ascii="宋体" w:hAnsi="宋体" w:eastAsia="宋体"/>
          <w:sz w:val="24"/>
        </w:rPr>
        <w:t xml:space="preserve">残疾人福利性单位按招标文件要求提供了《残疾人福利性单位声明函》（见附件）的，视同小微企业</w:t>
      </w:r>
      <w:r>
        <w:rPr>
          <w:rFonts w:hint="eastAsia" w:ascii="宋体" w:hAnsi="宋体" w:eastAsia="宋体"/>
          <w:sz w:val="24"/>
        </w:rPr>
        <w:t xml:space="preserve">。</w:t>
      </w:r>
      <w:r/>
    </w:p>
    <w:p>
      <w:pPr>
        <w:pStyle w:val="931"/>
        <w:numPr>
          <w:ilvl w:val="2"/>
          <w:numId w:val="6"/>
        </w:numPr>
        <w:jc w:val="left"/>
        <w:spacing w:line="360" w:lineRule="auto"/>
        <w:rPr>
          <w:rFonts w:hint="eastAsia" w:ascii="宋体" w:hAnsi="宋体" w:eastAsia="宋体"/>
          <w:sz w:val="24"/>
        </w:rPr>
      </w:pPr>
      <w:r>
        <w:rPr>
          <w:rFonts w:ascii="宋体" w:hAnsi="宋体" w:eastAsia="宋体"/>
          <w:sz w:val="24"/>
        </w:rPr>
        <w:t xml:space="preserve">若投标人同时属于小型或微型企业、监狱企业、残疾人福利性单位中的两种及以上，将不重复享受小微企业价格扣减的优惠政策</w:t>
      </w:r>
      <w:r>
        <w:rPr>
          <w:rFonts w:hint="eastAsia" w:ascii="宋体" w:hAnsi="宋体" w:eastAsia="宋体"/>
          <w:sz w:val="24"/>
        </w:rPr>
        <w:t xml:space="preserve">。</w:t>
      </w:r>
      <w:r/>
    </w:p>
    <w:p>
      <w:pPr>
        <w:pStyle w:val="931"/>
        <w:numPr>
          <w:ilvl w:val="1"/>
          <w:numId w:val="6"/>
        </w:numPr>
        <w:jc w:val="left"/>
        <w:spacing w:line="360" w:lineRule="auto"/>
        <w:rPr>
          <w:rFonts w:hint="eastAsia" w:ascii="宋体" w:hAnsi="宋体" w:eastAsia="宋体"/>
          <w:sz w:val="24"/>
        </w:rPr>
      </w:pPr>
      <w:r>
        <w:rPr>
          <w:rFonts w:ascii="宋体" w:hAnsi="宋体" w:eastAsia="宋体"/>
          <w:sz w:val="24"/>
        </w:rPr>
        <w:t xml:space="preserve">落实政府采购政策的价格调整</w:t>
      </w:r>
      <w:r>
        <w:rPr>
          <w:rFonts w:hint="eastAsia" w:ascii="宋体" w:hAnsi="宋体" w:eastAsia="宋体"/>
          <w:sz w:val="24"/>
        </w:rPr>
        <w:t xml:space="preserve">（二）</w:t>
      </w:r>
      <w:r>
        <w:rPr>
          <w:rFonts w:ascii="宋体" w:hAnsi="宋体" w:eastAsia="宋体"/>
          <w:sz w:val="24"/>
        </w:rPr>
        <w:t xml:space="preserve">：只有符合第二章《投标人须知》5.</w:t>
      </w:r>
      <w:r>
        <w:rPr>
          <w:rFonts w:hint="eastAsia" w:ascii="宋体" w:hAnsi="宋体" w:eastAsia="宋体"/>
          <w:sz w:val="24"/>
        </w:rPr>
        <w:t xml:space="preserve">8</w:t>
      </w:r>
      <w:r>
        <w:rPr>
          <w:rFonts w:ascii="宋体" w:hAnsi="宋体" w:eastAsia="宋体"/>
          <w:sz w:val="24"/>
        </w:rPr>
        <w:t xml:space="preserve">条规定情形的</w:t>
      </w:r>
      <w:r>
        <w:rPr>
          <w:rFonts w:hint="eastAsia" w:ascii="宋体" w:hAnsi="宋体"/>
          <w:sz w:val="24"/>
        </w:rPr>
        <w:t xml:space="preserve">，依法对本国产品给予价格评审优惠，对本国产品的报价给予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pStyle w:val="931"/>
        <w:numPr>
          <w:ilvl w:val="2"/>
          <w:numId w:val="6"/>
        </w:numPr>
        <w:jc w:val="left"/>
        <w:spacing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本项目政府采购活动中既有本国产品又有非本国产品参与竞争的，依法对本国产品给予</w:t>
      </w:r>
      <w:r>
        <w:rPr>
          <w:rFonts w:hint="eastAsia" w:ascii="宋体" w:hAnsi="宋体" w:eastAsia="宋体"/>
          <w:sz w:val="24"/>
        </w:rPr>
        <w:t xml:space="preserve">价格</w:t>
      </w:r>
      <w:r>
        <w:rPr>
          <w:rFonts w:hint="eastAsia" w:asciiTheme="minorEastAsia" w:hAnsiTheme="minorEastAsia" w:cstheme="minorEastAsia"/>
          <w:sz w:val="24"/>
          <w:szCs w:val="24"/>
        </w:rPr>
        <w:t xml:space="preserve">评审优惠，对本国产品的报价给予 20%的价格扣除，用扣除后的价格参与评审。</w:t>
      </w:r>
      <w:r/>
    </w:p>
    <w:p>
      <w:pPr>
        <w:pStyle w:val="931"/>
        <w:numPr>
          <w:ilvl w:val="2"/>
          <w:numId w:val="6"/>
        </w:numPr>
        <w:jc w:val="left"/>
        <w:spacing w:line="360" w:lineRule="auto"/>
        <w:rPr>
          <w:rFonts w:hint="eastAsia" w:ascii="宋体" w:hAnsi="宋体" w:eastAsia="宋体"/>
          <w:sz w:val="24"/>
        </w:rPr>
      </w:pPr>
      <w:r>
        <w:rPr>
          <w:rFonts w:hint="eastAsia" w:ascii="宋体" w:hAnsi="宋体" w:eastAsia="宋体"/>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931"/>
        <w:numPr>
          <w:ilvl w:val="2"/>
          <w:numId w:val="6"/>
        </w:numPr>
        <w:jc w:val="left"/>
        <w:spacing w:line="360" w:lineRule="auto"/>
        <w:rPr>
          <w:rFonts w:hint="eastAsia" w:ascii="宋体" w:hAnsi="宋体" w:eastAsia="宋体"/>
          <w:sz w:val="24"/>
        </w:rPr>
      </w:pPr>
      <w:r>
        <w:rPr>
          <w:rFonts w:hint="eastAsia" w:ascii="宋体" w:hAnsi="宋体" w:eastAsia="宋体"/>
          <w:sz w:val="24"/>
        </w:rPr>
        <w:t xml:space="preserve">投标人需按照招标文件的要求提供《关于符合本国产品标准的声明函》（以下简称《声明函》），如不提供将不享受本国产品价格评审优惠。</w:t>
      </w:r>
      <w:r/>
    </w:p>
    <w:p>
      <w:pPr>
        <w:pStyle w:val="931"/>
        <w:numPr>
          <w:ilvl w:val="2"/>
          <w:numId w:val="6"/>
        </w:numPr>
        <w:jc w:val="left"/>
        <w:spacing w:line="360" w:lineRule="auto"/>
        <w:rPr>
          <w:rFonts w:hint="eastAsia" w:ascii="宋体" w:hAnsi="宋体" w:eastAsia="宋体"/>
          <w:sz w:val="24"/>
        </w:rPr>
      </w:pPr>
      <w:r>
        <w:rPr>
          <w:rFonts w:hint="eastAsia" w:ascii="宋体" w:hAnsi="宋体" w:eastAsia="宋体"/>
          <w:sz w:val="24"/>
        </w:rPr>
        <w:t xml:space="preserve">投标人需在《声明函》中逐一、准确填写产品名称、厂名、生产厂址三项信息（《声明函》中用斜线划除的地方无需填写），三项信息中任意一项未填写的视为该项产品不符合本国产品标准，</w:t>
      </w:r>
      <w:r>
        <w:rPr>
          <w:rFonts w:hint="eastAsia" w:ascii="宋体" w:hAnsi="宋体" w:eastAsia="宋体"/>
          <w:sz w:val="24"/>
        </w:rPr>
        <w:t xml:space="preserve">不享受本国产品价格评审优惠。</w:t>
      </w:r>
      <w:r/>
    </w:p>
    <w:p>
      <w:pPr>
        <w:pStyle w:val="931"/>
        <w:numPr>
          <w:ilvl w:val="2"/>
          <w:numId w:val="6"/>
        </w:numPr>
        <w:jc w:val="left"/>
        <w:spacing w:line="360" w:lineRule="auto"/>
        <w:rPr>
          <w:rFonts w:hint="eastAsia" w:ascii="宋体" w:hAnsi="宋体" w:eastAsia="宋体" w:cs="宋体"/>
          <w:sz w:val="24"/>
        </w:rPr>
      </w:pPr>
      <w:r>
        <w:rPr>
          <w:rFonts w:hint="eastAsia" w:ascii="宋体" w:hAnsi="宋体" w:eastAsia="宋体"/>
          <w:sz w:val="24"/>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931"/>
        <w:numPr>
          <w:ilvl w:val="0"/>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投标文件的比较和评价</w:t>
      </w:r>
      <w:r>
        <w:rPr>
          <w:rFonts w:hint="eastAsia" w:ascii="宋体" w:hAnsi="宋体" w:eastAsia="宋体" w:cs="宋体"/>
          <w:b/>
          <w:sz w:val="24"/>
        </w:rPr>
        <w:t xml:space="preserve">：</w:t>
      </w:r>
      <w:r/>
    </w:p>
    <w:p>
      <w:pPr>
        <w:pStyle w:val="931"/>
        <w:numPr>
          <w:ilvl w:val="1"/>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931"/>
        <w:numPr>
          <w:ilvl w:val="1"/>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评标方法和评标标准；</w:t>
      </w:r>
      <w:r/>
    </w:p>
    <w:p>
      <w:pPr>
        <w:pStyle w:val="931"/>
        <w:numPr>
          <w:ilvl w:val="2"/>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本项目采用的评标方法为：</w:t>
      </w:r>
      <w:r/>
    </w:p>
    <w:p>
      <w:pPr>
        <w:ind w:left="1134" w:firstLine="240"/>
        <w:jc w:val="left"/>
        <w:spacing w:line="360" w:lineRule="auto"/>
        <w:rPr>
          <w:rFonts w:hint="eastAsia" w:ascii="宋体" w:hAnsi="宋体" w:eastAsia="宋体" w:cs="宋体"/>
          <w:sz w:val="24"/>
        </w:rPr>
      </w:pPr>
      <w:r>
        <w:rPr>
          <w:rFonts w:hint="eastAsia" w:ascii="宋体" w:hAnsi="宋体" w:eastAsia="宋体" w:cs="宋体"/>
          <w:sz w:val="24"/>
          <w:szCs w:val="24"/>
        </w:rPr>
        <w:t xml:space="preserve">■</w:t>
      </w:r>
      <w:r>
        <w:rPr>
          <w:rFonts w:hint="eastAsia" w:ascii="宋体" w:hAnsi="宋体" w:eastAsia="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left="1134" w:firstLine="240"/>
        <w:jc w:val="left"/>
        <w:spacing w:line="360" w:lineRule="auto"/>
        <w:rPr>
          <w:rFonts w:hint="eastAsia" w:ascii="宋体" w:hAnsi="宋体" w:eastAsia="宋体" w:cs="宋体"/>
          <w:sz w:val="24"/>
        </w:rPr>
      </w:pPr>
      <w:r>
        <w:rPr>
          <w:rFonts w:hint="eastAsia" w:ascii="宋体" w:hAnsi="宋体" w:eastAsia="宋体" w:cs="宋体"/>
          <w:sz w:val="24"/>
          <w:szCs w:val="24"/>
        </w:rPr>
        <w:t xml:space="preserve">□</w:t>
      </w:r>
      <w:r>
        <w:rPr>
          <w:rFonts w:hint="eastAsia" w:ascii="宋体" w:hAnsi="宋体" w:eastAsia="宋体" w:cs="宋体"/>
          <w:sz w:val="24"/>
        </w:rPr>
        <w:t xml:space="preserve">最低评标价法，指投标文件满足招标文件全部实质性要求，且投标报价最低的投标人为中标候选人的评标方法。</w:t>
      </w:r>
      <w:r/>
    </w:p>
    <w:p>
      <w:pPr>
        <w:pStyle w:val="931"/>
        <w:numPr>
          <w:ilvl w:val="2"/>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sz w:val="24"/>
        </w:rPr>
        <w:t xml:space="preserve">投标无效。</w:t>
      </w:r>
      <w:r/>
    </w:p>
    <w:p>
      <w:pPr>
        <w:pStyle w:val="931"/>
        <w:numPr>
          <w:ilvl w:val="2"/>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非政府强制采购的节能产品或环境标志产品，依据品目清单和认证证书实施政府优先采购。优先采购的具体规定（如涉及</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u w:val="single"/>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pStyle w:val="931"/>
        <w:numPr>
          <w:ilvl w:val="2"/>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关于无线局域网认证产品政府采购清单中的产品，优先采购的具</w:t>
      </w:r>
      <w:r>
        <w:rPr>
          <w:rFonts w:hint="eastAsia" w:ascii="宋体" w:hAnsi="宋体" w:eastAsia="宋体" w:cs="宋体"/>
          <w:sz w:val="24"/>
        </w:rPr>
        <w:t xml:space="preserve">体规定（如涉及</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u w:val="single"/>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pStyle w:val="931"/>
        <w:numPr>
          <w:ilvl w:val="0"/>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确定中标候选人名单</w:t>
      </w:r>
      <w:r/>
    </w:p>
    <w:p>
      <w:pPr>
        <w:pStyle w:val="931"/>
        <w:numPr>
          <w:ilvl w:val="1"/>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ind w:left="1134" w:firstLine="240"/>
        <w:jc w:val="left"/>
        <w:spacing w:line="360" w:lineRule="auto"/>
        <w:rPr>
          <w:rFonts w:hint="eastAsia" w:ascii="宋体" w:hAnsi="宋体" w:eastAsia="宋体" w:cs="宋体"/>
          <w:sz w:val="24"/>
        </w:rPr>
      </w:pPr>
      <w:r>
        <w:rPr>
          <w:rFonts w:hint="eastAsia" w:ascii="宋体" w:hAnsi="宋体" w:eastAsia="宋体" w:cs="宋体"/>
          <w:sz w:val="24"/>
          <w:szCs w:val="24"/>
        </w:rPr>
        <w:t xml:space="preserve">■</w:t>
      </w:r>
      <w:r>
        <w:rPr>
          <w:rFonts w:hint="eastAsia" w:ascii="宋体" w:hAnsi="宋体" w:eastAsia="宋体" w:cs="宋体"/>
          <w:sz w:val="24"/>
        </w:rPr>
        <w:t xml:space="preserve">随机抽取</w:t>
      </w:r>
      <w:r/>
    </w:p>
    <w:p>
      <w:pPr>
        <w:ind w:left="1134" w:firstLine="240"/>
        <w:jc w:val="left"/>
        <w:spacing w:line="360" w:lineRule="auto"/>
        <w:rPr>
          <w:rFonts w:hint="eastAsia" w:ascii="宋体" w:hAnsi="宋体" w:eastAsia="宋体" w:cs="宋体"/>
          <w:sz w:val="24"/>
        </w:rPr>
      </w:pPr>
      <w:r>
        <w:rPr>
          <w:rFonts w:hint="eastAsia" w:ascii="宋体" w:hAnsi="宋体" w:eastAsia="宋体" w:cs="宋体"/>
          <w:sz w:val="24"/>
          <w:szCs w:val="24"/>
        </w:rPr>
        <w:t xml:space="preserve">□</w:t>
      </w:r>
      <w:r>
        <w:rPr>
          <w:rFonts w:hint="eastAsia" w:ascii="宋体" w:hAnsi="宋体" w:eastAsia="宋体" w:cs="宋体"/>
          <w:sz w:val="24"/>
        </w:rPr>
        <w:t xml:space="preserve">其他方式，具体要求：_____</w:t>
      </w:r>
      <w:r/>
    </w:p>
    <w:p>
      <w:pPr>
        <w:pStyle w:val="931"/>
        <w:numPr>
          <w:ilvl w:val="1"/>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pStyle w:val="931"/>
        <w:numPr>
          <w:ilvl w:val="1"/>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931"/>
        <w:numPr>
          <w:ilvl w:val="1"/>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评标委员会要对评分汇总情况进行复核，特别是对排名第一的、报价最低的、投标或投标文件被认定为无效的情形进行重点复核。</w:t>
      </w:r>
      <w:r/>
    </w:p>
    <w:p>
      <w:pPr>
        <w:pStyle w:val="931"/>
        <w:numPr>
          <w:ilvl w:val="1"/>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评标委员会将根据各投标人的评标排序，依次推荐本项目（各采购包）的中标候选人，起草并签署评标报告。</w:t>
      </w:r>
      <w:r/>
    </w:p>
    <w:p>
      <w:pPr>
        <w:pStyle w:val="931"/>
        <w:numPr>
          <w:ilvl w:val="0"/>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报告违法行为</w:t>
      </w:r>
      <w:r/>
    </w:p>
    <w:p>
      <w:pPr>
        <w:pStyle w:val="931"/>
        <w:numPr>
          <w:ilvl w:val="1"/>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评标委员会在评标过程中发现投标人有行贿、提供虚假材料或者串通等违法行为时，有向采购人、采购代理机构或者有关部门报告的职责。</w:t>
      </w:r>
      <w:r/>
    </w:p>
    <w:p>
      <w:pPr>
        <w:pStyle w:val="931"/>
        <w:numPr>
          <w:ilvl w:val="0"/>
          <w:numId w:val="6"/>
        </w:numPr>
        <w:jc w:val="left"/>
        <w:spacing w:line="360" w:lineRule="auto"/>
        <w:rPr>
          <w:rFonts w:hint="eastAsia" w:ascii="宋体" w:hAnsi="宋体" w:eastAsia="宋体" w:cs="宋体"/>
          <w:sz w:val="24"/>
        </w:rPr>
      </w:pPr>
      <w:r>
        <w:rPr>
          <w:rFonts w:hint="eastAsia" w:ascii="宋体" w:hAnsi="宋体" w:eastAsia="宋体" w:cs="宋体"/>
          <w:bCs/>
          <w:sz w:val="24"/>
        </w:rPr>
        <w:t xml:space="preserve">未通过资格审查或符合性审查的投标人，评标委员会将在“</w:t>
      </w:r>
      <w:r>
        <w:rPr>
          <w:rFonts w:hint="eastAsia" w:ascii="宋体" w:hAnsi="宋体" w:eastAsia="宋体" w:cs="宋体"/>
          <w:sz w:val="24"/>
          <w:szCs w:val="24"/>
        </w:rPr>
        <w:t xml:space="preserve">苏采云”系统</w:t>
      </w:r>
      <w:r>
        <w:rPr>
          <w:rFonts w:hint="eastAsia" w:ascii="宋体" w:hAnsi="宋体" w:eastAsia="宋体" w:cs="宋体"/>
          <w:bCs/>
          <w:sz w:val="24"/>
        </w:rPr>
        <w:t xml:space="preserve">中告知未通过资格审查或符合性审查的原因，评标结束后，代理机构将不再告知未通过资格审查和符合性审查的原因。</w:t>
      </w:r>
      <w:r/>
    </w:p>
    <w:p>
      <w:pPr>
        <w:pStyle w:val="931"/>
        <w:numPr>
          <w:ilvl w:val="0"/>
          <w:numId w:val="6"/>
        </w:numPr>
        <w:jc w:val="left"/>
        <w:spacing w:line="360" w:lineRule="auto"/>
        <w:rPr>
          <w:rFonts w:hint="eastAsia" w:ascii="宋体" w:hAnsi="宋体" w:eastAsia="宋体" w:cs="宋体"/>
          <w:sz w:val="24"/>
        </w:rPr>
      </w:pPr>
      <w:r/>
      <w:bookmarkStart w:id="509" w:name="_Hlk159067375"/>
      <w:r>
        <w:rPr>
          <w:rFonts w:hint="eastAsia" w:ascii="宋体" w:hAnsi="宋体" w:eastAsia="宋体" w:cs="宋体"/>
          <w:sz w:val="24"/>
          <w:szCs w:val="24"/>
        </w:rPr>
        <w:t xml:space="preserve">采用综合评分法的项目，未中标的投标人可于中标结果公告期限届满之日起通过“苏采云”系统查看自己的评审得分及排序情况。</w:t>
      </w:r>
      <w:bookmarkEnd w:id="509"/>
      <w:r/>
      <w:r/>
    </w:p>
    <w:p>
      <w:pPr>
        <w:pStyle w:val="931"/>
        <w:numPr>
          <w:ilvl w:val="0"/>
          <w:numId w:val="6"/>
        </w:numPr>
        <w:jc w:val="left"/>
        <w:spacing w:line="360" w:lineRule="auto"/>
        <w:rPr>
          <w:rFonts w:hint="eastAsia" w:ascii="宋体" w:hAnsi="宋体" w:eastAsia="宋体" w:cs="宋体"/>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24"/>
        </w:rPr>
      </w:r>
      <w:r/>
    </w:p>
    <w:p>
      <w:pPr>
        <w:pStyle w:val="931"/>
        <w:numPr>
          <w:ilvl w:val="0"/>
          <w:numId w:val="7"/>
        </w:numPr>
        <w:ind w:firstLine="0"/>
        <w:jc w:val="left"/>
        <w:spacing w:line="360" w:lineRule="auto"/>
        <w:rPr>
          <w:rFonts w:hint="eastAsia" w:ascii="宋体" w:hAnsi="宋体" w:eastAsia="宋体" w:cs="宋体"/>
          <w:b/>
          <w:sz w:val="28"/>
          <w:szCs w:val="28"/>
        </w:rPr>
      </w:pPr>
      <w:r/>
      <w:bookmarkStart w:id="510" w:name="_Toc104818929"/>
      <w:r>
        <w:rPr>
          <w:rFonts w:hint="eastAsia" w:ascii="宋体" w:hAnsi="宋体" w:eastAsia="宋体" w:cs="宋体"/>
          <w:b/>
          <w:sz w:val="28"/>
          <w:szCs w:val="28"/>
        </w:rPr>
        <w:t xml:space="preserve">评标标准</w:t>
      </w:r>
      <w:r/>
    </w:p>
    <w:tbl>
      <w:tblPr>
        <w:tblW w:w="56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5"/>
        <w:gridCol w:w="1418"/>
        <w:gridCol w:w="849"/>
        <w:gridCol w:w="4819"/>
        <w:gridCol w:w="1502"/>
      </w:tblGrid>
      <w:tr>
        <w:trPr>
          <w:jc w:val="center"/>
        </w:trPr>
        <w:tc>
          <w:tcPr>
            <w:tcW w:w="379" w:type="pct"/>
            <w:vAlign w:val="center"/>
            <w:textDirection w:val="lrTb"/>
            <w:noWrap w:val="false"/>
          </w:tcPr>
          <w:p>
            <w:pPr>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W w:w="763" w:type="pct"/>
            <w:vAlign w:val="center"/>
            <w:textDirection w:val="lrTb"/>
            <w:noWrap w:val="false"/>
          </w:tcPr>
          <w:p>
            <w:pPr>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评分因素</w:t>
            </w:r>
            <w:r/>
          </w:p>
        </w:tc>
        <w:tc>
          <w:tcPr>
            <w:tcW w:w="457" w:type="pct"/>
            <w:vAlign w:val="center"/>
            <w:textDirection w:val="lrTb"/>
            <w:noWrap w:val="false"/>
          </w:tcPr>
          <w:p>
            <w:pPr>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分值</w:t>
            </w:r>
            <w:r/>
          </w:p>
        </w:tc>
        <w:tc>
          <w:tcPr>
            <w:tcW w:w="2593" w:type="pct"/>
            <w:vAlign w:val="center"/>
            <w:textDirection w:val="lrTb"/>
            <w:noWrap w:val="false"/>
          </w:tcPr>
          <w:p>
            <w:pPr>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评分标准</w:t>
            </w:r>
            <w:r/>
          </w:p>
        </w:tc>
        <w:tc>
          <w:tcPr>
            <w:tcW w:w="808" w:type="pct"/>
            <w:vAlign w:val="center"/>
            <w:textDirection w:val="lrTb"/>
            <w:noWrap w:val="false"/>
          </w:tcPr>
          <w:p>
            <w:pPr>
              <w:pStyle w:val="935"/>
              <w:spacing w:before="0" w:after="0" w:line="240" w:lineRule="auto"/>
              <w:rPr>
                <w:rFonts w:hint="eastAsia" w:ascii="宋体" w:hAnsi="宋体" w:eastAsia="宋体" w:cs="宋体"/>
                <w:szCs w:val="24"/>
              </w:rPr>
            </w:pPr>
            <w:r>
              <w:rPr>
                <w:rFonts w:hint="eastAsia" w:ascii="宋体" w:hAnsi="宋体" w:eastAsia="宋体" w:cs="宋体"/>
                <w:szCs w:val="24"/>
              </w:rPr>
              <w:t xml:space="preserve">说明</w:t>
            </w:r>
            <w:r/>
          </w:p>
        </w:tc>
      </w:tr>
      <w:tr>
        <w:trPr>
          <w:jc w:val="center"/>
          <w:trHeight w:val="631"/>
        </w:trPr>
        <w:tc>
          <w:tcPr>
            <w:tcW w:w="379" w:type="pct"/>
            <w:vAlign w:val="center"/>
            <w:textDirection w:val="lrTb"/>
            <w:noWrap w:val="false"/>
          </w:tcPr>
          <w:p>
            <w:pPr>
              <w:ind w:firstLine="28"/>
              <w:jc w:val="center"/>
              <w:rPr>
                <w:rFonts w:hint="eastAsia" w:ascii="宋体" w:hAnsi="宋体" w:eastAsia="宋体" w:cs="宋体"/>
                <w:b/>
                <w:sz w:val="24"/>
                <w:szCs w:val="24"/>
              </w:rPr>
            </w:pPr>
            <w:r>
              <w:rPr>
                <w:rFonts w:hint="eastAsia" w:ascii="宋体" w:hAnsi="宋体" w:eastAsia="宋体" w:cs="宋体"/>
                <w:bCs/>
                <w:sz w:val="24"/>
                <w:szCs w:val="24"/>
              </w:rPr>
              <w:t xml:space="preserve">1</w:t>
            </w:r>
            <w:r/>
          </w:p>
        </w:tc>
        <w:tc>
          <w:tcPr>
            <w:tcW w:w="763"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价格分</w:t>
            </w:r>
            <w:r/>
          </w:p>
        </w:tc>
        <w:tc>
          <w:tcPr>
            <w:tcW w:w="457"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20</w:t>
            </w:r>
            <w:r/>
          </w:p>
        </w:tc>
        <w:tc>
          <w:tcPr>
            <w:tcW w:w="2593"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采用低价优先法计算，以优惠率最高（即：1-最高优惠率）为基准价，其价格分为满分。其他供应商的价格分统一按照下列公式计算：报价得分＝（1-最高优惠率）/（1-各供应商所报优惠率）×分值。</w:t>
            </w:r>
            <w:r/>
          </w:p>
          <w:p>
            <w:pPr>
              <w:pStyle w:val="923"/>
              <w:rPr>
                <w:rFonts w:hint="eastAsia" w:hAnsi="宋体"/>
                <w:color w:val="auto"/>
              </w:rPr>
            </w:pPr>
            <w:r>
              <w:rPr>
                <w:rFonts w:hint="eastAsia" w:hAnsi="宋体"/>
                <w:color w:val="auto"/>
              </w:rPr>
              <w:t xml:space="preserve">注意：评审委员会认为投标人的结算价属于应当启动异常低价投标审查程序范畴的（即投标优惠率大于35%），应当要求其在评审现场合理的时间内提供书面说明，必要时提交相关证明材料；投标人不能证明其报价合理性的，评审委员会应当将其作为无效投标处理。</w:t>
            </w:r>
            <w:r/>
          </w:p>
        </w:tc>
        <w:tc>
          <w:tcPr>
            <w:tcW w:w="808" w:type="pct"/>
            <w:vAlign w:val="center"/>
            <w:textDirection w:val="lrTb"/>
            <w:noWrap w:val="false"/>
          </w:tcPr>
          <w:p>
            <w:pPr>
              <w:ind w:left="-38"/>
              <w:jc w:val="center"/>
              <w:rPr>
                <w:rFonts w:hint="eastAsia" w:ascii="宋体" w:hAnsi="宋体" w:eastAsia="宋体" w:cs="宋体"/>
                <w:sz w:val="24"/>
                <w:szCs w:val="24"/>
              </w:rPr>
            </w:pPr>
            <w:r>
              <w:rPr>
                <w:rFonts w:hint="eastAsia" w:ascii="宋体" w:hAnsi="宋体" w:eastAsia="宋体" w:cs="宋体"/>
                <w:b/>
                <w:bCs/>
                <w:sz w:val="24"/>
                <w:szCs w:val="24"/>
              </w:rPr>
              <w:t xml:space="preserve">/</w:t>
            </w:r>
            <w:r/>
          </w:p>
        </w:tc>
      </w:tr>
      <w:tr>
        <w:trPr>
          <w:jc w:val="center"/>
          <w:trHeight w:val="569"/>
        </w:trPr>
        <w:tc>
          <w:tcPr>
            <w:tcW w:w="379"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763"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技术分</w:t>
            </w:r>
            <w:r/>
          </w:p>
        </w:tc>
        <w:tc>
          <w:tcPr>
            <w:tcW w:w="457"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50</w:t>
            </w:r>
            <w:r/>
          </w:p>
        </w:tc>
        <w:tc>
          <w:tcPr>
            <w:tcW w:w="2593"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808" w:type="pct"/>
            <w:vAlign w:val="center"/>
            <w:textDirection w:val="lrTb"/>
            <w:noWrap w:val="false"/>
          </w:tcPr>
          <w:p>
            <w:pPr>
              <w:ind w:left="-38"/>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763"/>
        </w:trPr>
        <w:tc>
          <w:tcPr>
            <w:tcW w:w="379"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2.1</w:t>
            </w:r>
            <w:r/>
          </w:p>
        </w:tc>
        <w:tc>
          <w:tcPr>
            <w:tcW w:w="763"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供货及配送方案</w:t>
            </w:r>
            <w:r/>
          </w:p>
        </w:tc>
        <w:tc>
          <w:tcPr>
            <w:tcW w:w="457"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tcW w:w="2593" w:type="pct"/>
            <w:vAlign w:val="center"/>
            <w:textDirection w:val="lrTb"/>
            <w:noWrap w:val="false"/>
          </w:tcPr>
          <w:p>
            <w:pPr>
              <w:rPr>
                <w:rFonts w:hint="eastAsia" w:ascii="宋体" w:hAnsi="宋体" w:eastAsia="宋体" w:cs="宋体"/>
                <w:sz w:val="24"/>
                <w:szCs w:val="24"/>
              </w:rPr>
            </w:pPr>
            <w:r>
              <w:rPr>
                <w:rFonts w:ascii="宋体" w:hAnsi="宋体" w:eastAsia="宋体" w:cs="宋体"/>
                <w:sz w:val="24"/>
                <w:szCs w:val="24"/>
              </w:rPr>
              <w:t xml:space="preserve">评委根据投标人针对本项目提供的供货及配送方案（包括但不限于：供货计划、供货时间保证措施、人员配备、配送能力、送货形式、配送时效）进行综合评审：方案完整合理，可行性高的得5分；方案较完整合理，可行性较高的得4分；方案完整合理性一般，可行性一般的得2分；方案完整合理性较差，可行性较弱的得1分；未提供不得分。</w:t>
            </w:r>
            <w:r/>
          </w:p>
        </w:tc>
        <w:tc>
          <w:tcPr>
            <w:tcW w:w="808" w:type="pct"/>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根据投标文件进行评审</w:t>
            </w:r>
            <w:r/>
          </w:p>
        </w:tc>
      </w:tr>
      <w:tr>
        <w:trPr>
          <w:jc w:val="center"/>
          <w:trHeight w:val="1266"/>
        </w:trPr>
        <w:tc>
          <w:tcPr>
            <w:tcW w:w="379"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2.2</w:t>
            </w:r>
            <w:r/>
          </w:p>
        </w:tc>
        <w:tc>
          <w:tcPr>
            <w:tcW w:w="763"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管理制度</w:t>
            </w:r>
            <w:r/>
          </w:p>
        </w:tc>
        <w:tc>
          <w:tcPr>
            <w:tcW w:w="457"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tcW w:w="2593" w:type="pct"/>
            <w:vAlign w:val="center"/>
            <w:textDirection w:val="lrTb"/>
            <w:noWrap w:val="false"/>
          </w:tcPr>
          <w:p>
            <w:pPr>
              <w:tabs>
                <w:tab w:val="left" w:pos="869" w:leader="none"/>
              </w:tabs>
              <w:rPr>
                <w:rFonts w:hint="eastAsia" w:ascii="宋体" w:hAnsi="宋体" w:eastAsia="宋体" w:cs="宋体"/>
                <w:sz w:val="24"/>
                <w:szCs w:val="24"/>
              </w:rPr>
            </w:pPr>
            <w:r>
              <w:rPr>
                <w:rFonts w:hint="eastAsia" w:ascii="宋体" w:hAnsi="宋体" w:eastAsia="宋体" w:cs="宋体"/>
                <w:sz w:val="24"/>
                <w:szCs w:val="24"/>
              </w:rPr>
              <w:t xml:space="preserve">评委根据投标人针对本项目提供的管理制度进行综合评审，包括卫生管理制度、库房管理制度、商品质量管理制度、退换货管理制度等。</w:t>
            </w:r>
            <w:r/>
          </w:p>
          <w:p>
            <w:pPr>
              <w:tabs>
                <w:tab w:val="left" w:pos="869" w:leader="none"/>
              </w:tabs>
              <w:rPr>
                <w:rFonts w:hint="eastAsia" w:ascii="宋体" w:hAnsi="宋体" w:eastAsia="宋体" w:cs="宋体"/>
                <w:sz w:val="24"/>
                <w:szCs w:val="24"/>
              </w:rPr>
            </w:pPr>
            <w:r>
              <w:rPr>
                <w:rFonts w:hint="eastAsia" w:ascii="宋体" w:hAnsi="宋体" w:eastAsia="宋体" w:cs="宋体"/>
                <w:sz w:val="24"/>
                <w:szCs w:val="24"/>
              </w:rPr>
              <w:t xml:space="preserve">管理制度内容完善、具体，可操作性强，流程清晰，对食品安全保障以及商品质量无漏洞的，得5分；管理制度无漏项，内容较为完善、具体，对食品安全保障以及商品质量无明显失误的，得4分；管理制度存在漏项或内容不够完善、具体，对食品安全保障以及商品质量认识不足的，得2分；管理制度无具体内容，无法指导项目实施的，得1分；未提供不得分。</w:t>
            </w:r>
            <w:r/>
          </w:p>
        </w:tc>
        <w:tc>
          <w:tcPr>
            <w:tcW w:w="808" w:type="pct"/>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根据投标文件进行评审</w:t>
            </w:r>
            <w:r/>
          </w:p>
        </w:tc>
      </w:tr>
      <w:tr>
        <w:trPr>
          <w:jc w:val="center"/>
          <w:trHeight w:val="1691"/>
        </w:trPr>
        <w:tc>
          <w:tcPr>
            <w:tcW w:w="379"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2.3</w:t>
            </w:r>
            <w:r/>
          </w:p>
        </w:tc>
        <w:tc>
          <w:tcPr>
            <w:tcW w:w="763"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售后服务方案</w:t>
            </w:r>
            <w:r/>
          </w:p>
        </w:tc>
        <w:tc>
          <w:tcPr>
            <w:tcW w:w="457"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tcW w:w="2593" w:type="pct"/>
            <w:vAlign w:val="center"/>
            <w:textDirection w:val="lrTb"/>
            <w:noWrap w:val="false"/>
          </w:tcPr>
          <w:p>
            <w:pPr>
              <w:tabs>
                <w:tab w:val="left" w:pos="869" w:leader="none"/>
              </w:tabs>
              <w:rPr>
                <w:rFonts w:hint="eastAsia" w:ascii="宋体" w:hAnsi="宋体" w:eastAsia="宋体" w:cs="宋体"/>
                <w:sz w:val="24"/>
                <w:szCs w:val="24"/>
              </w:rPr>
            </w:pPr>
            <w:r>
              <w:rPr>
                <w:rFonts w:hint="eastAsia" w:ascii="宋体" w:hAnsi="宋体" w:eastAsia="宋体" w:cs="宋体"/>
                <w:sz w:val="24"/>
                <w:szCs w:val="24"/>
              </w:rPr>
              <w:t xml:space="preserve">评委根据投标人针对本项目提供的售后服务方案进行综合评审，包括售后响应时间、退换货机制、投诉处理机制等。</w:t>
            </w:r>
            <w:r/>
          </w:p>
          <w:p>
            <w:pPr>
              <w:tabs>
                <w:tab w:val="left" w:pos="869" w:leader="none"/>
              </w:tabs>
              <w:rPr>
                <w:rFonts w:hint="eastAsia" w:ascii="宋体" w:hAnsi="宋体" w:eastAsia="宋体" w:cs="宋体"/>
                <w:sz w:val="24"/>
                <w:szCs w:val="24"/>
              </w:rPr>
            </w:pPr>
            <w:r>
              <w:rPr>
                <w:rFonts w:hint="eastAsia" w:ascii="宋体" w:hAnsi="宋体" w:eastAsia="宋体" w:cs="宋体"/>
                <w:sz w:val="24"/>
                <w:szCs w:val="24"/>
              </w:rPr>
              <w:t xml:space="preserve">方案周全、合理、操作性强的，得5分；方案较为完善科学，具有较好可行性的，得4分；方案具有一定可行性的，得2分；方案不够完善，可行性较差的，得1分；未提供不得分。</w:t>
            </w:r>
            <w:r/>
          </w:p>
        </w:tc>
        <w:tc>
          <w:tcPr>
            <w:tcW w:w="808" w:type="pct"/>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根据投标文件进行评审</w:t>
            </w:r>
            <w:r/>
          </w:p>
        </w:tc>
      </w:tr>
      <w:tr>
        <w:trPr>
          <w:jc w:val="center"/>
          <w:trHeight w:val="1085"/>
        </w:trPr>
        <w:tc>
          <w:tcPr>
            <w:tcW w:w="379"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2.4</w:t>
            </w:r>
            <w:r/>
          </w:p>
        </w:tc>
        <w:tc>
          <w:tcPr>
            <w:tcW w:w="763"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应急方案</w:t>
            </w:r>
            <w:r/>
          </w:p>
        </w:tc>
        <w:tc>
          <w:tcPr>
            <w:tcW w:w="457"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tcW w:w="2593" w:type="pct"/>
            <w:vAlign w:val="center"/>
            <w:textDirection w:val="lrTb"/>
            <w:noWrap w:val="false"/>
          </w:tcPr>
          <w:p>
            <w:pPr>
              <w:tabs>
                <w:tab w:val="left" w:pos="869" w:leader="none"/>
              </w:tabs>
              <w:rPr>
                <w:rFonts w:hint="eastAsia" w:ascii="宋体" w:hAnsi="宋体" w:eastAsia="宋体" w:cs="宋体"/>
                <w:sz w:val="24"/>
                <w:szCs w:val="24"/>
              </w:rPr>
            </w:pPr>
            <w:r>
              <w:rPr>
                <w:rFonts w:ascii="宋体" w:hAnsi="宋体" w:eastAsia="宋体" w:cs="宋体"/>
                <w:sz w:val="24"/>
                <w:szCs w:val="24"/>
              </w:rPr>
              <w:t xml:space="preserve">针对突发需求或临时更换产品需求的应急处理方案：方案周全、合理、操作性强，得5分；方案较为完善科学，具有较好可行性，得4分；方案具有一定可行性，得2分；方案不够完善，可行性较差，得1分；未提供不得分。</w:t>
            </w:r>
            <w:r/>
          </w:p>
        </w:tc>
        <w:tc>
          <w:tcPr>
            <w:tcW w:w="808" w:type="pct"/>
            <w:vAlign w:val="center"/>
            <w:textDirection w:val="lrTb"/>
            <w:noWrap w:val="false"/>
          </w:tcPr>
          <w:p>
            <w:pPr>
              <w:ind w:left="-38"/>
              <w:rPr>
                <w:rFonts w:hint="eastAsia" w:ascii="宋体" w:hAnsi="宋体" w:eastAsia="宋体" w:cs="宋体"/>
                <w:sz w:val="24"/>
                <w:szCs w:val="24"/>
              </w:rPr>
            </w:pPr>
            <w:r>
              <w:rPr>
                <w:rFonts w:ascii="宋体" w:hAnsi="宋体" w:eastAsia="宋体"/>
                <w:sz w:val="24"/>
                <w:szCs w:val="24"/>
              </w:rPr>
              <w:t xml:space="preserve">根据投标文件进行评审</w:t>
            </w:r>
            <w:r/>
          </w:p>
        </w:tc>
      </w:tr>
      <w:tr>
        <w:trPr>
          <w:jc w:val="center"/>
          <w:trHeight w:val="1085"/>
        </w:trPr>
        <w:tc>
          <w:tcPr>
            <w:tcW w:w="379"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2.5</w:t>
            </w:r>
            <w:r/>
          </w:p>
        </w:tc>
        <w:tc>
          <w:tcPr>
            <w:tcW w:w="763"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增值服务及其他优惠承诺</w:t>
            </w:r>
            <w:r/>
          </w:p>
        </w:tc>
        <w:tc>
          <w:tcPr>
            <w:tcW w:w="457"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tcW w:w="2593" w:type="pct"/>
            <w:vAlign w:val="center"/>
            <w:textDirection w:val="lrTb"/>
            <w:noWrap w:val="false"/>
          </w:tcPr>
          <w:p>
            <w:pPr>
              <w:tabs>
                <w:tab w:val="left" w:pos="869" w:leader="none"/>
              </w:tabs>
              <w:rPr>
                <w:rFonts w:hint="eastAsia" w:ascii="宋体" w:hAnsi="宋体" w:eastAsia="宋体" w:cs="宋体"/>
                <w:sz w:val="24"/>
                <w:szCs w:val="24"/>
              </w:rPr>
            </w:pPr>
            <w:r>
              <w:rPr>
                <w:rFonts w:hint="eastAsia" w:ascii="宋体" w:hAnsi="宋体" w:eastAsia="宋体" w:cs="宋体"/>
                <w:sz w:val="24"/>
                <w:szCs w:val="24"/>
              </w:rPr>
              <w:t xml:space="preserve">评委根据投标人针对本项目提供的增值服务及其他优惠承诺进行综合评审。</w:t>
            </w:r>
            <w:r/>
          </w:p>
          <w:p>
            <w:pPr>
              <w:tabs>
                <w:tab w:val="left" w:pos="869" w:leader="none"/>
              </w:tabs>
              <w:rPr>
                <w:rFonts w:hint="eastAsia" w:ascii="宋体" w:hAnsi="宋体" w:eastAsia="宋体" w:cs="宋体"/>
                <w:sz w:val="24"/>
                <w:szCs w:val="24"/>
              </w:rPr>
            </w:pPr>
            <w:r>
              <w:rPr>
                <w:rFonts w:hint="eastAsia" w:ascii="宋体" w:hAnsi="宋体" w:eastAsia="宋体" w:cs="宋体"/>
                <w:sz w:val="24"/>
                <w:szCs w:val="24"/>
              </w:rPr>
              <w:t xml:space="preserve">方案合理，可行性强的，得5分；方案较为合理，具有较好可行性的，得4分；方案具有一定可行性的，得2分；方案可行性较差的，得1分；未提供不得分。</w:t>
            </w:r>
            <w:r/>
          </w:p>
        </w:tc>
        <w:tc>
          <w:tcPr>
            <w:tcW w:w="808" w:type="pct"/>
            <w:vAlign w:val="center"/>
            <w:textDirection w:val="lrTb"/>
            <w:noWrap w:val="false"/>
          </w:tcPr>
          <w:p>
            <w:pPr>
              <w:ind w:left="-38"/>
              <w:rPr>
                <w:rFonts w:hint="eastAsia" w:ascii="宋体" w:hAnsi="宋体" w:eastAsia="宋体" w:cs="宋体"/>
                <w:sz w:val="24"/>
                <w:szCs w:val="24"/>
              </w:rPr>
            </w:pPr>
            <w:r>
              <w:rPr>
                <w:rFonts w:ascii="宋体" w:hAnsi="宋体" w:eastAsia="宋体"/>
                <w:sz w:val="24"/>
                <w:szCs w:val="24"/>
              </w:rPr>
              <w:t xml:space="preserve">根据投标文件进行评审</w:t>
            </w:r>
            <w:r/>
          </w:p>
        </w:tc>
      </w:tr>
      <w:tr>
        <w:trPr>
          <w:jc w:val="center"/>
          <w:trHeight w:val="1085"/>
        </w:trPr>
        <w:tc>
          <w:tcPr>
            <w:tcW w:w="379"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2.6</w:t>
            </w:r>
            <w:r/>
          </w:p>
        </w:tc>
        <w:tc>
          <w:tcPr>
            <w:tcW w:w="763"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样品方案比较</w:t>
            </w:r>
            <w:r/>
          </w:p>
        </w:tc>
        <w:tc>
          <w:tcPr>
            <w:tcW w:w="457"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25</w:t>
            </w:r>
            <w:r/>
          </w:p>
        </w:tc>
        <w:tc>
          <w:tcPr>
            <w:tcW w:w="2593" w:type="pct"/>
            <w:vAlign w:val="center"/>
            <w:textDirection w:val="lrTb"/>
            <w:noWrap w:val="false"/>
          </w:tcPr>
          <w:p>
            <w:pPr>
              <w:tabs>
                <w:tab w:val="left" w:pos="869" w:leader="none"/>
              </w:tabs>
              <w:rPr>
                <w:rFonts w:hint="eastAsia" w:ascii="宋体" w:hAnsi="宋体" w:eastAsia="宋体" w:cs="宋体"/>
                <w:sz w:val="24"/>
                <w:szCs w:val="24"/>
              </w:rPr>
            </w:pPr>
            <w:r>
              <w:rPr>
                <w:rFonts w:hint="eastAsia" w:ascii="宋体" w:hAnsi="宋体" w:eastAsia="宋体" w:cs="宋体"/>
                <w:sz w:val="24"/>
                <w:szCs w:val="24"/>
              </w:rPr>
              <w:t xml:space="preserve">投标人需提供组合方案的样品及外包装，评审小组对组合方案样品的合理性、品质、性价比进行综合评审：</w:t>
            </w:r>
            <w:r/>
          </w:p>
          <w:p>
            <w:pPr>
              <w:tabs>
                <w:tab w:val="left" w:pos="869" w:leader="none"/>
              </w:tabs>
              <w:rPr>
                <w:rFonts w:hint="eastAsia" w:ascii="宋体" w:hAnsi="宋体" w:eastAsia="宋体" w:cs="宋体"/>
                <w:sz w:val="24"/>
                <w:szCs w:val="24"/>
              </w:rPr>
            </w:pPr>
            <w:r>
              <w:rPr>
                <w:rFonts w:hint="eastAsia" w:ascii="宋体" w:hAnsi="宋体" w:eastAsia="宋体" w:cs="宋体"/>
                <w:sz w:val="24"/>
                <w:szCs w:val="24"/>
              </w:rPr>
              <w:t xml:space="preserve">样品组合方案：</w:t>
            </w:r>
            <w:r>
              <w:rPr>
                <w:rFonts w:ascii="宋体" w:hAnsi="宋体" w:eastAsia="宋体" w:cs="宋体"/>
                <w:sz w:val="24"/>
                <w:szCs w:val="24"/>
              </w:rPr>
              <w:t xml:space="preserve">样品组合品类搭配均衡合理，覆盖多种休闲预包装食品；产品品相完好，无胀袋、破损；食品标签内容完整规范，符合食品安全国标；剩余保质期充足；产品品牌及品质良好；组合体量适宜慰问发放，整体方案完善，完全满足项目需求</w:t>
            </w:r>
            <w:r>
              <w:rPr>
                <w:rFonts w:hint="eastAsia" w:ascii="宋体" w:hAnsi="宋体" w:eastAsia="宋体" w:cs="宋体"/>
                <w:sz w:val="24"/>
                <w:szCs w:val="24"/>
              </w:rPr>
              <w:t xml:space="preserve">得15分。</w:t>
            </w:r>
            <w:r>
              <w:rPr>
                <w:rFonts w:ascii="宋体" w:hAnsi="宋体" w:eastAsia="宋体" w:cs="宋体"/>
                <w:sz w:val="24"/>
                <w:szCs w:val="24"/>
              </w:rPr>
              <w:t xml:space="preserve">样品组合品类搭配较为均衡，休闲预包装食品覆盖面较好；产品品相完好，无胀袋、破损；食品标签完整规范，符合食品安全国标；剩余保质期充足；产品品牌及品质较好；组合体量适宜慰问发放，方案较完善，较好满足项目需求</w:t>
            </w:r>
            <w:r>
              <w:rPr>
                <w:rFonts w:hint="eastAsia" w:ascii="宋体" w:hAnsi="宋体" w:eastAsia="宋体" w:cs="宋体"/>
                <w:sz w:val="24"/>
                <w:szCs w:val="24"/>
              </w:rPr>
              <w:t xml:space="preserve">得11分。</w:t>
            </w:r>
            <w:r>
              <w:rPr>
                <w:rFonts w:ascii="宋体" w:hAnsi="宋体" w:eastAsia="宋体" w:cs="宋体"/>
                <w:sz w:val="24"/>
                <w:szCs w:val="24"/>
              </w:rPr>
              <w:t xml:space="preserve">样品组合品类搭配较合理；产品品相完好；标签基本齐全合规；剩余保质期满足采购周期；无品质缺陷；组合适配慰问发放，满足项目要求</w:t>
            </w:r>
            <w:r>
              <w:rPr>
                <w:rFonts w:hint="eastAsia" w:ascii="宋体" w:hAnsi="宋体" w:eastAsia="宋体" w:cs="宋体"/>
                <w:sz w:val="24"/>
                <w:szCs w:val="24"/>
              </w:rPr>
              <w:t xml:space="preserve">得7分。</w:t>
            </w:r>
            <w:r>
              <w:rPr>
                <w:rFonts w:ascii="宋体" w:hAnsi="宋体" w:eastAsia="宋体" w:cs="宋体"/>
                <w:sz w:val="24"/>
                <w:szCs w:val="24"/>
              </w:rPr>
              <w:t xml:space="preserve">样品品类搭配一般；个别样品外观存在轻微瑕疵；标签存在少量次要信息不完善；剩余保质期尚可；组合勉强可用于慰问，基本满足项目需求</w:t>
            </w:r>
            <w:r>
              <w:rPr>
                <w:rFonts w:hint="eastAsia" w:ascii="宋体" w:hAnsi="宋体" w:eastAsia="宋体" w:cs="宋体"/>
                <w:sz w:val="24"/>
                <w:szCs w:val="24"/>
              </w:rPr>
              <w:t xml:space="preserve">得4分。</w:t>
            </w:r>
            <w:r>
              <w:rPr>
                <w:rFonts w:ascii="宋体" w:hAnsi="宋体" w:eastAsia="宋体" w:cs="宋体"/>
                <w:sz w:val="24"/>
                <w:szCs w:val="24"/>
              </w:rPr>
              <w:t xml:space="preserve">样品品类搭配不合理；存在胀袋、破损等质量瑕疵；食品标签不合规、缺失关键信息；剩余保质期不足；存在食品安全隐</w:t>
            </w:r>
            <w:r>
              <w:rPr>
                <w:rFonts w:ascii="宋体" w:hAnsi="宋体" w:eastAsia="宋体" w:cs="宋体"/>
                <w:sz w:val="24"/>
                <w:szCs w:val="24"/>
              </w:rPr>
              <w:t xml:space="preserve">患或组合不适宜慰问发放，不满足项目要求</w:t>
            </w:r>
            <w:r>
              <w:rPr>
                <w:rFonts w:hint="eastAsia" w:ascii="宋体" w:hAnsi="宋体" w:eastAsia="宋体" w:cs="宋体"/>
                <w:sz w:val="24"/>
                <w:szCs w:val="24"/>
              </w:rPr>
              <w:t xml:space="preserve">得1分。未提供不得分。</w:t>
            </w:r>
            <w:r/>
          </w:p>
          <w:p>
            <w:pPr>
              <w:tabs>
                <w:tab w:val="left" w:pos="869" w:leader="none"/>
              </w:tabs>
              <w:rPr>
                <w:rFonts w:hint="eastAsia" w:ascii="宋体" w:hAnsi="宋体" w:eastAsia="宋体" w:cs="宋体"/>
                <w:sz w:val="24"/>
                <w:szCs w:val="24"/>
              </w:rPr>
            </w:pPr>
            <w:r>
              <w:rPr>
                <w:rFonts w:hint="eastAsia" w:ascii="宋体" w:hAnsi="宋体" w:eastAsia="宋体" w:cs="宋体"/>
                <w:sz w:val="24"/>
                <w:szCs w:val="24"/>
              </w:rPr>
              <w:t xml:space="preserve">外包装：包装材质强度高，包装方正坚挺，无变形</w:t>
            </w:r>
            <w:r>
              <w:rPr>
                <w:rFonts w:hint="eastAsia" w:ascii="宋体" w:hAnsi="宋体" w:eastAsia="宋体" w:cs="宋体"/>
                <w:sz w:val="24"/>
                <w:szCs w:val="24"/>
              </w:rPr>
              <w:t xml:space="preserve">污渍划痕；封装平整牢固；印刷图文清晰；尺寸与包装慰问品匹配度高，无过度包装，观感庄重得体，完全满足发放要求得10分。包装强度满足使用，包装体基本方正，仅存在不影响使用的轻微瑕疵；封装牢靠；印刷基本清晰；尺寸与包装慰问品匹配较好，可满足发放需求得7分。外包装材质一般，包装体轻微变形、少量污渍；封装不够平整；印刷轻微模糊；尺寸与包装慰问品匹配一般，尚能使用，基本满足发放要求得4分。包装材质偏软，包装体明显变形、破损或污渍严重；封装不牢；印刷残缺模糊；尺寸与包装慰问品匹配差，无法满足分发要求得1分。未提供不得分。</w:t>
            </w:r>
            <w:r/>
          </w:p>
        </w:tc>
        <w:tc>
          <w:tcPr>
            <w:tcW w:w="808" w:type="pct"/>
            <w:vAlign w:val="center"/>
            <w:textDirection w:val="lrTb"/>
            <w:noWrap w:val="false"/>
          </w:tcPr>
          <w:p>
            <w:pPr>
              <w:ind w:left="-38"/>
              <w:rPr>
                <w:rFonts w:hint="eastAsia" w:ascii="宋体" w:hAnsi="宋体" w:eastAsia="宋体" w:cs="宋体"/>
                <w:sz w:val="24"/>
                <w:szCs w:val="24"/>
              </w:rPr>
            </w:pPr>
            <w:r>
              <w:rPr>
                <w:rFonts w:ascii="宋体" w:hAnsi="宋体" w:eastAsia="宋体"/>
                <w:sz w:val="24"/>
                <w:szCs w:val="24"/>
              </w:rPr>
              <w:t xml:space="preserve">根据投标文件进行评审</w:t>
            </w:r>
            <w:r/>
          </w:p>
        </w:tc>
      </w:tr>
      <w:tr>
        <w:trPr>
          <w:jc w:val="center"/>
          <w:trHeight w:val="422"/>
        </w:trPr>
        <w:tc>
          <w:tcPr>
            <w:tcW w:w="379"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W w:w="763"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商务分</w:t>
            </w:r>
            <w:r/>
          </w:p>
        </w:tc>
        <w:tc>
          <w:tcPr>
            <w:tcW w:w="457"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30</w:t>
            </w:r>
            <w:r/>
          </w:p>
        </w:tc>
        <w:tc>
          <w:tcPr>
            <w:tcW w:w="2593"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808" w:type="pct"/>
            <w:vAlign w:val="center"/>
            <w:textDirection w:val="lrTb"/>
            <w:noWrap w:val="false"/>
          </w:tcPr>
          <w:p>
            <w:pPr>
              <w:ind w:left="-38"/>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0"/>
        </w:trPr>
        <w:tc>
          <w:tcPr>
            <w:tcW w:w="379"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3.1</w:t>
            </w:r>
            <w:r/>
          </w:p>
        </w:tc>
        <w:tc>
          <w:tcPr>
            <w:tcW w:w="763" w:type="pct"/>
            <w:vAlign w:val="center"/>
            <w:textDirection w:val="lrTb"/>
            <w:noWrap w:val="false"/>
          </w:tcPr>
          <w:p>
            <w:pPr>
              <w:ind w:firstLine="28"/>
              <w:jc w:val="center"/>
              <w:rPr>
                <w:rFonts w:hint="eastAsia" w:ascii="宋体" w:hAnsi="宋体" w:eastAsia="宋体" w:cs="宋体"/>
                <w:sz w:val="24"/>
                <w:szCs w:val="24"/>
              </w:rPr>
            </w:pPr>
            <w:r>
              <w:rPr>
                <w:rFonts w:ascii="宋体" w:hAnsi="宋体" w:eastAsia="宋体" w:cs="宋体"/>
                <w:sz w:val="24"/>
                <w:szCs w:val="24"/>
              </w:rPr>
              <w:t xml:space="preserve">质量保证</w:t>
            </w:r>
            <w:r/>
          </w:p>
        </w:tc>
        <w:tc>
          <w:tcPr>
            <w:tcW w:w="457"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10</w:t>
            </w:r>
            <w:r/>
          </w:p>
        </w:tc>
        <w:tc>
          <w:tcPr>
            <w:tcW w:w="2593" w:type="pct"/>
            <w:vAlign w:val="center"/>
            <w:textDirection w:val="lrTb"/>
            <w:noWrap w:val="false"/>
          </w:tcPr>
          <w:p>
            <w:pPr>
              <w:rPr>
                <w:rFonts w:hint="eastAsia" w:ascii="宋体" w:hAnsi="宋体" w:eastAsia="宋体" w:cs="宋体"/>
                <w:sz w:val="24"/>
                <w:szCs w:val="24"/>
              </w:rPr>
            </w:pPr>
            <w:r>
              <w:rPr>
                <w:rFonts w:ascii="宋体" w:hAnsi="宋体" w:eastAsia="宋体" w:cs="宋体"/>
                <w:sz w:val="24"/>
                <w:szCs w:val="24"/>
              </w:rPr>
              <w:t xml:space="preserve">投标人对应所提供的组合实物方案内的产品，每提供一</w:t>
            </w:r>
            <w:r>
              <w:rPr>
                <w:rFonts w:hint="eastAsia" w:ascii="宋体" w:hAnsi="宋体" w:eastAsia="宋体" w:cs="宋体"/>
                <w:sz w:val="24"/>
                <w:szCs w:val="24"/>
              </w:rPr>
              <w:t xml:space="preserve">类</w:t>
            </w:r>
            <w:r>
              <w:rPr>
                <w:rFonts w:ascii="宋体" w:hAnsi="宋体" w:eastAsia="宋体" w:cs="宋体"/>
                <w:sz w:val="24"/>
                <w:szCs w:val="24"/>
              </w:rPr>
              <w:t xml:space="preserve">产品有效的检测报告，得</w:t>
            </w:r>
            <w:r>
              <w:rPr>
                <w:rFonts w:hint="eastAsia" w:ascii="宋体" w:hAnsi="宋体" w:eastAsia="宋体" w:cs="宋体"/>
                <w:sz w:val="24"/>
                <w:szCs w:val="24"/>
              </w:rPr>
              <w:t xml:space="preserve">2</w:t>
            </w:r>
            <w:r>
              <w:rPr>
                <w:rFonts w:ascii="宋体" w:hAnsi="宋体" w:eastAsia="宋体" w:cs="宋体"/>
                <w:sz w:val="24"/>
                <w:szCs w:val="24"/>
              </w:rPr>
              <w:t xml:space="preserve">分，本项最高10分。</w:t>
            </w:r>
            <w:r/>
          </w:p>
        </w:tc>
        <w:tc>
          <w:tcPr>
            <w:tcW w:w="808" w:type="pct"/>
            <w:vAlign w:val="center"/>
            <w:textDirection w:val="lrTb"/>
            <w:noWrap w:val="false"/>
          </w:tcPr>
          <w:p>
            <w:pPr>
              <w:ind w:left="-38"/>
              <w:rPr>
                <w:rFonts w:hint="eastAsia" w:ascii="宋体" w:hAnsi="宋体" w:eastAsia="宋体" w:cs="宋体"/>
                <w:b/>
                <w:bCs/>
                <w:sz w:val="24"/>
                <w:szCs w:val="24"/>
              </w:rPr>
            </w:pPr>
            <w:r>
              <w:rPr>
                <w:rFonts w:ascii="宋体" w:hAnsi="宋体" w:eastAsia="宋体" w:cs="宋体"/>
                <w:b/>
                <w:bCs/>
                <w:sz w:val="24"/>
                <w:szCs w:val="24"/>
              </w:rPr>
              <w:t xml:space="preserve">提供检测报告</w:t>
            </w:r>
            <w:r>
              <w:rPr>
                <w:rFonts w:hint="eastAsia" w:ascii="宋体" w:hAnsi="宋体" w:eastAsia="宋体" w:cs="宋体"/>
                <w:b/>
                <w:bCs/>
                <w:sz w:val="24"/>
                <w:szCs w:val="24"/>
              </w:rPr>
              <w:t xml:space="preserve">扫描</w:t>
            </w:r>
            <w:r>
              <w:rPr>
                <w:rFonts w:ascii="宋体" w:hAnsi="宋体" w:eastAsia="宋体" w:cs="宋体"/>
                <w:b/>
                <w:bCs/>
                <w:sz w:val="24"/>
                <w:szCs w:val="24"/>
              </w:rPr>
              <w:t xml:space="preserve">件加盖投标人公章。同一种产品的不同检测报告，以1份计算。</w:t>
            </w:r>
            <w:r/>
          </w:p>
        </w:tc>
      </w:tr>
      <w:tr>
        <w:trPr>
          <w:jc w:val="center"/>
          <w:trHeight w:val="90"/>
        </w:trPr>
        <w:tc>
          <w:tcPr>
            <w:tcW w:w="379"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3.2</w:t>
            </w:r>
            <w:r/>
          </w:p>
        </w:tc>
        <w:tc>
          <w:tcPr>
            <w:tcW w:w="763"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业绩</w:t>
            </w:r>
            <w:r/>
          </w:p>
        </w:tc>
        <w:tc>
          <w:tcPr>
            <w:tcW w:w="457"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10</w:t>
            </w:r>
            <w:r/>
          </w:p>
        </w:tc>
        <w:tc>
          <w:tcPr>
            <w:tcW w:w="2593" w:type="pct"/>
            <w:vAlign w:val="center"/>
            <w:textDirection w:val="lrTb"/>
            <w:noWrap w:val="false"/>
          </w:tcPr>
          <w:p>
            <w:pPr>
              <w:rPr>
                <w:rFonts w:hint="eastAsia" w:ascii="宋体" w:hAnsi="宋体" w:eastAsia="宋体" w:cs="宋体"/>
                <w:sz w:val="24"/>
                <w:szCs w:val="24"/>
              </w:rPr>
            </w:pPr>
            <w:r>
              <w:rPr>
                <w:rFonts w:ascii="宋体" w:hAnsi="宋体" w:eastAsia="宋体" w:cs="宋体"/>
                <w:sz w:val="24"/>
                <w:szCs w:val="24"/>
              </w:rPr>
              <w:t xml:space="preserve">投标人自2023年1月1日至本项目招标公告发布之日止（时间以合同书上载明的时间为准），具有类似项目业绩的，每提供一份有效业绩合同得2分，最高得10分。</w:t>
            </w:r>
            <w:r/>
          </w:p>
        </w:tc>
        <w:tc>
          <w:tcPr>
            <w:tcW w:w="808" w:type="pct"/>
            <w:vAlign w:val="center"/>
            <w:textDirection w:val="lrTb"/>
            <w:noWrap w:val="false"/>
          </w:tcPr>
          <w:p>
            <w:pPr>
              <w:ind w:left="-38"/>
              <w:rPr>
                <w:rFonts w:hint="eastAsia" w:ascii="宋体" w:hAnsi="宋体" w:eastAsia="宋体" w:cs="宋体"/>
                <w:b/>
                <w:bCs/>
                <w:sz w:val="24"/>
                <w:szCs w:val="24"/>
              </w:rPr>
            </w:pPr>
            <w:r>
              <w:rPr>
                <w:rFonts w:ascii="宋体" w:hAnsi="宋体" w:eastAsia="宋体" w:cs="宋体"/>
                <w:b/>
                <w:bCs/>
                <w:sz w:val="24"/>
                <w:szCs w:val="24"/>
              </w:rPr>
              <w:t xml:space="preserve">提供有效业绩合同</w:t>
            </w:r>
            <w:r>
              <w:rPr>
                <w:rFonts w:hint="eastAsia" w:ascii="宋体" w:hAnsi="宋体" w:eastAsia="宋体" w:cs="宋体"/>
                <w:b/>
                <w:bCs/>
                <w:sz w:val="24"/>
                <w:szCs w:val="24"/>
              </w:rPr>
              <w:t xml:space="preserve">扫描件</w:t>
            </w:r>
            <w:r>
              <w:rPr>
                <w:rFonts w:ascii="宋体" w:hAnsi="宋体" w:eastAsia="宋体" w:cs="宋体"/>
                <w:b/>
                <w:bCs/>
                <w:sz w:val="24"/>
                <w:szCs w:val="24"/>
              </w:rPr>
              <w:t xml:space="preserve">并加盖投标人公章，未提供不得分。</w:t>
            </w:r>
            <w:r/>
          </w:p>
        </w:tc>
      </w:tr>
      <w:tr>
        <w:trPr>
          <w:jc w:val="center"/>
          <w:trHeight w:val="90"/>
        </w:trPr>
        <w:tc>
          <w:tcPr>
            <w:tcW w:w="379"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3.3</w:t>
            </w:r>
            <w:r/>
          </w:p>
        </w:tc>
        <w:tc>
          <w:tcPr>
            <w:tcW w:w="763"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质保期</w:t>
            </w:r>
            <w:r/>
          </w:p>
        </w:tc>
        <w:tc>
          <w:tcPr>
            <w:tcW w:w="457"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10</w:t>
            </w:r>
            <w:r/>
          </w:p>
        </w:tc>
        <w:tc>
          <w:tcPr>
            <w:tcW w:w="2593"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所供货品送达时间距生产日期时间为该货品保质期的0</w:t>
            </w:r>
            <w:r>
              <w:rPr>
                <w:rFonts w:hint="eastAsia" w:ascii="宋体" w:hAnsi="宋体" w:eastAsia="宋体" w:cs="宋体"/>
                <w:sz w:val="24"/>
                <w:szCs w:val="24"/>
              </w:rPr>
              <w:t xml:space="preserve">至</w:t>
            </w:r>
            <w:r>
              <w:rPr>
                <w:rFonts w:ascii="宋体" w:hAnsi="宋体" w:eastAsia="宋体" w:cs="宋体"/>
                <w:sz w:val="24"/>
                <w:szCs w:val="24"/>
              </w:rPr>
              <w:t xml:space="preserve">1/4（含）得10分，1/4（不含）</w:t>
            </w:r>
            <w:r>
              <w:rPr>
                <w:rFonts w:hint="eastAsia" w:ascii="宋体" w:hAnsi="宋体" w:eastAsia="宋体" w:cs="宋体"/>
                <w:sz w:val="24"/>
                <w:szCs w:val="24"/>
              </w:rPr>
              <w:t xml:space="preserve">至</w:t>
            </w:r>
            <w:r>
              <w:rPr>
                <w:rFonts w:ascii="宋体" w:hAnsi="宋体" w:eastAsia="宋体" w:cs="宋体"/>
                <w:sz w:val="24"/>
                <w:szCs w:val="24"/>
              </w:rPr>
              <w:t xml:space="preserve">1/2（含）得5分，其他不得分。</w:t>
            </w:r>
            <w:r/>
          </w:p>
          <w:p>
            <w:pPr>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承诺</w:t>
            </w:r>
            <w:r>
              <w:rPr>
                <w:rFonts w:hint="eastAsia" w:ascii="宋体" w:hAnsi="宋体" w:eastAsia="宋体" w:cs="宋体"/>
                <w:sz w:val="24"/>
                <w:szCs w:val="24"/>
              </w:rPr>
              <w:t xml:space="preserve">验收时发现有质保期不符合承诺时间要求的</w:t>
            </w:r>
            <w:r>
              <w:rPr>
                <w:rFonts w:hint="eastAsia" w:ascii="宋体" w:hAnsi="宋体" w:eastAsia="宋体" w:cs="宋体"/>
                <w:sz w:val="24"/>
                <w:szCs w:val="24"/>
              </w:rPr>
              <w:t xml:space="preserve">货品，视同该件货品验收</w:t>
            </w:r>
            <w:r>
              <w:rPr>
                <w:rFonts w:hint="eastAsia" w:ascii="宋体" w:hAnsi="宋体" w:eastAsia="宋体" w:cs="宋体"/>
                <w:sz w:val="24"/>
                <w:szCs w:val="24"/>
              </w:rPr>
              <w:t xml:space="preserve">均</w:t>
            </w:r>
            <w:r>
              <w:rPr>
                <w:rFonts w:hint="eastAsia" w:ascii="宋体" w:hAnsi="宋体" w:eastAsia="宋体" w:cs="宋体"/>
                <w:sz w:val="24"/>
                <w:szCs w:val="24"/>
              </w:rPr>
              <w:t xml:space="preserve">不合格，</w:t>
            </w:r>
            <w:r/>
          </w:p>
          <w:p>
            <w:pPr>
              <w:rPr>
                <w:rFonts w:hint="eastAsia" w:ascii="宋体" w:hAnsi="宋体" w:eastAsia="宋体" w:cs="宋体"/>
                <w:sz w:val="24"/>
                <w:szCs w:val="24"/>
              </w:rPr>
            </w:pPr>
            <w:r>
              <w:rPr>
                <w:rFonts w:hint="eastAsia" w:ascii="宋体" w:hAnsi="宋体" w:eastAsia="宋体" w:cs="宋体"/>
                <w:sz w:val="24"/>
                <w:szCs w:val="24"/>
              </w:rPr>
              <w:t xml:space="preserve">采购人有权不予结算该</w:t>
            </w:r>
            <w:r>
              <w:rPr>
                <w:rFonts w:hint="eastAsia" w:ascii="宋体" w:hAnsi="宋体" w:eastAsia="宋体" w:cs="宋体"/>
                <w:sz w:val="24"/>
                <w:szCs w:val="24"/>
              </w:rPr>
              <w:t xml:space="preserve">件</w:t>
            </w:r>
            <w:r>
              <w:rPr>
                <w:rFonts w:hint="eastAsia" w:ascii="宋体" w:hAnsi="宋体" w:eastAsia="宋体" w:cs="宋体"/>
                <w:sz w:val="24"/>
                <w:szCs w:val="24"/>
              </w:rPr>
              <w:t xml:space="preserve">货品的所有</w:t>
            </w:r>
            <w:r>
              <w:rPr>
                <w:rFonts w:hint="eastAsia" w:ascii="宋体" w:hAnsi="宋体" w:eastAsia="宋体" w:cs="宋体"/>
                <w:sz w:val="24"/>
                <w:szCs w:val="24"/>
              </w:rPr>
              <w:t xml:space="preserve">货款</w:t>
            </w:r>
            <w:r>
              <w:rPr>
                <w:rFonts w:hint="eastAsia" w:ascii="宋体" w:hAnsi="宋体" w:eastAsia="宋体" w:cs="宋体"/>
                <w:sz w:val="24"/>
                <w:szCs w:val="24"/>
              </w:rPr>
              <w:t xml:space="preserve">且已供货品不得收回</w:t>
            </w:r>
            <w:r>
              <w:rPr>
                <w:rFonts w:hint="eastAsia" w:ascii="宋体" w:hAnsi="宋体" w:eastAsia="宋体" w:cs="宋体"/>
                <w:sz w:val="24"/>
                <w:szCs w:val="24"/>
              </w:rPr>
              <w:t xml:space="preserve">。</w:t>
            </w:r>
            <w:r>
              <w:rPr>
                <w:rFonts w:hint="eastAsia" w:ascii="宋体" w:hAnsi="宋体" w:eastAsia="宋体" w:cs="宋体"/>
                <w:sz w:val="24"/>
                <w:szCs w:val="24"/>
              </w:rPr>
              <w:t xml:space="preserve">（</w:t>
            </w:r>
            <w:r>
              <w:rPr>
                <w:rFonts w:ascii="宋体" w:hAnsi="宋体" w:eastAsia="宋体" w:cs="宋体"/>
                <w:sz w:val="24"/>
                <w:szCs w:val="24"/>
              </w:rPr>
              <w:t xml:space="preserve">提供承诺函</w:t>
            </w:r>
            <w:r>
              <w:rPr>
                <w:rFonts w:hint="eastAsia" w:ascii="宋体" w:hAnsi="宋体" w:eastAsia="宋体" w:cs="宋体"/>
                <w:sz w:val="24"/>
                <w:szCs w:val="24"/>
              </w:rPr>
              <w:t xml:space="preserve">扫描件加盖公章</w:t>
            </w:r>
            <w:r>
              <w:rPr>
                <w:rFonts w:ascii="宋体" w:hAnsi="宋体" w:eastAsia="宋体" w:cs="宋体"/>
                <w:sz w:val="24"/>
                <w:szCs w:val="24"/>
              </w:rPr>
              <w:t xml:space="preserve">，格式自拟</w:t>
            </w:r>
            <w:r>
              <w:rPr>
                <w:rFonts w:hint="eastAsia" w:ascii="宋体" w:hAnsi="宋体" w:eastAsia="宋体" w:cs="宋体"/>
                <w:sz w:val="24"/>
                <w:szCs w:val="24"/>
              </w:rPr>
              <w:t xml:space="preserve">，否则该打分点均不得分。</w:t>
            </w:r>
            <w:r>
              <w:rPr>
                <w:rFonts w:hint="eastAsia" w:ascii="宋体" w:hAnsi="宋体" w:eastAsia="宋体" w:cs="宋体"/>
                <w:sz w:val="24"/>
                <w:szCs w:val="24"/>
              </w:rPr>
              <w:t xml:space="preserve">）</w:t>
            </w:r>
            <w:r/>
          </w:p>
        </w:tc>
        <w:tc>
          <w:tcPr>
            <w:tcW w:w="808" w:type="pct"/>
            <w:vAlign w:val="center"/>
            <w:textDirection w:val="lrTb"/>
            <w:noWrap w:val="false"/>
          </w:tcPr>
          <w:p>
            <w:pPr>
              <w:ind w:left="-38"/>
              <w:rPr>
                <w:rFonts w:hint="eastAsia" w:ascii="宋体" w:hAnsi="宋体" w:eastAsia="宋体" w:cs="宋体"/>
                <w:b/>
                <w:bCs/>
                <w:sz w:val="24"/>
                <w:szCs w:val="24"/>
              </w:rPr>
            </w:pPr>
            <w:r>
              <w:rPr>
                <w:rFonts w:ascii="宋体" w:hAnsi="宋体" w:eastAsia="宋体" w:cs="宋体"/>
                <w:b/>
                <w:bCs/>
                <w:sz w:val="24"/>
                <w:szCs w:val="24"/>
              </w:rPr>
              <w:t xml:space="preserve">提供承诺函</w:t>
            </w:r>
            <w:r>
              <w:rPr>
                <w:rFonts w:hint="eastAsia" w:ascii="宋体" w:hAnsi="宋体" w:eastAsia="宋体" w:cs="宋体"/>
                <w:b/>
                <w:bCs/>
                <w:sz w:val="24"/>
                <w:szCs w:val="24"/>
              </w:rPr>
              <w:t xml:space="preserve">扫描件加盖公章</w:t>
            </w:r>
            <w:r>
              <w:rPr>
                <w:rFonts w:ascii="宋体" w:hAnsi="宋体" w:eastAsia="宋体" w:cs="宋体"/>
                <w:b/>
                <w:bCs/>
                <w:sz w:val="24"/>
                <w:szCs w:val="24"/>
              </w:rPr>
              <w:t xml:space="preserve">，格式自拟。</w:t>
            </w:r>
            <w:r/>
          </w:p>
        </w:tc>
      </w:tr>
      <w:tr>
        <w:trPr>
          <w:jc w:val="center"/>
          <w:trHeight w:val="565"/>
        </w:trPr>
        <w:tc>
          <w:tcPr>
            <w:gridSpan w:val="2"/>
            <w:tcW w:w="1142"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合计</w:t>
            </w:r>
            <w:r/>
          </w:p>
        </w:tc>
        <w:tc>
          <w:tcPr>
            <w:tcW w:w="457"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100</w:t>
            </w:r>
            <w:r/>
          </w:p>
        </w:tc>
        <w:tc>
          <w:tcPr>
            <w:gridSpan w:val="2"/>
            <w:tcW w:w="3401"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bl>
    <w:p>
      <w:pPr>
        <w:rPr>
          <w:rFonts w:hint="eastAsia" w:ascii="宋体" w:hAnsi="宋体" w:eastAsia="宋体" w:cs="宋体"/>
          <w:b/>
          <w:sz w:val="28"/>
          <w:szCs w:val="28"/>
        </w:rPr>
      </w:pPr>
      <w:r>
        <w:rPr>
          <w:rFonts w:hint="eastAsia" w:ascii="宋体" w:hAnsi="宋体" w:eastAsia="宋体" w:cs="宋体"/>
          <w:b/>
          <w:sz w:val="28"/>
          <w:szCs w:val="28"/>
        </w:rPr>
        <w:br w:type="page" w:clear="all"/>
      </w:r>
      <w:r/>
    </w:p>
    <w:p>
      <w:pPr>
        <w:pStyle w:val="891"/>
      </w:pPr>
      <w:r/>
      <w:bookmarkStart w:id="511" w:name="_Toc19013"/>
      <w:r/>
      <w:bookmarkStart w:id="512" w:name="OLE_LINK6"/>
      <w:r>
        <w:rPr>
          <w:rFonts w:hint="eastAsia"/>
        </w:rPr>
        <w:t xml:space="preserve">第五章</w:t>
      </w:r>
      <w:r>
        <w:rPr>
          <w:rFonts w:hint="eastAsia"/>
        </w:rPr>
        <w:t xml:space="preserve"> </w:t>
      </w:r>
      <w:r>
        <w:rPr>
          <w:rFonts w:hint="eastAsia"/>
        </w:rPr>
        <w:t xml:space="preserve">采购需求</w:t>
      </w:r>
      <w:bookmarkEnd w:id="511"/>
      <w:r/>
      <w:r/>
    </w:p>
    <w:p>
      <w:pPr>
        <w:pStyle w:val="931"/>
        <w:ind w:firstLine="482"/>
        <w:spacing w:line="440" w:lineRule="exact"/>
        <w:rPr>
          <w:rFonts w:hint="eastAsia" w:ascii="宋体" w:hAnsi="宋体" w:cs="宋体"/>
          <w:b/>
          <w:sz w:val="24"/>
          <w:szCs w:val="24"/>
        </w:rPr>
        <w:outlineLvl w:val="1"/>
      </w:pPr>
      <w:r>
        <w:rPr>
          <w:rFonts w:hint="eastAsia" w:ascii="宋体" w:hAnsi="宋体" w:cs="宋体"/>
          <w:b/>
          <w:sz w:val="24"/>
          <w:szCs w:val="24"/>
        </w:rPr>
        <w:t xml:space="preserve">一、采购标的</w:t>
      </w:r>
      <w:r/>
    </w:p>
    <w:p>
      <w:pPr>
        <w:contextualSpacing/>
        <w:ind w:firstLine="480"/>
        <w:spacing w:line="440" w:lineRule="exact"/>
        <w:tabs>
          <w:tab w:val="left" w:pos="0" w:leader="none"/>
        </w:tabs>
        <w:rPr>
          <w:rFonts w:hint="eastAsia" w:ascii="宋体" w:hAnsi="宋体" w:cs="宋体"/>
          <w:bCs/>
          <w:sz w:val="24"/>
        </w:rPr>
      </w:pPr>
      <w:r>
        <w:rPr>
          <w:rFonts w:hint="eastAsia" w:ascii="宋体" w:hAnsi="宋体" w:cs="宋体"/>
          <w:bCs/>
          <w:sz w:val="24"/>
        </w:rPr>
        <w:t xml:space="preserve">1.项目名称：</w:t>
      </w:r>
      <w:r>
        <w:rPr>
          <w:rFonts w:hint="eastAsia" w:ascii="宋体" w:hAnsi="宋体" w:cs="宋体"/>
          <w:bCs/>
          <w:sz w:val="24"/>
        </w:rPr>
        <w:t xml:space="preserve">常州市退役军人事务局慰问品采购及配送服务项目</w:t>
      </w:r>
      <w:r/>
    </w:p>
    <w:p>
      <w:pPr>
        <w:contextualSpacing/>
        <w:ind w:firstLine="480"/>
        <w:spacing w:line="440" w:lineRule="exact"/>
        <w:tabs>
          <w:tab w:val="left" w:pos="0" w:leader="none"/>
        </w:tabs>
        <w:rPr>
          <w:rFonts w:hint="eastAsia" w:ascii="宋体" w:hAnsi="宋体" w:cs="宋体"/>
          <w:bCs/>
          <w:sz w:val="24"/>
        </w:rPr>
      </w:pPr>
      <w:r>
        <w:rPr>
          <w:rFonts w:hint="eastAsia" w:ascii="宋体" w:hAnsi="宋体" w:cs="宋体"/>
          <w:bCs/>
          <w:sz w:val="24"/>
        </w:rPr>
        <w:t xml:space="preserve">2.预算金额：201万元，结算单价为330元/份</w:t>
      </w:r>
      <w:r/>
    </w:p>
    <w:p>
      <w:pPr>
        <w:contextualSpacing/>
        <w:ind w:firstLine="480"/>
        <w:spacing w:line="440" w:lineRule="exact"/>
        <w:tabs>
          <w:tab w:val="left" w:pos="0" w:leader="none"/>
        </w:tabs>
        <w:rPr>
          <w:rFonts w:hint="eastAsia" w:ascii="宋体" w:hAnsi="宋体"/>
          <w:sz w:val="24"/>
        </w:rPr>
      </w:pPr>
      <w:r>
        <w:rPr>
          <w:rFonts w:hint="eastAsia" w:ascii="宋体" w:hAnsi="宋体" w:cs="宋体"/>
          <w:bCs/>
          <w:sz w:val="24"/>
        </w:rPr>
        <w:t xml:space="preserve">3.最高限价：本项目以优惠率进行报价。</w:t>
      </w:r>
      <w:r>
        <w:rPr>
          <w:rFonts w:ascii="宋体" w:hAnsi="宋体"/>
          <w:sz w:val="24"/>
        </w:rPr>
        <w:t xml:space="preserve">优惠率报价范围为0%</w:t>
      </w:r>
      <w:r>
        <w:rPr>
          <w:rFonts w:hint="eastAsia" w:ascii="宋体" w:hAnsi="宋体"/>
          <w:sz w:val="24"/>
        </w:rPr>
        <w:t xml:space="preserve">（含）至</w:t>
      </w:r>
      <w:r>
        <w:rPr>
          <w:rFonts w:ascii="宋体" w:hAnsi="宋体"/>
          <w:sz w:val="24"/>
        </w:rPr>
        <w:t xml:space="preserve">100%</w:t>
      </w:r>
      <w:r>
        <w:rPr>
          <w:rFonts w:hint="eastAsia" w:ascii="宋体" w:hAnsi="宋体"/>
          <w:sz w:val="24"/>
        </w:rPr>
        <w:t xml:space="preserve">（不含）</w:t>
      </w:r>
      <w:r>
        <w:rPr>
          <w:rFonts w:ascii="宋体" w:hAnsi="宋体"/>
          <w:sz w:val="24"/>
        </w:rPr>
        <w:t xml:space="preserve">，超出此范围视为无效响应</w:t>
      </w:r>
      <w:r>
        <w:rPr>
          <w:rFonts w:hint="eastAsia" w:ascii="宋体" w:hAnsi="宋体"/>
          <w:sz w:val="24"/>
        </w:rPr>
        <w:t xml:space="preserve">。实际供货慰问品的价值为330</w:t>
      </w:r>
      <w:r>
        <w:rPr>
          <w:rFonts w:hint="eastAsia" w:ascii="宋体" w:hAnsi="宋体"/>
          <w:sz w:val="24"/>
        </w:rPr>
        <w:t xml:space="preserve">元</w:t>
      </w:r>
      <w:r>
        <w:rPr>
          <w:rFonts w:hint="eastAsia" w:ascii="宋体" w:hAnsi="宋体"/>
          <w:sz w:val="24"/>
        </w:rPr>
        <w:t xml:space="preserve">/（1-优惠率），保留两位小数。如：某单位投标优惠率为10%，则实际供货产品的价格为330</w:t>
      </w:r>
      <w:r>
        <w:rPr>
          <w:rFonts w:hint="eastAsia" w:ascii="宋体" w:hAnsi="宋体"/>
          <w:sz w:val="24"/>
        </w:rPr>
        <w:t xml:space="preserve">元</w:t>
      </w:r>
      <w:r>
        <w:rPr>
          <w:rFonts w:hint="eastAsia" w:ascii="宋体" w:hAnsi="宋体"/>
          <w:sz w:val="24"/>
        </w:rPr>
        <w:t xml:space="preserve">/（1-10%）=366.66元。</w:t>
      </w:r>
      <w:r/>
    </w:p>
    <w:p>
      <w:pPr>
        <w:contextualSpacing/>
        <w:ind w:firstLine="480"/>
        <w:spacing w:line="440" w:lineRule="exact"/>
        <w:tabs>
          <w:tab w:val="left" w:pos="0" w:leader="none"/>
        </w:tabs>
        <w:rPr>
          <w:rFonts w:hint="eastAsia" w:ascii="宋体" w:hAnsi="宋体" w:cs="宋体"/>
          <w:bCs/>
          <w:sz w:val="24"/>
        </w:rPr>
      </w:pPr>
      <w:r>
        <w:rPr>
          <w:rFonts w:hint="eastAsia" w:ascii="宋体" w:hAnsi="宋体" w:cs="宋体"/>
          <w:bCs/>
          <w:sz w:val="24"/>
        </w:rPr>
        <w:t xml:space="preserve">4.项目概况：本项目为</w:t>
      </w:r>
      <w:r>
        <w:rPr>
          <w:rFonts w:ascii="SimSun" w:hAnsi="SimSun" w:eastAsia="SimSun" w:cs="SimSun"/>
          <w:color w:val="000000"/>
          <w:sz w:val="24"/>
        </w:rPr>
        <w:t xml:space="preserve">本项目为常州市退役军人事务局慰问品采购及配送服务项目</w:t>
      </w:r>
      <w:r>
        <w:rPr>
          <w:rFonts w:hint="eastAsia" w:ascii="宋体" w:hAnsi="宋体" w:cs="宋体"/>
          <w:bCs/>
          <w:sz w:val="24"/>
        </w:rPr>
        <w:t xml:space="preserve">，具体结算数量以采购人实际验收合格供货数量为准，项目最终结算总价不超过本项目核定预算总额。</w:t>
      </w:r>
      <w:r/>
    </w:p>
    <w:p>
      <w:pPr>
        <w:contextualSpacing/>
        <w:ind w:firstLine="480"/>
        <w:spacing w:line="440" w:lineRule="exact"/>
        <w:tabs>
          <w:tab w:val="left" w:pos="0" w:leader="none"/>
        </w:tabs>
        <w:rPr>
          <w:rFonts w:hint="eastAsia" w:ascii="宋体" w:hAnsi="宋体" w:cs="宋体"/>
          <w:bCs/>
          <w:sz w:val="24"/>
        </w:rPr>
      </w:pPr>
      <w:r>
        <w:rPr>
          <w:rFonts w:hint="eastAsia" w:ascii="宋体" w:hAnsi="宋体" w:cs="宋体"/>
          <w:bCs/>
          <w:sz w:val="24"/>
        </w:rPr>
        <w:t xml:space="preserve">中标供应商须全权负责本项目全部工作内容，包含但不限于本项目货源组织、生产采购、标准化包装、仓储、全程运输、现场卸货搬运、就位摆放、运输保险、售后服务、现场配合验收及招标文件约定的全部配套服务，直至通过验收为止。</w:t>
      </w:r>
      <w:r/>
    </w:p>
    <w:p>
      <w:pPr>
        <w:contextualSpacing/>
        <w:ind w:firstLine="480"/>
        <w:spacing w:line="440" w:lineRule="exact"/>
        <w:tabs>
          <w:tab w:val="left" w:pos="0" w:leader="none"/>
        </w:tabs>
        <w:rPr>
          <w:rFonts w:hint="eastAsia" w:ascii="宋体" w:hAnsi="宋体" w:cs="宋体"/>
          <w:bCs/>
          <w:sz w:val="24"/>
        </w:rPr>
      </w:pPr>
      <w:r>
        <w:rPr>
          <w:rFonts w:hint="eastAsia" w:ascii="宋体" w:hAnsi="宋体" w:cs="宋体"/>
          <w:bCs/>
          <w:sz w:val="24"/>
        </w:rPr>
        <w:t xml:space="preserve">5.合同履行期限：</w:t>
      </w:r>
      <w:r>
        <w:rPr>
          <w:rFonts w:ascii="宋体" w:hAnsi="宋体" w:cs="宋体"/>
          <w:bCs/>
          <w:sz w:val="24"/>
        </w:rPr>
        <w:t xml:space="preserve">合同签订生效后于2027年1月15日前完成全部慰问品的配送。所有慰问品须按采购人的要求配送至指定地点和指定收货人</w:t>
      </w:r>
      <w:r>
        <w:rPr>
          <w:rFonts w:hint="eastAsia" w:ascii="宋体" w:hAnsi="宋体" w:cs="宋体"/>
          <w:bCs/>
          <w:sz w:val="24"/>
        </w:rPr>
        <w:t xml:space="preserve">。</w:t>
      </w:r>
      <w:r/>
    </w:p>
    <w:p>
      <w:pPr>
        <w:contextualSpacing/>
        <w:ind w:firstLine="480"/>
        <w:spacing w:line="440" w:lineRule="exact"/>
        <w:tabs>
          <w:tab w:val="left" w:pos="0" w:leader="none"/>
        </w:tabs>
        <w:rPr>
          <w:rFonts w:hint="eastAsia" w:ascii="宋体" w:hAnsi="宋体" w:cs="宋体"/>
          <w:bCs/>
          <w:sz w:val="24"/>
        </w:rPr>
      </w:pPr>
      <w:r>
        <w:rPr>
          <w:rFonts w:hint="eastAsia" w:ascii="宋体" w:hAnsi="宋体" w:cs="宋体"/>
          <w:bCs/>
          <w:sz w:val="24"/>
        </w:rPr>
        <w:t xml:space="preserve">6.是/否接受联合体投标：否</w:t>
      </w:r>
      <w:r/>
    </w:p>
    <w:p>
      <w:pPr>
        <w:contextualSpacing/>
        <w:ind w:firstLine="480"/>
        <w:spacing w:line="440" w:lineRule="exact"/>
        <w:tabs>
          <w:tab w:val="left" w:pos="0" w:leader="none"/>
        </w:tabs>
        <w:rPr>
          <w:rFonts w:hint="eastAsia" w:ascii="宋体" w:hAnsi="宋体" w:cs="宋体"/>
          <w:bCs/>
          <w:sz w:val="24"/>
        </w:rPr>
      </w:pPr>
      <w:r>
        <w:rPr>
          <w:rFonts w:hint="eastAsia" w:ascii="宋体" w:hAnsi="宋体" w:cs="宋体"/>
          <w:bCs/>
          <w:sz w:val="24"/>
        </w:rPr>
        <w:t xml:space="preserve">7.是/否接受分支机构参与响应：否</w:t>
      </w:r>
      <w:r/>
    </w:p>
    <w:p>
      <w:pPr>
        <w:contextualSpacing/>
        <w:ind w:firstLine="480"/>
        <w:spacing w:line="440" w:lineRule="exact"/>
        <w:tabs>
          <w:tab w:val="left" w:pos="0" w:leader="none"/>
        </w:tabs>
        <w:rPr>
          <w:rFonts w:hint="eastAsia" w:ascii="宋体" w:hAnsi="宋体" w:cs="宋体"/>
          <w:bCs/>
          <w:sz w:val="24"/>
        </w:rPr>
      </w:pPr>
      <w:r>
        <w:rPr>
          <w:rFonts w:hint="eastAsia" w:ascii="宋体" w:hAnsi="宋体" w:cs="宋体"/>
          <w:bCs/>
          <w:sz w:val="24"/>
        </w:rPr>
        <w:t xml:space="preserve">8.是/否属于政府购买服务：否</w:t>
      </w:r>
      <w:r/>
    </w:p>
    <w:p>
      <w:pPr>
        <w:contextualSpacing/>
        <w:ind w:firstLine="480"/>
        <w:spacing w:line="440" w:lineRule="exact"/>
        <w:tabs>
          <w:tab w:val="left" w:pos="0" w:leader="none"/>
        </w:tabs>
        <w:rPr>
          <w:rFonts w:hint="eastAsia" w:ascii="宋体" w:hAnsi="宋体" w:cs="宋体"/>
          <w:bCs/>
          <w:sz w:val="24"/>
        </w:rPr>
      </w:pPr>
      <w:r>
        <w:rPr>
          <w:rFonts w:hint="eastAsia" w:ascii="宋体" w:hAnsi="宋体" w:cs="宋体"/>
          <w:bCs/>
          <w:sz w:val="24"/>
        </w:rPr>
        <w:t xml:space="preserve">9.是/否接受进口产品投标：否</w:t>
      </w:r>
      <w:r/>
    </w:p>
    <w:p>
      <w:pPr>
        <w:contextualSpacing/>
        <w:ind w:firstLine="480"/>
        <w:spacing w:line="440" w:lineRule="exact"/>
        <w:tabs>
          <w:tab w:val="left" w:pos="0" w:leader="none"/>
        </w:tabs>
        <w:rPr>
          <w:rFonts w:hint="eastAsia" w:ascii="宋体" w:hAnsi="宋体" w:cs="宋体"/>
          <w:bCs/>
          <w:sz w:val="24"/>
        </w:rPr>
      </w:pPr>
      <w:r>
        <w:rPr>
          <w:rFonts w:hint="eastAsia" w:ascii="宋体" w:hAnsi="宋体" w:cs="宋体"/>
          <w:bCs/>
          <w:sz w:val="24"/>
        </w:rPr>
        <w:t xml:space="preserve">10.是/否专门面向中小企业预留采购份额：</w:t>
      </w:r>
      <w:r>
        <w:rPr>
          <w:rFonts w:ascii="SimSun" w:hAnsi="SimSun" w:eastAsia="SimSun" w:cs="SimSun"/>
          <w:color w:val="000000"/>
          <w:sz w:val="24"/>
        </w:rPr>
        <w:t xml:space="preserve">否，本项目不专门面向中小企业预留采购份额</w:t>
      </w:r>
      <w:r>
        <w:rPr>
          <w:rFonts w:hint="eastAsia" w:ascii="宋体" w:hAnsi="宋体" w:cs="宋体"/>
          <w:bCs/>
          <w:sz w:val="24"/>
        </w:rPr>
        <w:t xml:space="preserve">。</w:t>
      </w:r>
      <w:r/>
    </w:p>
    <w:p>
      <w:pPr>
        <w:contextualSpacing/>
        <w:ind w:firstLine="480"/>
        <w:spacing w:line="440" w:lineRule="exact"/>
        <w:tabs>
          <w:tab w:val="left" w:pos="0" w:leader="none"/>
        </w:tabs>
        <w:rPr>
          <w:rFonts w:hint="eastAsia" w:ascii="宋体" w:hAnsi="宋体" w:cs="宋体"/>
          <w:bCs/>
          <w:sz w:val="24"/>
        </w:rPr>
      </w:pPr>
      <w:r>
        <w:rPr>
          <w:rFonts w:hint="eastAsia" w:ascii="宋体" w:hAnsi="宋体" w:cs="宋体"/>
          <w:bCs/>
          <w:sz w:val="24"/>
        </w:rPr>
        <w:t xml:space="preserve">11.本项目的特定资格要求：</w:t>
      </w:r>
      <w:r>
        <w:rPr>
          <w:rFonts w:ascii="SimSun" w:hAnsi="SimSun" w:eastAsia="SimSun" w:cs="SimSun"/>
          <w:color w:val="000000"/>
          <w:sz w:val="24"/>
        </w:rPr>
        <w:t xml:space="preserve">投标人具备有效的食品经营许可证（经营范围含预包装食品销售），或仅销售预包装食品经营者备案表（含有效备案编号）。</w:t>
      </w:r>
      <w:r>
        <w:rPr>
          <w:rFonts w:hint="eastAsia" w:ascii="宋体" w:hAnsi="宋体" w:cs="宋体"/>
          <w:bCs/>
          <w:sz w:val="24"/>
        </w:rPr>
      </w:r>
      <w:r/>
    </w:p>
    <w:p>
      <w:pPr>
        <w:contextualSpacing/>
        <w:ind w:firstLine="480"/>
        <w:spacing w:line="440" w:lineRule="exact"/>
        <w:tabs>
          <w:tab w:val="left" w:pos="0" w:leader="none"/>
        </w:tabs>
        <w:rPr>
          <w:rFonts w:hint="eastAsia" w:ascii="宋体" w:hAnsi="宋体" w:cs="宋体"/>
          <w:bCs/>
          <w:sz w:val="24"/>
        </w:rPr>
      </w:pPr>
      <w:r>
        <w:rPr>
          <w:rFonts w:hint="eastAsia" w:ascii="宋体" w:hAnsi="宋体" w:cs="宋体"/>
          <w:bCs/>
          <w:sz w:val="24"/>
        </w:rPr>
        <w:t xml:space="preserve">12.项目类别：服务类（批发业）</w:t>
      </w:r>
      <w:r/>
    </w:p>
    <w:p>
      <w:pPr>
        <w:pStyle w:val="931"/>
        <w:ind w:firstLine="482"/>
        <w:spacing w:line="440" w:lineRule="exact"/>
        <w:rPr>
          <w:rFonts w:hint="eastAsia" w:ascii="宋体" w:hAnsi="宋体" w:cs="宋体"/>
          <w:b/>
          <w:sz w:val="24"/>
          <w:szCs w:val="24"/>
        </w:rPr>
        <w:outlineLvl w:val="1"/>
      </w:pPr>
      <w:r>
        <w:rPr>
          <w:rFonts w:hint="eastAsia" w:ascii="宋体" w:hAnsi="宋体" w:cs="宋体"/>
          <w:b/>
          <w:sz w:val="24"/>
          <w:szCs w:val="24"/>
        </w:rPr>
        <w:t xml:space="preserve">二、商务要求</w:t>
      </w:r>
      <w:r/>
    </w:p>
    <w:p>
      <w:pPr>
        <w:contextualSpacing/>
        <w:ind w:firstLine="480"/>
        <w:spacing w:line="440" w:lineRule="exact"/>
        <w:rPr>
          <w:rFonts w:hint="eastAsia" w:ascii="宋体" w:hAnsi="宋体" w:cs="宋体"/>
          <w:i/>
          <w:sz w:val="24"/>
        </w:rPr>
        <w:outlineLvl w:val="2"/>
      </w:pPr>
      <w:r>
        <w:rPr>
          <w:rFonts w:hint="eastAsia" w:ascii="宋体" w:hAnsi="宋体" w:cs="宋体"/>
          <w:sz w:val="24"/>
        </w:rPr>
        <w:t xml:space="preserve">1.交付的时间和地点</w:t>
      </w:r>
      <w:r/>
    </w:p>
    <w:p>
      <w:pPr>
        <w:contextualSpacing/>
        <w:ind w:firstLine="480"/>
        <w:spacing w:line="440" w:lineRule="exact"/>
        <w:rPr>
          <w:rFonts w:hint="eastAsia" w:ascii="宋体" w:hAnsi="宋体" w:cs="宋体"/>
          <w:bCs/>
          <w:sz w:val="24"/>
        </w:rPr>
      </w:pPr>
      <w:r>
        <w:rPr>
          <w:rFonts w:hint="eastAsia" w:ascii="宋体" w:hAnsi="宋体" w:cs="宋体"/>
          <w:sz w:val="24"/>
        </w:rPr>
        <w:t xml:space="preserve">合同履约期限：</w:t>
      </w:r>
      <w:r>
        <w:rPr>
          <w:rFonts w:hint="eastAsia" w:ascii="宋体" w:hAnsi="宋体" w:cs="宋体"/>
          <w:bCs/>
          <w:sz w:val="24"/>
        </w:rPr>
        <w:t xml:space="preserve">合同签订生效后于2027年1月15日前完成慰问品配送，及项目验收。</w:t>
      </w:r>
      <w:r/>
    </w:p>
    <w:p>
      <w:pPr>
        <w:contextualSpacing/>
        <w:ind w:firstLine="480"/>
        <w:spacing w:line="440" w:lineRule="exact"/>
        <w:rPr>
          <w:rFonts w:hint="eastAsia" w:ascii="宋体" w:hAnsi="宋体" w:cs="宋体"/>
          <w:sz w:val="24"/>
        </w:rPr>
      </w:pPr>
      <w:r>
        <w:rPr>
          <w:rFonts w:hint="eastAsia" w:ascii="宋体" w:hAnsi="宋体" w:cs="宋体"/>
          <w:sz w:val="24"/>
        </w:rPr>
        <w:t xml:space="preserve">合同履约地址：采购人指定地点。本项目配送点位数较多，中标人须按采购人要求的配送至指定地点，并负责所有慰问品的运输及装卸。</w:t>
      </w:r>
      <w:r/>
    </w:p>
    <w:p>
      <w:pPr>
        <w:contextualSpacing/>
        <w:ind w:firstLine="480"/>
        <w:spacing w:line="440" w:lineRule="exact"/>
        <w:rPr>
          <w:rFonts w:hint="eastAsia" w:ascii="宋体" w:hAnsi="宋体" w:cs="宋体"/>
          <w:sz w:val="24"/>
        </w:rPr>
      </w:pPr>
      <w:r>
        <w:rPr>
          <w:rFonts w:hint="eastAsia" w:ascii="宋体" w:hAnsi="宋体" w:cs="宋体"/>
          <w:sz w:val="24"/>
        </w:rPr>
        <w:t xml:space="preserve">交货及运输要求：中标供应商负责完成全部慰问品的包装、运输、卸货、搬运、就位摆放，全过程产生的运输费、装卸费、保险费、人工费、二次转运费等</w:t>
      </w:r>
      <w:r>
        <w:rPr>
          <w:rFonts w:hint="eastAsia" w:ascii="宋体" w:hAnsi="宋体" w:cs="宋体"/>
          <w:sz w:val="24"/>
        </w:rPr>
        <w:t xml:space="preserve">所有费用，均包含在投标报价中，采购人不另行支付。慰问品运输、装卸过程中产生的破损、遗失、磕碰等一切风险及损失均由中标供应商自行承担。</w:t>
      </w:r>
      <w:r/>
    </w:p>
    <w:p>
      <w:pPr>
        <w:contextualSpacing/>
        <w:ind w:firstLine="480"/>
        <w:spacing w:line="440" w:lineRule="exact"/>
        <w:rPr>
          <w:rFonts w:hint="eastAsia" w:ascii="宋体" w:hAnsi="宋体" w:cs="宋体"/>
          <w:sz w:val="24"/>
        </w:rPr>
        <w:outlineLvl w:val="2"/>
      </w:pPr>
      <w:r>
        <w:rPr>
          <w:rFonts w:hint="eastAsia" w:ascii="宋体" w:hAnsi="宋体" w:cs="宋体"/>
          <w:sz w:val="24"/>
        </w:rPr>
        <w:t xml:space="preserve">2.付款条件</w:t>
      </w:r>
      <w:r/>
    </w:p>
    <w:p>
      <w:pPr>
        <w:ind w:firstLine="480"/>
        <w:spacing w:line="440" w:lineRule="exact"/>
        <w:rPr>
          <w:rFonts w:hint="eastAsia" w:ascii="宋体" w:hAnsi="宋体" w:cs="宋体"/>
          <w:sz w:val="24"/>
        </w:rPr>
      </w:pPr>
      <w:r>
        <w:rPr>
          <w:rFonts w:hint="eastAsia" w:ascii="宋体" w:hAnsi="宋体" w:cs="宋体"/>
          <w:sz w:val="24"/>
          <w:lang w:val="zh-CN"/>
        </w:rPr>
        <w:t xml:space="preserve">(1)本项目采用固定单价、含税包干、按实结算模式，最终结算数量以采购人实际验收合格数量为准，最终结算总价不超过项目预算总额。</w:t>
      </w:r>
      <w:r>
        <w:rPr>
          <w:rFonts w:hint="eastAsia" w:ascii="宋体" w:hAnsi="宋体" w:cs="宋体"/>
          <w:sz w:val="24"/>
        </w:rPr>
        <w:t xml:space="preserve">每份结算单价为330元，实际供货价格为</w:t>
      </w:r>
      <w:r>
        <w:rPr>
          <w:rFonts w:hint="eastAsia" w:ascii="宋体" w:hAnsi="宋体"/>
          <w:sz w:val="24"/>
        </w:rPr>
        <w:t xml:space="preserve">330/（1-中标优惠率）。</w:t>
      </w:r>
      <w:r/>
    </w:p>
    <w:p>
      <w:pPr>
        <w:ind w:firstLine="480"/>
        <w:spacing w:line="440" w:lineRule="exact"/>
        <w:rPr>
          <w:rFonts w:hint="eastAsia" w:ascii="宋体" w:hAnsi="宋体" w:cs="宋体"/>
          <w:sz w:val="24"/>
          <w:lang w:val="zh-CN"/>
        </w:rPr>
        <w:outlineLvl w:val="3"/>
      </w:pPr>
      <w:r>
        <w:rPr>
          <w:rFonts w:hint="eastAsia" w:ascii="宋体" w:hAnsi="宋体" w:cs="宋体"/>
          <w:sz w:val="24"/>
          <w:lang w:val="zh-CN"/>
        </w:rPr>
        <w:t xml:space="preserve">(2)本项目具体支付阶段如下：</w:t>
      </w:r>
      <w:r/>
    </w:p>
    <w:p>
      <w:pPr>
        <w:ind w:firstLine="480"/>
        <w:spacing w:line="440" w:lineRule="exact"/>
        <w:rPr>
          <w:rFonts w:hint="eastAsia" w:ascii="宋体" w:hAnsi="宋体" w:cs="宋体"/>
          <w:sz w:val="24"/>
          <w:lang w:val="zh-CN"/>
        </w:rPr>
      </w:pPr>
      <w:r>
        <w:rPr>
          <w:rFonts w:hint="eastAsia" w:ascii="宋体" w:hAnsi="宋体" w:cs="宋体"/>
          <w:sz w:val="24"/>
        </w:rPr>
        <w:t xml:space="preserve">项目全部供货完成、验收合格、资料齐全归档后，中标人根据实际供货份数，提交合规等额增值税有效发票，采购人结清全部款项</w:t>
      </w:r>
      <w:r>
        <w:rPr>
          <w:rFonts w:hint="eastAsia" w:ascii="宋体" w:hAnsi="宋体" w:cs="宋体"/>
          <w:sz w:val="24"/>
          <w:lang w:val="zh-CN"/>
        </w:rPr>
        <w:t xml:space="preserve">。</w:t>
      </w:r>
      <w:r/>
    </w:p>
    <w:p>
      <w:pPr>
        <w:contextualSpacing/>
        <w:ind w:firstLine="480"/>
        <w:spacing w:line="440" w:lineRule="exact"/>
        <w:rPr>
          <w:rFonts w:hint="eastAsia" w:ascii="宋体" w:hAnsi="宋体" w:cs="宋体"/>
          <w:sz w:val="24"/>
          <w:lang w:val="zh-CN"/>
        </w:rPr>
      </w:pPr>
      <w:r>
        <w:rPr>
          <w:rFonts w:hint="eastAsia" w:ascii="宋体" w:hAnsi="宋体" w:cs="宋体"/>
          <w:sz w:val="24"/>
          <w:lang w:val="zh-CN"/>
        </w:rPr>
        <w:t xml:space="preserve">所有付款流程严格按照采购人及财政资金支付流程执行，投标人不得以此提出逾期付款违约、利息补偿等诉求。</w:t>
      </w:r>
      <w:r/>
    </w:p>
    <w:p>
      <w:pPr>
        <w:pStyle w:val="931"/>
        <w:ind w:firstLine="482"/>
        <w:spacing w:line="440" w:lineRule="exact"/>
        <w:rPr>
          <w:rFonts w:hint="eastAsia" w:ascii="宋体" w:hAnsi="宋体" w:cs="宋体"/>
          <w:b/>
          <w:sz w:val="24"/>
          <w:szCs w:val="24"/>
        </w:rPr>
        <w:outlineLvl w:val="1"/>
      </w:pPr>
      <w:r>
        <w:rPr>
          <w:rFonts w:hint="eastAsia" w:ascii="宋体" w:hAnsi="宋体" w:cs="宋体"/>
          <w:b/>
          <w:sz w:val="24"/>
          <w:szCs w:val="24"/>
        </w:rPr>
        <w:t xml:space="preserve">三、服务要求</w:t>
      </w:r>
      <w:r/>
    </w:p>
    <w:p>
      <w:pPr>
        <w:ind w:firstLine="482"/>
        <w:spacing w:line="440" w:lineRule="exact"/>
        <w:rPr>
          <w:rFonts w:hint="eastAsia" w:ascii="宋体" w:hAnsi="宋体" w:cs="宋体"/>
          <w:bCs/>
          <w:sz w:val="24"/>
        </w:rPr>
        <w:outlineLvl w:val="2"/>
      </w:pPr>
      <w:r/>
      <w:bookmarkStart w:id="513" w:name="heading_2"/>
      <w:r>
        <w:rPr>
          <w:rFonts w:hint="eastAsia" w:ascii="宋体" w:hAnsi="宋体" w:cs="宋体"/>
          <w:bCs/>
          <w:sz w:val="24"/>
        </w:rPr>
        <w:t xml:space="preserve">（一）慰问品要求</w:t>
      </w:r>
      <w:bookmarkEnd w:id="513"/>
      <w:r/>
      <w:r/>
    </w:p>
    <w:p>
      <w:pPr>
        <w:ind w:firstLine="480"/>
        <w:spacing w:line="360" w:lineRule="auto"/>
        <w:rPr>
          <w:rFonts w:hint="eastAsia" w:ascii="宋体" w:hAnsi="宋体" w:cs="宋体"/>
          <w:szCs w:val="21"/>
        </w:rPr>
      </w:pPr>
      <w:r>
        <w:rPr>
          <w:rFonts w:hint="eastAsia" w:ascii="宋体" w:hAnsi="宋体" w:cs="宋体"/>
          <w:sz w:val="24"/>
          <w:lang w:val="zh-CN"/>
        </w:rPr>
        <w:t xml:space="preserve">1.</w:t>
      </w:r>
      <w:r>
        <w:rPr>
          <w:rFonts w:hint="eastAsia" w:ascii="宋体" w:hAnsi="宋体" w:cs="宋体"/>
          <w:sz w:val="24"/>
        </w:rPr>
        <w:t xml:space="preserve">慰问品</w:t>
      </w:r>
      <w:r>
        <w:rPr>
          <w:rFonts w:hint="eastAsia" w:ascii="宋体" w:hAnsi="宋体" w:cs="宋体"/>
          <w:sz w:val="24"/>
          <w:lang w:val="zh-CN"/>
        </w:rPr>
        <w:t xml:space="preserve">组合方案要求：</w:t>
      </w:r>
      <w:r>
        <w:rPr>
          <w:rFonts w:hint="eastAsia" w:ascii="宋体" w:hAnsi="宋体" w:cs="宋体"/>
          <w:bCs/>
          <w:sz w:val="24"/>
        </w:rPr>
        <w:t xml:space="preserve">慰问品为预包装食品。</w:t>
      </w:r>
      <w:r>
        <w:rPr>
          <w:rFonts w:ascii="宋体" w:hAnsi="宋体" w:cs="宋体"/>
          <w:sz w:val="24"/>
        </w:rPr>
        <w:t xml:space="preserve">包含：炒货坚果</w:t>
      </w:r>
      <w:r>
        <w:rPr>
          <w:rFonts w:hint="eastAsia" w:ascii="宋体" w:hAnsi="宋体" w:cs="宋体"/>
          <w:sz w:val="24"/>
        </w:rPr>
        <w:t xml:space="preserve">类</w:t>
      </w:r>
      <w:r>
        <w:rPr>
          <w:rFonts w:ascii="宋体" w:hAnsi="宋体" w:cs="宋体"/>
          <w:sz w:val="24"/>
        </w:rPr>
        <w:t xml:space="preserve">、糖果巧克力</w:t>
      </w:r>
      <w:r>
        <w:rPr>
          <w:rFonts w:hint="eastAsia" w:ascii="宋体" w:hAnsi="宋体" w:cs="宋体"/>
          <w:sz w:val="24"/>
        </w:rPr>
        <w:t xml:space="preserve">类</w:t>
      </w:r>
      <w:r>
        <w:rPr>
          <w:rFonts w:ascii="宋体" w:hAnsi="宋体" w:cs="宋体"/>
          <w:sz w:val="24"/>
        </w:rPr>
        <w:t xml:space="preserve">、预包装肉干零食</w:t>
      </w:r>
      <w:r>
        <w:rPr>
          <w:rFonts w:hint="eastAsia" w:ascii="宋体" w:hAnsi="宋体" w:cs="宋体"/>
          <w:sz w:val="24"/>
        </w:rPr>
        <w:t xml:space="preserve">类</w:t>
      </w:r>
      <w:r>
        <w:rPr>
          <w:rFonts w:ascii="宋体" w:hAnsi="宋体" w:cs="宋体"/>
          <w:sz w:val="24"/>
        </w:rPr>
        <w:t xml:space="preserve">、蜜饯果干</w:t>
      </w:r>
      <w:r>
        <w:rPr>
          <w:rFonts w:hint="eastAsia" w:ascii="宋体" w:hAnsi="宋体" w:cs="宋体"/>
          <w:sz w:val="24"/>
        </w:rPr>
        <w:t xml:space="preserve">类</w:t>
      </w:r>
      <w:r>
        <w:rPr>
          <w:rFonts w:ascii="宋体" w:hAnsi="宋体" w:cs="宋体"/>
          <w:sz w:val="24"/>
        </w:rPr>
        <w:t xml:space="preserve">、饼干糕点</w:t>
      </w:r>
      <w:r>
        <w:rPr>
          <w:rFonts w:hint="eastAsia" w:ascii="宋体" w:hAnsi="宋体" w:cs="宋体"/>
          <w:sz w:val="24"/>
        </w:rPr>
        <w:t xml:space="preserve">类</w:t>
      </w:r>
      <w:r>
        <w:rPr>
          <w:rFonts w:ascii="宋体" w:hAnsi="宋体" w:cs="宋体"/>
          <w:sz w:val="24"/>
        </w:rPr>
        <w:t xml:space="preserve">等预包装即食小食品</w:t>
      </w:r>
      <w:r>
        <w:rPr>
          <w:rFonts w:hint="eastAsia" w:ascii="宋体" w:hAnsi="宋体" w:cs="宋体"/>
          <w:bCs/>
          <w:sz w:val="24"/>
        </w:rPr>
        <w:t xml:space="preserve">。不得提供粮油</w:t>
      </w:r>
      <w:r>
        <w:rPr>
          <w:rFonts w:hint="eastAsia" w:ascii="宋体" w:hAnsi="宋体" w:cs="宋体"/>
          <w:bCs/>
          <w:sz w:val="24"/>
        </w:rPr>
        <w:t xml:space="preserve">类</w:t>
      </w:r>
      <w:r>
        <w:rPr>
          <w:rFonts w:hint="eastAsia" w:ascii="宋体" w:hAnsi="宋体" w:cs="宋体"/>
          <w:bCs/>
          <w:sz w:val="24"/>
        </w:rPr>
        <w:t xml:space="preserve">、肉类及水产生鲜</w:t>
      </w:r>
      <w:r>
        <w:rPr>
          <w:rFonts w:hint="eastAsia" w:ascii="宋体" w:hAnsi="宋体" w:cs="宋体"/>
          <w:bCs/>
          <w:sz w:val="24"/>
        </w:rPr>
        <w:t xml:space="preserve">类</w:t>
      </w:r>
      <w:r>
        <w:rPr>
          <w:rFonts w:hint="eastAsia" w:ascii="宋体" w:hAnsi="宋体" w:cs="宋体"/>
          <w:bCs/>
          <w:sz w:val="24"/>
        </w:rPr>
        <w:t xml:space="preserve">、冻品</w:t>
      </w:r>
      <w:r>
        <w:rPr>
          <w:rFonts w:hint="eastAsia" w:ascii="宋体" w:hAnsi="宋体" w:cs="宋体"/>
          <w:bCs/>
          <w:sz w:val="24"/>
        </w:rPr>
        <w:t xml:space="preserve">类</w:t>
      </w:r>
      <w:r>
        <w:rPr>
          <w:rFonts w:hint="eastAsia" w:ascii="宋体" w:hAnsi="宋体" w:cs="宋体"/>
          <w:bCs/>
          <w:sz w:val="24"/>
        </w:rPr>
        <w:t xml:space="preserve">等食品。</w:t>
      </w:r>
      <w:r/>
    </w:p>
    <w:p>
      <w:pPr>
        <w:contextualSpacing/>
        <w:ind w:firstLine="480"/>
        <w:spacing w:line="440" w:lineRule="exact"/>
        <w:rPr>
          <w:rFonts w:hint="eastAsia" w:ascii="宋体" w:hAnsi="宋体" w:cs="宋体"/>
          <w:sz w:val="24"/>
          <w:lang w:val="zh-CN"/>
        </w:rPr>
      </w:pPr>
      <w:r>
        <w:rPr>
          <w:rFonts w:hint="eastAsia" w:ascii="宋体" w:hAnsi="宋体" w:cs="宋体"/>
          <w:sz w:val="24"/>
          <w:lang w:val="zh-CN"/>
        </w:rPr>
        <w:t xml:space="preserve">2.投标人针对慰问品，按上述标准提供组合方案，自行搭配，配货数量不得低于</w:t>
      </w:r>
      <w:r>
        <w:rPr>
          <w:rFonts w:hint="eastAsia" w:ascii="宋体" w:hAnsi="宋体" w:cs="宋体"/>
          <w:sz w:val="24"/>
        </w:rPr>
        <w:t xml:space="preserve">5</w:t>
      </w:r>
      <w:r>
        <w:rPr>
          <w:rFonts w:hint="eastAsia" w:ascii="宋体" w:hAnsi="宋体" w:cs="宋体"/>
          <w:sz w:val="24"/>
          <w:lang w:val="zh-CN"/>
        </w:rPr>
        <w:t xml:space="preserve">类</w:t>
      </w:r>
      <w:r>
        <w:rPr>
          <w:rFonts w:hint="eastAsia" w:ascii="宋体" w:hAnsi="宋体" w:cs="宋体"/>
          <w:sz w:val="24"/>
          <w:lang w:val="zh-CN"/>
        </w:rPr>
        <w:t xml:space="preserve">品种</w:t>
      </w:r>
      <w:r>
        <w:rPr>
          <w:rFonts w:hint="eastAsia" w:ascii="宋体" w:hAnsi="宋体" w:cs="宋体"/>
          <w:sz w:val="24"/>
        </w:rPr>
        <w:t xml:space="preserve">且不低于8件</w:t>
      </w:r>
      <w:r>
        <w:rPr>
          <w:rFonts w:hint="eastAsia" w:ascii="宋体" w:hAnsi="宋体" w:cs="宋体"/>
          <w:sz w:val="24"/>
          <w:lang w:val="zh-CN"/>
        </w:rPr>
        <w:t xml:space="preserve">。</w:t>
      </w:r>
      <w:r/>
    </w:p>
    <w:p>
      <w:pPr>
        <w:contextualSpacing/>
        <w:ind w:firstLine="480"/>
        <w:spacing w:line="440" w:lineRule="exact"/>
        <w:rPr>
          <w:rFonts w:hint="eastAsia" w:ascii="宋体" w:hAnsi="宋体" w:cs="宋体"/>
          <w:sz w:val="24"/>
          <w:lang w:val="zh-CN"/>
        </w:rPr>
      </w:pPr>
      <w:r>
        <w:rPr>
          <w:rFonts w:hint="eastAsia" w:ascii="宋体" w:hAnsi="宋体" w:cs="宋体"/>
          <w:sz w:val="24"/>
          <w:lang w:val="zh-CN"/>
        </w:rPr>
        <w:t xml:space="preserve">3.方案中的实物均须为大型商超在售产品，如大润发、麦德龙、山姆、</w:t>
      </w:r>
      <w:r>
        <w:rPr>
          <w:rFonts w:hint="eastAsia" w:ascii="宋体" w:hAnsi="宋体" w:cs="宋体"/>
          <w:sz w:val="24"/>
        </w:rPr>
        <w:t xml:space="preserve">天猫超市、小象超市、叮咚</w:t>
      </w:r>
      <w:r>
        <w:rPr>
          <w:rFonts w:hint="eastAsia" w:ascii="宋体" w:hAnsi="宋体" w:cs="宋体"/>
          <w:sz w:val="24"/>
          <w:lang w:val="zh-CN"/>
        </w:rPr>
        <w:t xml:space="preserve">等，确保市场可询。所销售商品必须明码标价，价格必须切合市场行情。</w:t>
      </w:r>
      <w:r/>
    </w:p>
    <w:p>
      <w:pPr>
        <w:ind w:firstLine="482"/>
        <w:spacing w:line="440" w:lineRule="exact"/>
        <w:widowControl/>
        <w:rPr>
          <w:rFonts w:hint="eastAsia" w:ascii="宋体" w:hAnsi="宋体" w:cs="宋体"/>
          <w:b/>
          <w:bCs/>
          <w:sz w:val="24"/>
          <w:lang w:bidi="ar"/>
        </w:rPr>
        <w:outlineLvl w:val="3"/>
      </w:pPr>
      <w:r>
        <w:rPr>
          <w:rFonts w:hint="eastAsia" w:ascii="宋体" w:hAnsi="宋体" w:cs="宋体"/>
          <w:b/>
          <w:bCs/>
          <w:sz w:val="24"/>
          <w:lang w:bidi="ar"/>
        </w:rPr>
        <w:t xml:space="preserve">4.慰问品质量保证</w:t>
      </w:r>
      <w:r/>
    </w:p>
    <w:p>
      <w:pPr>
        <w:ind w:firstLine="482"/>
        <w:spacing w:line="440" w:lineRule="exact"/>
        <w:widowControl/>
        <w:rPr>
          <w:rFonts w:hint="eastAsia" w:ascii="宋体" w:hAnsi="宋体" w:cs="宋体"/>
          <w:b/>
          <w:bCs/>
          <w:sz w:val="24"/>
          <w:lang w:bidi="ar"/>
        </w:rPr>
        <w:outlineLvl w:val="3"/>
      </w:pPr>
      <w:r>
        <w:rPr>
          <w:rFonts w:hint="eastAsia" w:ascii="宋体" w:hAnsi="宋体" w:cs="宋体"/>
          <w:b/>
          <w:bCs/>
          <w:sz w:val="24"/>
          <w:lang w:bidi="ar"/>
        </w:rPr>
        <w:t xml:space="preserve">（1）质保期</w:t>
      </w:r>
      <w:r/>
    </w:p>
    <w:p>
      <w:pPr>
        <w:contextualSpacing/>
        <w:ind w:firstLine="480"/>
        <w:spacing w:line="440" w:lineRule="exact"/>
        <w:rPr>
          <w:rFonts w:hint="eastAsia" w:ascii="宋体" w:hAnsi="宋体" w:cs="宋体"/>
          <w:sz w:val="24"/>
        </w:rPr>
      </w:pPr>
      <w:r>
        <w:rPr>
          <w:rFonts w:hint="eastAsia" w:ascii="宋体" w:hAnsi="宋体" w:cs="宋体"/>
          <w:sz w:val="24"/>
        </w:rPr>
        <w:t xml:space="preserve">食品须符合食品卫生条件，其他产品须符合国家相关标准</w:t>
      </w:r>
      <w:r/>
    </w:p>
    <w:p>
      <w:pPr>
        <w:ind w:firstLine="480"/>
        <w:spacing w:line="440" w:lineRule="exact"/>
        <w:widowControl/>
        <w:rPr>
          <w:rFonts w:hint="eastAsia" w:ascii="宋体" w:hAnsi="宋体" w:cs="宋体"/>
          <w:sz w:val="24"/>
          <w:lang w:bidi="ar"/>
        </w:rPr>
      </w:pPr>
      <w:r>
        <w:rPr>
          <w:rFonts w:hint="eastAsia" w:ascii="宋体" w:hAnsi="宋体" w:cs="宋体"/>
          <w:sz w:val="24"/>
          <w:lang w:bidi="ar"/>
        </w:rPr>
        <w:t xml:space="preserve">投标人承诺所供</w:t>
      </w:r>
      <w:r>
        <w:rPr>
          <w:rFonts w:hint="eastAsia" w:ascii="宋体" w:hAnsi="宋体" w:cs="宋体"/>
          <w:sz w:val="24"/>
          <w:lang w:bidi="ar"/>
        </w:rPr>
        <w:t xml:space="preserve">慰问品</w:t>
      </w:r>
      <w:r>
        <w:rPr>
          <w:rFonts w:hint="eastAsia" w:ascii="宋体" w:hAnsi="宋体" w:cs="宋体"/>
          <w:sz w:val="24"/>
          <w:lang w:bidi="ar"/>
        </w:rPr>
        <w:t xml:space="preserve">剩余</w:t>
      </w:r>
      <w:r>
        <w:rPr>
          <w:rFonts w:hint="eastAsia" w:ascii="宋体" w:hAnsi="宋体" w:cs="宋体"/>
          <w:sz w:val="24"/>
          <w:lang w:bidi="ar"/>
        </w:rPr>
        <w:t xml:space="preserve">质保</w:t>
      </w:r>
      <w:r>
        <w:rPr>
          <w:rFonts w:hint="eastAsia" w:ascii="宋体" w:hAnsi="宋体" w:cs="宋体"/>
          <w:sz w:val="24"/>
          <w:lang w:bidi="ar"/>
        </w:rPr>
        <w:t xml:space="preserve">期时间均不得少于慰问品规定</w:t>
      </w:r>
      <w:r>
        <w:rPr>
          <w:rFonts w:hint="eastAsia" w:ascii="宋体" w:hAnsi="宋体" w:cs="宋体"/>
          <w:sz w:val="24"/>
          <w:lang w:bidi="ar"/>
        </w:rPr>
        <w:t xml:space="preserve">质保</w:t>
      </w:r>
      <w:r>
        <w:rPr>
          <w:rFonts w:hint="eastAsia" w:ascii="宋体" w:hAnsi="宋体" w:cs="宋体"/>
          <w:sz w:val="24"/>
          <w:lang w:bidi="ar"/>
        </w:rPr>
        <w:t xml:space="preserve">期的1/2。</w:t>
      </w:r>
      <w:r>
        <w:rPr>
          <w:rFonts w:hint="eastAsia" w:ascii="宋体" w:hAnsi="宋体" w:cs="宋体"/>
          <w:sz w:val="24"/>
          <w:lang w:bidi="ar"/>
        </w:rPr>
        <w:t xml:space="preserve">如所供</w:t>
      </w:r>
      <w:r>
        <w:rPr>
          <w:rFonts w:hint="eastAsia" w:ascii="宋体" w:hAnsi="宋体" w:cs="宋体"/>
          <w:sz w:val="24"/>
          <w:lang w:bidi="ar"/>
        </w:rPr>
        <w:t xml:space="preserve">慰问品</w:t>
      </w:r>
      <w:r>
        <w:rPr>
          <w:rFonts w:hint="eastAsia" w:ascii="宋体" w:hAnsi="宋体" w:cs="宋体"/>
          <w:sz w:val="24"/>
          <w:lang w:bidi="ar"/>
        </w:rPr>
        <w:t xml:space="preserve">剩余质保期不足1/2，</w:t>
      </w:r>
      <w:r>
        <w:rPr>
          <w:rFonts w:hint="eastAsia" w:ascii="宋体" w:hAnsi="宋体" w:cs="宋体"/>
          <w:sz w:val="24"/>
          <w:lang w:bidi="ar"/>
        </w:rPr>
        <w:t xml:space="preserve">中标人应无条件更换为满足质保要求的慰问品。</w:t>
      </w:r>
      <w:r/>
    </w:p>
    <w:p>
      <w:pPr>
        <w:ind w:firstLine="480"/>
        <w:spacing w:line="440" w:lineRule="exact"/>
        <w:widowControl/>
        <w:rPr>
          <w:rFonts w:hint="eastAsia" w:ascii="宋体" w:hAnsi="宋体" w:cs="宋体"/>
          <w:b/>
          <w:bCs/>
          <w:sz w:val="24"/>
        </w:rPr>
        <w:outlineLvl w:val="3"/>
      </w:pPr>
      <w:r>
        <w:rPr>
          <w:rFonts w:hint="eastAsia" w:ascii="宋体" w:hAnsi="宋体" w:cs="宋体"/>
          <w:b/>
          <w:bCs/>
          <w:sz w:val="24"/>
          <w:lang w:bidi="ar"/>
        </w:rPr>
        <w:t xml:space="preserve">（2）售后服务</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对送货过程中出现的</w:t>
      </w:r>
      <w:r>
        <w:rPr>
          <w:rFonts w:hint="eastAsia" w:ascii="宋体" w:hAnsi="宋体" w:cs="宋体"/>
          <w:sz w:val="24"/>
          <w:lang w:val="zh-CN"/>
        </w:rPr>
        <w:t xml:space="preserve">破损、</w:t>
      </w:r>
      <w:r>
        <w:rPr>
          <w:rFonts w:hint="eastAsia" w:ascii="宋体" w:hAnsi="宋体" w:cs="宋体"/>
          <w:sz w:val="24"/>
          <w:lang w:val="zh-CN"/>
        </w:rPr>
        <w:t xml:space="preserve">毁坏或霉变货品，投标人在接到采购人反映情况后立即安排</w:t>
      </w:r>
      <w:r>
        <w:rPr>
          <w:rFonts w:hint="eastAsia" w:ascii="宋体" w:hAnsi="宋体" w:cs="宋体"/>
          <w:sz w:val="24"/>
          <w:lang w:val="zh-CN"/>
        </w:rPr>
        <w:t xml:space="preserve">整份</w:t>
      </w:r>
      <w:r>
        <w:rPr>
          <w:rFonts w:hint="eastAsia" w:ascii="宋体" w:hAnsi="宋体" w:cs="宋体"/>
          <w:sz w:val="24"/>
          <w:lang w:val="zh-CN"/>
        </w:rPr>
        <w:t xml:space="preserve">组合货品</w:t>
      </w:r>
      <w:r>
        <w:rPr>
          <w:rFonts w:hint="eastAsia" w:ascii="宋体" w:hAnsi="宋体" w:cs="宋体"/>
          <w:sz w:val="24"/>
          <w:lang w:val="zh-CN"/>
        </w:rPr>
        <w:t xml:space="preserve">退换。</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对缺少货品，投标人在接到采购人反映情况后须48小时内负责补发到位。</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产品为正品，采购人验收发现商品有假冒伪劣产品，视同违约，有权提前终止合同，并追究违约责任。如因供货产品质量问题引起质量安全事故，则由</w:t>
      </w:r>
      <w:r>
        <w:rPr>
          <w:rFonts w:hint="eastAsia" w:ascii="宋体" w:hAnsi="宋体" w:cs="宋体"/>
          <w:sz w:val="24"/>
        </w:rPr>
        <w:t xml:space="preserve">中标人</w:t>
      </w:r>
      <w:r>
        <w:rPr>
          <w:rFonts w:hint="eastAsia" w:ascii="宋体" w:hAnsi="宋体" w:cs="宋体"/>
          <w:sz w:val="24"/>
          <w:lang w:val="zh-CN"/>
        </w:rPr>
        <w:t xml:space="preserve">承担全部责任。</w:t>
      </w:r>
      <w:r/>
    </w:p>
    <w:p>
      <w:pPr>
        <w:contextualSpacing/>
        <w:ind w:firstLine="480"/>
        <w:spacing w:line="440" w:lineRule="exact"/>
        <w:rPr>
          <w:rFonts w:hint="eastAsia" w:ascii="宋体" w:hAnsi="宋体" w:cs="宋体"/>
          <w:sz w:val="24"/>
          <w:lang w:val="zh-CN"/>
        </w:rPr>
      </w:pPr>
      <w:r>
        <w:rPr>
          <w:rFonts w:hint="eastAsia" w:ascii="宋体" w:hAnsi="宋体" w:cs="宋体"/>
          <w:sz w:val="24"/>
          <w:lang w:val="zh-CN"/>
        </w:rPr>
        <w:t xml:space="preserve">人员要求：投标人需提供至少1人全权对接采购人的服务需求</w:t>
      </w:r>
      <w:r>
        <w:rPr>
          <w:rFonts w:hint="eastAsia" w:ascii="宋体" w:hAnsi="宋体" w:cs="宋体"/>
          <w:sz w:val="24"/>
          <w:lang w:val="zh-CN"/>
        </w:rPr>
        <w:t xml:space="preserve">，并参与现场验收</w:t>
      </w:r>
      <w:r>
        <w:rPr>
          <w:rFonts w:hint="eastAsia" w:ascii="宋体" w:hAnsi="宋体" w:cs="宋体"/>
          <w:sz w:val="24"/>
          <w:lang w:val="zh-CN"/>
        </w:rPr>
        <w:t xml:space="preserve">。</w:t>
      </w:r>
      <w:r/>
    </w:p>
    <w:p>
      <w:pPr>
        <w:pStyle w:val="971"/>
        <w:numPr>
          <w:ilvl w:val="0"/>
          <w:numId w:val="8"/>
        </w:numPr>
        <w:rPr>
          <w:rFonts w:hint="eastAsia"/>
          <w:color w:val="auto"/>
        </w:rPr>
      </w:pPr>
      <w:r>
        <w:rPr>
          <w:rFonts w:hint="eastAsia"/>
          <w:color w:val="auto"/>
        </w:rPr>
        <w:t xml:space="preserve">慰问品包装要求</w:t>
      </w:r>
      <w:r/>
    </w:p>
    <w:p>
      <w:pPr>
        <w:pStyle w:val="971"/>
        <w:rPr>
          <w:rFonts w:hint="eastAsia"/>
          <w:color w:val="auto"/>
        </w:rPr>
      </w:pPr>
      <w:r>
        <w:rPr>
          <w:rFonts w:hint="eastAsia"/>
          <w:color w:val="auto"/>
        </w:rPr>
        <w:t xml:space="preserve">包装形式：慰问品包装完成后可直接发放给慰问对象，采购人不再额外套袋或二次包装。</w:t>
      </w:r>
      <w:r/>
    </w:p>
    <w:p>
      <w:pPr>
        <w:pStyle w:val="971"/>
        <w:rPr>
          <w:rFonts w:hint="eastAsia"/>
          <w:color w:val="auto"/>
        </w:rPr>
      </w:pPr>
      <w:r>
        <w:rPr>
          <w:rFonts w:hint="eastAsia"/>
          <w:color w:val="auto"/>
        </w:rPr>
        <w:t xml:space="preserve">包装材质：强度满足装卸、分发搬运，箱体平整，无弯折、破损、水渍、霉点。</w:t>
      </w:r>
      <w:r/>
    </w:p>
    <w:p>
      <w:pPr>
        <w:pStyle w:val="971"/>
        <w:rPr>
          <w:rFonts w:hint="eastAsia"/>
          <w:color w:val="auto"/>
        </w:rPr>
      </w:pPr>
      <w:r>
        <w:rPr>
          <w:rFonts w:hint="eastAsia"/>
          <w:color w:val="auto"/>
        </w:rPr>
        <w:t xml:space="preserve">外观要求：包装表面干净，印刷图文清晰，无模糊、掉色；实际供货的印刷文案及颜色按采购人指定要求制作，未经采购人确认不得制作。</w:t>
      </w:r>
      <w:r/>
    </w:p>
    <w:p>
      <w:pPr>
        <w:pStyle w:val="971"/>
        <w:rPr>
          <w:rFonts w:hint="eastAsia"/>
          <w:color w:val="auto"/>
        </w:rPr>
      </w:pPr>
      <w:r>
        <w:rPr>
          <w:rFonts w:hint="eastAsia"/>
          <w:color w:val="auto"/>
        </w:rPr>
        <w:t xml:space="preserve">包装体要求：包装内物品摆放规整，有必要缓冲防护，避免运输分发时磕碰损坏；包装体大小匹配内装慰问品，不出现过度包装。</w:t>
      </w:r>
      <w:r/>
    </w:p>
    <w:p>
      <w:pPr>
        <w:pStyle w:val="971"/>
        <w:rPr>
          <w:rFonts w:hint="eastAsia"/>
          <w:color w:val="auto"/>
        </w:rPr>
      </w:pPr>
      <w:r>
        <w:rPr>
          <w:rFonts w:hint="eastAsia"/>
          <w:color w:val="auto"/>
        </w:rPr>
        <w:t xml:space="preserve">交付要求：到货时包装完好率 100%，破损的包装中标人须无条件更换。</w:t>
      </w:r>
      <w:r/>
    </w:p>
    <w:p>
      <w:pPr>
        <w:pStyle w:val="931"/>
        <w:ind w:firstLine="482"/>
        <w:spacing w:line="440" w:lineRule="exact"/>
        <w:rPr>
          <w:rFonts w:hint="eastAsia" w:ascii="宋体" w:hAnsi="宋体" w:cs="宋体"/>
          <w:b/>
          <w:sz w:val="24"/>
          <w:szCs w:val="24"/>
        </w:rPr>
        <w:outlineLvl w:val="1"/>
      </w:pPr>
      <w:r>
        <w:rPr>
          <w:rFonts w:hint="eastAsia" w:ascii="宋体" w:hAnsi="宋体" w:cs="宋体"/>
          <w:b/>
          <w:sz w:val="24"/>
          <w:szCs w:val="24"/>
        </w:rPr>
        <w:t xml:space="preserve">四、验收标准</w:t>
      </w:r>
      <w:r/>
    </w:p>
    <w:p>
      <w:pPr>
        <w:pStyle w:val="971"/>
        <w:rPr>
          <w:rFonts w:hint="eastAsia"/>
          <w:color w:val="auto"/>
          <w:lang w:bidi="ar"/>
        </w:rPr>
      </w:pPr>
      <w:r>
        <w:rPr>
          <w:rFonts w:hint="eastAsia"/>
          <w:color w:val="auto"/>
          <w:lang w:bidi="ar"/>
        </w:rPr>
        <w:t xml:space="preserve">本项目履约验收严格按照《江苏省政府采购履约验收管理办法》（苏财规〔2024〕7号）及国家、省市政府及采购人的相关规定执行。</w:t>
      </w:r>
      <w:r/>
    </w:p>
    <w:p>
      <w:pPr>
        <w:pStyle w:val="931"/>
        <w:ind w:firstLine="482"/>
        <w:spacing w:line="440" w:lineRule="exact"/>
        <w:rPr>
          <w:rFonts w:hint="eastAsia" w:ascii="宋体" w:hAnsi="宋体" w:cs="宋体"/>
          <w:b/>
          <w:sz w:val="24"/>
          <w:szCs w:val="24"/>
        </w:rPr>
        <w:outlineLvl w:val="1"/>
      </w:pPr>
      <w:r>
        <w:rPr>
          <w:rFonts w:hint="eastAsia" w:ascii="宋体" w:hAnsi="宋体" w:cs="宋体"/>
          <w:b/>
          <w:sz w:val="24"/>
          <w:szCs w:val="24"/>
        </w:rPr>
        <w:t xml:space="preserve">五、保密要求</w:t>
      </w:r>
      <w:r/>
    </w:p>
    <w:p>
      <w:pPr>
        <w:pStyle w:val="971"/>
        <w:rPr>
          <w:rFonts w:hint="eastAsia"/>
          <w:color w:val="auto"/>
          <w:lang w:bidi="ar"/>
        </w:rPr>
      </w:pPr>
      <w:r>
        <w:rPr>
          <w:rFonts w:hint="eastAsia"/>
          <w:color w:val="auto"/>
          <w:lang w:bidi="ar"/>
        </w:rPr>
        <w:t xml:space="preserve">1.由采购人收集的、整理的、复制的、研究的和准备的与本项目工作有关的所有资料在提供给供应商时，均被视为保密的，不得泄漏给除采购人或其指定的代表之外的任何人，不管本项目及合同因何种原因终止，本条款一直约束供应商。</w:t>
      </w:r>
      <w:r/>
    </w:p>
    <w:p>
      <w:pPr>
        <w:pStyle w:val="971"/>
        <w:rPr>
          <w:rFonts w:hint="eastAsia"/>
          <w:color w:val="auto"/>
          <w:lang w:bidi="ar"/>
        </w:rPr>
      </w:pPr>
      <w:r>
        <w:rPr>
          <w:rFonts w:hint="eastAsia"/>
          <w:color w:val="auto"/>
          <w:lang w:bidi="ar"/>
        </w:rPr>
        <w:t xml:space="preserve">2.投标人中标后须按采购人要求签订保密协议，严格遵守保密规定。</w:t>
      </w:r>
      <w:r/>
    </w:p>
    <w:p>
      <w:pPr>
        <w:pStyle w:val="971"/>
        <w:rPr>
          <w:rFonts w:hint="eastAsia"/>
          <w:color w:val="auto"/>
          <w:lang w:bidi="ar"/>
        </w:rPr>
      </w:pPr>
      <w:r>
        <w:rPr>
          <w:rFonts w:hint="eastAsia"/>
          <w:color w:val="auto"/>
          <w:lang w:bidi="ar"/>
        </w:rPr>
        <w:t xml:space="preserve">3.投标人在履行本项目及合同过程中所获得或接触到的任何内部数据资料，未经采购人同意，不得向第三方透露，否则</w:t>
      </w:r>
      <w:r>
        <w:rPr>
          <w:rFonts w:hint="eastAsia"/>
          <w:color w:val="auto"/>
        </w:rPr>
        <w:t xml:space="preserve">承担一切法律后果</w:t>
      </w:r>
      <w:r>
        <w:rPr>
          <w:rFonts w:hint="eastAsia"/>
          <w:color w:val="auto"/>
          <w:lang w:bidi="ar"/>
        </w:rPr>
        <w:t xml:space="preserve">。</w:t>
      </w:r>
      <w:r/>
    </w:p>
    <w:p>
      <w:pPr>
        <w:pStyle w:val="971"/>
        <w:rPr>
          <w:rFonts w:hint="eastAsia"/>
          <w:color w:val="auto"/>
          <w:lang w:bidi="ar"/>
        </w:rPr>
      </w:pPr>
      <w:r>
        <w:rPr>
          <w:rFonts w:hint="eastAsia"/>
          <w:color w:val="auto"/>
          <w:lang w:bidi="ar"/>
        </w:rPr>
        <w:t xml:space="preserve">4.投标人实施项目的一切程序都应符合国家安全、保密的有关规定和标准。</w:t>
      </w:r>
      <w:r/>
    </w:p>
    <w:p>
      <w:pPr>
        <w:pStyle w:val="931"/>
        <w:ind w:firstLine="482"/>
        <w:spacing w:line="440" w:lineRule="exact"/>
        <w:rPr>
          <w:rFonts w:hint="eastAsia" w:ascii="宋体" w:hAnsi="宋体" w:cs="宋体"/>
          <w:b/>
          <w:sz w:val="24"/>
          <w:szCs w:val="24"/>
        </w:rPr>
        <w:outlineLvl w:val="1"/>
      </w:pPr>
      <w:r>
        <w:rPr>
          <w:rFonts w:hint="eastAsia" w:ascii="宋体" w:hAnsi="宋体" w:cs="宋体"/>
          <w:b/>
          <w:sz w:val="24"/>
          <w:szCs w:val="24"/>
        </w:rPr>
        <w:t xml:space="preserve">六、报价方式</w:t>
      </w:r>
      <w:r/>
    </w:p>
    <w:p>
      <w:pPr>
        <w:pStyle w:val="971"/>
        <w:rPr>
          <w:rFonts w:hint="eastAsia"/>
          <w:color w:val="auto"/>
        </w:rPr>
      </w:pPr>
      <w:r>
        <w:rPr>
          <w:rFonts w:hint="eastAsia"/>
          <w:color w:val="auto"/>
        </w:rPr>
        <w:t xml:space="preserve">1. 本项目采用固定单价含税包干报价、按实结算方式，结算单价为330元/份，结算数量以采购人验收合格实际供货数量为准，最终总价不超预算。</w:t>
      </w:r>
      <w:r/>
    </w:p>
    <w:p>
      <w:pPr>
        <w:contextualSpacing/>
        <w:ind w:firstLine="480"/>
        <w:spacing w:line="440" w:lineRule="exact"/>
        <w:tabs>
          <w:tab w:val="left" w:pos="0" w:leader="none"/>
        </w:tabs>
        <w:rPr>
          <w:rFonts w:hint="eastAsia" w:ascii="宋体" w:hAnsi="宋体"/>
          <w:sz w:val="24"/>
        </w:rPr>
      </w:pPr>
      <w:r>
        <w:rPr>
          <w:rFonts w:hint="eastAsia" w:ascii="宋体" w:hAnsi="宋体" w:cs="宋体"/>
          <w:bCs/>
          <w:sz w:val="24"/>
        </w:rPr>
        <w:t xml:space="preserve">2.报价：本项目以优惠率进行报价。</w:t>
      </w:r>
      <w:r>
        <w:rPr>
          <w:rFonts w:ascii="宋体" w:hAnsi="宋体"/>
          <w:sz w:val="24"/>
        </w:rPr>
        <w:t xml:space="preserve">优惠率报价范围为0%</w:t>
      </w:r>
      <w:r>
        <w:rPr>
          <w:rFonts w:hint="eastAsia" w:ascii="宋体" w:hAnsi="宋体"/>
          <w:sz w:val="24"/>
        </w:rPr>
        <w:t xml:space="preserve">（含）</w:t>
      </w:r>
      <w:r>
        <w:rPr>
          <w:rFonts w:hint="eastAsia" w:ascii="宋体" w:hAnsi="宋体"/>
          <w:sz w:val="24"/>
        </w:rPr>
        <w:t xml:space="preserve">至</w:t>
      </w:r>
      <w:r>
        <w:rPr>
          <w:rFonts w:ascii="宋体" w:hAnsi="宋体"/>
          <w:sz w:val="24"/>
        </w:rPr>
        <w:t xml:space="preserve">100%</w:t>
      </w:r>
      <w:r>
        <w:rPr>
          <w:rFonts w:hint="eastAsia" w:ascii="宋体" w:hAnsi="宋体"/>
          <w:sz w:val="24"/>
        </w:rPr>
        <w:t xml:space="preserve">（不含）</w:t>
      </w:r>
      <w:r>
        <w:rPr>
          <w:rFonts w:ascii="宋体" w:hAnsi="宋体"/>
          <w:sz w:val="24"/>
        </w:rPr>
        <w:t xml:space="preserve">，超出此范围视为无效响应</w:t>
      </w:r>
      <w:r>
        <w:rPr>
          <w:rFonts w:hint="eastAsia" w:ascii="宋体" w:hAnsi="宋体"/>
          <w:sz w:val="24"/>
        </w:rPr>
        <w:t xml:space="preserve">。实际供货慰问品的价值为330</w:t>
      </w:r>
      <w:r>
        <w:rPr>
          <w:rFonts w:hint="eastAsia" w:ascii="宋体" w:hAnsi="宋体"/>
          <w:sz w:val="24"/>
        </w:rPr>
        <w:t xml:space="preserve">元 </w:t>
      </w:r>
      <w:r>
        <w:rPr>
          <w:rFonts w:hint="eastAsia" w:ascii="宋体" w:hAnsi="宋体"/>
          <w:sz w:val="24"/>
        </w:rPr>
        <w:t xml:space="preserve">/（1-优惠</w:t>
      </w:r>
      <w:r>
        <w:rPr>
          <w:rFonts w:hint="eastAsia" w:ascii="宋体" w:hAnsi="宋体"/>
          <w:sz w:val="24"/>
        </w:rPr>
        <w:t xml:space="preserve">率），保留两位小数。如：某单位投标优惠率为10%，则实际供货产品的价格为330</w:t>
      </w:r>
      <w:r>
        <w:rPr>
          <w:rFonts w:hint="eastAsia" w:ascii="宋体" w:hAnsi="宋体"/>
          <w:sz w:val="24"/>
        </w:rPr>
        <w:t xml:space="preserve">元</w:t>
      </w:r>
      <w:r>
        <w:rPr>
          <w:rFonts w:hint="eastAsia" w:ascii="宋体" w:hAnsi="宋体"/>
          <w:sz w:val="24"/>
        </w:rPr>
        <w:t xml:space="preserve">/（1-10%）=366.66元。</w:t>
      </w:r>
      <w:r/>
    </w:p>
    <w:p>
      <w:pPr>
        <w:pStyle w:val="971"/>
        <w:rPr>
          <w:rFonts w:hint="eastAsia"/>
          <w:color w:val="auto"/>
        </w:rPr>
      </w:pPr>
      <w:r>
        <w:rPr>
          <w:rFonts w:hint="eastAsia"/>
          <w:color w:val="auto"/>
        </w:rPr>
        <w:t xml:space="preserve">3. 投标报价为完成本项目全部工作内容的全费用包干价，包含但不限于：中标供应商负责完成全部慰问品的包装、运输、卸货、搬运、就位摆放，全过程产生的运输费、装卸费、保险费、人工费、二次转运费等所有费用，均包含在投标报价中，采购人不另行支付。慰问品运输、装卸过程中产生的破损、遗失、磕碰等一切风险及损失均由中标供应商自行承担。</w:t>
      </w:r>
      <w:r/>
    </w:p>
    <w:p>
      <w:pPr>
        <w:pStyle w:val="971"/>
        <w:rPr>
          <w:rFonts w:hint="eastAsia"/>
          <w:color w:val="auto"/>
        </w:rPr>
      </w:pPr>
      <w:r>
        <w:rPr>
          <w:rFonts w:hint="eastAsia"/>
          <w:color w:val="auto"/>
        </w:rPr>
        <w:t xml:space="preserve">4. 本项目无任何隐形增项费用，采购人不再支付合同及招标文件约定外的任何费用。投标报价漏项、缺项均视为投标人自主风险，由投标人自行承担，不得以此申请加价、索赔。</w:t>
      </w:r>
      <w:r/>
    </w:p>
    <w:p>
      <w:pPr>
        <w:pStyle w:val="931"/>
        <w:ind w:firstLine="482"/>
        <w:spacing w:line="440" w:lineRule="exact"/>
        <w:rPr>
          <w:rFonts w:hint="eastAsia" w:ascii="宋体" w:hAnsi="宋体" w:cs="宋体"/>
          <w:b/>
          <w:sz w:val="24"/>
          <w:szCs w:val="24"/>
        </w:rPr>
        <w:outlineLvl w:val="1"/>
      </w:pPr>
      <w:r>
        <w:rPr>
          <w:rFonts w:hint="eastAsia" w:ascii="宋体" w:hAnsi="宋体" w:cs="宋体"/>
          <w:b/>
          <w:sz w:val="24"/>
          <w:szCs w:val="24"/>
        </w:rPr>
        <w:t xml:space="preserve">七、样品要求：</w:t>
      </w:r>
      <w:r/>
    </w:p>
    <w:p>
      <w:pPr>
        <w:pStyle w:val="971"/>
        <w:rPr>
          <w:rFonts w:hint="eastAsia"/>
          <w:color w:val="auto"/>
        </w:rPr>
      </w:pPr>
      <w:r>
        <w:rPr>
          <w:rFonts w:hint="eastAsia"/>
          <w:color w:val="auto"/>
        </w:rPr>
        <w:t xml:space="preserve">（一）样品清单：</w:t>
      </w:r>
      <w:r/>
    </w:p>
    <w:tbl>
      <w:tblPr>
        <w:tblW w:w="7887" w:type="dxa"/>
        <w:jc w:val="center"/>
        <w:tblLayout w:type="fixed"/>
        <w:tblLook w:val="04A0" w:firstRow="1" w:lastRow="0" w:firstColumn="1" w:lastColumn="0" w:noHBand="0" w:noVBand="1"/>
      </w:tblPr>
      <w:tblGrid>
        <w:gridCol w:w="700"/>
        <w:gridCol w:w="1795"/>
        <w:gridCol w:w="1210"/>
        <w:gridCol w:w="1247"/>
        <w:gridCol w:w="2935"/>
      </w:tblGrid>
      <w:tr>
        <w:trPr>
          <w:jc w:val="center"/>
          <w:trHeight w:val="39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00" w:type="dxa"/>
            <w:vAlign w:val="center"/>
            <w:textDirection w:val="lrTb"/>
            <w:noWrap w:val="false"/>
          </w:tcPr>
          <w:p>
            <w:pPr>
              <w:jc w:val="center"/>
              <w:spacing w:line="276" w:lineRule="auto"/>
              <w:rPr>
                <w:rFonts w:hint="eastAsia" w:ascii="宋体" w:hAnsi="宋体" w:cs="宋体"/>
                <w:b/>
                <w:bCs/>
                <w:szCs w:val="21"/>
              </w:rPr>
            </w:pPr>
            <w:r>
              <w:rPr>
                <w:rFonts w:hint="eastAsia" w:ascii="宋体" w:hAnsi="宋体" w:cs="宋体"/>
                <w:b/>
                <w:bCs/>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95" w:type="dxa"/>
            <w:vAlign w:val="center"/>
            <w:textDirection w:val="lrTb"/>
            <w:noWrap w:val="false"/>
          </w:tcPr>
          <w:p>
            <w:pPr>
              <w:jc w:val="center"/>
              <w:spacing w:line="276" w:lineRule="auto"/>
              <w:rPr>
                <w:rFonts w:hint="eastAsia" w:ascii="宋体" w:hAnsi="宋体" w:cs="宋体"/>
                <w:b/>
                <w:bCs/>
                <w:szCs w:val="21"/>
              </w:rPr>
            </w:pPr>
            <w:r>
              <w:rPr>
                <w:rFonts w:hint="eastAsia" w:ascii="宋体" w:hAnsi="宋体" w:cs="宋体"/>
                <w:b/>
                <w:bCs/>
                <w:szCs w:val="21"/>
              </w:rPr>
              <w:t xml:space="preserve">样品名称</w:t>
            </w:r>
            <w:r/>
          </w:p>
        </w:tc>
        <w:tc>
          <w:tcPr>
            <w:tcBorders>
              <w:top w:val="single" w:color="000000" w:sz="4" w:space="0"/>
              <w:left w:val="single" w:color="000000" w:sz="4" w:space="0"/>
              <w:bottom w:val="single" w:color="auto" w:sz="4" w:space="0"/>
              <w:right w:val="single" w:color="000000" w:sz="4" w:space="0"/>
            </w:tcBorders>
            <w:tcW w:w="1210" w:type="dxa"/>
            <w:vAlign w:val="center"/>
            <w:textDirection w:val="lrTb"/>
            <w:noWrap w:val="false"/>
          </w:tcPr>
          <w:p>
            <w:pPr>
              <w:jc w:val="center"/>
              <w:spacing w:line="276" w:lineRule="auto"/>
              <w:rPr>
                <w:rFonts w:hint="eastAsia" w:ascii="宋体" w:hAnsi="宋体" w:cs="宋体"/>
                <w:b/>
                <w:bCs/>
                <w:szCs w:val="21"/>
              </w:rPr>
            </w:pPr>
            <w:r>
              <w:rPr>
                <w:rFonts w:hint="eastAsia" w:ascii="宋体" w:hAnsi="宋体" w:cs="宋体"/>
                <w:b/>
                <w:bCs/>
                <w:szCs w:val="21"/>
              </w:rPr>
              <w:t xml:space="preserve">数量</w:t>
            </w:r>
            <w:r/>
          </w:p>
        </w:tc>
        <w:tc>
          <w:tcPr>
            <w:tcBorders>
              <w:top w:val="single" w:color="000000" w:sz="4" w:space="0"/>
              <w:left w:val="single" w:color="000000" w:sz="4" w:space="0"/>
              <w:bottom w:val="single" w:color="auto" w:sz="4" w:space="0"/>
              <w:right w:val="single" w:color="000000" w:sz="4" w:space="0"/>
            </w:tcBorders>
            <w:tcW w:w="1247" w:type="dxa"/>
            <w:vAlign w:val="center"/>
            <w:textDirection w:val="lrTb"/>
            <w:noWrap w:val="false"/>
          </w:tcPr>
          <w:p>
            <w:pPr>
              <w:jc w:val="center"/>
              <w:spacing w:line="276" w:lineRule="auto"/>
              <w:rPr>
                <w:rFonts w:hint="eastAsia" w:ascii="宋体" w:hAnsi="宋体" w:cs="宋体"/>
                <w:b/>
                <w:bCs/>
                <w:szCs w:val="21"/>
              </w:rPr>
            </w:pPr>
            <w:r>
              <w:rPr>
                <w:rFonts w:hint="eastAsia" w:ascii="宋体" w:hAnsi="宋体" w:cs="宋体"/>
                <w:b/>
                <w:bCs/>
                <w:szCs w:val="21"/>
              </w:rPr>
              <w:t xml:space="preserve">单位</w:t>
            </w:r>
            <w:r/>
          </w:p>
        </w:tc>
        <w:tc>
          <w:tcPr>
            <w:tcBorders>
              <w:top w:val="single" w:color="000000" w:sz="4" w:space="0"/>
              <w:left w:val="single" w:color="000000" w:sz="4" w:space="0"/>
              <w:bottom w:val="single" w:color="auto" w:sz="4" w:space="0"/>
              <w:right w:val="single" w:color="000000" w:sz="4" w:space="0"/>
            </w:tcBorders>
            <w:tcW w:w="2935" w:type="dxa"/>
            <w:vAlign w:val="center"/>
            <w:textDirection w:val="lrTb"/>
            <w:noWrap w:val="false"/>
          </w:tcPr>
          <w:p>
            <w:pPr>
              <w:jc w:val="center"/>
              <w:spacing w:line="276" w:lineRule="auto"/>
              <w:rPr>
                <w:rFonts w:hint="eastAsia" w:ascii="宋体" w:hAnsi="宋体" w:cs="宋体"/>
                <w:b/>
                <w:bCs/>
                <w:szCs w:val="21"/>
              </w:rPr>
            </w:pPr>
            <w:r>
              <w:rPr>
                <w:rFonts w:hint="eastAsia" w:ascii="宋体" w:hAnsi="宋体" w:cs="宋体"/>
                <w:b/>
                <w:bCs/>
                <w:szCs w:val="21"/>
              </w:rPr>
              <w:t xml:space="preserve">备注</w:t>
            </w:r>
            <w:r/>
          </w:p>
        </w:tc>
      </w:tr>
      <w:tr>
        <w:trPr>
          <w:jc w:val="cente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0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179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样品组合方案</w:t>
            </w:r>
            <w:r/>
          </w:p>
        </w:tc>
        <w:tc>
          <w:tcPr>
            <w:tcBorders>
              <w:top w:val="single" w:color="auto" w:sz="4" w:space="0"/>
              <w:left w:val="single" w:color="auto" w:sz="4" w:space="0"/>
              <w:bottom w:val="single" w:color="auto" w:sz="4" w:space="0"/>
              <w:right w:val="single" w:color="000000" w:sz="4" w:space="0"/>
            </w:tcBorders>
            <w:tcW w:w="121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tcBorders>
              <w:top w:val="single" w:color="auto" w:sz="4" w:space="0"/>
              <w:left w:val="single" w:color="000000" w:sz="4" w:space="0"/>
              <w:bottom w:val="single" w:color="auto" w:sz="4" w:space="0"/>
              <w:right w:val="single" w:color="000000" w:sz="4" w:space="0"/>
            </w:tcBorders>
            <w:tcW w:w="124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套</w:t>
            </w:r>
            <w:r/>
          </w:p>
        </w:tc>
        <w:tc>
          <w:tcPr>
            <w:tcBorders>
              <w:top w:val="single" w:color="auto" w:sz="4" w:space="0"/>
              <w:left w:val="single" w:color="000000" w:sz="4" w:space="0"/>
              <w:bottom w:val="single" w:color="auto" w:sz="4" w:space="0"/>
              <w:right w:val="single" w:color="auto" w:sz="4" w:space="0"/>
            </w:tcBorders>
            <w:tcW w:w="2935" w:type="dxa"/>
            <w:vAlign w:val="center"/>
            <w:textDirection w:val="lrTb"/>
            <w:noWrap w:val="false"/>
          </w:tcPr>
          <w:p>
            <w:pPr>
              <w:rPr>
                <w:rFonts w:hint="eastAsia" w:ascii="宋体" w:hAnsi="宋体" w:cs="宋体"/>
                <w:szCs w:val="21"/>
              </w:rPr>
            </w:pPr>
            <w:r>
              <w:rPr>
                <w:rFonts w:hint="eastAsia" w:ascii="宋体" w:hAnsi="宋体" w:cs="宋体"/>
                <w:szCs w:val="21"/>
              </w:rPr>
              <w:t xml:space="preserve">组合样品放置于包装箱内，外包装印刷字体和内容任意，主要体现印刷效果</w:t>
            </w:r>
            <w:r/>
          </w:p>
        </w:tc>
      </w:tr>
    </w:tbl>
    <w:p>
      <w:pPr>
        <w:pStyle w:val="971"/>
        <w:rPr>
          <w:rFonts w:hint="eastAsia"/>
          <w:color w:val="auto"/>
        </w:rPr>
      </w:pPr>
      <w:r>
        <w:rPr>
          <w:rFonts w:hint="eastAsia"/>
          <w:color w:val="auto"/>
        </w:rPr>
        <w:t xml:space="preserve">（二）送样要求：</w:t>
      </w:r>
      <w:r/>
    </w:p>
    <w:p>
      <w:pPr>
        <w:pStyle w:val="971"/>
        <w:rPr>
          <w:rFonts w:hint="eastAsia"/>
          <w:color w:val="auto"/>
        </w:rPr>
      </w:pPr>
      <w:r>
        <w:rPr>
          <w:rFonts w:hint="eastAsia"/>
          <w:color w:val="auto"/>
        </w:rPr>
        <w:t xml:space="preserve">1.各投标人提供的样品不能出现投标人的标志、标记，否则无响应效。样品包装箱外须粘贴标签（标签不大于10cm×8cm，格式参考如下），在标签上注明项目名称、投标人名称并加盖投标人公章；该标签须粘贴牢固，并用不透明白纸将标签沿四周粘贴遮盖。</w:t>
      </w:r>
      <w:r/>
    </w:p>
    <w:tbl>
      <w:tblPr>
        <w:tblW w:w="46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94"/>
      </w:tblGrid>
      <w:tr>
        <w:trPr>
          <w:jc w:val="center"/>
          <w:trHeight w:val="311"/>
        </w:trPr>
        <w:tc>
          <w:tcPr>
            <w:tcW w:w="469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样品标签</w:t>
            </w:r>
            <w:r/>
          </w:p>
        </w:tc>
      </w:tr>
      <w:tr>
        <w:trPr>
          <w:jc w:val="center"/>
          <w:trHeight w:val="623"/>
        </w:trPr>
        <w:tc>
          <w:tcPr>
            <w:tcW w:w="4694"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t xml:space="preserve">xxxxxxxxxxxxx</w:t>
            </w:r>
            <w:r/>
          </w:p>
        </w:tc>
      </w:tr>
      <w:tr>
        <w:trPr>
          <w:jc w:val="center"/>
          <w:trHeight w:val="1556"/>
        </w:trPr>
        <w:tc>
          <w:tcPr>
            <w:tcW w:w="4694"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投标人名称：</w:t>
            </w:r>
            <w:r/>
          </w:p>
          <w:p>
            <w:pPr>
              <w:jc w:val="center"/>
              <w:spacing w:line="360" w:lineRule="auto"/>
              <w:rPr>
                <w:rFonts w:hint="eastAsia" w:ascii="宋体" w:hAnsi="宋体" w:cs="宋体"/>
                <w:szCs w:val="21"/>
              </w:rPr>
            </w:pPr>
            <w:r>
              <w:rPr>
                <w:rFonts w:hint="eastAsia" w:ascii="宋体" w:hAnsi="宋体" w:cs="宋体"/>
                <w:szCs w:val="21"/>
              </w:rPr>
            </w:r>
            <w:r/>
          </w:p>
          <w:p>
            <w:pPr>
              <w:jc w:val="right"/>
              <w:spacing w:line="360" w:lineRule="auto"/>
              <w:rPr>
                <w:rFonts w:hint="eastAsia" w:ascii="宋体" w:hAnsi="宋体" w:cs="宋体"/>
                <w:szCs w:val="21"/>
              </w:rPr>
            </w:pPr>
            <w:r>
              <w:rPr>
                <w:rFonts w:hint="eastAsia" w:ascii="宋体" w:hAnsi="宋体" w:cs="宋体"/>
                <w:szCs w:val="21"/>
              </w:rPr>
              <w:t xml:space="preserve">（公章）</w:t>
            </w:r>
            <w:r/>
          </w:p>
          <w:p>
            <w:pPr>
              <w:jc w:val="right"/>
              <w:spacing w:line="360" w:lineRule="auto"/>
              <w:rPr>
                <w:rFonts w:hint="eastAsia" w:ascii="宋体" w:hAnsi="宋体" w:cs="宋体"/>
                <w:szCs w:val="21"/>
              </w:rPr>
            </w:pPr>
            <w:r>
              <w:rPr>
                <w:rFonts w:hint="eastAsia" w:ascii="宋体" w:hAnsi="宋体" w:cs="宋体"/>
                <w:szCs w:val="21"/>
              </w:rPr>
              <w:t xml:space="preserve">日期：2026</w:t>
            </w:r>
            <w:r>
              <w:rPr>
                <w:rFonts w:hint="eastAsia" w:ascii="宋体" w:hAnsi="宋体" w:cs="宋体"/>
                <w:szCs w:val="21"/>
              </w:rPr>
              <w:t xml:space="preserve">年  月</w:t>
            </w:r>
            <w:r>
              <w:rPr>
                <w:rFonts w:hint="eastAsia" w:ascii="宋体" w:hAnsi="宋体" w:cs="宋体"/>
                <w:szCs w:val="21"/>
              </w:rPr>
              <w:t xml:space="preserve">  日</w:t>
            </w:r>
            <w:r/>
          </w:p>
        </w:tc>
      </w:tr>
    </w:tbl>
    <w:p>
      <w:pPr>
        <w:pStyle w:val="971"/>
        <w:rPr>
          <w:rFonts w:hint="eastAsia"/>
          <w:color w:val="auto"/>
        </w:rPr>
      </w:pPr>
      <w:r>
        <w:rPr>
          <w:rFonts w:hint="eastAsia"/>
          <w:color w:val="auto"/>
        </w:rPr>
        <w:t xml:space="preserve">2.各投标人的样品送样后进行编号登记，评委以编号为单位进行独立评定，评委有权对其样品进行破坏性检测，样品制作及运输费用由投标自行承担，投标样品所有费用由投标人自行承担。</w:t>
      </w:r>
      <w:r/>
    </w:p>
    <w:p>
      <w:pPr>
        <w:pStyle w:val="971"/>
        <w:rPr>
          <w:rFonts w:hint="eastAsia"/>
          <w:color w:val="auto"/>
        </w:rPr>
      </w:pPr>
      <w:r>
        <w:rPr>
          <w:rFonts w:hint="eastAsia"/>
          <w:color w:val="auto"/>
        </w:rPr>
        <w:t xml:space="preserve">3.为保证各投标人的产品专利权，各供应商不允许查看其它单位样品。现场</w:t>
      </w:r>
      <w:r>
        <w:rPr>
          <w:rFonts w:hint="eastAsia"/>
          <w:color w:val="auto"/>
        </w:rPr>
        <w:t xml:space="preserve">不能进行拍照或者录像，否则取消相关单位投标资格，相关后果自负。</w:t>
      </w:r>
      <w:r/>
    </w:p>
    <w:p>
      <w:pPr>
        <w:pStyle w:val="971"/>
        <w:rPr>
          <w:rFonts w:hint="eastAsia"/>
          <w:color w:val="auto"/>
        </w:rPr>
      </w:pPr>
      <w:r>
        <w:rPr>
          <w:rFonts w:hint="eastAsia"/>
          <w:color w:val="auto"/>
        </w:rPr>
        <w:t xml:space="preserve">4.中标单位的样品将不予退回，待成交单位领取中标（成交）通知书时自行将封存样品送至采购人处，作为最终验收的依据之一。其余样品在采购结果公告发出后七个工作日到采购代理机构领回，如需要可能会延长样品保管期限。各投标人逾期未领回样品的，采购代理机构将不再替投标人保存其样品，直接自行处理。</w:t>
      </w:r>
      <w:r/>
    </w:p>
    <w:p>
      <w:pPr>
        <w:pStyle w:val="971"/>
        <w:rPr>
          <w:rFonts w:hint="eastAsia"/>
          <w:color w:val="auto"/>
        </w:rPr>
      </w:pPr>
      <w:r>
        <w:rPr>
          <w:rFonts w:hint="eastAsia"/>
          <w:color w:val="auto"/>
        </w:rPr>
        <w:t xml:space="preserve">送样地址：常州市新北区汉江路368号金城大厦19楼1910</w:t>
      </w:r>
      <w:r/>
    </w:p>
    <w:p>
      <w:pPr>
        <w:pStyle w:val="971"/>
        <w:rPr>
          <w:rFonts w:hint="eastAsia"/>
          <w:b/>
          <w:bCs/>
          <w:color w:val="auto"/>
        </w:rPr>
      </w:pPr>
      <w:r>
        <w:rPr>
          <w:rFonts w:hint="eastAsia"/>
          <w:b/>
          <w:bCs/>
          <w:color w:val="auto"/>
        </w:rPr>
        <w:t xml:space="preserve">送样时间：2026年11月</w:t>
      </w:r>
      <w:r>
        <w:rPr>
          <w:rFonts w:hint="eastAsia"/>
          <w:b/>
          <w:bCs/>
          <w:color w:val="auto"/>
        </w:rPr>
        <w:t xml:space="preserve">17</w:t>
      </w:r>
      <w:r>
        <w:rPr>
          <w:rFonts w:hint="eastAsia"/>
          <w:b/>
          <w:bCs/>
          <w:color w:val="auto"/>
        </w:rPr>
        <w:t xml:space="preserve">日</w:t>
      </w:r>
      <w:r>
        <w:rPr>
          <w:rFonts w:hint="eastAsia"/>
          <w:b/>
          <w:bCs/>
          <w:color w:val="auto"/>
        </w:rPr>
        <w:t xml:space="preserve">8</w:t>
      </w:r>
      <w:r>
        <w:rPr>
          <w:rFonts w:hint="eastAsia"/>
          <w:b/>
          <w:bCs/>
          <w:color w:val="auto"/>
        </w:rPr>
        <w:t xml:space="preserve">:30</w:t>
      </w:r>
      <w:r>
        <w:rPr>
          <w:b/>
          <w:bCs/>
          <w:color w:val="auto"/>
        </w:rPr>
        <w:t xml:space="preserve">—</w:t>
      </w:r>
      <w:r>
        <w:rPr>
          <w:rFonts w:hint="eastAsia"/>
          <w:b/>
          <w:bCs/>
          <w:color w:val="auto"/>
        </w:rPr>
        <w:t xml:space="preserve">11:30，逾期不再接收。</w:t>
      </w:r>
      <w:r/>
    </w:p>
    <w:tbl>
      <w:tblPr>
        <w:tblW w:w="8620" w:type="dxa"/>
        <w:jc w:val="center"/>
        <w:tblLayout w:type="fixed"/>
        <w:tblLook w:val="04A0" w:firstRow="1" w:lastRow="0" w:firstColumn="1" w:lastColumn="0" w:noHBand="0" w:noVBand="1"/>
      </w:tblPr>
      <w:tblGrid>
        <w:gridCol w:w="1110"/>
        <w:gridCol w:w="2904"/>
        <w:gridCol w:w="794"/>
        <w:gridCol w:w="15"/>
        <w:gridCol w:w="980"/>
        <w:gridCol w:w="15"/>
        <w:gridCol w:w="1112"/>
        <w:gridCol w:w="15"/>
        <w:gridCol w:w="1649"/>
        <w:gridCol w:w="26"/>
      </w:tblGrid>
      <w:tr>
        <w:trPr>
          <w:jc w:val="center"/>
          <w:trHeight w:val="518"/>
        </w:trPr>
        <w:tc>
          <w:tcPr>
            <w:gridSpan w:val="10"/>
            <w:tcBorders>
              <w:top w:val="none" w:color="000000" w:sz="4" w:space="0"/>
              <w:left w:val="none" w:color="000000" w:sz="4" w:space="0"/>
              <w:bottom w:val="none" w:color="000000" w:sz="4" w:space="0"/>
              <w:right w:val="none" w:color="000000" w:sz="4" w:space="0"/>
            </w:tcBorders>
            <w:tcW w:w="8620" w:type="dxa"/>
            <w:vAlign w:val="center"/>
            <w:textDirection w:val="lrTb"/>
            <w:noWrap w:val="false"/>
          </w:tcPr>
          <w:p>
            <w:pPr>
              <w:pStyle w:val="911"/>
              <w:jc w:val="center"/>
              <w:spacing w:before="0" w:beforeAutospacing="0" w:after="0" w:afterAutospacing="0" w:line="240" w:lineRule="atLeast"/>
              <w:rPr>
                <w:rFonts w:hint="eastAsia" w:ascii="宋体" w:hAnsi="宋体" w:eastAsia="宋体" w:cs="宋体"/>
                <w:sz w:val="21"/>
                <w:szCs w:val="21"/>
              </w:rPr>
            </w:pPr>
            <w:r>
              <w:rPr>
                <w:rFonts w:hint="eastAsia" w:ascii="宋体" w:hAnsi="宋体" w:eastAsia="宋体" w:cs="宋体"/>
                <w:bCs/>
                <w:sz w:val="21"/>
                <w:szCs w:val="21"/>
              </w:rPr>
              <w:t xml:space="preserve">送  样</w:t>
            </w:r>
            <w:r>
              <w:rPr>
                <w:rFonts w:hint="eastAsia" w:ascii="宋体" w:hAnsi="宋体" w:eastAsia="宋体" w:cs="宋体"/>
                <w:bCs/>
                <w:sz w:val="21"/>
                <w:szCs w:val="21"/>
              </w:rPr>
              <w:t xml:space="preserve">  表</w:t>
            </w:r>
            <w:r/>
          </w:p>
        </w:tc>
      </w:tr>
      <w:tr>
        <w:trPr>
          <w:jc w:val="center"/>
          <w:trHeight w:val="521"/>
        </w:trPr>
        <w:tc>
          <w:tcPr>
            <w:gridSpan w:val="4"/>
            <w:tcBorders>
              <w:top w:val="none" w:color="000000" w:sz="4" w:space="0"/>
              <w:left w:val="none" w:color="000000" w:sz="4" w:space="0"/>
              <w:bottom w:val="none" w:color="000000" w:sz="4" w:space="0"/>
              <w:right w:val="none" w:color="000000" w:sz="4" w:space="0"/>
            </w:tcBorders>
            <w:tcW w:w="4823" w:type="dxa"/>
            <w:vAlign w:val="center"/>
            <w:textDirection w:val="lrTb"/>
            <w:noWrap w:val="false"/>
          </w:tcPr>
          <w:p>
            <w:pPr>
              <w:pStyle w:val="911"/>
              <w:jc w:val="both"/>
              <w:spacing w:before="0" w:beforeAutospacing="0" w:after="0" w:afterAutospacing="0" w:line="240" w:lineRule="atLeast"/>
              <w:rPr>
                <w:rFonts w:hint="eastAsia" w:ascii="宋体" w:hAnsi="宋体" w:eastAsia="宋体" w:cs="宋体"/>
                <w:sz w:val="21"/>
                <w:szCs w:val="21"/>
              </w:rPr>
            </w:pPr>
            <w:r>
              <w:rPr>
                <w:rFonts w:hint="eastAsia" w:ascii="宋体" w:hAnsi="宋体" w:eastAsia="宋体" w:cs="宋体"/>
                <w:bCs/>
                <w:sz w:val="21"/>
                <w:szCs w:val="21"/>
              </w:rPr>
              <w:t xml:space="preserve">项目名称： </w:t>
            </w:r>
            <w:r/>
          </w:p>
        </w:tc>
        <w:tc>
          <w:tcPr>
            <w:gridSpan w:val="6"/>
            <w:tcBorders>
              <w:top w:val="none" w:color="000000" w:sz="4" w:space="0"/>
              <w:left w:val="none" w:color="000000" w:sz="4" w:space="0"/>
              <w:bottom w:val="none" w:color="000000" w:sz="4" w:space="0"/>
              <w:right w:val="none" w:color="000000" w:sz="4" w:space="0"/>
            </w:tcBorders>
            <w:tcW w:w="3797" w:type="dxa"/>
            <w:vAlign w:val="center"/>
            <w:textDirection w:val="lrTb"/>
            <w:noWrap w:val="false"/>
          </w:tcPr>
          <w:p>
            <w:pPr>
              <w:pStyle w:val="911"/>
              <w:spacing w:before="0" w:beforeAutospacing="0" w:after="0" w:afterAutospacing="0" w:line="240" w:lineRule="atLeast"/>
              <w:rPr>
                <w:rFonts w:hint="eastAsia" w:ascii="宋体" w:hAnsi="宋体" w:eastAsia="宋体" w:cs="宋体"/>
                <w:sz w:val="21"/>
                <w:szCs w:val="21"/>
              </w:rPr>
            </w:pPr>
            <w:r>
              <w:rPr>
                <w:rFonts w:hint="eastAsia" w:ascii="宋体" w:hAnsi="宋体" w:eastAsia="宋体" w:cs="宋体"/>
                <w:bCs/>
                <w:sz w:val="21"/>
                <w:szCs w:val="21"/>
              </w:rPr>
              <w:t xml:space="preserve">项目编号：</w:t>
            </w:r>
            <w:r>
              <w:rPr>
                <w:rFonts w:hint="eastAsia" w:ascii="宋体" w:hAnsi="宋体" w:eastAsia="宋体" w:cs="宋体"/>
                <w:sz w:val="21"/>
                <w:szCs w:val="21"/>
              </w:rPr>
              <w:t xml:space="preserve"> </w:t>
            </w:r>
            <w:r/>
          </w:p>
        </w:tc>
      </w:tr>
      <w:tr>
        <w:trPr>
          <w:jc w:val="center"/>
          <w:trHeight w:val="379"/>
        </w:trPr>
        <w:tc>
          <w:tcPr>
            <w:gridSpan w:val="2"/>
            <w:tcBorders>
              <w:top w:val="none" w:color="000000" w:sz="4" w:space="0"/>
              <w:left w:val="none" w:color="000000" w:sz="4" w:space="0"/>
              <w:bottom w:val="single" w:color="auto" w:sz="4" w:space="0"/>
              <w:right w:val="none" w:color="000000" w:sz="4" w:space="0"/>
            </w:tcBorders>
            <w:tcW w:w="4014" w:type="dxa"/>
            <w:vAlign w:val="center"/>
            <w:textDirection w:val="lrTb"/>
            <w:noWrap w:val="false"/>
          </w:tcPr>
          <w:p>
            <w:pPr>
              <w:pStyle w:val="911"/>
              <w:jc w:val="both"/>
              <w:spacing w:before="0" w:beforeAutospacing="0" w:after="0" w:afterAutospacing="0" w:line="240" w:lineRule="atLeast"/>
              <w:rPr>
                <w:rFonts w:hint="eastAsia" w:ascii="宋体" w:hAnsi="宋体" w:eastAsia="宋体" w:cs="宋体"/>
                <w:sz w:val="21"/>
                <w:szCs w:val="21"/>
              </w:rPr>
            </w:pPr>
            <w:r>
              <w:rPr>
                <w:rFonts w:hint="eastAsia" w:ascii="宋体" w:hAnsi="宋体" w:eastAsia="宋体" w:cs="宋体"/>
                <w:bCs/>
                <w:sz w:val="21"/>
                <w:szCs w:val="21"/>
              </w:rPr>
              <w:t xml:space="preserve">投标单位（公章）：</w:t>
            </w:r>
            <w:r/>
          </w:p>
        </w:tc>
        <w:tc>
          <w:tcPr>
            <w:gridSpan w:val="2"/>
            <w:tcBorders>
              <w:top w:val="none" w:color="000000" w:sz="4" w:space="0"/>
              <w:left w:val="none" w:color="000000" w:sz="4" w:space="0"/>
              <w:bottom w:val="single" w:color="auto" w:sz="4" w:space="0"/>
              <w:right w:val="none" w:color="000000" w:sz="4" w:space="0"/>
            </w:tcBorders>
            <w:tcW w:w="809" w:type="dxa"/>
            <w:vAlign w:val="center"/>
            <w:textDirection w:val="lrTb"/>
            <w:noWrap w:val="false"/>
          </w:tcPr>
          <w:p>
            <w:pPr>
              <w:pStyle w:val="911"/>
              <w:jc w:val="center"/>
              <w:spacing w:before="0" w:beforeAutospacing="0" w:after="0" w:afterAutospacing="0" w:line="240" w:lineRule="atLeast"/>
              <w:rPr>
                <w:rFonts w:hint="eastAsia" w:ascii="宋体" w:hAnsi="宋体" w:eastAsia="宋体" w:cs="宋体"/>
                <w:sz w:val="21"/>
                <w:szCs w:val="21"/>
              </w:rPr>
            </w:pPr>
            <w:r>
              <w:rPr>
                <w:rFonts w:hint="eastAsia" w:ascii="宋体" w:hAnsi="宋体" w:eastAsia="宋体" w:cs="宋体"/>
                <w:bCs/>
                <w:sz w:val="21"/>
                <w:szCs w:val="21"/>
              </w:rPr>
              <w:t xml:space="preserve"> </w:t>
            </w:r>
            <w:r/>
          </w:p>
        </w:tc>
        <w:tc>
          <w:tcPr>
            <w:gridSpan w:val="2"/>
            <w:tcBorders>
              <w:top w:val="none" w:color="000000" w:sz="4" w:space="0"/>
              <w:left w:val="none" w:color="000000" w:sz="4" w:space="0"/>
              <w:bottom w:val="single" w:color="auto" w:sz="4" w:space="0"/>
              <w:right w:val="none" w:color="000000" w:sz="4" w:space="0"/>
            </w:tcBorders>
            <w:tcW w:w="995" w:type="dxa"/>
            <w:vAlign w:val="center"/>
            <w:textDirection w:val="lrTb"/>
            <w:noWrap w:val="false"/>
          </w:tcPr>
          <w:p>
            <w:pPr>
              <w:pStyle w:val="911"/>
              <w:jc w:val="center"/>
              <w:spacing w:before="0" w:beforeAutospacing="0" w:after="0" w:afterAutospacing="0" w:line="240" w:lineRule="atLeast"/>
              <w:rPr>
                <w:rFonts w:hint="eastAsia" w:ascii="宋体" w:hAnsi="宋体" w:eastAsia="宋体" w:cs="宋体"/>
                <w:sz w:val="21"/>
                <w:szCs w:val="21"/>
              </w:rPr>
            </w:pPr>
            <w:r>
              <w:rPr>
                <w:rFonts w:hint="eastAsia" w:ascii="宋体" w:hAnsi="宋体" w:eastAsia="宋体" w:cs="宋体"/>
                <w:bCs/>
                <w:sz w:val="21"/>
                <w:szCs w:val="21"/>
              </w:rPr>
              <w:t xml:space="preserve"> </w:t>
            </w:r>
            <w:r/>
          </w:p>
        </w:tc>
        <w:tc>
          <w:tcPr>
            <w:gridSpan w:val="2"/>
            <w:tcBorders>
              <w:top w:val="none" w:color="000000" w:sz="4" w:space="0"/>
              <w:left w:val="none" w:color="000000" w:sz="4" w:space="0"/>
              <w:bottom w:val="single" w:color="auto" w:sz="4" w:space="0"/>
              <w:right w:val="none" w:color="000000" w:sz="4" w:space="0"/>
            </w:tcBorders>
            <w:tcW w:w="1127" w:type="dxa"/>
            <w:vAlign w:val="center"/>
            <w:textDirection w:val="lrTb"/>
            <w:noWrap w:val="false"/>
          </w:tcPr>
          <w:p>
            <w:pPr>
              <w:pStyle w:val="911"/>
              <w:jc w:val="center"/>
              <w:spacing w:before="0" w:beforeAutospacing="0" w:after="0" w:afterAutospacing="0" w:line="240" w:lineRule="atLeast"/>
              <w:rPr>
                <w:rFonts w:hint="eastAsia" w:ascii="宋体" w:hAnsi="宋体" w:eastAsia="宋体" w:cs="宋体"/>
                <w:sz w:val="21"/>
                <w:szCs w:val="21"/>
              </w:rPr>
            </w:pPr>
            <w:r>
              <w:rPr>
                <w:rFonts w:hint="eastAsia" w:ascii="宋体" w:hAnsi="宋体" w:eastAsia="宋体" w:cs="宋体"/>
                <w:bCs/>
                <w:sz w:val="21"/>
                <w:szCs w:val="21"/>
              </w:rPr>
              <w:t xml:space="preserve"> </w:t>
            </w:r>
            <w:r/>
          </w:p>
        </w:tc>
        <w:tc>
          <w:tcPr>
            <w:gridSpan w:val="2"/>
            <w:tcBorders>
              <w:top w:val="none" w:color="000000" w:sz="4" w:space="0"/>
              <w:left w:val="none" w:color="000000" w:sz="4" w:space="0"/>
              <w:bottom w:val="single" w:color="auto" w:sz="4" w:space="0"/>
              <w:right w:val="none" w:color="000000" w:sz="4" w:space="0"/>
            </w:tcBorders>
            <w:tcW w:w="1675" w:type="dxa"/>
            <w:vAlign w:val="center"/>
            <w:textDirection w:val="lrTb"/>
            <w:noWrap w:val="false"/>
          </w:tcPr>
          <w:p>
            <w:pPr>
              <w:pStyle w:val="911"/>
              <w:jc w:val="center"/>
              <w:spacing w:before="0" w:beforeAutospacing="0" w:after="0" w:afterAutospacing="0" w:line="240" w:lineRule="atLeast"/>
              <w:rPr>
                <w:rFonts w:hint="eastAsia" w:ascii="宋体" w:hAnsi="宋体" w:eastAsia="宋体" w:cs="宋体"/>
                <w:sz w:val="21"/>
                <w:szCs w:val="21"/>
              </w:rPr>
            </w:pPr>
            <w:r>
              <w:rPr>
                <w:rFonts w:hint="eastAsia" w:ascii="宋体" w:hAnsi="宋体" w:eastAsia="宋体" w:cs="宋体"/>
                <w:bCs/>
                <w:sz w:val="21"/>
                <w:szCs w:val="21"/>
              </w:rPr>
              <w:t xml:space="preserve"> </w:t>
            </w:r>
            <w:r/>
          </w:p>
        </w:tc>
      </w:tr>
      <w:tr>
        <w:trPr>
          <w:gridAfter w:val="1"/>
          <w:jc w:val="center"/>
          <w:trHeight w:val="1181"/>
        </w:trPr>
        <w:tc>
          <w:tcPr>
            <w:tcBorders>
              <w:top w:val="none" w:color="000000" w:sz="4" w:space="0"/>
              <w:left w:val="single" w:color="auto" w:sz="4" w:space="0"/>
              <w:bottom w:val="single" w:color="auto" w:sz="4" w:space="0"/>
              <w:right w:val="single" w:color="auto" w:sz="4" w:space="0"/>
            </w:tcBorders>
            <w:tcW w:w="1110" w:type="dxa"/>
            <w:vAlign w:val="center"/>
            <w:textDirection w:val="lrTb"/>
            <w:noWrap w:val="false"/>
          </w:tcPr>
          <w:p>
            <w:pPr>
              <w:pStyle w:val="911"/>
              <w:jc w:val="center"/>
              <w:spacing w:before="0" w:beforeAutospacing="0" w:after="0" w:afterAutospacing="0" w:line="240" w:lineRule="atLeast"/>
              <w:rPr>
                <w:rFonts w:hint="eastAsia" w:ascii="宋体" w:hAnsi="宋体" w:eastAsia="宋体" w:cs="宋体"/>
                <w:sz w:val="21"/>
                <w:szCs w:val="21"/>
              </w:rPr>
            </w:pPr>
            <w:r>
              <w:rPr>
                <w:rFonts w:hint="eastAsia" w:ascii="宋体" w:hAnsi="宋体" w:eastAsia="宋体" w:cs="宋体"/>
                <w:bCs/>
                <w:sz w:val="21"/>
                <w:szCs w:val="21"/>
              </w:rPr>
              <w:t xml:space="preserve">序号</w:t>
            </w:r>
            <w:r/>
          </w:p>
        </w:tc>
        <w:tc>
          <w:tcPr>
            <w:tcBorders>
              <w:top w:val="none" w:color="000000" w:sz="4" w:space="0"/>
              <w:left w:val="none" w:color="000000" w:sz="4" w:space="0"/>
              <w:bottom w:val="single" w:color="auto" w:sz="4" w:space="0"/>
              <w:right w:val="single" w:color="auto" w:sz="4" w:space="0"/>
            </w:tcBorders>
            <w:tcW w:w="2904" w:type="dxa"/>
            <w:vAlign w:val="center"/>
            <w:textDirection w:val="lrTb"/>
            <w:noWrap w:val="false"/>
          </w:tcPr>
          <w:p>
            <w:pPr>
              <w:pStyle w:val="911"/>
              <w:ind w:firstLine="202"/>
              <w:jc w:val="center"/>
              <w:spacing w:before="0" w:beforeAutospacing="0" w:after="0" w:afterAutospacing="0" w:line="240" w:lineRule="atLeast"/>
              <w:rPr>
                <w:rFonts w:hint="eastAsia" w:ascii="宋体" w:hAnsi="宋体" w:eastAsia="宋体" w:cs="宋体"/>
                <w:sz w:val="21"/>
                <w:szCs w:val="21"/>
              </w:rPr>
            </w:pPr>
            <w:r>
              <w:rPr>
                <w:rFonts w:hint="eastAsia" w:ascii="宋体" w:hAnsi="宋体" w:eastAsia="宋体" w:cs="宋体"/>
                <w:bCs/>
                <w:sz w:val="21"/>
                <w:szCs w:val="21"/>
              </w:rPr>
              <w:t xml:space="preserve">样品名称                      （按照投标样品要求逐一填写）</w:t>
            </w:r>
            <w:r/>
          </w:p>
        </w:tc>
        <w:tc>
          <w:tcPr>
            <w:tcBorders>
              <w:top w:val="none" w:color="000000" w:sz="4" w:space="0"/>
              <w:left w:val="none" w:color="000000" w:sz="4" w:space="0"/>
              <w:bottom w:val="single" w:color="auto" w:sz="4" w:space="0"/>
              <w:right w:val="single" w:color="auto" w:sz="4" w:space="0"/>
            </w:tcBorders>
            <w:tcW w:w="794" w:type="dxa"/>
            <w:vAlign w:val="center"/>
            <w:textDirection w:val="lrTb"/>
            <w:noWrap w:val="false"/>
          </w:tcPr>
          <w:p>
            <w:pPr>
              <w:pStyle w:val="911"/>
              <w:jc w:val="center"/>
              <w:spacing w:before="0" w:beforeAutospacing="0" w:after="0" w:afterAutospacing="0" w:line="240" w:lineRule="atLeast"/>
              <w:rPr>
                <w:rFonts w:hint="eastAsia" w:ascii="宋体" w:hAnsi="宋体" w:eastAsia="宋体" w:cs="宋体"/>
                <w:sz w:val="21"/>
                <w:szCs w:val="21"/>
              </w:rPr>
            </w:pPr>
            <w:r>
              <w:rPr>
                <w:rFonts w:hint="eastAsia" w:ascii="宋体" w:hAnsi="宋体" w:eastAsia="宋体" w:cs="宋体"/>
                <w:bCs/>
                <w:sz w:val="21"/>
                <w:szCs w:val="21"/>
              </w:rPr>
              <w:t xml:space="preserve">送样数量</w:t>
            </w:r>
            <w:r/>
          </w:p>
        </w:tc>
        <w:tc>
          <w:tcPr>
            <w:gridSpan w:val="2"/>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pStyle w:val="911"/>
              <w:jc w:val="center"/>
              <w:spacing w:before="0" w:beforeAutospacing="0" w:after="0" w:afterAutospacing="0" w:line="240" w:lineRule="atLeast"/>
              <w:rPr>
                <w:rFonts w:hint="eastAsia" w:ascii="宋体" w:hAnsi="宋体" w:eastAsia="宋体" w:cs="宋体"/>
                <w:sz w:val="21"/>
                <w:szCs w:val="21"/>
              </w:rPr>
            </w:pPr>
            <w:r>
              <w:rPr>
                <w:rFonts w:hint="eastAsia" w:ascii="宋体" w:hAnsi="宋体" w:eastAsia="宋体" w:cs="宋体"/>
                <w:bCs/>
                <w:sz w:val="21"/>
                <w:szCs w:val="21"/>
              </w:rPr>
              <w:t xml:space="preserve">送样人</w:t>
            </w:r>
            <w:r/>
          </w:p>
        </w:tc>
        <w:tc>
          <w:tcPr>
            <w:gridSpan w:val="2"/>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pStyle w:val="911"/>
              <w:jc w:val="center"/>
              <w:spacing w:before="0" w:beforeAutospacing="0" w:after="0" w:afterAutospacing="0" w:line="240" w:lineRule="atLeast"/>
              <w:rPr>
                <w:rFonts w:hint="eastAsia" w:ascii="宋体" w:hAnsi="宋体" w:eastAsia="宋体" w:cs="宋体"/>
                <w:sz w:val="21"/>
                <w:szCs w:val="21"/>
              </w:rPr>
            </w:pPr>
            <w:r>
              <w:rPr>
                <w:rFonts w:hint="eastAsia" w:ascii="宋体" w:hAnsi="宋体" w:eastAsia="宋体" w:cs="宋体"/>
                <w:bCs/>
                <w:sz w:val="21"/>
                <w:szCs w:val="21"/>
              </w:rPr>
              <w:t xml:space="preserve">联系电话</w:t>
            </w:r>
            <w:r/>
          </w:p>
        </w:tc>
        <w:tc>
          <w:tcPr>
            <w:gridSpan w:val="2"/>
            <w:tcBorders>
              <w:top w:val="none" w:color="000000" w:sz="4" w:space="0"/>
              <w:left w:val="none" w:color="000000" w:sz="4" w:space="0"/>
              <w:bottom w:val="single" w:color="auto" w:sz="4" w:space="0"/>
              <w:right w:val="single" w:color="auto" w:sz="4" w:space="0"/>
            </w:tcBorders>
            <w:tcW w:w="1664" w:type="dxa"/>
            <w:vAlign w:val="center"/>
            <w:textDirection w:val="lrTb"/>
            <w:noWrap w:val="false"/>
          </w:tcPr>
          <w:p>
            <w:pPr>
              <w:pStyle w:val="911"/>
              <w:jc w:val="center"/>
              <w:spacing w:before="0" w:beforeAutospacing="0" w:after="0" w:afterAutospacing="0" w:line="240" w:lineRule="atLeast"/>
              <w:rPr>
                <w:rFonts w:hint="eastAsia" w:ascii="宋体" w:hAnsi="宋体" w:eastAsia="宋体" w:cs="宋体"/>
                <w:sz w:val="21"/>
                <w:szCs w:val="21"/>
              </w:rPr>
            </w:pPr>
            <w:r>
              <w:rPr>
                <w:rFonts w:hint="eastAsia" w:ascii="宋体" w:hAnsi="宋体" w:eastAsia="宋体" w:cs="宋体"/>
                <w:bCs/>
                <w:sz w:val="21"/>
                <w:szCs w:val="21"/>
              </w:rPr>
              <w:t xml:space="preserve">备注</w:t>
            </w:r>
            <w:r/>
          </w:p>
        </w:tc>
      </w:tr>
      <w:tr>
        <w:trPr>
          <w:gridAfter w:val="1"/>
          <w:jc w:val="center"/>
          <w:trHeight w:val="614"/>
        </w:trPr>
        <w:tc>
          <w:tcPr>
            <w:tcBorders>
              <w:top w:val="none" w:color="000000" w:sz="4" w:space="0"/>
              <w:left w:val="single" w:color="auto" w:sz="4" w:space="0"/>
              <w:bottom w:val="single" w:color="auto" w:sz="4" w:space="0"/>
              <w:right w:val="single" w:color="auto" w:sz="4" w:space="0"/>
            </w:tcBorders>
            <w:tcW w:w="1110" w:type="dxa"/>
            <w:vAlign w:val="center"/>
            <w:textDirection w:val="lrTb"/>
            <w:noWrap w:val="false"/>
          </w:tcPr>
          <w:p>
            <w:pPr>
              <w:pStyle w:val="911"/>
              <w:jc w:val="center"/>
              <w:spacing w:before="0" w:beforeAutospacing="0" w:after="0" w:afterAutospacing="0" w:line="240" w:lineRule="atLeast"/>
              <w:rPr>
                <w:rFonts w:hint="eastAsia" w:ascii="宋体" w:hAnsi="宋体" w:eastAsia="宋体" w:cs="宋体"/>
                <w:sz w:val="21"/>
                <w:szCs w:val="21"/>
              </w:rPr>
            </w:pPr>
            <w:r>
              <w:rPr>
                <w:rFonts w:hint="eastAsia" w:ascii="宋体" w:hAnsi="宋体" w:eastAsia="宋体" w:cs="宋体"/>
                <w:bCs/>
                <w:sz w:val="21"/>
                <w:szCs w:val="21"/>
              </w:rPr>
              <w:t xml:space="preserve">1</w:t>
            </w:r>
            <w:r/>
          </w:p>
        </w:tc>
        <w:tc>
          <w:tcPr>
            <w:tcBorders>
              <w:top w:val="none" w:color="000000" w:sz="4" w:space="0"/>
              <w:left w:val="none" w:color="000000" w:sz="4" w:space="0"/>
              <w:bottom w:val="single" w:color="auto" w:sz="4" w:space="0"/>
              <w:right w:val="single" w:color="auto" w:sz="4" w:space="0"/>
            </w:tcBorders>
            <w:tcW w:w="2904" w:type="dxa"/>
            <w:vAlign w:val="center"/>
            <w:textDirection w:val="lrTb"/>
            <w:noWrap w:val="false"/>
          </w:tcPr>
          <w:p>
            <w:pPr>
              <w:pStyle w:val="911"/>
              <w:jc w:val="center"/>
              <w:spacing w:before="0" w:beforeAutospacing="0" w:after="0" w:afterAutospacing="0" w:line="240" w:lineRule="atLeast"/>
              <w:rPr>
                <w:rFonts w:hint="eastAsia" w:ascii="宋体" w:hAnsi="宋体" w:eastAsia="宋体" w:cs="宋体"/>
                <w:sz w:val="21"/>
                <w:szCs w:val="21"/>
              </w:rPr>
            </w:pPr>
            <w:r>
              <w:rPr>
                <w:rFonts w:hint="eastAsia" w:ascii="宋体" w:hAnsi="宋体" w:eastAsia="宋体" w:cs="宋体"/>
                <w:bCs/>
                <w:sz w:val="21"/>
                <w:szCs w:val="21"/>
              </w:rPr>
              <w:t xml:space="preserve"> </w:t>
            </w:r>
            <w:r/>
          </w:p>
        </w:tc>
        <w:tc>
          <w:tcPr>
            <w:tcBorders>
              <w:top w:val="none" w:color="000000" w:sz="4" w:space="0"/>
              <w:left w:val="none" w:color="000000" w:sz="4" w:space="0"/>
              <w:bottom w:val="single" w:color="auto" w:sz="4" w:space="0"/>
              <w:right w:val="single" w:color="auto" w:sz="4" w:space="0"/>
            </w:tcBorders>
            <w:tcW w:w="794" w:type="dxa"/>
            <w:vAlign w:val="center"/>
            <w:textDirection w:val="lrTb"/>
            <w:noWrap w:val="false"/>
          </w:tcPr>
          <w:p>
            <w:pPr>
              <w:pStyle w:val="911"/>
              <w:jc w:val="center"/>
              <w:spacing w:before="0" w:beforeAutospacing="0" w:after="0" w:afterAutospacing="0" w:line="240" w:lineRule="atLeast"/>
              <w:rPr>
                <w:rFonts w:hint="eastAsia" w:ascii="宋体" w:hAnsi="宋体" w:eastAsia="宋体" w:cs="宋体"/>
                <w:sz w:val="21"/>
                <w:szCs w:val="21"/>
              </w:rPr>
            </w:pPr>
            <w:r>
              <w:rPr>
                <w:rFonts w:hint="eastAsia" w:ascii="宋体" w:hAnsi="宋体" w:eastAsia="宋体" w:cs="宋体"/>
                <w:bCs/>
                <w:sz w:val="21"/>
                <w:szCs w:val="21"/>
              </w:rPr>
              <w:t xml:space="preserve"> </w:t>
            </w:r>
            <w:r/>
          </w:p>
        </w:tc>
        <w:tc>
          <w:tcPr>
            <w:gridSpan w:val="2"/>
            <w:tcBorders>
              <w:top w:val="none" w:color="000000" w:sz="4" w:space="0"/>
              <w:left w:val="none" w:color="000000" w:sz="4" w:space="0"/>
              <w:bottom w:val="single" w:color="000000" w:sz="4" w:space="0"/>
              <w:right w:val="single" w:color="auto" w:sz="4" w:space="0"/>
            </w:tcBorders>
            <w:tcW w:w="995" w:type="dxa"/>
            <w:vAlign w:val="center"/>
            <w:vMerge w:val="restart"/>
            <w:textDirection w:val="lrTb"/>
            <w:noWrap w:val="false"/>
          </w:tcPr>
          <w:p>
            <w:pPr>
              <w:pStyle w:val="911"/>
              <w:jc w:val="center"/>
              <w:spacing w:before="0" w:beforeAutospacing="0" w:after="0" w:afterAutospacing="0" w:line="240" w:lineRule="atLeast"/>
              <w:rPr>
                <w:rFonts w:hint="eastAsia" w:ascii="宋体" w:hAnsi="宋体" w:eastAsia="宋体" w:cs="宋体"/>
                <w:sz w:val="21"/>
                <w:szCs w:val="21"/>
              </w:rPr>
            </w:pPr>
            <w:r>
              <w:rPr>
                <w:rFonts w:hint="eastAsia" w:ascii="宋体" w:hAnsi="宋体" w:eastAsia="宋体" w:cs="宋体"/>
                <w:bCs/>
                <w:sz w:val="21"/>
                <w:szCs w:val="21"/>
              </w:rPr>
              <w:t xml:space="preserve"> </w:t>
            </w:r>
            <w:r/>
          </w:p>
        </w:tc>
        <w:tc>
          <w:tcPr>
            <w:gridSpan w:val="2"/>
            <w:tcBorders>
              <w:top w:val="none" w:color="000000" w:sz="4" w:space="0"/>
              <w:left w:val="none" w:color="000000" w:sz="4" w:space="0"/>
              <w:bottom w:val="single" w:color="000000" w:sz="4" w:space="0"/>
              <w:right w:val="single" w:color="auto" w:sz="4" w:space="0"/>
            </w:tcBorders>
            <w:tcW w:w="1127" w:type="dxa"/>
            <w:vAlign w:val="center"/>
            <w:vMerge w:val="restart"/>
            <w:textDirection w:val="lrTb"/>
            <w:noWrap w:val="false"/>
          </w:tcPr>
          <w:p>
            <w:pPr>
              <w:pStyle w:val="911"/>
              <w:jc w:val="center"/>
              <w:spacing w:before="0" w:beforeAutospacing="0" w:after="0" w:afterAutospacing="0" w:line="240" w:lineRule="atLeast"/>
              <w:rPr>
                <w:rFonts w:hint="eastAsia" w:ascii="宋体" w:hAnsi="宋体" w:eastAsia="宋体" w:cs="宋体"/>
                <w:sz w:val="21"/>
                <w:szCs w:val="21"/>
              </w:rPr>
            </w:pPr>
            <w:r>
              <w:rPr>
                <w:rFonts w:hint="eastAsia" w:ascii="宋体" w:hAnsi="宋体" w:eastAsia="宋体" w:cs="宋体"/>
                <w:bCs/>
                <w:sz w:val="21"/>
                <w:szCs w:val="21"/>
              </w:rPr>
              <w:t xml:space="preserve"> </w:t>
            </w:r>
            <w:r/>
          </w:p>
        </w:tc>
        <w:tc>
          <w:tcPr>
            <w:gridSpan w:val="2"/>
            <w:tcBorders>
              <w:top w:val="none" w:color="000000" w:sz="4" w:space="0"/>
              <w:left w:val="none" w:color="000000" w:sz="4" w:space="0"/>
              <w:bottom w:val="single" w:color="auto" w:sz="4" w:space="0"/>
              <w:right w:val="single" w:color="auto" w:sz="4" w:space="0"/>
            </w:tcBorders>
            <w:tcW w:w="1664" w:type="dxa"/>
            <w:vAlign w:val="center"/>
            <w:vMerge w:val="restart"/>
            <w:textDirection w:val="lrTb"/>
            <w:noWrap w:val="false"/>
          </w:tcPr>
          <w:p>
            <w:pPr>
              <w:pStyle w:val="911"/>
              <w:jc w:val="center"/>
              <w:spacing w:before="0" w:beforeAutospacing="0" w:after="0" w:afterAutospacing="0" w:line="240" w:lineRule="atLeast"/>
              <w:rPr>
                <w:rFonts w:hint="eastAsia" w:ascii="宋体" w:hAnsi="宋体" w:eastAsia="宋体" w:cs="宋体"/>
                <w:sz w:val="21"/>
                <w:szCs w:val="21"/>
              </w:rPr>
            </w:pPr>
            <w:r>
              <w:rPr>
                <w:rFonts w:hint="eastAsia" w:ascii="宋体" w:hAnsi="宋体" w:eastAsia="宋体" w:cs="宋体"/>
                <w:bCs/>
                <w:sz w:val="21"/>
                <w:szCs w:val="21"/>
              </w:rPr>
              <w:t xml:space="preserve"> </w:t>
            </w:r>
            <w:r/>
          </w:p>
        </w:tc>
      </w:tr>
      <w:tr>
        <w:trPr>
          <w:gridAfter w:val="1"/>
          <w:jc w:val="center"/>
          <w:trHeight w:val="614"/>
        </w:trPr>
        <w:tc>
          <w:tcPr>
            <w:tcBorders>
              <w:top w:val="none" w:color="000000" w:sz="4" w:space="0"/>
              <w:left w:val="single" w:color="auto" w:sz="4" w:space="0"/>
              <w:bottom w:val="single" w:color="auto" w:sz="4" w:space="0"/>
              <w:right w:val="single" w:color="auto" w:sz="4" w:space="0"/>
            </w:tcBorders>
            <w:tcW w:w="1110" w:type="dxa"/>
            <w:vAlign w:val="center"/>
            <w:textDirection w:val="lrTb"/>
            <w:noWrap w:val="false"/>
          </w:tcPr>
          <w:p>
            <w:pPr>
              <w:pStyle w:val="911"/>
              <w:jc w:val="center"/>
              <w:spacing w:before="0" w:beforeAutospacing="0" w:after="0" w:afterAutospacing="0" w:line="240" w:lineRule="atLeast"/>
              <w:rPr>
                <w:rFonts w:hint="eastAsia" w:ascii="宋体" w:hAnsi="宋体" w:eastAsia="宋体" w:cs="宋体"/>
                <w:sz w:val="21"/>
                <w:szCs w:val="21"/>
              </w:rPr>
            </w:pPr>
            <w:r>
              <w:rPr>
                <w:rFonts w:hint="eastAsia" w:ascii="宋体" w:hAnsi="宋体" w:eastAsia="宋体" w:cs="宋体"/>
                <w:bCs/>
                <w:sz w:val="21"/>
                <w:szCs w:val="21"/>
              </w:rPr>
              <w:t xml:space="preserve">……</w:t>
            </w:r>
            <w:r/>
          </w:p>
        </w:tc>
        <w:tc>
          <w:tcPr>
            <w:tcBorders>
              <w:top w:val="none" w:color="000000" w:sz="4" w:space="0"/>
              <w:left w:val="none" w:color="000000" w:sz="4" w:space="0"/>
              <w:bottom w:val="single" w:color="auto" w:sz="4" w:space="0"/>
              <w:right w:val="single" w:color="auto" w:sz="4" w:space="0"/>
            </w:tcBorders>
            <w:tcW w:w="2904" w:type="dxa"/>
            <w:vAlign w:val="center"/>
            <w:textDirection w:val="lrTb"/>
            <w:noWrap w:val="false"/>
          </w:tcPr>
          <w:p>
            <w:pPr>
              <w:pStyle w:val="911"/>
              <w:jc w:val="center"/>
              <w:spacing w:before="0" w:beforeAutospacing="0" w:after="0" w:afterAutospacing="0" w:line="240" w:lineRule="atLeast"/>
              <w:rPr>
                <w:rFonts w:hint="eastAsia" w:ascii="宋体" w:hAnsi="宋体" w:eastAsia="宋体" w:cs="宋体"/>
                <w:sz w:val="21"/>
                <w:szCs w:val="21"/>
              </w:rPr>
            </w:pPr>
            <w:r>
              <w:rPr>
                <w:rFonts w:hint="eastAsia" w:ascii="宋体" w:hAnsi="宋体" w:eastAsia="宋体" w:cs="宋体"/>
                <w:bCs/>
                <w:sz w:val="21"/>
                <w:szCs w:val="21"/>
              </w:rPr>
              <w:t xml:space="preserve"> </w:t>
            </w:r>
            <w:r/>
          </w:p>
        </w:tc>
        <w:tc>
          <w:tcPr>
            <w:tcBorders>
              <w:top w:val="none" w:color="000000" w:sz="4" w:space="0"/>
              <w:left w:val="none" w:color="000000" w:sz="4" w:space="0"/>
              <w:bottom w:val="single" w:color="auto" w:sz="4" w:space="0"/>
              <w:right w:val="single" w:color="auto" w:sz="4" w:space="0"/>
            </w:tcBorders>
            <w:tcW w:w="794" w:type="dxa"/>
            <w:vAlign w:val="center"/>
            <w:textDirection w:val="lrTb"/>
            <w:noWrap w:val="false"/>
          </w:tcPr>
          <w:p>
            <w:pPr>
              <w:pStyle w:val="911"/>
              <w:jc w:val="center"/>
              <w:spacing w:before="0" w:beforeAutospacing="0" w:after="0" w:afterAutospacing="0" w:line="240" w:lineRule="atLeast"/>
              <w:rPr>
                <w:rFonts w:hint="eastAsia" w:ascii="宋体" w:hAnsi="宋体" w:eastAsia="宋体" w:cs="宋体"/>
                <w:sz w:val="21"/>
                <w:szCs w:val="21"/>
              </w:rPr>
            </w:pPr>
            <w:r>
              <w:rPr>
                <w:rFonts w:hint="eastAsia" w:ascii="宋体" w:hAnsi="宋体" w:eastAsia="宋体" w:cs="宋体"/>
                <w:bCs/>
                <w:sz w:val="21"/>
                <w:szCs w:val="21"/>
              </w:rPr>
              <w:t xml:space="preserve"> </w:t>
            </w:r>
            <w:r/>
          </w:p>
        </w:tc>
        <w:tc>
          <w:tcPr>
            <w:gridSpan w:val="2"/>
            <w:tcBorders>
              <w:top w:val="none" w:color="000000" w:sz="4" w:space="0"/>
              <w:left w:val="none" w:color="000000" w:sz="4" w:space="0"/>
              <w:bottom w:val="single" w:color="000000" w:sz="4" w:space="0"/>
              <w:right w:val="single" w:color="auto" w:sz="4" w:space="0"/>
            </w:tcBorders>
            <w:tcW w:w="995"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gridSpan w:val="2"/>
            <w:tcBorders>
              <w:top w:val="none" w:color="000000" w:sz="4" w:space="0"/>
              <w:left w:val="none" w:color="000000" w:sz="4" w:space="0"/>
              <w:bottom w:val="single" w:color="000000" w:sz="4" w:space="0"/>
              <w:right w:val="single" w:color="auto" w:sz="4" w:space="0"/>
            </w:tcBorders>
            <w:tcW w:w="1127"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gridSpan w:val="2"/>
            <w:tcBorders>
              <w:top w:val="none" w:color="000000" w:sz="4" w:space="0"/>
              <w:left w:val="none" w:color="000000" w:sz="4" w:space="0"/>
              <w:bottom w:val="single" w:color="auto" w:sz="4" w:space="0"/>
              <w:right w:val="single" w:color="auto" w:sz="4" w:space="0"/>
            </w:tcBorders>
            <w:tcW w:w="1664" w:type="dxa"/>
            <w:vAlign w:val="center"/>
            <w:textDirection w:val="lrTb"/>
            <w:noWrap w:val="false"/>
          </w:tcPr>
          <w:p>
            <w:pPr>
              <w:pStyle w:val="911"/>
              <w:jc w:val="center"/>
              <w:spacing w:before="0" w:beforeAutospacing="0" w:after="0" w:afterAutospacing="0" w:line="240" w:lineRule="atLeast"/>
              <w:rPr>
                <w:rFonts w:hint="eastAsia" w:ascii="宋体" w:hAnsi="宋体" w:eastAsia="宋体" w:cs="宋体"/>
                <w:sz w:val="21"/>
                <w:szCs w:val="21"/>
              </w:rPr>
            </w:pPr>
            <w:r>
              <w:rPr>
                <w:rFonts w:hint="eastAsia" w:ascii="宋体" w:hAnsi="宋体" w:eastAsia="宋体" w:cs="宋体"/>
                <w:bCs/>
                <w:sz w:val="21"/>
                <w:szCs w:val="21"/>
              </w:rPr>
              <w:t xml:space="preserve"> </w:t>
            </w:r>
            <w:r/>
          </w:p>
        </w:tc>
      </w:tr>
      <w:tr>
        <w:trPr>
          <w:jc w:val="center"/>
          <w:trHeight w:val="614"/>
        </w:trPr>
        <w:tc>
          <w:tcPr>
            <w:gridSpan w:val="10"/>
            <w:tcBorders>
              <w:top w:val="single" w:color="auto" w:sz="4" w:space="0"/>
              <w:left w:val="single" w:color="auto" w:sz="4" w:space="0"/>
              <w:bottom w:val="single" w:color="auto" w:sz="4" w:space="0"/>
              <w:right w:val="single" w:color="000000" w:sz="4" w:space="0"/>
            </w:tcBorders>
            <w:tcW w:w="8620" w:type="dxa"/>
            <w:vAlign w:val="center"/>
            <w:textDirection w:val="lrTb"/>
            <w:noWrap w:val="false"/>
          </w:tcPr>
          <w:p>
            <w:pPr>
              <w:pStyle w:val="911"/>
              <w:spacing w:before="0" w:beforeAutospacing="0" w:after="0" w:afterAutospacing="0" w:line="240" w:lineRule="atLeast"/>
              <w:rPr>
                <w:rFonts w:hint="eastAsia" w:ascii="宋体" w:hAnsi="宋体" w:eastAsia="宋体" w:cs="宋体"/>
                <w:sz w:val="21"/>
                <w:szCs w:val="21"/>
              </w:rPr>
            </w:pPr>
            <w:r>
              <w:rPr>
                <w:rFonts w:hint="eastAsia" w:ascii="宋体" w:hAnsi="宋体" w:eastAsia="宋体" w:cs="宋体"/>
                <w:bCs/>
                <w:sz w:val="21"/>
                <w:szCs w:val="21"/>
              </w:rPr>
              <w:t xml:space="preserve">送达时间：       年    月     日     时    分</w:t>
            </w:r>
            <w:r/>
          </w:p>
        </w:tc>
      </w:tr>
      <w:tr>
        <w:trPr>
          <w:jc w:val="center"/>
          <w:trHeight w:val="772"/>
        </w:trPr>
        <w:tc>
          <w:tcPr>
            <w:gridSpan w:val="10"/>
            <w:tcBorders>
              <w:top w:val="single" w:color="auto" w:sz="4" w:space="0"/>
              <w:left w:val="single" w:color="auto" w:sz="4" w:space="0"/>
              <w:bottom w:val="single" w:color="auto" w:sz="4" w:space="0"/>
              <w:right w:val="single" w:color="auto" w:sz="4" w:space="0"/>
            </w:tcBorders>
            <w:tcW w:w="8620" w:type="dxa"/>
            <w:vAlign w:val="center"/>
            <w:textDirection w:val="lrTb"/>
            <w:noWrap w:val="false"/>
          </w:tcPr>
          <w:p>
            <w:pPr>
              <w:pStyle w:val="911"/>
              <w:spacing w:before="0" w:beforeAutospacing="0" w:after="0" w:afterAutospacing="0" w:line="240" w:lineRule="atLeast"/>
              <w:rPr>
                <w:rFonts w:hint="eastAsia" w:ascii="宋体" w:hAnsi="宋体" w:eastAsia="宋体" w:cs="宋体"/>
                <w:sz w:val="21"/>
                <w:szCs w:val="21"/>
              </w:rPr>
            </w:pPr>
            <w:r>
              <w:rPr>
                <w:rFonts w:hint="eastAsia" w:ascii="宋体" w:hAnsi="宋体" w:eastAsia="宋体" w:cs="宋体"/>
                <w:bCs/>
                <w:sz w:val="21"/>
                <w:szCs w:val="21"/>
              </w:rPr>
              <w:t xml:space="preserve">接收人（签字）：                                                          </w:t>
            </w:r>
            <w:r/>
          </w:p>
          <w:p>
            <w:pPr>
              <w:pStyle w:val="911"/>
              <w:spacing w:before="0" w:beforeAutospacing="0" w:after="0" w:afterAutospacing="0" w:line="240" w:lineRule="atLeast"/>
              <w:rPr>
                <w:rFonts w:hint="eastAsia" w:ascii="宋体" w:hAnsi="宋体" w:eastAsia="宋体" w:cs="宋体"/>
                <w:sz w:val="21"/>
                <w:szCs w:val="21"/>
              </w:rPr>
            </w:pPr>
            <w:r>
              <w:rPr>
                <w:rFonts w:hint="eastAsia" w:ascii="宋体" w:hAnsi="宋体" w:eastAsia="宋体" w:cs="宋体"/>
                <w:bCs/>
                <w:sz w:val="21"/>
                <w:szCs w:val="21"/>
              </w:rPr>
              <w:t xml:space="preserve">送样人确认（签字）：</w:t>
            </w:r>
            <w:r/>
          </w:p>
        </w:tc>
      </w:tr>
      <w:tr>
        <w:trPr>
          <w:jc w:val="center"/>
          <w:trHeight w:val="772"/>
        </w:trPr>
        <w:tc>
          <w:tcPr>
            <w:gridSpan w:val="10"/>
            <w:tcBorders>
              <w:top w:val="none" w:color="000000" w:sz="4" w:space="0"/>
              <w:left w:val="none" w:color="000000" w:sz="4" w:space="0"/>
              <w:bottom w:val="none" w:color="000000" w:sz="4" w:space="0"/>
              <w:right w:val="none" w:color="000000" w:sz="4" w:space="0"/>
            </w:tcBorders>
            <w:tcW w:w="8620" w:type="dxa"/>
            <w:vAlign w:val="center"/>
            <w:textDirection w:val="lrTb"/>
            <w:noWrap w:val="false"/>
          </w:tcPr>
          <w:p>
            <w:pPr>
              <w:pStyle w:val="911"/>
              <w:jc w:val="both"/>
              <w:spacing w:before="0" w:beforeAutospacing="0" w:after="0" w:afterAutospacing="0" w:line="240" w:lineRule="atLeast"/>
              <w:rPr>
                <w:rFonts w:hint="eastAsia" w:ascii="宋体" w:hAnsi="宋体" w:eastAsia="宋体" w:cs="宋体"/>
                <w:sz w:val="21"/>
                <w:szCs w:val="21"/>
              </w:rPr>
            </w:pPr>
            <w:r>
              <w:rPr>
                <w:rFonts w:hint="eastAsia" w:ascii="宋体" w:hAnsi="宋体" w:eastAsia="宋体" w:cs="宋体"/>
                <w:b/>
                <w:sz w:val="21"/>
                <w:szCs w:val="21"/>
              </w:rPr>
              <w:t xml:space="preserve">注：此表填写后一式两份（投标人与采购代理机构各一份）</w:t>
            </w:r>
            <w:r/>
          </w:p>
        </w:tc>
      </w:tr>
    </w:tbl>
    <w:p>
      <w:pPr>
        <w:ind w:firstLine="480"/>
        <w:spacing w:line="360" w:lineRule="auto"/>
        <w:rPr>
          <w:rFonts w:hint="eastAsia" w:ascii="宋体" w:hAnsi="宋体" w:cs="宋体"/>
          <w:bCs/>
          <w:sz w:val="24"/>
        </w:rPr>
      </w:pPr>
      <w:r>
        <w:rPr>
          <w:rFonts w:hint="eastAsia" w:ascii="宋体" w:hAnsi="宋体" w:cs="宋体"/>
          <w:bCs/>
          <w:sz w:val="24"/>
        </w:rPr>
      </w:r>
      <w:r/>
    </w:p>
    <w:p>
      <w:pPr>
        <w:pStyle w:val="891"/>
        <w:sectPr>
          <w:footnotePr/>
          <w:endnotePr/>
          <w:type w:val="nextPage"/>
          <w:pgSz w:w="11906" w:h="16838" w:orient="portrait"/>
          <w:pgMar w:top="1440" w:right="1800" w:bottom="1440" w:left="1800" w:header="851" w:footer="992" w:gutter="0"/>
          <w:cols w:num="1" w:sep="0" w:space="425" w:equalWidth="1"/>
          <w:docGrid w:linePitch="360"/>
        </w:sectPr>
      </w:pPr>
      <w:r/>
      <w:bookmarkStart w:id="514" w:name="_Toc8588"/>
      <w:r/>
      <w:bookmarkStart w:id="515" w:name="_Toc15023"/>
      <w:r/>
      <w:r/>
    </w:p>
    <w:p>
      <w:pPr>
        <w:pStyle w:val="891"/>
      </w:pPr>
      <w:r>
        <w:rPr>
          <w:rFonts w:hint="eastAsia"/>
        </w:rPr>
        <w:t xml:space="preserve">第六章</w:t>
      </w:r>
      <w:r>
        <w:rPr>
          <w:rFonts w:hint="eastAsia"/>
        </w:rPr>
        <w:t xml:space="preserve"> </w:t>
      </w:r>
      <w:bookmarkEnd w:id="514"/>
      <w:r>
        <w:rPr>
          <w:rFonts w:hint="eastAsia" w:ascii="宋体" w:hAnsi="宋体" w:eastAsia="宋体" w:cs="宋体"/>
        </w:rPr>
        <w:t xml:space="preserve">拟签订的合同文本</w:t>
      </w:r>
      <w:bookmarkEnd w:id="515"/>
      <w:r/>
      <w:r/>
    </w:p>
    <w:p>
      <w:pPr>
        <w:spacing w:line="360" w:lineRule="auto"/>
        <w:rPr>
          <w:rFonts w:hint="eastAsia" w:ascii="宋体" w:hAnsi="宋体" w:eastAsia="宋体" w:cs="Times New Roman"/>
          <w:sz w:val="24"/>
          <w:szCs w:val="24"/>
        </w:rPr>
      </w:pPr>
      <w:r/>
      <w:bookmarkStart w:id="516" w:name="_Toc26106"/>
      <w:r/>
      <w:bookmarkStart w:id="517" w:name="_Toc104818930"/>
      <w:r/>
      <w:bookmarkEnd w:id="510"/>
      <w:r/>
      <w:bookmarkEnd w:id="512"/>
      <w:r/>
      <w:r/>
    </w:p>
    <w:p>
      <w:pPr>
        <w:jc w:val="left"/>
        <w:spacing w:before="120" w:after="120"/>
        <w:pBdr>
          <w:top w:val="none" w:color="000000" w:sz="0" w:space="0"/>
          <w:left w:val="none" w:color="000000" w:sz="0" w:space="0"/>
          <w:bottom w:val="none" w:color="000000" w:sz="0" w:space="0"/>
          <w:right w:val="none" w:color="000000" w:sz="0" w:space="0"/>
        </w:pBdr>
      </w:pPr>
      <w:r>
        <w:rPr>
          <w:rFonts w:ascii="宋体" w:hAnsi="宋体" w:cs="宋体"/>
          <w:sz w:val="24"/>
        </w:rPr>
        <w:t xml:space="preserve">项目名称：              项目编号：</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sz w:val="24"/>
        </w:rPr>
        <w:t xml:space="preserve">甲方：（买方）_________</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sz w:val="24"/>
        </w:rPr>
        <w:t xml:space="preserve">乙方：（卖方）_________</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rPr>
          <w:rFonts w:ascii="宋体" w:hAnsi="宋体" w:cs="宋体"/>
          <w:sz w:val="24"/>
        </w:rPr>
        <w:t xml:space="preserve">甲、乙双方根据常州</w:t>
      </w:r>
      <w:r>
        <w:rPr>
          <w:rFonts w:hint="eastAsia" w:ascii="宋体" w:hAnsi="宋体" w:cs="宋体"/>
          <w:sz w:val="24"/>
        </w:rPr>
        <w:t xml:space="preserve">金诚招投标 有限公司</w:t>
      </w:r>
      <w:r>
        <w:rPr>
          <w:rFonts w:hint="eastAsia" w:ascii="宋体" w:hAnsi="宋体" w:cs="宋体"/>
          <w:sz w:val="24"/>
        </w:rPr>
        <w:t xml:space="preserve">常州市退役军人事务局慰问品采购及配送服务项目</w:t>
      </w:r>
      <w:r>
        <w:rPr>
          <w:rFonts w:ascii="宋体" w:hAnsi="宋体" w:cs="宋体"/>
          <w:sz w:val="24"/>
        </w:rPr>
        <w:t xml:space="preserve">公开招标的结果，签署本合同。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sz w:val="24"/>
        </w:rPr>
        <w:t xml:space="preserve">一、合同内容</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sz w:val="24"/>
        </w:rPr>
        <w:t xml:space="preserve">1.1标的名称：</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sz w:val="24"/>
        </w:rPr>
        <w:t xml:space="preserve">1.2标的质量：</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sz w:val="24"/>
        </w:rPr>
        <w:t xml:space="preserve">1.3标的数量（规模）：</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sz w:val="24"/>
        </w:rPr>
        <w:t xml:space="preserve">1.4履行时间（期限）：</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sz w:val="24"/>
        </w:rPr>
        <w:t xml:space="preserve">1.5履行地点：</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sz w:val="24"/>
        </w:rPr>
        <w:t xml:space="preserve">1.6履行方式：</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sz w:val="24"/>
        </w:rPr>
        <w:t xml:space="preserve">二、合同金额</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sz w:val="24"/>
        </w:rPr>
        <w:t xml:space="preserve">2.1 本合同金额为（大写）：____________________________________圆（_______________元）人民币或其他币种。</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sz w:val="24"/>
        </w:rPr>
        <w:t xml:space="preserve">三、技术资料</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sz w:val="24"/>
        </w:rPr>
        <w:t xml:space="preserve">3.1乙方应按招标文件规定的时间向甲方提供服务（包含与服务相关的货物）的有关技术资料。</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pBdr>
          <w:top w:val="none" w:color="000000" w:sz="0" w:space="0"/>
          <w:left w:val="none" w:color="000000" w:sz="0" w:space="0"/>
          <w:bottom w:val="none" w:color="000000" w:sz="0" w:space="0"/>
          <w:right w:val="none" w:color="000000" w:sz="0" w:space="0"/>
        </w:pBdr>
      </w:pPr>
      <w:r>
        <w:rPr>
          <w:rFonts w:ascii="宋体" w:hAnsi="宋体" w:cs="宋体"/>
          <w:b/>
          <w:sz w:val="24"/>
        </w:rPr>
        <w:t xml:space="preserve">四、知识产权</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sz w:val="24"/>
        </w:rPr>
        <w:t xml:space="preserve">五、产权担保</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sz w:val="24"/>
        </w:rPr>
        <w:t xml:space="preserve">5.1 乙方保证所交付的服务（包含与服务相关的货物）的所有权完全属于乙方且无任何抵押、查封等产权瑕疵。</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b/>
          <w:sz w:val="24"/>
        </w:rPr>
        <w:t xml:space="preserve">六、履约保证金</w:t>
      </w:r>
      <w:r/>
    </w:p>
    <w:p>
      <w:pPr>
        <w:ind w:left="408" w:hanging="408"/>
        <w:spacing w:before="120" w:after="12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本项目</w:t>
      </w:r>
      <w:r>
        <w:rPr>
          <w:rFonts w:ascii="宋体" w:hAnsi="宋体" w:cs="宋体"/>
          <w:sz w:val="24"/>
          <w:u w:val="single"/>
        </w:rPr>
        <w:t xml:space="preserve">(不收取)</w:t>
      </w:r>
      <w:r>
        <w:rPr>
          <w:rFonts w:ascii="宋体" w:hAnsi="宋体" w:cs="宋体"/>
          <w:sz w:val="24"/>
        </w:rPr>
        <w:t xml:space="preserve">履约保证金。</w:t>
      </w:r>
      <w:r/>
    </w:p>
    <w:p>
      <w:pPr>
        <w:spacing w:before="156" w:after="156"/>
        <w:pBdr>
          <w:top w:val="none" w:color="000000" w:sz="0" w:space="0"/>
          <w:left w:val="none" w:color="000000" w:sz="0" w:space="0"/>
          <w:bottom w:val="none" w:color="000000" w:sz="0" w:space="0"/>
          <w:right w:val="none" w:color="000000" w:sz="0" w:space="0"/>
        </w:pBdr>
      </w:pPr>
      <w:r>
        <w:rPr>
          <w:rFonts w:ascii="宋体" w:hAnsi="宋体" w:cs="宋体"/>
          <w:b/>
          <w:sz w:val="24"/>
        </w:rPr>
        <w:t xml:space="preserve">七、合同转包或分包</w:t>
      </w:r>
      <w:r/>
    </w:p>
    <w:p>
      <w:pPr>
        <w:spacing w:before="156" w:after="156"/>
        <w:pBdr>
          <w:top w:val="none" w:color="000000" w:sz="0" w:space="0"/>
          <w:left w:val="none" w:color="000000" w:sz="0" w:space="0"/>
          <w:bottom w:val="none" w:color="000000" w:sz="0" w:space="0"/>
          <w:right w:val="none" w:color="000000" w:sz="0" w:space="0"/>
        </w:pBdr>
      </w:pPr>
      <w:r>
        <w:rPr>
          <w:rFonts w:ascii="宋体" w:hAnsi="宋体" w:cs="宋体"/>
          <w:sz w:val="24"/>
        </w:rPr>
        <w:t xml:space="preserve">7.1乙方不得将合同标的转包给他人履行。</w:t>
      </w:r>
      <w:r/>
    </w:p>
    <w:p>
      <w:pPr>
        <w:spacing w:before="156" w:after="156"/>
        <w:pBdr>
          <w:top w:val="none" w:color="000000" w:sz="0" w:space="0"/>
          <w:left w:val="none" w:color="000000" w:sz="0" w:space="0"/>
          <w:bottom w:val="none" w:color="000000" w:sz="0" w:space="0"/>
          <w:right w:val="none" w:color="000000" w:sz="0" w:space="0"/>
        </w:pBdr>
      </w:pPr>
      <w:r>
        <w:rPr>
          <w:rFonts w:ascii="宋体" w:hAnsi="宋体" w:cs="宋体"/>
          <w:sz w:val="24"/>
        </w:rPr>
        <w:t xml:space="preserve">7.2乙方不得将合同标的分包给他人履行。</w:t>
      </w:r>
      <w:r/>
    </w:p>
    <w:p>
      <w:pPr>
        <w:spacing w:before="156" w:after="156"/>
        <w:pBdr>
          <w:top w:val="none" w:color="000000" w:sz="0" w:space="0"/>
          <w:left w:val="none" w:color="000000" w:sz="0" w:space="0"/>
          <w:bottom w:val="none" w:color="000000" w:sz="0" w:space="0"/>
          <w:right w:val="none" w:color="000000" w:sz="0" w:space="0"/>
        </w:pBdr>
      </w:pPr>
      <w:r>
        <w:rPr>
          <w:rFonts w:ascii="宋体" w:hAnsi="宋体" w:cs="宋体"/>
          <w:sz w:val="24"/>
        </w:rPr>
        <w:t xml:space="preserve">7.3乙方如有转包或未经甲方同意的分包行为，甲方有权解除合同。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sz w:val="24"/>
        </w:rPr>
        <w:t xml:space="preserve">八、合同款项支付</w:t>
      </w:r>
      <w:r/>
    </w:p>
    <w:p>
      <w:pPr>
        <w:spacing w:before="156" w:after="156"/>
        <w:pBdr>
          <w:top w:val="none" w:color="000000" w:sz="0" w:space="0"/>
          <w:left w:val="none" w:color="000000" w:sz="0" w:space="0"/>
          <w:bottom w:val="none" w:color="000000" w:sz="0" w:space="0"/>
          <w:right w:val="none" w:color="000000" w:sz="0" w:space="0"/>
        </w:pBdr>
      </w:pPr>
      <w:r>
        <w:rPr>
          <w:rFonts w:ascii="宋体" w:hAnsi="宋体" w:cs="宋体"/>
          <w:sz w:val="24"/>
        </w:rPr>
        <w:t xml:space="preserve">8.1</w:t>
      </w:r>
      <w:r>
        <w:rPr>
          <w:rFonts w:hint="eastAsia" w:ascii="宋体" w:hAnsi="宋体" w:cs="宋体"/>
          <w:sz w:val="24"/>
        </w:rPr>
        <w:t xml:space="preserve">本项目一次性</w:t>
      </w:r>
      <w:r>
        <w:rPr>
          <w:rFonts w:ascii="宋体" w:hAnsi="宋体" w:cs="宋体"/>
          <w:sz w:val="24"/>
        </w:rPr>
        <w:t xml:space="preserve">付款：</w:t>
      </w:r>
      <w:r>
        <w:rPr>
          <w:rFonts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u w:val="single"/>
        </w:rPr>
        <w:t xml:space="preserve"> 。</w:t>
      </w:r>
      <w:r>
        <w:rPr>
          <w:rFonts w:ascii="宋体" w:hAnsi="宋体" w:cs="宋体"/>
          <w:sz w:val="24"/>
        </w:rPr>
        <w:t xml:space="preserve">满足合同约定支付条件的，自收到发票后10个工作日内支付。</w:t>
      </w:r>
      <w:r/>
    </w:p>
    <w:p>
      <w:pPr>
        <w:spacing w:before="156" w:after="156"/>
        <w:pBdr>
          <w:top w:val="none" w:color="000000" w:sz="0" w:space="0"/>
          <w:left w:val="none" w:color="000000" w:sz="0" w:space="0"/>
          <w:bottom w:val="none" w:color="000000" w:sz="0" w:space="0"/>
          <w:right w:val="none" w:color="000000" w:sz="0" w:space="0"/>
        </w:pBdr>
      </w:pPr>
      <w:r>
        <w:rPr>
          <w:rFonts w:ascii="宋体" w:hAnsi="宋体" w:cs="宋体"/>
          <w:b/>
          <w:sz w:val="24"/>
        </w:rPr>
        <w:t xml:space="preserve">九、税费</w:t>
      </w:r>
      <w:r/>
    </w:p>
    <w:p>
      <w:pPr>
        <w:spacing w:before="156" w:after="156"/>
        <w:pBdr>
          <w:top w:val="none" w:color="000000" w:sz="0" w:space="0"/>
          <w:left w:val="none" w:color="000000" w:sz="0" w:space="0"/>
          <w:bottom w:val="none" w:color="000000" w:sz="0" w:space="0"/>
          <w:right w:val="none" w:color="000000" w:sz="0" w:space="0"/>
        </w:pBdr>
      </w:pPr>
      <w:r>
        <w:rPr>
          <w:rFonts w:ascii="宋体" w:hAnsi="宋体" w:cs="宋体"/>
          <w:sz w:val="24"/>
        </w:rPr>
        <w:t xml:space="preserve">9.1本合同执行中相关的一切税费均由乙方负担。</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sz w:val="24"/>
        </w:rPr>
        <w:t xml:space="preserve">十、项目验收</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sz w:val="24"/>
        </w:rPr>
        <w:t xml:space="preserve">10.1 甲方依法组织履约验收工作。</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sz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sz w:val="24"/>
        </w:rPr>
        <w:t xml:space="preserve">10.3 对于实际使用人和甲方分离的项目，甲方邀请实际使用人参与验收。</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sz w:val="24"/>
        </w:rPr>
        <w:t xml:space="preserve">10.4 如有必要，甲方邀请参加本项目的其他供应商或第三方专业机构及专家参与验收，相关意见将作为验收书的参考资料。</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sz w:val="24"/>
        </w:rPr>
        <w:t xml:space="preserve">10.5 甲方成立验收小组，按照采购合同的约定对乙方的履约情况进行验收。验收</w:t>
      </w:r>
      <w:r>
        <w:rPr>
          <w:rFonts w:ascii="宋体" w:hAnsi="宋体" w:cs="宋体"/>
          <w:sz w:val="24"/>
        </w:rPr>
        <w:t xml:space="preserve">时,</w:t>
      </w:r>
      <w:r>
        <w:rPr>
          <w:rFonts w:ascii="宋体" w:hAnsi="宋体" w:cs="宋体"/>
          <w:sz w:val="24"/>
        </w:rPr>
        <w:t xml:space="preserve">甲方按照采购合同的约定对每一项技术、服务、安全标准的履约情况进行确认。验收结束</w:t>
      </w:r>
      <w:r>
        <w:rPr>
          <w:rFonts w:ascii="宋体" w:hAnsi="宋体" w:cs="宋体"/>
          <w:sz w:val="24"/>
        </w:rPr>
        <w:t xml:space="preserve">后,</w:t>
      </w:r>
      <w:r>
        <w:rPr>
          <w:rFonts w:ascii="宋体" w:hAnsi="宋体" w:cs="宋体"/>
          <w:sz w:val="24"/>
        </w:rPr>
        <w:t xml:space="preserve">验收小组出具验收</w:t>
      </w:r>
      <w:r>
        <w:rPr>
          <w:rFonts w:ascii="宋体" w:hAnsi="宋体" w:cs="宋体"/>
          <w:sz w:val="24"/>
        </w:rPr>
        <w:t xml:space="preserve">书,</w:t>
      </w:r>
      <w:r>
        <w:rPr>
          <w:rFonts w:ascii="宋体" w:hAnsi="宋体" w:cs="宋体"/>
          <w:sz w:val="24"/>
        </w:rPr>
        <w:t xml:space="preserve">列明各项标准的验收情况及项目总体</w:t>
      </w:r>
      <w:r>
        <w:rPr>
          <w:rFonts w:ascii="宋体" w:hAnsi="宋体" w:cs="宋体"/>
          <w:sz w:val="24"/>
        </w:rPr>
        <w:t xml:space="preserve">评价,</w:t>
      </w:r>
      <w:r>
        <w:rPr>
          <w:rFonts w:ascii="宋体" w:hAnsi="宋体" w:cs="宋体"/>
          <w:sz w:val="24"/>
        </w:rPr>
        <w:t xml:space="preserve">由验收双方共同签署。验收结果与采购合同约定的资金支付及履约保证金返还条件挂钩。履约验收的各项资料存档备查。</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sz w:val="24"/>
        </w:rPr>
        <w:t xml:space="preserve">10.6 验收合格的</w:t>
      </w:r>
      <w:r>
        <w:rPr>
          <w:rFonts w:ascii="宋体" w:hAnsi="宋体" w:cs="宋体"/>
          <w:sz w:val="24"/>
        </w:rPr>
        <w:t xml:space="preserve">项目,</w:t>
      </w:r>
      <w:r>
        <w:rPr>
          <w:rFonts w:ascii="宋体" w:hAnsi="宋体" w:cs="宋体"/>
          <w:sz w:val="24"/>
        </w:rPr>
        <w:t xml:space="preserve">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w:t>
      </w:r>
      <w:r>
        <w:rPr>
          <w:rFonts w:hint="eastAsia" w:ascii="宋体" w:hAnsi="宋体" w:cs="宋体"/>
          <w:sz w:val="24"/>
        </w:rPr>
        <w:t xml:space="preserve">，</w:t>
      </w:r>
      <w:r>
        <w:rPr>
          <w:rFonts w:ascii="宋体" w:hAnsi="宋体" w:cs="宋体"/>
          <w:sz w:val="24"/>
        </w:rPr>
        <w:t xml:space="preserve">甲方将及时报告本级财政部门。</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sz w:val="24"/>
        </w:rPr>
        <w:t xml:space="preserve">十一、违约责任</w:t>
      </w:r>
      <w:r/>
    </w:p>
    <w:p>
      <w:pPr>
        <w:ind w:left="410" w:hanging="410"/>
        <w:spacing w:before="120" w:after="12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11.1 甲方无正当理由拒绝接受乙方提供货物的，甲方向乙方偿付拒绝接受货物合同价款总值</w:t>
      </w:r>
      <w:r>
        <w:rPr>
          <w:rFonts w:hint="eastAsia" w:ascii="宋体" w:hAnsi="宋体" w:cs="宋体"/>
          <w:sz w:val="24"/>
          <w:u w:val="single"/>
        </w:rPr>
        <w:t xml:space="preserve">    </w:t>
      </w:r>
      <w:r>
        <w:rPr>
          <w:rFonts w:hint="eastAsia" w:ascii="宋体" w:hAnsi="宋体" w:cs="宋体"/>
          <w:sz w:val="24"/>
        </w:rPr>
        <w:t xml:space="preserve">的违约金。</w:t>
      </w:r>
      <w:r/>
    </w:p>
    <w:p>
      <w:pPr>
        <w:ind w:left="410" w:hanging="410"/>
        <w:spacing w:before="120" w:after="12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11.2 甲方无故逾期验收和办理合同款项支付手续</w:t>
      </w:r>
      <w:r>
        <w:rPr>
          <w:rFonts w:hint="eastAsia" w:ascii="宋体" w:hAnsi="宋体" w:cs="宋体"/>
          <w:sz w:val="24"/>
        </w:rPr>
        <w:t xml:space="preserve">的,</w:t>
      </w:r>
      <w:r>
        <w:rPr>
          <w:rFonts w:hint="eastAsia" w:ascii="宋体" w:hAnsi="宋体" w:cs="宋体"/>
          <w:sz w:val="24"/>
        </w:rPr>
        <w:t xml:space="preserve">甲方应按逾期付款总额    每日向乙方支付违约金，累计违约金总额不超过逾期付款总额的5%。</w:t>
      </w:r>
      <w:r/>
    </w:p>
    <w:p>
      <w:pPr>
        <w:ind w:left="410" w:hanging="410"/>
        <w:spacing w:before="120" w:after="12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11.3 乙方逾期提供货物的，乙方应按逾期提供货物合同总额每日千分之六向甲方支付违约金，由甲方从待付合同款项中扣除。逾期超过约定日期10个工作日不能提供货物的，甲方可解除本合同。乙方因逾期提供货物或因其他违约行为导致甲方解除合同的，乙方应向甲方支付合同价款总额</w:t>
      </w:r>
      <w:r>
        <w:rPr>
          <w:rFonts w:hint="eastAsia" w:ascii="宋体" w:hAnsi="宋体" w:cs="宋体"/>
          <w:sz w:val="24"/>
          <w:u w:val="single"/>
        </w:rPr>
        <w:t xml:space="preserve">     </w:t>
      </w:r>
      <w:r>
        <w:rPr>
          <w:rFonts w:hint="eastAsia" w:ascii="宋体" w:hAnsi="宋体" w:cs="宋体"/>
          <w:sz w:val="24"/>
        </w:rPr>
        <w:t xml:space="preserve">的违约金，如造成甲方损失超过违约金的，超出部分由乙方继续承担赔偿责任。 </w:t>
      </w:r>
      <w:r/>
    </w:p>
    <w:p>
      <w:pPr>
        <w:ind w:left="410" w:hanging="410"/>
        <w:spacing w:before="120" w:after="120"/>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11.4 乙方所提供货物的标准不符合合同规定及招标文件规定标准的，甲方有权</w:t>
      </w:r>
      <w:r>
        <w:rPr>
          <w:rFonts w:hint="eastAsia" w:ascii="宋体" w:hAnsi="宋体" w:cs="宋体"/>
          <w:sz w:val="24"/>
        </w:rPr>
        <w:t xml:space="preserve">拒绝接受货物，并可单方面解除合同。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sz w:val="24"/>
        </w:rPr>
        <w:t xml:space="preserve">十二、不可抗力事件处理</w:t>
      </w:r>
      <w:r/>
    </w:p>
    <w:p>
      <w:pPr>
        <w:spacing w:before="120" w:after="12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12.1 在合同有效期内，任何一方因不可抗力事件导致不能履行合同，则合同履行期可延长，其延长期与不可抗力影响 期相同。</w:t>
      </w:r>
      <w:r/>
    </w:p>
    <w:p>
      <w:pPr>
        <w:spacing w:before="120" w:after="12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12.2不可抗力事件发生后，应立即通知对方，并寄送有关权威机构出具的证明。</w:t>
      </w:r>
      <w:r/>
    </w:p>
    <w:p>
      <w:pPr>
        <w:spacing w:before="120" w:after="12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12.3不可抗力事件延续30天以上，双方应通过友好协商，确定是否继续履行合同。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sz w:val="24"/>
        </w:rPr>
        <w:t xml:space="preserve">十三、解决争议的方法</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sz w:val="24"/>
        </w:rPr>
        <w:t xml:space="preserve">13.1双方在签订、履行合同中所发生的一切争议，应通过友好协商解决。如协商不成，由甲方住所地人民法院管辖。</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sz w:val="24"/>
        </w:rPr>
        <w:t xml:space="preserve">十四、合同生效及其它</w:t>
      </w:r>
      <w:r/>
    </w:p>
    <w:p>
      <w:pPr>
        <w:ind w:left="480" w:hanging="480"/>
        <w:spacing w:before="120" w:after="12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14.1合同经双方法定代表人或授权委托代表人签字并加盖单位公章后生效。</w:t>
      </w:r>
      <w:r/>
    </w:p>
    <w:p>
      <w:pPr>
        <w:ind w:left="480" w:hanging="480"/>
        <w:spacing w:before="120" w:after="12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14.2项目招投标文件为本合同组成部分，本合同未约定内容以招投标文件内容为准。</w:t>
      </w:r>
      <w:r/>
    </w:p>
    <w:p>
      <w:pPr>
        <w:ind w:left="480" w:hanging="480"/>
        <w:spacing w:before="120" w:after="12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14.3本合同未尽事宜，遵照《民法典》、《政府采购法》有关条文执行。</w:t>
      </w:r>
      <w:r/>
    </w:p>
    <w:p>
      <w:pPr>
        <w:ind w:left="480" w:hanging="480"/>
        <w:spacing w:before="120" w:after="120"/>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14.4 本合同正本一式两份，具有同等法律效力，甲方、乙方各执一份。</w:t>
      </w:r>
      <w:r/>
    </w:p>
    <w:p>
      <w:pPr>
        <w:ind w:left="480" w:hanging="480"/>
        <w:spacing w:before="120" w:after="12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480" w:hanging="480"/>
        <w:spacing w:before="120" w:after="12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sz w:val="24"/>
        </w:rPr>
        <w:t xml:space="preserve">甲方：              乙方： </w:t>
      </w:r>
      <w:r/>
    </w:p>
    <w:p>
      <w:pPr>
        <w:ind w:firstLine="240"/>
        <w:spacing w:before="120" w:after="120"/>
        <w:pBdr>
          <w:top w:val="none" w:color="000000" w:sz="0" w:space="0"/>
          <w:left w:val="none" w:color="000000" w:sz="0" w:space="0"/>
          <w:bottom w:val="none" w:color="000000" w:sz="0" w:space="0"/>
          <w:right w:val="none" w:color="000000" w:sz="0" w:space="0"/>
        </w:pBdr>
      </w:pPr>
      <w:r>
        <w:rPr>
          <w:rFonts w:ascii="宋体" w:hAnsi="宋体" w:cs="宋体"/>
          <w:sz w:val="24"/>
        </w:rPr>
        <w:t xml:space="preserve">地址：              地址： </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sz w:val="24"/>
        </w:rPr>
        <w:t xml:space="preserve"> 法定代表人或授权代表：  </w:t>
      </w:r>
      <w:r>
        <w:rPr>
          <w:rFonts w:hint="eastAsia" w:ascii="宋体" w:hAnsi="宋体" w:cs="宋体"/>
          <w:sz w:val="24"/>
        </w:rPr>
        <w:t xml:space="preserve"> </w:t>
      </w:r>
      <w:r>
        <w:rPr>
          <w:rFonts w:ascii="宋体" w:hAnsi="宋体" w:cs="宋体"/>
          <w:sz w:val="24"/>
        </w:rPr>
        <w:t xml:space="preserve">   法定代表人或授权代表：</w:t>
      </w:r>
      <w:r/>
    </w:p>
    <w:p>
      <w:pPr>
        <w:ind w:firstLine="240"/>
        <w:spacing w:before="120" w:after="120"/>
        <w:pBdr>
          <w:top w:val="none" w:color="000000" w:sz="0" w:space="0"/>
          <w:left w:val="none" w:color="000000" w:sz="0" w:space="0"/>
          <w:bottom w:val="none" w:color="000000" w:sz="0" w:space="0"/>
          <w:right w:val="none" w:color="000000" w:sz="0" w:space="0"/>
        </w:pBdr>
      </w:pPr>
      <w:r>
        <w:rPr>
          <w:rFonts w:ascii="宋体" w:hAnsi="宋体" w:cs="宋体"/>
          <w:sz w:val="24"/>
        </w:rPr>
        <w:t xml:space="preserve">联系电话：            联系电话：         </w:t>
      </w:r>
      <w:r/>
    </w:p>
    <w:p>
      <w:pPr>
        <w:spacing w:line="360" w:lineRule="auto"/>
        <w:rPr>
          <w:rFonts w:hint="eastAsia" w:ascii="宋体" w:hAnsi="宋体" w:eastAsia="宋体" w:cs="Times New Roman"/>
          <w:sz w:val="24"/>
          <w:szCs w:val="24"/>
        </w:rPr>
      </w:pPr>
      <w:r>
        <w:rPr>
          <w:rFonts w:ascii="宋体" w:hAnsi="宋体" w:cs="宋体"/>
        </w:rPr>
        <w:t xml:space="preserve">                                         签订日期：     年    月   日</w:t>
      </w:r>
      <w:r/>
    </w:p>
    <w:p>
      <w:pPr>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2"/>
        <w:spacing w:line="360" w:lineRule="auto"/>
        <w:rPr>
          <w:rFonts w:hint="eastAsia" w:ascii="宋体" w:hAnsi="宋体" w:eastAsia="宋体" w:cs="Times New Roman"/>
          <w:sz w:val="24"/>
          <w:szCs w:val="24"/>
        </w:rPr>
      </w:pPr>
      <w:r>
        <w:rPr>
          <w:rFonts w:ascii="宋体" w:hAnsi="宋体" w:eastAsia="宋体" w:cs="宋体"/>
          <w:b/>
          <w:bCs/>
          <w:sz w:val="24"/>
          <w:szCs w:val="20"/>
        </w:rPr>
        <w:t xml:space="preserve">注：上述格式及内容仅供参考，具体以甲方签订合同时内容为准</w:t>
      </w:r>
      <w:r/>
    </w:p>
    <w:p>
      <w:pPr>
        <w:pStyle w:val="891"/>
        <w:rPr>
          <w:rFonts w:hint="eastAsia" w:ascii="宋体" w:hAnsi="宋体" w:eastAsia="宋体" w:cs="宋体"/>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rPr>
      </w:r>
      <w:r/>
    </w:p>
    <w:p>
      <w:pPr>
        <w:pStyle w:val="891"/>
        <w:rPr>
          <w:rFonts w:hint="eastAsia" w:ascii="宋体" w:hAnsi="宋体" w:eastAsia="宋体" w:cs="宋体"/>
        </w:rPr>
      </w:pPr>
      <w:r>
        <w:rPr>
          <w:rFonts w:hint="eastAsia" w:ascii="宋体" w:hAnsi="宋体" w:eastAsia="宋体" w:cs="宋体"/>
        </w:rPr>
        <w:t xml:space="preserve">第七章 投标文件格式</w:t>
      </w:r>
      <w:bookmarkEnd w:id="516"/>
      <w:r/>
      <w:bookmarkEnd w:id="517"/>
      <w:r/>
      <w:r/>
    </w:p>
    <w:p>
      <w:pPr>
        <w:pStyle w:val="943"/>
        <w:ind w:firstLine="482"/>
        <w:spacing w:line="360" w:lineRule="auto"/>
        <w:rPr>
          <w:rFonts w:hint="eastAsia" w:eastAsia="宋体" w:cs="宋体"/>
          <w:b/>
          <w:sz w:val="24"/>
          <w:szCs w:val="24"/>
        </w:rPr>
      </w:pPr>
      <w:r>
        <w:rPr>
          <w:rFonts w:hint="eastAsia" w:eastAsia="宋体" w:cs="宋体"/>
          <w:b/>
          <w:sz w:val="24"/>
          <w:szCs w:val="24"/>
        </w:rPr>
        <w:t xml:space="preserve">投标人编制文件须知</w:t>
      </w:r>
      <w:r/>
    </w:p>
    <w:p>
      <w:pPr>
        <w:pStyle w:val="943"/>
        <w:ind w:firstLine="480"/>
        <w:spacing w:line="360" w:lineRule="auto"/>
        <w:rPr>
          <w:rFonts w:hint="eastAsia" w:eastAsia="宋体" w:cs="宋体"/>
          <w:sz w:val="24"/>
          <w:szCs w:val="24"/>
        </w:rPr>
      </w:pPr>
      <w:r>
        <w:rPr>
          <w:rFonts w:hint="eastAsia" w:eastAsia="宋体" w:cs="宋体"/>
          <w:sz w:val="24"/>
          <w:szCs w:val="24"/>
        </w:rPr>
        <w:t xml:space="preserve">1、投标人按照本部分的顺序编制投标文件（资格证明文件）、投标文件（商务技术文件），编制中涉及格式资料的，应按照本部分提供的内容和格式（所有表格的格式可扩展）填写提交。</w:t>
      </w:r>
      <w:r/>
    </w:p>
    <w:p>
      <w:pPr>
        <w:pStyle w:val="943"/>
        <w:ind w:firstLine="480"/>
        <w:spacing w:line="360" w:lineRule="auto"/>
        <w:rPr>
          <w:rFonts w:hint="eastAsia" w:eastAsia="宋体" w:cs="宋体"/>
          <w:sz w:val="24"/>
          <w:szCs w:val="24"/>
        </w:rPr>
      </w:pPr>
      <w:r>
        <w:rPr>
          <w:rFonts w:hint="eastAsia" w:eastAsia="宋体" w:cs="宋体"/>
          <w:sz w:val="24"/>
          <w:szCs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r/>
    </w:p>
    <w:p>
      <w:pPr>
        <w:pStyle w:val="943"/>
        <w:ind w:firstLine="480"/>
        <w:spacing w:line="360" w:lineRule="auto"/>
        <w:rPr>
          <w:rFonts w:hint="eastAsia" w:eastAsia="宋体" w:cs="宋体"/>
          <w:sz w:val="24"/>
          <w:szCs w:val="24"/>
        </w:rPr>
      </w:pPr>
      <w:r>
        <w:rPr>
          <w:rFonts w:hint="eastAsia" w:eastAsia="宋体" w:cs="宋体"/>
          <w:sz w:val="24"/>
          <w:szCs w:val="24"/>
        </w:rPr>
        <w:t xml:space="preserve">3、全部声明和问题的回答及所附材料必须是真实的、准确的和完整的。</w:t>
      </w:r>
      <w:r/>
    </w:p>
    <w:p>
      <w:pPr>
        <w:pStyle w:val="943"/>
        <w:ind w:firstLine="480"/>
        <w:spacing w:line="360" w:lineRule="auto"/>
        <w:rPr>
          <w:rFonts w:hint="eastAsia" w:eastAsia="宋体" w:cs="宋体"/>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eastAsia="宋体" w:cs="宋体"/>
          <w:sz w:val="24"/>
          <w:szCs w:val="24"/>
        </w:rPr>
        <w:t xml:space="preserve">4、实行电子化不见面交易方式的，加盖公章、签名等均通过投标文件编制工具加盖电子公章、签字、签章或印鉴。</w:t>
      </w:r>
      <w:r/>
    </w:p>
    <w:p>
      <w:pPr>
        <w:ind w:left="267" w:hanging="267"/>
        <w:spacing w:line="360" w:lineRule="auto"/>
        <w:rPr>
          <w:rFonts w:hint="eastAsia" w:ascii="宋体" w:hAnsi="宋体" w:eastAsia="宋体" w:cs="宋体"/>
          <w:b/>
          <w:sz w:val="24"/>
        </w:rPr>
      </w:pPr>
      <w:r>
        <w:rPr>
          <w:rFonts w:hint="eastAsia" w:ascii="宋体" w:hAnsi="宋体" w:eastAsia="宋体" w:cs="宋体"/>
          <w:b/>
          <w:spacing w:val="20"/>
          <w:sz w:val="24"/>
        </w:rPr>
        <w:t xml:space="preserve">投标文件</w:t>
      </w:r>
      <w:r>
        <w:rPr>
          <w:rFonts w:hint="eastAsia" w:ascii="宋体" w:hAnsi="宋体" w:eastAsia="宋体" w:cs="宋体"/>
          <w:b/>
          <w:sz w:val="24"/>
        </w:rPr>
        <w:t xml:space="preserve">封面（非实质性格式）</w:t>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t xml:space="preserve">投 标 文件</w:t>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ind w:firstLine="1084"/>
        <w:rPr>
          <w:rFonts w:hint="eastAsia" w:ascii="宋体" w:hAnsi="宋体" w:eastAsia="宋体" w:cs="宋体"/>
          <w:b/>
          <w:sz w:val="36"/>
        </w:rPr>
      </w:pPr>
      <w:r>
        <w:rPr>
          <w:rFonts w:hint="eastAsia" w:ascii="宋体" w:hAnsi="宋体" w:eastAsia="宋体" w:cs="宋体"/>
          <w:b/>
          <w:sz w:val="36"/>
        </w:rPr>
        <w:t xml:space="preserve">项 目 名 称：</w:t>
      </w:r>
      <w:r/>
    </w:p>
    <w:p>
      <w:pPr>
        <w:ind w:firstLine="1084"/>
        <w:rPr>
          <w:rFonts w:hint="eastAsia" w:ascii="宋体" w:hAnsi="宋体" w:eastAsia="宋体" w:cs="宋体"/>
          <w:b/>
          <w:sz w:val="36"/>
          <w:u w:val="single"/>
        </w:rPr>
      </w:pPr>
      <w:r>
        <w:rPr>
          <w:rFonts w:hint="eastAsia" w:ascii="宋体" w:hAnsi="宋体" w:eastAsia="宋体" w:cs="宋体"/>
          <w:b/>
          <w:sz w:val="36"/>
        </w:rPr>
        <w:t xml:space="preserve">项 目 编 号：</w:t>
      </w:r>
      <w:r/>
    </w:p>
    <w:p>
      <w:pPr>
        <w:ind w:firstLine="1084"/>
        <w:rPr>
          <w:rFonts w:hint="eastAsia" w:ascii="宋体" w:hAnsi="宋体" w:eastAsia="宋体" w:cs="宋体"/>
          <w:b/>
          <w:sz w:val="36"/>
        </w:rPr>
      </w:pPr>
      <w:r>
        <w:rPr>
          <w:rFonts w:hint="eastAsia" w:ascii="宋体" w:hAnsi="宋体" w:eastAsia="宋体" w:cs="宋体"/>
          <w:b/>
          <w:sz w:val="36"/>
        </w:rPr>
        <w:t xml:space="preserve">投标人名称</w:t>
      </w:r>
      <w:r>
        <w:rPr>
          <w:rFonts w:hint="eastAsia" w:ascii="宋体" w:hAnsi="宋体" w:eastAsia="宋体" w:cs="宋体"/>
          <w:b/>
          <w:sz w:val="36"/>
        </w:rPr>
        <w:t xml:space="preserve"> ：</w:t>
      </w:r>
      <w:r/>
    </w:p>
    <w:p>
      <w:pPr>
        <w:ind w:firstLine="1084"/>
        <w:rPr>
          <w:rFonts w:hint="eastAsia" w:ascii="宋体" w:hAnsi="宋体" w:eastAsia="宋体" w:cs="宋体"/>
          <w:b/>
          <w:sz w:val="36"/>
          <w:u w:val="single"/>
        </w:rPr>
      </w:pPr>
      <w:r>
        <w:rPr>
          <w:rFonts w:hint="eastAsia" w:ascii="宋体" w:hAnsi="宋体" w:eastAsia="宋体" w:cs="宋体"/>
          <w:b/>
          <w:sz w:val="36"/>
        </w:rPr>
        <w:t xml:space="preserve">日      期</w:t>
      </w:r>
      <w:r>
        <w:rPr>
          <w:rFonts w:hint="eastAsia" w:ascii="宋体" w:hAnsi="宋体" w:eastAsia="宋体" w:cs="宋体"/>
          <w:b/>
          <w:sz w:val="36"/>
        </w:rPr>
        <w:t xml:space="preserve"> ：</w:t>
      </w:r>
      <w:r/>
    </w:p>
    <w:p>
      <w:pPr>
        <w:ind w:left="343" w:hanging="343"/>
        <w:rPr>
          <w:rFonts w:hint="eastAsia" w:ascii="宋体" w:hAnsi="宋体" w:eastAsia="宋体" w:cs="宋体"/>
          <w:b/>
          <w:sz w:val="36"/>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sz w:val="36"/>
        </w:rPr>
      </w:r>
      <w:r/>
    </w:p>
    <w:p>
      <w:pPr>
        <w:ind w:left="267" w:hanging="267"/>
        <w:spacing w:line="360" w:lineRule="auto"/>
        <w:rPr>
          <w:rFonts w:hint="eastAsia" w:ascii="宋体" w:hAnsi="宋体" w:eastAsia="宋体" w:cs="宋体"/>
          <w:sz w:val="28"/>
          <w:szCs w:val="28"/>
        </w:rPr>
        <w:outlineLvl w:val="2"/>
      </w:pPr>
      <w:r>
        <w:rPr>
          <w:rFonts w:hint="eastAsia" w:ascii="宋体" w:hAnsi="宋体" w:eastAsia="宋体" w:cs="宋体"/>
          <w:b/>
          <w:sz w:val="28"/>
          <w:szCs w:val="28"/>
        </w:rPr>
        <w:t xml:space="preserve">一、资格证明文件</w:t>
      </w:r>
      <w:r/>
    </w:p>
    <w:p>
      <w:pPr>
        <w:ind w:left="228" w:hanging="228"/>
        <w:spacing w:line="360" w:lineRule="auto"/>
        <w:rPr>
          <w:rFonts w:hint="eastAsia" w:ascii="宋体" w:hAnsi="宋体" w:eastAsia="宋体" w:cs="宋体"/>
          <w:sz w:val="24"/>
          <w:szCs w:val="20"/>
        </w:rPr>
        <w:outlineLvl w:val="2"/>
      </w:pPr>
      <w:r>
        <w:rPr>
          <w:rFonts w:hint="eastAsia" w:ascii="宋体" w:hAnsi="宋体" w:eastAsia="宋体" w:cs="宋体"/>
          <w:sz w:val="24"/>
          <w:szCs w:val="20"/>
        </w:rPr>
        <w:t xml:space="preserve">1 </w:t>
      </w:r>
      <w:r>
        <w:rPr>
          <w:rFonts w:hint="eastAsia" w:ascii="宋体" w:hAnsi="宋体" w:eastAsia="宋体" w:cs="宋体"/>
          <w:sz w:val="24"/>
        </w:rPr>
        <w:t xml:space="preserve">满足《中华人民共和国政府采购法》第二十二条规定及法律法规的其他规定</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1-1投标人资格声明函（实质性格式）</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投标人资格声明函</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致：常州金诚招投标有限公司</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（采购人名称）</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按照《中华人民共和国政府采购法》第二十二条和招标文件的规定，我单位郑重声明如下：</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一、我单位是按照中华人民共和国法律规定登记注册的，注册地点为</w:t>
      </w:r>
      <w:r>
        <w:rPr>
          <w:rFonts w:hint="eastAsia" w:ascii="宋体" w:hAnsi="宋体" w:eastAsia="宋体" w:cs="宋体"/>
          <w:bCs/>
          <w:sz w:val="24"/>
          <w:u w:val="single"/>
        </w:rPr>
        <w:t xml:space="preserve">     </w:t>
      </w:r>
      <w:r>
        <w:rPr>
          <w:rFonts w:hint="eastAsia" w:ascii="宋体" w:hAnsi="宋体" w:eastAsia="宋体" w:cs="宋体"/>
          <w:bCs/>
          <w:sz w:val="24"/>
        </w:rPr>
        <w:t xml:space="preserve">，全称为</w:t>
      </w:r>
      <w:r>
        <w:rPr>
          <w:rFonts w:hint="eastAsia" w:ascii="宋体" w:hAnsi="宋体" w:eastAsia="宋体" w:cs="宋体"/>
          <w:bCs/>
          <w:sz w:val="24"/>
          <w:u w:val="single"/>
        </w:rPr>
        <w:t xml:space="preserve">       </w:t>
      </w:r>
      <w:r>
        <w:rPr>
          <w:rFonts w:hint="eastAsia" w:ascii="宋体" w:hAnsi="宋体" w:eastAsia="宋体" w:cs="宋体"/>
          <w:bCs/>
          <w:sz w:val="24"/>
        </w:rPr>
        <w:t xml:space="preserve">，统一社会信用代码为</w:t>
      </w:r>
      <w:r>
        <w:rPr>
          <w:rFonts w:hint="eastAsia" w:ascii="宋体" w:hAnsi="宋体" w:eastAsia="宋体" w:cs="宋体"/>
          <w:bCs/>
          <w:sz w:val="24"/>
          <w:u w:val="single"/>
        </w:rPr>
        <w:t xml:space="preserve">     </w:t>
      </w:r>
      <w:r>
        <w:rPr>
          <w:rFonts w:hint="eastAsia" w:ascii="宋体" w:hAnsi="宋体" w:eastAsia="宋体" w:cs="宋体"/>
          <w:bCs/>
          <w:sz w:val="24"/>
        </w:rPr>
        <w:t xml:space="preserve">，法定代表人（单位负责人）为</w:t>
      </w:r>
      <w:r>
        <w:rPr>
          <w:rFonts w:hint="eastAsia" w:ascii="宋体" w:hAnsi="宋体" w:eastAsia="宋体" w:cs="宋体"/>
          <w:bCs/>
          <w:sz w:val="24"/>
          <w:u w:val="single"/>
        </w:rPr>
        <w:t xml:space="preserve">      </w:t>
      </w:r>
      <w:r>
        <w:rPr>
          <w:rFonts w:hint="eastAsia" w:ascii="宋体" w:hAnsi="宋体" w:eastAsia="宋体" w:cs="宋体"/>
          <w:bCs/>
          <w:sz w:val="24"/>
        </w:rPr>
        <w:t xml:space="preserve">，具有独立承担民事责任的能力</w:t>
      </w:r>
      <w:r>
        <w:rPr>
          <w:rFonts w:hint="eastAsia" w:ascii="宋体" w:hAnsi="宋体" w:eastAsia="宋体" w:cs="宋体"/>
          <w:b/>
          <w:sz w:val="24"/>
        </w:rPr>
        <w:t xml:space="preserve">（如属于分公司经总公司授权参与项目，由总公司承担民事责任的，需提供总公司项目授权书）</w:t>
      </w:r>
      <w:r>
        <w:rPr>
          <w:rFonts w:hint="eastAsia" w:ascii="宋体" w:hAnsi="宋体" w:eastAsia="宋体" w:cs="宋体"/>
          <w:bCs/>
          <w:sz w:val="24"/>
        </w:rPr>
        <w:t xml:space="preserve">。</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二、我单位具有良好的商业信誉（指投标人经营状况良好，无本资格声明第十条情形）和健全的财务会计制度。</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三、我单位依法进行纳税和社会保险申报并实际履行了义务。</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四、我单位具有履行本项目采购合同所必需的设备和专业技术能力，并具有履行合同的良好记录。为履行本项采购合同我单位具备如下主要设备和主要专业技术</w:t>
      </w:r>
      <w:r>
        <w:rPr>
          <w:rFonts w:hint="eastAsia" w:ascii="宋体" w:hAnsi="宋体" w:eastAsia="宋体" w:cs="宋体"/>
          <w:bCs/>
          <w:sz w:val="24"/>
        </w:rPr>
        <w:t xml:space="preserve">能力:</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主要设备有：</w:t>
      </w:r>
      <w:r>
        <w:rPr>
          <w:rFonts w:hint="eastAsia" w:ascii="宋体" w:hAnsi="宋体" w:eastAsia="宋体" w:cs="宋体"/>
          <w:bCs/>
          <w:sz w:val="24"/>
          <w:u w:val="single"/>
        </w:rPr>
        <w:t xml:space="preserve">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主要专业技术能力有：</w:t>
      </w:r>
      <w:r>
        <w:rPr>
          <w:rFonts w:hint="eastAsia" w:ascii="宋体" w:hAnsi="宋体" w:eastAsia="宋体" w:cs="宋体"/>
          <w:bCs/>
          <w:sz w:val="24"/>
          <w:u w:val="single"/>
        </w:rPr>
        <w:t xml:space="preserve">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六、我单位具备法律、行政法规规定的其他条件。</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七、与我单位存在“单位负责人为同一人或者存在直接控股、管理关系”的其他单位信息如下（如无此情形的，填写“无”）：</w:t>
      </w:r>
      <w:r/>
    </w:p>
    <w:p>
      <w:pPr>
        <w:contextualSpacing/>
        <w:ind w:firstLine="480"/>
        <w:spacing w:line="360" w:lineRule="auto"/>
        <w:rPr>
          <w:rFonts w:hint="eastAsia" w:ascii="宋体" w:hAnsi="宋体" w:eastAsia="宋体" w:cs="宋体"/>
          <w:bCs/>
          <w:sz w:val="24"/>
          <w:u w:val="single"/>
        </w:rPr>
      </w:pPr>
      <w:r>
        <w:rPr>
          <w:rFonts w:hint="eastAsia" w:ascii="宋体" w:hAnsi="宋体" w:eastAsia="宋体" w:cs="宋体"/>
          <w:bCs/>
          <w:sz w:val="24"/>
        </w:rPr>
        <w:t xml:space="preserve">1、与我单位的法定代表人（单位负责人）为同一人的其他单位如下：</w:t>
      </w:r>
      <w:r>
        <w:rPr>
          <w:rFonts w:hint="eastAsia" w:ascii="宋体" w:hAnsi="宋体" w:eastAsia="宋体" w:cs="宋体"/>
          <w:bCs/>
          <w:sz w:val="24"/>
          <w:u w:val="single"/>
        </w:rPr>
        <w:t xml:space="preserve">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2、我单位直接控股的其他单位如下：</w:t>
      </w:r>
      <w:r>
        <w:rPr>
          <w:rFonts w:hint="eastAsia" w:ascii="宋体" w:hAnsi="宋体" w:eastAsia="宋体" w:cs="宋体"/>
          <w:bCs/>
          <w:sz w:val="24"/>
          <w:u w:val="single"/>
        </w:rPr>
        <w:t xml:space="preserve">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3、与我单位存在管理关系的其他单位如下：</w:t>
      </w:r>
      <w:r>
        <w:rPr>
          <w:rFonts w:hint="eastAsia" w:ascii="宋体" w:hAnsi="宋体" w:eastAsia="宋体" w:cs="宋体"/>
          <w:bCs/>
          <w:sz w:val="24"/>
          <w:u w:val="single"/>
        </w:rPr>
        <w:t xml:space="preserve">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八、我单位不属于为本项目提供整体设计、规范编制或者项目管理、监理、检测等服务的投标人。</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九、我单位无以下不良信用记录情形：</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1、在“信用中国”网站被列入失信被执行人和重大税收违法案件当事人名单；</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2、在“中国政府采购网”网站被列入政府采购严重违法失信行为记录名单；</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3、不符合《政府采购法》第二十二条规定的条件。</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我单位保证上述声明的事项都是真实的，如有虚假，我单位愿意承担相应的法律责任，并承担因此所造成的一切损失</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投标人：（加盖公章）</w:t>
      </w:r>
      <w:r/>
    </w:p>
    <w:p>
      <w:pPr>
        <w:contextualSpacing/>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法定代表人（或单位负责人）签字或盖章：</w:t>
      </w:r>
      <w:r/>
    </w:p>
    <w:p>
      <w:pPr>
        <w:contextualSpacing/>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日期：    年    月    日</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t xml:space="preserve">说明：投标人承诺不实的，依据《政府采购法》第七十七条“提供虚假材料谋取中标、成交的”有关规定予以处理。</w:t>
      </w:r>
      <w:r/>
    </w:p>
    <w:p>
      <w:pPr>
        <w:ind w:left="228" w:hanging="228"/>
        <w:jc w:val="left"/>
        <w:spacing w:line="360" w:lineRule="auto"/>
        <w:widowControl/>
        <w:rPr>
          <w:rFonts w:hint="eastAsia" w:ascii="宋体" w:hAnsi="宋体" w:eastAsia="宋体" w:cs="宋体"/>
          <w:sz w:val="24"/>
          <w:szCs w:val="20"/>
        </w:rPr>
      </w:pPr>
      <w:r>
        <w:rPr>
          <w:rFonts w:hint="eastAsia" w:ascii="宋体" w:hAnsi="宋体" w:eastAsia="宋体" w:cs="宋体"/>
          <w:sz w:val="24"/>
          <w:szCs w:val="20"/>
        </w:rPr>
        <w:t xml:space="preserve">1-2 营业执照（实质性格式）</w:t>
      </w:r>
      <w:r/>
    </w:p>
    <w:p>
      <w:pPr>
        <w:contextualSpacing/>
        <w:ind w:firstLine="480"/>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t xml:space="preserve">投标人为法人或者其他组织的营业执照等证明文件</w:t>
      </w:r>
      <w:r>
        <w:rPr>
          <w:rFonts w:hint="eastAsia" w:ascii="宋体" w:hAnsi="宋体" w:eastAsia="宋体" w:cs="宋体"/>
          <w:sz w:val="24"/>
        </w:rPr>
        <w:t xml:space="preserve">扫描件</w:t>
      </w:r>
      <w:r>
        <w:rPr>
          <w:rFonts w:hint="eastAsia" w:ascii="宋体" w:hAnsi="宋体" w:eastAsia="宋体" w:cs="宋体"/>
          <w:bCs/>
          <w:sz w:val="24"/>
        </w:rPr>
        <w:t xml:space="preserve">加盖公章，投标人为自然人提供营业执照（如有）及身份证明</w:t>
      </w:r>
      <w:r>
        <w:rPr>
          <w:rFonts w:hint="eastAsia" w:ascii="宋体" w:hAnsi="宋体" w:eastAsia="宋体" w:cs="宋体"/>
          <w:sz w:val="24"/>
        </w:rPr>
        <w:t xml:space="preserve">扫描件</w:t>
      </w:r>
      <w:r>
        <w:rPr>
          <w:rFonts w:hint="eastAsia" w:ascii="宋体" w:hAnsi="宋体" w:eastAsia="宋体" w:cs="宋体"/>
          <w:bCs/>
          <w:sz w:val="24"/>
        </w:rPr>
        <w:t xml:space="preserve">加盖公章（双面）。</w:t>
      </w:r>
      <w:r/>
    </w:p>
    <w:p>
      <w:pPr>
        <w:ind w:left="267" w:hanging="267"/>
        <w:spacing w:line="360" w:lineRule="auto"/>
        <w:rPr>
          <w:rFonts w:hint="eastAsia" w:asciiTheme="minorEastAsia" w:hAnsiTheme="minorEastAsia"/>
          <w:sz w:val="24"/>
        </w:rPr>
        <w:outlineLvl w:val="2"/>
      </w:pPr>
      <w:r>
        <w:rPr>
          <w:rFonts w:hint="eastAsia" w:asciiTheme="minorEastAsia" w:hAnsiTheme="minorEastAsia"/>
          <w:sz w:val="24"/>
        </w:rPr>
        <w:t xml:space="preserve">2</w:t>
      </w:r>
      <w:r>
        <w:rPr>
          <w:rFonts w:asciiTheme="minorEastAsia" w:hAnsiTheme="minorEastAsia"/>
          <w:sz w:val="24"/>
        </w:rPr>
        <w:t xml:space="preserve">其他特定资格要求</w:t>
      </w:r>
      <w:r/>
    </w:p>
    <w:p>
      <w:pPr>
        <w:pStyle w:val="920"/>
        <w:ind w:firstLine="198"/>
        <w:spacing w:line="360" w:lineRule="auto"/>
        <w:rPr>
          <w:rFonts w:hint="eastAsia" w:asciiTheme="minorEastAsia" w:hAnsiTheme="minorEastAsia" w:eastAsiaTheme="minorEastAsia" w:cstheme="minorBidi"/>
          <w:sz w:val="24"/>
        </w:rPr>
      </w:pPr>
      <w:r>
        <w:rPr>
          <w:rFonts w:hint="eastAsia" w:hAnsi="宋体" w:cs="宋体"/>
          <w:sz w:val="24"/>
          <w:szCs w:val="24"/>
        </w:rPr>
        <w:t xml:space="preserve">投标人具备有效的食品经营许可证（经营范围含预包装食品销售），或仅销售预包装食品经营者备案表（含有效备案编号）。</w:t>
      </w:r>
      <w:r/>
    </w:p>
    <w:p>
      <w:r/>
      <w:r/>
    </w:p>
    <w:p>
      <w:pPr>
        <w:pStyle w:val="903"/>
        <w:rPr>
          <w:rFonts w:asciiTheme="minorEastAsia" w:hAnsiTheme="minorEastAsia" w:eastAsiaTheme="minorEastAsia" w:cstheme="minorBidi"/>
          <w:sz w:val="24"/>
          <w:szCs w:val="22"/>
        </w:rPr>
      </w:pPr>
      <w:r>
        <w:rPr>
          <w:rFonts w:asciiTheme="minorEastAsia" w:hAnsiTheme="minorEastAsia" w:eastAsiaTheme="minorEastAsia" w:cstheme="minorBidi"/>
          <w:sz w:val="24"/>
          <w:szCs w:val="22"/>
        </w:rPr>
        <w:t xml:space="preserve">提供相关证明材料扫描件加盖公章</w:t>
      </w:r>
      <w:r/>
    </w:p>
    <w:p>
      <w:pPr>
        <w:pStyle w:val="920"/>
        <w:rPr>
          <w:rFonts w:hint="eastAsia" w:asciiTheme="minorEastAsia" w:hAnsiTheme="minorEastAsia" w:eastAsiaTheme="minorEastAsia" w:cstheme="minorBidi"/>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eastAsiaTheme="minorEastAsia" w:cstheme="minorBidi"/>
          <w:sz w:val="24"/>
        </w:rPr>
      </w:r>
      <w:r/>
    </w:p>
    <w:p>
      <w:pPr>
        <w:ind w:left="267" w:hanging="267"/>
        <w:spacing w:line="360" w:lineRule="auto"/>
        <w:rPr>
          <w:rFonts w:hint="eastAsia" w:ascii="宋体" w:hAnsi="宋体" w:eastAsia="宋体" w:cs="宋体"/>
          <w:sz w:val="28"/>
          <w:szCs w:val="28"/>
        </w:rPr>
        <w:outlineLvl w:val="2"/>
      </w:pPr>
      <w:r>
        <w:rPr>
          <w:rFonts w:hint="eastAsia" w:ascii="宋体" w:hAnsi="宋体" w:eastAsia="宋体" w:cs="宋体"/>
          <w:b/>
          <w:sz w:val="28"/>
          <w:szCs w:val="28"/>
        </w:rPr>
        <w:t xml:space="preserve">二、商务技术文件格式</w:t>
      </w:r>
      <w:r/>
    </w:p>
    <w:p>
      <w:pPr>
        <w:ind w:left="228" w:hanging="228"/>
        <w:spacing w:line="360" w:lineRule="auto"/>
        <w:rPr>
          <w:rFonts w:hint="eastAsia" w:ascii="宋体" w:hAnsi="宋体" w:eastAsia="宋体" w:cs="宋体"/>
          <w:sz w:val="24"/>
          <w:szCs w:val="20"/>
        </w:rPr>
        <w:outlineLvl w:val="2"/>
      </w:pPr>
      <w:r>
        <w:rPr>
          <w:rFonts w:hint="eastAsia" w:ascii="宋体" w:hAnsi="宋体" w:eastAsia="宋体" w:cs="宋体"/>
          <w:sz w:val="24"/>
        </w:rPr>
        <w:t xml:space="preserve">1 投标函</w:t>
      </w:r>
      <w:r>
        <w:rPr>
          <w:rFonts w:hint="eastAsia" w:ascii="宋体" w:hAnsi="宋体" w:eastAsia="宋体" w:cs="宋体"/>
          <w:sz w:val="24"/>
          <w:szCs w:val="20"/>
        </w:rPr>
        <w:t xml:space="preserve">（实质性格式）</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投标函</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致：常州金诚招投标有限公司</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（采购人名称）</w:t>
      </w:r>
      <w:r/>
    </w:p>
    <w:p>
      <w:pPr>
        <w:ind w:left="228" w:hanging="228"/>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我方参加你方就___________（项目名称，项目编号）组织的招标活动，并对此项目进行投标。</w:t>
      </w:r>
      <w:r/>
    </w:p>
    <w:p>
      <w:pPr>
        <w:ind w:left="228" w:hanging="228"/>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1. 我方</w:t>
      </w:r>
      <w:r>
        <w:rPr>
          <w:rFonts w:hint="eastAsia" w:ascii="宋体" w:hAnsi="宋体" w:eastAsia="宋体" w:cs="宋体"/>
          <w:sz w:val="24"/>
        </w:rPr>
        <w:t xml:space="preserve">已详细审查全部招标文件</w:t>
      </w:r>
      <w:r>
        <w:rPr>
          <w:rFonts w:hint="eastAsia" w:ascii="宋体" w:hAnsi="宋体" w:eastAsia="宋体" w:cs="宋体"/>
          <w:sz w:val="24"/>
          <w:szCs w:val="20"/>
        </w:rPr>
        <w:t xml:space="preserve">，自愿参与投标并承诺如下：</w:t>
      </w:r>
      <w:r/>
    </w:p>
    <w:p>
      <w:pPr>
        <w:ind w:left="360" w:firstLine="72"/>
        <w:spacing w:line="360" w:lineRule="auto"/>
        <w:tabs>
          <w:tab w:val="left" w:pos="720" w:leader="none"/>
          <w:tab w:val="left" w:pos="900" w:leader="none"/>
        </w:tabs>
        <w:rPr>
          <w:rFonts w:hint="eastAsia" w:ascii="宋体" w:hAnsi="宋体" w:eastAsia="宋体" w:cs="宋体"/>
          <w:sz w:val="24"/>
          <w:szCs w:val="20"/>
        </w:rPr>
      </w:pPr>
      <w:r>
        <w:rPr>
          <w:rFonts w:hint="eastAsia" w:ascii="宋体" w:hAnsi="宋体" w:eastAsia="宋体" w:cs="宋体"/>
          <w:sz w:val="24"/>
          <w:szCs w:val="20"/>
        </w:rPr>
        <w:t xml:space="preserve">（1）本投标有效期为自提交投标文件的截止之日起</w:t>
      </w:r>
      <w:r>
        <w:rPr>
          <w:rFonts w:hint="eastAsia" w:ascii="宋体" w:hAnsi="宋体" w:eastAsia="宋体" w:cs="宋体"/>
          <w:sz w:val="24"/>
        </w:rPr>
        <w:t xml:space="preserve">60</w:t>
      </w:r>
      <w:r>
        <w:rPr>
          <w:rFonts w:hint="eastAsia" w:ascii="宋体" w:hAnsi="宋体" w:eastAsia="宋体" w:cs="宋体"/>
          <w:sz w:val="24"/>
          <w:szCs w:val="20"/>
        </w:rPr>
        <w:t xml:space="preserve">个日历日。</w:t>
      </w:r>
      <w:r/>
    </w:p>
    <w:p>
      <w:pPr>
        <w:ind w:left="360" w:firstLine="72"/>
        <w:spacing w:line="360" w:lineRule="auto"/>
        <w:tabs>
          <w:tab w:val="left" w:pos="720" w:leader="none"/>
          <w:tab w:val="left" w:pos="900" w:leader="none"/>
        </w:tabs>
        <w:rPr>
          <w:rFonts w:hint="eastAsia" w:ascii="宋体" w:hAnsi="宋体" w:eastAsia="宋体" w:cs="宋体"/>
          <w:sz w:val="24"/>
          <w:szCs w:val="20"/>
        </w:rPr>
      </w:pPr>
      <w:r>
        <w:rPr>
          <w:rFonts w:hint="eastAsia" w:ascii="宋体" w:hAnsi="宋体" w:eastAsia="宋体" w:cs="宋体"/>
          <w:sz w:val="24"/>
          <w:szCs w:val="20"/>
        </w:rPr>
        <w:t xml:space="preserve">（2）除合同条款及采购需求偏离表列出的偏离外，我方响应招标文件的全部要求。</w:t>
      </w:r>
      <w:r/>
    </w:p>
    <w:p>
      <w:pPr>
        <w:ind w:firstLine="420"/>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eastAsia="宋体" w:cs="宋体"/>
          <w:sz w:val="24"/>
        </w:rPr>
      </w:pPr>
      <w:r>
        <w:rPr>
          <w:rFonts w:hint="eastAsia" w:ascii="宋体" w:hAnsi="宋体" w:eastAsia="宋体" w:cs="宋体"/>
          <w:sz w:val="24"/>
          <w:szCs w:val="20"/>
        </w:rPr>
        <w:t xml:space="preserve">（4）如我方中标，我方将在法律规定的期限内与你方签订合同，按照招标文件要求提交履约保证金，并在合同约定的期限内完成合同规定的全部义务。</w:t>
      </w:r>
      <w:r/>
    </w:p>
    <w:p>
      <w:pPr>
        <w:ind w:left="228" w:hanging="228"/>
        <w:spacing w:line="360" w:lineRule="auto"/>
        <w:rPr>
          <w:rFonts w:hint="eastAsia" w:ascii="宋体" w:hAnsi="宋体" w:eastAsia="宋体" w:cs="宋体"/>
          <w:sz w:val="24"/>
        </w:rPr>
      </w:pPr>
      <w:r>
        <w:rPr>
          <w:rFonts w:hint="eastAsia" w:ascii="宋体" w:hAnsi="宋体" w:eastAsia="宋体" w:cs="宋体"/>
          <w:sz w:val="24"/>
        </w:rPr>
        <w:t xml:space="preserve">2. 其他补充条款（如有）：</w:t>
      </w:r>
      <w:r>
        <w:rPr>
          <w:rFonts w:hint="eastAsia" w:ascii="宋体" w:hAnsi="宋体" w:eastAsia="宋体" w:cs="宋体"/>
          <w:sz w:val="24"/>
          <w:szCs w:val="20"/>
        </w:rPr>
        <w:t xml:space="preserve">___________</w:t>
      </w:r>
      <w:r>
        <w:rPr>
          <w:rFonts w:hint="eastAsia" w:ascii="宋体" w:hAnsi="宋体" w:eastAsia="宋体" w:cs="宋体"/>
          <w:sz w:val="24"/>
        </w:rPr>
        <w:t xml:space="preserve">。</w:t>
      </w:r>
      <w:r/>
    </w:p>
    <w:p>
      <w:pPr>
        <w:contextualSpacing/>
        <w:ind w:firstLine="480"/>
        <w:spacing w:line="360" w:lineRule="auto"/>
        <w:rPr>
          <w:rFonts w:hint="eastAsia" w:ascii="宋体" w:hAnsi="宋体" w:eastAsia="宋体" w:cs="宋体"/>
          <w:bCs/>
          <w:sz w:val="24"/>
        </w:rPr>
      </w:pPr>
      <w:r>
        <w:rPr>
          <w:rFonts w:hint="eastAsia" w:ascii="宋体" w:hAnsi="宋体" w:eastAsia="宋体" w:cs="宋体"/>
          <w:sz w:val="24"/>
        </w:rPr>
        <w:t xml:space="preserve">与本投标有关的一切正式往来信函请寄：</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地址_________________________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传真_________________________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电话_________________________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电子函件_____________________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投标名称（加盖公章） 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日期：_____年______月______日    </w:t>
      </w:r>
      <w:r/>
    </w:p>
    <w:p>
      <w:pPr>
        <w:contextualSpacing/>
        <w:ind w:left="228" w:hanging="228"/>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r>
      <w:r/>
    </w:p>
    <w:p>
      <w:pPr>
        <w:ind w:left="228" w:hanging="228"/>
        <w:spacing w:line="360" w:lineRule="auto"/>
        <w:rPr>
          <w:rFonts w:hint="eastAsia" w:ascii="宋体" w:hAnsi="宋体" w:eastAsia="宋体" w:cs="宋体"/>
          <w:sz w:val="24"/>
        </w:rPr>
        <w:outlineLvl w:val="2"/>
      </w:pPr>
      <w:r>
        <w:rPr>
          <w:rFonts w:hint="eastAsia" w:ascii="宋体" w:hAnsi="宋体" w:eastAsia="宋体" w:cs="宋体"/>
          <w:sz w:val="24"/>
        </w:rPr>
        <w:t xml:space="preserve">2 法定代表人资格证明书（实质性格式）</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法定代表人资格证明书</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单位</w:t>
      </w:r>
      <w:r>
        <w:rPr>
          <w:rFonts w:hint="eastAsia" w:ascii="宋体" w:hAnsi="宋体" w:eastAsia="宋体" w:cs="宋体"/>
          <w:bCs/>
          <w:sz w:val="24"/>
        </w:rPr>
        <w:t xml:space="preserve">名称:</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地址:</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姓名:</w:t>
      </w:r>
      <w:r>
        <w:rPr>
          <w:rFonts w:hint="eastAsia" w:ascii="宋体" w:hAnsi="宋体" w:eastAsia="宋体" w:cs="宋体"/>
          <w:bCs/>
          <w:sz w:val="24"/>
        </w:rPr>
        <w:t xml:space="preserve">     </w:t>
      </w:r>
      <w:r>
        <w:rPr>
          <w:rFonts w:hint="eastAsia" w:ascii="宋体" w:hAnsi="宋体" w:eastAsia="宋体" w:cs="宋体"/>
          <w:bCs/>
          <w:sz w:val="24"/>
        </w:rPr>
        <w:t xml:space="preserve">性别:</w:t>
      </w:r>
      <w:r>
        <w:rPr>
          <w:rFonts w:hint="eastAsia" w:ascii="宋体" w:hAnsi="宋体" w:eastAsia="宋体" w:cs="宋体"/>
          <w:bCs/>
          <w:sz w:val="24"/>
        </w:rPr>
        <w:t xml:space="preserve">       </w:t>
      </w:r>
      <w:r>
        <w:rPr>
          <w:rFonts w:hint="eastAsia" w:ascii="宋体" w:hAnsi="宋体" w:eastAsia="宋体" w:cs="宋体"/>
          <w:bCs/>
          <w:sz w:val="24"/>
        </w:rPr>
        <w:t xml:space="preserve">年龄:</w:t>
      </w:r>
      <w:r>
        <w:rPr>
          <w:rFonts w:hint="eastAsia" w:ascii="宋体" w:hAnsi="宋体" w:eastAsia="宋体" w:cs="宋体"/>
          <w:bCs/>
          <w:sz w:val="24"/>
        </w:rPr>
        <w:t xml:space="preserve">      </w:t>
      </w:r>
      <w:r>
        <w:rPr>
          <w:rFonts w:hint="eastAsia" w:ascii="宋体" w:hAnsi="宋体" w:eastAsia="宋体" w:cs="宋体"/>
          <w:bCs/>
          <w:sz w:val="24"/>
        </w:rPr>
        <w:t xml:space="preserve">职务:</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系</w:t>
      </w:r>
      <w:r>
        <w:rPr>
          <w:rFonts w:hint="eastAsia" w:ascii="宋体" w:hAnsi="宋体" w:eastAsia="宋体" w:cs="宋体"/>
          <w:bCs/>
          <w:sz w:val="24"/>
          <w:u w:val="single"/>
        </w:rPr>
        <w:t xml:space="preserve">      </w:t>
      </w:r>
      <w:r>
        <w:rPr>
          <w:rFonts w:hint="eastAsia" w:ascii="宋体" w:hAnsi="宋体" w:eastAsia="宋体" w:cs="宋体"/>
          <w:bCs/>
          <w:sz w:val="24"/>
        </w:rPr>
        <w:t xml:space="preserve">（投标单位名称）的法定代表人。为参与</w:t>
      </w:r>
      <w:r>
        <w:rPr>
          <w:rFonts w:hint="eastAsia" w:ascii="宋体" w:hAnsi="宋体" w:eastAsia="宋体" w:cs="宋体"/>
          <w:bCs/>
          <w:sz w:val="24"/>
          <w:u w:val="single"/>
        </w:rPr>
        <w:t xml:space="preserve">      </w:t>
      </w:r>
      <w:r>
        <w:rPr>
          <w:rFonts w:hint="eastAsia" w:ascii="宋体" w:hAnsi="宋体" w:eastAsia="宋体" w:cs="宋体"/>
          <w:bCs/>
          <w:sz w:val="24"/>
        </w:rPr>
        <w:t xml:space="preserve">（项目名称）的政府采购活动，签署、澄清确认、递交、撤回、修改上述项目的投标文件、进行合同谈判、签署合同和处理与之有关的一切事务。</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特此证明。</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附：法定代表人（单位负责人）有效期内的身份证正反面</w:t>
      </w:r>
      <w:r>
        <w:rPr>
          <w:rFonts w:hint="eastAsia" w:ascii="宋体" w:hAnsi="宋体" w:eastAsia="宋体" w:cs="宋体"/>
          <w:sz w:val="24"/>
        </w:rPr>
        <w:t xml:space="preserve">扫描件</w:t>
      </w:r>
      <w:r>
        <w:rPr>
          <w:rFonts w:hint="eastAsia" w:ascii="宋体" w:hAnsi="宋体" w:eastAsia="宋体" w:cs="宋体"/>
          <w:bCs/>
          <w:sz w:val="24"/>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tc>
        <w:tc>
          <w:tcPr>
            <w:tcW w:w="4536" w:type="dxa"/>
            <w:textDirection w:val="lrTb"/>
            <w:noWrap w:val="false"/>
          </w:tcPr>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tc>
      </w:tr>
    </w:tbl>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投标人：（加盖公章）</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法定代表人签字或盖章：</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日期：    年    月    日</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说明：</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1.若投标人为事业单位或其他组织或分支机构（仅当招标文件注明允许分支机构投标的），则法定代表人（单位负责人）处的签署人可为单位负责人。</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2.投标人为自然人的情形，可不提供本《法定代表人资格证明书》</w:t>
      </w:r>
      <w:r>
        <w:rPr>
          <w:rFonts w:hint="eastAsia" w:ascii="宋体" w:hAnsi="宋体" w:eastAsia="宋体" w:cs="宋体"/>
          <w:bCs/>
          <w:sz w:val="24"/>
        </w:rPr>
        <w:t xml:space="preserve">。。</w:t>
      </w:r>
      <w:r/>
    </w:p>
    <w:p>
      <w:pPr>
        <w:contextualSpacing/>
        <w:ind w:firstLine="480"/>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r>
      <w:r/>
    </w:p>
    <w:p>
      <w:pPr>
        <w:ind w:left="228" w:hanging="228"/>
        <w:spacing w:line="360" w:lineRule="auto"/>
        <w:rPr>
          <w:rFonts w:hint="eastAsia" w:ascii="宋体" w:hAnsi="宋体" w:eastAsia="宋体" w:cs="宋体"/>
          <w:sz w:val="24"/>
          <w:szCs w:val="20"/>
        </w:rPr>
        <w:outlineLvl w:val="2"/>
      </w:pPr>
      <w:r>
        <w:rPr>
          <w:rFonts w:hint="eastAsia" w:ascii="宋体" w:hAnsi="宋体" w:eastAsia="宋体" w:cs="宋体"/>
          <w:sz w:val="24"/>
          <w:szCs w:val="20"/>
        </w:rPr>
        <w:t xml:space="preserve">3 政府采购供应商信用承诺书（实质性格式）</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政府采购供应商信用承诺书</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为维护公开、公平、公正的政府采购市场秩序，树立诚实守信的供应商形象，本单位在参与政府采购活动</w:t>
      </w:r>
      <w:r>
        <w:rPr>
          <w:rFonts w:hint="eastAsia" w:ascii="宋体" w:hAnsi="宋体" w:eastAsia="宋体" w:cs="宋体"/>
          <w:bCs/>
          <w:sz w:val="24"/>
        </w:rPr>
        <w:t xml:space="preserve">中,</w:t>
      </w:r>
      <w:r>
        <w:rPr>
          <w:rFonts w:hint="eastAsia" w:ascii="宋体" w:hAnsi="宋体" w:eastAsia="宋体" w:cs="宋体"/>
          <w:bCs/>
          <w:sz w:val="24"/>
        </w:rPr>
        <w:t xml:space="preserve">自愿作出以下承诺：</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一、严格遵守国家法律、法规和规章，全面履行应尽的责任和义务，全面做到履约守信，具备《政府采购法》第二十二条第一款规定的条件。</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四、严格依法开展生产经营活动，主动接受行业监管，自愿接受依法开展的日常检查；违法失信经营后将自愿接受约束和惩戒，并依法承担相应责任。</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五、承诺本单位自觉接受行政管理部门、行业组织、社会公众、新闻舆论的监督。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六、承诺本单位自我约束、自我管理，重合同、守信用，不制假售假、商标侵权、虚假宣传、违约毁约、恶意逃债、偷税漏税、价格欺诈、垄断和不正当竞争，维护经营者、消费者的合法权益。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七、承诺本单位在信用中国（江苏）网站中无违法违规、较重或严重失信记录。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八、承诺本单位提出政府采购质疑和投诉坚持依法依规、诚实信用原则。</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九、根据政府采购相关法律法规的规定需要作出的其他承诺。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十、承诺本单位若违背承诺约定，经查实，愿意接受行业主管部门和信用管理部门相应的规定处罚，承担违约责任，并依法承担相应的法律责任。</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十一、承诺本单位同意将以上承诺事项上网公示，违背承诺约定行为将作为失信信息，记录到常州市公共信用信息系统，并予以公开。</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投标人名称（加盖公章）：____________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日期：_____年______月______日   </w:t>
      </w:r>
      <w:r/>
    </w:p>
    <w:p>
      <w:pPr>
        <w:ind w:left="228" w:hanging="228"/>
        <w:spacing w:line="360" w:lineRule="auto"/>
        <w:rPr>
          <w:rFonts w:hint="eastAsia" w:ascii="宋体" w:hAnsi="宋体" w:eastAsia="宋体" w:cs="宋体"/>
          <w:sz w:val="24"/>
          <w:szCs w:val="20"/>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cs="宋体"/>
          <w:sz w:val="24"/>
          <w:szCs w:val="20"/>
        </w:rPr>
      </w:r>
      <w:r/>
    </w:p>
    <w:p>
      <w:pPr>
        <w:ind w:left="228" w:hanging="228"/>
        <w:spacing w:line="360" w:lineRule="auto"/>
        <w:rPr>
          <w:rFonts w:hint="eastAsia" w:ascii="宋体" w:hAnsi="宋体" w:eastAsia="宋体" w:cs="宋体"/>
          <w:sz w:val="24"/>
          <w:szCs w:val="20"/>
        </w:rPr>
        <w:outlineLvl w:val="2"/>
      </w:pPr>
      <w:r>
        <w:rPr>
          <w:rFonts w:hint="eastAsia" w:ascii="宋体" w:hAnsi="宋体" w:eastAsia="宋体" w:cs="宋体"/>
          <w:sz w:val="24"/>
          <w:szCs w:val="20"/>
        </w:rPr>
        <w:t xml:space="preserve">4 开标一览表（实质性格式）</w:t>
      </w:r>
      <w:r/>
    </w:p>
    <w:p>
      <w:pPr>
        <w:ind w:left="343" w:hanging="343"/>
        <w:jc w:val="center"/>
        <w:spacing w:line="360" w:lineRule="exact"/>
        <w:rPr>
          <w:rFonts w:hint="eastAsia" w:ascii="宋体" w:hAnsi="宋体" w:eastAsia="宋体" w:cs="宋体"/>
          <w:b/>
          <w:sz w:val="36"/>
          <w:szCs w:val="36"/>
        </w:rPr>
      </w:pPr>
      <w:r>
        <w:rPr>
          <w:rFonts w:hint="eastAsia" w:ascii="宋体" w:hAnsi="宋体" w:eastAsia="宋体" w:cs="宋体"/>
          <w:b/>
          <w:sz w:val="36"/>
          <w:szCs w:val="36"/>
        </w:rPr>
      </w:r>
      <w:r/>
    </w:p>
    <w:p>
      <w:pPr>
        <w:ind w:left="343" w:hanging="343"/>
        <w:jc w:val="center"/>
        <w:spacing w:line="360" w:lineRule="exact"/>
        <w:rPr>
          <w:rFonts w:hint="eastAsia" w:ascii="宋体" w:hAnsi="宋体" w:eastAsia="宋体" w:cs="宋体"/>
          <w:b/>
          <w:sz w:val="36"/>
          <w:szCs w:val="36"/>
        </w:rPr>
      </w:pPr>
      <w:r>
        <w:rPr>
          <w:rFonts w:hint="eastAsia" w:ascii="宋体" w:hAnsi="宋体" w:eastAsia="宋体" w:cs="宋体"/>
          <w:b/>
          <w:sz w:val="36"/>
          <w:szCs w:val="36"/>
        </w:rPr>
        <w:t xml:space="preserve">开标一览表</w:t>
      </w:r>
      <w:r/>
    </w:p>
    <w:p>
      <w:pPr>
        <w:ind w:left="228" w:hanging="228"/>
        <w:jc w:val="left"/>
        <w:spacing w:line="360" w:lineRule="auto"/>
        <w:tabs>
          <w:tab w:val="left" w:pos="1800" w:leader="none"/>
          <w:tab w:val="left" w:pos="5580" w:leader="none"/>
        </w:tabs>
        <w:rPr>
          <w:rFonts w:hint="eastAsia" w:ascii="宋体" w:hAnsi="宋体" w:eastAsia="宋体" w:cs="宋体"/>
          <w:iCs/>
          <w:sz w:val="24"/>
        </w:rPr>
      </w:pPr>
      <w:r>
        <w:rPr>
          <w:rFonts w:hint="eastAsia" w:ascii="宋体" w:hAnsi="宋体" w:eastAsia="宋体" w:cs="宋体"/>
          <w:iCs/>
          <w:sz w:val="24"/>
        </w:rPr>
      </w:r>
      <w:r/>
    </w:p>
    <w:p>
      <w:pPr>
        <w:ind w:firstLine="240"/>
        <w:jc w:val="left"/>
        <w:spacing w:line="360" w:lineRule="auto"/>
        <w:tabs>
          <w:tab w:val="left" w:pos="1800" w:leader="none"/>
          <w:tab w:val="left" w:pos="5580" w:leader="none"/>
        </w:tabs>
        <w:rPr>
          <w:rFonts w:hint="eastAsia" w:ascii="宋体" w:hAnsi="宋体" w:eastAsia="宋体" w:cs="宋体"/>
          <w:sz w:val="24"/>
        </w:rPr>
      </w:pPr>
      <w:r>
        <w:rPr>
          <w:rFonts w:hint="eastAsia" w:ascii="宋体" w:hAnsi="宋体" w:eastAsia="宋体" w:cs="宋体"/>
          <w:sz w:val="24"/>
        </w:rPr>
        <w:t xml:space="preserve">项目编号/包号：_____________________     项目名称：____________</w:t>
      </w:r>
      <w:r/>
    </w:p>
    <w:p>
      <w:pPr>
        <w:ind w:firstLine="240"/>
        <w:jc w:val="left"/>
        <w:spacing w:line="360" w:lineRule="auto"/>
        <w:tabs>
          <w:tab w:val="left" w:pos="1800" w:leader="none"/>
          <w:tab w:val="left" w:pos="5580" w:leader="none"/>
        </w:tabs>
        <w:rPr>
          <w:rFonts w:hint="eastAsia" w:ascii="宋体" w:hAnsi="宋体" w:eastAsia="宋体" w:cs="宋体"/>
          <w:sz w:val="24"/>
          <w:u w:val="single"/>
        </w:rPr>
      </w:pPr>
      <w:r>
        <w:rPr>
          <w:rFonts w:hint="eastAsia" w:ascii="宋体" w:hAnsi="宋体" w:eastAsia="宋体" w:cs="宋体"/>
          <w:sz w:val="24"/>
          <w:u w:val="single"/>
        </w:rPr>
      </w:r>
      <w:r/>
    </w:p>
    <w:tbl>
      <w:tblPr>
        <w:tblStyle w:val="914"/>
        <w:tblW w:w="8416" w:type="dxa"/>
        <w:tblLook w:val="04A0" w:firstRow="1" w:lastRow="0" w:firstColumn="1" w:lastColumn="0" w:noHBand="0" w:noVBand="1"/>
      </w:tblPr>
      <w:tblGrid>
        <w:gridCol w:w="3397"/>
        <w:gridCol w:w="5019"/>
      </w:tblGrid>
      <w:tr>
        <w:trPr>
          <w:trHeight w:val="948"/>
        </w:trPr>
        <w:tc>
          <w:tcPr>
            <w:tcW w:w="3397" w:type="dxa"/>
            <w:vAlign w:val="center"/>
            <w:textDirection w:val="lrTb"/>
            <w:noWrap w:val="false"/>
          </w:tcPr>
          <w:p>
            <w:pPr>
              <w:jc w:val="center"/>
              <w:rPr>
                <w:bCs/>
                <w:sz w:val="24"/>
              </w:rPr>
            </w:pPr>
            <w:r>
              <w:rPr>
                <w:rFonts w:hint="eastAsia"/>
                <w:bCs/>
                <w:sz w:val="24"/>
              </w:rPr>
              <w:t xml:space="preserve">项目名称</w:t>
            </w:r>
            <w:r/>
          </w:p>
        </w:tc>
        <w:tc>
          <w:tcPr>
            <w:tcW w:w="5019" w:type="dxa"/>
            <w:vAlign w:val="center"/>
            <w:textDirection w:val="lrTb"/>
            <w:noWrap w:val="false"/>
          </w:tcPr>
          <w:p>
            <w:pPr>
              <w:jc w:val="center"/>
              <w:rPr>
                <w:bCs/>
                <w:sz w:val="24"/>
              </w:rPr>
            </w:pPr>
            <w:r>
              <w:rPr>
                <w:rFonts w:hint="eastAsia"/>
                <w:bCs/>
                <w:sz w:val="24"/>
              </w:rPr>
              <w:t xml:space="preserve">投标优惠率（</w:t>
            </w:r>
            <w:r>
              <w:rPr>
                <w:rFonts w:hint="eastAsia"/>
                <w:bCs/>
                <w:sz w:val="24"/>
              </w:rPr>
              <w:t xml:space="preserve">%</w:t>
            </w:r>
            <w:r>
              <w:rPr>
                <w:rFonts w:hint="eastAsia"/>
                <w:bCs/>
                <w:sz w:val="24"/>
              </w:rPr>
              <w:t xml:space="preserve">）</w:t>
            </w:r>
            <w:r/>
          </w:p>
        </w:tc>
      </w:tr>
      <w:tr>
        <w:trPr>
          <w:trHeight w:val="1401"/>
        </w:trPr>
        <w:tc>
          <w:tcPr>
            <w:tcW w:w="3397" w:type="dxa"/>
            <w:vAlign w:val="center"/>
            <w:textDirection w:val="lrTb"/>
            <w:noWrap w:val="false"/>
          </w:tcPr>
          <w:p>
            <w:pPr>
              <w:jc w:val="center"/>
              <w:rPr>
                <w:bCs/>
                <w:sz w:val="24"/>
              </w:rPr>
            </w:pPr>
            <w:r>
              <w:rPr>
                <w:bCs/>
                <w:sz w:val="24"/>
              </w:rPr>
            </w:r>
            <w:r/>
          </w:p>
        </w:tc>
        <w:tc>
          <w:tcPr>
            <w:tcW w:w="5019" w:type="dxa"/>
            <w:vAlign w:val="center"/>
            <w:textDirection w:val="lrTb"/>
            <w:noWrap w:val="false"/>
          </w:tcPr>
          <w:p>
            <w:pPr>
              <w:jc w:val="center"/>
              <w:rPr>
                <w:bCs/>
                <w:sz w:val="24"/>
              </w:rPr>
            </w:pPr>
            <w:r>
              <w:rPr>
                <w:bCs/>
                <w:sz w:val="24"/>
              </w:rPr>
            </w:r>
            <w:r/>
          </w:p>
        </w:tc>
      </w:tr>
    </w:tbl>
    <w:p>
      <w:pPr>
        <w:ind w:left="228" w:hanging="228"/>
        <w:jc w:val="left"/>
        <w:rPr>
          <w:rFonts w:hint="eastAsia" w:ascii="宋体" w:hAnsi="宋体" w:eastAsia="宋体" w:cs="宋体"/>
          <w:sz w:val="24"/>
        </w:rPr>
      </w:pPr>
      <w:r>
        <w:rPr>
          <w:rFonts w:hint="eastAsia" w:ascii="宋体" w:hAnsi="宋体" w:eastAsia="宋体" w:cs="宋体"/>
          <w:sz w:val="24"/>
        </w:rPr>
      </w:r>
      <w:r/>
    </w:p>
    <w:p>
      <w:pPr>
        <w:pStyle w:val="920"/>
      </w:pPr>
      <w:r/>
      <w:r/>
    </w:p>
    <w:p>
      <w:pPr>
        <w:jc w:val="left"/>
        <w:spacing w:line="360" w:lineRule="auto"/>
        <w:rPr>
          <w:b/>
          <w:bCs/>
          <w:sz w:val="24"/>
        </w:rPr>
      </w:pPr>
      <w:r>
        <w:rPr>
          <w:b/>
          <w:bCs/>
          <w:sz w:val="24"/>
        </w:rPr>
      </w:r>
      <w:r/>
    </w:p>
    <w:p>
      <w:pPr>
        <w:jc w:val="left"/>
        <w:spacing w:line="360" w:lineRule="auto"/>
        <w:rPr>
          <w:b/>
          <w:bCs/>
          <w:sz w:val="24"/>
        </w:rPr>
      </w:pPr>
      <w:r>
        <w:rPr>
          <w:b/>
          <w:bCs/>
          <w:sz w:val="24"/>
        </w:rPr>
        <w:t xml:space="preserve">注：</w:t>
      </w:r>
      <w:r/>
    </w:p>
    <w:p>
      <w:pPr>
        <w:pStyle w:val="901"/>
        <w:numPr>
          <w:ilvl w:val="0"/>
          <w:numId w:val="9"/>
        </w:numPr>
        <w:spacing w:before="0" w:after="120" w:line="360" w:lineRule="auto"/>
        <w:tabs>
          <w:tab w:val="clear" w:pos="567" w:leader="none"/>
        </w:tabs>
        <w:rPr>
          <w:rFonts w:hint="eastAsia" w:cs="宋体"/>
        </w:rPr>
      </w:pPr>
      <w:r>
        <w:rPr>
          <w:rFonts w:hint="eastAsia" w:cs="宋体"/>
        </w:rPr>
        <w:t xml:space="preserve">本项目采用固定单价含税包干报价、按实结算方式，结算单价为330元/份，结算数量以采购人验收合格实际供货数量为准，最终总价不超预算。</w:t>
      </w:r>
      <w:r/>
    </w:p>
    <w:p>
      <w:pPr>
        <w:jc w:val="left"/>
        <w:spacing w:line="360" w:lineRule="auto"/>
        <w:rPr>
          <w:b/>
          <w:bCs/>
          <w:sz w:val="24"/>
          <w:szCs w:val="20"/>
        </w:rPr>
      </w:pPr>
      <w:r>
        <w:rPr>
          <w:rFonts w:hint="eastAsia" w:ascii="宋体" w:hAnsi="宋体" w:cs="宋体"/>
          <w:bCs/>
          <w:sz w:val="24"/>
        </w:rPr>
        <w:t xml:space="preserve">2.报价：本项目以优惠率进行报价。</w:t>
      </w:r>
      <w:r>
        <w:rPr>
          <w:rFonts w:ascii="宋体" w:hAnsi="宋体"/>
          <w:sz w:val="24"/>
        </w:rPr>
        <w:t xml:space="preserve">优惠率报价范围为0%</w:t>
      </w:r>
      <w:r>
        <w:rPr>
          <w:rFonts w:hint="eastAsia" w:ascii="宋体" w:hAnsi="宋体"/>
          <w:sz w:val="24"/>
        </w:rPr>
        <w:t xml:space="preserve">（含）</w:t>
      </w:r>
      <w:r>
        <w:rPr>
          <w:rFonts w:ascii="宋体" w:hAnsi="宋体"/>
          <w:sz w:val="24"/>
        </w:rPr>
        <w:t xml:space="preserve">-100%</w:t>
      </w:r>
      <w:r>
        <w:rPr>
          <w:rFonts w:hint="eastAsia" w:ascii="宋体" w:hAnsi="宋体"/>
          <w:sz w:val="24"/>
        </w:rPr>
        <w:t xml:space="preserve">（不含）</w:t>
      </w:r>
      <w:r>
        <w:rPr>
          <w:rFonts w:ascii="宋体" w:hAnsi="宋体"/>
          <w:sz w:val="24"/>
        </w:rPr>
        <w:t xml:space="preserve">，超出此范围视为无效响应</w:t>
      </w:r>
      <w:r>
        <w:rPr>
          <w:rFonts w:hint="eastAsia" w:ascii="宋体" w:hAnsi="宋体"/>
          <w:sz w:val="24"/>
        </w:rPr>
        <w:t xml:space="preserve">。实际供货慰问品的价值为330</w:t>
      </w:r>
      <w:r>
        <w:rPr>
          <w:rFonts w:hint="eastAsia" w:ascii="宋体" w:hAnsi="宋体"/>
          <w:sz w:val="24"/>
        </w:rPr>
        <w:t xml:space="preserve">元</w:t>
      </w:r>
      <w:r>
        <w:rPr>
          <w:rFonts w:hint="eastAsia" w:ascii="宋体" w:hAnsi="宋体"/>
          <w:sz w:val="24"/>
        </w:rPr>
        <w:t xml:space="preserve">/（1-优惠率），保留两位小数。如：某单位投标优惠率为10%，则实际供货产品的价格为330</w:t>
      </w:r>
      <w:r>
        <w:rPr>
          <w:rFonts w:hint="eastAsia" w:ascii="宋体" w:hAnsi="宋体"/>
          <w:sz w:val="24"/>
        </w:rPr>
        <w:t xml:space="preserve">元</w:t>
      </w:r>
      <w:r>
        <w:rPr>
          <w:rFonts w:hint="eastAsia" w:ascii="宋体" w:hAnsi="宋体"/>
          <w:sz w:val="24"/>
        </w:rPr>
        <w:t xml:space="preserve">/（1-10%）=366.66元。</w:t>
      </w:r>
      <w:r/>
    </w:p>
    <w:p>
      <w:pPr>
        <w:ind w:left="228" w:hanging="228"/>
        <w:spacing w:before="312" w:after="312" w:line="360" w:lineRule="auto"/>
        <w:rPr>
          <w:rFonts w:hint="eastAsia" w:ascii="宋体" w:hAnsi="宋体" w:eastAsia="宋体" w:cs="宋体"/>
          <w:sz w:val="24"/>
          <w:lang w:val="zh-CN"/>
        </w:rPr>
      </w:pPr>
      <w:r>
        <w:rPr>
          <w:rFonts w:hint="eastAsia" w:ascii="宋体" w:hAnsi="宋体" w:eastAsia="宋体" w:cs="宋体"/>
          <w:sz w:val="24"/>
        </w:rPr>
        <w:t xml:space="preserve">投标人名称（加盖公章）</w:t>
      </w:r>
      <w:r>
        <w:rPr>
          <w:rFonts w:hint="eastAsia" w:ascii="宋体" w:hAnsi="宋体" w:eastAsia="宋体" w:cs="宋体"/>
          <w:sz w:val="24"/>
          <w:lang w:val="zh-CN"/>
        </w:rPr>
        <w:t xml:space="preserve">：____________</w:t>
      </w:r>
      <w:r/>
    </w:p>
    <w:p>
      <w:pPr>
        <w:contextualSpacing/>
        <w:spacing w:line="360" w:lineRule="auto"/>
        <w:rPr>
          <w:rFonts w:hint="eastAsia" w:ascii="宋体" w:hAnsi="宋体" w:eastAsia="宋体" w:cs="宋体"/>
          <w:bCs/>
          <w:sz w:val="24"/>
        </w:rPr>
      </w:pPr>
      <w:r>
        <w:rPr>
          <w:rFonts w:hint="eastAsia" w:ascii="宋体" w:hAnsi="宋体" w:eastAsia="宋体" w:cs="宋体"/>
          <w:sz w:val="24"/>
          <w:szCs w:val="20"/>
        </w:rPr>
        <w:t xml:space="preserve">日期：_____年______月______日  </w:t>
      </w:r>
      <w:r/>
    </w:p>
    <w:p>
      <w:pPr>
        <w:jc w:val="left"/>
        <w:spacing w:line="360" w:lineRule="auto"/>
        <w:rPr>
          <w:b/>
          <w:bCs/>
          <w:sz w:val="24"/>
          <w:szCs w:val="20"/>
        </w:rPr>
      </w:pPr>
      <w:r>
        <w:rPr>
          <w:b/>
          <w:bCs/>
          <w:sz w:val="24"/>
          <w:szCs w:val="20"/>
        </w:rPr>
      </w:r>
      <w:r/>
    </w:p>
    <w:p>
      <w:pPr>
        <w:jc w:val="left"/>
        <w:spacing w:line="360" w:lineRule="auto"/>
        <w:rPr>
          <w:rFonts w:hint="eastAsia" w:ascii="宋体" w:hAnsi="宋体" w:eastAsia="宋体" w:cs="宋体"/>
          <w:sz w:val="24"/>
        </w:rPr>
      </w:pPr>
      <w:r>
        <w:rPr>
          <w:rFonts w:hint="eastAsia" w:ascii="宋体" w:hAnsi="宋体" w:eastAsia="宋体" w:cs="宋体"/>
          <w:sz w:val="24"/>
        </w:rPr>
      </w:r>
      <w:r/>
    </w:p>
    <w:p>
      <w:pPr>
        <w:ind w:left="228" w:hanging="228"/>
        <w:spacing w:before="312" w:after="312" w:line="360" w:lineRule="auto"/>
        <w:rPr>
          <w:rFonts w:hint="eastAsia" w:ascii="宋体" w:hAnsi="宋体" w:eastAsia="宋体" w:cs="宋体"/>
          <w:sz w:val="24"/>
          <w:lang w:val="zh-CN"/>
        </w:rPr>
      </w:pPr>
      <w:r>
        <w:rPr>
          <w:rFonts w:hint="eastAsia" w:ascii="宋体" w:hAnsi="宋体" w:eastAsia="宋体" w:cs="宋体"/>
          <w:sz w:val="24"/>
          <w:lang w:val="zh-CN"/>
        </w:rPr>
        <w:t xml:space="preserve">                         </w:t>
      </w:r>
      <w:r/>
    </w:p>
    <w:p>
      <w:pPr>
        <w:contextualSpacing/>
        <w:ind w:left="228" w:hanging="228"/>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r>
      <w:r/>
    </w:p>
    <w:p>
      <w:pPr>
        <w:spacing w:line="360" w:lineRule="auto"/>
        <w:rPr>
          <w:rFonts w:hint="eastAsia" w:ascii="宋体" w:hAnsi="宋体" w:eastAsia="宋体" w:cs="宋体"/>
          <w:sz w:val="24"/>
          <w:szCs w:val="20"/>
        </w:rPr>
        <w:outlineLvl w:val="2"/>
      </w:pPr>
      <w:r>
        <w:rPr>
          <w:rFonts w:hint="eastAsia" w:ascii="宋体" w:hAnsi="宋体" w:eastAsia="宋体" w:cs="宋体"/>
          <w:sz w:val="24"/>
          <w:szCs w:val="20"/>
        </w:rPr>
        <w:t xml:space="preserve">5 分项报价表（实质性格式）</w:t>
      </w:r>
      <w:r/>
    </w:p>
    <w:p>
      <w:pPr>
        <w:jc w:val="center"/>
        <w:spacing w:line="360" w:lineRule="auto"/>
        <w:rPr>
          <w:rStyle w:val="927"/>
          <w:rFonts w:hint="eastAsia" w:ascii="宋体" w:hAnsi="宋体"/>
          <w:b/>
          <w:bCs/>
          <w:sz w:val="28"/>
          <w:szCs w:val="28"/>
        </w:rPr>
      </w:pPr>
      <w:r>
        <w:rPr>
          <w:rStyle w:val="927"/>
          <w:rFonts w:hint="eastAsia" w:ascii="宋体" w:hAnsi="宋体"/>
          <w:b/>
          <w:bCs/>
          <w:sz w:val="28"/>
          <w:szCs w:val="28"/>
        </w:rPr>
        <w:t xml:space="preserve">组合方案价格</w:t>
      </w:r>
      <w:r/>
    </w:p>
    <w:p>
      <w:pPr>
        <w:pStyle w:val="920"/>
      </w:pPr>
      <w:r/>
      <w:r/>
    </w:p>
    <w:p>
      <w:pPr>
        <w:spacing w:line="360" w:lineRule="auto"/>
        <w:rPr>
          <w:rFonts w:eastAsia="宋体" w:cs="宋体"/>
          <w:sz w:val="24"/>
        </w:rPr>
      </w:pPr>
      <w:r>
        <w:rPr>
          <w:rFonts w:eastAsia="宋体" w:cs="宋体"/>
          <w:sz w:val="24"/>
        </w:rPr>
        <w:t xml:space="preserve">投标人（公章）：</w:t>
      </w:r>
      <w:r/>
    </w:p>
    <w:p>
      <w:pPr>
        <w:spacing w:line="360" w:lineRule="auto"/>
        <w:rPr>
          <w:rFonts w:eastAsia="宋体" w:cs="宋体"/>
          <w:sz w:val="24"/>
        </w:rPr>
      </w:pPr>
      <w:r>
        <w:rPr>
          <w:rFonts w:eastAsia="宋体" w:cs="宋体"/>
          <w:sz w:val="24"/>
        </w:rPr>
        <w:t xml:space="preserve">项目编号：</w:t>
      </w:r>
      <w:r>
        <w:rPr>
          <w:rFonts w:eastAsia="宋体" w:cs="宋体"/>
          <w:sz w:val="24"/>
        </w:rPr>
        <w:t xml:space="preserve">                                            </w:t>
      </w:r>
      <w:r>
        <w:rPr>
          <w:rFonts w:eastAsia="宋体" w:cs="宋体"/>
          <w:sz w:val="24"/>
        </w:rPr>
        <w:t xml:space="preserve">报位：人民币元</w:t>
      </w:r>
      <w:r/>
    </w:p>
    <w:tbl>
      <w:tblPr>
        <w:tblW w:w="99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8"/>
        <w:gridCol w:w="1223"/>
        <w:gridCol w:w="1106"/>
        <w:gridCol w:w="2154"/>
        <w:gridCol w:w="2302"/>
        <w:gridCol w:w="2302"/>
      </w:tblGrid>
      <w:tr>
        <w:trPr>
          <w:jc w:val="center"/>
          <w:trHeight w:val="1204"/>
        </w:trPr>
        <w:tc>
          <w:tcPr>
            <w:tcW w:w="848" w:type="dxa"/>
            <w:vAlign w:val="center"/>
            <w:textDirection w:val="lrTb"/>
            <w:noWrap w:val="false"/>
          </w:tcPr>
          <w:p>
            <w:pPr>
              <w:jc w:val="center"/>
              <w:rPr>
                <w:sz w:val="24"/>
              </w:rPr>
            </w:pPr>
            <w:r>
              <w:rPr>
                <w:b/>
                <w:sz w:val="24"/>
              </w:rPr>
              <w:t xml:space="preserve">序号</w:t>
            </w:r>
            <w:r/>
          </w:p>
        </w:tc>
        <w:tc>
          <w:tcPr>
            <w:tcW w:w="1223" w:type="dxa"/>
            <w:vAlign w:val="center"/>
            <w:textDirection w:val="lrTb"/>
            <w:noWrap w:val="false"/>
          </w:tcPr>
          <w:p>
            <w:pPr>
              <w:jc w:val="center"/>
              <w:rPr>
                <w:sz w:val="24"/>
              </w:rPr>
            </w:pPr>
            <w:r>
              <w:rPr>
                <w:b/>
                <w:sz w:val="24"/>
              </w:rPr>
              <w:t xml:space="preserve">商品名称</w:t>
            </w:r>
            <w:r/>
          </w:p>
        </w:tc>
        <w:tc>
          <w:tcPr>
            <w:tcW w:w="1106" w:type="dxa"/>
            <w:vAlign w:val="center"/>
            <w:textDirection w:val="lrTb"/>
            <w:noWrap w:val="false"/>
          </w:tcPr>
          <w:p>
            <w:pPr>
              <w:jc w:val="center"/>
              <w:rPr>
                <w:sz w:val="24"/>
              </w:rPr>
            </w:pPr>
            <w:r>
              <w:rPr>
                <w:b/>
                <w:sz w:val="24"/>
              </w:rPr>
              <w:t xml:space="preserve">品牌</w:t>
            </w:r>
            <w:r/>
          </w:p>
        </w:tc>
        <w:tc>
          <w:tcPr>
            <w:tcW w:w="2153" w:type="dxa"/>
            <w:vAlign w:val="center"/>
            <w:textDirection w:val="lrTb"/>
            <w:noWrap w:val="false"/>
          </w:tcPr>
          <w:p>
            <w:pPr>
              <w:jc w:val="center"/>
              <w:rPr>
                <w:sz w:val="24"/>
              </w:rPr>
            </w:pPr>
            <w:r>
              <w:rPr>
                <w:b/>
                <w:sz w:val="24"/>
              </w:rPr>
              <w:t xml:space="preserve">规格</w:t>
            </w:r>
            <w:r>
              <w:rPr>
                <w:rFonts w:hint="eastAsia"/>
                <w:b/>
                <w:sz w:val="24"/>
              </w:rPr>
              <w:t xml:space="preserve">、</w:t>
            </w:r>
            <w:r>
              <w:rPr>
                <w:b/>
                <w:sz w:val="24"/>
              </w:rPr>
              <w:t xml:space="preserve">型号</w:t>
            </w:r>
            <w:r/>
          </w:p>
        </w:tc>
        <w:tc>
          <w:tcPr>
            <w:tcW w:w="2302" w:type="dxa"/>
            <w:vAlign w:val="center"/>
            <w:textDirection w:val="lrTb"/>
            <w:noWrap w:val="false"/>
          </w:tcPr>
          <w:p>
            <w:pPr>
              <w:jc w:val="center"/>
              <w:rPr>
                <w:sz w:val="24"/>
              </w:rPr>
            </w:pPr>
            <w:r>
              <w:rPr>
                <w:rFonts w:hint="eastAsia"/>
                <w:b/>
                <w:sz w:val="24"/>
              </w:rPr>
              <w:t xml:space="preserve">实际供货产品的价格（元）</w:t>
            </w:r>
            <w:r/>
          </w:p>
        </w:tc>
        <w:tc>
          <w:tcPr>
            <w:tcW w:w="2302" w:type="dxa"/>
            <w:vAlign w:val="center"/>
            <w:textDirection w:val="lrTb"/>
            <w:noWrap w:val="false"/>
          </w:tcPr>
          <w:p>
            <w:pPr>
              <w:jc w:val="center"/>
              <w:rPr>
                <w:b/>
                <w:sz w:val="24"/>
              </w:rPr>
            </w:pPr>
            <w:r>
              <w:rPr>
                <w:b/>
                <w:sz w:val="24"/>
              </w:rPr>
              <w:t xml:space="preserve">大型商超线上线下的零售价格截图</w:t>
            </w:r>
            <w:r/>
          </w:p>
        </w:tc>
      </w:tr>
      <w:tr>
        <w:trPr>
          <w:jc w:val="center"/>
          <w:trHeight w:val="607"/>
        </w:trPr>
        <w:tc>
          <w:tcPr>
            <w:tcW w:w="848" w:type="dxa"/>
            <w:vAlign w:val="center"/>
            <w:textDirection w:val="lrTb"/>
            <w:noWrap w:val="false"/>
          </w:tcPr>
          <w:p>
            <w:pPr>
              <w:jc w:val="center"/>
              <w:rPr>
                <w:sz w:val="24"/>
              </w:rPr>
            </w:pPr>
            <w:r>
              <w:rPr>
                <w:rFonts w:hint="eastAsia"/>
                <w:sz w:val="24"/>
              </w:rPr>
              <w:t xml:space="preserve">1</w:t>
            </w:r>
            <w:r/>
          </w:p>
        </w:tc>
        <w:tc>
          <w:tcPr>
            <w:tcW w:w="1223" w:type="dxa"/>
            <w:textDirection w:val="lrTb"/>
            <w:noWrap w:val="false"/>
          </w:tcPr>
          <w:p>
            <w:pPr>
              <w:jc w:val="center"/>
              <w:rPr>
                <w:sz w:val="24"/>
              </w:rPr>
            </w:pPr>
            <w:r>
              <w:rPr>
                <w:sz w:val="24"/>
              </w:rPr>
            </w:r>
            <w:r/>
          </w:p>
        </w:tc>
        <w:tc>
          <w:tcPr>
            <w:tcW w:w="1106" w:type="dxa"/>
            <w:textDirection w:val="lrTb"/>
            <w:noWrap w:val="false"/>
          </w:tcPr>
          <w:p>
            <w:pPr>
              <w:jc w:val="center"/>
              <w:rPr>
                <w:sz w:val="24"/>
              </w:rPr>
            </w:pPr>
            <w:r>
              <w:rPr>
                <w:sz w:val="24"/>
              </w:rPr>
            </w:r>
            <w:r/>
          </w:p>
        </w:tc>
        <w:tc>
          <w:tcPr>
            <w:tcW w:w="2153" w:type="dxa"/>
            <w:textDirection w:val="lrTb"/>
            <w:noWrap w:val="false"/>
          </w:tcPr>
          <w:p>
            <w:pPr>
              <w:jc w:val="center"/>
              <w:rPr>
                <w:sz w:val="24"/>
              </w:rPr>
            </w:pPr>
            <w:r>
              <w:rPr>
                <w:sz w:val="24"/>
              </w:rPr>
            </w:r>
            <w:r/>
          </w:p>
        </w:tc>
        <w:tc>
          <w:tcPr>
            <w:tcW w:w="2302" w:type="dxa"/>
            <w:textDirection w:val="lrTb"/>
            <w:noWrap w:val="false"/>
          </w:tcPr>
          <w:p>
            <w:pPr>
              <w:jc w:val="center"/>
              <w:rPr>
                <w:sz w:val="24"/>
              </w:rPr>
            </w:pPr>
            <w:r>
              <w:rPr>
                <w:sz w:val="24"/>
              </w:rPr>
            </w:r>
            <w:r/>
          </w:p>
        </w:tc>
        <w:tc>
          <w:tcPr>
            <w:tcW w:w="2302" w:type="dxa"/>
            <w:textDirection w:val="lrTb"/>
            <w:noWrap w:val="false"/>
          </w:tcPr>
          <w:p>
            <w:pPr>
              <w:jc w:val="center"/>
              <w:rPr>
                <w:sz w:val="24"/>
              </w:rPr>
            </w:pPr>
            <w:r>
              <w:rPr>
                <w:sz w:val="24"/>
              </w:rPr>
            </w:r>
            <w:r/>
          </w:p>
        </w:tc>
      </w:tr>
      <w:tr>
        <w:trPr>
          <w:jc w:val="center"/>
          <w:trHeight w:val="594"/>
        </w:trPr>
        <w:tc>
          <w:tcPr>
            <w:tcW w:w="848" w:type="dxa"/>
            <w:vAlign w:val="center"/>
            <w:textDirection w:val="lrTb"/>
            <w:noWrap w:val="false"/>
          </w:tcPr>
          <w:p>
            <w:pPr>
              <w:jc w:val="center"/>
              <w:rPr>
                <w:sz w:val="24"/>
              </w:rPr>
            </w:pPr>
            <w:r>
              <w:rPr>
                <w:rFonts w:hint="eastAsia"/>
                <w:sz w:val="24"/>
              </w:rPr>
              <w:t xml:space="preserve">2</w:t>
            </w:r>
            <w:r/>
          </w:p>
        </w:tc>
        <w:tc>
          <w:tcPr>
            <w:tcW w:w="1223" w:type="dxa"/>
            <w:textDirection w:val="lrTb"/>
            <w:noWrap w:val="false"/>
          </w:tcPr>
          <w:p>
            <w:pPr>
              <w:jc w:val="center"/>
              <w:rPr>
                <w:sz w:val="24"/>
              </w:rPr>
            </w:pPr>
            <w:r>
              <w:rPr>
                <w:sz w:val="24"/>
              </w:rPr>
            </w:r>
            <w:r/>
          </w:p>
        </w:tc>
        <w:tc>
          <w:tcPr>
            <w:tcW w:w="1106" w:type="dxa"/>
            <w:textDirection w:val="lrTb"/>
            <w:noWrap w:val="false"/>
          </w:tcPr>
          <w:p>
            <w:pPr>
              <w:jc w:val="center"/>
              <w:rPr>
                <w:sz w:val="24"/>
              </w:rPr>
            </w:pPr>
            <w:r>
              <w:rPr>
                <w:sz w:val="24"/>
              </w:rPr>
            </w:r>
            <w:r/>
          </w:p>
        </w:tc>
        <w:tc>
          <w:tcPr>
            <w:tcW w:w="2153" w:type="dxa"/>
            <w:textDirection w:val="lrTb"/>
            <w:noWrap w:val="false"/>
          </w:tcPr>
          <w:p>
            <w:pPr>
              <w:jc w:val="center"/>
              <w:rPr>
                <w:sz w:val="24"/>
              </w:rPr>
            </w:pPr>
            <w:r>
              <w:rPr>
                <w:sz w:val="24"/>
              </w:rPr>
            </w:r>
            <w:r/>
          </w:p>
        </w:tc>
        <w:tc>
          <w:tcPr>
            <w:tcW w:w="2302" w:type="dxa"/>
            <w:textDirection w:val="lrTb"/>
            <w:noWrap w:val="false"/>
          </w:tcPr>
          <w:p>
            <w:pPr>
              <w:jc w:val="center"/>
              <w:rPr>
                <w:sz w:val="24"/>
              </w:rPr>
            </w:pPr>
            <w:r>
              <w:rPr>
                <w:sz w:val="24"/>
              </w:rPr>
            </w:r>
            <w:r/>
          </w:p>
        </w:tc>
        <w:tc>
          <w:tcPr>
            <w:tcW w:w="2302" w:type="dxa"/>
            <w:textDirection w:val="lrTb"/>
            <w:noWrap w:val="false"/>
          </w:tcPr>
          <w:p>
            <w:pPr>
              <w:jc w:val="center"/>
              <w:rPr>
                <w:sz w:val="24"/>
              </w:rPr>
            </w:pPr>
            <w:r>
              <w:rPr>
                <w:sz w:val="24"/>
              </w:rPr>
            </w:r>
            <w:r/>
          </w:p>
        </w:tc>
      </w:tr>
      <w:tr>
        <w:trPr>
          <w:jc w:val="center"/>
          <w:trHeight w:val="607"/>
        </w:trPr>
        <w:tc>
          <w:tcPr>
            <w:tcW w:w="848" w:type="dxa"/>
            <w:vAlign w:val="center"/>
            <w:textDirection w:val="lrTb"/>
            <w:noWrap w:val="false"/>
          </w:tcPr>
          <w:p>
            <w:pPr>
              <w:jc w:val="center"/>
              <w:rPr>
                <w:sz w:val="24"/>
              </w:rPr>
            </w:pPr>
            <w:r>
              <w:rPr>
                <w:rFonts w:hint="eastAsia"/>
                <w:sz w:val="24"/>
              </w:rPr>
              <w:t xml:space="preserve">3</w:t>
            </w:r>
            <w:r/>
          </w:p>
        </w:tc>
        <w:tc>
          <w:tcPr>
            <w:tcW w:w="1223" w:type="dxa"/>
            <w:textDirection w:val="lrTb"/>
            <w:noWrap w:val="false"/>
          </w:tcPr>
          <w:p>
            <w:pPr>
              <w:jc w:val="center"/>
              <w:rPr>
                <w:sz w:val="24"/>
              </w:rPr>
            </w:pPr>
            <w:r>
              <w:rPr>
                <w:sz w:val="24"/>
              </w:rPr>
            </w:r>
            <w:r/>
          </w:p>
        </w:tc>
        <w:tc>
          <w:tcPr>
            <w:tcW w:w="1106" w:type="dxa"/>
            <w:textDirection w:val="lrTb"/>
            <w:noWrap w:val="false"/>
          </w:tcPr>
          <w:p>
            <w:pPr>
              <w:jc w:val="center"/>
              <w:rPr>
                <w:sz w:val="24"/>
              </w:rPr>
            </w:pPr>
            <w:r>
              <w:rPr>
                <w:sz w:val="24"/>
              </w:rPr>
            </w:r>
            <w:r/>
          </w:p>
        </w:tc>
        <w:tc>
          <w:tcPr>
            <w:tcW w:w="2153" w:type="dxa"/>
            <w:textDirection w:val="lrTb"/>
            <w:noWrap w:val="false"/>
          </w:tcPr>
          <w:p>
            <w:pPr>
              <w:jc w:val="center"/>
              <w:rPr>
                <w:sz w:val="24"/>
              </w:rPr>
            </w:pPr>
            <w:r>
              <w:rPr>
                <w:sz w:val="24"/>
              </w:rPr>
            </w:r>
            <w:r/>
          </w:p>
        </w:tc>
        <w:tc>
          <w:tcPr>
            <w:tcW w:w="2302" w:type="dxa"/>
            <w:textDirection w:val="lrTb"/>
            <w:noWrap w:val="false"/>
          </w:tcPr>
          <w:p>
            <w:pPr>
              <w:jc w:val="center"/>
              <w:rPr>
                <w:sz w:val="24"/>
              </w:rPr>
            </w:pPr>
            <w:r>
              <w:rPr>
                <w:sz w:val="24"/>
              </w:rPr>
            </w:r>
            <w:r/>
          </w:p>
        </w:tc>
        <w:tc>
          <w:tcPr>
            <w:tcW w:w="2302" w:type="dxa"/>
            <w:textDirection w:val="lrTb"/>
            <w:noWrap w:val="false"/>
          </w:tcPr>
          <w:p>
            <w:pPr>
              <w:jc w:val="center"/>
              <w:rPr>
                <w:sz w:val="24"/>
              </w:rPr>
            </w:pPr>
            <w:r>
              <w:rPr>
                <w:sz w:val="24"/>
              </w:rPr>
            </w:r>
            <w:r/>
          </w:p>
        </w:tc>
      </w:tr>
      <w:tr>
        <w:trPr>
          <w:jc w:val="center"/>
          <w:trHeight w:val="594"/>
        </w:trPr>
        <w:tc>
          <w:tcPr>
            <w:tcW w:w="848" w:type="dxa"/>
            <w:vAlign w:val="center"/>
            <w:textDirection w:val="lrTb"/>
            <w:noWrap w:val="false"/>
          </w:tcPr>
          <w:p>
            <w:pPr>
              <w:jc w:val="center"/>
              <w:rPr>
                <w:sz w:val="24"/>
              </w:rPr>
            </w:pPr>
            <w:r>
              <w:rPr>
                <w:rFonts w:hint="eastAsia"/>
                <w:sz w:val="24"/>
              </w:rPr>
              <w:t xml:space="preserve">4</w:t>
            </w:r>
            <w:r/>
          </w:p>
        </w:tc>
        <w:tc>
          <w:tcPr>
            <w:tcW w:w="1223" w:type="dxa"/>
            <w:textDirection w:val="lrTb"/>
            <w:noWrap w:val="false"/>
          </w:tcPr>
          <w:p>
            <w:pPr>
              <w:jc w:val="center"/>
              <w:rPr>
                <w:sz w:val="24"/>
              </w:rPr>
            </w:pPr>
            <w:r>
              <w:rPr>
                <w:sz w:val="24"/>
              </w:rPr>
            </w:r>
            <w:r/>
          </w:p>
        </w:tc>
        <w:tc>
          <w:tcPr>
            <w:tcW w:w="1106" w:type="dxa"/>
            <w:textDirection w:val="lrTb"/>
            <w:noWrap w:val="false"/>
          </w:tcPr>
          <w:p>
            <w:pPr>
              <w:jc w:val="center"/>
              <w:rPr>
                <w:sz w:val="24"/>
              </w:rPr>
            </w:pPr>
            <w:r>
              <w:rPr>
                <w:sz w:val="24"/>
              </w:rPr>
            </w:r>
            <w:r/>
          </w:p>
        </w:tc>
        <w:tc>
          <w:tcPr>
            <w:tcW w:w="2153" w:type="dxa"/>
            <w:textDirection w:val="lrTb"/>
            <w:noWrap w:val="false"/>
          </w:tcPr>
          <w:p>
            <w:pPr>
              <w:jc w:val="center"/>
              <w:rPr>
                <w:sz w:val="24"/>
              </w:rPr>
            </w:pPr>
            <w:r>
              <w:rPr>
                <w:sz w:val="24"/>
              </w:rPr>
            </w:r>
            <w:r/>
          </w:p>
        </w:tc>
        <w:tc>
          <w:tcPr>
            <w:tcW w:w="2302" w:type="dxa"/>
            <w:textDirection w:val="lrTb"/>
            <w:noWrap w:val="false"/>
          </w:tcPr>
          <w:p>
            <w:pPr>
              <w:jc w:val="center"/>
              <w:rPr>
                <w:sz w:val="24"/>
              </w:rPr>
            </w:pPr>
            <w:r>
              <w:rPr>
                <w:sz w:val="24"/>
              </w:rPr>
            </w:r>
            <w:r/>
          </w:p>
        </w:tc>
        <w:tc>
          <w:tcPr>
            <w:tcW w:w="2302" w:type="dxa"/>
            <w:textDirection w:val="lrTb"/>
            <w:noWrap w:val="false"/>
          </w:tcPr>
          <w:p>
            <w:pPr>
              <w:jc w:val="center"/>
              <w:rPr>
                <w:sz w:val="24"/>
              </w:rPr>
            </w:pPr>
            <w:r>
              <w:rPr>
                <w:sz w:val="24"/>
              </w:rPr>
            </w:r>
            <w:r/>
          </w:p>
        </w:tc>
      </w:tr>
      <w:tr>
        <w:trPr>
          <w:jc w:val="center"/>
          <w:trHeight w:val="607"/>
        </w:trPr>
        <w:tc>
          <w:tcPr>
            <w:tcW w:w="848" w:type="dxa"/>
            <w:vAlign w:val="center"/>
            <w:textDirection w:val="lrTb"/>
            <w:noWrap w:val="false"/>
          </w:tcPr>
          <w:p>
            <w:pPr>
              <w:jc w:val="center"/>
              <w:rPr>
                <w:sz w:val="24"/>
              </w:rPr>
            </w:pPr>
            <w:r>
              <w:rPr>
                <w:rFonts w:hint="eastAsia"/>
                <w:sz w:val="24"/>
              </w:rPr>
              <w:t xml:space="preserve">...</w:t>
            </w:r>
            <w:r/>
          </w:p>
        </w:tc>
        <w:tc>
          <w:tcPr>
            <w:tcW w:w="1223" w:type="dxa"/>
            <w:textDirection w:val="lrTb"/>
            <w:noWrap w:val="false"/>
          </w:tcPr>
          <w:p>
            <w:pPr>
              <w:jc w:val="center"/>
              <w:rPr>
                <w:sz w:val="24"/>
              </w:rPr>
            </w:pPr>
            <w:r>
              <w:rPr>
                <w:sz w:val="24"/>
              </w:rPr>
            </w:r>
            <w:r/>
          </w:p>
        </w:tc>
        <w:tc>
          <w:tcPr>
            <w:tcW w:w="1106" w:type="dxa"/>
            <w:textDirection w:val="lrTb"/>
            <w:noWrap w:val="false"/>
          </w:tcPr>
          <w:p>
            <w:pPr>
              <w:jc w:val="center"/>
              <w:rPr>
                <w:sz w:val="24"/>
              </w:rPr>
            </w:pPr>
            <w:r>
              <w:rPr>
                <w:sz w:val="24"/>
              </w:rPr>
            </w:r>
            <w:r/>
          </w:p>
        </w:tc>
        <w:tc>
          <w:tcPr>
            <w:tcW w:w="2153" w:type="dxa"/>
            <w:textDirection w:val="lrTb"/>
            <w:noWrap w:val="false"/>
          </w:tcPr>
          <w:p>
            <w:pPr>
              <w:jc w:val="center"/>
              <w:rPr>
                <w:sz w:val="24"/>
              </w:rPr>
            </w:pPr>
            <w:r>
              <w:rPr>
                <w:sz w:val="24"/>
              </w:rPr>
            </w:r>
            <w:r/>
          </w:p>
        </w:tc>
        <w:tc>
          <w:tcPr>
            <w:tcW w:w="2302" w:type="dxa"/>
            <w:textDirection w:val="lrTb"/>
            <w:noWrap w:val="false"/>
          </w:tcPr>
          <w:p>
            <w:pPr>
              <w:jc w:val="center"/>
              <w:rPr>
                <w:sz w:val="24"/>
              </w:rPr>
            </w:pPr>
            <w:r>
              <w:rPr>
                <w:sz w:val="24"/>
              </w:rPr>
            </w:r>
            <w:r/>
          </w:p>
        </w:tc>
        <w:tc>
          <w:tcPr>
            <w:tcW w:w="2302" w:type="dxa"/>
            <w:textDirection w:val="lrTb"/>
            <w:noWrap w:val="false"/>
          </w:tcPr>
          <w:p>
            <w:pPr>
              <w:jc w:val="center"/>
              <w:rPr>
                <w:sz w:val="24"/>
              </w:rPr>
            </w:pPr>
            <w:r>
              <w:rPr>
                <w:sz w:val="24"/>
              </w:rPr>
            </w:r>
            <w:r/>
          </w:p>
        </w:tc>
      </w:tr>
      <w:tr>
        <w:trPr>
          <w:jc w:val="center"/>
          <w:trHeight w:val="607"/>
        </w:trPr>
        <w:tc>
          <w:tcPr>
            <w:gridSpan w:val="4"/>
            <w:tcW w:w="5331" w:type="dxa"/>
            <w:vAlign w:val="center"/>
            <w:textDirection w:val="lrTb"/>
            <w:noWrap w:val="false"/>
          </w:tcPr>
          <w:p>
            <w:pPr>
              <w:jc w:val="center"/>
              <w:rPr>
                <w:b/>
                <w:sz w:val="24"/>
              </w:rPr>
            </w:pPr>
            <w:r>
              <w:rPr>
                <w:rFonts w:hint="eastAsia"/>
                <w:b/>
                <w:sz w:val="24"/>
              </w:rPr>
              <w:t xml:space="preserve">实际供货产品的价格合计金额</w:t>
            </w:r>
            <w:r/>
          </w:p>
          <w:p>
            <w:pPr>
              <w:jc w:val="center"/>
              <w:rPr>
                <w:b/>
                <w:sz w:val="24"/>
              </w:rPr>
            </w:pPr>
            <w:r>
              <w:rPr>
                <w:rFonts w:hint="eastAsia"/>
                <w:b/>
                <w:sz w:val="24"/>
              </w:rPr>
              <w:t xml:space="preserve">（元）</w:t>
            </w:r>
            <w:r/>
          </w:p>
        </w:tc>
        <w:tc>
          <w:tcPr>
            <w:tcW w:w="2302" w:type="dxa"/>
            <w:textDirection w:val="lrTb"/>
            <w:noWrap w:val="false"/>
          </w:tcPr>
          <w:p>
            <w:pPr>
              <w:jc w:val="center"/>
              <w:rPr>
                <w:sz w:val="24"/>
              </w:rPr>
            </w:pPr>
            <w:r>
              <w:rPr>
                <w:sz w:val="24"/>
              </w:rPr>
            </w:r>
            <w:r/>
          </w:p>
        </w:tc>
        <w:tc>
          <w:tcPr>
            <w:tcW w:w="2302" w:type="dxa"/>
            <w:textDirection w:val="lrTb"/>
            <w:noWrap w:val="false"/>
          </w:tcPr>
          <w:p>
            <w:pPr>
              <w:jc w:val="center"/>
              <w:rPr>
                <w:sz w:val="24"/>
              </w:rPr>
            </w:pPr>
            <w:r>
              <w:rPr>
                <w:rFonts w:hint="eastAsia"/>
                <w:sz w:val="24"/>
              </w:rPr>
              <w:t xml:space="preserve">/</w:t>
            </w:r>
            <w:r/>
          </w:p>
        </w:tc>
      </w:tr>
    </w:tbl>
    <w:p>
      <w:pPr>
        <w:ind w:firstLine="235"/>
        <w:jc w:val="center"/>
        <w:rPr>
          <w:sz w:val="24"/>
        </w:rPr>
      </w:pPr>
      <w:r>
        <w:rPr>
          <w:sz w:val="24"/>
        </w:rPr>
      </w:r>
      <w:r/>
    </w:p>
    <w:p>
      <w:pPr>
        <w:pStyle w:val="901"/>
        <w:ind w:left="400"/>
        <w:spacing w:line="360" w:lineRule="auto"/>
        <w:rPr>
          <w:rStyle w:val="927"/>
          <w:rFonts w:hint="eastAsia"/>
          <w:b/>
          <w:bCs/>
          <w:szCs w:val="21"/>
        </w:rPr>
      </w:pPr>
      <w:r>
        <w:rPr>
          <w:rStyle w:val="927"/>
          <w:rFonts w:hint="eastAsia"/>
          <w:b/>
          <w:bCs/>
          <w:szCs w:val="21"/>
        </w:rPr>
        <w:t xml:space="preserve">注： </w:t>
      </w:r>
      <w:r/>
    </w:p>
    <w:p>
      <w:pPr>
        <w:pStyle w:val="901"/>
        <w:ind w:left="400"/>
        <w:spacing w:line="360" w:lineRule="auto"/>
        <w:rPr>
          <w:rStyle w:val="927"/>
          <w:rFonts w:hint="eastAsia"/>
          <w:b/>
          <w:bCs/>
          <w:szCs w:val="21"/>
        </w:rPr>
      </w:pPr>
      <w:r>
        <w:rPr>
          <w:rStyle w:val="927"/>
          <w:rFonts w:hint="eastAsia"/>
          <w:b/>
          <w:bCs/>
          <w:szCs w:val="21"/>
        </w:rPr>
        <w:t xml:space="preserve">1.如果不提供组合方案将视为没有实质性响应招标文件。</w:t>
      </w:r>
      <w:r/>
    </w:p>
    <w:p>
      <w:pPr>
        <w:pStyle w:val="901"/>
        <w:ind w:left="400"/>
        <w:spacing w:line="360" w:lineRule="auto"/>
        <w:rPr>
          <w:rStyle w:val="927"/>
          <w:rFonts w:hint="eastAsia"/>
          <w:b/>
          <w:bCs/>
          <w:szCs w:val="21"/>
        </w:rPr>
      </w:pPr>
      <w:r>
        <w:rPr>
          <w:rStyle w:val="927"/>
          <w:rFonts w:hint="eastAsia"/>
          <w:b/>
          <w:bCs/>
          <w:szCs w:val="21"/>
        </w:rPr>
        <w:t xml:space="preserve">2.上述各项的详细规格、技术参数如表格中填写不下的，可以逐项另页描述。</w:t>
      </w:r>
      <w:r/>
    </w:p>
    <w:p>
      <w:pPr>
        <w:pStyle w:val="901"/>
        <w:ind w:firstLine="482"/>
        <w:spacing w:line="360" w:lineRule="auto"/>
        <w:rPr>
          <w:rStyle w:val="927"/>
          <w:rFonts w:hint="eastAsia"/>
          <w:b/>
          <w:bCs/>
          <w:szCs w:val="21"/>
        </w:rPr>
      </w:pPr>
      <w:r>
        <w:rPr>
          <w:rStyle w:val="927"/>
          <w:rFonts w:hint="eastAsia"/>
          <w:b/>
          <w:bCs/>
          <w:szCs w:val="21"/>
        </w:rPr>
        <w:t xml:space="preserve">3.</w:t>
      </w:r>
      <w:r>
        <w:rPr>
          <w:rStyle w:val="927"/>
          <w:rFonts w:hint="eastAsia"/>
          <w:b/>
          <w:bCs/>
          <w:szCs w:val="21"/>
          <w:lang w:val="zh-CN"/>
        </w:rPr>
        <w:t xml:space="preserve">方案中的实物均须为大型商超在售产品，如大润发、麦德龙、山姆、</w:t>
      </w:r>
      <w:r>
        <w:rPr>
          <w:rStyle w:val="927"/>
          <w:rFonts w:hint="eastAsia"/>
          <w:b/>
          <w:bCs/>
          <w:szCs w:val="21"/>
        </w:rPr>
        <w:t xml:space="preserve">天猫超市、小象超市、叮咚</w:t>
      </w:r>
      <w:r>
        <w:rPr>
          <w:rStyle w:val="927"/>
          <w:rFonts w:hint="eastAsia"/>
          <w:b/>
          <w:bCs/>
          <w:szCs w:val="21"/>
          <w:lang w:val="zh-CN"/>
        </w:rPr>
        <w:t xml:space="preserve">等，确保市场可询。所销售商品必须明码标价，价格必须切合市场行情。</w:t>
      </w:r>
      <w:r>
        <w:rPr>
          <w:rStyle w:val="927"/>
          <w:rFonts w:hint="eastAsia"/>
          <w:b/>
          <w:bCs/>
          <w:szCs w:val="21"/>
        </w:rPr>
        <w:t xml:space="preserve">同时提供组合方案中产品在大型商超线上线下的零售价格截图，实际供货产品的</w:t>
      </w:r>
      <w:r>
        <w:rPr>
          <w:rFonts w:hint="eastAsia"/>
          <w:b/>
        </w:rPr>
        <w:t xml:space="preserve">价格</w:t>
      </w:r>
      <w:r>
        <w:rPr>
          <w:rStyle w:val="927"/>
          <w:rFonts w:hint="eastAsia"/>
          <w:b/>
          <w:bCs/>
          <w:szCs w:val="21"/>
        </w:rPr>
        <w:t xml:space="preserve">合计金额不得小于330/（1-优惠率），否则视为无效投标。</w:t>
      </w:r>
      <w:r/>
    </w:p>
    <w:p>
      <w:pPr>
        <w:ind w:firstLine="422"/>
        <w:jc w:val="left"/>
        <w:spacing w:line="276" w:lineRule="auto"/>
        <w:tabs>
          <w:tab w:val="left" w:pos="1800" w:leader="none"/>
          <w:tab w:val="left" w:pos="5580" w:leader="none"/>
        </w:tabs>
        <w:rPr>
          <w:b/>
          <w:bCs/>
        </w:rPr>
      </w:pPr>
      <w:r>
        <w:rPr>
          <w:b/>
          <w:bCs/>
        </w:rPr>
      </w:r>
      <w:r/>
    </w:p>
    <w:p>
      <w:pPr>
        <w:spacing w:before="25" w:after="25" w:line="360" w:lineRule="auto"/>
        <w:rPr>
          <w:rFonts w:hint="eastAsia" w:asciiTheme="minorEastAsia" w:hAnsiTheme="minorEastAsia"/>
          <w:sz w:val="24"/>
          <w:lang w:val="zh-CN"/>
        </w:rPr>
      </w:pPr>
      <w:r>
        <w:rPr>
          <w:rFonts w:asciiTheme="minorEastAsia" w:hAnsiTheme="minorEastAsia"/>
          <w:sz w:val="24"/>
        </w:rPr>
        <w:t xml:space="preserve">投标人名称（加盖公章）</w:t>
      </w:r>
      <w:r>
        <w:rPr>
          <w:rFonts w:asciiTheme="minorEastAsia" w:hAnsiTheme="minorEastAsia"/>
          <w:sz w:val="24"/>
          <w:lang w:val="zh-CN"/>
        </w:rPr>
        <w:t xml:space="preserve">：____________</w:t>
      </w:r>
      <w:r/>
    </w:p>
    <w:p>
      <w:pPr>
        <w:spacing w:before="120" w:line="360" w:lineRule="auto"/>
        <w:tabs>
          <w:tab w:val="left" w:pos="567" w:leader="none"/>
        </w:tabs>
        <w:rPr>
          <w:rFonts w:hint="eastAsia" w:cs="Times New Roman" w:asciiTheme="minorEastAsia" w:hAnsiTheme="minorEastAsia"/>
          <w:sz w:val="24"/>
          <w:szCs w:val="24"/>
        </w:rPr>
      </w:pPr>
      <w:r>
        <w:rPr>
          <w:rFonts w:cs="Times New Roman" w:asciiTheme="minorEastAsia" w:hAnsiTheme="minorEastAsia"/>
          <w:sz w:val="24"/>
          <w:szCs w:val="20"/>
        </w:rPr>
        <w:t xml:space="preserve">日期：_____年______月______日</w:t>
      </w:r>
      <w:r/>
    </w:p>
    <w:p>
      <w:pPr>
        <w:contextualSpacing/>
        <w:ind w:firstLine="420"/>
        <w:spacing w:line="360" w:lineRule="auto"/>
        <w:rPr>
          <w:rStyle w:val="927"/>
          <w:rFonts w:hint="eastAsia" w:ascii="宋体" w:hAnsi="宋体"/>
          <w:szCs w:val="21"/>
        </w:rPr>
        <w:sectPr>
          <w:footerReference w:type="first" r:id="rId13"/>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szCs w:val="21"/>
        </w:rPr>
      </w:r>
      <w:r/>
    </w:p>
    <w:p>
      <w:pPr>
        <w:spacing w:line="360" w:lineRule="auto"/>
        <w:rPr>
          <w:rFonts w:hint="eastAsia" w:ascii="宋体" w:hAnsi="宋体" w:eastAsia="宋体" w:cs="宋体"/>
          <w:sz w:val="24"/>
          <w:szCs w:val="20"/>
        </w:rPr>
        <w:outlineLvl w:val="2"/>
      </w:pPr>
      <w:r>
        <w:rPr>
          <w:rFonts w:hint="eastAsia" w:ascii="宋体" w:hAnsi="宋体" w:eastAsia="宋体" w:cs="宋体"/>
          <w:sz w:val="24"/>
          <w:szCs w:val="20"/>
        </w:rPr>
        <w:t xml:space="preserve">6 合同条款偏离表</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合同条款偏离表</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项目编号/包号：</w:t>
      </w:r>
      <w:r>
        <w:rPr>
          <w:rFonts w:hint="eastAsia" w:ascii="宋体" w:hAnsi="宋体" w:eastAsia="宋体" w:cs="宋体"/>
          <w:bCs/>
          <w:sz w:val="24"/>
          <w:u w:val="single"/>
        </w:rPr>
        <w:t xml:space="preserve">_______________  </w:t>
      </w:r>
      <w:r>
        <w:rPr>
          <w:rFonts w:hint="eastAsia" w:ascii="宋体" w:hAnsi="宋体" w:eastAsia="宋体" w:cs="宋体"/>
          <w:bCs/>
          <w:sz w:val="24"/>
        </w:rPr>
        <w:t xml:space="preserve">   项目名称：</w:t>
      </w:r>
      <w:r>
        <w:rPr>
          <w:rFonts w:hint="eastAsia" w:ascii="宋体" w:hAnsi="宋体" w:eastAsia="宋体" w:cs="宋体"/>
          <w:bCs/>
          <w:sz w:val="24"/>
          <w:u w:val="single"/>
        </w:rPr>
        <w:t xml:space="preserve">_____________________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5"/>
        <w:gridCol w:w="1857"/>
        <w:gridCol w:w="1593"/>
        <w:gridCol w:w="1578"/>
        <w:gridCol w:w="1578"/>
        <w:gridCol w:w="875"/>
      </w:tblGrid>
      <w:tr>
        <w:trPr>
          <w:jc w:val="center"/>
          <w:trHeight w:val="930"/>
        </w:trPr>
        <w:tc>
          <w:tcPr>
            <w:gridSpan w:val="6"/>
            <w:tcW w:w="8840" w:type="dxa"/>
            <w:vAlign w:val="center"/>
            <w:textDirection w:val="lrTb"/>
            <w:noWrap w:val="false"/>
          </w:tcPr>
          <w:p>
            <w:pPr>
              <w:contextualSpacing/>
              <w:ind w:left="228" w:hanging="228"/>
              <w:jc w:val="left"/>
              <w:spacing w:line="360" w:lineRule="auto"/>
              <w:rPr>
                <w:rFonts w:hint="eastAsia" w:ascii="宋体" w:hAnsi="宋体" w:eastAsia="宋体" w:cs="宋体"/>
                <w:bCs/>
                <w:sz w:val="24"/>
              </w:rPr>
            </w:pPr>
            <w:r>
              <w:rPr>
                <w:rFonts w:hint="eastAsia" w:ascii="宋体" w:hAnsi="宋体" w:eastAsia="宋体" w:cs="宋体"/>
                <w:bCs/>
                <w:sz w:val="24"/>
              </w:rPr>
              <w:t xml:space="preserve">对本项目合同条款的偏离情况（请进行勾选）：</w:t>
            </w:r>
            <w:r/>
          </w:p>
          <w:p>
            <w:pPr>
              <w:contextualSpacing/>
              <w:ind w:left="228" w:hanging="228"/>
              <w:jc w:val="left"/>
              <w:spacing w:line="360" w:lineRule="auto"/>
              <w:rPr>
                <w:rFonts w:hint="eastAsia" w:ascii="宋体" w:hAnsi="宋体" w:eastAsia="宋体" w:cs="宋体"/>
                <w:bCs/>
                <w:sz w:val="24"/>
              </w:rPr>
            </w:pPr>
            <w:r>
              <w:rPr>
                <w:rFonts w:hint="eastAsia" w:ascii="宋体" w:hAnsi="宋体" w:eastAsia="宋体" w:cs="宋体"/>
                <w:bCs/>
                <w:sz w:val="24"/>
              </w:rPr>
              <w:t xml:space="preserve">□无偏离（如无偏离，仅勾选无偏离即可）</w:t>
            </w:r>
            <w:r/>
          </w:p>
          <w:p>
            <w:pPr>
              <w:contextualSpacing/>
              <w:ind w:left="228" w:hanging="228"/>
              <w:jc w:val="left"/>
              <w:spacing w:line="360" w:lineRule="auto"/>
              <w:rPr>
                <w:rFonts w:hint="eastAsia" w:ascii="宋体" w:hAnsi="宋体" w:eastAsia="宋体" w:cs="宋体"/>
                <w:bCs/>
                <w:sz w:val="24"/>
              </w:rPr>
            </w:pPr>
            <w:r>
              <w:rPr>
                <w:rFonts w:hint="eastAsia" w:ascii="宋体" w:hAnsi="宋体" w:eastAsia="宋体" w:cs="宋体"/>
                <w:bCs/>
                <w:sz w:val="24"/>
              </w:rPr>
              <w:t xml:space="preserve">□有偏离（如有偏离，则须在本表中对偏离项逐一列明）</w:t>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序号</w:t>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招标文件条目号（页码）</w:t>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招标文件要求</w:t>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投标文件内容</w:t>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偏离情况</w:t>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说明</w:t>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bl>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注：</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 对合同条款中的所有要求，除本表所列明的所有偏离外，均视作投标人已对之理解和响应。</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 “偏离情况”列应据实填写“正偏离”或“负偏离”。</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投标人名称（加盖公章）：    ____________</w:t>
      </w:r>
      <w:r/>
    </w:p>
    <w:p>
      <w:pPr>
        <w:contextualSpacing/>
        <w:ind w:firstLine="480"/>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t xml:space="preserve">日期：_____年______月______日</w:t>
      </w:r>
      <w:r/>
    </w:p>
    <w:p>
      <w:pPr>
        <w:ind w:left="228" w:hanging="228"/>
        <w:spacing w:line="360" w:lineRule="auto"/>
        <w:rPr>
          <w:rFonts w:hint="eastAsia" w:ascii="宋体" w:hAnsi="宋体" w:eastAsia="宋体" w:cs="宋体"/>
          <w:sz w:val="24"/>
          <w:szCs w:val="20"/>
        </w:rPr>
        <w:outlineLvl w:val="2"/>
      </w:pPr>
      <w:r>
        <w:rPr>
          <w:rFonts w:hint="eastAsia" w:ascii="宋体" w:hAnsi="宋体" w:eastAsia="宋体" w:cs="宋体"/>
          <w:sz w:val="24"/>
          <w:szCs w:val="20"/>
        </w:rPr>
        <w:t xml:space="preserve">7 采购需求偏离表</w:t>
      </w:r>
      <w:r/>
    </w:p>
    <w:p>
      <w:pPr>
        <w:jc w:val="center"/>
        <w:spacing w:line="360" w:lineRule="auto"/>
        <w:rPr>
          <w:b/>
          <w:sz w:val="36"/>
          <w:szCs w:val="36"/>
        </w:rPr>
      </w:pPr>
      <w:r>
        <w:rPr>
          <w:rFonts w:hint="eastAsia"/>
          <w:b/>
          <w:sz w:val="36"/>
          <w:szCs w:val="36"/>
        </w:rPr>
        <w:t xml:space="preserve">采购需求偏离表</w:t>
      </w:r>
      <w:r/>
    </w:p>
    <w:p>
      <w:pPr>
        <w:ind w:firstLine="360"/>
        <w:jc w:val="left"/>
        <w:spacing w:line="360" w:lineRule="auto"/>
        <w:tabs>
          <w:tab w:val="left" w:pos="1800" w:leader="none"/>
          <w:tab w:val="left" w:pos="5580" w:leader="none"/>
        </w:tabs>
        <w:rPr>
          <w:sz w:val="24"/>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5"/>
        <w:gridCol w:w="1849"/>
        <w:gridCol w:w="1586"/>
        <w:gridCol w:w="1571"/>
        <w:gridCol w:w="1602"/>
        <w:gridCol w:w="873"/>
      </w:tblGrid>
      <w:tr>
        <w:trPr>
          <w:jc w:val="center"/>
          <w:trHeight w:val="930"/>
        </w:trPr>
        <w:tc>
          <w:tcPr>
            <w:gridSpan w:val="6"/>
            <w:tcW w:w="8296" w:type="dxa"/>
            <w:vAlign w:val="center"/>
            <w:textDirection w:val="lrTb"/>
            <w:noWrap w:val="false"/>
          </w:tcPr>
          <w:p>
            <w:pPr>
              <w:contextualSpacing/>
              <w:ind w:left="228" w:hanging="228"/>
              <w:jc w:val="left"/>
              <w:spacing w:line="360" w:lineRule="auto"/>
              <w:rPr>
                <w:rFonts w:hint="eastAsia" w:ascii="等线" w:hAnsi="等线"/>
                <w:bCs/>
                <w:sz w:val="24"/>
              </w:rPr>
            </w:pPr>
            <w:r>
              <w:rPr>
                <w:rFonts w:hint="eastAsia" w:ascii="等线" w:hAnsi="等线"/>
                <w:bCs/>
                <w:sz w:val="24"/>
              </w:rPr>
              <w:t xml:space="preserve">对本项目采购需求的偏离情况（请进行勾选）：</w:t>
            </w:r>
            <w:r/>
          </w:p>
          <w:p>
            <w:pPr>
              <w:contextualSpacing/>
              <w:ind w:left="228" w:hanging="228"/>
              <w:jc w:val="left"/>
              <w:spacing w:line="360" w:lineRule="auto"/>
              <w:rPr>
                <w:rFonts w:hint="eastAsia" w:ascii="等线" w:hAnsi="等线"/>
                <w:bCs/>
                <w:sz w:val="24"/>
              </w:rPr>
            </w:pPr>
            <w:r>
              <w:rPr>
                <w:rFonts w:ascii="等线" w:hAnsi="等线"/>
                <w:bCs/>
                <w:sz w:val="24"/>
              </w:rPr>
              <w:t xml:space="preserve">□</w:t>
            </w:r>
            <w:r>
              <w:rPr>
                <w:rFonts w:ascii="等线" w:hAnsi="等线"/>
                <w:bCs/>
                <w:sz w:val="24"/>
              </w:rPr>
              <w:t xml:space="preserve">无偏离（如无偏离，仅勾选无偏离即可）</w:t>
            </w:r>
            <w:r/>
          </w:p>
          <w:p>
            <w:pPr>
              <w:contextualSpacing/>
              <w:ind w:left="228" w:hanging="228"/>
              <w:spacing w:line="360" w:lineRule="auto"/>
              <w:rPr>
                <w:rFonts w:hint="eastAsia" w:ascii="等线" w:hAnsi="等线"/>
                <w:bCs/>
                <w:sz w:val="24"/>
              </w:rPr>
            </w:pPr>
            <w:r>
              <w:rPr>
                <w:rFonts w:ascii="等线" w:hAnsi="等线"/>
                <w:bCs/>
                <w:sz w:val="24"/>
              </w:rPr>
              <w:t xml:space="preserve">□</w:t>
            </w:r>
            <w:r>
              <w:rPr>
                <w:rFonts w:ascii="等线" w:hAnsi="等线"/>
                <w:bCs/>
                <w:sz w:val="24"/>
              </w:rPr>
              <w:t xml:space="preserve">有偏离（如有偏离，则须在本表中对偏离项逐一列明）</w:t>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等线" w:hAnsi="等线"/>
                <w:bCs/>
                <w:sz w:val="24"/>
              </w:rPr>
            </w:pPr>
            <w:r>
              <w:rPr>
                <w:rFonts w:ascii="等线" w:hAnsi="等线"/>
                <w:bCs/>
                <w:sz w:val="24"/>
              </w:rPr>
              <w:t xml:space="preserve">序号</w:t>
            </w:r>
            <w:r/>
          </w:p>
        </w:tc>
        <w:tc>
          <w:tcPr>
            <w:tcW w:w="1849"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t xml:space="preserve">招标</w:t>
            </w:r>
            <w:r>
              <w:rPr>
                <w:rFonts w:ascii="等线" w:hAnsi="等线"/>
                <w:bCs/>
                <w:sz w:val="24"/>
              </w:rPr>
              <w:t xml:space="preserve">文件条目号（页码）</w:t>
            </w:r>
            <w:r/>
          </w:p>
        </w:tc>
        <w:tc>
          <w:tcPr>
            <w:tcW w:w="1586"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t xml:space="preserve">招标</w:t>
            </w:r>
            <w:r>
              <w:rPr>
                <w:rFonts w:ascii="等线" w:hAnsi="等线"/>
                <w:bCs/>
                <w:sz w:val="24"/>
              </w:rPr>
              <w:t xml:space="preserve">文件要求</w:t>
            </w:r>
            <w:r/>
          </w:p>
        </w:tc>
        <w:tc>
          <w:tcPr>
            <w:tcW w:w="1571"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t xml:space="preserve">投标</w:t>
            </w:r>
            <w:r>
              <w:rPr>
                <w:rFonts w:ascii="等线" w:hAnsi="等线"/>
                <w:bCs/>
                <w:sz w:val="24"/>
              </w:rPr>
              <w:t xml:space="preserve">文件内容</w:t>
            </w:r>
            <w:r/>
          </w:p>
        </w:tc>
        <w:tc>
          <w:tcPr>
            <w:tcW w:w="1602" w:type="dxa"/>
            <w:vAlign w:val="center"/>
            <w:textDirection w:val="lrTb"/>
            <w:noWrap w:val="false"/>
          </w:tcPr>
          <w:p>
            <w:pPr>
              <w:contextualSpacing/>
              <w:ind w:left="228" w:hanging="228"/>
              <w:jc w:val="center"/>
              <w:spacing w:line="360" w:lineRule="auto"/>
              <w:rPr>
                <w:rFonts w:hint="eastAsia" w:ascii="等线" w:hAnsi="等线"/>
                <w:bCs/>
                <w:sz w:val="24"/>
              </w:rPr>
            </w:pPr>
            <w:r>
              <w:rPr>
                <w:rFonts w:ascii="等线" w:hAnsi="等线"/>
                <w:bCs/>
                <w:sz w:val="24"/>
              </w:rPr>
              <w:t xml:space="preserve">偏离情况</w:t>
            </w:r>
            <w:r/>
          </w:p>
          <w:p>
            <w:pPr>
              <w:contextualSpacing/>
              <w:ind w:left="228" w:hanging="228"/>
              <w:jc w:val="center"/>
              <w:spacing w:line="360" w:lineRule="auto"/>
              <w:rPr>
                <w:rFonts w:hint="eastAsia" w:ascii="等线" w:hAnsi="等线"/>
                <w:bCs/>
                <w:sz w:val="24"/>
              </w:rPr>
            </w:pPr>
            <w:r>
              <w:rPr>
                <w:rFonts w:ascii="等线" w:hAnsi="等线"/>
                <w:bCs/>
                <w:sz w:val="24"/>
              </w:rPr>
              <w:t xml:space="preserve">（据实填写）</w:t>
            </w:r>
            <w:r/>
          </w:p>
        </w:tc>
        <w:tc>
          <w:tcPr>
            <w:tcW w:w="873" w:type="dxa"/>
            <w:vAlign w:val="center"/>
            <w:textDirection w:val="lrTb"/>
            <w:noWrap w:val="false"/>
          </w:tcPr>
          <w:p>
            <w:pPr>
              <w:contextualSpacing/>
              <w:ind w:left="228" w:hanging="228"/>
              <w:jc w:val="center"/>
              <w:spacing w:line="360" w:lineRule="auto"/>
              <w:rPr>
                <w:rFonts w:hint="eastAsia" w:ascii="等线" w:hAnsi="等线"/>
                <w:bCs/>
                <w:sz w:val="24"/>
              </w:rPr>
            </w:pPr>
            <w:r>
              <w:rPr>
                <w:rFonts w:ascii="等线" w:hAnsi="等线"/>
                <w:bCs/>
                <w:sz w:val="24"/>
              </w:rPr>
              <w:t xml:space="preserve">说明</w:t>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849"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86"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71"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602"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873"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849"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86"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71"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602"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873"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849"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86"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71"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602"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873"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849"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86"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71"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602"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873"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r>
    </w:tbl>
    <w:p>
      <w:pPr>
        <w:pStyle w:val="901"/>
        <w:rPr>
          <w:rFonts w:hint="eastAsia"/>
        </w:rPr>
      </w:pPr>
      <w:r>
        <w:rPr>
          <w:rFonts w:hint="eastAsia"/>
        </w:rPr>
      </w:r>
      <w:r/>
    </w:p>
    <w:p>
      <w:pPr>
        <w:rPr>
          <w:sz w:val="24"/>
        </w:rPr>
      </w:pPr>
      <w:r>
        <w:rPr>
          <w:sz w:val="24"/>
        </w:rPr>
      </w:r>
      <w:r/>
    </w:p>
    <w:p>
      <w:pPr>
        <w:pStyle w:val="901"/>
        <w:rPr>
          <w:rFonts w:hint="eastAsia"/>
        </w:rPr>
      </w:pPr>
      <w:r>
        <w:rPr>
          <w:rFonts w:hint="eastAsia"/>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对招标文件中的所有商务、技术要求，除本表所列明的所有偏离外，均视作供应商已对之理解和</w:t>
      </w:r>
      <w:r>
        <w:rPr>
          <w:rFonts w:hint="eastAsia"/>
          <w:sz w:val="24"/>
        </w:rPr>
        <w:t xml:space="preserve">响应</w:t>
      </w:r>
      <w:r>
        <w:rPr>
          <w:sz w:val="24"/>
        </w:rPr>
        <w:t xml:space="preserve">。</w:t>
      </w:r>
      <w:r>
        <w:rPr>
          <w:rFonts w:hint="eastAsia"/>
          <w:sz w:val="24"/>
        </w:rPr>
        <w:t xml:space="preserve">本表行数可以按照情况增加。</w:t>
      </w:r>
      <w:r/>
    </w:p>
    <w:p>
      <w:pPr>
        <w:jc w:val="left"/>
        <w:tabs>
          <w:tab w:val="left" w:pos="1800" w:leader="none"/>
          <w:tab w:val="left" w:pos="5580" w:leader="none"/>
        </w:tabs>
      </w:pPr>
      <w:r>
        <w:rPr>
          <w:sz w:val="24"/>
        </w:rPr>
        <w:t xml:space="preserve">2.</w:t>
      </w:r>
      <w:r>
        <w:rPr>
          <w:rFonts w:hint="eastAsia" w:ascii="宋体" w:hAnsi="宋体" w:eastAsia="宋体" w:cs="宋体"/>
          <w:bCs/>
          <w:sz w:val="24"/>
          <w:szCs w:val="24"/>
        </w:rPr>
        <w:t xml:space="preserve">“偏离情况”列应据实填写“正偏离”、“负偏离”或“无偏离”。</w:t>
      </w:r>
      <w:r/>
    </w:p>
    <w:p>
      <w:pPr>
        <w:pStyle w:val="900"/>
      </w:pPr>
      <w:r/>
      <w:r/>
    </w:p>
    <w:p>
      <w:pPr>
        <w:pStyle w:val="901"/>
        <w:rPr>
          <w:rFonts w:hint="eastAsia"/>
        </w:rPr>
      </w:pPr>
      <w:r>
        <w:rPr>
          <w:rFonts w:hint="eastAsia"/>
        </w:rPr>
      </w:r>
      <w:r/>
    </w:p>
    <w:p>
      <w:pPr>
        <w:contextualSpacing/>
        <w:spacing w:line="360" w:lineRule="auto"/>
        <w:rPr>
          <w:rFonts w:hint="eastAsia" w:ascii="宋体" w:hAnsi="宋体" w:eastAsia="宋体" w:cs="宋体"/>
          <w:bCs/>
          <w:sz w:val="24"/>
        </w:rPr>
      </w:pPr>
      <w:r>
        <w:rPr>
          <w:rFonts w:hint="eastAsia" w:ascii="宋体" w:hAnsi="宋体" w:eastAsia="宋体" w:cs="宋体"/>
          <w:bCs/>
          <w:sz w:val="24"/>
        </w:rPr>
        <w:t xml:space="preserve">投标人名称（加盖公章）：    ____________</w:t>
      </w:r>
      <w:r/>
    </w:p>
    <w:p>
      <w:pPr>
        <w:contextualSpacing/>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t xml:space="preserve">日期：_____年______月______日</w:t>
      </w:r>
      <w:r/>
    </w:p>
    <w:p>
      <w:pPr>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8中小企业声明函</w:t>
      </w:r>
      <w:r/>
    </w:p>
    <w:p>
      <w:pPr>
        <w:ind w:firstLine="480"/>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说明：</w:t>
      </w:r>
      <w:r/>
    </w:p>
    <w:p>
      <w:pPr>
        <w:ind w:firstLine="480"/>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ind w:firstLine="480"/>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p>
    <w:p>
      <w:pPr>
        <w:ind w:firstLine="480"/>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3）对于多标的的采购项目，投标人应充分、准确地了解所投产品制造企业信息。对相关情况了解不清楚的，不建议填报本声明函。</w:t>
      </w:r>
      <w:r/>
    </w:p>
    <w:p>
      <w:pPr>
        <w:ind w:firstLine="480"/>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4）中小企业认定标准以《关于印发中小企业划型标准规定的通知》（工信部联企业〔2011〕300号）文件规定为准。</w:t>
      </w:r>
      <w:r/>
    </w:p>
    <w:p>
      <w:pPr>
        <w:ind w:firstLine="480"/>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ind w:firstLine="482"/>
        <w:spacing w:line="360" w:lineRule="auto"/>
        <w:tabs>
          <w:tab w:val="left" w:pos="5580" w:leader="none"/>
        </w:tabs>
        <w:rPr>
          <w:rFonts w:hint="eastAsia" w:ascii="宋体" w:hAnsi="宋体" w:eastAsia="宋体" w:cs="宋体"/>
          <w:b/>
          <w:sz w:val="24"/>
          <w:szCs w:val="24"/>
        </w:rPr>
      </w:pPr>
      <w:r>
        <w:rPr>
          <w:rFonts w:hint="eastAsia" w:ascii="宋体" w:hAnsi="宋体" w:eastAsia="宋体" w:cs="宋体"/>
          <w:b/>
          <w:sz w:val="24"/>
          <w:szCs w:val="24"/>
        </w:rPr>
        <w:t xml:space="preserve">6）在货物采购项目中，投标人提供的货物既有中型企业制造货物，也有小微企业制造货物的，不享受小微企业扶持政策，不予价格扣除。</w:t>
      </w:r>
      <w:r/>
    </w:p>
    <w:p>
      <w:pPr>
        <w:ind w:firstLine="482"/>
        <w:spacing w:line="360" w:lineRule="auto"/>
        <w:tabs>
          <w:tab w:val="left" w:pos="5580" w:leader="none"/>
        </w:tabs>
        <w:rPr>
          <w:rFonts w:hint="eastAsia" w:ascii="宋体" w:hAnsi="宋体" w:eastAsia="宋体" w:cs="宋体"/>
          <w:b/>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sz w:val="24"/>
          <w:szCs w:val="24"/>
        </w:rPr>
        <w:t xml:space="preserve">7）小微企业未提供声明函的，价格分评审将不予价格扣除。</w:t>
      </w:r>
      <w:r/>
    </w:p>
    <w:p>
      <w:pPr>
        <w:jc w:val="center"/>
        <w:spacing w:line="360" w:lineRule="auto"/>
        <w:rPr>
          <w:rFonts w:hint="eastAsia" w:asciiTheme="minorEastAsia" w:hAnsiTheme="minorEastAsia"/>
          <w:b/>
          <w:sz w:val="28"/>
          <w:szCs w:val="28"/>
        </w:rPr>
      </w:pPr>
      <w:r>
        <w:rPr>
          <w:rFonts w:hint="eastAsia" w:asciiTheme="minorEastAsia" w:hAnsiTheme="minorEastAsia"/>
          <w:b/>
          <w:sz w:val="28"/>
          <w:szCs w:val="28"/>
        </w:rPr>
        <w:t xml:space="preserve">中小企业声明函（工程、服务）格式</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10"/>
        </w:numPr>
        <w:contextualSpacing/>
        <w:ind w:firstLine="480"/>
        <w:spacing w:line="360" w:lineRule="auto"/>
        <w:rPr>
          <w:rFonts w:hint="eastAsia" w:asciiTheme="minorEastAsia" w:hAnsiTheme="minorEastAsia"/>
          <w:bCs/>
          <w:sz w:val="24"/>
        </w:rPr>
      </w:pPr>
      <w:r>
        <w:rPr>
          <w:rStyle w:val="927"/>
          <w:rFonts w:hint="eastAsia" w:ascii="宋体" w:hAnsi="宋体" w:eastAsia="宋体" w:cs="宋体"/>
          <w:bCs/>
          <w:sz w:val="24"/>
          <w:u w:val="single"/>
        </w:rPr>
        <w:t xml:space="preserve">常州市退役军人事务局慰问品采购及配送服务项目</w:t>
      </w:r>
      <w:r>
        <w:rPr>
          <w:rFonts w:asciiTheme="minorEastAsia" w:hAnsiTheme="minorEastAsia"/>
          <w:bCs/>
          <w:sz w:val="24"/>
        </w:rPr>
        <w:t xml:space="preserve">，属于</w:t>
      </w:r>
      <w:r>
        <w:rPr>
          <w:rFonts w:hint="eastAsia" w:asciiTheme="minorEastAsia" w:hAnsiTheme="minorEastAsia"/>
          <w:bCs/>
          <w:sz w:val="24"/>
          <w:u w:val="single"/>
        </w:rPr>
        <w:t xml:space="preserve">批发业</w:t>
      </w:r>
      <w:r>
        <w:rPr>
          <w:rFonts w:asciiTheme="minorEastAsia" w:hAnsiTheme="minorEastAsia"/>
          <w:bCs/>
          <w:sz w:val="24"/>
        </w:rPr>
        <w:t xml:space="preserve">行业；承建（承接）企业为</w:t>
      </w:r>
      <w:r>
        <w:rPr>
          <w:rFonts w:hint="eastAsia" w:asciiTheme="minorEastAsia" w:hAnsiTheme="minorEastAsia"/>
          <w:bCs/>
          <w:sz w:val="24"/>
          <w:u w:val="single"/>
        </w:rPr>
        <w:t xml:space="preserve">    </w:t>
      </w:r>
      <w:r>
        <w:rPr>
          <w:rFonts w:asciiTheme="minorEastAsia" w:hAnsiTheme="minorEastAsia"/>
          <w:bCs/>
          <w:sz w:val="24"/>
          <w:u w:val="single"/>
        </w:rPr>
        <w:t xml:space="preserve">（企业名称）</w:t>
      </w:r>
      <w:r>
        <w:rPr>
          <w:rFonts w:asciiTheme="minorEastAsia" w:hAnsiTheme="minorEastAsia"/>
          <w:bCs/>
          <w:sz w:val="24"/>
        </w:rPr>
        <w:t xml:space="preserve">，从业人员______人，营业收入为______万元，资产总额为______万元1，属于</w:t>
      </w:r>
      <w:r>
        <w:rPr>
          <w:rFonts w:hint="eastAsia" w:asciiTheme="minorEastAsia" w:hAnsiTheme="minorEastAsia"/>
          <w:bCs/>
          <w:sz w:val="24"/>
          <w:u w:val="single"/>
        </w:rPr>
        <w:t xml:space="preserve">     </w:t>
      </w:r>
      <w:r>
        <w:rPr>
          <w:rFonts w:asciiTheme="minorEastAsia" w:hAnsiTheme="minorEastAsia"/>
          <w:bCs/>
          <w:sz w:val="24"/>
          <w:u w:val="single"/>
        </w:rPr>
        <w:t xml:space="preserve">（中型企业、小型企业、微型企业）；</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2.（标的名称），属于（采购文件中明确的所属行业）行业；承建（承接）企业为（企业名称），从业人员______人，营业收入为______万元，资产总额为______万元，属于（中型企业、小型企业、微型企业）；</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以上企业，不属于大企业的分支机构，不存在控股股东为大企业的情形，也不存在与大企业的负责人为同一人的情形。</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本企业对上述声明内容的真实性负责。如有虚假，将依法承担相应责任。</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企业名称（加盖公章）：________</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日 期：________</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tbl>
      <w:tblPr>
        <w:tblW w:w="0" w:type="auto"/>
        <w:tblBorders>
          <w:top w:val="single" w:color="auto" w:sz="4" w:space="0"/>
        </w:tblBorders>
        <w:tblLook w:val="04A0" w:firstRow="1" w:lastRow="0" w:firstColumn="1" w:lastColumn="0" w:noHBand="0" w:noVBand="1"/>
      </w:tblPr>
      <w:tblGrid>
        <w:gridCol w:w="8306"/>
      </w:tblGrid>
      <w:tr>
        <w:trPr/>
        <w:tc>
          <w:tcPr>
            <w:tcW w:w="8946" w:type="dxa"/>
            <w:textDirection w:val="lrTb"/>
            <w:noWrap w:val="false"/>
          </w:tcPr>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1从业人员、营业收入、资产总额填报上一年度数据，无上一年度数据的新成立企业可不填报。</w:t>
            </w:r>
            <w:r/>
          </w:p>
        </w:tc>
      </w:tr>
    </w:tbl>
    <w:p>
      <w:pPr>
        <w:jc w:val="center"/>
        <w:spacing w:line="360" w:lineRule="auto"/>
        <w:rPr>
          <w:rFonts w:hint="eastAsia" w:ascii="宋体" w:hAnsi="宋体" w:eastAsia="宋体" w:cs="宋体"/>
          <w:b/>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24"/>
          <w:szCs w:val="24"/>
        </w:rPr>
        <w:br w:type="page" w:clear="all"/>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残疾人福利性单位声明函格式</w:t>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本单位郑重声明，根据《财政部 民政部 中国残疾人联合会关于促进残疾人就业政府采购政策的通知》（财库〔2017〕 141号）的规定，本单位</w:t>
      </w:r>
      <w:r>
        <w:rPr>
          <w:rFonts w:hint="eastAsia" w:ascii="宋体" w:hAnsi="宋体" w:eastAsia="宋体" w:cs="宋体"/>
          <w:b/>
          <w:bCs/>
          <w:sz w:val="24"/>
          <w:szCs w:val="24"/>
        </w:rPr>
        <w:t xml:space="preserve">（请进行勾选）</w:t>
      </w:r>
      <w:r>
        <w:rPr>
          <w:rFonts w:hint="eastAsia" w:ascii="宋体" w:hAnsi="宋体" w:eastAsia="宋体" w:cs="宋体"/>
          <w:bCs/>
          <w:sz w:val="24"/>
          <w:szCs w:val="24"/>
        </w:rPr>
        <w:t xml:space="preserve">：</w:t>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□不属于符合条件的残疾人福利性单位。</w:t>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本单位对上述声明的真实性负责。如有虚假，将依法承担相应责任。</w:t>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单位名称（盖章）：</w:t>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日  期</w:t>
      </w:r>
      <w:r>
        <w:rPr>
          <w:rFonts w:hint="eastAsia" w:ascii="宋体" w:hAnsi="宋体" w:eastAsia="宋体" w:cs="宋体"/>
          <w:bCs/>
          <w:sz w:val="24"/>
          <w:szCs w:val="24"/>
        </w:rPr>
        <w:t xml:space="preserve">：</w:t>
      </w:r>
      <w:r/>
    </w:p>
    <w:p>
      <w:pPr>
        <w:spacing w:line="360" w:lineRule="auto"/>
        <w:rPr>
          <w:rFonts w:hint="eastAsia" w:ascii="宋体" w:hAnsi="宋体" w:eastAsia="宋体" w:cs="宋体"/>
          <w:sz w:val="24"/>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cs="宋体"/>
          <w:sz w:val="24"/>
        </w:rPr>
      </w:r>
      <w:r/>
    </w:p>
    <w:p>
      <w:pPr>
        <w:spacing w:line="360" w:lineRule="auto"/>
        <w:rPr>
          <w:rFonts w:hint="eastAsia" w:ascii="宋体" w:hAnsi="宋体" w:eastAsia="宋体" w:cs="宋体"/>
          <w:sz w:val="24"/>
        </w:rPr>
        <w:outlineLvl w:val="2"/>
      </w:pPr>
      <w:r>
        <w:rPr>
          <w:rFonts w:hint="eastAsia" w:ascii="宋体" w:hAnsi="宋体" w:eastAsia="宋体" w:cs="宋体"/>
          <w:sz w:val="24"/>
        </w:rPr>
        <w:t xml:space="preserve">9 项目实施方案等，包括但不限于如下主题：</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1）项目组织实施方案；</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2）项目管理方案；</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3）拟达到的标准，配备的人员、设备配置等；</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4）培训方案、技术支持等方案；</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5）优惠条款或承诺；</w:t>
      </w:r>
      <w:r/>
    </w:p>
    <w:p>
      <w:pPr>
        <w:contextualSpacing/>
        <w:ind w:firstLine="480"/>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t xml:space="preserve">6）其他。</w:t>
      </w:r>
      <w:r/>
    </w:p>
    <w:p>
      <w:pPr>
        <w:ind w:left="228" w:hanging="228"/>
        <w:spacing w:line="360" w:lineRule="auto"/>
        <w:rPr>
          <w:rFonts w:hint="eastAsia" w:ascii="宋体" w:hAnsi="宋体" w:eastAsia="宋体" w:cs="宋体"/>
          <w:sz w:val="24"/>
        </w:rPr>
        <w:outlineLvl w:val="2"/>
      </w:pPr>
      <w:r>
        <w:rPr>
          <w:rFonts w:hint="eastAsia" w:ascii="宋体" w:hAnsi="宋体" w:eastAsia="宋体" w:cs="宋体"/>
          <w:sz w:val="24"/>
        </w:rPr>
        <w:t xml:space="preserve">10 参加本项目人员一览表</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参加本项目人员一览表</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项目编号： </w:t>
      </w:r>
      <w:r/>
    </w:p>
    <w:tbl>
      <w:tblPr>
        <w:tblW w:w="9269"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责任</w:t>
            </w:r>
            <w:r/>
          </w:p>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项目经历或主要工作</w:t>
            </w:r>
            <w:r/>
          </w:p>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业绩</w:t>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bl>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注：参加本项目人员须是投标人正式职工。</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投标人名称（加盖公章）：    ____________</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日期：_____年______月______日   </w:t>
      </w:r>
      <w:bookmarkStart w:id="518" w:name="_Toc288738397"/>
      <w:r/>
      <w:bookmarkStart w:id="519" w:name="_Toc288738839"/>
      <w:r/>
      <w:r/>
    </w:p>
    <w:p>
      <w:pPr>
        <w:ind w:left="228" w:hanging="228"/>
        <w:spacing w:line="360" w:lineRule="auto"/>
        <w:rPr>
          <w:rFonts w:hint="eastAsia" w:ascii="宋体" w:hAnsi="宋体" w:eastAsia="宋体" w:cs="宋体"/>
          <w:sz w:val="24"/>
        </w:rPr>
        <w:outlineLvl w:val="2"/>
      </w:pPr>
      <w:r>
        <w:rPr>
          <w:rFonts w:hint="eastAsia" w:ascii="宋体" w:hAnsi="宋体" w:eastAsia="宋体" w:cs="宋体"/>
          <w:sz w:val="24"/>
        </w:rPr>
        <w:br w:type="page" w:clear="all"/>
      </w:r>
      <w:r>
        <w:rPr>
          <w:rFonts w:hint="eastAsia" w:ascii="宋体" w:hAnsi="宋体" w:eastAsia="宋体" w:cs="宋体"/>
          <w:sz w:val="24"/>
        </w:rPr>
        <w:t xml:space="preserve">11 相关业绩案例一览表</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相关业绩案例一览表</w:t>
      </w:r>
      <w:bookmarkEnd w:id="518"/>
      <w:r/>
      <w:bookmarkEnd w:id="519"/>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项目编号：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bl>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投标人名称（加盖公章）：    ____________</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日期：_____年______月______日   </w:t>
      </w:r>
      <w:r/>
    </w:p>
    <w:p>
      <w:pPr>
        <w:contextualSpacing/>
        <w:ind w:left="228" w:hanging="228"/>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r>
      <w:r/>
    </w:p>
    <w:p>
      <w:pPr>
        <w:ind w:left="228" w:hanging="228"/>
        <w:spacing w:line="360" w:lineRule="auto"/>
        <w:rPr>
          <w:rFonts w:hint="eastAsia" w:ascii="宋体" w:hAnsi="宋体" w:eastAsia="宋体" w:cs="宋体"/>
          <w:sz w:val="24"/>
        </w:rPr>
        <w:outlineLvl w:val="2"/>
      </w:pPr>
      <w:r>
        <w:rPr>
          <w:rFonts w:hint="eastAsia" w:ascii="宋体" w:hAnsi="宋体" w:eastAsia="宋体" w:cs="宋体"/>
          <w:sz w:val="24"/>
        </w:rPr>
        <w:t xml:space="preserve">12 招标文件要求提供或</w:t>
      </w:r>
      <w:bookmarkStart w:id="520" w:name="OLE_LINK3"/>
      <w:r>
        <w:rPr>
          <w:rFonts w:hint="eastAsia" w:ascii="宋体" w:hAnsi="宋体" w:eastAsia="宋体" w:cs="宋体"/>
          <w:sz w:val="24"/>
        </w:rPr>
        <w:t xml:space="preserve">投标人认为应附的其他材料</w:t>
      </w:r>
      <w:bookmarkEnd w:id="520"/>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ind w:left="228" w:hanging="228"/>
        <w:jc w:val="center"/>
        <w:spacing w:line="360" w:lineRule="auto"/>
        <w:rPr>
          <w:rFonts w:hint="eastAsia" w:ascii="宋体" w:hAnsi="宋体" w:eastAsia="宋体" w:cs="宋体"/>
          <w:sz w:val="24"/>
        </w:rPr>
        <w:outlineLvl w:val="2"/>
      </w:pPr>
      <w:r>
        <w:rPr>
          <w:rFonts w:hint="eastAsia" w:ascii="宋体" w:hAnsi="宋体" w:eastAsia="宋体" w:cs="宋体"/>
          <w:sz w:val="24"/>
        </w:rPr>
        <w:t xml:space="preserve">（全文完）</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楷体_GB2312">
    <w:panose1 w:val="02010609060101010101"/>
  </w:font>
  <w:font w:name="幼圆">
    <w:panose1 w:val="02010509060101010101"/>
  </w:font>
  <w:font w:name="黑体">
    <w:panose1 w:val="02010609060101010101"/>
  </w:font>
  <w:font w:name="仿宋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SimSun">
    <w:panose1 w:val="02010600030101010101"/>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52"/>
      <w:rPr/>
    </w:sdtPr>
    <w:sdtContent>
      <w:p>
        <w:pPr>
          <w:pStyle w:val="905"/>
          <w:jc w:val="center"/>
        </w:pPr>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38"/>
      <w:rPr/>
    </w:sdtPr>
    <w:sdtContent>
      <w:p>
        <w:pPr>
          <w:pStyle w:val="905"/>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 xml:space="preserve">1</w:t>
        </w:r>
        <w:r>
          <w:rPr>
            <w:rFonts w:asciiTheme="minorEastAsia" w:hAnsiTheme="minorEastAsia"/>
          </w:rPr>
          <w:fldChar w:fldCharType="end"/>
        </w:r>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center"/>
    </w:pPr>
    <w:r>
      <w:fldChar w:fldCharType="begin"/>
    </w:r>
    <w:r>
      <w:instrText xml:space="preserve"> PAGE   \* MERGEFORMAT </w:instrText>
    </w:r>
    <w:r>
      <w:fldChar w:fldCharType="separate"/>
    </w:r>
    <w:r>
      <w:rPr>
        <w:lang w:val="zh-CN"/>
      </w:rPr>
      <w:t xml:space="preserve">2</w:t>
    </w:r>
    <w:r>
      <w:rPr>
        <w:lang w:val="zh-CN"/>
      </w:rPr>
      <w:t xml:space="preserve">8</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right"/>
    </w:pPr>
    <w:r>
      <w:rPr>
        <w:rFonts w:hint="eastAsia"/>
      </w:rPr>
      <w:t xml:space="preserve">常州市政府采购项目公开招标文件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ind w:left="33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7">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8">
    <w:multiLevelType w:val="hybridMultilevel"/>
    <w:lvl w:ilvl="0">
      <w:start w:val="1"/>
      <w:numFmt w:val="japaneseCounting"/>
      <w:pStyle w:val="973"/>
      <w:isLgl w:val="false"/>
      <w:suff w:val="tab"/>
      <w:lvlText w:val="%1、"/>
      <w:lvlJc w:val="left"/>
      <w:pPr>
        <w:ind w:left="862" w:hanging="720"/>
        <w:tabs>
          <w:tab w:val="left" w:pos="862" w:leader="none"/>
        </w:tabs>
      </w:pPr>
    </w:lvl>
    <w:lvl w:ilvl="1">
      <w:start w:val="1"/>
      <w:numFmt w:val="chineseCountingThousand"/>
      <w:isLgl w:val="false"/>
      <w:suff w:val="tab"/>
      <w:lvlText w:val="（%2）"/>
      <w:lvlJc w:val="left"/>
      <w:pPr>
        <w:ind w:left="780" w:hanging="780"/>
        <w:tabs>
          <w:tab w:val="left" w:pos="78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8"/>
  </w:num>
  <w:num w:numId="2">
    <w:abstractNumId w:val="4"/>
  </w:num>
  <w:num w:numId="3">
    <w:abstractNumId w:val="7"/>
  </w:num>
  <w:num w:numId="4">
    <w:abstractNumId w:val="9"/>
  </w:num>
  <w:num w:numId="5">
    <w:abstractNumId w:val="6"/>
  </w:num>
  <w:num w:numId="6">
    <w:abstractNumId w:val="3"/>
  </w:num>
  <w:num w:numId="7">
    <w:abstractNumId w:val="1"/>
  </w:num>
  <w:num w:numId="8">
    <w:abstractNumId w:val="5"/>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5">
    <w:name w:val="Heading 1 Char"/>
    <w:basedOn w:val="895"/>
    <w:link w:val="891"/>
    <w:uiPriority w:val="9"/>
    <w:rPr>
      <w:rFonts w:ascii="Arial" w:hAnsi="Arial" w:eastAsia="Arial" w:cs="Arial"/>
      <w:sz w:val="40"/>
      <w:szCs w:val="40"/>
    </w:rPr>
  </w:style>
  <w:style w:type="character" w:styleId="726">
    <w:name w:val="Heading 2 Char"/>
    <w:basedOn w:val="895"/>
    <w:link w:val="892"/>
    <w:uiPriority w:val="9"/>
    <w:rPr>
      <w:rFonts w:ascii="Arial" w:hAnsi="Arial" w:eastAsia="Arial" w:cs="Arial"/>
      <w:sz w:val="34"/>
    </w:rPr>
  </w:style>
  <w:style w:type="character" w:styleId="727">
    <w:name w:val="Heading 4 Char"/>
    <w:basedOn w:val="895"/>
    <w:link w:val="894"/>
    <w:uiPriority w:val="9"/>
    <w:rPr>
      <w:rFonts w:ascii="Arial" w:hAnsi="Arial" w:eastAsia="Arial" w:cs="Arial"/>
      <w:b/>
      <w:bCs/>
      <w:sz w:val="26"/>
      <w:szCs w:val="26"/>
    </w:rPr>
  </w:style>
  <w:style w:type="paragraph" w:styleId="728">
    <w:name w:val="Heading 5"/>
    <w:basedOn w:val="890"/>
    <w:next w:val="890"/>
    <w:link w:val="729"/>
    <w:uiPriority w:val="9"/>
    <w:unhideWhenUsed/>
    <w:qFormat/>
    <w:pPr>
      <w:keepLines/>
      <w:keepNext/>
      <w:spacing w:before="320" w:after="200"/>
      <w:outlineLvl w:val="4"/>
    </w:pPr>
    <w:rPr>
      <w:rFonts w:ascii="Arial" w:hAnsi="Arial" w:eastAsia="Arial" w:cs="Arial"/>
      <w:b/>
      <w:bCs/>
      <w:sz w:val="24"/>
      <w:szCs w:val="24"/>
    </w:rPr>
  </w:style>
  <w:style w:type="character" w:styleId="729">
    <w:name w:val="Heading 5 Char"/>
    <w:basedOn w:val="895"/>
    <w:link w:val="728"/>
    <w:uiPriority w:val="9"/>
    <w:rPr>
      <w:rFonts w:ascii="Arial" w:hAnsi="Arial" w:eastAsia="Arial" w:cs="Arial"/>
      <w:b/>
      <w:bCs/>
      <w:sz w:val="24"/>
      <w:szCs w:val="24"/>
    </w:rPr>
  </w:style>
  <w:style w:type="paragraph" w:styleId="730">
    <w:name w:val="Heading 6"/>
    <w:basedOn w:val="890"/>
    <w:next w:val="890"/>
    <w:link w:val="731"/>
    <w:uiPriority w:val="9"/>
    <w:unhideWhenUsed/>
    <w:qFormat/>
    <w:pPr>
      <w:keepLines/>
      <w:keepNext/>
      <w:spacing w:before="320" w:after="200"/>
      <w:outlineLvl w:val="5"/>
    </w:pPr>
    <w:rPr>
      <w:rFonts w:ascii="Arial" w:hAnsi="Arial" w:eastAsia="Arial" w:cs="Arial"/>
      <w:b/>
      <w:bCs/>
      <w:sz w:val="22"/>
      <w:szCs w:val="22"/>
    </w:rPr>
  </w:style>
  <w:style w:type="character" w:styleId="731">
    <w:name w:val="Heading 6 Char"/>
    <w:basedOn w:val="895"/>
    <w:link w:val="730"/>
    <w:uiPriority w:val="9"/>
    <w:rPr>
      <w:rFonts w:ascii="Arial" w:hAnsi="Arial" w:eastAsia="Arial" w:cs="Arial"/>
      <w:b/>
      <w:bCs/>
      <w:sz w:val="22"/>
      <w:szCs w:val="22"/>
    </w:rPr>
  </w:style>
  <w:style w:type="paragraph" w:styleId="732">
    <w:name w:val="Heading 7"/>
    <w:basedOn w:val="890"/>
    <w:next w:val="890"/>
    <w:link w:val="733"/>
    <w:uiPriority w:val="9"/>
    <w:unhideWhenUsed/>
    <w:qFormat/>
    <w:pPr>
      <w:keepLines/>
      <w:keepNext/>
      <w:spacing w:before="320" w:after="200"/>
      <w:outlineLvl w:val="6"/>
    </w:pPr>
    <w:rPr>
      <w:rFonts w:ascii="Arial" w:hAnsi="Arial" w:eastAsia="Arial" w:cs="Arial"/>
      <w:b/>
      <w:bCs/>
      <w:i/>
      <w:iCs/>
      <w:sz w:val="22"/>
      <w:szCs w:val="22"/>
    </w:rPr>
  </w:style>
  <w:style w:type="character" w:styleId="733">
    <w:name w:val="Heading 7 Char"/>
    <w:basedOn w:val="895"/>
    <w:link w:val="732"/>
    <w:uiPriority w:val="9"/>
    <w:rPr>
      <w:rFonts w:ascii="Arial" w:hAnsi="Arial" w:eastAsia="Arial" w:cs="Arial"/>
      <w:b/>
      <w:bCs/>
      <w:i/>
      <w:iCs/>
      <w:sz w:val="22"/>
      <w:szCs w:val="22"/>
    </w:rPr>
  </w:style>
  <w:style w:type="paragraph" w:styleId="734">
    <w:name w:val="Heading 8"/>
    <w:basedOn w:val="890"/>
    <w:next w:val="890"/>
    <w:link w:val="735"/>
    <w:uiPriority w:val="9"/>
    <w:unhideWhenUsed/>
    <w:qFormat/>
    <w:pPr>
      <w:keepLines/>
      <w:keepNext/>
      <w:spacing w:before="320" w:after="200"/>
      <w:outlineLvl w:val="7"/>
    </w:pPr>
    <w:rPr>
      <w:rFonts w:ascii="Arial" w:hAnsi="Arial" w:eastAsia="Arial" w:cs="Arial"/>
      <w:i/>
      <w:iCs/>
      <w:sz w:val="22"/>
      <w:szCs w:val="22"/>
    </w:rPr>
  </w:style>
  <w:style w:type="character" w:styleId="735">
    <w:name w:val="Heading 8 Char"/>
    <w:basedOn w:val="895"/>
    <w:link w:val="734"/>
    <w:uiPriority w:val="9"/>
    <w:rPr>
      <w:rFonts w:ascii="Arial" w:hAnsi="Arial" w:eastAsia="Arial" w:cs="Arial"/>
      <w:i/>
      <w:iCs/>
      <w:sz w:val="22"/>
      <w:szCs w:val="22"/>
    </w:rPr>
  </w:style>
  <w:style w:type="paragraph" w:styleId="736">
    <w:name w:val="Heading 9"/>
    <w:basedOn w:val="890"/>
    <w:next w:val="890"/>
    <w:link w:val="737"/>
    <w:uiPriority w:val="9"/>
    <w:unhideWhenUsed/>
    <w:qFormat/>
    <w:pPr>
      <w:keepLines/>
      <w:keepNext/>
      <w:spacing w:before="320" w:after="200"/>
      <w:outlineLvl w:val="8"/>
    </w:pPr>
    <w:rPr>
      <w:rFonts w:ascii="Arial" w:hAnsi="Arial" w:eastAsia="Arial" w:cs="Arial"/>
      <w:i/>
      <w:iCs/>
      <w:sz w:val="21"/>
      <w:szCs w:val="21"/>
    </w:rPr>
  </w:style>
  <w:style w:type="character" w:styleId="737">
    <w:name w:val="Heading 9 Char"/>
    <w:basedOn w:val="895"/>
    <w:link w:val="736"/>
    <w:uiPriority w:val="9"/>
    <w:rPr>
      <w:rFonts w:ascii="Arial" w:hAnsi="Arial" w:eastAsia="Arial" w:cs="Arial"/>
      <w:i/>
      <w:iCs/>
      <w:sz w:val="21"/>
      <w:szCs w:val="21"/>
    </w:rPr>
  </w:style>
  <w:style w:type="paragraph" w:styleId="738">
    <w:name w:val="No Spacing"/>
    <w:uiPriority w:val="1"/>
    <w:qFormat/>
    <w:pPr>
      <w:spacing w:before="0" w:after="0" w:line="240" w:lineRule="auto"/>
    </w:pPr>
  </w:style>
  <w:style w:type="paragraph" w:styleId="739">
    <w:name w:val="Title"/>
    <w:basedOn w:val="890"/>
    <w:next w:val="890"/>
    <w:link w:val="740"/>
    <w:uiPriority w:val="10"/>
    <w:qFormat/>
    <w:pPr>
      <w:contextualSpacing/>
      <w:spacing w:before="300" w:after="200"/>
    </w:pPr>
    <w:rPr>
      <w:sz w:val="48"/>
      <w:szCs w:val="48"/>
    </w:rPr>
  </w:style>
  <w:style w:type="character" w:styleId="740">
    <w:name w:val="Title Char"/>
    <w:basedOn w:val="895"/>
    <w:link w:val="739"/>
    <w:uiPriority w:val="10"/>
    <w:rPr>
      <w:sz w:val="48"/>
      <w:szCs w:val="48"/>
    </w:rPr>
  </w:style>
  <w:style w:type="paragraph" w:styleId="741">
    <w:name w:val="Subtitle"/>
    <w:basedOn w:val="890"/>
    <w:next w:val="890"/>
    <w:link w:val="742"/>
    <w:uiPriority w:val="11"/>
    <w:qFormat/>
    <w:pPr>
      <w:spacing w:before="200" w:after="200"/>
    </w:pPr>
    <w:rPr>
      <w:sz w:val="24"/>
      <w:szCs w:val="24"/>
    </w:rPr>
  </w:style>
  <w:style w:type="character" w:styleId="742">
    <w:name w:val="Subtitle Char"/>
    <w:basedOn w:val="895"/>
    <w:link w:val="741"/>
    <w:uiPriority w:val="11"/>
    <w:rPr>
      <w:sz w:val="24"/>
      <w:szCs w:val="24"/>
    </w:rPr>
  </w:style>
  <w:style w:type="paragraph" w:styleId="743">
    <w:name w:val="Quote"/>
    <w:basedOn w:val="890"/>
    <w:next w:val="890"/>
    <w:link w:val="744"/>
    <w:uiPriority w:val="29"/>
    <w:qFormat/>
    <w:pPr>
      <w:ind w:left="720" w:right="720"/>
    </w:pPr>
    <w:rPr>
      <w:i/>
    </w:rPr>
  </w:style>
  <w:style w:type="character" w:styleId="744">
    <w:name w:val="Quote Char"/>
    <w:link w:val="743"/>
    <w:uiPriority w:val="29"/>
    <w:rPr>
      <w:i/>
    </w:rPr>
  </w:style>
  <w:style w:type="paragraph" w:styleId="745">
    <w:name w:val="Intense Quote"/>
    <w:basedOn w:val="890"/>
    <w:next w:val="890"/>
    <w:link w:val="7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6">
    <w:name w:val="Intense Quote Char"/>
    <w:link w:val="745"/>
    <w:uiPriority w:val="30"/>
    <w:rPr>
      <w:i/>
    </w:rPr>
  </w:style>
  <w:style w:type="character" w:styleId="747">
    <w:name w:val="Header Char"/>
    <w:basedOn w:val="895"/>
    <w:link w:val="907"/>
    <w:uiPriority w:val="99"/>
  </w:style>
  <w:style w:type="character" w:styleId="748">
    <w:name w:val="Footer Char"/>
    <w:basedOn w:val="895"/>
    <w:link w:val="905"/>
    <w:uiPriority w:val="99"/>
  </w:style>
  <w:style w:type="paragraph" w:styleId="749">
    <w:name w:val="Caption"/>
    <w:basedOn w:val="890"/>
    <w:next w:val="890"/>
    <w:uiPriority w:val="35"/>
    <w:semiHidden/>
    <w:unhideWhenUsed/>
    <w:qFormat/>
    <w:pPr>
      <w:spacing w:line="276" w:lineRule="auto"/>
    </w:pPr>
    <w:rPr>
      <w:b/>
      <w:bCs/>
      <w:color w:val="4f81bd" w:themeColor="accent1"/>
      <w:sz w:val="18"/>
      <w:szCs w:val="18"/>
    </w:rPr>
  </w:style>
  <w:style w:type="character" w:styleId="750">
    <w:name w:val="Caption Char"/>
    <w:basedOn w:val="749"/>
    <w:link w:val="905"/>
    <w:uiPriority w:val="99"/>
  </w:style>
  <w:style w:type="table" w:styleId="751">
    <w:name w:val="Table Grid Light"/>
    <w:basedOn w:val="8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2">
    <w:name w:val="Plain Table 1"/>
    <w:basedOn w:val="8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2"/>
    <w:basedOn w:val="8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3"/>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name w:val="Plain Table 4"/>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name w:val="Plain Table 5"/>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7">
    <w:name w:val="Grid Table 1 Light"/>
    <w:basedOn w:val="8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8">
    <w:name w:val="Grid Table 1 Light - Accent 1"/>
    <w:basedOn w:val="8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9">
    <w:name w:val="Grid Table 1 Light - Accent 2"/>
    <w:basedOn w:val="8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0">
    <w:name w:val="Grid Table 1 Light - Accent 3"/>
    <w:basedOn w:val="8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1">
    <w:name w:val="Grid Table 1 Light - Accent 4"/>
    <w:basedOn w:val="8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2">
    <w:name w:val="Grid Table 1 Light - Accent 5"/>
    <w:basedOn w:val="8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3">
    <w:name w:val="Grid Table 1 Light - Accent 6"/>
    <w:basedOn w:val="8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4">
    <w:name w:val="Grid Table 2"/>
    <w:basedOn w:val="8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5">
    <w:name w:val="Grid Table 2 - Accent 1"/>
    <w:basedOn w:val="8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6">
    <w:name w:val="Grid Table 2 - Accent 2"/>
    <w:basedOn w:val="8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7">
    <w:name w:val="Grid Table 2 - Accent 3"/>
    <w:basedOn w:val="8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8">
    <w:name w:val="Grid Table 2 - Accent 4"/>
    <w:basedOn w:val="8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9">
    <w:name w:val="Grid Table 2 - Accent 5"/>
    <w:basedOn w:val="8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0">
    <w:name w:val="Grid Table 2 - Accent 6"/>
    <w:basedOn w:val="8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1">
    <w:name w:val="Grid Table 3"/>
    <w:basedOn w:val="8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1"/>
    <w:basedOn w:val="8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2"/>
    <w:basedOn w:val="8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3"/>
    <w:basedOn w:val="8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4"/>
    <w:basedOn w:val="8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5"/>
    <w:basedOn w:val="8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6"/>
    <w:basedOn w:val="8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4"/>
    <w:basedOn w:val="8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name w:val="Grid Table 4 - Accent 1"/>
    <w:basedOn w:val="89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0">
    <w:name w:val="Grid Table 4 - Accent 2"/>
    <w:basedOn w:val="89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1">
    <w:name w:val="Grid Table 4 - Accent 3"/>
    <w:basedOn w:val="89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2">
    <w:name w:val="Grid Table 4 - Accent 4"/>
    <w:basedOn w:val="89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3">
    <w:name w:val="Grid Table 4 - Accent 5"/>
    <w:basedOn w:val="89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4">
    <w:name w:val="Grid Table 4 - Accent 6"/>
    <w:basedOn w:val="89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5">
    <w:name w:val="Grid Table 5 Dark"/>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6">
    <w:name w:val="Grid Table 5 Dark- Accent 1"/>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7">
    <w:name w:val="Grid Table 5 Dark - Accent 2"/>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8">
    <w:name w:val="Grid Table 5 Dark - Accent 3"/>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9">
    <w:name w:val="Grid Table 5 Dark- Accent 4"/>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0">
    <w:name w:val="Grid Table 5 Dark - Accent 5"/>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1">
    <w:name w:val="Grid Table 5 Dark - Accent 6"/>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2">
    <w:name w:val="Grid Table 6 Colorful"/>
    <w:basedOn w:val="8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3">
    <w:name w:val="Grid Table 6 Colorful - Accent 1"/>
    <w:basedOn w:val="89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4">
    <w:name w:val="Grid Table 6 Colorful - Accent 2"/>
    <w:basedOn w:val="8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5">
    <w:name w:val="Grid Table 6 Colorful - Accent 3"/>
    <w:basedOn w:val="89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6">
    <w:name w:val="Grid Table 6 Colorful - Accent 4"/>
    <w:basedOn w:val="8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7">
    <w:name w:val="Grid Table 6 Colorful - Accent 5"/>
    <w:basedOn w:val="89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8">
    <w:name w:val="Grid Table 6 Colorful - Accent 6"/>
    <w:basedOn w:val="89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9">
    <w:name w:val="Grid Table 7 Colorful"/>
    <w:basedOn w:val="8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0">
    <w:name w:val="Grid Table 7 Colorful - Accent 1"/>
    <w:basedOn w:val="89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1">
    <w:name w:val="Grid Table 7 Colorful - Accent 2"/>
    <w:basedOn w:val="89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2">
    <w:name w:val="Grid Table 7 Colorful - Accent 3"/>
    <w:basedOn w:val="89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3">
    <w:name w:val="Grid Table 7 Colorful - Accent 4"/>
    <w:basedOn w:val="89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4">
    <w:name w:val="Grid Table 7 Colorful - Accent 5"/>
    <w:basedOn w:val="89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5">
    <w:name w:val="Grid Table 7 Colorful - Accent 6"/>
    <w:basedOn w:val="89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6">
    <w:name w:val="List Table 1 Light"/>
    <w:basedOn w:val="8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name w:val="List Table 1 Light - Accent 1"/>
    <w:basedOn w:val="89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8">
    <w:name w:val="List Table 1 Light - Accent 2"/>
    <w:basedOn w:val="89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9">
    <w:name w:val="List Table 1 Light - Accent 3"/>
    <w:basedOn w:val="89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0">
    <w:name w:val="List Table 1 Light - Accent 4"/>
    <w:basedOn w:val="89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1">
    <w:name w:val="List Table 1 Light - Accent 5"/>
    <w:basedOn w:val="89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2">
    <w:name w:val="List Table 1 Light - Accent 6"/>
    <w:basedOn w:val="89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3">
    <w:name w:val="List Table 2"/>
    <w:basedOn w:val="8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4">
    <w:name w:val="List Table 2 - Accent 1"/>
    <w:basedOn w:val="89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5">
    <w:name w:val="List Table 2 - Accent 2"/>
    <w:basedOn w:val="89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6">
    <w:name w:val="List Table 2 - Accent 3"/>
    <w:basedOn w:val="89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7">
    <w:name w:val="List Table 2 - Accent 4"/>
    <w:basedOn w:val="89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8">
    <w:name w:val="List Table 2 - Accent 5"/>
    <w:basedOn w:val="89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9">
    <w:name w:val="List Table 2 - Accent 6"/>
    <w:basedOn w:val="89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0">
    <w:name w:val="List Table 3"/>
    <w:basedOn w:val="8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3 - Accent 1"/>
    <w:basedOn w:val="89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2">
    <w:name w:val="List Table 3 - Accent 2"/>
    <w:basedOn w:val="8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3">
    <w:name w:val="List Table 3 - Accent 3"/>
    <w:basedOn w:val="89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4">
    <w:name w:val="List Table 3 - Accent 4"/>
    <w:basedOn w:val="8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5">
    <w:name w:val="List Table 3 - Accent 5"/>
    <w:basedOn w:val="89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6">
    <w:name w:val="List Table 3 - Accent 6"/>
    <w:basedOn w:val="89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7">
    <w:name w:val="List Table 4"/>
    <w:basedOn w:val="8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4 - Accent 1"/>
    <w:basedOn w:val="89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9">
    <w:name w:val="List Table 4 - Accent 2"/>
    <w:basedOn w:val="89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0">
    <w:name w:val="List Table 4 - Accent 3"/>
    <w:basedOn w:val="89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1">
    <w:name w:val="List Table 4 - Accent 4"/>
    <w:basedOn w:val="89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2">
    <w:name w:val="List Table 4 - Accent 5"/>
    <w:basedOn w:val="89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3">
    <w:name w:val="List Table 4 - Accent 6"/>
    <w:basedOn w:val="89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4">
    <w:name w:val="List Table 5 Dark"/>
    <w:basedOn w:val="8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1"/>
    <w:basedOn w:val="89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2"/>
    <w:basedOn w:val="89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3"/>
    <w:basedOn w:val="89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4"/>
    <w:basedOn w:val="89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5"/>
    <w:basedOn w:val="89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6"/>
    <w:basedOn w:val="89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6 Colorful"/>
    <w:basedOn w:val="8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2">
    <w:name w:val="List Table 6 Colorful - Accent 1"/>
    <w:basedOn w:val="89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3">
    <w:name w:val="List Table 6 Colorful - Accent 2"/>
    <w:basedOn w:val="89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4">
    <w:name w:val="List Table 6 Colorful - Accent 3"/>
    <w:basedOn w:val="89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5">
    <w:name w:val="List Table 6 Colorful - Accent 4"/>
    <w:basedOn w:val="89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6">
    <w:name w:val="List Table 6 Colorful - Accent 5"/>
    <w:basedOn w:val="89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7">
    <w:name w:val="List Table 6 Colorful - Accent 6"/>
    <w:basedOn w:val="89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8">
    <w:name w:val="List Table 7 Colorful"/>
    <w:basedOn w:val="8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9">
    <w:name w:val="List Table 7 Colorful - Accent 1"/>
    <w:basedOn w:val="89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0">
    <w:name w:val="List Table 7 Colorful - Accent 2"/>
    <w:basedOn w:val="89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1">
    <w:name w:val="List Table 7 Colorful - Accent 3"/>
    <w:basedOn w:val="89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2">
    <w:name w:val="List Table 7 Colorful - Accent 4"/>
    <w:basedOn w:val="89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3">
    <w:name w:val="List Table 7 Colorful - Accent 5"/>
    <w:basedOn w:val="89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4">
    <w:name w:val="List Table 7 Colorful - Accent 6"/>
    <w:basedOn w:val="89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5">
    <w:name w:val="Lined - Accent"/>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6">
    <w:name w:val="Lined - Accent 1"/>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7">
    <w:name w:val="Lined - Accent 2"/>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8">
    <w:name w:val="Lined - Accent 3"/>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9">
    <w:name w:val="Lined - Accent 4"/>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0">
    <w:name w:val="Lined - Accent 5"/>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1">
    <w:name w:val="Lined - Accent 6"/>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2">
    <w:name w:val="Bordered &amp; Lined - Accent"/>
    <w:basedOn w:val="89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3">
    <w:name w:val="Bordered &amp; Lined - Accent 1"/>
    <w:basedOn w:val="89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4">
    <w:name w:val="Bordered &amp; Lined - Accent 2"/>
    <w:basedOn w:val="89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5">
    <w:name w:val="Bordered &amp; Lined - Accent 3"/>
    <w:basedOn w:val="89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6">
    <w:name w:val="Bordered &amp; Lined - Accent 4"/>
    <w:basedOn w:val="89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7">
    <w:name w:val="Bordered &amp; Lined - Accent 5"/>
    <w:basedOn w:val="89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8">
    <w:name w:val="Bordered &amp; Lined - Accent 6"/>
    <w:basedOn w:val="89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9">
    <w:name w:val="Bordered"/>
    <w:basedOn w:val="89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0">
    <w:name w:val="Bordered - Accent 1"/>
    <w:basedOn w:val="8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1">
    <w:name w:val="Bordered - Accent 2"/>
    <w:basedOn w:val="8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2">
    <w:name w:val="Bordered - Accent 3"/>
    <w:basedOn w:val="8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3">
    <w:name w:val="Bordered - Accent 4"/>
    <w:basedOn w:val="8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4">
    <w:name w:val="Bordered - Accent 5"/>
    <w:basedOn w:val="8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5">
    <w:name w:val="Bordered - Accent 6"/>
    <w:basedOn w:val="8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6">
    <w:name w:val="footnote text"/>
    <w:basedOn w:val="890"/>
    <w:link w:val="877"/>
    <w:uiPriority w:val="99"/>
    <w:semiHidden/>
    <w:unhideWhenUsed/>
    <w:pPr>
      <w:spacing w:after="40" w:line="240" w:lineRule="auto"/>
    </w:pPr>
    <w:rPr>
      <w:sz w:val="18"/>
    </w:rPr>
  </w:style>
  <w:style w:type="character" w:styleId="877">
    <w:name w:val="Footnote Text Char"/>
    <w:link w:val="876"/>
    <w:uiPriority w:val="99"/>
    <w:rPr>
      <w:sz w:val="18"/>
    </w:rPr>
  </w:style>
  <w:style w:type="character" w:styleId="878">
    <w:name w:val="footnote reference"/>
    <w:basedOn w:val="895"/>
    <w:uiPriority w:val="99"/>
    <w:unhideWhenUsed/>
    <w:rPr>
      <w:vertAlign w:val="superscript"/>
    </w:rPr>
  </w:style>
  <w:style w:type="paragraph" w:styleId="879">
    <w:name w:val="endnote text"/>
    <w:basedOn w:val="890"/>
    <w:link w:val="880"/>
    <w:uiPriority w:val="99"/>
    <w:semiHidden/>
    <w:unhideWhenUsed/>
    <w:pPr>
      <w:spacing w:after="0" w:line="240" w:lineRule="auto"/>
    </w:pPr>
    <w:rPr>
      <w:sz w:val="20"/>
    </w:rPr>
  </w:style>
  <w:style w:type="character" w:styleId="880">
    <w:name w:val="Endnote Text Char"/>
    <w:link w:val="879"/>
    <w:uiPriority w:val="99"/>
    <w:rPr>
      <w:sz w:val="20"/>
    </w:rPr>
  </w:style>
  <w:style w:type="character" w:styleId="881">
    <w:name w:val="endnote reference"/>
    <w:basedOn w:val="895"/>
    <w:uiPriority w:val="99"/>
    <w:semiHidden/>
    <w:unhideWhenUsed/>
    <w:rPr>
      <w:vertAlign w:val="superscript"/>
    </w:rPr>
  </w:style>
  <w:style w:type="paragraph" w:styleId="882">
    <w:name w:val="toc 3"/>
    <w:basedOn w:val="890"/>
    <w:next w:val="890"/>
    <w:uiPriority w:val="39"/>
    <w:unhideWhenUsed/>
    <w:pPr>
      <w:ind w:left="567" w:right="0" w:firstLine="0"/>
      <w:spacing w:after="57"/>
    </w:pPr>
  </w:style>
  <w:style w:type="paragraph" w:styleId="883">
    <w:name w:val="toc 5"/>
    <w:basedOn w:val="890"/>
    <w:next w:val="890"/>
    <w:uiPriority w:val="39"/>
    <w:unhideWhenUsed/>
    <w:pPr>
      <w:ind w:left="1134" w:right="0" w:firstLine="0"/>
      <w:spacing w:after="57"/>
    </w:pPr>
  </w:style>
  <w:style w:type="paragraph" w:styleId="884">
    <w:name w:val="toc 6"/>
    <w:basedOn w:val="890"/>
    <w:next w:val="890"/>
    <w:uiPriority w:val="39"/>
    <w:unhideWhenUsed/>
    <w:pPr>
      <w:ind w:left="1417" w:right="0" w:firstLine="0"/>
      <w:spacing w:after="57"/>
    </w:pPr>
  </w:style>
  <w:style w:type="paragraph" w:styleId="885">
    <w:name w:val="toc 7"/>
    <w:basedOn w:val="890"/>
    <w:next w:val="890"/>
    <w:uiPriority w:val="39"/>
    <w:unhideWhenUsed/>
    <w:pPr>
      <w:ind w:left="1701" w:right="0" w:firstLine="0"/>
      <w:spacing w:after="57"/>
    </w:pPr>
  </w:style>
  <w:style w:type="paragraph" w:styleId="886">
    <w:name w:val="toc 8"/>
    <w:basedOn w:val="890"/>
    <w:next w:val="890"/>
    <w:uiPriority w:val="39"/>
    <w:unhideWhenUsed/>
    <w:pPr>
      <w:ind w:left="1984" w:right="0" w:firstLine="0"/>
      <w:spacing w:after="57"/>
    </w:pPr>
  </w:style>
  <w:style w:type="paragraph" w:styleId="887">
    <w:name w:val="toc 9"/>
    <w:basedOn w:val="890"/>
    <w:next w:val="890"/>
    <w:uiPriority w:val="39"/>
    <w:unhideWhenUsed/>
    <w:pPr>
      <w:ind w:left="2268" w:right="0" w:firstLine="0"/>
      <w:spacing w:after="57"/>
    </w:pPr>
  </w:style>
  <w:style w:type="paragraph" w:styleId="888">
    <w:name w:val="TOC Heading"/>
    <w:uiPriority w:val="39"/>
    <w:unhideWhenUsed/>
  </w:style>
  <w:style w:type="paragraph" w:styleId="889">
    <w:name w:val="table of figures"/>
    <w:basedOn w:val="890"/>
    <w:next w:val="890"/>
    <w:uiPriority w:val="99"/>
    <w:unhideWhenUsed/>
    <w:pPr>
      <w:spacing w:after="0" w:afterAutospacing="0"/>
    </w:pPr>
  </w:style>
  <w:style w:type="paragraph" w:styleId="890" w:default="1">
    <w:name w:val="Normal"/>
    <w:qFormat/>
    <w:pPr>
      <w:jc w:val="both"/>
      <w:widowControl w:val="off"/>
    </w:pPr>
    <w:rPr>
      <w:rFonts w:asciiTheme="minorHAnsi" w:hAnsiTheme="minorHAnsi" w:eastAsiaTheme="minorEastAsia" w:cstheme="minorBidi"/>
      <w:sz w:val="21"/>
      <w:szCs w:val="22"/>
    </w:rPr>
  </w:style>
  <w:style w:type="paragraph" w:styleId="891">
    <w:name w:val="Heading 1"/>
    <w:basedOn w:val="890"/>
    <w:next w:val="890"/>
    <w:link w:val="926"/>
    <w:uiPriority w:val="9"/>
    <w:qFormat/>
    <w:pPr>
      <w:jc w:val="center"/>
      <w:spacing w:line="360" w:lineRule="auto"/>
      <w:outlineLvl w:val="0"/>
    </w:pPr>
    <w:rPr>
      <w:b/>
      <w:sz w:val="36"/>
      <w:szCs w:val="36"/>
    </w:rPr>
  </w:style>
  <w:style w:type="paragraph" w:styleId="892">
    <w:name w:val="Heading 2"/>
    <w:basedOn w:val="890"/>
    <w:next w:val="890"/>
    <w:link w:val="929"/>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93">
    <w:name w:val="Heading 3"/>
    <w:basedOn w:val="890"/>
    <w:next w:val="890"/>
    <w:link w:val="937"/>
    <w:uiPriority w:val="9"/>
    <w:semiHidden/>
    <w:unhideWhenUsed/>
    <w:qFormat/>
    <w:pPr>
      <w:keepLines/>
      <w:keepNext/>
      <w:spacing w:before="260" w:after="260" w:line="416" w:lineRule="auto"/>
      <w:outlineLvl w:val="2"/>
    </w:pPr>
    <w:rPr>
      <w:b/>
      <w:bCs/>
      <w:sz w:val="32"/>
      <w:szCs w:val="32"/>
    </w:rPr>
  </w:style>
  <w:style w:type="paragraph" w:styleId="894">
    <w:name w:val="Heading 4"/>
    <w:basedOn w:val="890"/>
    <w:next w:val="890"/>
    <w:link w:val="972"/>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character" w:styleId="895" w:default="1">
    <w:name w:val="Default Paragraph Font"/>
    <w:uiPriority w:val="1"/>
    <w:semiHidden/>
    <w:unhideWhenUsed/>
  </w:style>
  <w:style w:type="table" w:styleId="896" w:default="1">
    <w:name w:val="Normal Table"/>
    <w:uiPriority w:val="99"/>
    <w:semiHidden/>
    <w:unhideWhenUsed/>
    <w:tblPr>
      <w:tblInd w:w="0" w:type="dxa"/>
      <w:tblCellMar>
        <w:left w:w="108" w:type="dxa"/>
        <w:top w:w="0" w:type="dxa"/>
        <w:right w:w="108" w:type="dxa"/>
        <w:bottom w:w="0" w:type="dxa"/>
      </w:tblCellMar>
    </w:tblPr>
  </w:style>
  <w:style w:type="numbering" w:styleId="897" w:default="1">
    <w:name w:val="No List"/>
    <w:uiPriority w:val="99"/>
    <w:semiHidden/>
    <w:unhideWhenUsed/>
  </w:style>
  <w:style w:type="paragraph" w:styleId="898">
    <w:name w:val="Normal Indent"/>
    <w:basedOn w:val="890"/>
    <w:next w:val="890"/>
    <w:link w:val="938"/>
    <w:uiPriority w:val="99"/>
    <w:qFormat/>
    <w:pPr>
      <w:ind w:firstLine="420"/>
      <w:jc w:val="left"/>
    </w:pPr>
    <w:rPr>
      <w:rFonts w:ascii="宋体" w:hAnsi="Times New Roman" w:eastAsia="宋体" w:cs="Times New Roman"/>
      <w:sz w:val="24"/>
      <w:szCs w:val="24"/>
    </w:rPr>
  </w:style>
  <w:style w:type="paragraph" w:styleId="899">
    <w:name w:val="Document Map"/>
    <w:basedOn w:val="890"/>
    <w:link w:val="945"/>
    <w:uiPriority w:val="99"/>
    <w:semiHidden/>
    <w:unhideWhenUsed/>
    <w:qFormat/>
    <w:rPr>
      <w:rFonts w:ascii="宋体" w:eastAsia="宋体"/>
      <w:sz w:val="18"/>
      <w:szCs w:val="18"/>
    </w:rPr>
  </w:style>
  <w:style w:type="paragraph" w:styleId="900">
    <w:name w:val="annotation text"/>
    <w:basedOn w:val="890"/>
    <w:link w:val="933"/>
    <w:qFormat/>
    <w:pPr>
      <w:jc w:val="left"/>
    </w:pPr>
    <w:rPr>
      <w:rFonts w:ascii="Times New Roman" w:hAnsi="Times New Roman" w:eastAsia="宋体" w:cs="Times New Roman"/>
      <w:szCs w:val="24"/>
    </w:rPr>
  </w:style>
  <w:style w:type="paragraph" w:styleId="901">
    <w:name w:val="Body Text"/>
    <w:basedOn w:val="890"/>
    <w:next w:val="890"/>
    <w:link w:val="928"/>
    <w:qFormat/>
    <w:pPr>
      <w:spacing w:before="120" w:line="22" w:lineRule="atLeast"/>
      <w:tabs>
        <w:tab w:val="left" w:pos="567" w:leader="none"/>
      </w:tabs>
    </w:pPr>
    <w:rPr>
      <w:rFonts w:ascii="宋体" w:hAnsi="宋体" w:eastAsia="宋体" w:cs="Times New Roman"/>
      <w:sz w:val="24"/>
      <w:szCs w:val="24"/>
    </w:rPr>
  </w:style>
  <w:style w:type="paragraph" w:styleId="902">
    <w:name w:val="Body Text Indent"/>
    <w:basedOn w:val="890"/>
    <w:unhideWhenUsed/>
    <w:qFormat/>
    <w:pPr>
      <w:ind w:left="420"/>
      <w:spacing w:after="120"/>
    </w:pPr>
    <w:rPr>
      <w:rFonts w:eastAsia="Calibri"/>
      <w:sz w:val="20"/>
      <w:szCs w:val="20"/>
      <w:lang w:val="zh-CN"/>
    </w:rPr>
  </w:style>
  <w:style w:type="paragraph" w:styleId="903">
    <w:name w:val="Plain Text"/>
    <w:basedOn w:val="890"/>
    <w:link w:val="930"/>
    <w:qFormat/>
    <w:rPr>
      <w:rFonts w:hint="eastAsia" w:ascii="宋体" w:hAnsi="Courier New" w:eastAsia="宋体" w:cs="Times New Roman"/>
      <w:szCs w:val="20"/>
    </w:rPr>
  </w:style>
  <w:style w:type="paragraph" w:styleId="904">
    <w:name w:val="Balloon Text"/>
    <w:basedOn w:val="890"/>
    <w:link w:val="934"/>
    <w:uiPriority w:val="99"/>
    <w:semiHidden/>
    <w:unhideWhenUsed/>
    <w:qFormat/>
    <w:rPr>
      <w:sz w:val="18"/>
      <w:szCs w:val="18"/>
    </w:rPr>
  </w:style>
  <w:style w:type="paragraph" w:styleId="905">
    <w:name w:val="Footer"/>
    <w:basedOn w:val="890"/>
    <w:link w:val="925"/>
    <w:uiPriority w:val="99"/>
    <w:unhideWhenUsed/>
    <w:qFormat/>
    <w:pPr>
      <w:jc w:val="left"/>
      <w:tabs>
        <w:tab w:val="center" w:pos="4153" w:leader="none"/>
        <w:tab w:val="right" w:pos="8306" w:leader="none"/>
      </w:tabs>
    </w:pPr>
    <w:rPr>
      <w:sz w:val="18"/>
      <w:szCs w:val="18"/>
    </w:rPr>
  </w:style>
  <w:style w:type="paragraph" w:styleId="906">
    <w:name w:val="envelope return"/>
    <w:basedOn w:val="890"/>
    <w:qFormat/>
    <w:rPr>
      <w:rFonts w:ascii="Arial" w:hAnsi="Arial"/>
      <w:szCs w:val="24"/>
    </w:rPr>
  </w:style>
  <w:style w:type="paragraph" w:styleId="907">
    <w:name w:val="Header"/>
    <w:basedOn w:val="890"/>
    <w:link w:val="92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08">
    <w:name w:val="toc 1"/>
    <w:basedOn w:val="890"/>
    <w:next w:val="890"/>
    <w:uiPriority w:val="39"/>
    <w:unhideWhenUsed/>
    <w:qFormat/>
    <w:rPr>
      <w:rFonts w:ascii="宋体" w:hAnsi="宋体" w:eastAsia="宋体" w:cs="宋体"/>
      <w:b/>
      <w:sz w:val="32"/>
    </w:rPr>
  </w:style>
  <w:style w:type="paragraph" w:styleId="909">
    <w:name w:val="toc 4"/>
    <w:basedOn w:val="890"/>
    <w:next w:val="890"/>
    <w:uiPriority w:val="39"/>
    <w:semiHidden/>
    <w:unhideWhenUsed/>
    <w:qFormat/>
    <w:pPr>
      <w:ind w:left="1260"/>
    </w:pPr>
  </w:style>
  <w:style w:type="paragraph" w:styleId="910">
    <w:name w:val="toc 2"/>
    <w:basedOn w:val="890"/>
    <w:next w:val="890"/>
    <w:uiPriority w:val="39"/>
    <w:qFormat/>
    <w:pPr>
      <w:ind w:left="420"/>
    </w:pPr>
  </w:style>
  <w:style w:type="paragraph" w:styleId="911">
    <w:name w:val="Normal (Web)"/>
    <w:basedOn w:val="890"/>
    <w:link w:val="944"/>
    <w:uiPriority w:val="99"/>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912">
    <w:name w:val="annotation subject"/>
    <w:basedOn w:val="900"/>
    <w:next w:val="900"/>
    <w:link w:val="946"/>
    <w:uiPriority w:val="99"/>
    <w:unhideWhenUsed/>
    <w:qFormat/>
    <w:rPr>
      <w:rFonts w:asciiTheme="minorHAnsi" w:hAnsiTheme="minorHAnsi" w:eastAsiaTheme="minorEastAsia" w:cstheme="minorBidi"/>
      <w:b/>
      <w:bCs/>
      <w:szCs w:val="22"/>
    </w:rPr>
  </w:style>
  <w:style w:type="paragraph" w:styleId="913">
    <w:name w:val="Body Text First Indent 2"/>
    <w:basedOn w:val="902"/>
    <w:next w:val="890"/>
    <w:uiPriority w:val="99"/>
    <w:qFormat/>
    <w:pPr>
      <w:ind w:firstLine="420"/>
    </w:pPr>
    <w:rPr>
      <w:sz w:val="24"/>
    </w:rPr>
  </w:style>
  <w:style w:type="table" w:styleId="914">
    <w:name w:val="Table Grid"/>
    <w:basedOn w:val="896"/>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915">
    <w:name w:val="Strong"/>
    <w:basedOn w:val="895"/>
    <w:uiPriority w:val="22"/>
    <w:qFormat/>
    <w:rPr>
      <w:rFonts w:ascii="Times New Roman" w:hAnsi="Times New Roman" w:eastAsia="宋体" w:cs="Times New Roman"/>
      <w:b/>
    </w:rPr>
  </w:style>
  <w:style w:type="character" w:styleId="916">
    <w:name w:val="FollowedHyperlink"/>
    <w:basedOn w:val="895"/>
    <w:qFormat/>
    <w:rPr>
      <w:color w:val="800080"/>
      <w:u w:val="single"/>
    </w:rPr>
  </w:style>
  <w:style w:type="character" w:styleId="917">
    <w:name w:val="Emphasis"/>
    <w:basedOn w:val="895"/>
    <w:uiPriority w:val="20"/>
    <w:qFormat/>
    <w:rPr>
      <w:i/>
      <w:iCs/>
    </w:rPr>
  </w:style>
  <w:style w:type="character" w:styleId="918">
    <w:name w:val="Hyperlink"/>
    <w:uiPriority w:val="99"/>
    <w:qFormat/>
    <w:rPr>
      <w:color w:val="0000ff"/>
      <w:u w:val="single"/>
    </w:rPr>
  </w:style>
  <w:style w:type="character" w:styleId="919">
    <w:name w:val="annotation reference"/>
    <w:basedOn w:val="895"/>
    <w:qFormat/>
    <w:rPr>
      <w:sz w:val="21"/>
      <w:szCs w:val="21"/>
    </w:rPr>
  </w:style>
  <w:style w:type="paragraph" w:styleId="920" w:customStyle="1">
    <w:name w:val="段"/>
    <w:next w:val="890"/>
    <w:qFormat/>
    <w:pPr>
      <w:ind w:firstLine="200"/>
      <w:jc w:val="both"/>
    </w:pPr>
    <w:rPr>
      <w:rFonts w:ascii="宋体" w:hAnsi="Calibri"/>
      <w:sz w:val="21"/>
      <w:szCs w:val="22"/>
    </w:rPr>
  </w:style>
  <w:style w:type="paragraph" w:styleId="921" w:customStyle="1">
    <w:name w:val="正文首行缩进 21"/>
    <w:basedOn w:val="922"/>
    <w:qFormat/>
    <w:pPr>
      <w:ind w:left="420" w:firstLine="420"/>
      <w:spacing w:after="120" w:line="480" w:lineRule="exact"/>
    </w:pPr>
    <w:rPr>
      <w:szCs w:val="20"/>
    </w:rPr>
  </w:style>
  <w:style w:type="paragraph" w:styleId="922" w:customStyle="1">
    <w:name w:val="正文文本缩进11"/>
    <w:basedOn w:val="890"/>
    <w:next w:val="890"/>
    <w:qFormat/>
    <w:pPr>
      <w:ind w:firstLine="570"/>
      <w:spacing w:line="360" w:lineRule="auto"/>
    </w:pPr>
    <w:rPr>
      <w:sz w:val="24"/>
    </w:rPr>
  </w:style>
  <w:style w:type="paragraph" w:styleId="923" w:customStyle="1">
    <w:name w:val="Default"/>
    <w:qFormat/>
    <w:pPr>
      <w:widowControl w:val="off"/>
    </w:pPr>
    <w:rPr>
      <w:rFonts w:ascii="宋体" w:cs="宋体" w:hAnsiTheme="minorHAnsi"/>
      <w:color w:val="000000"/>
      <w:sz w:val="24"/>
      <w:szCs w:val="24"/>
    </w:rPr>
  </w:style>
  <w:style w:type="character" w:styleId="924" w:customStyle="1">
    <w:name w:val="页眉 字符"/>
    <w:basedOn w:val="895"/>
    <w:link w:val="907"/>
    <w:uiPriority w:val="99"/>
    <w:qFormat/>
    <w:rPr>
      <w:sz w:val="18"/>
      <w:szCs w:val="18"/>
    </w:rPr>
  </w:style>
  <w:style w:type="character" w:styleId="925" w:customStyle="1">
    <w:name w:val="页脚 字符"/>
    <w:basedOn w:val="895"/>
    <w:link w:val="905"/>
    <w:uiPriority w:val="99"/>
    <w:qFormat/>
    <w:rPr>
      <w:sz w:val="18"/>
      <w:szCs w:val="18"/>
    </w:rPr>
  </w:style>
  <w:style w:type="character" w:styleId="926" w:customStyle="1">
    <w:name w:val="标题 1 字符1"/>
    <w:basedOn w:val="895"/>
    <w:link w:val="891"/>
    <w:uiPriority w:val="9"/>
    <w:qFormat/>
    <w:rPr>
      <w:b/>
      <w:sz w:val="36"/>
      <w:szCs w:val="36"/>
    </w:rPr>
  </w:style>
  <w:style w:type="character" w:styleId="927" w:customStyle="1">
    <w:name w:val="NormalCharacter"/>
    <w:basedOn w:val="895"/>
    <w:uiPriority w:val="99"/>
    <w:qFormat/>
  </w:style>
  <w:style w:type="character" w:styleId="928" w:customStyle="1">
    <w:name w:val="正文文本 字符"/>
    <w:basedOn w:val="895"/>
    <w:link w:val="901"/>
    <w:qFormat/>
    <w:rPr>
      <w:rFonts w:ascii="宋体" w:hAnsi="宋体" w:eastAsia="宋体" w:cs="Times New Roman"/>
      <w:sz w:val="24"/>
      <w:szCs w:val="24"/>
    </w:rPr>
  </w:style>
  <w:style w:type="character" w:styleId="929" w:customStyle="1">
    <w:name w:val="标题 2 字符1"/>
    <w:basedOn w:val="895"/>
    <w:link w:val="892"/>
    <w:uiPriority w:val="9"/>
    <w:semiHidden/>
    <w:qFormat/>
    <w:rPr>
      <w:rFonts w:asciiTheme="majorHAnsi" w:hAnsiTheme="majorHAnsi" w:eastAsiaTheme="majorEastAsia" w:cstheme="majorBidi"/>
      <w:b/>
      <w:bCs/>
      <w:sz w:val="32"/>
      <w:szCs w:val="32"/>
    </w:rPr>
  </w:style>
  <w:style w:type="character" w:styleId="930" w:customStyle="1">
    <w:name w:val="纯文本 字符"/>
    <w:basedOn w:val="895"/>
    <w:link w:val="903"/>
    <w:qFormat/>
    <w:rPr>
      <w:rFonts w:ascii="宋体" w:hAnsi="Courier New" w:eastAsia="宋体" w:cs="Times New Roman"/>
      <w:szCs w:val="20"/>
    </w:rPr>
  </w:style>
  <w:style w:type="paragraph" w:styleId="931">
    <w:name w:val="List Paragraph"/>
    <w:basedOn w:val="890"/>
    <w:link w:val="936"/>
    <w:uiPriority w:val="34"/>
    <w:qFormat/>
    <w:pPr>
      <w:ind w:firstLine="420"/>
    </w:pPr>
  </w:style>
  <w:style w:type="character" w:styleId="932" w:customStyle="1">
    <w:name w:val="批注文字 Char"/>
    <w:basedOn w:val="895"/>
    <w:uiPriority w:val="99"/>
    <w:qFormat/>
  </w:style>
  <w:style w:type="character" w:styleId="933" w:customStyle="1">
    <w:name w:val="批注文字 字符"/>
    <w:link w:val="900"/>
    <w:qFormat/>
    <w:rPr>
      <w:rFonts w:ascii="Times New Roman" w:hAnsi="Times New Roman" w:eastAsia="宋体" w:cs="Times New Roman"/>
      <w:szCs w:val="24"/>
    </w:rPr>
  </w:style>
  <w:style w:type="character" w:styleId="934" w:customStyle="1">
    <w:name w:val="批注框文本 字符"/>
    <w:basedOn w:val="895"/>
    <w:link w:val="904"/>
    <w:uiPriority w:val="99"/>
    <w:semiHidden/>
    <w:qFormat/>
    <w:rPr>
      <w:sz w:val="18"/>
      <w:szCs w:val="18"/>
    </w:rPr>
  </w:style>
  <w:style w:type="paragraph" w:styleId="935" w:customStyle="1">
    <w:name w:val="图例"/>
    <w:basedOn w:val="890"/>
    <w:qFormat/>
    <w:pPr>
      <w:jc w:val="center"/>
      <w:spacing w:before="120" w:after="120" w:line="360" w:lineRule="auto"/>
    </w:pPr>
    <w:rPr>
      <w:rFonts w:ascii="Times New Roman" w:hAnsi="Times New Roman" w:eastAsia="仿宋_GB2312" w:cs="Times New Roman"/>
      <w:b/>
      <w:sz w:val="24"/>
      <w:szCs w:val="20"/>
    </w:rPr>
  </w:style>
  <w:style w:type="character" w:styleId="936" w:customStyle="1">
    <w:name w:val="列表段落 字符1"/>
    <w:link w:val="931"/>
    <w:uiPriority w:val="34"/>
    <w:qFormat/>
  </w:style>
  <w:style w:type="character" w:styleId="937" w:customStyle="1">
    <w:name w:val="标题 3 字符"/>
    <w:basedOn w:val="895"/>
    <w:link w:val="893"/>
    <w:uiPriority w:val="9"/>
    <w:semiHidden/>
    <w:qFormat/>
    <w:rPr>
      <w:b/>
      <w:bCs/>
      <w:sz w:val="32"/>
      <w:szCs w:val="32"/>
    </w:rPr>
  </w:style>
  <w:style w:type="character" w:styleId="938" w:customStyle="1">
    <w:name w:val="正文缩进 字符"/>
    <w:link w:val="898"/>
    <w:uiPriority w:val="99"/>
    <w:qFormat/>
    <w:rPr>
      <w:rFonts w:ascii="宋体" w:hAnsi="Times New Roman" w:eastAsia="宋体" w:cs="Times New Roman"/>
      <w:sz w:val="24"/>
      <w:szCs w:val="24"/>
    </w:rPr>
  </w:style>
  <w:style w:type="paragraph" w:styleId="939" w:customStyle="1">
    <w:name w:val="Table Paragraph"/>
    <w:basedOn w:val="890"/>
    <w:uiPriority w:val="1"/>
    <w:qFormat/>
    <w:pPr>
      <w:jc w:val="left"/>
    </w:pPr>
    <w:rPr>
      <w:rFonts w:ascii="宋体" w:hAnsi="宋体" w:eastAsia="宋体" w:cs="宋体"/>
      <w:sz w:val="22"/>
      <w:lang w:eastAsia="en-US"/>
    </w:rPr>
  </w:style>
  <w:style w:type="paragraph" w:styleId="940" w:customStyle="1">
    <w:name w:val="179"/>
    <w:basedOn w:val="890"/>
    <w:qFormat/>
    <w:pPr>
      <w:ind w:firstLine="420"/>
    </w:pPr>
    <w:rPr>
      <w:rFonts w:ascii="Calibri" w:hAnsi="Calibri" w:eastAsia="宋体" w:cs="Times New Roman"/>
    </w:rPr>
  </w:style>
  <w:style w:type="paragraph" w:styleId="941" w:customStyle="1">
    <w:name w:val="成文日期"/>
    <w:basedOn w:val="890"/>
    <w:link w:val="942"/>
    <w:qFormat/>
    <w:pPr>
      <w:ind w:right="400" w:firstLine="200"/>
      <w:jc w:val="right"/>
      <w:spacing w:line="570" w:lineRule="exact"/>
    </w:pPr>
    <w:rPr>
      <w:rFonts w:ascii="仿宋_GB2312" w:hAnsi="Times New Roman" w:eastAsia="仿宋_GB2312" w:cs="Times New Roman"/>
      <w:sz w:val="32"/>
      <w:szCs w:val="20"/>
    </w:rPr>
  </w:style>
  <w:style w:type="character" w:styleId="942" w:customStyle="1">
    <w:name w:val="成文日期 Char"/>
    <w:link w:val="941"/>
    <w:qFormat/>
    <w:rPr>
      <w:rFonts w:ascii="仿宋_GB2312" w:hAnsi="Times New Roman" w:eastAsia="仿宋_GB2312" w:cs="Times New Roman"/>
      <w:sz w:val="32"/>
      <w:szCs w:val="20"/>
    </w:rPr>
  </w:style>
  <w:style w:type="paragraph" w:styleId="943" w:customStyle="1">
    <w:name w:val="Plain Text1"/>
    <w:next w:val="909"/>
    <w:qFormat/>
    <w:pPr>
      <w:jc w:val="both"/>
      <w:widowControl w:val="off"/>
    </w:pPr>
    <w:rPr>
      <w:rFonts w:ascii="宋体" w:hAnsi="宋体" w:eastAsia="楷体_GB2312"/>
      <w:sz w:val="26"/>
      <w:szCs w:val="22"/>
    </w:rPr>
  </w:style>
  <w:style w:type="character" w:styleId="944" w:customStyle="1">
    <w:name w:val="普通(网站) 字符1"/>
    <w:link w:val="911"/>
    <w:qFormat/>
    <w:rPr>
      <w:rFonts w:ascii="Arial Unicode MS" w:hAnsi="Arial Unicode MS" w:eastAsia="Arial Unicode MS" w:cs="Arial Unicode MS"/>
      <w:sz w:val="24"/>
      <w:szCs w:val="24"/>
    </w:rPr>
  </w:style>
  <w:style w:type="character" w:styleId="945" w:customStyle="1">
    <w:name w:val="文档结构图 字符"/>
    <w:basedOn w:val="895"/>
    <w:link w:val="899"/>
    <w:uiPriority w:val="99"/>
    <w:semiHidden/>
    <w:qFormat/>
    <w:rPr>
      <w:rFonts w:ascii="宋体" w:eastAsia="宋体"/>
      <w:sz w:val="18"/>
      <w:szCs w:val="18"/>
    </w:rPr>
  </w:style>
  <w:style w:type="character" w:styleId="946" w:customStyle="1">
    <w:name w:val="批注主题 字符"/>
    <w:basedOn w:val="933"/>
    <w:link w:val="912"/>
    <w:uiPriority w:val="99"/>
    <w:semiHidden/>
    <w:qFormat/>
    <w:rPr>
      <w:rFonts w:ascii="Times New Roman" w:hAnsi="Times New Roman" w:eastAsia="宋体" w:cs="Times New Roman"/>
      <w:b/>
      <w:bCs/>
      <w:szCs w:val="24"/>
    </w:rPr>
  </w:style>
  <w:style w:type="character" w:styleId="947" w:customStyle="1">
    <w:name w:val="正文缩进 Char1"/>
    <w:uiPriority w:val="99"/>
    <w:qFormat/>
    <w:rPr>
      <w:rFonts w:ascii="宋体" w:eastAsia="宋体"/>
      <w:sz w:val="24"/>
      <w:szCs w:val="24"/>
      <w:lang w:val="en-US" w:eastAsia="zh-CN" w:bidi="ar-SA"/>
    </w:rPr>
  </w:style>
  <w:style w:type="paragraph" w:styleId="948" w:customStyle="1">
    <w:name w:val="列表段落1"/>
    <w:basedOn w:val="890"/>
    <w:uiPriority w:val="34"/>
    <w:qFormat/>
    <w:pPr>
      <w:ind w:firstLine="420"/>
      <w:jc w:val="left"/>
    </w:pPr>
    <w:rPr>
      <w:rFonts w:ascii="Calibri" w:hAnsi="Calibri" w:eastAsia="宋体" w:cs="Times New Roman"/>
      <w:sz w:val="20"/>
      <w:szCs w:val="20"/>
    </w:rPr>
  </w:style>
  <w:style w:type="paragraph" w:styleId="949" w:customStyle="1">
    <w:name w:val="p0"/>
    <w:basedOn w:val="890"/>
    <w:qFormat/>
    <w:pPr>
      <w:widowControl/>
    </w:pPr>
    <w:rPr>
      <w:rFonts w:ascii="Calibri" w:hAnsi="Calibri" w:eastAsia="宋体" w:cs="Times New Roman"/>
      <w:szCs w:val="24"/>
    </w:rPr>
  </w:style>
  <w:style w:type="character" w:styleId="950" w:customStyle="1">
    <w:name w:val="标题 2 字符"/>
    <w:qFormat/>
    <w:rPr>
      <w:rFonts w:ascii="Arial" w:hAnsi="Arial" w:eastAsia="黑体"/>
      <w:b/>
      <w:sz w:val="30"/>
      <w:lang w:val="en-US" w:eastAsia="zh-CN" w:bidi="ar-SA"/>
    </w:rPr>
  </w:style>
  <w:style w:type="character" w:styleId="951" w:customStyle="1">
    <w:name w:val="列表段落 字符"/>
    <w:link w:val="952"/>
    <w:uiPriority w:val="34"/>
    <w:qFormat/>
    <w:rPr>
      <w:rFonts w:ascii="Calibri" w:hAnsi="Calibri" w:eastAsia="宋体"/>
      <w:sz w:val="21"/>
      <w:szCs w:val="22"/>
      <w:lang w:val="en-US" w:eastAsia="zh-CN" w:bidi="ar-SA"/>
    </w:rPr>
  </w:style>
  <w:style w:type="paragraph" w:styleId="952" w:customStyle="1">
    <w:name w:val="_Style 50"/>
    <w:basedOn w:val="890"/>
    <w:next w:val="931"/>
    <w:link w:val="951"/>
    <w:uiPriority w:val="34"/>
    <w:qFormat/>
    <w:pPr>
      <w:ind w:firstLine="420"/>
    </w:pPr>
    <w:rPr>
      <w:rFonts w:ascii="Calibri" w:hAnsi="Calibri" w:eastAsia="宋体"/>
    </w:rPr>
  </w:style>
  <w:style w:type="character" w:styleId="953" w:customStyle="1">
    <w:name w:val="批注主题 Char1"/>
    <w:uiPriority w:val="99"/>
    <w:semiHidden/>
    <w:qFormat/>
    <w:rPr>
      <w:b/>
      <w:bCs/>
      <w:sz w:val="21"/>
      <w:szCs w:val="24"/>
    </w:rPr>
  </w:style>
  <w:style w:type="character" w:styleId="954" w:customStyle="1">
    <w:name w:val="纯文本 字符2"/>
    <w:qFormat/>
    <w:rPr>
      <w:rFonts w:hint="eastAsia" w:ascii="宋体" w:hAnsi="Courier New" w:eastAsia="宋体" w:cs="宋体"/>
      <w:sz w:val="21"/>
    </w:rPr>
  </w:style>
  <w:style w:type="character" w:styleId="955" w:customStyle="1">
    <w:name w:val="普通(网站) 字符"/>
    <w:uiPriority w:val="99"/>
    <w:qFormat/>
    <w:rPr>
      <w:rFonts w:ascii="宋体" w:hAnsi="宋体" w:cs="宋体"/>
      <w:sz w:val="24"/>
      <w:szCs w:val="24"/>
    </w:rPr>
  </w:style>
  <w:style w:type="character" w:styleId="956" w:customStyle="1">
    <w:name w:val="标题 1 字符"/>
    <w:qFormat/>
    <w:rPr>
      <w:rFonts w:ascii="宋体"/>
      <w:b/>
      <w:sz w:val="32"/>
    </w:rPr>
  </w:style>
  <w:style w:type="paragraph" w:styleId="957" w:customStyle="1">
    <w:name w:val="修订1"/>
    <w:hidden/>
    <w:uiPriority w:val="99"/>
    <w:unhideWhenUsed/>
    <w:qFormat/>
    <w:rPr>
      <w:rFonts w:asciiTheme="minorHAnsi" w:hAnsiTheme="minorHAnsi" w:eastAsiaTheme="minorEastAsia" w:cstheme="minorBidi"/>
      <w:sz w:val="21"/>
      <w:szCs w:val="22"/>
    </w:rPr>
  </w:style>
  <w:style w:type="paragraph" w:styleId="958" w:customStyle="1">
    <w:name w:val="标题 21"/>
    <w:basedOn w:val="890"/>
    <w:next w:val="890"/>
    <w:qFormat/>
    <w:pPr>
      <w:jc w:val="center"/>
      <w:keepLines/>
      <w:keepNext/>
      <w:spacing w:before="260" w:after="260" w:line="416" w:lineRule="auto"/>
      <w:outlineLvl w:val="1"/>
    </w:pPr>
    <w:rPr>
      <w:rFonts w:ascii="幼圆" w:hAnsi="Arial" w:eastAsia="楷体_GB2312"/>
      <w:b/>
      <w:sz w:val="44"/>
      <w:szCs w:val="20"/>
    </w:rPr>
  </w:style>
  <w:style w:type="paragraph" w:styleId="959" w:customStyle="1">
    <w:name w:val="UserStyle_80"/>
    <w:basedOn w:val="890"/>
    <w:next w:val="890"/>
    <w:qFormat/>
    <w:pPr>
      <w:ind w:firstLine="420"/>
      <w:widowControl/>
    </w:pPr>
    <w:rPr>
      <w:rFonts w:ascii="Times New Roman" w:hAnsi="Times New Roman" w:eastAsia="宋体" w:cs="Times New Roman"/>
      <w:sz w:val="24"/>
      <w:szCs w:val="20"/>
    </w:rPr>
  </w:style>
  <w:style w:type="character" w:styleId="960" w:customStyle="1">
    <w:name w:val="Heading 3 Char"/>
    <w:basedOn w:val="895"/>
    <w:uiPriority w:val="9"/>
    <w:qFormat/>
    <w:rPr>
      <w:rFonts w:ascii="Arial" w:hAnsi="Arial" w:eastAsia="Arial" w:cs="Arial"/>
      <w:sz w:val="30"/>
      <w:szCs w:val="30"/>
    </w:rPr>
  </w:style>
  <w:style w:type="paragraph" w:styleId="961" w:customStyle="1">
    <w:name w:val="**"/>
    <w:basedOn w:val="892"/>
    <w:qFormat/>
    <w:pPr>
      <w:spacing w:before="120" w:after="120" w:line="320" w:lineRule="exact"/>
      <w:tabs>
        <w:tab w:val="left" w:pos="900" w:leader="none"/>
      </w:tabs>
    </w:pPr>
    <w:rPr>
      <w:rFonts w:ascii="Arial" w:hAnsi="Arial" w:eastAsia="黑体"/>
      <w:sz w:val="28"/>
      <w:szCs w:val="28"/>
      <w:lang w:val="en-GB"/>
    </w:rPr>
  </w:style>
  <w:style w:type="paragraph" w:styleId="962" w:customStyle="1">
    <w:name w:val="表格"/>
    <w:basedOn w:val="890"/>
    <w:qFormat/>
    <w:pPr>
      <w:jc w:val="center"/>
    </w:pPr>
    <w:rPr>
      <w:rFonts w:ascii="Times New Roman" w:hAnsi="Times New Roman" w:cs="Times New Roman"/>
      <w:szCs w:val="24"/>
    </w:rPr>
  </w:style>
  <w:style w:type="paragraph" w:styleId="963" w:customStyle="1">
    <w:name w:val="文档结构图1"/>
    <w:qFormat/>
    <w:pPr>
      <w:jc w:val="both"/>
      <w:shd w:val="clear" w:color="auto" w:fill="000080"/>
      <w:widowControl w:val="off"/>
    </w:pPr>
    <w:rPr>
      <w:sz w:val="21"/>
    </w:rPr>
  </w:style>
  <w:style w:type="paragraph" w:styleId="964" w:customStyle="1">
    <w:name w:val="正文文本1"/>
    <w:basedOn w:val="890"/>
    <w:qFormat/>
    <w:pPr>
      <w:spacing w:after="120"/>
    </w:pPr>
  </w:style>
  <w:style w:type="paragraph" w:styleId="965" w:customStyle="1">
    <w:name w:val="pt-ad"/>
    <w:basedOn w:val="890"/>
    <w:qFormat/>
    <w:pPr>
      <w:jc w:val="left"/>
      <w:spacing w:before="100" w:beforeAutospacing="1" w:after="100" w:afterAutospacing="1"/>
      <w:widowControl/>
    </w:pPr>
    <w:rPr>
      <w:rFonts w:ascii="宋体" w:hAnsi="宋体" w:eastAsia="宋体" w:cs="宋体"/>
      <w:sz w:val="24"/>
    </w:rPr>
  </w:style>
  <w:style w:type="character" w:styleId="966" w:customStyle="1">
    <w:name w:val="pt-a0-000020"/>
    <w:basedOn w:val="895"/>
    <w:qFormat/>
  </w:style>
  <w:style w:type="paragraph" w:styleId="967" w:customStyle="1">
    <w:name w:val="pt-a-000025"/>
    <w:basedOn w:val="890"/>
    <w:qFormat/>
    <w:pPr>
      <w:jc w:val="left"/>
      <w:spacing w:before="100" w:beforeAutospacing="1" w:after="100" w:afterAutospacing="1"/>
      <w:widowControl/>
    </w:pPr>
    <w:rPr>
      <w:rFonts w:ascii="宋体" w:hAnsi="宋体" w:eastAsia="宋体" w:cs="宋体"/>
      <w:sz w:val="24"/>
    </w:rPr>
  </w:style>
  <w:style w:type="character" w:styleId="968" w:customStyle="1">
    <w:name w:val="pt-a0-000004"/>
    <w:basedOn w:val="895"/>
    <w:qFormat/>
  </w:style>
  <w:style w:type="character" w:styleId="969" w:customStyle="1">
    <w:name w:val="pt-a0-000005"/>
    <w:basedOn w:val="895"/>
    <w:qFormat/>
  </w:style>
  <w:style w:type="paragraph" w:styleId="970" w:customStyle="1">
    <w:name w:val="Table Text"/>
    <w:basedOn w:val="890"/>
    <w:qFormat/>
    <w:pPr>
      <w:jc w:val="left"/>
    </w:pPr>
    <w:rPr>
      <w:rFonts w:hint="eastAsia" w:ascii="宋体" w:hAnsi="宋体" w:eastAsia="宋体" w:cs="Times New Roman"/>
      <w:color w:val="000000"/>
      <w:sz w:val="26"/>
      <w:szCs w:val="26"/>
    </w:rPr>
  </w:style>
  <w:style w:type="paragraph" w:styleId="971" w:customStyle="1">
    <w:name w:val="列出段落"/>
    <w:basedOn w:val="890"/>
    <w:uiPriority w:val="34"/>
    <w:qFormat/>
    <w:pPr>
      <w:contextualSpacing/>
      <w:ind w:firstLine="480"/>
      <w:spacing w:line="440" w:lineRule="exact"/>
    </w:pPr>
    <w:rPr>
      <w:rFonts w:ascii="宋体" w:hAnsi="宋体" w:eastAsia="宋体" w:cs="Times New Roman"/>
      <w:color w:val="000000"/>
      <w:sz w:val="24"/>
      <w:szCs w:val="24"/>
    </w:rPr>
  </w:style>
  <w:style w:type="character" w:styleId="972" w:customStyle="1">
    <w:name w:val="标题 4 字符"/>
    <w:basedOn w:val="895"/>
    <w:link w:val="894"/>
    <w:uiPriority w:val="9"/>
    <w:semiHidden/>
    <w:qFormat/>
    <w:rPr>
      <w:rFonts w:asciiTheme="majorHAnsi" w:hAnsiTheme="majorHAnsi" w:eastAsiaTheme="majorEastAsia" w:cstheme="majorBidi"/>
      <w:b/>
      <w:bCs/>
      <w:sz w:val="28"/>
      <w:szCs w:val="28"/>
    </w:rPr>
  </w:style>
  <w:style w:type="paragraph" w:styleId="973" w:customStyle="1">
    <w:name w:val="二级目录"/>
    <w:basedOn w:val="890"/>
    <w:next w:val="890"/>
    <w:qFormat/>
    <w:pPr>
      <w:numPr>
        <w:numId w:val="1"/>
      </w:numPr>
      <w:jc w:val="left"/>
      <w:widowControl/>
      <w:tabs>
        <w:tab w:val="left" w:pos="720" w:leader="none"/>
      </w:tabs>
      <w:outlineLvl w:val="1"/>
    </w:pPr>
    <w:rPr>
      <w:rFonts w:ascii="Calibri" w:hAnsi="Calibri" w:eastAsia="宋体" w:cs="Times New Roman"/>
      <w:b/>
      <w:bCs/>
      <w:sz w:val="28"/>
      <w:szCs w:val="28"/>
    </w:rPr>
  </w:style>
  <w:style w:type="paragraph" w:styleId="974" w:customStyle="1">
    <w:name w:val="修订2"/>
    <w:hidden/>
    <w:uiPriority w:val="99"/>
    <w:unhideWhenUsed/>
    <w:qFormat/>
    <w:rPr>
      <w:rFonts w:asciiTheme="minorHAnsi" w:hAnsiTheme="minorHAnsi" w:eastAsiaTheme="minorEastAsia" w:cstheme="minorBidi"/>
      <w:sz w:val="21"/>
      <w:szCs w:val="22"/>
    </w:rPr>
  </w:style>
  <w:style w:type="paragraph" w:styleId="975" w:customStyle="1">
    <w:name w:val="修订3"/>
    <w:hidden/>
    <w:uiPriority w:val="99"/>
    <w:unhideWhenUsed/>
    <w:qFormat/>
    <w:rPr>
      <w:rFonts w:asciiTheme="minorHAnsi" w:hAnsiTheme="minorHAnsi" w:eastAsiaTheme="minorEastAsia" w:cstheme="minorBid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EC1F8F7-8F83-4069-B3CB-9D3A077A4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YH</dc:creator>
  <cp:lastModifiedBy>窦文卓</cp:lastModifiedBy>
  <cp:revision>1584</cp:revision>
  <dcterms:created xsi:type="dcterms:W3CDTF">2024-01-01T02:41:00Z</dcterms:created>
  <dcterms:modified xsi:type="dcterms:W3CDTF">2026-10-27T08:11:47Z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E87508ACAB5747ECB2CE65351C808C55_13</vt:lpwstr>
  </property>
  <property fmtid="{D5CDD505-2E9C-101B-9397-08002B2CF9AE}" pid="4" name="KSOTemplateDocerSaveRecord">
    <vt:lpwstr>eyJoZGlkIjoiNTBmZTYyOGQzNjUzMjQxYzA1ZDM1ZjVmNjgxYzM3ZDYiLCJ1c2VySWQiOiI0ODM3NjMzNzYifQ==</vt:lpwstr>
  </property>
</Properties>
</file>