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spacing w:before="120" w:beforeAutospacing="0" w:after="120" w:afterAutospacing="0" w:line="360" w:lineRule="auto"/>
        <w:rPr>
          <w:highlight w:val="none"/>
        </w:rPr>
      </w:pPr>
      <w:r/>
      <w:bookmarkStart w:id="686" w:name="_GoBack"/>
      <w:r>
        <w:rPr>
          <w:highlight w:val="none"/>
        </w:rPr>
        <w:t xml:space="preserve"> </w:t>
      </w:r>
      <w:r/>
    </w:p>
    <w:p>
      <w:pPr>
        <w:pStyle w:val="873"/>
        <w:jc w:val="center"/>
        <w:spacing w:before="120" w:beforeAutospacing="0" w:after="120" w:afterAutospacing="0" w:line="360" w:lineRule="auto"/>
        <w:rPr>
          <w:highlight w:val="none"/>
        </w:rPr>
        <w:outlineLvl w:val="0"/>
      </w:pPr>
      <w:r/>
      <w:bookmarkStart w:id="0" w:name="_Toc12175"/>
      <w:r/>
      <w:bookmarkStart w:id="1" w:name="_Toc26286"/>
      <w:r>
        <w:rPr>
          <w:rFonts w:ascii="Arial" w:hAnsi="Arial" w:cs="Arial"/>
          <w:b/>
          <w:sz w:val="84"/>
          <w:szCs w:val="84"/>
          <w:highlight w:val="none"/>
        </w:rPr>
        <w:t xml:space="preserve">竞争性磋商文件</w:t>
      </w:r>
      <w:bookmarkEnd w:id="0"/>
      <w:r/>
      <w:bookmarkEnd w:id="1"/>
      <w:r/>
      <w:r/>
    </w:p>
    <w:p>
      <w:pPr>
        <w:pStyle w:val="873"/>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73"/>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73"/>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73"/>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73"/>
        <w:jc w:val="center"/>
        <w:spacing w:before="120" w:beforeAutospacing="0" w:after="120" w:afterAutospacing="0" w:line="360" w:lineRule="auto"/>
        <w:rPr>
          <w:rFonts w:ascii="Arial" w:hAnsi="Arial" w:cs="Arial"/>
          <w:b/>
          <w:sz w:val="32"/>
          <w:szCs w:val="32"/>
          <w:highlight w:val="none"/>
        </w:rPr>
        <w:outlineLvl w:val="0"/>
      </w:pPr>
      <w:r/>
      <w:bookmarkStart w:id="2" w:name="_Toc6322"/>
      <w:r/>
      <w:bookmarkStart w:id="3" w:name="_Toc16637"/>
      <w:r>
        <w:rPr>
          <w:rFonts w:ascii="Arial" w:hAnsi="Arial" w:cs="Arial"/>
          <w:b/>
          <w:sz w:val="32"/>
          <w:szCs w:val="32"/>
          <w:highlight w:val="none"/>
        </w:rPr>
        <w:t xml:space="preserve">项目名称：龙冈镇三旺村道路及桥梁改造和人居环境提升项目</w:t>
      </w:r>
      <w:bookmarkEnd w:id="2"/>
      <w:r/>
      <w:bookmarkEnd w:id="3"/>
      <w:r/>
      <w:r/>
    </w:p>
    <w:p>
      <w:pPr>
        <w:pStyle w:val="873"/>
        <w:jc w:val="center"/>
        <w:spacing w:beforeAutospacing="0" w:afterAutospacing="0" w:line="360" w:lineRule="auto"/>
        <w:rPr>
          <w:rFonts w:hint="eastAsia" w:eastAsiaTheme="minorEastAsia"/>
          <w:highlight w:val="none"/>
          <w:lang w:eastAsia="zh-CN"/>
        </w:rPr>
      </w:pPr>
      <w:r>
        <w:rPr>
          <w:rFonts w:ascii="Arial" w:hAnsi="Arial" w:cs="Arial"/>
          <w:b/>
          <w:sz w:val="32"/>
          <w:szCs w:val="32"/>
          <w:highlight w:val="none"/>
        </w:rPr>
        <w:t xml:space="preserve">项目编号：</w:t>
      </w:r>
      <w:r>
        <w:rPr>
          <w:rFonts w:hint="eastAsia" w:ascii="Arial" w:hAnsi="Arial" w:cs="Arial"/>
          <w:b/>
          <w:sz w:val="32"/>
          <w:szCs w:val="32"/>
          <w:highlight w:val="none"/>
          <w:lang w:eastAsia="zh-CN"/>
        </w:rPr>
        <w:t xml:space="preserve">JSZC-320903-CSXC-C2026-0049</w:t>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r>
      <w:r/>
    </w:p>
    <w:p>
      <w:pPr>
        <w:pStyle w:val="873"/>
        <w:spacing w:beforeAutospacing="0" w:afterAutospacing="0" w:line="360" w:lineRule="auto"/>
        <w:rPr>
          <w:highlight w:val="none"/>
        </w:rPr>
      </w:pPr>
      <w:r>
        <w:rPr>
          <w:highlight w:val="none"/>
        </w:rPr>
      </w:r>
      <w:r/>
    </w:p>
    <w:p>
      <w:pPr>
        <w:pStyle w:val="873"/>
        <w:spacing w:beforeAutospacing="0" w:afterAutospacing="0" w:line="360" w:lineRule="auto"/>
        <w:rPr>
          <w:highlight w:val="none"/>
        </w:rPr>
      </w:pPr>
      <w:r>
        <w:rPr>
          <w:highlight w:val="none"/>
        </w:rPr>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t xml:space="preserve"> </w:t>
      </w:r>
      <w:r/>
    </w:p>
    <w:p>
      <w:pPr>
        <w:pStyle w:val="873"/>
        <w:jc w:val="center"/>
        <w:spacing w:before="120" w:beforeAutospacing="0" w:after="120" w:afterAutospacing="0" w:line="360" w:lineRule="auto"/>
        <w:rPr>
          <w:rFonts w:ascii="Arial" w:hAnsi="Arial" w:cs="Arial"/>
          <w:b/>
          <w:sz w:val="32"/>
          <w:szCs w:val="32"/>
          <w:highlight w:val="none"/>
        </w:rPr>
      </w:pPr>
      <w:r>
        <w:rPr>
          <w:rFonts w:hint="eastAsia" w:ascii="Arial" w:hAnsi="Arial" w:cs="Arial"/>
          <w:b/>
          <w:sz w:val="32"/>
          <w:szCs w:val="32"/>
          <w:highlight w:val="none"/>
        </w:rPr>
        <w:t xml:space="preserve">盐城市盐都区龙冈镇人民政府</w:t>
      </w:r>
      <w:r/>
    </w:p>
    <w:p>
      <w:pPr>
        <w:pStyle w:val="873"/>
        <w:jc w:val="center"/>
        <w:spacing w:before="120" w:beforeAutospacing="0" w:after="120" w:afterAutospacing="0" w:line="360" w:lineRule="auto"/>
        <w:rPr>
          <w:highlight w:val="none"/>
        </w:rPr>
      </w:pPr>
      <w:r>
        <w:rPr>
          <w:rFonts w:hint="eastAsia" w:ascii="Arial" w:hAnsi="Arial" w:cs="Arial"/>
          <w:b/>
          <w:sz w:val="32"/>
          <w:szCs w:val="32"/>
          <w:highlight w:val="none"/>
        </w:rPr>
        <w:t xml:space="preserve">2026年10月</w:t>
      </w:r>
      <w:r/>
    </w:p>
    <w:p>
      <w:pPr>
        <w:pStyle w:val="873"/>
        <w:spacing w:before="120" w:beforeAutospacing="0" w:after="120" w:afterAutospacing="0" w:line="360" w:lineRule="auto"/>
        <w:rPr>
          <w:highlight w:val="none"/>
        </w:rPr>
      </w:pPr>
      <w:r>
        <w:rPr>
          <w:rFonts w:ascii="Arial" w:hAnsi="Arial" w:cs="Arial"/>
          <w:highlight w:val="none"/>
        </w:rPr>
        <w:t xml:space="preserve">                        </w:t>
      </w:r>
      <w:r/>
    </w:p>
    <w:p>
      <w:pPr>
        <w:pStyle w:val="873"/>
        <w:jc w:val="center"/>
        <w:spacing w:before="120" w:beforeAutospacing="0" w:after="120" w:afterAutospacing="0" w:line="360" w:lineRule="auto"/>
        <w:rPr>
          <w:highlight w:val="none"/>
        </w:rPr>
      </w:pPr>
      <w:r>
        <w:rPr>
          <w:highlight w:val="none"/>
        </w:rPr>
        <w:t xml:space="preserve"> </w:t>
      </w:r>
      <w:r/>
    </w:p>
    <w:p>
      <w:pPr>
        <w:pStyle w:val="873"/>
        <w:jc w:val="center"/>
        <w:spacing w:beforeAutospacing="0" w:afterAutospacing="0" w:line="480" w:lineRule="auto"/>
        <w:rPr>
          <w:rFonts w:ascii="Times New Roman" w:hAnsi="Times New Roman"/>
          <w:sz w:val="21"/>
          <w:szCs w:val="21"/>
          <w:highlight w:val="none"/>
        </w:rPr>
        <w:sectPr>
          <w:headerReference w:type="even" r:id="rId9"/>
          <w:headerReference w:type="first" r:id="rId10"/>
          <w:footerReference w:type="default" r:id="rId12"/>
          <w:footerReference w:type="even" r:id="rId13"/>
          <w:footerReference w:type="first" r:id="rId14"/>
          <w:footnotePr/>
          <w:endnotePr/>
          <w:type w:val="nextPage"/>
          <w:pgSz w:w="11907" w:h="16840" w:orient="portrait"/>
          <w:pgMar w:top="1474" w:right="1134" w:bottom="1418" w:left="1134" w:header="851" w:footer="992" w:gutter="0"/>
          <w:pgNumType w:start="1"/>
          <w:cols w:num="1" w:sep="0" w:space="720" w:equalWidth="1"/>
          <w:docGrid w:linePitch="360"/>
        </w:sectPr>
      </w:pPr>
      <w:r>
        <w:rPr>
          <w:rFonts w:ascii="Times New Roman" w:hAnsi="Times New Roman"/>
          <w:sz w:val="21"/>
          <w:szCs w:val="21"/>
          <w:highlight w:val="none"/>
        </w:rPr>
      </w:r>
      <w:r/>
    </w:p>
    <w:p>
      <w:pPr>
        <w:pStyle w:val="873"/>
        <w:jc w:val="center"/>
        <w:spacing w:beforeAutospacing="0" w:afterAutospacing="0" w:line="480" w:lineRule="auto"/>
        <w:rPr>
          <w:highlight w:val="none"/>
        </w:rPr>
      </w:pPr>
      <w:r>
        <w:rPr>
          <w:rFonts w:ascii="Times New Roman" w:hAnsi="Times New Roman"/>
          <w:sz w:val="21"/>
          <w:szCs w:val="21"/>
          <w:highlight w:val="none"/>
        </w:rPr>
        <w:t xml:space="preserve"> </w:t>
      </w:r>
      <w:bookmarkStart w:id="4" w:name="_Toc16938516"/>
      <w:r/>
      <w:bookmarkStart w:id="5" w:name="_Toc120614210"/>
      <w:r/>
      <w:bookmarkStart w:id="6" w:name="_Toc523127445"/>
      <w:r/>
      <w:bookmarkStart w:id="7" w:name="_Toc479757206"/>
      <w:r/>
      <w:bookmarkStart w:id="8" w:name="_Toc20823272"/>
      <w:r/>
      <w:bookmarkStart w:id="9" w:name="_Toc513029200"/>
      <w:r>
        <w:rPr>
          <w:rFonts w:ascii="黑体" w:hAnsi="宋体" w:eastAsia="黑体" w:cs="黑体"/>
          <w:b/>
          <w:sz w:val="44"/>
          <w:szCs w:val="44"/>
          <w:highlight w:val="none"/>
        </w:rPr>
        <w:t xml:space="preserve">总  目  录</w:t>
      </w:r>
      <w:bookmarkEnd w:id="4"/>
      <w:r/>
      <w:bookmarkEnd w:id="5"/>
      <w:r/>
      <w:bookmarkEnd w:id="6"/>
      <w:r/>
      <w:bookmarkEnd w:id="7"/>
      <w:r/>
      <w:bookmarkEnd w:id="8"/>
      <w:r/>
      <w:bookmarkEnd w:id="9"/>
      <w:r/>
      <w:r/>
    </w:p>
    <w:p>
      <w:pPr>
        <w:pStyle w:val="873"/>
        <w:jc w:val="both"/>
        <w:spacing w:beforeAutospacing="0" w:afterAutospacing="0" w:line="480" w:lineRule="auto"/>
        <w:rPr>
          <w:highlight w:val="none"/>
        </w:rPr>
      </w:pPr>
      <w:r>
        <w:rPr>
          <w:highlight w:val="none"/>
        </w:rPr>
        <w:t xml:space="preserve"> </w:t>
      </w:r>
      <w:r/>
    </w:p>
    <w:sdt>
      <w:sdtPr>
        <w15:appearance w15:val="boundingBox"/>
        <w15:color w:val="dbdbdb"/>
        <w:id w:val="147467548"/>
        <w:docPartObj>
          <w:docPartGallery w:val="Table of Contents"/>
          <w:docPartUnique w:val="true"/>
        </w:docPartObj>
        <w:rPr>
          <w:rFonts w:ascii="宋体" w:hAnsi="宋体" w:eastAsia="宋体"/>
          <w:highlight w:val="none"/>
        </w:rPr>
      </w:sdtPr>
      <w:sdtContent>
        <w:p>
          <w:pPr>
            <w:pStyle w:val="865"/>
            <w:tabs>
              <w:tab w:val="right" w:pos="8504" w:leader="dot"/>
            </w:tabs>
            <w:rPr>
              <w:highlight w:val="none"/>
            </w:rPr>
          </w:pP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TOC \o "1-1" \h \u </w:instrText>
          </w:r>
          <w:r>
            <w:rPr>
              <w:rFonts w:hint="eastAsia" w:ascii="黑体" w:hAnsi="黑体" w:eastAsia="黑体" w:cs="黑体"/>
              <w:sz w:val="36"/>
              <w:szCs w:val="36"/>
              <w:highlight w:val="none"/>
            </w:rPr>
            <w:fldChar w:fldCharType="separate"/>
          </w:r>
          <w:r/>
        </w:p>
        <w:p>
          <w:pPr>
            <w:pStyle w:val="865"/>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"_Toc14496" </w:instrText>
          </w:r>
          <w:r>
            <w:rPr>
              <w:highlight w:val="none"/>
            </w:rPr>
            <w:fldChar w:fldCharType="separate"/>
          </w:r>
          <w:r>
            <w:rPr>
              <w:rFonts w:hint="eastAsia" w:ascii="黑体" w:hAnsi="黑体" w:eastAsia="黑体" w:cs="黑体"/>
              <w:sz w:val="36"/>
              <w:szCs w:val="36"/>
              <w:highlight w:val="none"/>
            </w:rPr>
            <w:t xml:space="preserve">第一章  竞争性磋商公告</w:t>
          </w:r>
          <w:r>
            <w:rPr>
              <w:rFonts w:hint="eastAsia" w:ascii="黑体" w:hAnsi="黑体" w:eastAsia="黑体" w:cs="黑体"/>
              <w:sz w:val="36"/>
              <w:szCs w:val="36"/>
              <w:highlight w:val="none"/>
            </w:rPr>
            <w:tab/>
          </w:r>
          <w:r>
            <w:rPr>
              <w:rFonts w:hint="eastAsia" w:ascii="黑体" w:hAnsi="黑体" w:eastAsia="黑体" w:cs="黑体"/>
              <w:sz w:val="36"/>
              <w:szCs w:val="36"/>
              <w:highlight w:val="none"/>
            </w:rPr>
            <w:t xml:space="preserve">2</w:t>
          </w:r>
          <w:r>
            <w:rPr>
              <w:rFonts w:hint="eastAsia" w:ascii="黑体" w:hAnsi="黑体" w:eastAsia="黑体" w:cs="黑体"/>
              <w:sz w:val="36"/>
              <w:szCs w:val="36"/>
              <w:highlight w:val="none"/>
            </w:rPr>
            <w:fldChar w:fldCharType="end"/>
          </w:r>
          <w:r/>
        </w:p>
        <w:p>
          <w:pPr>
            <w:pStyle w:val="865"/>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"_Toc21039" </w:instrText>
          </w:r>
          <w:r>
            <w:rPr>
              <w:highlight w:val="none"/>
            </w:rPr>
            <w:fldChar w:fldCharType="separate"/>
          </w:r>
          <w:r>
            <w:rPr>
              <w:rFonts w:hint="eastAsia" w:ascii="黑体" w:hAnsi="黑体" w:eastAsia="黑体" w:cs="黑体"/>
              <w:sz w:val="36"/>
              <w:szCs w:val="36"/>
              <w:highlight w:val="none"/>
            </w:rPr>
            <w:t xml:space="preserve">第二章  供应商须知</w:t>
          </w:r>
          <w:r>
            <w:rPr>
              <w:rFonts w:hint="eastAsia" w:ascii="黑体" w:hAnsi="黑体" w:eastAsia="黑体" w:cs="黑体"/>
              <w:sz w:val="36"/>
              <w:szCs w:val="36"/>
              <w:highlight w:val="none"/>
            </w:rPr>
            <w:tab/>
          </w:r>
          <w:r>
            <w:rPr>
              <w:rFonts w:hint="eastAsia" w:ascii="黑体" w:hAnsi="黑体" w:eastAsia="黑体" w:cs="黑体"/>
              <w:sz w:val="36"/>
              <w:szCs w:val="36"/>
              <w:highlight w:val="none"/>
            </w:rPr>
            <w:t xml:space="preserve">6</w:t>
          </w:r>
          <w:r>
            <w:rPr>
              <w:rFonts w:hint="eastAsia" w:ascii="黑体" w:hAnsi="黑体" w:eastAsia="黑体" w:cs="黑体"/>
              <w:sz w:val="36"/>
              <w:szCs w:val="36"/>
              <w:highlight w:val="none"/>
            </w:rPr>
            <w:fldChar w:fldCharType="end"/>
          </w:r>
          <w:r/>
        </w:p>
        <w:p>
          <w:pPr>
            <w:pStyle w:val="865"/>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"_Toc3582" </w:instrText>
          </w:r>
          <w:r>
            <w:rPr>
              <w:highlight w:val="none"/>
            </w:rPr>
            <w:fldChar w:fldCharType="separate"/>
          </w:r>
          <w:r>
            <w:rPr>
              <w:rFonts w:hint="eastAsia" w:ascii="黑体" w:hAnsi="黑体" w:eastAsia="黑体" w:cs="黑体"/>
              <w:sz w:val="36"/>
              <w:szCs w:val="36"/>
              <w:highlight w:val="none"/>
            </w:rPr>
            <w:t xml:space="preserve">第三章  合同条款及格式</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_Toc3582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20</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65"/>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"_Toc1169" </w:instrText>
          </w:r>
          <w:r>
            <w:rPr>
              <w:highlight w:val="none"/>
            </w:rPr>
            <w:fldChar w:fldCharType="separate"/>
          </w:r>
          <w:r>
            <w:rPr>
              <w:rFonts w:hint="eastAsia" w:ascii="黑体" w:hAnsi="黑体" w:eastAsia="黑体" w:cs="黑体"/>
              <w:sz w:val="36"/>
              <w:szCs w:val="36"/>
              <w:highlight w:val="none"/>
            </w:rPr>
            <w:t xml:space="preserve">第四章  采购需求</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_Toc1169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67</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65"/>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"_Toc6274" </w:instrText>
          </w:r>
          <w:r>
            <w:rPr>
              <w:highlight w:val="none"/>
            </w:rPr>
            <w:fldChar w:fldCharType="separate"/>
          </w:r>
          <w:r>
            <w:rPr>
              <w:rFonts w:hint="eastAsia" w:ascii="黑体" w:hAnsi="黑体" w:eastAsia="黑体" w:cs="黑体"/>
              <w:sz w:val="36"/>
              <w:szCs w:val="36"/>
              <w:highlight w:val="none"/>
            </w:rPr>
            <w:t xml:space="preserve">第五章  评审方法与评审标准</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_Toc6274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72</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65"/>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"_Toc21664" </w:instrText>
          </w:r>
          <w:r>
            <w:rPr>
              <w:highlight w:val="none"/>
            </w:rPr>
            <w:fldChar w:fldCharType="separate"/>
          </w:r>
          <w:r>
            <w:rPr>
              <w:rFonts w:hint="eastAsia" w:ascii="黑体" w:hAnsi="黑体" w:eastAsia="黑体" w:cs="黑体"/>
              <w:sz w:val="36"/>
              <w:szCs w:val="36"/>
              <w:highlight w:val="none"/>
            </w:rPr>
            <w:t xml:space="preserve">第六章  响应文件格式</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_Toc21664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76</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jc w:val="center"/>
            <w:rPr>
              <w:rFonts w:hint="eastAsia" w:ascii="黑体" w:hAnsi="黑体" w:eastAsia="黑体" w:cs="黑体"/>
              <w:sz w:val="36"/>
              <w:szCs w:val="36"/>
              <w:highlight w:val="none"/>
            </w:rPr>
          </w:pPr>
          <w:r>
            <w:rPr>
              <w:rFonts w:hint="eastAsia" w:ascii="黑体" w:hAnsi="黑体" w:eastAsia="黑体" w:cs="黑体"/>
              <w:sz w:val="36"/>
              <w:szCs w:val="36"/>
              <w:highlight w:val="none"/>
            </w:rPr>
            <w:fldChar w:fldCharType="end"/>
          </w:r>
          <w:r/>
        </w:p>
      </w:sdtContent>
    </w:sdt>
    <w:p>
      <w:pPr>
        <w:rPr>
          <w:highlight w:val="none"/>
        </w:rPr>
      </w:pPr>
      <w:r>
        <w:rPr>
          <w:highlight w:val="none"/>
        </w:rPr>
        <w:br w:type="page" w:clear="all"/>
      </w:r>
      <w:r/>
    </w:p>
    <w:p>
      <w:pPr>
        <w:pStyle w:val="873"/>
        <w:jc w:val="center"/>
        <w:keepNext/>
        <w:spacing w:beforeAutospacing="0" w:afterAutospacing="0"/>
        <w:rPr>
          <w:rFonts w:hint="eastAsia" w:ascii="仿宋" w:hAnsi="仿宋" w:eastAsia="仿宋" w:cs="仿宋"/>
          <w:sz w:val="28"/>
          <w:szCs w:val="28"/>
          <w:highlight w:val="none"/>
        </w:rPr>
        <w:outlineLvl w:val="0"/>
      </w:pPr>
      <w:r/>
      <w:bookmarkStart w:id="10" w:name="_Toc14496"/>
      <w:r/>
      <w:bookmarkStart w:id="11" w:name="_Toc28359086"/>
      <w:r>
        <w:rPr>
          <w:rFonts w:hint="eastAsia" w:ascii="黑体" w:hAnsi="宋体" w:eastAsia="黑体" w:cs="黑体"/>
          <w:sz w:val="44"/>
          <w:szCs w:val="44"/>
          <w:highlight w:val="none"/>
        </w:rPr>
        <w:t xml:space="preserve">第一章  竞争性磋商公告</w:t>
      </w:r>
      <w:bookmarkEnd w:id="10"/>
      <w:r/>
      <w:r/>
    </w:p>
    <w:p>
      <w:pPr>
        <w:pStyle w:val="873"/>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rPr>
        <w:t xml:space="preserve">项目概况</w:t>
      </w:r>
      <w:r/>
    </w:p>
    <w:p>
      <w:pPr>
        <w:pStyle w:val="873"/>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rPr>
        <w:t xml:space="preserve">龙冈镇三旺村道路及桥梁改造和人居环境提升项目采购项目的潜在供应商应在“苏采云”系统内免费下载（投标人必须在苏采云系统中获取磋商文件，方能参与政府采购项目）；并于</w:t>
      </w:r>
      <w:r>
        <w:rPr>
          <w:rFonts w:hint="eastAsia" w:ascii="宋体" w:hAnsi="宋体" w:eastAsia="宋体" w:cs="宋体"/>
          <w:highlight w:val="none"/>
          <w:u w:val="single"/>
        </w:rPr>
        <w:t xml:space="preserve">2026年11月 </w:t>
      </w:r>
      <w:r>
        <w:rPr>
          <w:rFonts w:hint="eastAsia" w:ascii="宋体" w:hAnsi="宋体" w:eastAsia="宋体" w:cs="宋体"/>
          <w:highlight w:val="none"/>
          <w:u w:val="single"/>
          <w:lang w:val="en-US" w:eastAsia="zh-CN"/>
        </w:rPr>
        <w:t xml:space="preserve">10</w:t>
      </w:r>
      <w:r>
        <w:rPr>
          <w:rFonts w:hint="eastAsia" w:ascii="宋体" w:hAnsi="宋体" w:eastAsia="宋体" w:cs="宋体"/>
          <w:highlight w:val="none"/>
          <w:u w:val="single"/>
        </w:rPr>
        <w:t xml:space="preserve"> 日15点00分</w:t>
      </w:r>
      <w:r>
        <w:rPr>
          <w:rFonts w:hint="eastAsia" w:ascii="宋体" w:hAnsi="宋体" w:eastAsia="宋体" w:cs="宋体"/>
          <w:highlight w:val="none"/>
          <w:u w:val="single"/>
        </w:rPr>
        <w:t xml:space="preserve">（北京时间）前递交响应文件。</w:t>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2" w:name="_Toc28359079"/>
      <w:r/>
      <w:bookmarkStart w:id="13" w:name="_Hlk24379207"/>
      <w:r/>
      <w:bookmarkStart w:id="14" w:name="_Toc28359002"/>
      <w:r/>
      <w:bookmarkStart w:id="15" w:name="_Toc35393621"/>
      <w:r/>
      <w:bookmarkStart w:id="16" w:name="_Toc35393790"/>
      <w:r/>
      <w:bookmarkStart w:id="17" w:name="_Toc38985263"/>
      <w:r>
        <w:rPr>
          <w:rFonts w:hint="eastAsia" w:ascii="宋体" w:hAnsi="宋体" w:eastAsia="宋体" w:cs="宋体"/>
          <w:b/>
          <w:highlight w:val="none"/>
        </w:rPr>
        <w:t xml:space="preserve">一、项目基本情况</w:t>
      </w:r>
      <w:bookmarkEnd w:id="12"/>
      <w:r/>
      <w:bookmarkEnd w:id="13"/>
      <w:r/>
      <w:bookmarkEnd w:id="14"/>
      <w:r/>
      <w:bookmarkEnd w:id="15"/>
      <w:r/>
      <w:bookmarkEnd w:id="16"/>
      <w:r/>
      <w:bookmarkEnd w:id="17"/>
      <w:r/>
      <w:r/>
    </w:p>
    <w:p>
      <w:pPr>
        <w:pStyle w:val="873"/>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1.项目编号</w:t>
      </w:r>
      <w:r>
        <w:rPr>
          <w:rFonts w:hint="eastAsia" w:ascii="宋体" w:hAnsi="宋体" w:eastAsia="宋体" w:cs="宋体"/>
          <w:highlight w:val="none"/>
          <w:lang w:eastAsia="zh-CN"/>
        </w:rPr>
        <w:t xml:space="preserve">JSZC-320903-CSXC-C2026-0049</w:t>
      </w:r>
      <w:r/>
    </w:p>
    <w:p>
      <w:pPr>
        <w:pStyle w:val="873"/>
        <w:ind w:firstLine="482"/>
        <w:jc w:val="both"/>
        <w:spacing w:beforeAutospacing="0" w:afterAutospacing="0" w:line="420" w:lineRule="exact"/>
        <w:rPr>
          <w:rFonts w:hint="eastAsia" w:ascii="宋体" w:hAnsi="宋体" w:eastAsia="宋体" w:cs="宋体"/>
          <w:highlight w:val="none"/>
        </w:rPr>
      </w:pPr>
      <w:r>
        <w:rPr>
          <w:rFonts w:hint="eastAsia" w:ascii="宋体" w:hAnsi="宋体" w:eastAsia="宋体" w:cs="宋体"/>
          <w:highlight w:val="none"/>
        </w:rPr>
        <w:t xml:space="preserve">2.项目名称：龙冈镇三旺村道路及桥梁改造和人居环境提升项目</w:t>
      </w:r>
      <w:r/>
    </w:p>
    <w:p>
      <w:pPr>
        <w:pStyle w:val="873"/>
        <w:ind w:firstLine="482"/>
        <w:jc w:val="both"/>
        <w:spacing w:beforeAutospacing="0" w:afterAutospacing="0" w:line="420" w:lineRule="exac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3.采购方式：竞争性磋商</w:t>
      </w:r>
      <w:r/>
    </w:p>
    <w:p>
      <w:pPr>
        <w:pStyle w:val="873"/>
        <w:ind w:firstLine="482"/>
        <w:jc w:val="both"/>
        <w:spacing w:beforeAutospacing="0" w:afterAutospacing="0" w:line="420" w:lineRule="exac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4.预算金额：</w:t>
      </w:r>
      <w:r>
        <w:rPr>
          <w:rFonts w:ascii="宋体" w:hAnsi="宋体" w:eastAsia="宋体" w:cs="宋体"/>
          <w:highlight w:val="none"/>
        </w:rPr>
        <w:t xml:space="preserve">3465759.1</w:t>
      </w:r>
      <w:r>
        <w:rPr>
          <w:rFonts w:hint="eastAsia" w:ascii="宋体" w:hAnsi="宋体" w:eastAsia="宋体" w:cs="宋体"/>
          <w:highlight w:val="none"/>
        </w:rPr>
        <w:t xml:space="preserve">1</w:t>
      </w:r>
      <w:r>
        <w:rPr>
          <w:rFonts w:hint="eastAsia" w:ascii="宋体" w:hAnsi="宋体" w:eastAsia="宋体" w:cs="宋体"/>
          <w:highlight w:val="none"/>
          <w:shd w:val="clear" w:color="auto" w:fill="ffffff"/>
        </w:rPr>
        <w:t xml:space="preserve">元 </w:t>
      </w:r>
      <w:r/>
    </w:p>
    <w:p>
      <w:pPr>
        <w:pStyle w:val="873"/>
        <w:ind w:firstLine="482"/>
        <w:jc w:val="both"/>
        <w:spacing w:beforeAutospacing="0" w:afterAutospacing="0" w:line="420" w:lineRule="exact"/>
        <w:rPr>
          <w:rFonts w:hint="eastAsia" w:ascii="宋体" w:hAnsi="宋体" w:eastAsia="宋体" w:cs="宋体"/>
          <w:highlight w:val="none"/>
        </w:rPr>
      </w:pPr>
      <w:r>
        <w:rPr>
          <w:rFonts w:hint="eastAsia" w:ascii="宋体" w:hAnsi="宋体" w:eastAsia="宋体" w:cs="宋体"/>
          <w:highlight w:val="none"/>
        </w:rPr>
        <w:t xml:space="preserve">5.最高限价：</w:t>
      </w:r>
      <w:r>
        <w:rPr>
          <w:rFonts w:ascii="宋体" w:hAnsi="宋体" w:eastAsia="宋体" w:cs="宋体"/>
          <w:highlight w:val="none"/>
        </w:rPr>
        <w:t xml:space="preserve">3465759.1</w:t>
      </w:r>
      <w:r>
        <w:rPr>
          <w:rFonts w:hint="eastAsia" w:ascii="宋体" w:hAnsi="宋体" w:eastAsia="宋体" w:cs="宋体"/>
          <w:highlight w:val="none"/>
        </w:rPr>
        <w:t xml:space="preserve">1元。投标人投标报价超出招标人设定最高投标限价的，其投标文件按无效标书处理。</w:t>
      </w:r>
      <w:r/>
    </w:p>
    <w:p>
      <w:pPr>
        <w:pStyle w:val="873"/>
        <w:ind w:firstLine="482"/>
        <w:jc w:val="both"/>
        <w:spacing w:beforeAutospacing="0" w:afterAutospacing="0" w:line="420" w:lineRule="exact"/>
        <w:rPr>
          <w:rFonts w:hint="eastAsia" w:ascii="宋体" w:hAnsi="宋体" w:eastAsia="宋体" w:cs="宋体"/>
          <w:highlight w:val="none"/>
        </w:rPr>
      </w:pPr>
      <w:r>
        <w:rPr>
          <w:rFonts w:hint="eastAsia" w:ascii="宋体" w:hAnsi="宋体" w:eastAsia="宋体" w:cs="宋体"/>
          <w:highlight w:val="none"/>
        </w:rPr>
        <w:t xml:space="preserve">6.采购需求：</w:t>
      </w:r>
      <w:r>
        <w:rPr>
          <w:rFonts w:ascii="宋体" w:hAnsi="宋体" w:eastAsia="宋体" w:cs="宋体"/>
          <w:highlight w:val="none"/>
        </w:rPr>
        <w:t xml:space="preserve">龙冈镇三旺村道路及桥梁改造和人居环境提升项目，主要内容为新建桥梁1座、建设道路2条，总面积约1957平方米、电杆迁移18根、庄前码头改建5个、绿化及环境提升等工程</w:t>
      </w:r>
      <w:r>
        <w:rPr>
          <w:rFonts w:hint="eastAsia" w:ascii="宋体" w:hAnsi="宋体" w:eastAsia="宋体" w:cs="宋体"/>
          <w:highlight w:val="none"/>
        </w:rPr>
        <w:t xml:space="preserve">。详见发包人提供的工程量清单和图纸，发包人保留对上述承包范围进行调整的权利。（详细内容见本磋商文件第四章）</w:t>
      </w:r>
      <w:r/>
    </w:p>
    <w:p>
      <w:pPr>
        <w:pStyle w:val="873"/>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7.合同履行期限：</w:t>
      </w:r>
      <w:r>
        <w:rPr>
          <w:rFonts w:hint="eastAsia" w:ascii="宋体" w:hAnsi="宋体" w:eastAsia="宋体" w:cs="宋体"/>
          <w:highlight w:val="none"/>
        </w:rPr>
        <w:t xml:space="preserve">60日历天，具体开工日期以监理签发的开工通知为准。</w:t>
      </w:r>
      <w:r>
        <w:rPr>
          <w:rFonts w:hint="eastAsia" w:ascii="宋体" w:hAnsi="宋体" w:eastAsia="宋体" w:cs="宋体"/>
          <w:highlight w:val="none"/>
          <w:lang w:eastAsia="zh-CN"/>
        </w:rPr>
        <w:t xml:space="preserve">（</w:t>
      </w:r>
      <w:r>
        <w:rPr>
          <w:rFonts w:hint="eastAsia" w:ascii="宋体" w:hAnsi="宋体" w:eastAsia="宋体" w:cs="宋体"/>
          <w:color w:val="auto"/>
          <w:highlight w:val="none"/>
          <w:lang w:val="en-US" w:eastAsia="zh-CN"/>
        </w:rPr>
        <w:t xml:space="preserve">注：承包人必须在2026年</w:t>
      </w:r>
      <w:r>
        <w:rPr>
          <w:rFonts w:hint="eastAsia" w:ascii="宋体" w:hAnsi="宋体" w:eastAsia="宋体" w:cs="宋体"/>
          <w:color w:val="auto"/>
          <w:highlight w:val="none"/>
        </w:rPr>
        <w:t xml:space="preserve">12月10日完成工程量70%，</w:t>
      </w:r>
      <w:r>
        <w:rPr>
          <w:rFonts w:hint="eastAsia" w:ascii="宋体" w:hAnsi="宋体" w:eastAsia="宋体" w:cs="宋体"/>
          <w:color w:val="auto"/>
          <w:highlight w:val="none"/>
          <w:lang w:val="en-US" w:eastAsia="zh-CN"/>
        </w:rPr>
        <w:t xml:space="preserve">否则承包人自行承担相应后果。</w:t>
      </w:r>
      <w:r>
        <w:rPr>
          <w:rFonts w:hint="eastAsia" w:ascii="宋体" w:hAnsi="宋体" w:eastAsia="宋体" w:cs="宋体"/>
          <w:color w:val="auto"/>
          <w:highlight w:val="none"/>
          <w:lang w:eastAsia="zh-CN"/>
        </w:rPr>
        <w:t xml:space="preserve">）</w:t>
      </w:r>
      <w:r/>
    </w:p>
    <w:p>
      <w:pPr>
        <w:ind w:firstLine="480"/>
        <w:spacing w:line="44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8.质量要求：合格</w:t>
      </w:r>
      <w:r/>
    </w:p>
    <w:p>
      <w:pPr>
        <w:ind w:firstLine="480"/>
        <w:spacing w:line="44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9.安全目标：无安全生产责任事故</w:t>
      </w:r>
      <w:r/>
    </w:p>
    <w:p>
      <w:pPr>
        <w:pStyle w:val="873"/>
        <w:ind w:firstLine="482"/>
        <w:jc w:val="both"/>
        <w:spacing w:beforeAutospacing="0" w:afterAutospacing="0" w:line="420" w:lineRule="exact"/>
        <w:rPr>
          <w:rFonts w:hint="eastAsia" w:ascii="宋体" w:hAnsi="宋体" w:eastAsia="宋体" w:cs="宋体"/>
          <w:highlight w:val="none"/>
        </w:rPr>
        <w:outlineLvl w:val="2"/>
      </w:pPr>
      <w:r>
        <w:rPr>
          <w:rFonts w:hint="eastAsia" w:ascii="宋体" w:hAnsi="宋体" w:eastAsia="宋体" w:cs="宋体"/>
          <w:highlight w:val="none"/>
        </w:rPr>
        <w:t xml:space="preserve">10.本项目</w:t>
      </w:r>
      <w:r>
        <w:rPr>
          <w:rFonts w:hint="eastAsia" w:ascii="宋体" w:hAnsi="宋体" w:eastAsia="宋体" w:cs="宋体"/>
          <w:highlight w:val="none"/>
          <w:u w:val="single"/>
        </w:rPr>
        <w:t xml:space="preserve"> 不</w:t>
      </w:r>
      <w:r>
        <w:rPr>
          <w:rFonts w:hint="eastAsia" w:ascii="宋体" w:hAnsi="宋体" w:eastAsia="宋体" w:cs="宋体"/>
          <w:b/>
          <w:bCs/>
          <w:highlight w:val="none"/>
          <w:u w:val="single"/>
        </w:rPr>
        <w:t xml:space="preserve"> </w:t>
      </w:r>
      <w:r>
        <w:rPr>
          <w:rFonts w:hint="eastAsia" w:ascii="宋体" w:hAnsi="宋体" w:eastAsia="宋体" w:cs="宋体"/>
          <w:highlight w:val="none"/>
        </w:rPr>
        <w:t xml:space="preserve">接受联合体参与磋商。</w:t>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8" w:name="_Toc38985264"/>
      <w:r/>
      <w:bookmarkStart w:id="19" w:name="_Toc35393622"/>
      <w:r/>
      <w:bookmarkStart w:id="20" w:name="_Toc28359003"/>
      <w:r/>
      <w:bookmarkStart w:id="21" w:name="_Toc28359080"/>
      <w:r/>
      <w:bookmarkStart w:id="22" w:name="_Toc35393791"/>
      <w:r>
        <w:rPr>
          <w:rFonts w:hint="eastAsia" w:ascii="宋体" w:hAnsi="宋体" w:eastAsia="宋体" w:cs="宋体"/>
          <w:b/>
          <w:highlight w:val="none"/>
        </w:rPr>
        <w:t xml:space="preserve">二、申请人的资格要求：</w:t>
      </w:r>
      <w:bookmarkEnd w:id="18"/>
      <w:r/>
      <w:bookmarkEnd w:id="19"/>
      <w:r/>
      <w:bookmarkEnd w:id="20"/>
      <w:r/>
      <w:bookmarkEnd w:id="21"/>
      <w:r/>
      <w:bookmarkEnd w:id="22"/>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1.满足《中华人民共和国政府采购法》第二十二条规定，并提供下列材料：</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 法人或者其他组织的营业执照等证明文件，自然人的身份证明；</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1.2上一年度的财务状况报告（成立不满一年无需提供）；</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1.3具备履行合同所必需的设备和专业技术能力的书面声明；</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1.5参加政府采购活动前3年内在经营活动中没有重大违法记录的书面声明。</w:t>
      </w:r>
      <w:r/>
    </w:p>
    <w:p>
      <w:pPr>
        <w:pStyle w:val="873"/>
        <w:ind w:firstLine="480"/>
        <w:jc w:val="both"/>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1.6法律、行政法规规定的其他条件。</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1.8单位负责人为同一人或者存在直接控股、管理关系的不同供应商，不得参加同一合同项下的政府采购活动。</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p>
    <w:p>
      <w:pPr>
        <w:pStyle w:val="873"/>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3"/>
      </w:pPr>
      <w:r>
        <w:rPr>
          <w:rFonts w:hint="eastAsia" w:ascii="宋体" w:hAnsi="宋体" w:eastAsia="宋体" w:cs="宋体"/>
          <w:highlight w:val="none"/>
        </w:rPr>
        <w:t xml:space="preserve">3.本项目的特定资格要求：</w:t>
      </w:r>
      <w:r/>
    </w:p>
    <w:p>
      <w:pPr>
        <w:pStyle w:val="873"/>
        <w:ind w:firstLine="48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3.1投标人要求：</w:t>
      </w:r>
      <w:r>
        <w:rPr>
          <w:rFonts w:ascii="宋体" w:hAnsi="宋体" w:eastAsia="宋体" w:cs="宋体"/>
          <w:highlight w:val="none"/>
        </w:rPr>
        <w:t xml:space="preserve">投标人须具有建设行政主管部门核发的市政公用工程施工总承包三级及以上资质的独立法人，并具有有效的安全生产许可证</w:t>
      </w:r>
      <w:r>
        <w:rPr>
          <w:rFonts w:hint="eastAsia" w:ascii="宋体" w:hAnsi="宋体" w:eastAsia="宋体" w:cs="宋体"/>
          <w:highlight w:val="none"/>
        </w:rPr>
        <w:t xml:space="preserve">。</w:t>
      </w:r>
      <w:r/>
    </w:p>
    <w:p>
      <w:pPr>
        <w:pStyle w:val="873"/>
        <w:ind w:firstLine="48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3.2项目负责人要求：</w:t>
      </w:r>
      <w:r>
        <w:rPr>
          <w:rFonts w:ascii="宋体" w:hAnsi="宋体" w:eastAsia="宋体" w:cs="宋体"/>
          <w:highlight w:val="none"/>
        </w:rPr>
        <w:t xml:space="preserve">项目负责人具有市政公用工程专业二级及以上注册建造师资格，并取得有效的安全生产考核合格证（B类）证书</w:t>
      </w:r>
      <w:r>
        <w:rPr>
          <w:rFonts w:hint="eastAsia" w:ascii="宋体" w:hAnsi="宋体" w:eastAsia="宋体" w:cs="宋体"/>
          <w:highlight w:val="none"/>
        </w:rPr>
        <w:t xml:space="preserve">；</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3.3其他要求：</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3.3.1 项目负责人从本工程投标文件递交截止之日起必须满足下列条件：</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项目负责人不得同时在两个或者两个以上单位受聘或者执业。</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3.3.2 投标申请人代理人及投标承诺的项目负责人均为本单位的正式职工，投标时提供从2026年8月开始至投标截止之日当月内至少1个月在本单位缴纳养老保险缴费记录证明（退休人员提供在本单位相关证明）。</w:t>
      </w:r>
      <w:r/>
    </w:p>
    <w:p>
      <w:pPr>
        <w:pStyle w:val="873"/>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三、获取磋商文件</w:t>
      </w:r>
      <w:r/>
    </w:p>
    <w:p>
      <w:pPr>
        <w:ind w:firstLine="480"/>
        <w:pageBreakBefore w:val="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outlineLvl w:val="2"/>
      </w:pPr>
      <w:r/>
      <w:bookmarkStart w:id="23" w:name="_Toc35393793"/>
      <w:r/>
      <w:bookmarkStart w:id="24" w:name="_Toc38985266"/>
      <w:r/>
      <w:bookmarkStart w:id="25" w:name="_Toc28359082"/>
      <w:r/>
      <w:bookmarkStart w:id="26" w:name="_Toc28359005"/>
      <w:r/>
      <w:bookmarkStart w:id="27" w:name="_Toc35393624"/>
      <w:r>
        <w:rPr>
          <w:rFonts w:hint="eastAsia" w:ascii="宋体" w:hAnsi="宋体" w:eastAsia="宋体" w:cs="宋体"/>
          <w:sz w:val="24"/>
          <w:highlight w:val="none"/>
        </w:rPr>
        <w:t xml:space="preserve">1.时间：自磋商文件公告发布之日起5个工作日。</w:t>
      </w:r>
      <w:bookmarkEnd w:id="23"/>
      <w:r/>
      <w:bookmarkEnd w:id="24"/>
      <w:r/>
      <w:bookmarkEnd w:id="25"/>
      <w:r/>
      <w:bookmarkEnd w:id="26"/>
      <w:r/>
      <w:bookmarkEnd w:id="27"/>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2.地点：“苏采云”系统内免费下载（投标人必须在苏采云系统中获取磋商文件，方能参与政府采购项目）；</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3.方式：本项目采用网上注册登记方式。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4.售价：0元</w:t>
      </w:r>
      <w:r/>
    </w:p>
    <w:p>
      <w:pPr>
        <w:pStyle w:val="873"/>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四、响应文件提交</w:t>
      </w:r>
      <w:r/>
    </w:p>
    <w:p>
      <w:pPr>
        <w:pStyle w:val="873"/>
        <w:ind w:firstLine="482"/>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1.截止时间：</w:t>
      </w:r>
      <w:r>
        <w:rPr>
          <w:rFonts w:hint="eastAsia" w:ascii="宋体" w:hAnsi="宋体" w:eastAsia="宋体" w:cs="宋体"/>
          <w:highlight w:val="none"/>
        </w:rPr>
        <w:t xml:space="preserve">2026年11月 </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 日15 点00分（北京时间）。</w:t>
      </w:r>
      <w:r/>
    </w:p>
    <w:p>
      <w:pPr>
        <w:pStyle w:val="873"/>
        <w:ind w:firstLine="482"/>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2.地点：苏采云“不见面”开标大厅 。</w:t>
      </w:r>
      <w:r/>
    </w:p>
    <w:p>
      <w:pPr>
        <w:pStyle w:val="873"/>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bookmarkStart w:id="28" w:name="_Toc38985268"/>
      <w:r/>
      <w:bookmarkStart w:id="29" w:name="_Toc35393795"/>
      <w:r/>
      <w:bookmarkStart w:id="30" w:name="_Toc35393626"/>
      <w:r>
        <w:rPr>
          <w:rFonts w:hint="eastAsia" w:ascii="宋体" w:hAnsi="宋体" w:eastAsia="宋体" w:cs="宋体"/>
          <w:b/>
          <w:highlight w:val="none"/>
        </w:rPr>
        <w:t xml:space="preserve">五、开启</w:t>
      </w:r>
      <w:r/>
    </w:p>
    <w:p>
      <w:pPr>
        <w:pStyle w:val="873"/>
        <w:ind w:firstLine="48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1.时间：2026年11月 </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 日15点00分（北京时间）。</w:t>
      </w:r>
      <w:bookmarkEnd w:id="28"/>
      <w:r/>
      <w:bookmarkEnd w:id="29"/>
      <w:r/>
      <w:bookmarkEnd w:id="30"/>
      <w:r/>
      <w:r/>
    </w:p>
    <w:p>
      <w:pPr>
        <w:pStyle w:val="873"/>
        <w:ind w:firstLine="48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2.地点：苏采云“不见面”开标大厅 。</w:t>
      </w:r>
      <w:r/>
    </w:p>
    <w:p>
      <w:pPr>
        <w:pStyle w:val="873"/>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bookmarkStart w:id="31" w:name="_Toc28359094"/>
      <w:r>
        <w:rPr>
          <w:rFonts w:hint="eastAsia" w:ascii="宋体" w:hAnsi="宋体" w:eastAsia="宋体" w:cs="宋体"/>
          <w:b/>
          <w:highlight w:val="none"/>
        </w:rPr>
        <w:t xml:space="preserve">六、公告期限</w:t>
      </w:r>
      <w:bookmarkEnd w:id="31"/>
      <w:r/>
      <w:r/>
    </w:p>
    <w:p>
      <w:pPr>
        <w:pStyle w:val="873"/>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873"/>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七、其他补充事宜</w:t>
      </w:r>
      <w:r/>
    </w:p>
    <w:p>
      <w:pPr>
        <w:pStyle w:val="873"/>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bookmarkStart w:id="32" w:name="_Toc28359018"/>
      <w:r>
        <w:rPr>
          <w:rFonts w:hint="eastAsia" w:ascii="宋体" w:hAnsi="宋体" w:eastAsia="宋体" w:cs="宋体"/>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73"/>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领取CA和办理电子签章（请至盐城市政务服务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pageBreakBefore w:val="0"/>
        <w:spacing w:line="360" w:lineRule="auto"/>
        <w:widowControl/>
        <w:rPr>
          <w:rFonts w:hint="eastAsia" w:ascii="宋体" w:hAnsi="宋体" w:eastAsia="宋体" w:cs="宋体"/>
          <w:sz w:val="24"/>
          <w:highlight w:val="none"/>
        </w:rPr>
        <w:outlineLvl w:val="2"/>
      </w:pPr>
      <w:r>
        <w:rPr>
          <w:rFonts w:hint="eastAsia" w:ascii="宋体" w:hAnsi="宋体" w:eastAsia="宋体" w:cs="宋体"/>
          <w:sz w:val="24"/>
          <w:highlight w:val="none"/>
        </w:rPr>
        <w:t xml:space="preserve">2.潜在供应商访问电子招标响应交易平台的网络地址和方法：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2.2 潜在投标人访问“苏采云”系统方法：江苏省政府采购网首页-“苏采云”链接。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2.3 磋商文件（后缀名为“.kedt”）、供应商操作手册及政府采购客户端 工具可通过“苏采云”系统相应链接进行下载。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2.4 采购代理机构将数据电文形式的磋商文件加载至“苏采云”系统，供潜在供应商下载或者查阅。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2.5 请潜在投标单位提前安装相应的控件（详见《“苏采云”系统供应商操作手册》）并使用谷歌浏览器登录“苏采云”系统参与不见面开评标。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如潜在投标人未按上述要求操作，将自行承担所产生的风险。</w:t>
      </w:r>
      <w:r/>
    </w:p>
    <w:p>
      <w:pPr>
        <w:pStyle w:val="873"/>
        <w:ind w:firstLine="48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3. 有关本次磋商的事项若存在变动或修改，敬请及时关注盐城市盐都区龙冈镇人民政府在“中国政府采购网”“江苏政府采购网”“盐城市政府采购网”发布的更正公告。</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 本次磋商不收取磋商保证金，不收取质量保证金。</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5.电子投标文件一份(通过系统提交)；纸质投标文件正本一份，副本四份（评审结束后由中标候选人邮寄至江苏协诚工程咨询有限公司，未中标单位不需要提供）。</w:t>
      </w:r>
      <w:r/>
    </w:p>
    <w:p>
      <w:pPr>
        <w:pStyle w:val="873"/>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八、凡对本次采购提出询问，请按以下方式联系。</w:t>
      </w:r>
      <w:bookmarkEnd w:id="32"/>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rPr>
          <w:rFonts w:hint="eastAsia" w:ascii="宋体" w:hAnsi="宋体" w:eastAsia="宋体" w:cs="宋体"/>
          <w:highlight w:val="none"/>
        </w:rPr>
        <w:t xml:space="preserve">1.采购人信息</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名 称：盐城市盐都区龙冈镇人民政府 </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地址：盐城市盐都区龙冈镇华兴大道 </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联系人：张书记              </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联系方式：13605103705            </w:t>
      </w:r>
      <w:bookmarkStart w:id="33" w:name="_Toc28359009"/>
      <w:r/>
      <w:bookmarkEnd w:id="33"/>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rPr>
          <w:rFonts w:hint="eastAsia" w:ascii="宋体" w:hAnsi="宋体" w:eastAsia="宋体" w:cs="宋体"/>
          <w:highlight w:val="none"/>
        </w:rPr>
        <w:t xml:space="preserve">2.采购代理机构信息</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名 称：江苏协诚工程咨询有限公司</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地 址：盐城市盐龙街道振兴路109号华航科技广场5号楼903室</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联系人：董女士                     </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联系方式：15950220182                </w:t>
      </w:r>
      <w:bookmarkStart w:id="34" w:name="_Toc28359010"/>
      <w:r/>
      <w:bookmarkEnd w:id="34"/>
      <w:r/>
      <w:bookmarkStart w:id="35" w:name="_Toc28359087"/>
      <w:r/>
      <w:bookmarkEnd w:id="35"/>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bookmarkStart w:id="36" w:name="_Toc28359021"/>
      <w:r>
        <w:rPr>
          <w:rFonts w:hint="eastAsia" w:ascii="宋体" w:hAnsi="宋体" w:eastAsia="宋体" w:cs="宋体"/>
          <w:highlight w:val="none"/>
        </w:rPr>
        <w:t xml:space="preserve">3.</w:t>
      </w:r>
      <w:bookmarkEnd w:id="36"/>
      <w:r>
        <w:rPr>
          <w:rFonts w:hint="eastAsia" w:ascii="宋体" w:hAnsi="宋体" w:eastAsia="宋体" w:cs="宋体"/>
          <w:highlight w:val="none"/>
        </w:rPr>
        <w:t xml:space="preserve">项目联系方式</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项目联系人：张书记</w:t>
      </w:r>
      <w:r/>
    </w:p>
    <w:p>
      <w:pPr>
        <w:pStyle w:val="873"/>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电　　 话：13605103705　　　　　　　　　　　</w:t>
      </w:r>
      <w:r/>
    </w:p>
    <w:p>
      <w:pPr>
        <w:rPr>
          <w:highlight w:val="none"/>
        </w:rPr>
      </w:pPr>
      <w:r>
        <w:rPr>
          <w:highlight w:val="none"/>
        </w:rPr>
        <w:t xml:space="preserve"> </w:t>
      </w:r>
      <w:r/>
    </w:p>
    <w:p>
      <w:pPr>
        <w:jc w:val="center"/>
        <w:rPr>
          <w:rFonts w:hint="eastAsia" w:ascii="黑体" w:hAnsi="宋体" w:eastAsia="黑体" w:cs="黑体"/>
          <w:b/>
          <w:sz w:val="44"/>
          <w:szCs w:val="44"/>
          <w:highlight w:val="none"/>
        </w:rPr>
      </w:pPr>
      <w:r/>
      <w:bookmarkStart w:id="37" w:name="_Toc120614211"/>
      <w:r/>
      <w:bookmarkStart w:id="38" w:name="_Toc21039"/>
      <w:r>
        <w:rPr>
          <w:rFonts w:hint="eastAsia" w:ascii="黑体" w:hAnsi="宋体" w:eastAsia="黑体" w:cs="黑体"/>
          <w:b/>
          <w:sz w:val="44"/>
          <w:szCs w:val="44"/>
          <w:highlight w:val="none"/>
        </w:rPr>
        <w:br w:type="page" w:clear="all"/>
      </w:r>
      <w:r>
        <w:rPr>
          <w:rFonts w:hint="eastAsia" w:ascii="黑体" w:hAnsi="宋体" w:eastAsia="黑体" w:cs="黑体"/>
          <w:b/>
          <w:sz w:val="44"/>
          <w:szCs w:val="44"/>
          <w:highlight w:val="none"/>
        </w:rPr>
        <w:t xml:space="preserve">第二章  </w:t>
      </w:r>
      <w:bookmarkEnd w:id="37"/>
      <w:r>
        <w:rPr>
          <w:rFonts w:hint="eastAsia" w:ascii="黑体" w:hAnsi="宋体" w:eastAsia="黑体" w:cs="黑体"/>
          <w:b/>
          <w:sz w:val="44"/>
          <w:szCs w:val="44"/>
          <w:highlight w:val="none"/>
        </w:rPr>
        <w:t xml:space="preserve">供应商须知</w:t>
      </w:r>
      <w:bookmarkEnd w:id="38"/>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39" w:name="_Toc20823275"/>
      <w:r/>
      <w:bookmarkStart w:id="40" w:name="_Toc16938519"/>
      <w:r/>
      <w:bookmarkStart w:id="41" w:name="_Toc120614214"/>
      <w:r/>
      <w:bookmarkStart w:id="42" w:name="_Toc513029203"/>
      <w:r>
        <w:rPr>
          <w:rFonts w:hint="eastAsia" w:ascii="宋体" w:hAnsi="宋体" w:eastAsia="宋体" w:cs="宋体"/>
          <w:b/>
          <w:highlight w:val="none"/>
        </w:rPr>
        <w:t xml:space="preserve">一、总则</w:t>
      </w:r>
      <w:bookmarkEnd w:id="39"/>
      <w:r/>
      <w:bookmarkEnd w:id="40"/>
      <w:r/>
      <w:bookmarkEnd w:id="41"/>
      <w:r/>
      <w:bookmarkEnd w:id="42"/>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43" w:name="_Toc20823276"/>
      <w:r/>
      <w:bookmarkStart w:id="44" w:name="_Toc458694821"/>
      <w:r/>
      <w:bookmarkStart w:id="45" w:name="_Toc513029204"/>
      <w:r/>
      <w:bookmarkStart w:id="46" w:name="_Toc16938520"/>
      <w:r/>
      <w:bookmarkStart w:id="47" w:name="_Hlt16619475"/>
      <w:r>
        <w:rPr>
          <w:rFonts w:hint="eastAsia" w:ascii="宋体" w:hAnsi="宋体" w:eastAsia="宋体" w:cs="宋体"/>
          <w:highlight w:val="none"/>
        </w:rPr>
        <w:t xml:space="preserve">1</w:t>
      </w:r>
      <w:bookmarkEnd w:id="43"/>
      <w:r>
        <w:rPr>
          <w:rFonts w:hint="eastAsia" w:ascii="宋体" w:hAnsi="宋体" w:eastAsia="宋体" w:cs="宋体"/>
          <w:highlight w:val="none"/>
        </w:rPr>
        <w:t xml:space="preserve">、采购方式</w:t>
      </w:r>
      <w:bookmarkEnd w:id="44"/>
      <w:r/>
      <w:bookmarkEnd w:id="45"/>
      <w:r/>
      <w:bookmarkEnd w:id="46"/>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 本次政府采购活动采取竞争性磋商(以下简称磋商)方式，本磋商文件仅适用于磋商公告中所述项目。</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48" w:name="_Toc16938521"/>
      <w:r/>
      <w:bookmarkStart w:id="49" w:name="_Toc513029205"/>
      <w:r/>
      <w:bookmarkStart w:id="50" w:name="_Toc20823277"/>
      <w:r>
        <w:rPr>
          <w:rFonts w:hint="eastAsia" w:ascii="宋体" w:hAnsi="宋体" w:eastAsia="宋体" w:cs="宋体"/>
          <w:highlight w:val="none"/>
        </w:rPr>
        <w:t xml:space="preserve">2、合格的</w:t>
      </w:r>
      <w:bookmarkEnd w:id="48"/>
      <w:r/>
      <w:bookmarkEnd w:id="49"/>
      <w:r/>
      <w:bookmarkEnd w:id="50"/>
      <w:r>
        <w:rPr>
          <w:rFonts w:hint="eastAsia" w:ascii="宋体" w:hAnsi="宋体" w:eastAsia="宋体" w:cs="宋体"/>
          <w:highlight w:val="none"/>
        </w:rPr>
        <w:t xml:space="preserve">供应商</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2.1满足磋商公告中供应商资格要求的规定。</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2.2 满足本磋商文件实质性要求和条件的规定。</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51" w:name="_Toc16938522"/>
      <w:r/>
      <w:bookmarkStart w:id="52" w:name="_Toc20823278"/>
      <w:r/>
      <w:bookmarkStart w:id="53" w:name="_Toc513029206"/>
      <w:r>
        <w:rPr>
          <w:rFonts w:hint="eastAsia" w:ascii="宋体" w:hAnsi="宋体" w:eastAsia="宋体" w:cs="宋体"/>
          <w:highlight w:val="none"/>
        </w:rPr>
        <w:t xml:space="preserve">3、适用法律</w:t>
      </w:r>
      <w:bookmarkEnd w:id="51"/>
      <w:r/>
      <w:bookmarkEnd w:id="52"/>
      <w:r/>
      <w:bookmarkEnd w:id="53"/>
      <w:r/>
      <w:r/>
    </w:p>
    <w:p>
      <w:pPr>
        <w:pStyle w:val="873"/>
        <w:ind w:firstLine="42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 本次磋商及由此产生的合同受中华人民共和国有关的法律法规制约和保护。</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54" w:name="_Toc462564067"/>
      <w:r/>
      <w:bookmarkStart w:id="55" w:name="_Toc513029207"/>
      <w:r/>
      <w:bookmarkStart w:id="56" w:name="_Toc20823279"/>
      <w:r/>
      <w:bookmarkStart w:id="57" w:name="_Toc16938523"/>
      <w:r>
        <w:rPr>
          <w:rFonts w:hint="eastAsia" w:ascii="宋体" w:hAnsi="宋体" w:eastAsia="宋体" w:cs="宋体"/>
          <w:highlight w:val="none"/>
        </w:rPr>
        <w:t xml:space="preserve">4、磋商费用</w:t>
      </w:r>
      <w:bookmarkEnd w:id="54"/>
      <w:r/>
      <w:bookmarkEnd w:id="55"/>
      <w:r/>
      <w:bookmarkEnd w:id="56"/>
      <w:r/>
      <w:bookmarkEnd w:id="57"/>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4.1供应商应自行承担所有与参加本次磋商有关的费用，无论磋商过程中的做法和结果如何，采购人及代理机构在任何情况下均无义务和责任承担这些费用。</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4.2本次磋商不收取标书工本费。</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5、磋商文件的约束力</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5.1供应商一旦参加本项目采购活动，即被认为接受了本磋商文件的规定和约束。</w:t>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58" w:name="_Toc513029209"/>
      <w:r/>
      <w:bookmarkStart w:id="59" w:name="_Toc20823281"/>
      <w:r/>
      <w:bookmarkStart w:id="60" w:name="_Toc16938525"/>
      <w:r/>
      <w:bookmarkStart w:id="61" w:name="_Toc120614215"/>
      <w:r>
        <w:rPr>
          <w:rFonts w:hint="eastAsia" w:ascii="宋体" w:hAnsi="宋体" w:eastAsia="宋体" w:cs="宋体"/>
          <w:b/>
          <w:highlight w:val="none"/>
        </w:rPr>
        <w:t xml:space="preserve">二、</w:t>
      </w:r>
      <w:bookmarkEnd w:id="58"/>
      <w:r/>
      <w:bookmarkEnd w:id="59"/>
      <w:r/>
      <w:bookmarkEnd w:id="60"/>
      <w:r/>
      <w:bookmarkEnd w:id="61"/>
      <w:r>
        <w:rPr>
          <w:rFonts w:hint="eastAsia" w:ascii="宋体" w:hAnsi="宋体" w:eastAsia="宋体" w:cs="宋体"/>
          <w:b/>
          <w:highlight w:val="none"/>
        </w:rPr>
        <w:t xml:space="preserve">磋商文件</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62" w:name="_Toc20823282"/>
      <w:r/>
      <w:bookmarkStart w:id="63" w:name="_Toc513029210"/>
      <w:r/>
      <w:bookmarkStart w:id="64" w:name="_Toc16938526"/>
      <w:r>
        <w:rPr>
          <w:rFonts w:hint="eastAsia" w:ascii="宋体" w:hAnsi="宋体" w:eastAsia="宋体" w:cs="宋体"/>
          <w:highlight w:val="none"/>
        </w:rPr>
        <w:t xml:space="preserve">6、磋商文件构成</w:t>
      </w:r>
      <w:bookmarkEnd w:id="62"/>
      <w:r/>
      <w:bookmarkEnd w:id="63"/>
      <w:r/>
      <w:bookmarkEnd w:id="64"/>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6.1磋商文件由以下部分组成：</w:t>
      </w:r>
      <w:r/>
    </w:p>
    <w:p>
      <w:pPr>
        <w:pStyle w:val="873"/>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（1）磋商公告</w:t>
      </w:r>
      <w:r/>
    </w:p>
    <w:p>
      <w:pPr>
        <w:pStyle w:val="873"/>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（2）供应商须知</w:t>
      </w:r>
      <w:r/>
    </w:p>
    <w:p>
      <w:pPr>
        <w:pStyle w:val="873"/>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（3）合同文本</w:t>
      </w:r>
      <w:r/>
    </w:p>
    <w:p>
      <w:pPr>
        <w:pStyle w:val="873"/>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（4）采购需求</w:t>
      </w:r>
      <w:r/>
    </w:p>
    <w:p>
      <w:pPr>
        <w:pStyle w:val="873"/>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（5）评审方法与评审标准</w:t>
      </w:r>
      <w:r/>
    </w:p>
    <w:p>
      <w:pPr>
        <w:pStyle w:val="873"/>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（6）响应文件格式</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请仔细检查磋商文件是否齐全，如有缺漏请立即与采购人联系解决。</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3"/>
        <w:ind w:firstLine="560"/>
        <w:jc w:val="both"/>
        <w:keepLines/>
        <w:keepNext/>
        <w:spacing w:beforeAutospacing="0" w:afterAutospacing="0" w:line="440" w:lineRule="exact"/>
        <w:rPr>
          <w:rFonts w:hint="eastAsia" w:ascii="宋体" w:hAnsi="宋体" w:eastAsia="宋体" w:cs="宋体"/>
          <w:highlight w:val="none"/>
        </w:rPr>
        <w:outlineLvl w:val="2"/>
      </w:pPr>
      <w:r/>
      <w:bookmarkStart w:id="65" w:name="_Toc16938527"/>
      <w:r/>
      <w:bookmarkStart w:id="66" w:name="_Toc462564070"/>
      <w:r/>
      <w:bookmarkStart w:id="67" w:name="_Toc513029211"/>
      <w:r/>
      <w:bookmarkStart w:id="68" w:name="_Toc20823283"/>
      <w:r>
        <w:rPr>
          <w:rFonts w:hint="eastAsia" w:ascii="宋体" w:hAnsi="宋体" w:eastAsia="宋体" w:cs="宋体"/>
          <w:highlight w:val="none"/>
        </w:rPr>
        <w:t xml:space="preserve">7、磋商文件的澄清</w:t>
      </w:r>
      <w:bookmarkEnd w:id="65"/>
      <w:r/>
      <w:bookmarkEnd w:id="66"/>
      <w:r/>
      <w:bookmarkEnd w:id="67"/>
      <w:r/>
      <w:bookmarkEnd w:id="68"/>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7.1 任何要求对磋商文件进行澄清的供应商，应在磋商截止期5日前按磋商公告中的通讯地址，以书面形式通知采购人。</w:t>
      </w:r>
      <w:r/>
    </w:p>
    <w:p>
      <w:pPr>
        <w:pStyle w:val="873"/>
        <w:ind w:firstLine="560"/>
        <w:jc w:val="both"/>
        <w:keepLines/>
        <w:keepNext/>
        <w:spacing w:beforeAutospacing="0" w:afterAutospacing="0" w:line="440" w:lineRule="exact"/>
        <w:rPr>
          <w:rFonts w:hint="eastAsia" w:ascii="宋体" w:hAnsi="宋体" w:eastAsia="宋体" w:cs="宋体"/>
          <w:highlight w:val="none"/>
        </w:rPr>
        <w:outlineLvl w:val="2"/>
      </w:pPr>
      <w:r/>
      <w:bookmarkStart w:id="69" w:name="_Toc16938528"/>
      <w:r/>
      <w:bookmarkStart w:id="70" w:name="_Toc513029212"/>
      <w:r/>
      <w:bookmarkStart w:id="71" w:name="_Toc462564071"/>
      <w:r/>
      <w:bookmarkStart w:id="72" w:name="_Toc20823284"/>
      <w:r>
        <w:rPr>
          <w:rFonts w:hint="eastAsia" w:ascii="宋体" w:hAnsi="宋体" w:eastAsia="宋体" w:cs="宋体"/>
          <w:highlight w:val="none"/>
        </w:rPr>
        <w:t xml:space="preserve">8、磋商文件的澄清和修改</w:t>
      </w:r>
      <w:bookmarkEnd w:id="69"/>
      <w:r/>
      <w:bookmarkEnd w:id="70"/>
      <w:r/>
      <w:bookmarkEnd w:id="71"/>
      <w:r/>
      <w:bookmarkEnd w:id="72"/>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8.2采购人可以视采购项目的具体情况，组织供应商进行现场考察或召开磋商前答疑会，但不单独或分别组织只有一个供应商参加的现场考察和答疑会。</w:t>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73" w:name="_Toc16938529"/>
      <w:r/>
      <w:bookmarkStart w:id="74" w:name="_Toc120614216"/>
      <w:r/>
      <w:bookmarkStart w:id="75" w:name="_Toc513029213"/>
      <w:r/>
      <w:bookmarkStart w:id="76" w:name="_Toc462564072"/>
      <w:r/>
      <w:bookmarkStart w:id="77" w:name="_Toc20823285"/>
      <w:r>
        <w:rPr>
          <w:rFonts w:hint="eastAsia" w:ascii="宋体" w:hAnsi="宋体" w:eastAsia="宋体" w:cs="宋体"/>
          <w:b/>
          <w:highlight w:val="none"/>
        </w:rPr>
        <w:t xml:space="preserve">三、响应文件的编制</w:t>
      </w:r>
      <w:bookmarkEnd w:id="73"/>
      <w:r/>
      <w:bookmarkEnd w:id="74"/>
      <w:r/>
      <w:bookmarkEnd w:id="75"/>
      <w:r/>
      <w:bookmarkEnd w:id="76"/>
      <w:r/>
      <w:bookmarkEnd w:id="77"/>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78" w:name="_Toc20823286"/>
      <w:r/>
      <w:bookmarkStart w:id="79" w:name="_Toc513029214"/>
      <w:r/>
      <w:bookmarkStart w:id="80" w:name="_Toc462564073"/>
      <w:r/>
      <w:bookmarkStart w:id="81" w:name="_Toc16938530"/>
      <w:r>
        <w:rPr>
          <w:rFonts w:hint="eastAsia" w:ascii="宋体" w:hAnsi="宋体" w:eastAsia="宋体" w:cs="宋体"/>
          <w:highlight w:val="none"/>
        </w:rPr>
        <w:t xml:space="preserve">9、响应文件的语言及度量衡单位</w:t>
      </w:r>
      <w:bookmarkEnd w:id="78"/>
      <w:r/>
      <w:bookmarkEnd w:id="79"/>
      <w:r/>
      <w:bookmarkEnd w:id="80"/>
      <w:r/>
      <w:bookmarkEnd w:id="81"/>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9.1供应商提交的响应文件以及供应商与采购人就有关磋商的所有来往通知、函件和文件均应使用</w:t>
      </w:r>
      <w:r>
        <w:rPr>
          <w:rFonts w:hint="eastAsia" w:ascii="宋体" w:hAnsi="宋体" w:eastAsia="宋体" w:cs="宋体"/>
          <w:b/>
          <w:highlight w:val="none"/>
        </w:rPr>
        <w:t xml:space="preserve">简体中文</w:t>
      </w:r>
      <w:r>
        <w:rPr>
          <w:rFonts w:hint="eastAsia" w:ascii="宋体" w:hAnsi="宋体" w:eastAsia="宋体" w:cs="宋体"/>
          <w:highlight w:val="none"/>
        </w:rPr>
        <w:t xml:space="preserve">。</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9.2 除技术性能另有规定外，响应文件所使用的度量衡单位，均须采用国家法定计量单位。</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82" w:name="_Toc513029215"/>
      <w:r/>
      <w:bookmarkStart w:id="83" w:name="_Toc462564074"/>
      <w:r/>
      <w:bookmarkStart w:id="84" w:name="_Toc20823287"/>
      <w:r/>
      <w:bookmarkStart w:id="85" w:name="_Toc16938531"/>
      <w:r>
        <w:rPr>
          <w:rFonts w:hint="eastAsia" w:ascii="宋体" w:hAnsi="宋体" w:eastAsia="宋体" w:cs="宋体"/>
          <w:highlight w:val="none"/>
        </w:rPr>
        <w:t xml:space="preserve">10、响应文件构成</w:t>
      </w:r>
      <w:bookmarkEnd w:id="82"/>
      <w:r/>
      <w:bookmarkEnd w:id="83"/>
      <w:r/>
      <w:bookmarkEnd w:id="84"/>
      <w:r/>
      <w:bookmarkEnd w:id="85"/>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10.1供应商编写的响应文件应包括资格证明文件、符合性证明文件、分项报价表、技术要求响应及偏离表、商务要求响应及偏离表、其他证明文件、磋商响应函等部分。</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86" w:name="_Toc513029219"/>
      <w:r/>
      <w:bookmarkStart w:id="87" w:name="_Toc14577355"/>
      <w:r/>
      <w:bookmarkStart w:id="88" w:name="_Toc14577354"/>
      <w:r/>
      <w:bookmarkStart w:id="89" w:name="_Toc513029216"/>
      <w:r/>
      <w:bookmarkStart w:id="90" w:name="_Toc14577357"/>
      <w:r/>
      <w:bookmarkStart w:id="91" w:name="_Toc49090507"/>
      <w:r/>
      <w:bookmarkStart w:id="92" w:name="_Toc49090508"/>
      <w:r/>
      <w:bookmarkStart w:id="93" w:name="_Toc49090509"/>
      <w:r/>
      <w:bookmarkStart w:id="94" w:name="_Hlt26668975"/>
      <w:r/>
      <w:bookmarkStart w:id="95" w:name="_Hlt26670360"/>
      <w:r/>
      <w:bookmarkStart w:id="96" w:name="_Hlt26954838"/>
      <w:r>
        <w:rPr>
          <w:rFonts w:hint="eastAsia" w:ascii="宋体" w:hAnsi="宋体" w:eastAsia="宋体" w:cs="宋体"/>
          <w:highlight w:val="none"/>
        </w:rPr>
        <w:t xml:space="preserve">11、证明磋商响应标的符合磋商文件规定的文件</w:t>
      </w:r>
      <w:bookmarkEnd w:id="86"/>
      <w:r/>
      <w:bookmarkEnd w:id="87"/>
      <w:r/>
      <w:bookmarkEnd w:id="88"/>
      <w:r/>
      <w:bookmarkEnd w:id="89"/>
      <w:r/>
      <w:bookmarkEnd w:id="90"/>
      <w:r/>
      <w:bookmarkEnd w:id="91"/>
      <w:r/>
      <w:bookmarkEnd w:id="92"/>
      <w:r/>
      <w:bookmarkEnd w:id="93"/>
      <w:r/>
      <w:r/>
    </w:p>
    <w:p>
      <w:pPr>
        <w:pStyle w:val="873"/>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11.1供应商应按照磋商文件要求提交证明文件，证明其及磋商响应标的符合磋商文件规定。</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11.2磋商文件对证明文件无明确形式要求的，证明文件可以以文字资料、图纸和数据等形式提交。</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12、分项报价表</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12.1供应商应按照磋商文件规定格式填报分项报价表。</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12.2磋商货币。响应文件中的单价和总价无特殊规定的采用人民币报价，以元为单位标注。磋商文件中另有规定的按规定执行。</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97" w:name="_Hlt26954846"/>
      <w:r/>
      <w:bookmarkStart w:id="98" w:name="_Hlt26670482"/>
      <w:r/>
      <w:bookmarkStart w:id="99" w:name="_Hlt26954731"/>
      <w:r/>
      <w:bookmarkStart w:id="100" w:name="_Hlt26954848"/>
      <w:r/>
      <w:bookmarkStart w:id="101" w:name="_Hlt26670486"/>
      <w:r>
        <w:rPr>
          <w:rFonts w:hint="eastAsia" w:ascii="宋体" w:hAnsi="宋体" w:eastAsia="宋体" w:cs="宋体"/>
          <w:highlight w:val="none"/>
        </w:rPr>
        <w:t xml:space="preserve">13、技术要求响应及偏离表、商务要求响应及偏离表</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13.1供应商需对磋商文件中的技术要求与商务要求逐项作出响应或偏离，并说明原因。</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13.2供应商可在响应文件中提供认为需要的其他技术文件或说明。</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14、服务承诺、培训计划、人员安排及其他</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14.1供应商需根据磋商文件要求提供有关售后服务的管理制度，售后服务机构的分布情况，售后服务人员的数量、素质、技术水平及售后服务的反应能力等。</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14.2供应商需根据磋商文件要求提供培训计划。</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14.3供应商需根据磋商文件要求提供磋商响应标的的主要组成部分、功能设计、实现思路及关键技术等。</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102" w:name="_Toc14577359"/>
      <w:r/>
      <w:bookmarkStart w:id="103" w:name="_Toc49090510"/>
      <w:r>
        <w:rPr>
          <w:rFonts w:hint="eastAsia" w:ascii="宋体" w:hAnsi="宋体" w:eastAsia="宋体" w:cs="宋体"/>
          <w:highlight w:val="none"/>
        </w:rPr>
        <w:t xml:space="preserve">15、磋商响应函</w:t>
      </w:r>
      <w:bookmarkEnd w:id="102"/>
      <w:r/>
      <w:bookmarkEnd w:id="103"/>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15.1供应商应按照磋商文件中提供的格式完整、正确填写磋商响应函。</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104" w:name="_Toc49090511"/>
      <w:r/>
      <w:bookmarkStart w:id="105" w:name="_Toc14577360"/>
      <w:r>
        <w:rPr>
          <w:rFonts w:hint="eastAsia" w:ascii="宋体" w:hAnsi="宋体" w:eastAsia="宋体" w:cs="宋体"/>
          <w:highlight w:val="none"/>
        </w:rPr>
        <w:t xml:space="preserve">16、磋商有效期</w:t>
      </w:r>
      <w:bookmarkEnd w:id="104"/>
      <w:r/>
      <w:bookmarkEnd w:id="105"/>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16.1磋商有效期为采购人规定的提交响应文件截止之日后</w:t>
      </w:r>
      <w:r>
        <w:rPr>
          <w:rFonts w:hint="eastAsia" w:ascii="宋体" w:hAnsi="宋体" w:eastAsia="宋体" w:cs="宋体"/>
          <w:b/>
          <w:highlight w:val="none"/>
          <w:u w:val="single"/>
        </w:rPr>
        <w:t xml:space="preserve">九十（90）天</w:t>
      </w:r>
      <w:r>
        <w:rPr>
          <w:rFonts w:hint="eastAsia" w:ascii="宋体" w:hAnsi="宋体" w:eastAsia="宋体" w:cs="宋体"/>
          <w:highlight w:val="none"/>
        </w:rPr>
        <w:t xml:space="preserve">。磋商有效期比规定短的将被视为非实质性响应磋商文件而予以拒绝。</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17、磋商有效期的延长</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06" w:name="_Toc16938540"/>
      <w:r/>
      <w:bookmarkStart w:id="107" w:name="_Toc20823296"/>
      <w:r/>
      <w:bookmarkStart w:id="108" w:name="_Toc120614217"/>
      <w:r/>
      <w:bookmarkStart w:id="109" w:name="_Toc513029224"/>
      <w:r/>
      <w:bookmarkStart w:id="110" w:name="_Hlt26954739"/>
      <w:r/>
      <w:bookmarkStart w:id="111" w:name="_Hlt26954852"/>
      <w:r>
        <w:rPr>
          <w:rFonts w:hint="eastAsia" w:ascii="宋体" w:hAnsi="宋体" w:eastAsia="宋体" w:cs="宋体"/>
          <w:b/>
          <w:highlight w:val="none"/>
        </w:rPr>
        <w:t xml:space="preserve">四、响应文件的递交</w:t>
      </w:r>
      <w:bookmarkEnd w:id="106"/>
      <w:r/>
      <w:bookmarkEnd w:id="107"/>
      <w:r/>
      <w:bookmarkEnd w:id="108"/>
      <w:r/>
      <w:bookmarkEnd w:id="109"/>
      <w:r/>
      <w:r/>
    </w:p>
    <w:p>
      <w:pPr>
        <w:pStyle w:val="873"/>
        <w:ind w:firstLine="560"/>
        <w:jc w:val="both"/>
        <w:keepLines/>
        <w:keepNext/>
        <w:spacing w:beforeAutospacing="0" w:afterAutospacing="0" w:line="440" w:lineRule="exact"/>
        <w:rPr>
          <w:rFonts w:hint="eastAsia" w:ascii="宋体" w:hAnsi="宋体" w:eastAsia="宋体" w:cs="宋体"/>
          <w:highlight w:val="none"/>
        </w:rPr>
        <w:outlineLvl w:val="2"/>
      </w:pPr>
      <w:r/>
      <w:bookmarkStart w:id="112" w:name="_Toc16938541"/>
      <w:r/>
      <w:bookmarkStart w:id="113" w:name="_Toc513029225"/>
      <w:r/>
      <w:bookmarkStart w:id="114" w:name="_Toc462564084"/>
      <w:r/>
      <w:bookmarkStart w:id="115" w:name="_Toc20823297"/>
      <w:r>
        <w:rPr>
          <w:rFonts w:hint="eastAsia" w:ascii="宋体" w:hAnsi="宋体" w:eastAsia="宋体" w:cs="宋体"/>
          <w:highlight w:val="none"/>
        </w:rPr>
        <w:t xml:space="preserve">18、电子磋商</w:t>
      </w:r>
      <w:bookmarkEnd w:id="112"/>
      <w:r/>
      <w:bookmarkEnd w:id="113"/>
      <w:r/>
      <w:bookmarkEnd w:id="114"/>
      <w:r/>
      <w:bookmarkEnd w:id="115"/>
      <w:r>
        <w:rPr>
          <w:rFonts w:hint="eastAsia" w:ascii="宋体" w:hAnsi="宋体" w:eastAsia="宋体" w:cs="宋体"/>
          <w:highlight w:val="none"/>
        </w:rPr>
        <w:t xml:space="preserve">响应文件的递交</w:t>
      </w:r>
      <w:r/>
    </w:p>
    <w:p>
      <w:pPr>
        <w:pStyle w:val="873"/>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18.1供应商应当按照《操作手册》规定，在提交响应文件截止时间前制作并上传电子响应文件。</w:t>
      </w:r>
      <w:bookmarkStart w:id="116" w:name="_Toc16938542"/>
      <w:r/>
      <w:bookmarkEnd w:id="116"/>
      <w:r/>
      <w:bookmarkStart w:id="117" w:name="_Toc20823298"/>
      <w:r/>
      <w:bookmarkEnd w:id="117"/>
      <w:r/>
      <w:bookmarkStart w:id="118" w:name="_Toc513029226"/>
      <w:r/>
      <w:r/>
    </w:p>
    <w:p>
      <w:pPr>
        <w:pStyle w:val="873"/>
        <w:ind w:firstLine="56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19、提交响应文件截止时间</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i/>
          <w:highlight w:val="none"/>
          <w:u w:val="single"/>
        </w:rPr>
        <w:t xml:space="preserve">19.1供应商上传电子响应文件的时间不得迟于磋商公告中规定的提交响应文件截止时间。</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119" w:name="_Toc20823299"/>
      <w:r/>
      <w:bookmarkStart w:id="120" w:name="_Toc16938543"/>
      <w:r/>
      <w:bookmarkStart w:id="121" w:name="_Toc513029227"/>
      <w:r>
        <w:rPr>
          <w:rFonts w:hint="eastAsia" w:ascii="宋体" w:hAnsi="宋体" w:eastAsia="宋体" w:cs="宋体"/>
          <w:highlight w:val="none"/>
        </w:rPr>
        <w:t xml:space="preserve">20、响应文件</w:t>
      </w:r>
      <w:bookmarkEnd w:id="119"/>
      <w:r/>
      <w:bookmarkEnd w:id="120"/>
      <w:r/>
      <w:bookmarkEnd w:id="121"/>
      <w:r>
        <w:rPr>
          <w:rFonts w:hint="eastAsia" w:ascii="宋体" w:hAnsi="宋体" w:eastAsia="宋体" w:cs="宋体"/>
          <w:highlight w:val="none"/>
        </w:rPr>
        <w:t xml:space="preserve">的拒收</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20.1 采购人拒绝接收在其规定的提交响应文件截止时间后上传的任何电子响应文件。</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122" w:name="_Toc513029228"/>
      <w:r/>
      <w:bookmarkStart w:id="123" w:name="_Toc20823300"/>
      <w:r/>
      <w:bookmarkStart w:id="124" w:name="_Toc16938544"/>
      <w:r>
        <w:rPr>
          <w:rFonts w:hint="eastAsia" w:ascii="宋体" w:hAnsi="宋体" w:eastAsia="宋体" w:cs="宋体"/>
          <w:highlight w:val="none"/>
        </w:rPr>
        <w:t xml:space="preserve">21、响应文件的撤回和修改</w:t>
      </w:r>
      <w:bookmarkEnd w:id="122"/>
      <w:r/>
      <w:bookmarkEnd w:id="123"/>
      <w:r/>
      <w:bookmarkEnd w:id="124"/>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21.1响应文件的撤回</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21.1.1 电子响应文件的撤回</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供应商可在提交响应文件截止时间前，撤回其电子响应文件，具体操作方法见《操作手册》。</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21.1.2供应商撤回电子响应文件，则认为其不再参与本项目磋商活动。</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21.2响应文件的修改</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供应商可在提交响应文件截止时间前，对其电子响应文件进行修改，具体操作方法见《操作手册》。</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21.3 在提交响应文件截止时间之后，供应商不得对其电子响应文件作任何修改。</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21.4 在提交响应文件截止时间至磋商文件中规定的磋商有效期满之间的这段时间内，供应商不得撤回其响应文件。</w:t>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25" w:name="_Toc16938545"/>
      <w:r/>
      <w:bookmarkStart w:id="126" w:name="_Toc20823301"/>
      <w:r/>
      <w:bookmarkStart w:id="127" w:name="_Toc120614218"/>
      <w:r/>
      <w:bookmarkStart w:id="128" w:name="_Toc513029229"/>
      <w:r>
        <w:rPr>
          <w:rFonts w:hint="eastAsia" w:ascii="宋体" w:hAnsi="宋体" w:eastAsia="宋体" w:cs="宋体"/>
          <w:b/>
          <w:highlight w:val="none"/>
        </w:rPr>
        <w:t xml:space="preserve">五、响应文件的解密与评审</w:t>
      </w:r>
      <w:bookmarkEnd w:id="125"/>
      <w:r/>
      <w:bookmarkEnd w:id="126"/>
      <w:r/>
      <w:bookmarkEnd w:id="127"/>
      <w:r/>
      <w:bookmarkEnd w:id="128"/>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129" w:name="_Toc16938546"/>
      <w:r/>
      <w:bookmarkStart w:id="130" w:name="_Toc513029230"/>
      <w:r/>
      <w:bookmarkStart w:id="131" w:name="_Toc20823302"/>
      <w:r>
        <w:rPr>
          <w:rFonts w:hint="eastAsia" w:ascii="宋体" w:hAnsi="宋体" w:eastAsia="宋体" w:cs="宋体"/>
          <w:highlight w:val="none"/>
        </w:rPr>
        <w:t xml:space="preserve">22、</w:t>
      </w:r>
      <w:bookmarkEnd w:id="129"/>
      <w:r/>
      <w:bookmarkEnd w:id="130"/>
      <w:r/>
      <w:bookmarkEnd w:id="131"/>
      <w:r>
        <w:rPr>
          <w:rFonts w:hint="eastAsia" w:ascii="宋体" w:hAnsi="宋体" w:eastAsia="宋体" w:cs="宋体"/>
          <w:highlight w:val="none"/>
        </w:rPr>
        <w:t xml:space="preserve">响应文件解密</w:t>
      </w:r>
      <w:r/>
    </w:p>
    <w:p>
      <w:pPr>
        <w:pStyle w:val="873"/>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22.1供应商应当按照《操作手册》规定，在苏采云系统规定的时间内对磋商响应文件进行解密。</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132" w:name="_Toc513029231"/>
      <w:r/>
      <w:bookmarkStart w:id="133" w:name="_Toc16938547"/>
      <w:r/>
      <w:bookmarkStart w:id="134" w:name="_Toc20823303"/>
      <w:r>
        <w:rPr>
          <w:rFonts w:hint="eastAsia" w:ascii="宋体" w:hAnsi="宋体" w:eastAsia="宋体" w:cs="宋体"/>
          <w:highlight w:val="none"/>
        </w:rPr>
        <w:t xml:space="preserve">23、磋商小组</w:t>
      </w:r>
      <w:bookmarkEnd w:id="132"/>
      <w:r/>
      <w:bookmarkEnd w:id="133"/>
      <w:r/>
      <w:bookmarkEnd w:id="134"/>
      <w:r/>
      <w:r/>
    </w:p>
    <w:p>
      <w:pPr>
        <w:pStyle w:val="873"/>
        <w:jc w:val="both"/>
        <w:spacing w:beforeAutospacing="0" w:afterAutospacing="0" w:line="440" w:lineRule="exact"/>
        <w:rPr>
          <w:rFonts w:hint="eastAsia"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23.1采购人将组织磋商小组对响应文件进行评审。磋商小组由采购人代表和有关技术、经济等方面的专家组成，且人员构成符合政府采购有关规定。</w:t>
      </w:r>
      <w:r/>
    </w:p>
    <w:p>
      <w:pPr>
        <w:pStyle w:val="873"/>
        <w:jc w:val="both"/>
        <w:spacing w:beforeAutospacing="0" w:afterAutospacing="0" w:line="440" w:lineRule="exact"/>
        <w:rPr>
          <w:rFonts w:hint="eastAsia"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23.2磋商小组独立工作，负责评审所有响应文件并确定成交候选人。</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24、评审过程的保密与公正</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24.1磋商小组、采购人和采购人工作人员、相关监督人员等与评审工作有关的人员，对评审情况以及在评审过程中获悉的国家秘密、商业秘密负有保密责任。</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24.2在评审过程中，供应商不得以任何行为影响磋商评审过程，否则其响应文件将被视为无效响应文件。</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24.3在项目评审期间，采购人将设专门人员与供应商联系。</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24.4 采购人和磋商小组不向未成交的供应商解释未成交原因，也不公布评审过程中的相关细节。</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135" w:name="_Toc20823304"/>
      <w:r/>
      <w:bookmarkStart w:id="136" w:name="_Toc513029232"/>
      <w:r/>
      <w:bookmarkStart w:id="137" w:name="_Toc16938548"/>
      <w:r>
        <w:rPr>
          <w:rFonts w:hint="eastAsia" w:ascii="宋体" w:hAnsi="宋体" w:eastAsia="宋体" w:cs="宋体"/>
          <w:highlight w:val="none"/>
        </w:rPr>
        <w:t xml:space="preserve">25、评审过程中的澄清</w:t>
      </w:r>
      <w:bookmarkEnd w:id="135"/>
      <w:r/>
      <w:bookmarkEnd w:id="136"/>
      <w:r/>
      <w:bookmarkEnd w:id="137"/>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磋商小组并非对每个供应商都作澄清要求。</w:t>
      </w:r>
      <w:r/>
    </w:p>
    <w:p>
      <w:pPr>
        <w:pStyle w:val="873"/>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73"/>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25.3 接到磋商小组澄清、说明和更正要求的供应商如未按规定作出澄清、说明和 更正，其风险由供应商自行承担。</w:t>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bookmarkStart w:id="138" w:name="_Toc16938549"/>
      <w:r/>
      <w:bookmarkStart w:id="139" w:name="_Toc20823305"/>
      <w:r/>
      <w:bookmarkStart w:id="140" w:name="_Toc513029233"/>
      <w:r>
        <w:rPr>
          <w:rFonts w:hint="eastAsia" w:ascii="宋体" w:hAnsi="宋体" w:eastAsia="宋体" w:cs="宋体"/>
          <w:highlight w:val="none"/>
        </w:rPr>
        <w:t xml:space="preserve">26、对响应文件的审</w:t>
      </w:r>
      <w:bookmarkEnd w:id="138"/>
      <w:r/>
      <w:bookmarkEnd w:id="139"/>
      <w:r/>
      <w:bookmarkEnd w:id="140"/>
      <w:r>
        <w:rPr>
          <w:rFonts w:hint="eastAsia" w:ascii="宋体" w:hAnsi="宋体" w:eastAsia="宋体" w:cs="宋体"/>
          <w:highlight w:val="none"/>
        </w:rPr>
        <w:t xml:space="preserve">查</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26.1响应文件审查分为资格审查和符合性审查。</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26.1.1 资格审查：由磋商小组依据法律法规和磋商文件的规定，对响应文件中的资格证明文件进行审查，以确定供应商是否具备参加磋商的资格。</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磋商小组在进行资格审查的同时，将在“信用中国”网站（www.creditchina.gov.cn）查询供应商的信用记录，以确定供应商是否具备磋商资格,查询结果留存并归档。</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26.3未实质性响应磋商文件的情形</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26.3.1供应商在苏采云系统规定的时间内未成功解密电子响应文件的。</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26.3.2供应商未按照磋商文件要求上传电子响应文件的。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26.3.3同一供应商提交两个（含两个）以上不同的响应文件或者最后报价的。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26.3.4供应商不具备磋商文件中规定资格要求的。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26.3.5供应商的最后报价超过了采购预算。</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26.3.6不符合磋商文件中规定的实质性要求和条件的</w:t>
      </w:r>
      <w:r>
        <w:rPr>
          <w:rFonts w:hint="eastAsia" w:ascii="宋体" w:hAnsi="宋体" w:eastAsia="宋体" w:cs="宋体"/>
          <w:i/>
          <w:highlight w:val="none"/>
          <w:u w:val="single"/>
        </w:rPr>
        <w:t xml:space="preserve">（本磋商文件中斜体且有下划线部分为实质性要求和条件）。</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26.3.8响应文件含有采购人不能接受的附加条件的。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26.3.10供应商不能证明其报价合理性的，磋商小组应当将其作为无效响应处理。</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（1）评审过程中出现下列情形之一的，评标委员会应当启动异常低价响应审查程序：</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1.投标（响应）报价低于全部通过符合性审查供应商投标（响应）报价平均值50%的，即投标（响应）报价&lt;全部通过符合性审查供应商投标（响应）报价平均值×50%；</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2.投标（响应）报价低于通过符合性审查的次低报价供应商投标（响应）报价50%的，即投标（响应）报价&lt;通过符合性审查的次低报价供应商投标（响应）报价×50%；</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3.投标（响应）报价低于采购项目</w:t>
      </w:r>
      <w:r>
        <w:rPr>
          <w:rFonts w:hint="eastAsia" w:ascii="宋体" w:hAnsi="宋体" w:eastAsia="宋体" w:cs="宋体"/>
          <w:color w:val="ee0000"/>
          <w:highlight w:val="none"/>
        </w:rPr>
        <w:t xml:space="preserve">最高限价</w:t>
      </w:r>
      <w:r>
        <w:rPr>
          <w:rFonts w:hint="eastAsia" w:ascii="宋体" w:hAnsi="宋体" w:eastAsia="宋体" w:cs="宋体"/>
          <w:highlight w:val="none"/>
        </w:rPr>
        <w:t xml:space="preserve">45%的，即投标（响应）报价&lt;采购项目</w:t>
      </w:r>
      <w:r>
        <w:rPr>
          <w:rFonts w:hint="eastAsia" w:ascii="宋体" w:hAnsi="宋体" w:eastAsia="宋体" w:cs="宋体"/>
          <w:color w:val="ff0000"/>
          <w:highlight w:val="none"/>
        </w:rPr>
        <w:t xml:space="preserve">最高限价</w:t>
      </w:r>
      <w:r>
        <w:rPr>
          <w:rFonts w:hint="eastAsia" w:ascii="宋体" w:hAnsi="宋体" w:eastAsia="宋体" w:cs="宋体"/>
          <w:highlight w:val="none"/>
        </w:rPr>
        <w:t xml:space="preserve">×45%；</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4.评审委员会基于专业判断，认为供应商报价过低，有可能影响产品质量或者不能诚信履约的其他情形。</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相关法律法规对供应商报价有规定的，从其规定。</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3"/>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26.3.11响应文件未按照磋商文件要求加盖CA电子公章的。</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26.4未实质性响应磋商文件的响应文件按无效响应处理。</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26.5如果响应文件实质上没有响应磋商文件的要求，磋商小组将予以拒绝，供应商不得通过修改或撤销不符合要求的偏离或保留而使其成为实质性响应的文件。</w:t>
      </w:r>
      <w:r/>
    </w:p>
    <w:p>
      <w:pPr>
        <w:pStyle w:val="873"/>
        <w:ind w:firstLine="480"/>
        <w:jc w:val="both"/>
        <w:spacing w:beforeAutospacing="0" w:afterAutospacing="0" w:line="440" w:lineRule="exact"/>
        <w:rPr>
          <w:rFonts w:hint="eastAsia" w:ascii="宋体" w:hAnsi="宋体" w:eastAsia="宋体" w:cs="宋体"/>
          <w:highlight w:val="none"/>
        </w:rPr>
      </w:pPr>
      <w:r/>
      <w:bookmarkStart w:id="141" w:name="_Toc20823306"/>
      <w:r/>
      <w:bookmarkStart w:id="142" w:name="_Toc16938550"/>
      <w:r/>
      <w:bookmarkStart w:id="143" w:name="_Toc513029234"/>
      <w:r>
        <w:rPr>
          <w:rFonts w:hint="eastAsia" w:ascii="宋体" w:hAnsi="宋体" w:eastAsia="宋体" w:cs="宋体"/>
          <w:highlight w:val="none"/>
        </w:rPr>
        <w:t xml:space="preserve">26.6供应商在项目评审全过程中应保持通信畅通，并安排专人与采购人及磋商小组联系。</w:t>
      </w:r>
      <w:bookmarkEnd w:id="141"/>
      <w:r/>
      <w:bookmarkEnd w:id="142"/>
      <w:r/>
      <w:bookmarkEnd w:id="143"/>
      <w:r/>
      <w:r/>
    </w:p>
    <w:p>
      <w:pPr>
        <w:pStyle w:val="873"/>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27、磋商程序及评审方法和评审标准</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27.1磋商程序</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73"/>
        <w:ind w:firstLine="48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27.2 评审方法和评审标准</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4"/>
      </w:pPr>
      <w:r>
        <w:rPr>
          <w:rFonts w:hint="eastAsia" w:ascii="宋体" w:hAnsi="宋体" w:eastAsia="宋体" w:cs="宋体"/>
          <w:highlight w:val="none"/>
        </w:rPr>
        <w:t xml:space="preserve">27.2.2评审标准</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见本磋商文件第五章规定。</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27.3采购活动终止的情况</w:t>
      </w:r>
      <w:r/>
    </w:p>
    <w:p>
      <w:pPr>
        <w:pStyle w:val="873"/>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出现下列情形之一的，本次竞争性磋商采购活动将被终止：</w:t>
      </w:r>
      <w:r/>
    </w:p>
    <w:p>
      <w:pPr>
        <w:pStyle w:val="873"/>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27.3.1因情况变化，不再符合规定的竞争性磋商采购方式适用情形的。</w:t>
      </w:r>
      <w:r/>
    </w:p>
    <w:p>
      <w:pPr>
        <w:pStyle w:val="873"/>
        <w:ind w:firstLine="360"/>
        <w:jc w:val="both"/>
        <w:spacing w:beforeAutospacing="0" w:after="145" w:afterAutospacing="0" w:line="440" w:lineRule="exact"/>
        <w:tabs>
          <w:tab w:val="left" w:pos="901" w:leader="none"/>
        </w:tabs>
        <w:rPr>
          <w:rFonts w:hint="eastAsia" w:ascii="宋体" w:hAnsi="宋体" w:eastAsia="宋体" w:cs="宋体"/>
          <w:highlight w:val="none"/>
        </w:rPr>
        <w:outlineLvl w:val="4"/>
      </w:pPr>
      <w:r>
        <w:rPr>
          <w:rFonts w:hint="eastAsia" w:ascii="宋体" w:hAnsi="宋体" w:eastAsia="宋体" w:cs="宋体"/>
          <w:highlight w:val="none"/>
        </w:rPr>
        <w:t xml:space="preserve">27.3.2出现影响采购公正的违法、违规行为的。</w:t>
      </w:r>
      <w:r/>
    </w:p>
    <w:p>
      <w:pPr>
        <w:pStyle w:val="873"/>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27.3.3除本磋商文件第二章第27.1.2条第三款规定的情形外，在磋商过程中符合要求的供应商或者最后报价未超过采购预算的供应商不足3家的。</w:t>
      </w:r>
      <w:r/>
    </w:p>
    <w:p>
      <w:pPr>
        <w:pStyle w:val="873"/>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27.3.4在苏采云系统规定时间内成功解密电子响应文件的供应商不足3家的。</w:t>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44" w:name="_Toc20823307"/>
      <w:r/>
      <w:bookmarkStart w:id="145" w:name="_Toc16938551"/>
      <w:r/>
      <w:bookmarkStart w:id="146" w:name="_Toc120614219"/>
      <w:r/>
      <w:bookmarkStart w:id="147" w:name="_Toc513029235"/>
      <w:r>
        <w:rPr>
          <w:rFonts w:hint="eastAsia" w:ascii="宋体" w:hAnsi="宋体" w:eastAsia="宋体" w:cs="宋体"/>
          <w:b/>
          <w:highlight w:val="none"/>
        </w:rPr>
        <w:t xml:space="preserve">六、</w:t>
      </w:r>
      <w:bookmarkEnd w:id="144"/>
      <w:r/>
      <w:bookmarkEnd w:id="145"/>
      <w:r/>
      <w:bookmarkEnd w:id="146"/>
      <w:r/>
      <w:bookmarkEnd w:id="147"/>
      <w:r>
        <w:rPr>
          <w:rFonts w:hint="eastAsia" w:ascii="宋体" w:hAnsi="宋体" w:eastAsia="宋体" w:cs="宋体"/>
          <w:b/>
          <w:highlight w:val="none"/>
        </w:rPr>
        <w:t xml:space="preserve">成交</w:t>
      </w:r>
      <w:r/>
    </w:p>
    <w:p>
      <w:pPr>
        <w:pStyle w:val="873"/>
        <w:ind w:firstLine="600"/>
        <w:jc w:val="both"/>
        <w:keepLines/>
        <w:keepNext/>
        <w:spacing w:beforeAutospacing="0" w:afterAutospacing="0" w:line="440" w:lineRule="exact"/>
        <w:rPr>
          <w:rFonts w:hint="eastAsia" w:ascii="宋体" w:hAnsi="宋体" w:eastAsia="宋体" w:cs="宋体"/>
          <w:highlight w:val="none"/>
        </w:rPr>
        <w:outlineLvl w:val="2"/>
      </w:pPr>
      <w:r/>
      <w:bookmarkStart w:id="148" w:name="_Toc20823310"/>
      <w:r/>
      <w:bookmarkStart w:id="149" w:name="_Toc513029238"/>
      <w:r/>
      <w:bookmarkStart w:id="150" w:name="_Toc16938554"/>
      <w:r>
        <w:rPr>
          <w:rFonts w:hint="eastAsia" w:ascii="宋体" w:hAnsi="宋体" w:eastAsia="宋体" w:cs="宋体"/>
          <w:highlight w:val="none"/>
        </w:rPr>
        <w:t xml:space="preserve">28、</w:t>
      </w:r>
      <w:bookmarkEnd w:id="148"/>
      <w:r>
        <w:rPr>
          <w:rFonts w:hint="eastAsia" w:ascii="宋体" w:hAnsi="宋体" w:eastAsia="宋体" w:cs="宋体"/>
          <w:highlight w:val="none"/>
        </w:rPr>
        <w:t xml:space="preserve">确定</w:t>
      </w:r>
      <w:bookmarkEnd w:id="149"/>
      <w:r/>
      <w:bookmarkEnd w:id="150"/>
      <w:r>
        <w:rPr>
          <w:rFonts w:hint="eastAsia" w:ascii="宋体" w:hAnsi="宋体" w:eastAsia="宋体" w:cs="宋体"/>
          <w:highlight w:val="none"/>
        </w:rPr>
        <w:t xml:space="preserve">成交单位</w:t>
      </w:r>
      <w:r/>
    </w:p>
    <w:p>
      <w:pPr>
        <w:pStyle w:val="873"/>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28.3若有充分证据证明，成交供应商出现下列情况之一的，一经查实，将被取消成交资格：</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28.3.1提供虚假材料谋取成交的。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28.3.2与评审专家、采购人、其他供应商或者采购人工作人员恶意串通的。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28.3.3向评审专家、采购人或采购人工作人员行贿或者提供其他不正当利益的。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28.3.4恶意竞争，最后报价明显低于其自身合理成本且又无法提供证明的。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28.3.5不满足本磋商文件规定的实质性要求，但在评审过程中又未被磋商小组发现的。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28.3.6成交后无正当理由拒不与采购人签订政府采购合同或者未按照磋商文件确定的事项签订政府采购合同的。</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28.3.7将政府采购合同转包的。</w:t>
      </w:r>
      <w:r/>
    </w:p>
    <w:p>
      <w:pPr>
        <w:pStyle w:val="873"/>
        <w:ind w:firstLine="600"/>
        <w:jc w:val="both"/>
        <w:keepLines/>
        <w:keepNext/>
        <w:spacing w:beforeAutospacing="0" w:afterAutospacing="0" w:line="440" w:lineRule="exact"/>
        <w:rPr>
          <w:rFonts w:hint="eastAsia" w:ascii="宋体" w:hAnsi="宋体" w:eastAsia="宋体" w:cs="宋体"/>
          <w:highlight w:val="none"/>
        </w:rPr>
        <w:outlineLvl w:val="2"/>
      </w:pPr>
      <w:r/>
      <w:bookmarkStart w:id="151" w:name="_Toc200451960"/>
      <w:r>
        <w:rPr>
          <w:rFonts w:hint="eastAsia" w:ascii="宋体" w:hAnsi="宋体" w:eastAsia="宋体" w:cs="宋体"/>
          <w:highlight w:val="none"/>
        </w:rPr>
        <w:t xml:space="preserve">29、质疑处理</w:t>
      </w:r>
      <w:bookmarkEnd w:id="151"/>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29.1 提出质疑的供应商应当是参与所质疑项目采购活动的供应商。潜在供应商依法获取其可质疑的磋商文件的，可以对磋商文件提出质疑。</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29.2.1对可以质疑的磋商文件提出质疑的，为收到磋商文件之日或者磋商文件公告期限届满之日。</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29.2.2对磋商过程提出质疑的，为各采购程序环节结束之日。</w:t>
      </w:r>
      <w:r/>
    </w:p>
    <w:p>
      <w:pPr>
        <w:pStyle w:val="873"/>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29.2.3对成交结果提出质疑的，为成交结果公告期限届满之日。</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pStyle w:val="873"/>
        <w:ind w:firstLine="480"/>
        <w:jc w:val="both"/>
        <w:spacing w:beforeAutospacing="0" w:afterAutospacing="0" w:line="440" w:lineRule="exact"/>
        <w:rPr>
          <w:rFonts w:hint="eastAsia" w:ascii="宋体" w:hAnsi="宋体" w:eastAsia="宋体" w:cs="宋体"/>
          <w:b/>
          <w:bCs/>
          <w:highlight w:val="none"/>
        </w:rPr>
      </w:pPr>
      <w:r>
        <w:rPr>
          <w:rFonts w:hint="eastAsia" w:ascii="宋体" w:hAnsi="宋体" w:cs="宋体"/>
          <w:highlight w:val="none"/>
        </w:rPr>
        <w:t xml:space="preserve">采购人及代理公司只接收以纸质原件形式送达的质疑,采购人和代理公司不接受未填写快递运单的快件。质疑接收部门为江苏协诚工程咨询有限公司，联系地址：盐城市盐龙街道振兴路109号华航科技广场5号楼903室，联系电话：15950220182。</w:t>
      </w:r>
      <w:r/>
    </w:p>
    <w:p>
      <w:pPr>
        <w:pStyle w:val="873"/>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29.5 以下情形的质疑不予受理</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29.5.1 内容不符合《政府采购质疑和投诉办法》第十二条规定的质疑。</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29.5.2 超出政府采购法定期限的质疑。</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29.5.3 以传真、电子邮件等方式递交的非原件形式的质疑。</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29.5.4 未参加磋商活动的供应商或在磋商活动中自身权益未受到损害的供应商所提出的质疑。</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29.5.5供应商组成联合体参加磋商，联合体中任何一方或多方未按要求签字、盖章、加盖公章的质疑。</w:t>
      </w:r>
      <w:r/>
    </w:p>
    <w:p>
      <w:pPr>
        <w:pStyle w:val="873"/>
        <w:ind w:firstLine="468"/>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73"/>
        <w:ind w:firstLine="60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30、成交通知书</w:t>
      </w:r>
      <w:r/>
    </w:p>
    <w:p>
      <w:pPr>
        <w:pStyle w:val="873"/>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73"/>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73"/>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52" w:name="_Toc120614220"/>
      <w:r/>
      <w:bookmarkStart w:id="153" w:name="_Toc16938552"/>
      <w:r/>
      <w:bookmarkStart w:id="154" w:name="_Toc20823308"/>
      <w:r/>
      <w:bookmarkStart w:id="155" w:name="_Toc513029236"/>
      <w:r>
        <w:rPr>
          <w:rFonts w:hint="eastAsia" w:ascii="宋体" w:hAnsi="宋体" w:eastAsia="宋体" w:cs="宋体"/>
          <w:b/>
          <w:highlight w:val="none"/>
        </w:rPr>
        <w:t xml:space="preserve">七、授予合同</w:t>
      </w:r>
      <w:bookmarkEnd w:id="152"/>
      <w:r/>
      <w:bookmarkEnd w:id="153"/>
      <w:r/>
      <w:bookmarkEnd w:id="154"/>
      <w:r/>
      <w:bookmarkEnd w:id="155"/>
      <w:r/>
      <w:r/>
    </w:p>
    <w:p>
      <w:pPr>
        <w:pStyle w:val="873"/>
        <w:ind w:firstLine="600"/>
        <w:jc w:val="both"/>
        <w:keepLines/>
        <w:keepNext/>
        <w:spacing w:beforeAutospacing="0" w:afterAutospacing="0" w:line="440" w:lineRule="exact"/>
        <w:rPr>
          <w:rFonts w:hint="eastAsia" w:ascii="宋体" w:hAnsi="宋体" w:eastAsia="宋体" w:cs="宋体"/>
          <w:highlight w:val="none"/>
        </w:rPr>
        <w:outlineLvl w:val="2"/>
      </w:pPr>
      <w:r/>
      <w:bookmarkStart w:id="156" w:name="_Toc513029237"/>
      <w:r/>
      <w:bookmarkStart w:id="157" w:name="_Toc16938553"/>
      <w:r/>
      <w:bookmarkStart w:id="158" w:name="_Toc20823309"/>
      <w:r>
        <w:rPr>
          <w:rFonts w:hint="eastAsia" w:ascii="宋体" w:hAnsi="宋体" w:eastAsia="宋体" w:cs="宋体"/>
          <w:highlight w:val="none"/>
        </w:rPr>
        <w:t xml:space="preserve">31.签订合同</w:t>
      </w:r>
      <w:bookmarkEnd w:id="156"/>
      <w:r/>
      <w:bookmarkEnd w:id="157"/>
      <w:r/>
      <w:bookmarkEnd w:id="158"/>
      <w:r/>
      <w:r/>
    </w:p>
    <w:p>
      <w:pPr>
        <w:pStyle w:val="873"/>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31.l成交供应商应当在成交通知书发出之日起三十日内，按照磋商文件确定的事项与采购人签订政府采购合同。</w:t>
      </w:r>
      <w:r/>
    </w:p>
    <w:p>
      <w:pPr>
        <w:pStyle w:val="873"/>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31.2磋商文件、成交供应商的响应文件及磋商过程中有关澄清、承诺文件均应作为合同附件。</w:t>
      </w:r>
      <w:r/>
    </w:p>
    <w:p>
      <w:pPr>
        <w:pStyle w:val="873"/>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31.3 签订合同后，</w:t>
      </w:r>
      <w:r>
        <w:rPr>
          <w:rFonts w:hint="eastAsia" w:ascii="宋体" w:hAnsi="宋体" w:eastAsia="宋体" w:cs="宋体"/>
          <w:i/>
          <w:highlight w:val="none"/>
          <w:u w:val="single"/>
        </w:rPr>
        <w:t xml:space="preserve">成交供应商不得将合同标的进行转包</w:t>
      </w:r>
      <w:r>
        <w:rPr>
          <w:rFonts w:hint="eastAsia" w:ascii="宋体" w:hAnsi="宋体" w:eastAsia="宋体" w:cs="宋体"/>
          <w:highlight w:val="none"/>
        </w:rPr>
        <w:t xml:space="preserve">。未经采购人同意，成交供应商也不得采用分包形式履行合同,否则采购人有权终止合同。转包或分包造成采购人损失的，成交供应商应承担相应赔偿责任。</w:t>
      </w:r>
      <w:r/>
    </w:p>
    <w:p>
      <w:pPr>
        <w:pStyle w:val="873"/>
        <w:ind w:firstLine="48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32.标的物的追加</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73"/>
        <w:ind w:left="474"/>
        <w:jc w:val="both"/>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33.政府采购政策功能落实</w:t>
      </w:r>
      <w:r/>
    </w:p>
    <w:p>
      <w:pPr>
        <w:pStyle w:val="873"/>
        <w:ind w:firstLine="480"/>
        <w:jc w:val="both"/>
        <w:keepLines/>
        <w:keepNext/>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33.1政府采购线上合同信用融资政策</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33.2进口产品</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33.3中小企业、监狱企业及残疾人福利性单位</w:t>
      </w:r>
      <w:r/>
    </w:p>
    <w:p>
      <w:pPr>
        <w:ind w:firstLine="480"/>
        <w:spacing w:line="440" w:lineRule="exact"/>
        <w:rPr>
          <w:rFonts w:hint="eastAsia" w:ascii="宋体" w:hAnsi="宋体" w:eastAsia="宋体" w:cs="宋体"/>
          <w:sz w:val="24"/>
          <w:highlight w:val="none"/>
        </w:rPr>
        <w:outlineLvl w:val="4"/>
      </w:pPr>
      <w:r>
        <w:rPr>
          <w:rFonts w:hint="eastAsia" w:ascii="宋体" w:hAnsi="宋体" w:eastAsia="宋体" w:cs="宋体"/>
          <w:sz w:val="24"/>
          <w:highlight w:val="none"/>
        </w:rPr>
        <w:t xml:space="preserve">33.3.1中小企业定义：</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中小企业</w:t>
      </w:r>
      <w:r>
        <w:rPr>
          <w:rFonts w:hint="eastAsia" w:ascii="宋体" w:hAnsi="宋体" w:eastAsia="宋体" w:cs="宋体"/>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33.3.2供应商提供的货物、工程或者服务符合下列情形的，享受中小企业扶持政策：</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33.3.2.1在货物采购项目中，货物由中小企业制造，即货物由中小企业生产且使用该中小企业商号或者注册商标；</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33.3.2.2在工程采购项目中，工程由中小企业承建，即工程施工单位为中小企业；</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33.3.2.3在服务采购项目中，服务由中小企业承接，即提供服务的人员为中小企业依照《中华人民共和国劳动合同法》订立劳动合同的从业人员。</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33.3.3在货物采购项目中，供应商提供的货物既有中小企业制造货物，也有大型企业制造货物的，不享受中小企业扶持政策。</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33.3.4以联合体形式参加政府采购活动，联合体各方均为中小企业的，联合体视同中小企业。其中，联合体各方均为小微企业的，联合体视同小微企业。</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33.3.6残疾人福利单位定义：享受政府采购支持政策的残疾人福利性单位应当同时满足以下条件：</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33.3.6.1安置的残疾人占本单位在职职工人数的比例不低于25%（含25%），并且安置的残疾人人数不少于10 人（含10 人）；</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33.3.6.2依法与安置的每位残疾人签订了一年以上（含一年）的劳动合同或服务协议；</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33.3.6.3为安置的每位残疾人按月足额缴纳了基本养老保险、基本医疗保险、失业保险、工伤保险和生育保险等社会保险费；</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33.3.6.4通过银行等金融机构向安置的每位残疾人，按月支付了不低于单位所在区县适用的经省级人民政府批准的月最低工资标准的工资；</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33.3.6.5提供本单位制造的货物、承担的工程或者服务（以下简称产品），或者提供其他残疾人福利性单位制造的货物（不包括使用非残疾人福利性单位注册商标的货物）；</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33.3.7本项目是否专门面向中小企业预留采购份额见第一章《竞争性磋商公告》。</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33.3.8采购标的对应的中小企业划分标准所属行业见第四章《采购需求》。</w:t>
      </w:r>
      <w:r/>
    </w:p>
    <w:p>
      <w:pPr>
        <w:pStyle w:val="873"/>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33.3.9小微企业价格评审优惠的政策：见第五章《评标方法和评标标准》。</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33.4政府采购节能产品、环境标志产品</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rPr>
        <w:t xml:space="preserve">如属政府强制采购产品未提供认证证书的或认证证书提供不全的将视为未实质性响应采购要求</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其他条件相同情况下，应当优先采购节能产品、环境标志产品。</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33.5绿色包装</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33.6政府采购创新产品</w:t>
      </w:r>
      <w:r/>
    </w:p>
    <w:p>
      <w:pPr>
        <w:ind w:firstLine="478"/>
        <w:spacing w:line="44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采购人优先采购各级政府部门公开发布的有效期内的创新产品、创新服务、首台套、首购首用等《目录》的创新产品。</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33.7绿色数据中心政策 </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33.8履约保证金政策</w:t>
      </w:r>
      <w:r/>
    </w:p>
    <w:p>
      <w:pPr>
        <w:pStyle w:val="1032"/>
        <w:ind w:left="0" w:firstLine="560"/>
        <w:spacing w:after="0"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履约保证金的缴纳形式：</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 如以履约保函（保险）形式缴纳履约保证金，供应商可通过政府采购电子履约保函（保险）平台（www.jsdzbh.com）在线申请履约保函（保险）。</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sz w:val="24"/>
          <w:highlight w:val="none"/>
        </w:rPr>
        <w:t xml:space="preserve">（本项目约定降低履约保证金缴纳比例，履约保证金调整为合同价的5%）</w:t>
      </w:r>
      <w:r>
        <w:rPr>
          <w:rFonts w:hint="eastAsia" w:ascii="宋体" w:hAnsi="宋体" w:eastAsia="宋体" w:cs="宋体"/>
          <w:sz w:val="24"/>
          <w:highlight w:val="none"/>
        </w:rPr>
        <w:t xml:space="preserve">。</w:t>
      </w:r>
      <w:r/>
    </w:p>
    <w:p>
      <w:pPr>
        <w:ind w:firstLine="482"/>
        <w:spacing w:line="440" w:lineRule="exact"/>
        <w:tabs>
          <w:tab w:val="left" w:pos="1381"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33.9预付款制度</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本项目落实预付款制度，预付款比例为</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838"/>
        <w:jc w:val="center"/>
        <w:rPr>
          <w:rFonts w:cs="宋体"/>
          <w:color w:val="000000"/>
          <w:sz w:val="44"/>
          <w:szCs w:val="44"/>
          <w:highlight w:val="none"/>
        </w:rPr>
        <w:pBdr>
          <w:top w:val="none" w:color="000000" w:sz="0" w:space="0"/>
          <w:left w:val="none" w:color="000000" w:sz="0" w:space="0"/>
          <w:bottom w:val="none" w:color="000000" w:sz="0" w:space="0"/>
          <w:right w:val="none" w:color="000000" w:sz="0" w:space="0"/>
        </w:pBdr>
      </w:pPr>
      <w:r/>
      <w:bookmarkStart w:id="159" w:name="_Toc3582"/>
      <w:r>
        <w:rPr>
          <w:rFonts w:cs="宋体"/>
          <w:color w:val="000000"/>
          <w:sz w:val="44"/>
          <w:highlight w:val="none"/>
        </w:rPr>
        <w:t xml:space="preserve">第三章 合同条款及格式</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spacing w:before="104" w:line="236" w:lineRule="auto"/>
        <w:rPr>
          <w:rFonts w:hint="eastAsia" w:ascii="宋体" w:hAnsi="宋体" w:eastAsia="宋体" w:cs="宋体"/>
          <w:sz w:val="32"/>
          <w:szCs w:val="32"/>
          <w:highlight w:val="none"/>
        </w:rPr>
      </w:pPr>
      <w:r>
        <w:rPr>
          <w:rFonts w:hint="eastAsia" w:ascii="宋体" w:hAnsi="宋体" w:eastAsia="宋体" w:cs="宋体"/>
          <w:spacing w:val="-2"/>
          <w:sz w:val="32"/>
          <w:szCs w:val="32"/>
          <w:highlight w:val="none"/>
        </w:rPr>
        <w:t xml:space="preserve">（GF—2017—0201）</w:t>
      </w:r>
      <w:r/>
    </w:p>
    <w:p>
      <w:pPr>
        <w:pStyle w:val="856"/>
        <w:spacing w:line="245" w:lineRule="auto"/>
        <w:rPr>
          <w:rFonts w:hint="eastAsia" w:ascii="宋体" w:eastAsia="宋体" w:cs="宋体"/>
          <w:highlight w:val="none"/>
        </w:rPr>
      </w:pPr>
      <w:r>
        <w:rPr>
          <w:rFonts w:hint="eastAsia" w:ascii="宋体" w:eastAsia="宋体" w:cs="宋体"/>
          <w:highlight w:val="none"/>
        </w:rPr>
      </w:r>
      <w:r/>
    </w:p>
    <w:p>
      <w:pPr>
        <w:pStyle w:val="856"/>
        <w:spacing w:line="246" w:lineRule="auto"/>
        <w:rPr>
          <w:rFonts w:hint="eastAsia" w:ascii="宋体" w:eastAsia="宋体" w:cs="宋体"/>
          <w:highlight w:val="none"/>
        </w:rPr>
      </w:pPr>
      <w:r>
        <w:rPr>
          <w:rFonts w:hint="eastAsia" w:ascii="宋体" w:eastAsia="宋体" w:cs="宋体"/>
          <w:highlight w:val="none"/>
        </w:rPr>
      </w:r>
      <w:r/>
    </w:p>
    <w:p>
      <w:pPr>
        <w:pStyle w:val="856"/>
        <w:spacing w:line="246" w:lineRule="auto"/>
        <w:rPr>
          <w:rFonts w:hint="eastAsia" w:ascii="宋体" w:eastAsia="宋体" w:cs="宋体"/>
          <w:highlight w:val="none"/>
        </w:rPr>
      </w:pPr>
      <w:r>
        <w:rPr>
          <w:rFonts w:hint="eastAsia" w:ascii="宋体" w:eastAsia="宋体" w:cs="宋体"/>
          <w:highlight w:val="none"/>
        </w:rPr>
      </w:r>
      <w:r/>
    </w:p>
    <w:p>
      <w:pPr>
        <w:pStyle w:val="856"/>
        <w:spacing w:line="246" w:lineRule="auto"/>
        <w:rPr>
          <w:rFonts w:hint="eastAsia" w:ascii="宋体" w:eastAsia="宋体" w:cs="宋体"/>
          <w:highlight w:val="none"/>
        </w:rPr>
      </w:pPr>
      <w:r>
        <w:rPr>
          <w:rFonts w:hint="eastAsia" w:ascii="宋体" w:eastAsia="宋体" w:cs="宋体"/>
          <w:highlight w:val="none"/>
        </w:rPr>
      </w:r>
      <w:r/>
    </w:p>
    <w:p>
      <w:pPr>
        <w:pStyle w:val="856"/>
        <w:spacing w:line="246" w:lineRule="auto"/>
        <w:rPr>
          <w:rFonts w:hint="eastAsia" w:ascii="宋体" w:eastAsia="宋体" w:cs="宋体"/>
          <w:highlight w:val="none"/>
        </w:rPr>
      </w:pPr>
      <w:r>
        <w:rPr>
          <w:rFonts w:hint="eastAsia" w:ascii="宋体" w:eastAsia="宋体" w:cs="宋体"/>
          <w:highlight w:val="none"/>
        </w:rPr>
      </w:r>
      <w:r/>
    </w:p>
    <w:p>
      <w:pPr>
        <w:pStyle w:val="856"/>
        <w:spacing w:line="246" w:lineRule="auto"/>
        <w:rPr>
          <w:rFonts w:hint="eastAsia" w:ascii="宋体" w:eastAsia="宋体" w:cs="宋体"/>
          <w:highlight w:val="none"/>
        </w:rPr>
      </w:pPr>
      <w:r>
        <w:rPr>
          <w:rFonts w:hint="eastAsia" w:ascii="宋体" w:eastAsia="宋体" w:cs="宋体"/>
          <w:highlight w:val="none"/>
        </w:rPr>
      </w:r>
      <w:r/>
    </w:p>
    <w:p>
      <w:pPr>
        <w:pStyle w:val="1028"/>
        <w:rPr>
          <w:rFonts w:hint="eastAsia" w:hAnsi="宋体" w:eastAsia="宋体"/>
          <w:color w:val="auto"/>
          <w:highlight w:val="none"/>
        </w:rPr>
      </w:pPr>
      <w:r>
        <w:rPr>
          <w:rFonts w:hint="eastAsia" w:hAnsi="宋体" w:eastAsia="宋体"/>
          <w:color w:val="auto"/>
          <w:highlight w:val="none"/>
        </w:rPr>
      </w:r>
      <w:r/>
    </w:p>
    <w:p>
      <w:pPr>
        <w:pStyle w:val="1028"/>
        <w:rPr>
          <w:rFonts w:hint="eastAsia" w:hAnsi="宋体" w:eastAsia="宋体"/>
          <w:color w:val="auto"/>
          <w:highlight w:val="none"/>
        </w:rPr>
      </w:pPr>
      <w:r>
        <w:rPr>
          <w:rFonts w:hint="eastAsia" w:hAnsi="宋体" w:eastAsia="宋体"/>
          <w:color w:val="auto"/>
          <w:highlight w:val="none"/>
        </w:rPr>
      </w:r>
      <w:r/>
    </w:p>
    <w:p>
      <w:pPr>
        <w:pStyle w:val="856"/>
        <w:spacing w:line="246" w:lineRule="auto"/>
        <w:rPr>
          <w:rFonts w:hint="eastAsia" w:ascii="宋体" w:eastAsia="宋体" w:cs="宋体"/>
          <w:highlight w:val="none"/>
        </w:rPr>
      </w:pPr>
      <w:r>
        <w:rPr>
          <w:rFonts w:hint="eastAsia" w:ascii="宋体" w:eastAsia="宋体" w:cs="宋体"/>
          <w:highlight w:val="none"/>
        </w:rPr>
      </w:r>
      <w:r/>
    </w:p>
    <w:p>
      <w:pPr>
        <w:ind w:left="2091"/>
        <w:spacing w:before="234" w:line="220" w:lineRule="auto"/>
        <w:rPr>
          <w:rFonts w:hint="eastAsia" w:ascii="宋体" w:hAnsi="宋体" w:eastAsia="宋体" w:cs="宋体"/>
          <w:sz w:val="72"/>
          <w:szCs w:val="72"/>
          <w:highlight w:val="none"/>
        </w:rPr>
      </w:pPr>
      <w:r>
        <w:rPr>
          <w:rFonts w:hint="eastAsia" w:ascii="宋体" w:hAnsi="宋体" w:eastAsia="宋体" w:cs="宋体"/>
          <w:b/>
          <w:bCs/>
          <w:spacing w:val="-10"/>
          <w:sz w:val="72"/>
          <w:szCs w:val="72"/>
          <w:highlight w:val="none"/>
        </w:rPr>
        <w:t xml:space="preserve">建设工程施工合同</w:t>
      </w:r>
      <w:r/>
    </w:p>
    <w:p>
      <w:pPr>
        <w:ind w:left="3414"/>
        <w:spacing w:before="42" w:line="219" w:lineRule="auto"/>
        <w:rPr>
          <w:rFonts w:hint="eastAsia" w:ascii="宋体" w:hAnsi="宋体" w:eastAsia="宋体" w:cs="宋体"/>
          <w:sz w:val="52"/>
          <w:szCs w:val="52"/>
          <w:highlight w:val="none"/>
        </w:rPr>
      </w:pPr>
      <w:r>
        <w:rPr>
          <w:rFonts w:hint="eastAsia" w:ascii="宋体" w:hAnsi="宋体" w:eastAsia="宋体" w:cs="宋体"/>
          <w:b/>
          <w:bCs/>
          <w:spacing w:val="-10"/>
          <w:sz w:val="52"/>
          <w:szCs w:val="52"/>
          <w:highlight w:val="none"/>
        </w:rPr>
        <w:t xml:space="preserve">（示范文本）</w:t>
      </w:r>
      <w:r/>
    </w:p>
    <w:p>
      <w:pPr>
        <w:pStyle w:val="856"/>
        <w:spacing w:line="242" w:lineRule="auto"/>
        <w:rPr>
          <w:rFonts w:hint="eastAsia" w:ascii="宋体" w:eastAsia="宋体" w:cs="宋体"/>
          <w:highlight w:val="none"/>
        </w:rPr>
      </w:pPr>
      <w:r>
        <w:rPr>
          <w:rFonts w:hint="eastAsia" w:ascii="宋体" w:eastAsia="宋体" w:cs="宋体"/>
          <w:highlight w:val="none"/>
        </w:rPr>
      </w:r>
      <w:r/>
    </w:p>
    <w:p>
      <w:pPr>
        <w:pStyle w:val="856"/>
        <w:spacing w:line="242" w:lineRule="auto"/>
        <w:rPr>
          <w:rFonts w:hint="eastAsia" w:ascii="宋体" w:eastAsia="宋体" w:cs="宋体"/>
          <w:highlight w:val="none"/>
        </w:rPr>
      </w:pPr>
      <w:r>
        <w:rPr>
          <w:rFonts w:hint="eastAsia" w:ascii="宋体" w:eastAsia="宋体" w:cs="宋体"/>
          <w:highlight w:val="none"/>
        </w:rPr>
      </w:r>
      <w:r/>
    </w:p>
    <w:p>
      <w:pPr>
        <w:pStyle w:val="856"/>
        <w:spacing w:line="242" w:lineRule="auto"/>
        <w:rPr>
          <w:rFonts w:hint="eastAsia" w:ascii="宋体" w:eastAsia="宋体" w:cs="宋体"/>
          <w:highlight w:val="none"/>
        </w:rPr>
      </w:pPr>
      <w:r>
        <w:rPr>
          <w:rFonts w:hint="eastAsia" w:ascii="宋体" w:eastAsia="宋体" w:cs="宋体"/>
          <w:highlight w:val="none"/>
        </w:rPr>
      </w:r>
      <w:r/>
    </w:p>
    <w:p>
      <w:pPr>
        <w:pStyle w:val="856"/>
        <w:spacing w:line="242" w:lineRule="auto"/>
        <w:rPr>
          <w:rFonts w:hint="eastAsia" w:ascii="宋体" w:eastAsia="宋体" w:cs="宋体"/>
          <w:highlight w:val="none"/>
        </w:rPr>
      </w:pPr>
      <w:r>
        <w:rPr>
          <w:rFonts w:hint="eastAsia" w:ascii="宋体" w:eastAsia="宋体" w:cs="宋体"/>
          <w:highlight w:val="none"/>
        </w:rPr>
      </w:r>
      <w:r/>
    </w:p>
    <w:p>
      <w:pPr>
        <w:pStyle w:val="856"/>
        <w:spacing w:line="242" w:lineRule="auto"/>
        <w:rPr>
          <w:rFonts w:hint="eastAsia" w:ascii="宋体" w:eastAsia="宋体" w:cs="宋体"/>
          <w:highlight w:val="none"/>
        </w:rPr>
      </w:pPr>
      <w:r>
        <w:rPr>
          <w:rFonts w:hint="eastAsia" w:ascii="宋体" w:eastAsia="宋体" w:cs="宋体"/>
          <w:highlight w:val="none"/>
        </w:rPr>
      </w:r>
      <w:r/>
    </w:p>
    <w:p>
      <w:pPr>
        <w:pStyle w:val="856"/>
        <w:spacing w:line="242" w:lineRule="auto"/>
        <w:rPr>
          <w:rFonts w:hint="eastAsia" w:ascii="宋体" w:eastAsia="宋体" w:cs="宋体"/>
          <w:highlight w:val="none"/>
        </w:rPr>
      </w:pPr>
      <w:r>
        <w:rPr>
          <w:rFonts w:hint="eastAsia" w:ascii="宋体" w:eastAsia="宋体" w:cs="宋体"/>
          <w:highlight w:val="none"/>
        </w:rPr>
      </w:r>
      <w:r/>
    </w:p>
    <w:p>
      <w:pPr>
        <w:pStyle w:val="856"/>
        <w:spacing w:line="242" w:lineRule="auto"/>
        <w:rPr>
          <w:rFonts w:hint="eastAsia" w:ascii="宋体" w:eastAsia="宋体" w:cs="宋体"/>
          <w:highlight w:val="none"/>
        </w:rPr>
      </w:pPr>
      <w:r>
        <w:rPr>
          <w:rFonts w:hint="eastAsia" w:ascii="宋体" w:eastAsia="宋体" w:cs="宋体"/>
          <w:highlight w:val="none"/>
        </w:rPr>
      </w:r>
      <w:r/>
    </w:p>
    <w:p>
      <w:pPr>
        <w:pStyle w:val="856"/>
        <w:spacing w:line="243" w:lineRule="auto"/>
        <w:rPr>
          <w:rFonts w:hint="eastAsia" w:ascii="宋体" w:eastAsia="宋体" w:cs="宋体"/>
          <w:highlight w:val="none"/>
        </w:rPr>
      </w:pPr>
      <w:r>
        <w:rPr>
          <w:rFonts w:hint="eastAsia" w:ascii="宋体" w:eastAsia="宋体" w:cs="宋体"/>
          <w:highlight w:val="none"/>
        </w:rPr>
      </w:r>
      <w:r/>
    </w:p>
    <w:p>
      <w:pPr>
        <w:pStyle w:val="1028"/>
        <w:rPr>
          <w:rFonts w:hint="eastAsia" w:hAnsi="宋体" w:eastAsia="宋体"/>
          <w:color w:val="auto"/>
          <w:highlight w:val="none"/>
        </w:rPr>
      </w:pPr>
      <w:r>
        <w:rPr>
          <w:rFonts w:hint="eastAsia" w:hAnsi="宋体" w:eastAsia="宋体"/>
          <w:color w:val="auto"/>
          <w:highlight w:val="none"/>
        </w:rPr>
      </w:r>
      <w:r/>
    </w:p>
    <w:p>
      <w:pPr>
        <w:pStyle w:val="1028"/>
        <w:rPr>
          <w:rFonts w:hint="eastAsia" w:hAnsi="宋体" w:eastAsia="宋体"/>
          <w:color w:val="auto"/>
          <w:highlight w:val="none"/>
        </w:rPr>
      </w:pPr>
      <w:r>
        <w:rPr>
          <w:rFonts w:hint="eastAsia" w:hAnsi="宋体" w:eastAsia="宋体"/>
          <w:color w:val="auto"/>
          <w:highlight w:val="none"/>
        </w:rPr>
      </w:r>
      <w:r/>
    </w:p>
    <w:p>
      <w:pPr>
        <w:pStyle w:val="1028"/>
        <w:rPr>
          <w:rFonts w:hint="eastAsia" w:hAnsi="宋体" w:eastAsia="宋体"/>
          <w:color w:val="auto"/>
          <w:highlight w:val="none"/>
        </w:rPr>
      </w:pPr>
      <w:r>
        <w:rPr>
          <w:rFonts w:hint="eastAsia" w:hAnsi="宋体" w:eastAsia="宋体"/>
          <w:color w:val="auto"/>
          <w:highlight w:val="none"/>
        </w:rPr>
      </w:r>
      <w:r/>
    </w:p>
    <w:p>
      <w:pPr>
        <w:pStyle w:val="1028"/>
        <w:rPr>
          <w:rFonts w:hint="eastAsia" w:hAnsi="宋体" w:eastAsia="宋体"/>
          <w:color w:val="auto"/>
          <w:highlight w:val="none"/>
        </w:rPr>
      </w:pPr>
      <w:r>
        <w:rPr>
          <w:rFonts w:hint="eastAsia" w:hAnsi="宋体" w:eastAsia="宋体"/>
          <w:color w:val="auto"/>
          <w:highlight w:val="none"/>
        </w:rPr>
      </w:r>
      <w:r/>
    </w:p>
    <w:p>
      <w:pPr>
        <w:pStyle w:val="856"/>
        <w:spacing w:line="243" w:lineRule="auto"/>
        <w:rPr>
          <w:rFonts w:hint="eastAsia" w:ascii="宋体" w:eastAsia="宋体" w:cs="宋体"/>
          <w:highlight w:val="none"/>
        </w:rPr>
      </w:pPr>
      <w:r>
        <w:rPr>
          <w:rFonts w:hint="eastAsia" w:ascii="宋体" w:eastAsia="宋体" w:cs="宋体"/>
          <w:highlight w:val="none"/>
        </w:rPr>
      </w:r>
      <w:r/>
    </w:p>
    <w:p>
      <w:pPr>
        <w:ind w:right="3280"/>
        <w:jc w:val="right"/>
        <w:spacing w:before="104" w:line="241" w:lineRule="auto"/>
        <w:rPr>
          <w:rFonts w:hint="eastAsia" w:ascii="宋体" w:hAnsi="宋体" w:eastAsia="宋体" w:cs="宋体"/>
          <w:b/>
          <w:bCs/>
          <w:spacing w:val="-20"/>
          <w:sz w:val="32"/>
          <w:szCs w:val="32"/>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4188460</wp:posOffset>
                </wp:positionH>
                <wp:positionV relativeFrom="paragraph">
                  <wp:posOffset>170815</wp:posOffset>
                </wp:positionV>
                <wp:extent cx="900430" cy="550545"/>
                <wp:effectExtent l="0" t="0" r="13970" b="1905"/>
                <wp:wrapNone/>
                <wp:docPr id="5" name="文本框 5"/>
                <wp:cNvGraphicFramePr/>
                <a:graphic xmlns:a="http://schemas.openxmlformats.org/drawingml/2006/main">
                  <a:graphicData uri="http://schemas.microsoft.com/office/word/2010/wordprocessingShape">
                    <wps:wsp>
                      <wps:cNvPr id="0" name=""/>
                      <wps:cNvSpPr txBox="1"/>
                      <wps:spPr bwMode="auto">
                        <a:xfrm flipH="1">
                          <a:off x="0" y="0"/>
                          <a:ext cx="900430" cy="550545"/>
                        </a:xfrm>
                        <a:prstGeom prst="rect">
                          <a:avLst/>
                        </a:prstGeom>
                        <a:noFill/>
                        <a:ln>
                          <a:noFill/>
                        </a:ln>
                      </wps:spPr>
                      <wps:txbx>
                        <w:txbxContent>
                          <w:p>
                            <w:pPr>
                              <w:spacing w:line="20" w:lineRule="exact"/>
                            </w:pPr>
                            <w:r/>
                            <w:r/>
                          </w:p>
                          <w:p>
                            <w:pPr>
                              <w:pStyle w:val="1043"/>
                              <w:ind w:left="157"/>
                              <w:spacing w:before="122" w:line="220" w:lineRule="auto"/>
                              <w:rPr>
                                <w:rFonts w:hint="eastAsia"/>
                                <w:sz w:val="32"/>
                                <w:szCs w:val="32"/>
                              </w:rPr>
                            </w:pPr>
                            <w:r>
                              <w:rPr>
                                <w:b/>
                                <w:bCs/>
                                <w:spacing w:val="-10"/>
                                <w:sz w:val="32"/>
                                <w:szCs w:val="32"/>
                              </w:rPr>
                              <w:t xml:space="preserve">制定</w:t>
                            </w:r>
                            <w:r/>
                          </w:p>
                          <w:p>
                            <w:r/>
                            <w:r/>
                          </w:p>
                          <w:p>
                            <w:pPr>
                              <w:pStyle w:val="856"/>
                              <w:rPr>
                                <w:rFonts w:hint="eastAsia"/>
                              </w:rPr>
                            </w:pPr>
                            <w:r>
                              <w:rPr>
                                <w:rFonts w:hint="eastAsia"/>
                              </w:rPr>
                            </w:r>
                            <w:r/>
                          </w:p>
                        </w:txbxContent>
                      </wps:txbx>
                      <wps:bodyPr lIns="0" tIns="0" rIns="0" bIns="0" upright="1"/>
                    </wps:wsp>
                  </a:graphicData>
                </a:graphic>
              </wp:anchor>
            </w:drawing>
          </mc:Choice>
          <mc:Fallback>
            <w:pict>
              <v:shape id="shape 4" o:spid="_x0000_s4" o:spt="202" type="#_x0000_t202" style="position:absolute;z-index:251660288;o:allowoverlap:true;o:allowincell:true;mso-position-horizontal-relative:text;margin-left:329.8pt;mso-position-horizontal:absolute;mso-position-vertical-relative:text;margin-top:13.4pt;mso-position-vertical:absolute;width:70.9pt;height:43.4pt;mso-wrap-distance-left:9.0pt;mso-wrap-distance-top:0.0pt;mso-wrap-distance-right:9.0pt;mso-wrap-distance-bottom:0.0pt;flip:x;visibility:visible;" filled="f" stroked="f">
                <v:textbox inset="0,0,0,0">
                  <w:txbxContent>
                    <w:p>
                      <w:pPr>
                        <w:spacing w:line="20" w:lineRule="exact"/>
                      </w:pPr>
                      <w:r/>
                      <w:r/>
                    </w:p>
                    <w:p>
                      <w:pPr>
                        <w:pStyle w:val="1043"/>
                        <w:ind w:left="157"/>
                        <w:spacing w:before="122" w:line="220" w:lineRule="auto"/>
                        <w:rPr>
                          <w:rFonts w:hint="eastAsia"/>
                          <w:sz w:val="32"/>
                          <w:szCs w:val="32"/>
                        </w:rPr>
                      </w:pPr>
                      <w:r>
                        <w:rPr>
                          <w:b/>
                          <w:bCs/>
                          <w:spacing w:val="-10"/>
                          <w:sz w:val="32"/>
                          <w:szCs w:val="32"/>
                        </w:rPr>
                        <w:t xml:space="preserve">制定</w:t>
                      </w:r>
                      <w:r/>
                    </w:p>
                    <w:p>
                      <w:r/>
                      <w:r/>
                    </w:p>
                    <w:p>
                      <w:pPr>
                        <w:pStyle w:val="856"/>
                        <w:rPr>
                          <w:rFonts w:hint="eastAsia"/>
                        </w:rPr>
                      </w:pPr>
                      <w:r>
                        <w:rPr>
                          <w:rFonts w:hint="eastAsia"/>
                        </w:rPr>
                      </w:r>
                      <w:r/>
                    </w:p>
                  </w:txbxContent>
                </v:textbox>
              </v:shape>
            </w:pict>
          </mc:Fallback>
        </mc:AlternateContent>
      </w:r>
      <w:r>
        <w:rPr>
          <w:rFonts w:hint="eastAsia" w:ascii="宋体" w:hAnsi="宋体" w:eastAsia="宋体" w:cs="宋体"/>
          <w:b/>
          <w:bCs/>
          <w:spacing w:val="-20"/>
          <w:sz w:val="32"/>
          <w:szCs w:val="32"/>
          <w:highlight w:val="none"/>
        </w:rPr>
        <w:t xml:space="preserve">住</w:t>
      </w:r>
      <w:r>
        <w:rPr>
          <w:rFonts w:hint="eastAsia" w:ascii="宋体" w:hAnsi="宋体" w:eastAsia="宋体" w:cs="宋体"/>
          <w:spacing w:val="42"/>
          <w:sz w:val="32"/>
          <w:szCs w:val="32"/>
          <w:highlight w:val="none"/>
        </w:rPr>
        <w:t xml:space="preserve"> </w:t>
      </w:r>
      <w:r>
        <w:rPr>
          <w:rFonts w:hint="eastAsia" w:ascii="宋体" w:hAnsi="宋体" w:eastAsia="宋体" w:cs="宋体"/>
          <w:b/>
          <w:bCs/>
          <w:spacing w:val="-20"/>
          <w:sz w:val="32"/>
          <w:szCs w:val="32"/>
          <w:highlight w:val="none"/>
        </w:rPr>
        <w:t xml:space="preserve">房</w:t>
      </w:r>
      <w:r>
        <w:rPr>
          <w:rFonts w:hint="eastAsia" w:ascii="宋体" w:hAnsi="宋体" w:eastAsia="宋体" w:cs="宋体"/>
          <w:spacing w:val="39"/>
          <w:sz w:val="32"/>
          <w:szCs w:val="32"/>
          <w:highlight w:val="none"/>
        </w:rPr>
        <w:t xml:space="preserve"> </w:t>
      </w:r>
      <w:r>
        <w:rPr>
          <w:rFonts w:hint="eastAsia" w:ascii="宋体" w:hAnsi="宋体" w:eastAsia="宋体" w:cs="宋体"/>
          <w:b/>
          <w:bCs/>
          <w:spacing w:val="-20"/>
          <w:sz w:val="32"/>
          <w:szCs w:val="32"/>
          <w:highlight w:val="none"/>
        </w:rPr>
        <w:t xml:space="preserve">城</w:t>
      </w:r>
      <w:r>
        <w:rPr>
          <w:rFonts w:hint="eastAsia" w:ascii="宋体" w:hAnsi="宋体" w:eastAsia="宋体" w:cs="宋体"/>
          <w:spacing w:val="53"/>
          <w:sz w:val="32"/>
          <w:szCs w:val="32"/>
          <w:highlight w:val="none"/>
        </w:rPr>
        <w:t xml:space="preserve"> </w:t>
      </w:r>
      <w:r>
        <w:rPr>
          <w:rFonts w:hint="eastAsia" w:ascii="宋体" w:hAnsi="宋体" w:eastAsia="宋体" w:cs="宋体"/>
          <w:b/>
          <w:bCs/>
          <w:spacing w:val="-20"/>
          <w:sz w:val="32"/>
          <w:szCs w:val="32"/>
          <w:highlight w:val="none"/>
        </w:rPr>
        <w:t xml:space="preserve">乡</w:t>
      </w:r>
      <w:r>
        <w:rPr>
          <w:rFonts w:hint="eastAsia" w:ascii="宋体" w:hAnsi="宋体" w:eastAsia="宋体" w:cs="宋体"/>
          <w:spacing w:val="43"/>
          <w:sz w:val="32"/>
          <w:szCs w:val="32"/>
          <w:highlight w:val="none"/>
        </w:rPr>
        <w:t xml:space="preserve"> </w:t>
      </w:r>
      <w:r>
        <w:rPr>
          <w:rFonts w:hint="eastAsia" w:ascii="宋体" w:hAnsi="宋体" w:eastAsia="宋体" w:cs="宋体"/>
          <w:b/>
          <w:bCs/>
          <w:spacing w:val="-20"/>
          <w:sz w:val="32"/>
          <w:szCs w:val="32"/>
          <w:highlight w:val="none"/>
        </w:rPr>
        <w:t xml:space="preserve">建</w:t>
      </w:r>
      <w:r>
        <w:rPr>
          <w:rFonts w:hint="eastAsia" w:ascii="宋体" w:hAnsi="宋体" w:eastAsia="宋体" w:cs="宋体"/>
          <w:spacing w:val="45"/>
          <w:sz w:val="32"/>
          <w:szCs w:val="32"/>
          <w:highlight w:val="none"/>
        </w:rPr>
        <w:t xml:space="preserve"> </w:t>
      </w:r>
      <w:r>
        <w:rPr>
          <w:rFonts w:hint="eastAsia" w:ascii="宋体" w:hAnsi="宋体" w:eastAsia="宋体" w:cs="宋体"/>
          <w:b/>
          <w:bCs/>
          <w:spacing w:val="-20"/>
          <w:sz w:val="32"/>
          <w:szCs w:val="32"/>
          <w:highlight w:val="none"/>
        </w:rPr>
        <w:t xml:space="preserve">设</w:t>
      </w:r>
      <w:r>
        <w:rPr>
          <w:rFonts w:hint="eastAsia" w:ascii="宋体" w:hAnsi="宋体" w:eastAsia="宋体" w:cs="宋体"/>
          <w:spacing w:val="42"/>
          <w:sz w:val="32"/>
          <w:szCs w:val="32"/>
          <w:highlight w:val="none"/>
        </w:rPr>
        <w:t xml:space="preserve"> </w:t>
      </w:r>
      <w:r>
        <w:rPr>
          <w:rFonts w:hint="eastAsia" w:ascii="宋体" w:hAnsi="宋体" w:eastAsia="宋体" w:cs="宋体"/>
          <w:b/>
          <w:bCs/>
          <w:spacing w:val="-20"/>
          <w:sz w:val="32"/>
          <w:szCs w:val="32"/>
          <w:highlight w:val="none"/>
        </w:rPr>
        <w:t xml:space="preserve">部</w:t>
      </w:r>
      <w:r/>
    </w:p>
    <w:p>
      <w:pPr>
        <w:ind w:right="3280"/>
        <w:jc w:val="right"/>
        <w:spacing w:before="104" w:line="241" w:lineRule="auto"/>
        <w:rPr>
          <w:rFonts w:hint="eastAsia" w:ascii="宋体" w:hAnsi="宋体" w:eastAsia="宋体" w:cs="宋体"/>
          <w:sz w:val="32"/>
          <w:szCs w:val="32"/>
          <w:highlight w:val="none"/>
        </w:rPr>
      </w:pPr>
      <w:r>
        <w:rPr>
          <w:rFonts w:hint="eastAsia" w:ascii="宋体" w:hAnsi="宋体" w:eastAsia="宋体" w:cs="宋体"/>
          <w:b/>
          <w:bCs/>
          <w:spacing w:val="8"/>
          <w:sz w:val="32"/>
          <w:szCs w:val="32"/>
          <w:highlight w:val="none"/>
        </w:rPr>
        <w:t xml:space="preserve">国家工商行政管理总局</w:t>
      </w:r>
      <w:r/>
    </w:p>
    <w:p>
      <w:pPr>
        <w:spacing w:line="439" w:lineRule="atLeast"/>
        <w:rPr>
          <w:rFonts w:eastAsia="黑体"/>
          <w:b/>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bookmarkEnd w:id="159"/>
      <w:r/>
      <w:bookmarkStart w:id="160" w:name="_Toc488071324"/>
      <w:r/>
      <w:bookmarkStart w:id="161" w:name="_Toc419443852"/>
      <w:r/>
      <w:bookmarkEnd w:id="160"/>
      <w:r/>
      <w:bookmarkEnd w:id="161"/>
      <w:r/>
      <w:r/>
    </w:p>
    <w:p>
      <w:pPr>
        <w:jc w:val="center"/>
        <w:widowControl/>
        <w:rPr>
          <w:rFonts w:hint="eastAsia" w:ascii="黑体" w:hAnsi="宋体" w:eastAsia="黑体" w:cs="黑体"/>
          <w:sz w:val="44"/>
          <w:szCs w:val="44"/>
          <w:highlight w:val="none"/>
        </w:rPr>
      </w:pPr>
      <w:r/>
      <w:bookmarkStart w:id="162" w:name="_Toc462564139"/>
      <w:r/>
      <w:bookmarkStart w:id="163" w:name="_Toc20823346"/>
      <w:r/>
      <w:bookmarkStart w:id="164" w:name="_Toc120614244"/>
      <w:r/>
      <w:bookmarkStart w:id="165" w:name="_Toc16938590"/>
      <w:r/>
      <w:bookmarkStart w:id="166" w:name="_Toc1169"/>
      <w:r/>
      <w:bookmarkStart w:id="167" w:name="_Hlt16619350"/>
      <w:r/>
      <w:bookmarkStart w:id="168" w:name="_Hlt16619369"/>
      <w:r>
        <w:rPr>
          <w:rFonts w:hint="eastAsia" w:ascii="宋体" w:hAnsi="宋体" w:eastAsia="宋体" w:cs="宋体"/>
          <w:sz w:val="44"/>
          <w:szCs w:val="44"/>
          <w:highlight w:val="none"/>
        </w:rPr>
        <w:t xml:space="preserve">说  明</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一、《示范文本》的组成</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《示范文本》由合同协议书、通用合同条款和专用合同条款三部分组成。</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（一）合同协议书</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（二）通用合同条款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（三）专用合同条款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1.专用合同条款的编号应与相应的通用合同条款的编号一致；</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2.合同当事人可以通过对专用合同条款的修改，满足具体建设工程的特殊要求，避免直接修改通用合同条款；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二、《示范文本》的性质和适用范围</w:t>
      </w:r>
      <w:r/>
    </w:p>
    <w:p>
      <w:pPr>
        <w:ind w:firstLine="420"/>
        <w:rPr>
          <w:rFonts w:hint="eastAsia" w:ascii="宋体" w:hAnsi="宋体" w:eastAsia="宋体" w:cs="宋体"/>
          <w:szCs w:val="21"/>
          <w:highlight w:val="none"/>
        </w:rPr>
        <w:sectPr>
          <w:footerReference w:type="default" r:id="rId15"/>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eastAsia="宋体" w:cs="宋体"/>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216"/>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第一部分 合同协议书</w:t>
      </w:r>
      <w:r/>
    </w:p>
    <w:p>
      <w:pPr>
        <w:spacing w:line="420" w:lineRule="exact"/>
        <w:rPr>
          <w:rFonts w:hint="eastAsia" w:ascii="宋体" w:hAnsi="宋体" w:eastAsia="宋体" w:cs="宋体"/>
          <w:sz w:val="24"/>
          <w:highlight w:val="none"/>
        </w:rPr>
      </w:pPr>
      <w:r>
        <w:rPr>
          <w:rFonts w:hint="eastAsia" w:ascii="宋体" w:hAnsi="宋体" w:eastAsia="宋体" w:cs="宋体"/>
          <w:b/>
          <w:szCs w:val="21"/>
          <w:highlight w:val="none"/>
        </w:rPr>
        <w:t xml:space="preserve">发包人（全称）：</w:t>
      </w:r>
      <w:r>
        <w:rPr>
          <w:rFonts w:hint="eastAsia" w:ascii="宋体" w:hAnsi="宋体" w:cs="宋体"/>
          <w:szCs w:val="21"/>
          <w:highlight w:val="none"/>
          <w:u w:val="single"/>
        </w:rPr>
        <w:t xml:space="preserve">盐城市盐都区龙冈镇人民政府</w:t>
      </w:r>
      <w:r/>
    </w:p>
    <w:p>
      <w:pPr>
        <w:spacing w:line="420" w:lineRule="exact"/>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b/>
          <w:szCs w:val="21"/>
          <w:highlight w:val="none"/>
          <w:u w:val="single"/>
        </w:rPr>
        <w:t xml:space="preserve">              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cs="宋体"/>
          <w:szCs w:val="21"/>
          <w:highlight w:val="none"/>
          <w:u w:val="single"/>
        </w:rPr>
        <w:t xml:space="preserve">龙冈镇三旺村道路及桥梁改造和人居环境提升项目</w:t>
      </w:r>
      <w:r>
        <w:rPr>
          <w:rFonts w:hint="eastAsia" w:ascii="宋体" w:hAnsi="宋体" w:eastAsia="宋体" w:cs="宋体"/>
          <w:szCs w:val="21"/>
          <w:highlight w:val="none"/>
        </w:rPr>
        <w:t xml:space="preserve">施工及有关事项协商一致，共同达成如下协议：</w:t>
      </w:r>
      <w:r/>
    </w:p>
    <w:p>
      <w:pPr>
        <w:keepLines/>
        <w:keepNext/>
        <w:spacing w:line="42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    </w:t>
      </w:r>
      <w:bookmarkStart w:id="169" w:name="_Toc351203481"/>
      <w:r>
        <w:rPr>
          <w:rFonts w:hint="eastAsia" w:ascii="宋体" w:hAnsi="宋体" w:eastAsia="宋体" w:cs="宋体"/>
          <w:b/>
          <w:szCs w:val="21"/>
          <w:highlight w:val="none"/>
        </w:rPr>
        <w:t xml:space="preserve">一、工程概况</w:t>
      </w:r>
      <w:bookmarkEnd w:id="169"/>
      <w:r/>
      <w:r/>
    </w:p>
    <w:p>
      <w:pPr>
        <w:ind w:firstLine="411"/>
        <w:spacing w:line="420" w:lineRule="exact"/>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1.工程名称</w:t>
      </w:r>
      <w:r>
        <w:rPr>
          <w:rFonts w:hint="eastAsia" w:ascii="宋体" w:hAnsi="宋体" w:eastAsia="宋体" w:cs="宋体"/>
          <w:szCs w:val="21"/>
          <w:highlight w:val="none"/>
        </w:rPr>
        <w:t xml:space="preserve">：</w:t>
      </w:r>
      <w:r>
        <w:rPr>
          <w:rFonts w:hint="eastAsia" w:ascii="宋体" w:hAnsi="宋体" w:cs="宋体"/>
          <w:szCs w:val="21"/>
          <w:highlight w:val="none"/>
          <w:u w:val="single"/>
        </w:rPr>
        <w:t xml:space="preserve">龙冈镇三旺村道路及桥梁改造和人居环境提升项目</w:t>
      </w:r>
      <w:r>
        <w:rPr>
          <w:rFonts w:hint="eastAsia" w:ascii="宋体" w:hAnsi="宋体" w:eastAsia="宋体" w:cs="宋体"/>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2.工程地点：</w:t>
      </w:r>
      <w:r>
        <w:rPr>
          <w:rFonts w:hint="eastAsia" w:ascii="宋体" w:hAnsi="宋体" w:cs="宋体"/>
          <w:szCs w:val="21"/>
          <w:highlight w:val="none"/>
          <w:u w:val="single"/>
        </w:rPr>
        <w:t xml:space="preserve">盐都区龙冈镇境内</w:t>
      </w:r>
      <w:r>
        <w:rPr>
          <w:rFonts w:hint="eastAsia" w:ascii="宋体" w:hAnsi="宋体" w:eastAsia="宋体" w:cs="宋体"/>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3.工程立项批准文号：</w:t>
      </w:r>
      <w:r>
        <w:rPr>
          <w:rFonts w:hint="eastAsia" w:ascii="宋体" w:hAnsi="宋体" w:cs="宋体"/>
          <w:szCs w:val="21"/>
          <w:highlight w:val="none"/>
          <w:u w:val="single"/>
        </w:rPr>
        <w:t xml:space="preserve">都政服投资复(2026)290号</w:t>
      </w:r>
      <w:r>
        <w:rPr>
          <w:rFonts w:hint="eastAsia" w:ascii="宋体" w:hAnsi="宋体" w:eastAsia="宋体" w:cs="宋体"/>
          <w:bCs/>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4.资金来源：</w:t>
      </w:r>
      <w:r>
        <w:rPr>
          <w:rFonts w:hint="eastAsia" w:ascii="宋体" w:hAnsi="宋体" w:eastAsia="宋体" w:cs="宋体"/>
          <w:bCs/>
          <w:szCs w:val="21"/>
          <w:highlight w:val="none"/>
          <w:u w:val="single"/>
        </w:rPr>
        <w:t xml:space="preserve">财政资金</w:t>
      </w:r>
      <w:r>
        <w:rPr>
          <w:rFonts w:hint="eastAsia" w:ascii="宋体" w:hAnsi="宋体" w:cs="宋体"/>
          <w:bCs/>
          <w:szCs w:val="21"/>
          <w:highlight w:val="none"/>
          <w:u w:val="single"/>
        </w:rPr>
        <w:t xml:space="preserve">，</w:t>
      </w:r>
      <w:r>
        <w:rPr>
          <w:rFonts w:hint="eastAsia" w:ascii="宋体" w:hAnsi="宋体" w:eastAsia="宋体" w:cs="宋体"/>
          <w:bCs/>
          <w:szCs w:val="21"/>
          <w:highlight w:val="none"/>
          <w:u w:val="single"/>
        </w:rPr>
        <w:t xml:space="preserve">已落实。</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5.工程内容：</w:t>
      </w:r>
      <w:r>
        <w:rPr>
          <w:rFonts w:hint="eastAsia" w:ascii="宋体" w:hAnsi="宋体" w:cs="宋体"/>
          <w:szCs w:val="21"/>
          <w:highlight w:val="none"/>
          <w:u w:val="single"/>
        </w:rPr>
        <w:t xml:space="preserve">龙冈镇三旺村道路及桥梁改造和人居环境提升项目</w:t>
      </w:r>
      <w:r>
        <w:rPr>
          <w:rFonts w:hint="eastAsia" w:ascii="宋体" w:hAnsi="宋体" w:eastAsia="宋体" w:cs="宋体"/>
          <w:szCs w:val="21"/>
          <w:highlight w:val="none"/>
          <w:u w:val="single"/>
        </w:rPr>
        <w:t xml:space="preserve">的施工，具体以发包人提供的工程量清单、图纸及采购人现场要求为准，发包人保留对上述工程量及范围适当调整的权利。</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6.工程承包范围：</w:t>
      </w:r>
      <w:r/>
    </w:p>
    <w:p>
      <w:pPr>
        <w:ind w:firstLine="420"/>
        <w:spacing w:line="420" w:lineRule="exact"/>
        <w:rPr>
          <w:rFonts w:hint="eastAsia" w:ascii="宋体" w:hAnsi="宋体" w:eastAsia="宋体" w:cs="宋体"/>
          <w:b/>
          <w:bCs/>
          <w:szCs w:val="21"/>
          <w:highlight w:val="none"/>
        </w:rPr>
      </w:pPr>
      <w:r>
        <w:rPr>
          <w:rFonts w:hint="eastAsia" w:ascii="宋体" w:hAnsi="宋体" w:cs="宋体"/>
          <w:szCs w:val="21"/>
          <w:highlight w:val="none"/>
          <w:u w:val="single"/>
        </w:rPr>
        <w:t xml:space="preserve">龙冈镇三旺村道路及桥梁改造和人居环境提升项目</w:t>
      </w:r>
      <w:r>
        <w:rPr>
          <w:rFonts w:hint="eastAsia" w:ascii="宋体" w:hAnsi="宋体" w:eastAsia="宋体" w:cs="宋体"/>
          <w:szCs w:val="21"/>
          <w:highlight w:val="none"/>
          <w:u w:val="single"/>
        </w:rPr>
        <w:t xml:space="preserve">，具体以发包人提供的施工图纸和工程量清单为准。工程总承包的施工内容为包工、包料、包工期、包质量、包安全、包文明施工、包交付、包工程竣工验收备案、包整体移交（含档案移交）及竣工验收合格及缺陷责任期内的保修。发包人保留调整部分工程量的权利。</w:t>
      </w:r>
      <w:r/>
    </w:p>
    <w:p>
      <w:pPr>
        <w:ind w:firstLine="422"/>
        <w:keepLines/>
        <w:keepNext/>
        <w:spacing w:line="420" w:lineRule="exact"/>
        <w:rPr>
          <w:rFonts w:hint="eastAsia" w:ascii="宋体" w:hAnsi="宋体" w:eastAsia="宋体" w:cs="宋体"/>
          <w:b/>
          <w:szCs w:val="21"/>
          <w:highlight w:val="none"/>
        </w:rPr>
      </w:pPr>
      <w:r/>
      <w:bookmarkStart w:id="170" w:name="_Toc351203482"/>
      <w:r>
        <w:rPr>
          <w:rFonts w:hint="eastAsia" w:ascii="宋体" w:hAnsi="宋体" w:eastAsia="宋体" w:cs="宋体"/>
          <w:b/>
          <w:szCs w:val="21"/>
          <w:highlight w:val="none"/>
        </w:rPr>
        <w:t xml:space="preserve">二、合同工期</w:t>
      </w:r>
      <w:bookmarkEnd w:id="170"/>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cs="宋体"/>
          <w:szCs w:val="21"/>
          <w:highlight w:val="none"/>
          <w:u w:val="single"/>
        </w:rPr>
        <w:t xml:space="preserve">2026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日。</w:t>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计划竣工日期：</w:t>
      </w:r>
      <w:r>
        <w:rPr>
          <w:rFonts w:hint="eastAsia" w:ascii="宋体" w:hAnsi="宋体" w:cs="宋体"/>
          <w:szCs w:val="21"/>
          <w:highlight w:val="none"/>
          <w:u w:val="single"/>
        </w:rPr>
        <w:t xml:space="preserve">2026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日。</w:t>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w:t>
      </w:r>
      <w:r>
        <w:rPr>
          <w:rFonts w:hint="eastAsia" w:ascii="宋体" w:hAnsi="宋体" w:eastAsia="宋体" w:cs="宋体"/>
          <w:szCs w:val="21"/>
          <w:highlight w:val="none"/>
          <w:u w:val="single"/>
        </w:rPr>
        <w:t xml:space="preserve">60</w:t>
      </w:r>
      <w:r>
        <w:rPr>
          <w:rFonts w:hint="eastAsia" w:ascii="宋体" w:hAnsi="宋体" w:eastAsia="宋体" w:cs="宋体"/>
          <w:szCs w:val="21"/>
          <w:highlight w:val="none"/>
        </w:rPr>
        <w:t xml:space="preserve">天</w:t>
      </w:r>
      <w:r>
        <w:rPr>
          <w:rFonts w:hint="eastAsia" w:ascii="宋体" w:hAnsi="宋体" w:eastAsia="宋体" w:cs="宋体"/>
          <w:szCs w:val="21"/>
          <w:highlight w:val="none"/>
        </w:rPr>
        <w:t xml:space="preserve">。工期总日历天数与根据前述计划开竣工日期计算的工期天数不一致的，以工期总日历天数为准。</w:t>
      </w:r>
      <w:r/>
    </w:p>
    <w:p>
      <w:pPr>
        <w:pStyle w:val="1028"/>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特别说明：</w:t>
      </w:r>
      <w:r/>
    </w:p>
    <w:p>
      <w:pPr>
        <w:pStyle w:val="1028"/>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1.具体开工日期以发包人或监理人的书面开工通知为准。</w:t>
      </w:r>
      <w:r/>
    </w:p>
    <w:p>
      <w:pPr>
        <w:pStyle w:val="1028"/>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2.若因土地征收或响应政府要求等客观原因造成无法正常开工，发包人可无条件将工期延后或终止项目。</w:t>
      </w:r>
      <w:r/>
    </w:p>
    <w:p>
      <w:pPr>
        <w:pStyle w:val="1028"/>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3.如因政策调整等不可预见原因项目取消或终止，自动解除合同，承包人不得以此对发包人要求经济补偿，双方互不承担责任。</w:t>
      </w:r>
      <w:r/>
    </w:p>
    <w:p>
      <w:pPr>
        <w:pStyle w:val="1028"/>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4.实际施工过程中如因交通封闭分幅施工等客观原因造成多次进场分段施工的，所产生的费用由承包人自行承担，发包人不另行增加费用。</w:t>
      </w:r>
      <w:r/>
    </w:p>
    <w:p>
      <w:pPr>
        <w:ind w:firstLine="422"/>
        <w:keepLines/>
        <w:keepNext/>
        <w:spacing w:line="420" w:lineRule="exact"/>
        <w:rPr>
          <w:rFonts w:hint="eastAsia" w:ascii="宋体" w:hAnsi="宋体" w:eastAsia="宋体" w:cs="宋体"/>
          <w:b/>
          <w:szCs w:val="21"/>
          <w:highlight w:val="none"/>
        </w:rPr>
      </w:pPr>
      <w:r/>
      <w:bookmarkStart w:id="171" w:name="_Toc351203483"/>
      <w:r>
        <w:rPr>
          <w:rFonts w:hint="eastAsia" w:ascii="宋体" w:hAnsi="宋体" w:eastAsia="宋体" w:cs="宋体"/>
          <w:b/>
          <w:szCs w:val="21"/>
          <w:highlight w:val="none"/>
        </w:rPr>
        <w:t xml:space="preserve">三、质量标准</w:t>
      </w:r>
      <w:bookmarkEnd w:id="171"/>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工程质量符合</w:t>
      </w:r>
      <w:r>
        <w:rPr>
          <w:rFonts w:hint="eastAsia" w:ascii="宋体" w:hAnsi="宋体" w:eastAsia="宋体" w:cs="宋体"/>
          <w:szCs w:val="21"/>
          <w:highlight w:val="none"/>
          <w:u w:val="single"/>
        </w:rPr>
        <w:t xml:space="preserve">合格</w:t>
      </w:r>
      <w:r>
        <w:rPr>
          <w:rFonts w:hint="eastAsia" w:ascii="宋体" w:hAnsi="宋体" w:eastAsia="宋体" w:cs="宋体"/>
          <w:szCs w:val="21"/>
          <w:highlight w:val="none"/>
        </w:rPr>
        <w:t xml:space="preserve">标准。</w:t>
      </w:r>
      <w:bookmarkStart w:id="172" w:name="_Toc351203484"/>
      <w:r>
        <w:rPr>
          <w:rFonts w:hint="eastAsia" w:ascii="宋体" w:hAnsi="宋体" w:eastAsia="宋体" w:cs="宋体"/>
          <w:szCs w:val="21"/>
          <w:highlight w:val="none"/>
        </w:rPr>
        <w:t xml:space="preserve">满足合同及图纸设计要求，达到国家、所在省市现行有关施工质量验收规范要求和该类工程质量验收的标准，并验收合格。</w:t>
      </w:r>
      <w:r/>
    </w:p>
    <w:p>
      <w:pPr>
        <w:ind w:firstLine="459"/>
        <w:spacing w:line="42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四、签约合同价与合同价格形式</w:t>
      </w:r>
      <w:bookmarkEnd w:id="172"/>
      <w:r>
        <w:rPr>
          <w:rFonts w:hint="eastAsia" w:ascii="宋体" w:hAnsi="宋体" w:eastAsia="宋体" w:cs="宋体"/>
          <w:szCs w:val="21"/>
          <w:highlight w:val="none"/>
        </w:rPr>
        <w:tab/>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1.签约合同价为：</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其中：</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（1）安全文明施工费：</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（2）材料和工程设备暂估价金额：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（3）专业工程暂估价金额：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（4）暂列金额：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2.合同价格形式：</w:t>
      </w:r>
      <w:r>
        <w:rPr>
          <w:rFonts w:hint="eastAsia" w:ascii="宋体" w:hAnsi="宋体" w:eastAsia="宋体" w:cs="宋体"/>
          <w:szCs w:val="21"/>
          <w:highlight w:val="none"/>
          <w:u w:val="single"/>
        </w:rPr>
        <w:t xml:space="preserve">固定单价合同</w:t>
      </w:r>
      <w:r>
        <w:rPr>
          <w:rFonts w:hint="eastAsia" w:ascii="宋体" w:hAnsi="宋体" w:eastAsia="宋体" w:cs="宋体"/>
          <w:szCs w:val="21"/>
          <w:highlight w:val="none"/>
        </w:rPr>
        <w:t xml:space="preserve">。</w:t>
      </w:r>
      <w:r/>
    </w:p>
    <w:p>
      <w:pPr>
        <w:keepLines/>
        <w:keepNex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3" w:name="_Toc351203485"/>
      <w:r>
        <w:rPr>
          <w:rFonts w:hint="eastAsia" w:ascii="宋体" w:hAnsi="宋体" w:eastAsia="宋体" w:cs="宋体"/>
          <w:b/>
          <w:szCs w:val="21"/>
          <w:highlight w:val="none"/>
        </w:rPr>
        <w:t xml:space="preserve">五、</w:t>
      </w:r>
      <w:bookmarkEnd w:id="173"/>
      <w:r>
        <w:rPr>
          <w:rFonts w:hint="eastAsia" w:ascii="宋体" w:hAnsi="宋体" w:eastAsia="宋体" w:cs="宋体"/>
          <w:b/>
          <w:szCs w:val="21"/>
          <w:highlight w:val="none"/>
        </w:rPr>
        <w:t xml:space="preserve">项目经理</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承包人项目经理：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keepLines/>
        <w:keepNex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bookmarkStart w:id="174" w:name="_Toc351203486"/>
      <w:r>
        <w:rPr>
          <w:rFonts w:hint="eastAsia" w:ascii="宋体" w:hAnsi="宋体" w:eastAsia="宋体" w:cs="宋体"/>
          <w:szCs w:val="21"/>
          <w:highlight w:val="none"/>
        </w:rPr>
        <w:t xml:space="preserve">六、合同文件构成</w:t>
      </w:r>
      <w:bookmarkEnd w:id="174"/>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本协议书与下列文件一起构成合同文件：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（1）中标通知书；</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（2）投标函及其附录； </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（3）专用合同条款及其附件；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（4）通用合同条款；</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（5）技术标准和要求；</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（6）图纸；</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（7）已标价工程量清单或预算书；</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（8）其他合同文件。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在合同订立及履行过程中形成的与合同有关的文件均构成合同文件组成部分。</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5" w:name="_Toc351203487"/>
      <w:r>
        <w:rPr>
          <w:rFonts w:hint="eastAsia" w:ascii="宋体" w:hAnsi="宋体" w:eastAsia="宋体" w:cs="宋体"/>
          <w:b/>
          <w:szCs w:val="21"/>
          <w:highlight w:val="none"/>
        </w:rPr>
        <w:t xml:space="preserve">七、承诺</w:t>
      </w:r>
      <w:bookmarkEnd w:id="175"/>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1.发包人承诺按照法律规定履行项目审批手续、筹集工程建设资金并按照合同约定的期限和方式支付合同价款。</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3.发包人和承包人通过招投标形式签订合同的，双方理解并承诺不再就同一工程另行签订与合同实质性内容相背离的协议。</w:t>
      </w:r>
      <w:r/>
    </w:p>
    <w:p>
      <w:pPr>
        <w:spacing w:line="420" w:lineRule="exact"/>
        <w:rPr>
          <w:rFonts w:hint="eastAsia" w:ascii="宋体" w:hAnsi="宋体" w:eastAsia="宋体" w:cs="宋体"/>
          <w:bCs/>
          <w:szCs w:val="21"/>
          <w:highlight w:val="none"/>
        </w:rPr>
      </w:pPr>
      <w:r/>
      <w:bookmarkStart w:id="176" w:name="_Toc351203488"/>
      <w:r>
        <w:rPr>
          <w:rFonts w:hint="eastAsia" w:ascii="宋体" w:hAnsi="宋体" w:eastAsia="宋体" w:cs="宋体"/>
          <w:b/>
          <w:szCs w:val="21"/>
          <w:highlight w:val="none"/>
        </w:rPr>
        <w:t xml:space="preserve">    八、词语含义</w:t>
      </w:r>
      <w:bookmarkEnd w:id="176"/>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本协议书中词语含义与第二部分通用合同条款中赋予的含义相同。</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7" w:name="_Toc351203489"/>
      <w:r>
        <w:rPr>
          <w:rFonts w:hint="eastAsia" w:ascii="宋体" w:hAnsi="宋体" w:eastAsia="宋体" w:cs="宋体"/>
          <w:b/>
          <w:szCs w:val="21"/>
          <w:highlight w:val="none"/>
        </w:rPr>
        <w:t xml:space="preserve">九、签订时间</w:t>
      </w:r>
      <w:bookmarkEnd w:id="177"/>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本合同于</w:t>
      </w:r>
      <w:r>
        <w:rPr>
          <w:rFonts w:hint="eastAsia" w:ascii="宋体" w:hAnsi="宋体" w:eastAsia="宋体" w:cs="宋体"/>
          <w:bCs/>
          <w:szCs w:val="21"/>
          <w:highlight w:val="none"/>
          <w:u w:val="single"/>
        </w:rPr>
        <w:t xml:space="preserve">202</w:t>
      </w:r>
      <w:r>
        <w:rPr>
          <w:rFonts w:hint="eastAsia" w:ascii="宋体" w:hAnsi="宋体" w:cs="宋体"/>
          <w:bCs/>
          <w:szCs w:val="21"/>
          <w:highlight w:val="none"/>
          <w:u w:val="single"/>
        </w:rPr>
        <w:t xml:space="preserve">6</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日签订。</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8" w:name="_Toc351203490"/>
      <w:r>
        <w:rPr>
          <w:rFonts w:hint="eastAsia" w:ascii="宋体" w:hAnsi="宋体" w:eastAsia="宋体" w:cs="宋体"/>
          <w:b/>
          <w:szCs w:val="21"/>
          <w:highlight w:val="none"/>
        </w:rPr>
        <w:t xml:space="preserve">十、签订地点</w:t>
      </w:r>
      <w:bookmarkEnd w:id="178"/>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本合同在</w:t>
      </w:r>
      <w:r>
        <w:rPr>
          <w:rFonts w:hint="eastAsia" w:ascii="宋体" w:hAnsi="宋体" w:cs="宋体"/>
          <w:bCs/>
          <w:szCs w:val="21"/>
          <w:highlight w:val="none"/>
          <w:u w:val="single"/>
        </w:rPr>
        <w:t xml:space="preserve">盐城市盐都区龙冈镇人民政府</w:t>
      </w:r>
      <w:r>
        <w:rPr>
          <w:rFonts w:hint="eastAsia" w:ascii="宋体" w:hAnsi="宋体" w:eastAsia="宋体" w:cs="宋体"/>
          <w:bCs/>
          <w:szCs w:val="21"/>
          <w:highlight w:val="none"/>
        </w:rPr>
        <w:t xml:space="preserve">签订。</w:t>
      </w:r>
      <w:r/>
    </w:p>
    <w:p>
      <w:pPr>
        <w:spacing w:line="42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    </w:t>
      </w:r>
      <w:bookmarkStart w:id="179" w:name="_Toc351203491"/>
      <w:r>
        <w:rPr>
          <w:rFonts w:hint="eastAsia" w:ascii="宋体" w:hAnsi="宋体" w:eastAsia="宋体" w:cs="宋体"/>
          <w:b/>
          <w:szCs w:val="21"/>
          <w:highlight w:val="none"/>
        </w:rPr>
        <w:t xml:space="preserve">十一、补充协议</w:t>
      </w:r>
      <w:bookmarkEnd w:id="179"/>
      <w:r/>
      <w:r/>
    </w:p>
    <w:p>
      <w:pPr>
        <w:ind w:firstLine="420"/>
        <w:spacing w:line="420" w:lineRule="exact"/>
        <w:rPr>
          <w:rFonts w:hint="eastAsia" w:ascii="宋体" w:hAnsi="宋体" w:eastAsia="宋体" w:cs="宋体"/>
          <w:b/>
          <w:bCs/>
          <w:szCs w:val="21"/>
          <w:highlight w:val="none"/>
        </w:rPr>
      </w:pPr>
      <w:r>
        <w:rPr>
          <w:rFonts w:hint="eastAsia" w:ascii="宋体" w:hAnsi="宋体" w:eastAsia="宋体" w:cs="宋体"/>
          <w:bCs/>
          <w:szCs w:val="21"/>
          <w:highlight w:val="none"/>
        </w:rPr>
        <w:t xml:space="preserve">合同未尽事宜，合同当事人另行签订补充协议，补充协议是合同的组成部分。</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80" w:name="_Toc351203492"/>
      <w:r>
        <w:rPr>
          <w:rFonts w:hint="eastAsia" w:ascii="宋体" w:hAnsi="宋体" w:eastAsia="宋体" w:cs="宋体"/>
          <w:b/>
          <w:szCs w:val="21"/>
          <w:highlight w:val="none"/>
        </w:rPr>
        <w:t xml:space="preserve">十二、合同生效</w:t>
      </w:r>
      <w:bookmarkEnd w:id="180"/>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本合同自</w:t>
      </w:r>
      <w:r>
        <w:rPr>
          <w:rFonts w:hint="eastAsia" w:ascii="宋体" w:hAnsi="宋体" w:eastAsia="宋体" w:cs="宋体"/>
          <w:bCs/>
          <w:szCs w:val="21"/>
          <w:highlight w:val="none"/>
          <w:u w:val="single"/>
        </w:rPr>
        <w:t xml:space="preserve">双方法定代表人或其委托代理人签字并加盖单位公章</w:t>
      </w:r>
      <w:r>
        <w:rPr>
          <w:rFonts w:hint="eastAsia" w:ascii="宋体" w:hAnsi="宋体" w:eastAsia="宋体" w:cs="宋体"/>
          <w:bCs/>
          <w:szCs w:val="21"/>
          <w:highlight w:val="none"/>
        </w:rPr>
        <w:t xml:space="preserve">生效。</w:t>
      </w:r>
      <w:r/>
    </w:p>
    <w:p>
      <w:pPr>
        <w:spacing w:line="420"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  </w:t>
      </w:r>
      <w:r>
        <w:rPr>
          <w:rFonts w:hint="eastAsia" w:ascii="宋体" w:hAnsi="宋体" w:eastAsia="宋体" w:cs="宋体"/>
          <w:b/>
          <w:bCs/>
          <w:szCs w:val="21"/>
          <w:highlight w:val="none"/>
        </w:rPr>
        <w:t xml:space="preserve">  </w:t>
      </w:r>
      <w:bookmarkStart w:id="181" w:name="_Toc351203493"/>
      <w:r>
        <w:rPr>
          <w:rFonts w:hint="eastAsia" w:ascii="宋体" w:hAnsi="宋体" w:eastAsia="宋体" w:cs="宋体"/>
          <w:b/>
          <w:bCs/>
          <w:szCs w:val="21"/>
          <w:highlight w:val="none"/>
        </w:rPr>
        <w:t xml:space="preserve">十三、合同份数</w:t>
      </w:r>
      <w:bookmarkEnd w:id="181"/>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本合同一式</w:t>
      </w:r>
      <w:r>
        <w:rPr>
          <w:rFonts w:hint="eastAsia" w:ascii="宋体" w:hAnsi="宋体" w:eastAsia="宋体" w:cs="宋体"/>
          <w:bCs/>
          <w:szCs w:val="21"/>
          <w:highlight w:val="none"/>
          <w:u w:val="single"/>
        </w:rPr>
        <w:t xml:space="preserve">  捌  </w:t>
      </w:r>
      <w:r>
        <w:rPr>
          <w:rFonts w:hint="eastAsia" w:ascii="宋体" w:hAnsi="宋体" w:eastAsia="宋体" w:cs="宋体"/>
          <w:bCs/>
          <w:szCs w:val="21"/>
          <w:highlight w:val="none"/>
        </w:rPr>
        <w:t xml:space="preserve">份，均具有同等法律效力，发包人执</w:t>
      </w:r>
      <w:r>
        <w:rPr>
          <w:rFonts w:hint="eastAsia" w:ascii="宋体" w:hAnsi="宋体" w:eastAsia="宋体" w:cs="宋体"/>
          <w:bCs/>
          <w:szCs w:val="21"/>
          <w:highlight w:val="none"/>
          <w:u w:val="single"/>
        </w:rPr>
        <w:t xml:space="preserve">  肆  </w:t>
      </w:r>
      <w:r>
        <w:rPr>
          <w:rFonts w:hint="eastAsia" w:ascii="宋体" w:hAnsi="宋体" w:eastAsia="宋体" w:cs="宋体"/>
          <w:bCs/>
          <w:szCs w:val="21"/>
          <w:highlight w:val="none"/>
        </w:rPr>
        <w:t xml:space="preserve">份，承包人执</w:t>
      </w:r>
      <w:r>
        <w:rPr>
          <w:rFonts w:hint="eastAsia" w:ascii="宋体" w:hAnsi="宋体" w:eastAsia="宋体" w:cs="宋体"/>
          <w:bCs/>
          <w:szCs w:val="21"/>
          <w:highlight w:val="none"/>
          <w:u w:val="single"/>
        </w:rPr>
        <w:t xml:space="preserve">  肆  </w:t>
      </w:r>
      <w:r>
        <w:rPr>
          <w:rFonts w:hint="eastAsia" w:ascii="宋体" w:hAnsi="宋体" w:eastAsia="宋体" w:cs="宋体"/>
          <w:bCs/>
          <w:szCs w:val="21"/>
          <w:highlight w:val="none"/>
        </w:rPr>
        <w:t xml:space="preserve">份。</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发包人：  (公章)                     承包人：  (公章)</w:t>
      </w:r>
      <w:r/>
    </w:p>
    <w:p>
      <w:pPr>
        <w:spacing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           法定代表人或其委托代理人：</w:t>
      </w:r>
      <w:r/>
    </w:p>
    <w:p>
      <w:pPr>
        <w:spacing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（签字）                                （签字）</w:t>
      </w:r>
      <w:r/>
    </w:p>
    <w:p>
      <w:pPr>
        <w:ind w:firstLine="420"/>
        <w:spacing w:line="420" w:lineRule="exact"/>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组织机构代码：</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地  址：</w:t>
      </w:r>
      <w:r>
        <w:rPr>
          <w:rFonts w:hint="eastAsia" w:ascii="宋体" w:hAnsi="宋体" w:eastAsia="宋体" w:cs="宋体"/>
          <w:szCs w:val="21"/>
          <w:highlight w:val="none"/>
          <w:u w:val="single"/>
        </w:rPr>
        <w:t xml:space="preserve">  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         邮政编码：</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法定代表人：</w:t>
      </w:r>
      <w:r>
        <w:rPr>
          <w:rFonts w:hint="eastAsia" w:ascii="宋体" w:hAnsi="宋体" w:eastAsia="宋体" w:cs="宋体"/>
          <w:szCs w:val="21"/>
          <w:highlight w:val="none"/>
          <w:u w:val="single"/>
        </w:rPr>
        <w:t xml:space="preserve">      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委托代理人：</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  话：</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传  真：</w:t>
      </w:r>
      <w:r>
        <w:rPr>
          <w:rFonts w:hint="eastAsia" w:ascii="宋体" w:hAnsi="宋体" w:eastAsia="宋体" w:cs="宋体"/>
          <w:szCs w:val="21"/>
          <w:highlight w:val="none"/>
          <w:u w:val="single"/>
        </w:rPr>
        <w:t xml:space="preserve">  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电子信箱：</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开户银行：</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b/>
          <w:sz w:val="32"/>
          <w:szCs w:val="32"/>
          <w:highlight w:val="none"/>
          <w:lang w:val="zh-CN"/>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账  号：</w:t>
      </w:r>
      <w:r>
        <w:rPr>
          <w:rFonts w:hint="eastAsia" w:ascii="宋体" w:hAnsi="宋体" w:eastAsia="宋体" w:cs="宋体"/>
          <w:szCs w:val="21"/>
          <w:highlight w:val="none"/>
          <w:u w:val="single"/>
        </w:rPr>
        <w:t xml:space="preserve">     </w:t>
      </w:r>
      <w:r/>
    </w:p>
    <w:p>
      <w:pPr>
        <w:ind w:firstLine="2233"/>
        <w:spacing w:line="460" w:lineRule="exact"/>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br w:type="page" w:clear="all"/>
      </w:r>
      <w:r>
        <w:rPr>
          <w:rFonts w:hint="eastAsia" w:ascii="宋体" w:hAnsi="宋体" w:eastAsia="宋体" w:cs="宋体"/>
          <w:b/>
          <w:sz w:val="32"/>
          <w:szCs w:val="32"/>
          <w:highlight w:val="none"/>
          <w:lang w:val="zh-CN"/>
        </w:rPr>
        <w:t xml:space="preserve">第二部分 通用合同条款</w:t>
      </w:r>
      <w:r/>
    </w:p>
    <w:p>
      <w:pPr>
        <w:spacing w:line="46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ind w:firstLine="411"/>
        <w:spacing w:line="46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同建设工程施工合同（示范文本）（GF—2017—0201）内的通用合同条款</w:t>
      </w:r>
      <w:r/>
    </w:p>
    <w:p>
      <w:pPr>
        <w:ind w:firstLine="216"/>
        <w:spacing w:line="46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left="0" w:firstLine="1459"/>
        <w:jc w:val="center"/>
        <w:pageBreakBefore w:val="0"/>
        <w:spacing w:line="460" w:lineRule="exact"/>
        <w:widowControl w:val="off"/>
        <w:rPr>
          <w:rFonts w:hint="eastAsia" w:ascii="宋体" w:hAnsi="宋体" w:eastAsia="宋体" w:cs="宋体"/>
          <w:sz w:val="44"/>
          <w:szCs w:val="44"/>
          <w:highlight w:val="none"/>
        </w:rPr>
      </w:pPr>
      <w:r>
        <w:rPr>
          <w:rFonts w:hint="eastAsia" w:ascii="宋体" w:hAnsi="宋体" w:eastAsia="宋体" w:cs="宋体"/>
          <w:szCs w:val="21"/>
          <w:highlight w:val="none"/>
        </w:rPr>
        <w:br w:type="page" w:clear="all"/>
      </w:r>
      <w:r>
        <w:rPr>
          <w:rFonts w:hint="eastAsia" w:ascii="宋体" w:hAnsi="宋体" w:eastAsia="宋体" w:cs="宋体"/>
          <w:b/>
          <w:sz w:val="32"/>
          <w:szCs w:val="32"/>
          <w:highlight w:val="none"/>
          <w:lang w:val="zh-CN"/>
        </w:rPr>
        <w:t xml:space="preserve">第三部分 专用合同条款</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182" w:name="_Toc351203633"/>
      <w:r>
        <w:rPr>
          <w:rFonts w:hint="eastAsia" w:ascii="宋体" w:hAnsi="宋体" w:eastAsia="宋体" w:cs="宋体"/>
          <w:b/>
          <w:szCs w:val="21"/>
          <w:highlight w:val="none"/>
        </w:rPr>
        <w:t xml:space="preserve">1</w:t>
      </w:r>
      <w:bookmarkStart w:id="183" w:name="_Toc296346657"/>
      <w:r/>
      <w:bookmarkStart w:id="184" w:name="_Toc292559866"/>
      <w:r/>
      <w:bookmarkStart w:id="185" w:name="_Toc296347155"/>
      <w:r/>
      <w:bookmarkStart w:id="186" w:name="_Toc296944495"/>
      <w:r/>
      <w:bookmarkStart w:id="187" w:name="_Toc296891196"/>
      <w:r/>
      <w:bookmarkStart w:id="188" w:name="_Toc297120456"/>
      <w:r/>
      <w:bookmarkStart w:id="189" w:name="_Toc297048342"/>
      <w:r/>
      <w:bookmarkStart w:id="190" w:name="_Toc292559361"/>
      <w:r/>
      <w:bookmarkStart w:id="191" w:name="_Toc296890984"/>
      <w:r/>
      <w:bookmarkStart w:id="192" w:name="_Toc296503156"/>
      <w:r>
        <w:rPr>
          <w:rFonts w:hint="eastAsia" w:ascii="宋体" w:hAnsi="宋体" w:eastAsia="宋体" w:cs="宋体"/>
          <w:b/>
          <w:szCs w:val="21"/>
          <w:highlight w:val="none"/>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 词语定义</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1.1.1合同</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1.1.1.10其他合同文件包括：</w:t>
      </w:r>
      <w:r>
        <w:rPr>
          <w:rFonts w:hint="eastAsia" w:ascii="宋体" w:hAnsi="宋体" w:eastAsia="宋体" w:cs="宋体"/>
          <w:szCs w:val="21"/>
          <w:highlight w:val="none"/>
          <w:u w:val="single"/>
        </w:rPr>
        <w:t xml:space="preserve">本合同协议书、中标通知书、本合同专用条款、本合同通用条款、招标文件、投标文件、发包人的工程量清单及招标控制价文件（预算书）、现行标准规范及有关技术文件、其他合同文件、工程量清单、施工图纸。合同履行中，发包人承包人有关工程的洽商、变更等书面协议或文件及本工程招标文件、合同履行过程中双方确认的对合同有影响的会议纪要、签证、施工方案、设计变更等相关材料视为本合同专用条款的组成部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1.1.2.4监理人：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1.1.2.5 设计人：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w:t>
      </w:r>
      <w:r>
        <w:rPr>
          <w:rFonts w:hint="eastAsia" w:ascii="宋体" w:hAnsi="宋体" w:eastAsia="宋体" w:cs="宋体"/>
          <w:szCs w:val="21"/>
          <w:highlight w:val="none"/>
          <w:u w:val="single"/>
        </w:rPr>
        <w:t xml:space="preserve"> 作为施工现场组成部分的其他场所包括：承包人自行配备办公用房，同时须为建设、监理、跟审、设计等单位提供满足办公与使用要求的办公及生活设施用房，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w:t>
      </w:r>
      <w:r>
        <w:rPr>
          <w:rFonts w:hint="eastAsia" w:ascii="宋体" w:hAnsi="宋体" w:eastAsia="宋体" w:cs="宋体"/>
          <w:szCs w:val="21"/>
          <w:highlight w:val="none"/>
          <w:u w:val="single"/>
        </w:rPr>
        <w:t xml:space="preserve">               /   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1.3法律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w:t>
      </w:r>
      <w:r>
        <w:rPr>
          <w:rFonts w:hint="eastAsia" w:ascii="宋体" w:hAnsi="宋体" w:eastAsia="宋体" w:cs="宋体"/>
          <w:szCs w:val="21"/>
          <w:highlight w:val="none"/>
          <w:u w:val="single"/>
        </w:rPr>
        <w:t xml:space="preserve">《中华人民共和国民法典》、《中华人民共和国建筑法》、《中华人民共和国招标投标法》、《建设工程质量管理条例》、《中华人民共和国安全生产法》及国家、省和所在市关于建设工程款结算的有关规定；部省市建设主管部门现行的法律、法规，盐城市相关的法规和政策文件等。</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 标准和规范</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1.4.1适用于工程的标准规范包括：</w:t>
      </w:r>
      <w:r>
        <w:rPr>
          <w:rFonts w:hint="eastAsia" w:ascii="宋体" w:hAnsi="宋体" w:eastAsia="宋体" w:cs="宋体"/>
          <w:szCs w:val="21"/>
          <w:highlight w:val="none"/>
          <w:u w:val="single"/>
        </w:rPr>
        <w:t xml:space="preserve">中华人民共和国建设部颁发的现行有关标准、规范；国家标准、行业标准、工程所在地的地方标准以及相应的规范、规程等，前述标准规范规定不一致的，以较高标准者为准。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1.4.3发包人对工程的技术标准和功能要求的特殊要求：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 合同文件的优先顺序</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合同文件组成及优先顺序为：</w:t>
      </w:r>
      <w:r>
        <w:rPr>
          <w:rFonts w:hint="eastAsia" w:ascii="宋体" w:hAnsi="宋体" w:eastAsia="宋体" w:cs="宋体"/>
          <w:szCs w:val="21"/>
          <w:highlight w:val="none"/>
          <w:u w:val="single"/>
        </w:rPr>
        <w:t xml:space="preserve">①本合同协议书；②中标通知书；③招投标书及</w:t>
      </w:r>
      <w:r>
        <w:rPr>
          <w:rFonts w:hint="eastAsia" w:ascii="宋体" w:hAnsi="宋体" w:eastAsia="宋体" w:cs="宋体"/>
          <w:szCs w:val="21"/>
          <w:highlight w:val="none"/>
          <w:u w:val="single"/>
        </w:rPr>
        <w:t xml:space="preserve">其附件(含投标函及其附录)；④本合同专用条款；⑤本合同通用条款；⑥现行标准、规范及有关技术文件；⑦图纸；⑧工程量清单；⑨招标预算价或最高投标限价；⑩合同履行中，发包人和承包人有关工程的洽商、变更等书面协议和文件及本工程招标文件、合同履行过程中双方确认的对合同有影响的会议纪要、签证、施工方案、设计变更等相关材料视为本合同专用条款的组成部分。若对同一问题合同文件出现矛盾或含糊，则以时间在后的文件或条款为准。上述各项合同文件包括合同当事人就该项合同文件所作出的补充和修改，属于同一类内容的文件，应以最新签署的为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 图纸和承包人文件</w:t>
      </w:r>
      <w:r>
        <w:rPr>
          <w:rFonts w:hint="eastAsia" w:ascii="宋体" w:hAnsi="宋体" w:eastAsia="宋体" w:cs="宋体"/>
          <w:szCs w:val="21"/>
          <w:highlight w:val="none"/>
        </w:rPr>
        <w:tab/>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 图纸的提供</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签订施工合同后5天内</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rPr>
        <w:t xml:space="preserve">发包人向承包人提供叁套完整的施工图纸，未经发包人书面同意不得复制。不得向承包人以外的人员泄露图纸的有关内容或透露于第三人，否则承包人须承担由此造成的一切损失</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全套施工图。未经发包人书面同意，不得向承包人以外的人员泄露图纸的有关内容。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1.6.4 承包人文件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需要由承包人提供的文件，包括：项目开工报验的全套资料，包括但不限于施工进度计划、 材料清单、材料进场计划、劳动力计划以及发包人、监理及相关主管部门要求提供相关资料。应付款 7 天前申报本批工程款使用计划以及发包人、监理人要求提供的其他资料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按监理交底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根据发包人要求</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书面及电子版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收到文件后 7 日内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1.6.5 现场图纸准备</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所有施工必须以发包人提供的图纸为准，发包人须向承包人提供经审查的有效的图纸。</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 联络</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1.7.1发包人和承包人应当在</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天内将与合同有关的通知、批准、证明、证书、指示、指令、要求、请求、同意、意见、确定和决定等书面函件送达对方当事人。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1.7.2 发包人接收文件的地点：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总监理工程师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1.10 交通运输</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93" w:name="_Toc303539100"/>
      <w:r/>
      <w:bookmarkStart w:id="194" w:name="_Toc300934943"/>
      <w:r/>
      <w:bookmarkStart w:id="195" w:name="_Toc312677986"/>
      <w:r/>
      <w:bookmarkStart w:id="196" w:name="_Toc318581155"/>
      <w:r/>
      <w:bookmarkStart w:id="197" w:name="_Toc304295521"/>
      <w:r>
        <w:rPr>
          <w:rFonts w:hint="eastAsia" w:ascii="宋体" w:hAnsi="宋体" w:eastAsia="宋体" w:cs="宋体"/>
          <w:szCs w:val="21"/>
          <w:highlight w:val="none"/>
        </w:rPr>
        <w:t xml:space="preserve">.10.1 出入现场的权利</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根据施工需要，承包人负责取得出入施工现场所需的批准手续和全部权利，以及取得因施工所需修建道路、桥梁以及其他基础设施的权利，并承担相关手续费用和建设费用。承包人应在订</w:t>
      </w:r>
      <w:r>
        <w:rPr>
          <w:rFonts w:hint="eastAsia" w:ascii="宋体" w:hAnsi="宋体" w:eastAsia="宋体" w:cs="宋体"/>
          <w:szCs w:val="21"/>
          <w:highlight w:val="none"/>
          <w:u w:val="single"/>
        </w:rPr>
        <w:t xml:space="preserve">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在影响主</w:t>
      </w:r>
      <w:r>
        <w:rPr>
          <w:rFonts w:hint="eastAsia" w:ascii="宋体" w:hAnsi="宋体" w:eastAsia="宋体" w:cs="宋体"/>
          <w:szCs w:val="21"/>
          <w:highlight w:val="none"/>
          <w:u w:val="single"/>
        </w:rPr>
        <w:t xml:space="preserve">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入口、地方矛盾等)而导致的索赔申请将不被批准。本项目竣工后，如有临时设施（含但不限于临时道路、临时围墙等）的拆除及处理由承包人自行考虑，结算时相关费用不予增加。</w:t>
      </w:r>
      <w:bookmarkEnd w:id="193"/>
      <w:r/>
      <w:bookmarkEnd w:id="194"/>
      <w:r/>
      <w:bookmarkEnd w:id="195"/>
      <w:r/>
      <w:bookmarkEnd w:id="196"/>
      <w:r/>
      <w:bookmarkEnd w:id="197"/>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98" w:name="_Toc312677987"/>
      <w:r/>
      <w:bookmarkStart w:id="199" w:name="_Toc318581156"/>
      <w:r/>
      <w:bookmarkStart w:id="200" w:name="_Toc303539101"/>
      <w:r/>
      <w:bookmarkStart w:id="201" w:name="_Toc304295522"/>
      <w:r/>
      <w:bookmarkStart w:id="202" w:name="_Toc300934944"/>
      <w:r>
        <w:rPr>
          <w:rFonts w:hint="eastAsia" w:ascii="宋体" w:hAnsi="宋体" w:eastAsia="宋体" w:cs="宋体"/>
          <w:szCs w:val="21"/>
          <w:highlight w:val="none"/>
        </w:rPr>
        <w:t xml:space="preserve">.10.3 场内交通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场内、外交通均由承包人自行负责解决并承担费用，承包人应遵守有关交通法规，严格按照道路和桥梁的限制荷载行驶，执行有关道路限速、限行、禁止超载的规定，并配合</w:t>
      </w:r>
      <w:r>
        <w:rPr>
          <w:rFonts w:hint="eastAsia" w:ascii="宋体" w:hAnsi="宋体" w:eastAsia="宋体" w:cs="宋体"/>
          <w:szCs w:val="21"/>
          <w:highlight w:val="none"/>
          <w:u w:val="single"/>
        </w:rPr>
        <w:t xml:space="preserve">交通管理部门的监督和检查。场内、外交通设施无法满足工程施工需要的，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因承包人原因造成上述道路或交通设施损坏的，承包人负责修复并承担由此增加的费用。承包人必须符合施工现场之外的道路交通安全相关规定。本项目竣工后，如有临时设施（含但不限于临时道路、临时围墙等）的拆除及处理由承包人自行考虑，结算时相关费用不予增加。</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承包人已充分踏勘现场，已确认临时运输道路是否能满足要求等，承包人均已自行考虑并包含合同价款中，包干使用。发包人按现状交给承包人。其它由承包人自行办理，费用由承包人承担，发包人不再另行承担该项费用。</w:t>
      </w:r>
      <w:bookmarkEnd w:id="198"/>
      <w:r/>
      <w:bookmarkEnd w:id="199"/>
      <w:r/>
      <w:bookmarkEnd w:id="200"/>
      <w:r/>
      <w:bookmarkEnd w:id="201"/>
      <w:r/>
      <w:bookmarkEnd w:id="202"/>
      <w:r>
        <w:rPr>
          <w:rFonts w:hint="eastAsia" w:ascii="宋体" w:hAnsi="宋体" w:eastAsia="宋体" w:cs="宋体"/>
          <w:szCs w:val="21"/>
          <w:highlight w:val="none"/>
        </w:rPr>
        <w:t xml:space="preserve"> </w:t>
      </w:r>
      <w:bookmarkStart w:id="203" w:name="_Toc318581157"/>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1.10.4超大件和超重件的运输</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承包人</w:t>
      </w:r>
      <w:r>
        <w:rPr>
          <w:rFonts w:hint="eastAsia" w:ascii="宋体" w:hAnsi="宋体" w:eastAsia="宋体" w:cs="宋体"/>
          <w:szCs w:val="21"/>
          <w:highlight w:val="none"/>
        </w:rPr>
        <w:t xml:space="preserve">承担。</w:t>
      </w:r>
      <w:bookmarkEnd w:id="20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 知识产权</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发包人，工程竣工验收合格后全部图纸、技术规范等资料等归还发包人；未经发包人书面许可不得将图纸、技术规范等资料等泄露给第三方，否则应当承担严重违约责任。保密信息的具体范围包括但不限于施工图纸、技术规范、工程量清单、工程报价单及预算书、工程进行中的有关洽商、变更等书面协议及本工程招标文件、合同履行过程中双方确认的对合同有影响的会议纪要、签证、施工方案、设计变更等相关材料。</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1.11.2 关于承包人为实施工程所编制文件的著作权的归属：</w:t>
      </w:r>
      <w:r>
        <w:rPr>
          <w:rFonts w:hint="eastAsia" w:ascii="宋体" w:hAnsi="宋体" w:eastAsia="宋体" w:cs="宋体"/>
          <w:szCs w:val="21"/>
          <w:highlight w:val="none"/>
          <w:u w:val="single"/>
        </w:rPr>
        <w:t xml:space="preserve">发包人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承包人可因实施工程的运行等目的而复制、使用此类文件，但不能用于与合同无关的其他事项。承包人为实施工程所编制的文件，除署名权以外的著作权属于发包人，未经发包人书面同意不得复制、使用上述文件，不得向承包人以外的人员泄露为实施工程所编制文件的有关内容。</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承包人违反 1.11.1 以及 1.11.2 条的约定的，需承担与本合同约定的总价款等额的违约金。</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1.11.4 承包人在施工过程中所采用的专利、专有技术、技术秘密的使用费的承担方式：</w:t>
      </w:r>
      <w:r>
        <w:rPr>
          <w:rFonts w:hint="eastAsia" w:ascii="宋体" w:hAnsi="宋体" w:eastAsia="宋体" w:cs="宋体"/>
          <w:szCs w:val="21"/>
          <w:highlight w:val="none"/>
          <w:u w:val="single"/>
        </w:rPr>
        <w:t xml:space="preserve">                    承包人承担，费用含在合同价中。</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1.13工程量清单错误的修正</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出现工程量清单错误时，是否调整合同价格：</w:t>
      </w:r>
      <w:r>
        <w:rPr>
          <w:rFonts w:hint="eastAsia" w:ascii="宋体" w:hAnsi="宋体" w:eastAsia="宋体" w:cs="宋体"/>
          <w:szCs w:val="21"/>
          <w:highlight w:val="none"/>
          <w:u w:val="single"/>
        </w:rPr>
        <w:t xml:space="preserve">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工程量按实际完成的工程量结算。最终以按相关审计要求审核确认后的工程竣工结算价为准。其中，由承包人代交纳的相关规费等费用，在最终结算时凭缴费发票进入结算总价中。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允许调整合同价格的工程量偏差范围：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 工程量按实际完成的工程量结算。最终以按相关审计要求审核确认后的工程竣工结算价为准。其中，由承包人代交纳的相关规费等费用，在最终结算时凭缴费发票进入结算总价中。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1.13.2 允许调整合同价格的工程量偏差范围：原工程量清单的误差、漏项、非承包人原因造成的工程变更（含设计变更、工程数量调整）或其它不可预见的工程量，最终经发包人确认后作为结算依据；</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 1.13.3 凡实施工作量增加超过招标工作量15%的，其超过部分的结算单价一律按市场价重新会商确定；</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凡实施工作量减少超过招标工作量15%的，超过部分按照市场价重新核定后扣除； 当技术参数改变时，除对变更部分的结算单价按市场价会商确定外，对原投标单价也要按市 场价重新核定后扣。 调整公式如下：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（1）数量增加型：中标量×中标价+中标量×15%×中标价+（实际量-中标量×15%-中标量）×重新组价</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（2）数量减少型：中标量×中标价-中标量×15%×中标价-（中标量-中标量×15%-实际量）×重新组价</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（3）设计变更型：实际量×中标价+实际量×（变更后的-变更前的）重新组价注解：</w:t>
      </w:r>
      <w:r/>
    </w:p>
    <w:p>
      <w:pPr>
        <w:ind w:left="0" w:firstLine="84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①本条款不平衡报价是指相对应单项投标报价与标底预算审核价按照中标下浮率相比上下浮动超过一定范围的。按照专业工程划分：土建工程为 15%；园林景观绿化工程为 30%；其他工程为20%。</w:t>
      </w:r>
      <w:r/>
    </w:p>
    <w:p>
      <w:pPr>
        <w:ind w:left="0" w:firstLine="84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的《盐城工程造价》的市场指导价或市场信息价），经发包人确认后调整；若套定额下浮后费用与市场价误差 15%以上的（比如，顶管、拉管、零星工程、市场上按照独立费招标的项目等）或没有定额要套的项目，则按照市场价进行调整。</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204" w:name="_Toc351203634"/>
      <w:r>
        <w:rPr>
          <w:rFonts w:hint="eastAsia" w:ascii="宋体" w:hAnsi="宋体" w:eastAsia="宋体" w:cs="宋体"/>
          <w:szCs w:val="21"/>
          <w:highlight w:val="none"/>
        </w:rPr>
        <w:t xml:space="preserve">2</w:t>
      </w:r>
      <w:bookmarkStart w:id="205" w:name="_Toc292559867"/>
      <w:r/>
      <w:bookmarkStart w:id="206" w:name="_Toc296347156"/>
      <w:r/>
      <w:bookmarkStart w:id="207" w:name="_Toc292559362"/>
      <w:r/>
      <w:bookmarkStart w:id="208" w:name="_Toc296891197"/>
      <w:r/>
      <w:bookmarkStart w:id="209" w:name="_Toc297048343"/>
      <w:r/>
      <w:bookmarkStart w:id="210" w:name="_Toc296944496"/>
      <w:r/>
      <w:bookmarkStart w:id="211" w:name="_Toc297120457"/>
      <w:r/>
      <w:bookmarkStart w:id="212" w:name="_Toc296890985"/>
      <w:r/>
      <w:bookmarkStart w:id="213" w:name="_Toc296346658"/>
      <w:r/>
      <w:bookmarkStart w:id="214" w:name="_Toc296503157"/>
      <w:r>
        <w:rPr>
          <w:rFonts w:hint="eastAsia" w:ascii="宋体" w:hAnsi="宋体" w:eastAsia="宋体" w:cs="宋体"/>
          <w:szCs w:val="21"/>
          <w:highlight w:val="none"/>
        </w:rPr>
        <w:t xml:space="preserve">. 发包人</w:t>
      </w:r>
      <w:bookmarkEnd w:id="204"/>
      <w:r/>
      <w:bookmarkEnd w:id="205"/>
      <w:r/>
      <w:bookmarkEnd w:id="206"/>
      <w:r/>
      <w:bookmarkEnd w:id="207"/>
      <w:r/>
      <w:bookmarkEnd w:id="208"/>
      <w:r/>
      <w:bookmarkEnd w:id="209"/>
      <w:r/>
      <w:bookmarkEnd w:id="210"/>
      <w:r/>
      <w:bookmarkEnd w:id="211"/>
      <w:r/>
      <w:bookmarkEnd w:id="212"/>
      <w:r/>
      <w:bookmarkEnd w:id="213"/>
      <w:r/>
      <w:bookmarkEnd w:id="214"/>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2.2 发包人代表</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代表发包人负责整体工程协调管理、确认现场工程量，按程序办理签证及变更方案实施。对工程质量、施工进度、造价控制、合同管理、信息管理及组织协调等各方面全面监督和管理。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 施工现场、施工条件和基础资料的提供</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 提供施工现场</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书面正式通知后三天内。开工前由发包人按现状交给承包人，其它由承包人负责，满足工程施工需要，费用由承包人承担。</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2.4.2 提供施工条件</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施工队伍进场后，首先由发包人和监理人与承包人进行现场工作面现状分界、交接，书面交接后方可进行现场施工。</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施工用水、电由承包人现场单独挂表计量，费用由承包人负责，水、电费用由发包人代缴</w:t>
      </w:r>
      <w:r>
        <w:rPr>
          <w:rFonts w:hint="eastAsia" w:ascii="宋体" w:hAnsi="宋体" w:eastAsia="宋体" w:cs="宋体"/>
          <w:szCs w:val="21"/>
          <w:highlight w:val="none"/>
          <w:u w:val="single"/>
        </w:rPr>
        <w:t xml:space="preserve">的部分结算时按实际缴纳金额进行扣回；水、电管线搭拆费用、水电费（含线路损耗）及用水用电产生的事故责任由承包人自行承担；施工场地与公共道路的通道开通，开工前由发包人配合承包人进行，费用由承包人负责；开工前 5 天内协调处理施工场地周围地下管线和邻近建筑物、构筑物（含文物保护建筑）、古树名木的保护工作，费用由承包人负责。承包人充分考虑进场后需要对道路红线内的障碍物的拆除及可能发生的地方矛盾的处理（发包人仅负责协助处理），费用由承包人自行承担。承包人自行勘探现场，并自行承担相关费用。承包人应主动向发包人了解地形情</w:t>
      </w:r>
      <w:r>
        <w:rPr>
          <w:rFonts w:hint="eastAsia" w:ascii="宋体" w:hAnsi="宋体" w:eastAsia="宋体" w:cs="宋体"/>
          <w:szCs w:val="21"/>
          <w:highlight w:val="none"/>
          <w:u w:val="single"/>
        </w:rPr>
        <w:t xml:space="preserve">况，索取地质勘探资料，了解施工现场区域划分位置。承包人应充分了解工地位置、地形地貌情况（工地现场的地形对施工可能造成的影响）、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任何因承包人忽视或误解工地情况而导致的索赔或工期延长申请将不被批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 资金来源证明及支付担保</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已提供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发包人依法向施工单位提供工程款支付担保。</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担保形式不限，对于资金落实到位的政府投资项目，建设单位可以根据合同约定将有权部门出具的相应资金来源证明作为支付担保凭证。</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215" w:name="_Toc351203635"/>
      <w:r>
        <w:rPr>
          <w:rFonts w:hint="eastAsia" w:ascii="宋体" w:hAnsi="宋体" w:eastAsia="宋体" w:cs="宋体"/>
          <w:szCs w:val="21"/>
          <w:highlight w:val="none"/>
        </w:rPr>
        <w:t xml:space="preserve">3</w:t>
      </w:r>
      <w:bookmarkStart w:id="216" w:name="_Toc296944497"/>
      <w:r/>
      <w:bookmarkStart w:id="217" w:name="_Toc296347157"/>
      <w:r/>
      <w:bookmarkStart w:id="218" w:name="_Toc292559868"/>
      <w:r/>
      <w:bookmarkStart w:id="219" w:name="_Toc296890986"/>
      <w:r/>
      <w:bookmarkStart w:id="220" w:name="_Toc297048344"/>
      <w:r/>
      <w:bookmarkStart w:id="221" w:name="_Toc297120458"/>
      <w:r/>
      <w:bookmarkStart w:id="222" w:name="_Toc292559363"/>
      <w:r/>
      <w:bookmarkStart w:id="223" w:name="_Toc296891198"/>
      <w:r/>
      <w:bookmarkStart w:id="224" w:name="_Toc296503158"/>
      <w:r/>
      <w:bookmarkStart w:id="225" w:name="_Toc296346659"/>
      <w:r>
        <w:rPr>
          <w:rFonts w:hint="eastAsia" w:ascii="宋体" w:hAnsi="宋体" w:eastAsia="宋体" w:cs="宋体"/>
          <w:szCs w:val="21"/>
          <w:highlight w:val="none"/>
        </w:rPr>
        <w:t xml:space="preserve">. 承包人</w:t>
      </w:r>
      <w:bookmarkEnd w:id="215"/>
      <w:r/>
      <w:bookmarkEnd w:id="216"/>
      <w:r/>
      <w:bookmarkEnd w:id="217"/>
      <w:r/>
      <w:bookmarkEnd w:id="218"/>
      <w:r/>
      <w:bookmarkEnd w:id="219"/>
      <w:r/>
      <w:bookmarkEnd w:id="220"/>
      <w:r/>
      <w:bookmarkEnd w:id="221"/>
      <w:r/>
      <w:bookmarkEnd w:id="222"/>
      <w:r/>
      <w:bookmarkEnd w:id="223"/>
      <w:r/>
      <w:bookmarkEnd w:id="224"/>
      <w:r/>
      <w:bookmarkEnd w:id="225"/>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 承包人的一般义务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承包人在履行合同过程中应遵守法律和工程建设标准规范，并履行以下义务：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w:t>
      </w:r>
      <w:r>
        <w:rPr>
          <w:rFonts w:hint="eastAsia" w:ascii="宋体" w:hAnsi="宋体" w:eastAsia="宋体" w:cs="宋体"/>
          <w:szCs w:val="21"/>
          <w:highlight w:val="none"/>
          <w:u w:val="single"/>
        </w:rPr>
        <w:t xml:space="preserve">办理法律规定应由承包人办理的施工许可和批准（包括但不限于合同归集、质安监手续、农民工专户等手续），发包人协助，费用由承包人承担，办理结果书面报送发包人留存（如需办理）；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（2）按法律规定和合同约定完成工程施工，并在保修期内承担保修义务；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（3）按法律规定和合同约定采取施工安全和环境保护措施，办理工伤保险，确保工程及人员、材料、设备和设施的安全；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（4）按合同约定的工作内容和施工进度要求，编制施工组织设计和施工措施计划，并对所有施工作业和施工方法的完备性和安全可靠性负责；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施工场地及其周边环境与生态以及施工场地周围地下管线和构筑物（含文物保护建筑）、树木的保护，费用由承包人承担，如发现有重点文物等，应及时报告当地政府及相关部门，如因承包人没有及时报告和保护而造成的一切经济损失和法律责任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（7）采取施工安全措施，确保工程及其人员、材料、设备和设施的安全， 防止因工程施工造成的人身伤害和财产损失；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（8）及时支付农民工工资和机械设备租用费、分包项价款，不得因此造成矛盾。</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（9）承包人提交的竣工资料的内容：</w:t>
      </w:r>
      <w:r>
        <w:rPr>
          <w:rFonts w:hint="eastAsia" w:ascii="宋体" w:hAnsi="宋体" w:eastAsia="宋体" w:cs="宋体"/>
          <w:szCs w:val="21"/>
          <w:highlight w:val="none"/>
          <w:u w:val="single"/>
        </w:rPr>
        <w:t xml:space="preserve">按发包人要求提交全套施工资料及竣工图等材料以及发包人根据工程情况要求提供的其他资料。包括但不限于竣工图（如需）、施工过程中主要材料的合格证和检测报告、设备的合格证（如有）等</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  竣工资料和竣工图 4 套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施工结束，竣工验收前，先验收资料，后验收工程实体，不影响发包人整体移交</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书面资料及电子档资料，满足主管部门及档案管理部门的要求。</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承包人应履行的其他义务：</w:t>
      </w:r>
      <w:r>
        <w:rPr>
          <w:rFonts w:hint="eastAsia" w:ascii="宋体" w:hAnsi="宋体" w:eastAsia="宋体" w:cs="宋体"/>
          <w:szCs w:val="21"/>
          <w:highlight w:val="none"/>
          <w:u w:val="single"/>
        </w:rPr>
        <w:t xml:space="preserve">1）安排专人 24 小时负责安全保卫工作，非夜间施工照明应注意安全要求，费用由承包人承担；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非因承包人过错导致的第三方责任除外，发包人有权根据事故严重程度单方解除合同，没收全部履约保证金，由此造成的损失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必须按规定对施工现场成品进行保护，自施工项目验收合格之日起交付给发包人止，专业工程施工现场成品保护由专业工程施工单位负责，损坏的无条件恢复至原状，所发生的一切费用由承包人承担；任何因忽视或误解工地情况而导致的索赔或工期延长申请将不被批准。</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3）承包人必须对施工场地周围地下管线和构筑（含文物保护建筑）、古树名木进行保护，费用由承包人负责；如因承包人没有及时报告和保护而造成的一切经济损失和法律责任由承包人承担；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按文明施工要求组织施工，保持场地整洁卫生，费用由承包人负责；施工垃圾在指定区域定点堆放，及时清运，费用由承包人承担；如不及时清运的，由发包人指定其他单位代为实施，费用由承包人承担。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5）承包人在本工程竣工验收后七日内拆除所有临时设施，并清运出现场，费用由承包人负责。否则，如发生相关费用由发包人在工程竣工结算价款中扣除；</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6）如发包人代扣代缴本工程应由承包人缴纳的各种费用，承包人必须履行发包人要求的各项手续，费用由承包人负责；</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7）本工程向建设主管部门办理的工程施工许可手续，由承包人代为办理，由发包人协助，费用按规定承担。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承包人无条件服从发包人管理工作的要求。自行协调与其它专业工程施工承包人（如有）之间的矛盾，如发生相关费用，由承包人自行承担。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须对施工现场所有从业人员，建立电脑用工台账，实行日常考勤管理，必须第一时间内向建设单位、监理单位，主动提供与劳动公司签订的用工合同，或主动提供班组人员与承包人签订的用工合同。项目部管理人员按招投标文件、合同及相关规定配备到岗，按规定到发包人处进行打卡、考勤。（人脸识别考勤机由承包人采购、安装在施工现场，费用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9）进场后自觉服从发包人对工地安全、标准化现场、总平面布置的管理， 如出现不服从、不配合等现象，发包人有权按违约处理，要求承包人承担违约责任。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10）本项目施工过程中遇到的一切地方矛盾及由此发生的费用与发包人无涉，均由承包人自行负责，并在投标报价中考虑，结算时不调整。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11）施工前，承包人自行到建设、城管、交警等部门办理各类可能涉及的相关手续、缴纳押金和办理备案，需缴纳的费用和涉及的所有费用自行考虑在投标报价中，结算时不另计。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材料的堆放、二次运输以及施工单位现场驻地等需由承包人自行考虑，且不得破坏现场已建设完成的道路、绿化等，如破坏的，均由本工程承包人负责及时修复至原状。上述费用承包人自行考虑在投标报价中，发包人不另行支付此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13）工程施工中开挖、破除等施工手续的申请，由承包人按盐都区主管部门要求履行申请手续取得批准后方可施工，如申请时需缴纳保证金等有关费用的，均由承包人缴纳并承担费用，发包人不另行支付此费用。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15）本项目施工如对现有道路交通造成一定影响，承包人需在项目实施前自行将施工方案、交通分流方案及临时设施、便道搭设方案等报发包人、交警、城管等相关部门审批，审批通过后方可施工，涉及到的一切费用（含保证金、交通疏导、警示牌制作等费用）及相关手续办理均由承包人负责，费用由承包人在投标报价中充分考虑，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16）本项目在施工期间现场雾炮、洒水车数量均须满足发包人及相关主管部门要求，裸土必须全覆盖，相关费用在投标报价中充分考虑。</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17）本项目施工范围内如有地下电缆等管线，供电、供水等管道，对施工造成影响的，承包人需根据权属部门要求组织施工，相关施工方案调整及施工措施增加等引起的费用由承包人自行考虑在综合报价中，发包人不再增加此项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18）雨季，承包人在报价时须考虑雨季施工的相关措施费，包括搭设防雨棚、抽排水等措施， 须无条件服从发包人统一调度和排水安排，对施工区域进行临时应急抽水，相关费用自行考虑在报价中，结算时不另计。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19）承包人报价时需考虑送检第三方检测等需要现场破坏性检测的材料费用，分摊在清单报价中。如发生第三方材料检测结果不合格，检测费用由承包人支付。</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20）本项目施工范围内如有临近供水、供电、供热等管线，或将对施工造成影响，承包人需根据管线权属部门要求编写施工方案组织施工，相关施工方案调整及施工措施增加等引起的费用由承包人自行考虑在综合报价中，发包人不再增加此项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21）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22）发包人因工作需要，可向承包人就有关资料提出查询、索取要求，承包人不得以任何理由拖延和隐瞒；否则，承包人应承担 5000 元/次的违约金。在工程施工过程中，若本工程由于出现施工质量问题、安全事故或者因承包人造成的其它原因，受到报纸、电视等媒体的曝光或被政府有关主管部门的通报批评，给本工程的社会形象损失，每次由承包人向发包人支付贰万元违约金，发包人有权从承包人工程进度款或保修款中扣除并赔偿发包人因此受到的一切损失。</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23）承包人在合同签订后10日内主动向发包人、监理单位，提供用工合同，并确保合同的合法性、有效性，签约的相关主体具有签约资格。</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24）本项目农民工工资按《关于进一步做好建筑施工拖欠农民工工资治理工作的通知》（盐建建筑〔2016〕35 号）文件执行，承包人应每周、每月对进场班组人员信息、联系方式、工资信息进行登记造册，并将农民工工资支付情况定时或不定时报建设单位，承包人应按时支付农民工工资，不得发生因未按时支付农民工工资造成的投诉和上访事宜。</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25）为了配合发包人做好建设局及相关主管部门要求的相关备案手续，承包人保证在发包人要求时间内及时向发包人出具无拖欠工程款证明，确保发包人备案手续的顺利及时地完成。</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26）如承包人拒绝提供无拖欠工程款证明材料造成发包人备案延误，承包人应承担由此造成的损失，并按规定承担违约责任。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27）施工垃圾指定区域定点堆放，由承包人及时清运，费用由承包人承担；如不及时清运的，由发包人指定其他单位代为实施，费用由承包人承担。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28）施工过程严格执行国家、本区域相关防疫规定，防疫用品配备到位，防疫措施实施到位，否则不得进行现场施工，相关费用全部包含在价款内，由承包人承担。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29）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30）承包人自行承担工程施工过程中的工程质量、任何状况下的安全责任。非发包人原因，发生的一切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31）承包人须接受现场不一定完全具备施工条件的现状，穿插施工，合理组织安排工期，确保按期完成。由此带来的损失由承包人自行承担。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32）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33）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承包人对项目经理的授权范围如下：</w:t>
      </w:r>
      <w:r>
        <w:rPr>
          <w:rFonts w:hint="eastAsia" w:ascii="宋体" w:hAnsi="宋体" w:eastAsia="宋体" w:cs="宋体"/>
          <w:szCs w:val="21"/>
          <w:highlight w:val="none"/>
          <w:u w:val="single"/>
        </w:rPr>
        <w:t xml:space="preserve">代表承包人全面负责施工合同的履行，对本工程的施工、进度、质量、安全、工期、付款、以及设计变更等全面跟踪监督及服务，协调各方面矛盾负责工程的施工安全，文件的签署、接收等。</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该工程施工过程中项目负责人和投标时确认的项目部人员必须常驻现场实施施工管理。中途如须离开，必须经发包人书面同意，否则发包人有权终止合同，扣除履约保证金，并要求承包人支付合同协议书中约定的合同总价 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经发包人提出后，承包人未整改的，发包人有权终止合同，扣除履约保证金，承包人应承担合同总价20%违约金，并赔偿由此给发包人造成的全部损失。</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Cs w:val="21"/>
          <w:highlight w:val="none"/>
          <w:u w:val="single"/>
        </w:rPr>
        <w:t xml:space="preserve">施工过程中项目负责人和投标时确认的项目部人员必须常驻现场实施施工管理，并参与发包人的日常考勤。中途项目负责人和项目部人员需离岗必须履行书面请假手续并经发包人书面同意。若未经发包人书面同意而擅自离岗的，将处以每人每天（擅自离岗超过2小时即视为一天，下同）5000元的违约金，发包人有权在当期工程款支付时或履约保证金中直接扣除。若擅自离岗累计达 2天以上的，发包人有权解除合同，扣除履约保证金，承包人应向发包人支付合同协议书中约定的合同总价20%的违约金。因此给发包人造成损失的，承包人需予以全部赔偿。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发包人将对本项目项目负责人进行考勤，时间为上午 8：30—9:30，下午 5:00—6:00 到发包人进行打卡（上下午都满足打卡要求的，为 1个有效考勤日期），如有特殊情况请假的，需提前3天向发包人提出书面申请，在得到书面同意后请假的，视为有效考勤日期。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3.2.3 承包人擅自更换项目经理的违约责任：</w:t>
      </w:r>
      <w:r>
        <w:rPr>
          <w:rFonts w:hint="eastAsia" w:ascii="宋体" w:hAnsi="宋体" w:eastAsia="宋体" w:cs="宋体"/>
          <w:szCs w:val="21"/>
          <w:highlight w:val="none"/>
          <w:u w:val="single"/>
        </w:rPr>
        <w:t xml:space="preserve">未经发包人书面同意，发包人有权解除合同，扣除履约保证金，承包人应向发包人支付合同协议书中约定的合同总价20%的违约金。因此给发包人造成损失的，承包人需予以全部赔偿。</w:t>
      </w:r>
      <w:r/>
    </w:p>
    <w:p>
      <w:pPr>
        <w:ind w:left="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    3.2.4 承包人无正当理由拒绝更换项目经理的违约责任：</w:t>
      </w:r>
      <w:r>
        <w:rPr>
          <w:rFonts w:hint="eastAsia" w:ascii="宋体" w:hAnsi="宋体" w:eastAsia="宋体" w:cs="宋体"/>
          <w:szCs w:val="21"/>
          <w:highlight w:val="none"/>
          <w:u w:val="single"/>
        </w:rPr>
        <w:t xml:space="preserve">未经发包人书面同意，发包人有权解除合同，扣除履约保证金，承包人应向发包人支付合同协议书中约定的合同总价 20%的违约金。因此给发包人造成损失的，承包人需予以全部赔偿。</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 进场 3 日内 </w:t>
      </w:r>
      <w:r>
        <w:rPr>
          <w:rFonts w:hint="eastAsia" w:ascii="宋体" w:hAnsi="宋体" w:eastAsia="宋体" w:cs="宋体"/>
          <w:szCs w:val="21"/>
          <w:highlight w:val="none"/>
        </w:rPr>
        <w:t xml:space="preserve"> 。其中必须包括投标时确认的项目部成员，承包人应将人员名单报发包人备案。</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承包人无正当理由拒绝撤换主要施工管理人员的违约责任：</w:t>
      </w:r>
      <w:r>
        <w:rPr>
          <w:rFonts w:hint="eastAsia" w:ascii="宋体" w:hAnsi="宋体" w:eastAsia="宋体" w:cs="宋体"/>
          <w:szCs w:val="21"/>
          <w:highlight w:val="none"/>
          <w:u w:val="single"/>
        </w:rPr>
        <w:t xml:space="preserve">经发包人提出后，承包人拒绝更换的，发包人有权解除合同，扣除履约保证金，承包人应向发包人支付合同协议书中约定的合同总价20%的违约金。因此给发包人造成损失的，承包人需予以全部赔偿。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3.3.4 承包人主要施工管理人员离开施工现场的批准要求：</w:t>
      </w:r>
      <w:r>
        <w:rPr>
          <w:rFonts w:hint="eastAsia" w:ascii="宋体" w:hAnsi="宋体" w:eastAsia="宋体" w:cs="宋体"/>
          <w:szCs w:val="21"/>
          <w:highlight w:val="none"/>
          <w:u w:val="single"/>
        </w:rPr>
        <w:t xml:space="preserve">项目部人员必须全部到施工现场参与工程施工管理，并接受发包人的考核，不得随意更换，须满足工程需要。发包人保留更换不称职的项目经理及其他管理人员的权利。中途施工管理人员需离岗必须履行书面请假手续并经发包人书面同意。未经发包人书面同意，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3.3.5承包人擅自更换主要施工管理人员的违约责任：</w:t>
      </w:r>
      <w:r>
        <w:rPr>
          <w:rFonts w:hint="eastAsia" w:ascii="宋体" w:hAnsi="宋体" w:eastAsia="宋体" w:cs="宋体"/>
          <w:szCs w:val="21"/>
          <w:highlight w:val="none"/>
          <w:u w:val="single"/>
        </w:rPr>
        <w:t xml:space="preserve">未经发包人书面同意擅自更换的，发包人有权解除合同，扣除履约保证金，承包人应向发包人支付合同协议书中约定的合同总价20%的违约金。因此给发包人造成损失的，承包人需予以全部赔偿。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开工时，承包人应出具书面授权委托书明确工程负责人，并按投标文件要求明确现场管理机构。项目负责人和项目部人员必须和投标文件一致并常驻现场，如项目实施过程中，经备案或发包人认可的主要施工管理人员不能胜任工作的，发包人有权要求更换，直至更换至能胜任现场管理工作为止，并且发包人有权要求承包人每人每次承担不少于5000元的违约</w:t>
      </w:r>
      <w:r>
        <w:rPr>
          <w:rFonts w:hint="eastAsia" w:ascii="宋体" w:hAnsi="宋体" w:eastAsia="宋体" w:cs="宋体"/>
          <w:szCs w:val="21"/>
          <w:highlight w:val="none"/>
          <w:u w:val="single"/>
        </w:rPr>
        <w:t xml:space="preserve">金，发包人有权在当期工程款支付时或履约保证金直接扣除；项目负责人和项目部人员中途如需离开，必须书面申请，若未经发包人书面同意而擅自离岗的，将有权要求承包人承担每人每天3000元的违约金，承包人必须在发包人处罚决定后2日内以现金形式交由发包人。逾期未交的发包人有权在支付工程款时从应付的工程款中或从履约保证金中扣除，若拒绝更换的或更换后依然不符合的，经发包人提出仍未改正的，发包人有权解除合同，扣除履约保证金，并要求承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承包人主要施工管理人员擅自离开施工现场的违约责任：</w:t>
      </w:r>
      <w:r>
        <w:rPr>
          <w:rFonts w:hint="eastAsia" w:ascii="宋体" w:hAnsi="宋体" w:eastAsia="宋体" w:cs="宋体"/>
          <w:szCs w:val="21"/>
          <w:highlight w:val="none"/>
          <w:u w:val="single"/>
        </w:rPr>
        <w:t xml:space="preserve">若未经发包人书面同意而擅自离岗的，承包人应承担每人每天5000元的违约金，承包人必须在2日内以现金形式交由发包人，逾期未交的发包人有权在支付工程款时从应付的工程款中或从履约保证金中扣除。若擅自离岗累计达2天以上的，发包人有权解除合同，扣除履约保证金，承包人应向发包人支付合同协议书中约定的合同总价20%的违约金。因此给发包人造成损失的，承包人需予以全部赔偿。 </w:t>
      </w:r>
      <w:r/>
    </w:p>
    <w:p>
      <w:pPr>
        <w:ind w:left="0" w:firstLine="414"/>
        <w:pageBreakBefore w:val="0"/>
        <w:spacing w:line="420" w:lineRule="exact"/>
        <w:widowControl w:val="off"/>
        <w:rPr>
          <w:rFonts w:hint="eastAsia" w:ascii="宋体" w:hAnsi="宋体" w:eastAsia="宋体" w:cs="宋体"/>
          <w:b/>
          <w:bCs/>
          <w:spacing w:val="-2"/>
          <w:szCs w:val="21"/>
          <w:highlight w:val="none"/>
          <w:u w:val="single"/>
        </w:rPr>
      </w:pPr>
      <w:r>
        <w:rPr>
          <w:rFonts w:hint="eastAsia" w:ascii="宋体" w:hAnsi="宋体" w:eastAsia="宋体" w:cs="宋体"/>
          <w:b/>
          <w:bCs/>
          <w:spacing w:val="-2"/>
          <w:szCs w:val="21"/>
          <w:highlight w:val="none"/>
        </w:rPr>
        <w:t xml:space="preserve">注：工程项目部管理人员必须严格按招投标文件和苏建建管〔2017〕236号文件要求及时配备到位。所有人员有持证要求的必须持证上岗，在项目经理的统一领导下，尽心尽职地做好本职工作。如不能胜任工作的，发包人将有权建议更换，直到更换至能胜任现场管理工作为止，承包人应无条件予以配合。</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226" w:name="_Toc304295523"/>
      <w:r/>
      <w:bookmarkStart w:id="227" w:name="_Toc296944498"/>
      <w:r/>
      <w:bookmarkStart w:id="228" w:name="_Toc297123492"/>
      <w:r/>
      <w:bookmarkStart w:id="229" w:name="_Toc297216151"/>
      <w:r/>
      <w:bookmarkStart w:id="230" w:name="_Toc300934945"/>
      <w:r/>
      <w:bookmarkStart w:id="231" w:name="_Toc297120459"/>
      <w:r/>
      <w:bookmarkStart w:id="232" w:name="_Toc296346660"/>
      <w:r/>
      <w:bookmarkStart w:id="233" w:name="_Toc296503159"/>
      <w:r/>
      <w:bookmarkStart w:id="234" w:name="_Toc312677988"/>
      <w:r/>
      <w:bookmarkStart w:id="235" w:name="_Toc292559364"/>
      <w:r/>
      <w:bookmarkStart w:id="236" w:name="_Toc296891199"/>
      <w:r/>
      <w:bookmarkStart w:id="237" w:name="_Toc297048345"/>
      <w:r/>
      <w:bookmarkStart w:id="238" w:name="_Toc296347158"/>
      <w:r/>
      <w:bookmarkStart w:id="239" w:name="_Toc303539102"/>
      <w:r/>
      <w:bookmarkStart w:id="240" w:name="_Toc296890987"/>
      <w:r/>
      <w:bookmarkStart w:id="241" w:name="_Toc292559869"/>
      <w:r>
        <w:rPr>
          <w:rFonts w:hint="eastAsia" w:ascii="宋体" w:hAnsi="宋体" w:eastAsia="宋体" w:cs="宋体"/>
          <w:szCs w:val="21"/>
          <w:highlight w:val="none"/>
        </w:rPr>
        <w:t xml:space="preserve">.5 分包</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242" w:name="_Toc296944499"/>
      <w:r/>
      <w:bookmarkStart w:id="243" w:name="_Toc297123493"/>
      <w:r/>
      <w:bookmarkStart w:id="244" w:name="_Toc297048346"/>
      <w:r/>
      <w:bookmarkStart w:id="245" w:name="_Toc292559365"/>
      <w:r/>
      <w:bookmarkStart w:id="246" w:name="_Toc304295524"/>
      <w:r/>
      <w:bookmarkStart w:id="247" w:name="_Toc292559870"/>
      <w:r/>
      <w:bookmarkStart w:id="248" w:name="_Toc297216152"/>
      <w:r/>
      <w:bookmarkStart w:id="249" w:name="_Toc300934946"/>
      <w:r/>
      <w:bookmarkStart w:id="250" w:name="_Toc297120460"/>
      <w:r/>
      <w:bookmarkStart w:id="251" w:name="_Toc296890988"/>
      <w:r/>
      <w:bookmarkStart w:id="252" w:name="_Toc303539103"/>
      <w:r/>
      <w:bookmarkStart w:id="253" w:name="_Toc296347159"/>
      <w:r/>
      <w:bookmarkStart w:id="254" w:name="_Toc296503160"/>
      <w:r/>
      <w:bookmarkStart w:id="255" w:name="_Toc296346661"/>
      <w:r/>
      <w:bookmarkStart w:id="256" w:name="_Toc296891200"/>
      <w:r/>
      <w:bookmarkStart w:id="257" w:name="_Toc312677989"/>
      <w:r/>
      <w:bookmarkStart w:id="258" w:name="_Toc318581158"/>
      <w:r>
        <w:rPr>
          <w:rFonts w:hint="eastAsia" w:ascii="宋体" w:hAnsi="宋体" w:eastAsia="宋体" w:cs="宋体"/>
          <w:szCs w:val="21"/>
          <w:highlight w:val="none"/>
        </w:rPr>
        <w:t xml:space="preserve">.5.1 分包的一般约定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本工程承包人严禁一切形式的转包和分包，如发现承包人有违法转包或分包行为，限令改正。否则，发包人有权立即解除合同，扣除履约保证金，承包人并负违约责任,并向发包人承担合同协议书中约定的合同总价 20%的违约金,以及赔偿由此给发包人造成的一切损失。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Start w:id="259" w:name="_Toc296346662"/>
      <w:r/>
      <w:bookmarkStart w:id="260" w:name="_Toc297123494"/>
      <w:r/>
      <w:bookmarkStart w:id="261" w:name="_Toc297216153"/>
      <w:r/>
      <w:bookmarkStart w:id="262" w:name="_Toc296891201"/>
      <w:r/>
      <w:bookmarkStart w:id="263" w:name="_Toc297120461"/>
      <w:r/>
      <w:bookmarkStart w:id="264" w:name="_Toc296890989"/>
      <w:r/>
      <w:bookmarkStart w:id="265" w:name="_Toc304295525"/>
      <w:r/>
      <w:bookmarkStart w:id="266" w:name="_Toc300934947"/>
      <w:r/>
      <w:bookmarkStart w:id="267" w:name="_Toc296503161"/>
      <w:r/>
      <w:bookmarkStart w:id="268" w:name="_Toc297048347"/>
      <w:r/>
      <w:bookmarkStart w:id="269" w:name="_Toc303539104"/>
      <w:r/>
      <w:bookmarkStart w:id="270" w:name="_Toc296347160"/>
      <w:r/>
      <w:bookmarkStart w:id="271" w:name="_Toc296944500"/>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ind w:left="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3</w:t>
      </w:r>
      <w:bookmarkStart w:id="272" w:name="_Toc318581159"/>
      <w:r/>
      <w:bookmarkStart w:id="273" w:name="_Toc312677990"/>
      <w:r>
        <w:rPr>
          <w:rFonts w:hint="eastAsia" w:ascii="宋体" w:hAnsi="宋体" w:eastAsia="宋体" w:cs="宋体"/>
          <w:szCs w:val="21"/>
          <w:highlight w:val="none"/>
        </w:rPr>
        <w:t xml:space="preserve">.5.2分包的确定</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w:t>
      </w:r>
      <w:bookmarkEnd w:id="272"/>
      <w:r/>
      <w:bookmarkEnd w:id="27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3.6 工程照管与成品、半成品保护</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进场直至施工完成交付使用，相关保护费用由承包人承担。承包人应为任何已完工、施工中和将要进行的任何永久和临时工程、 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 3 倍的价格扣除。</w:t>
      </w:r>
      <w:r/>
    </w:p>
    <w:p>
      <w:pPr>
        <w:ind w:left="0" w:firstLine="422"/>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3.7 履约担保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3.7.1承包人是否提供履约担保：</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3.7.2承包人提供履约担保的形式、金额及期限的：</w:t>
      </w:r>
      <w:r>
        <w:rPr>
          <w:rFonts w:hint="eastAsia" w:ascii="宋体" w:hAnsi="宋体" w:eastAsia="宋体" w:cs="宋体"/>
          <w:szCs w:val="21"/>
          <w:highlight w:val="none"/>
          <w:u w:val="single"/>
        </w:rPr>
        <w:t xml:space="preserve">本工程履约保证金为中标金额的10%，承包人在收到中标通知书后七日内，并在签订合同前，承包人将履约保证金按招标文件约定形式汇转至指定账户。合同须在招标文件规定时间内</w:t>
      </w:r>
      <w:r>
        <w:rPr>
          <w:rFonts w:hint="eastAsia" w:ascii="宋体" w:hAnsi="宋体" w:eastAsia="宋体" w:cs="宋体"/>
          <w:szCs w:val="21"/>
          <w:highlight w:val="none"/>
          <w:u w:val="single"/>
        </w:rPr>
        <w:t xml:space="preserve">办理和签订。发包人对承包人不能遵守招标文件约定，不能按时办理中标手续和交纳履约保证金等费用，影响或者推迟签订合同的，发包人有权在中标结果公示后第八日起宣布该中标人废标，有权没收其投标保证金，并按照国家现行相关法律、法规和规章的规定，建议行政主管部门予以处罚，因此产生的一切责任均由承包人自行承担。 【备注：采购人对第三方信用服务机构依据标准规范评定为 AA 级及以上的政府采购供应商（需在签订采购合同前提供信用管理部门备案的第三方信用报告，且信用报告通过“信用盐城网”可查实），降低履约保证金缴纳比例为5%。】 </w:t>
      </w:r>
      <w:bookmarkStart w:id="274" w:name="_Toc351203636"/>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3.7.2.1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如以履约保函（保险）形式缴纳履约保证金，供应商可通过政府采购电子履约保函（保险）平台（www.jsdzbh.com）在线申请履约保函（保险）。</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3.7.2.2履约保证金的退还：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方式：无息退还至投标人缴纳履约保证金的账户。如为保函，在到期时自行失效。</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条件：按合同要求全部履约完成工程竣工验收合格且无违约、无农民工工资拖欠情形下一次性无息退还。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不予退还情形：</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除不可抗力情况外，投标人出现下列情形之一的，其履约保证金，招标人将视情节决定不予退还或部分不予退还。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中标人无正当理由拒绝签订合同的，或者在签订合同时向采购人提出附加条件或者更改合同实质性内容要求的；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（2）中标人不履行与采购人订立的合同的；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（3）中标人所供货物不符合招标文件规定要求的；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（4）中标人采取欺骗、弄虚作假方式投标的或与其它投标人串通投标的；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（5）中标人将合同内容转包、违法分包的；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（6）中标人故意捏造事实或伪造证明材料，进行虚假恶意投诉或反映的。</w:t>
      </w:r>
      <w:r/>
    </w:p>
    <w:p>
      <w:pPr>
        <w:ind w:left="0" w:firstLine="420"/>
        <w:keepLines/>
        <w:keepNex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4</w:t>
      </w:r>
      <w:bookmarkStart w:id="275" w:name="_Toc292559871"/>
      <w:r/>
      <w:bookmarkStart w:id="276" w:name="_Toc296346663"/>
      <w:r/>
      <w:bookmarkStart w:id="277" w:name="_Toc296503162"/>
      <w:r/>
      <w:bookmarkStart w:id="278" w:name="_Toc296944501"/>
      <w:r/>
      <w:bookmarkStart w:id="279" w:name="_Toc296347161"/>
      <w:r/>
      <w:bookmarkStart w:id="280" w:name="_Toc297120462"/>
      <w:r/>
      <w:bookmarkStart w:id="281" w:name="_Toc297048348"/>
      <w:r/>
      <w:bookmarkStart w:id="282" w:name="_Toc296890990"/>
      <w:r/>
      <w:bookmarkStart w:id="283" w:name="_Toc267251413"/>
      <w:r/>
      <w:bookmarkStart w:id="284" w:name="_Toc292559366"/>
      <w:r/>
      <w:bookmarkStart w:id="285" w:name="_Toc296891202"/>
      <w:r>
        <w:rPr>
          <w:rFonts w:hint="eastAsia" w:ascii="宋体" w:hAnsi="宋体" w:eastAsia="宋体" w:cs="宋体"/>
          <w:b/>
          <w:szCs w:val="21"/>
          <w:highlight w:val="none"/>
        </w:rPr>
        <w:t xml:space="preserve">. 监</w:t>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宋体" w:hAnsi="宋体" w:eastAsia="宋体" w:cs="宋体"/>
          <w:b/>
          <w:szCs w:val="21"/>
          <w:highlight w:val="none"/>
        </w:rPr>
        <w:t xml:space="preserve">理人</w:t>
      </w:r>
      <w:bookmarkEnd w:id="274"/>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4.1监理人的一般规定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关于监理人的监理内容：</w:t>
      </w:r>
      <w:r>
        <w:rPr>
          <w:rFonts w:hint="eastAsia" w:ascii="宋体" w:hAnsi="宋体" w:eastAsia="宋体" w:cs="宋体"/>
          <w:szCs w:val="21"/>
          <w:highlight w:val="none"/>
          <w:u w:val="single"/>
        </w:rPr>
        <w:t xml:space="preserve"> 监理人代理人的委托，依照法律法规、工程建设标准、勘察设计文件及合同，在施工阶段对工程投资、质量、进度及变更等全面控制，做好分部分项工程检验、验收及签证，对现场材料、设备进行检查、验收并签证。对合同、信息进行管理，对工程建设相关方的关系进行协调，并履行建设工程安全生产管理法定职责的服务活动。</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关于监理人的监理权限：</w:t>
      </w:r>
      <w:r>
        <w:rPr>
          <w:rFonts w:hint="eastAsia" w:ascii="宋体" w:hAnsi="宋体" w:eastAsia="宋体" w:cs="宋体"/>
          <w:szCs w:val="21"/>
          <w:highlight w:val="none"/>
          <w:u w:val="single"/>
        </w:rPr>
        <w:t xml:space="preserve">按发包人与监理公司所签订的《建设工程监理合同》内容规定权限为准，监理合同内容以外的权限须经发包人授权后方可行使。</w:t>
      </w:r>
      <w:r/>
    </w:p>
    <w:p>
      <w:pPr>
        <w:ind w:left="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关于监理人在施工现场的办公场所、生活场所的提供和费用承担的约定：</w:t>
      </w:r>
      <w:r>
        <w:rPr>
          <w:rFonts w:hint="eastAsia" w:ascii="宋体" w:hAnsi="宋体" w:eastAsia="宋体" w:cs="宋体"/>
          <w:szCs w:val="21"/>
          <w:highlight w:val="none"/>
          <w:u w:val="single"/>
        </w:rPr>
        <w:t xml:space="preserve">由承包人提供费用包含在合同价中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4.2 监理人员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总监理工程师：</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监理工程师执业资格证书号：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关于监理人的其他约定：</w:t>
      </w:r>
      <w:r>
        <w:rPr>
          <w:rFonts w:hint="eastAsia" w:ascii="宋体" w:hAnsi="宋体" w:eastAsia="宋体" w:cs="宋体"/>
          <w:szCs w:val="21"/>
          <w:highlight w:val="none"/>
          <w:u w:val="single"/>
        </w:rPr>
        <w:t xml:space="preserve">凡涉及到设计变更、开工令、停工令、复工令及与工程造价有关的所有签证等事项，需要取得发包人批准才能行使的职权。</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4.4 商定或确定</w:t>
      </w:r>
      <w:r/>
    </w:p>
    <w:p>
      <w:pPr>
        <w:ind w:left="0" w:firstLine="420"/>
        <w:pageBreakBefore w:val="0"/>
        <w:spacing w:line="420" w:lineRule="exact"/>
        <w:widowControl w:val="off"/>
        <w:rPr>
          <w:rFonts w:hint="eastAsia" w:ascii="宋体" w:hAnsi="宋体" w:eastAsia="宋体" w:cs="宋体"/>
          <w:szCs w:val="21"/>
          <w:highlight w:val="none"/>
        </w:rPr>
      </w:pPr>
      <w:r/>
      <w:bookmarkStart w:id="286" w:name="_Toc267251418"/>
      <w:r>
        <w:rPr>
          <w:rFonts w:hint="eastAsia" w:ascii="宋体" w:hAnsi="宋体" w:eastAsia="宋体" w:cs="宋体"/>
          <w:szCs w:val="21"/>
          <w:highlight w:val="none"/>
        </w:rPr>
        <w:t xml:space="preserve">在发包人和承包人不能通过协商达成一致意见时，发包人授权监理人对以下事项进行确定：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根据监理合同约定进行</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287" w:name="_Toc351203637"/>
      <w:r>
        <w:rPr>
          <w:rFonts w:hint="eastAsia" w:ascii="宋体" w:hAnsi="宋体" w:eastAsia="宋体" w:cs="宋体"/>
          <w:b/>
          <w:szCs w:val="21"/>
          <w:highlight w:val="none"/>
        </w:rPr>
        <w:t xml:space="preserve">5</w:t>
      </w:r>
      <w:bookmarkEnd w:id="286"/>
      <w:r/>
      <w:bookmarkStart w:id="288" w:name="_Toc297120463"/>
      <w:r/>
      <w:bookmarkStart w:id="289" w:name="_Toc292559872"/>
      <w:r/>
      <w:bookmarkStart w:id="290" w:name="_Toc296944502"/>
      <w:r/>
      <w:bookmarkStart w:id="291" w:name="_Toc296891203"/>
      <w:r/>
      <w:bookmarkStart w:id="292" w:name="_Toc292559367"/>
      <w:r/>
      <w:bookmarkStart w:id="293" w:name="_Toc296890991"/>
      <w:r/>
      <w:bookmarkStart w:id="294" w:name="_Toc296347162"/>
      <w:r/>
      <w:bookmarkStart w:id="295" w:name="_Toc297048349"/>
      <w:r/>
      <w:bookmarkStart w:id="296" w:name="_Toc296503163"/>
      <w:r/>
      <w:bookmarkStart w:id="297" w:name="_Toc296346664"/>
      <w:r>
        <w:rPr>
          <w:rFonts w:hint="eastAsia" w:ascii="宋体" w:hAnsi="宋体" w:eastAsia="宋体" w:cs="宋体"/>
          <w:b/>
          <w:szCs w:val="21"/>
          <w:highlight w:val="none"/>
        </w:rPr>
        <w:t xml:space="preserve">. 工程质量</w:t>
      </w:r>
      <w:bookmarkEnd w:id="287"/>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5.1 质量要求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w:t>
      </w:r>
      <w:bookmarkStart w:id="298" w:name="_Toc297216155"/>
      <w:r/>
      <w:bookmarkStart w:id="299" w:name="_Toc297123496"/>
      <w:r/>
      <w:bookmarkStart w:id="300" w:name="_Toc304295527"/>
      <w:r/>
      <w:bookmarkStart w:id="301" w:name="_Toc312677997"/>
      <w:r/>
      <w:bookmarkStart w:id="302" w:name="_Toc318581164"/>
      <w:r/>
      <w:bookmarkStart w:id="303" w:name="_Toc300934949"/>
      <w:r/>
      <w:bookmarkStart w:id="304" w:name="_Toc303539106"/>
      <w:r>
        <w:rPr>
          <w:rFonts w:hint="eastAsia" w:ascii="宋体" w:hAnsi="宋体" w:eastAsia="宋体" w:cs="宋体"/>
          <w:szCs w:val="21"/>
          <w:highlight w:val="none"/>
        </w:rPr>
        <w:t xml:space="preserve">.1.1 特殊质量标准和要求：</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本工程质量标准为国家“合格 ”标准。合同质量目标以承包人投标时承诺的质量目标为准。工程竣工验收实际质量目标达“合格”以上者，发包人也不另支付质量奖励费用。工程质量必须达到承包人中标时承诺的质量目标，并符合国家现行有关施工质量验收规范要求和该类工程质量验收的标准。实际施工过程中，如果达不到承诺质量目标，承包人必须无偿整改达到承诺质量目标，另按合同协议书中约定的合同总价10%向发包人支付违约金，发包人有权直接从本工程的履约保证金或工程款中扣除，同时扣除投标报价时已计</w:t>
      </w:r>
      <w:r>
        <w:rPr>
          <w:rFonts w:hint="eastAsia" w:ascii="宋体" w:hAnsi="宋体" w:eastAsia="宋体" w:cs="宋体"/>
          <w:szCs w:val="21"/>
          <w:highlight w:val="none"/>
          <w:u w:val="single"/>
        </w:rPr>
        <w:t xml:space="preserve">取的工程按质论价费；如一次性验收不合格的，承包人按分部分项工程费的3%向发包人支付违约金，发包人有权直接从本工程的履约保证金或工程款中扣除。由此造成的工期延误将不予顺延，给发包人造成的损失的还将承担经济赔偿责任，若承包人整改后仍达不到承诺质量目标的，发包人有权解除合同，扣除履约保证金，承包人按合同协议书中约定的合同总价20%向发包人支付违约金，发包人有权直接从本工程的履约保证金或工程款中扣除，同时扣除投标报价时已计取的工程按质计价费。由此造成的工期延误将不予顺延，给发包人造成实际损失的还将承担经济赔偿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分部分项工程施工如一次性验收不合格的，承包人按分部分项工程费的3%向发包人支付违约金，发包人有权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发包人有权直接从本工程的履约保证金或工程款中扣除，给发包人造成实际损失的还将承担经济赔偿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非发包人原因，质量整改所发生的费用不予增加。工程质量须满足设计图纸、工程量清单、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3、质量管理：承包人须严格按照招标文件、设计图纸、质量标准、验收规范等组织施工，接受发包人、监理单位的检查。若发生工序、检验批等验收不符合质量目标要求的，每发生一次每次向发包人支付 5000 元/次的违约金，发包人有权在当期工程款支付时直接扣除。若发生分项工程验收不符合质量目标要求的，每发生一次承包人向发包人支付10000元的违约金，另外承包人在执行上述要求的同时，并不免除在限期内整改到位、继续履行其他合同条款的义务，由此</w:t>
      </w:r>
      <w:r>
        <w:rPr>
          <w:rFonts w:hint="eastAsia" w:ascii="宋体" w:hAnsi="宋体" w:eastAsia="宋体" w:cs="宋体"/>
          <w:szCs w:val="21"/>
          <w:highlight w:val="none"/>
          <w:u w:val="single"/>
        </w:rPr>
        <w:t xml:space="preserve">发生的所有费用均由承包人承担,工期、造价不给予补偿。违约金发包人可直接在支付工程款或履约保证金中扣除，发包人也可要求承包人在接到支付违约金通知之日起3日内另行支付。若未按照发包人要求及时整改到位的,发包人有权委托第三方代为实施，所发生的费用由承包人承担。拒不整改的发包人有权终止施工合同，已经发生的工作量按照70%结算。承包人必须按发包人提供的工程量清单及图纸（如有）要求进行施工（如清单描述与图纸（如有）不一致时，需经发包人确认相关做法后再进行施工，否则因承包人擅自施工而引起的返工及损失由承包人自行承担），除</w:t>
      </w:r>
      <w:r>
        <w:rPr>
          <w:rFonts w:hint="eastAsia" w:ascii="宋体" w:hAnsi="宋体" w:eastAsia="宋体" w:cs="宋体"/>
          <w:szCs w:val="21"/>
          <w:highlight w:val="none"/>
          <w:u w:val="single"/>
        </w:rPr>
        <w:t xml:space="preserve">发包人要求变更外，承包人未按上述要求施工，发包人有权要求承包人按合同协议书中约定的合同总价的5倍支付违约金，在当期工程款支付时扣除；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 20000 元的违约金，上述违约金直接从本工程的履约保证金或工程款中扣除。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为确保工程质量，本工程已委托监理公司进行工程建设监理。具体负责质量、工期、投资的控制及相关单位关系的协调、安全和文明施工的监督。承包人必须按有关规定，自觉配合，接受监理关键工序应进行旁站把关，发现不符合设计和国家现行施工规范、验收标准，承包人应立即整改，否则发包人将追究承包人的责任，并承担由此造成的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5、确保工程通过各类主管部门的验收，如不能通过，一切整改费用由承包人承担，直至通过验收为止，同时承担合同约定的违约并赔偿发包人因此遭受的全部损失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6、发包人和监理人保留对主要设备及材料、重大构件等进行监督、驻厂监造的权利，承包人须无条件配合，且所产生的相关费用由承包人承担。对主要设备使用的培训工作由承包人负责并承担所有费用。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须按法律法规及相关规定要求将建筑材料、建筑构配件、设备，涉及安全的试块、试件及有关材料等送有相应资质的检测单位检测，最终以具有相应资质的检测单位出具的检测报告作为对工程质量评定的依据。对关键部位、关键工序及隐蔽部位须按相关规定要求报质量监督部门验收，并出具合格的质量监督证明，否则发包人不予认可。工程质量应达到质量检验评定标准的合格条件，承包人应认真按照所有适用的标准、规范和设计的要求以及发包人、监理人依据合同发出的指令要求组织施工。</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 隐蔽工程检查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5.3.2承包人提前通知监理人隐蔽工程检查的期限的约定：</w:t>
      </w:r>
      <w:r>
        <w:rPr>
          <w:rFonts w:hint="eastAsia" w:ascii="宋体" w:hAnsi="宋体" w:eastAsia="宋体" w:cs="宋体"/>
          <w:szCs w:val="21"/>
          <w:highlight w:val="none"/>
          <w:u w:val="single"/>
        </w:rPr>
        <w:t xml:space="preserve">施工过程中所有隐蔽工程，承包人应进行自检，并在隐蔽或中间验收前 48 </w:t>
      </w:r>
      <w:r>
        <w:rPr>
          <w:rFonts w:hint="eastAsia" w:ascii="宋体" w:hAnsi="宋体" w:eastAsia="宋体" w:cs="宋体"/>
          <w:szCs w:val="21"/>
          <w:highlight w:val="none"/>
          <w:u w:val="single"/>
        </w:rPr>
        <w:t xml:space="preserve">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承包人需支付违约金 2000 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48</w:t>
      </w:r>
      <w:r>
        <w:rPr>
          <w:rFonts w:hint="eastAsia" w:ascii="宋体" w:hAnsi="宋体" w:eastAsia="宋体" w:cs="宋体"/>
          <w:szCs w:val="21"/>
          <w:highlight w:val="none"/>
        </w:rPr>
        <w:t xml:space="preserve">小时。</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05" w:name="_Toc351203638"/>
      <w:r>
        <w:rPr>
          <w:rFonts w:hint="eastAsia" w:ascii="宋体" w:hAnsi="宋体" w:eastAsia="宋体" w:cs="宋体"/>
          <w:b/>
          <w:szCs w:val="21"/>
          <w:highlight w:val="none"/>
        </w:rPr>
        <w:t xml:space="preserve">6. 安全文明施工与环境保护</w:t>
      </w:r>
      <w:bookmarkEnd w:id="305"/>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6.1安全文明施工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6.1.1 项目安全生产的达标目标及相应事项的约定</w:t>
      </w:r>
      <w:r>
        <w:rPr>
          <w:rFonts w:hint="eastAsia" w:ascii="宋体" w:hAnsi="宋体" w:eastAsia="宋体" w:cs="宋体"/>
          <w:szCs w:val="21"/>
          <w:highlight w:val="none"/>
          <w:u w:val="single"/>
        </w:rPr>
        <w:t xml:space="preserve">：①本工程承包人必须确保安全，承包人自行承担工程施工过程中的工程质量、任何状况下的安全责任。非发包人原因，发生的一切问题和责任与发包人无关，相关一切费用或民事、刑事责任均由承包人自理并同时向发包人承担合同价的 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②承包人进场后，必须服从发包人、监理单位对施工场地总平面的规划，服从发包人、监理单位的统一调度和指挥。如不服从指挥和调度，则每发生一次承包人承担 5000 元/次的违约金，该违约金发包人有权直接在当期工程款或履约保证金时扣除。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③发包人、监理单位将不定期对承包人的施工质量、安全、文明施工进行检查，如发现工程现场及生活区内安全、文明施工管理较差，有权要求承包单位整改并通报批评，承包人应承担 5000元/次的违约金，该违约金发包人有权直接在当期工程款或履约保证金时扣除。如发生二次通报批评情况，承包人按照合同协议书中约定的合同总价0.1%承担违约金。如发生三次及以上， 发包人有权解除合同，扣除履约保证金，并要求承包人支付合同协议书中约定的合同总价20%的违约金。因此给发包人造成损失的，承包人需予以全部赔偿。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整改费用由承包人承担，同时还需向发包人支付每次3万元的违约金，该违约金发包人有权直接从应付工程款中直接扣除或要求承包人另行交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若承包人不能及时整改存在的问题，并影响到工程进度时，发包人有权要求承包人承担1000元—5000元/次的违约金，处以经济处罚，所发生的费用发包人有权在支付工程款时或在履约保证金中扣除。承包人拒不整改或整改后仍达不到要求的,发包人有权委托第三方代为整改,所发生的费用由承包人双倍承担,在应付的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⑥施工过程中如遇地下管线、电缆等破坏修复费用、施工过程中及保修期内未及时修复而发生的一切安全责任，均由承包人自行承担。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⑦承包人应保障施工现场过往车辆及行人的安全，对安全生产负全责。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⑨承包人应按有关规定</w:t>
      </w:r>
      <w:r>
        <w:rPr>
          <w:rFonts w:hint="eastAsia" w:ascii="宋体" w:hAnsi="宋体" w:eastAsia="宋体" w:cs="宋体"/>
          <w:szCs w:val="21"/>
          <w:highlight w:val="none"/>
          <w:u w:val="single"/>
        </w:rPr>
        <w:t xml:space="preserve">编制施工组织设计方案和安全专项方案，采取严格的安全防护措施，确保工程施工安全管理到位，并接受发包人、监理人及相关部门的安全监督和检查，对于发包人、监理人及相关部门在监督和检查过程中发现的安全隐患，承包人必须在限期内进行整改，承包人承担2000元/次违约金。由于整改造成工期延误的责任由承包人承担。对发现的安全隐患，承包人逾期不整改的，承包人将承担5000元/次的违约金。施工期间如发生安全生产伤亡事故时，承包人应按规定及时上报有关部门并通知发包人，同时按相关规定处理，因此遭受发包人损失的，由承包人负责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⑩其它：（1）承包人须按国家、地方相关法律、法规及相关管理规定要求，完成各项安全文明施工管理工作。（2）承包人未按国家、地方相关法律、法规及相关管理规定要求完成安全文明施工管理工作的，发包人有权在应付工程款中扣除招标文件和合</w:t>
      </w:r>
      <w:r>
        <w:rPr>
          <w:rFonts w:hint="eastAsia" w:ascii="宋体" w:hAnsi="宋体" w:eastAsia="宋体" w:cs="宋体"/>
          <w:szCs w:val="21"/>
          <w:highlight w:val="none"/>
          <w:u w:val="single"/>
        </w:rPr>
        <w:t xml:space="preserve">同规定的未按要求完成部分的安全文明施 工措施管理费用。（3）承包人未按国家及地方相关规定要求完成安全文明管理工程的，须限期改正到位。承包人拒不整改或整改后仍达不到要求的，发包人有权解除施工合同，扣除履约保证金，并委托第三方按国家及地方相关规定进行代为整改，所发生的费用由承包人承担，承包人必须在发包人通知后 3 日内以现金形式交由发包人。给发包人造成损失的，还需赔偿发包人损失。（4）出现安全事故的，承包人须依法承担相关法律责任，与发包人无关，并须依法承担给发包人带来的损失。非因承包人过错导致的第三方责任除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6.1.4 关于治安保卫的特别约定：由承包人在现场建立治安管理机构或联防组织，统一管理施工场地的治安保卫事项，履行合同工程的治安保卫职责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关于编制施工场地治安管理计划的约定：按通用条款。发包人和承包人在工程开工后3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6.1.5 文明施工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 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5000元/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6.1.5.2 </w:t>
      </w:r>
      <w:r>
        <w:rPr>
          <w:rFonts w:hint="eastAsia" w:ascii="宋体" w:hAnsi="宋体" w:eastAsia="宋体" w:cs="宋体"/>
          <w:szCs w:val="21"/>
          <w:highlight w:val="none"/>
          <w:u w:val="single"/>
        </w:rPr>
        <w:t xml:space="preserve">施工现场应在适当位置悬挂施工标识和文明施工标语，危险区域应当设置危险警示标牌和警示灯。施工现场围护要求坚固、稳定、整洁、美观，施工现场车辆应当采取有效措施，确保不污染道路和环境，发包人和监理人有权监督承包人的文明施工措施按照相关管理规定实施到位。由于承包人疏于采取文明施工措施所造成的必要费用的支出，应由承包人自行承担。承包人未支付或迟延支付的，发包人可从到期工程款或履约保证金中予以扣除。发包人将对承包人的现场安全文明施工措施费基本费进行考核，未按规定使用到位的，即使有造价管理部门的核定单，结算时也不予计算。</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6.1.5.3 承包人必须确保工程安全（施工场地内及施工运输过程中），若发生安全问题，自行负责处理并承担一切责任，并同时向发包人承担合同协议书中约定的合同价的3%违约金，给发包人造成损失的，还需赔偿发包人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6.1.5.4 承包人进场后，必须服从发包人和监理单位对施工场地总平面的规划，服从发</w:t>
      </w:r>
      <w:r>
        <w:rPr>
          <w:rFonts w:hint="eastAsia" w:ascii="宋体" w:hAnsi="宋体" w:eastAsia="宋体" w:cs="宋体"/>
          <w:szCs w:val="21"/>
          <w:highlight w:val="none"/>
          <w:u w:val="single"/>
        </w:rPr>
        <w:t xml:space="preserve">包人、监理单位的统一调度和指挥。如出现不服从管理和下列现象的，发包人将视情节轻重认定承包人是否违约，并根据情况要求承包人承担违约责任。并支付合同协议书中约定的合同总价1%～5%违约金。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承包人必须在发包人通知后 3 日内以现金形式交由发包人。</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6.1.5.5 发包人将定期对承包人的施工质量、安全、文明施工进行检查，如发现工程现场及生活区内安全、文明施工管理较差的，有权要求承包人整改并通报批评，承包人应承担 5000 元/次的违约金，发包人有权在当期工程款支付时扣除。如发生二次通报批评情况，承包人应按照合同协议书中约定合同总价 0.1%承担违约金。如发生三次及以上， 发包人有权解除合同，扣除履约保证金，并要求承包人支付合同协议书中约定的合同总价 20%的违约金。因此给发包人造成损失的，承包人需予以全部赔偿。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6.1.5.6 严禁在施工现场焚烧垃圾,如发现一次, 承包人应按照合同协议书中约定合同总价 0.2%承担违约金。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6.1.5.7进入施工现场的所有施工人员必须戴好安全帽,如发现有一人次进入施工现场未戴安全帽,承包人应按 50 元/人次承担违约金，如一天发现 3 人以上进入施工现场未戴安全帽， 承包人应按 200 元/人次承担违约金。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6.1.5.8承包人不得在施工现场发生打架、斗殴、偷窃行为，发生一次，承包人应按5000元/人次承担违约金。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6.1.5.9 施工现场应在适当位置悬挂施工标识和文明施工标语，危险区域应当设置危险警示标牌和警示灯。现场维护高度设置不低于 2.5 米，按盐建城【2015】4 号文要求执行（具体要求由发包人将文件内容传承包</w:t>
      </w:r>
      <w:r>
        <w:rPr>
          <w:rFonts w:hint="eastAsia" w:ascii="宋体" w:hAnsi="宋体" w:eastAsia="宋体" w:cs="宋体"/>
          <w:szCs w:val="21"/>
          <w:highlight w:val="none"/>
          <w:u w:val="single"/>
        </w:rPr>
        <w:t xml:space="preserve">人，长度根据发包人要求执行）；施工现场车辆按盐市建管字〔2013〕2号文执行；施工道路进出口和现场内主要交通道路和物料堆放地点全部敷设硬化路面，车辆进出需要有专门的地方进行自动冲洗，施工材料、裸土须进行有效覆盖，对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6.1.5.10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6.1.5.11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6.1.5.12 承包人在施工中污染周围环境、施工噪音干扰他人等所引起的政府职能部门罚款或停工整改或引起周围居民纠纷和索赔时，其所有发生的费用与损失将全部由承包人自行承担，并赔偿发包人因此受到的一切损失。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6.1.5.13 施工现场应在适当位置悬挂施工标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到期工程款中予以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6.1.5.14 本工程施工期间发生的一切安全事故，其责任由承包人承担，非因承包</w:t>
      </w:r>
      <w:r>
        <w:rPr>
          <w:rFonts w:hint="eastAsia" w:ascii="宋体" w:hAnsi="宋体" w:eastAsia="宋体" w:cs="宋体"/>
          <w:szCs w:val="21"/>
          <w:highlight w:val="none"/>
          <w:u w:val="single"/>
        </w:rPr>
        <w:t xml:space="preserve">人过错导致的第三方责任除外。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6.1.5.14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承包人承担每次5000元的违约金。承包人必须遵守江苏省建设厅及盐城市建设主管部门颁布的《建设工程施工安全管理规定》和《建设工程文明施工管理规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应当遵守国家及省市有关环境保护的法律法规，采取措施控制施工现场的各种粉尘、废气、废水、固体废物以及噪声、振动对环境的污染和危害。若因承包人釆取措施不力，造成投诉或受到管理部门处理的，承包人承担违约金0.5万元/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在施工期间，凡影响或涉及各居民小区、工地、邻近区域出入口的，均设置减速驳。凡在施工期间，只要是双向通车的区域，其双向通行分隔均采用中型连续水马隔离墩，使用时间为整个施工期间，且施工期间发生损坏的应及时更换。每个转弯路口应考虑设置交通标识标牌、弧面镜、路灯等照明安全设施。上述费用包含在签约合同价中。结算不另行增加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承包人必须加强开放社会交通的临时道路交通组织管理，因管理不善造成交通安全事故，承包人承担违约金 1 万元/次，并承担由此产生的所有责任。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在施工过程中应严格执行国家、省、市、行业主管部门关于文明施工的有关规定，加强文明施工、扬尘控制、噪声污染控制等管理。发包人、监理人、行业主管部门有权监督检查承包人文明施工措施的落实情况。承包人未按国家、地方相关法律、法规及相关管理规定要求完成安全文明施工管理工作的，须限期改正到位。承包人拒不整改或整改后仍达不到要求的，发包人有权委托第三方按国家及地方相关规定进行代为整改，所发生的费用由承包人承担，发包人可在应付的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工程施工过程中遇到的施工矛盾、地方矛盾引起的工期延误不予顺延，由此产生的一切费用均由承包人承担，发包人不另行增加此项费用。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其它：</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（1）承包人须按国家、地方相关法律、法规及相关管理规定要求，完成各项安全文明施工管理工作。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（2）承包人未按国家、地方相关法律、法规及相关管理规定要求完成安全文明施工管理工作的，发包人有权在应付工程款中扣除招标文件和合同规定的未按要求完成部分的安全文明施工措施管理费用。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未按国家及地方相关规定要求完成安全文明管理工程的，须限期改正到位。承包人拒不整改或整改后仍达不到要求的，发包人有权终止施工合同，扣除履约保证金，并委托第三方按国家及地方相关规定进行代为整改，承包人须无条件配合，且费用由承包人按实际发生费用的 1.5 倍承担，该违约金发包人有权直接在当期工程款或履约保证金时扣除。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（4）承包人必须服从发包人统一管理，发包人可根</w:t>
      </w:r>
      <w:r>
        <w:rPr>
          <w:rFonts w:hint="eastAsia" w:ascii="宋体" w:hAnsi="宋体" w:eastAsia="宋体" w:cs="宋体"/>
          <w:szCs w:val="21"/>
          <w:highlight w:val="none"/>
          <w:u w:val="single"/>
        </w:rPr>
        <w:t xml:space="preserve">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 2000 元/车次。如导致道路破坏或损坏，承包人必须及时修整完好，同时发包人有权要求承包人按实际恢复工程造价的 2倍支付违约金。承包人必须严格执行盐政办发【2</w:t>
      </w:r>
      <w:r>
        <w:rPr>
          <w:rFonts w:hint="eastAsia" w:ascii="宋体" w:hAnsi="宋体" w:eastAsia="宋体" w:cs="宋体"/>
          <w:szCs w:val="21"/>
          <w:highlight w:val="none"/>
          <w:u w:val="single"/>
        </w:rPr>
        <w:t xml:space="preserve">013】38 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 3 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p>
    <w:p>
      <w:pPr>
        <w:ind w:left="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承包人充分考虑各项措施所涉及的费用，并将其考虑至投标报价措施项目费中，不考虑或考虑不足均视为承包人让利，实施过程中不再增加相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（6）承包人自行承担工程施工过程中的质量、安全责任。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（7）承包人考虑按中标通知书发出之日起的时间进场，接受现场不一定完全具备施工条件，套插施工，合理组织安排工期，确保按期完成。</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的工程进展变化而完成的管道或井，包干在综合报价中，并不再提出额外要求。否则发包人另行安排施工队伍恢复，无须得到承包人确认的前提下，在监理、审计见证下，承包人需支付恢复费用二倍的违约金。发包人有权在承包人工程总价中直接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（9）承包人须服从发包人委托的监理单位管理，材料、设备进场提供产品合格证和检验报告，每道工序完成后隐蔽前提请发包人及监理单位验收合格才能进入下一道工序。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与其他专业承包等单位现场施工工作面交叉矛盾由承包人自行协调处理，相关费用包含在投标报价中；涉及现场产生的垃圾如不及时清理，发包人有权安排其他单位清理，费用按照实际发生的双倍费用在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 条所涉违约金，发包人也有权直接从应付工程中扣除或要求承包人另行支付。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6.1.6 关于安全文明施工费支付比例和支付期限的约定：</w:t>
      </w:r>
      <w:r>
        <w:rPr>
          <w:rFonts w:hint="eastAsia" w:ascii="宋体" w:hAnsi="宋体" w:eastAsia="宋体" w:cs="宋体"/>
          <w:szCs w:val="21"/>
          <w:highlight w:val="none"/>
          <w:u w:val="single"/>
        </w:rPr>
        <w:t xml:space="preserve">本工程安全文明施工费不单独支付，包含在工程款中支付。</w:t>
      </w:r>
      <w:bookmarkEnd w:id="298"/>
      <w:r/>
      <w:bookmarkEnd w:id="299"/>
      <w:r/>
      <w:bookmarkEnd w:id="300"/>
      <w:r/>
      <w:bookmarkEnd w:id="301"/>
      <w:r/>
      <w:bookmarkEnd w:id="302"/>
      <w:r/>
      <w:bookmarkEnd w:id="303"/>
      <w:r/>
      <w:bookmarkEnd w:id="304"/>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06" w:name="_Toc351203639"/>
      <w:r>
        <w:rPr>
          <w:rFonts w:hint="eastAsia" w:ascii="宋体" w:hAnsi="宋体" w:eastAsia="宋体" w:cs="宋体"/>
          <w:b/>
          <w:szCs w:val="21"/>
          <w:highlight w:val="none"/>
        </w:rPr>
        <w:t xml:space="preserve">7. 工期和进度</w:t>
      </w:r>
      <w:bookmarkEnd w:id="306"/>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 施工组织设计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7.1.1 合同当事人约定的施工组织设计应包括的其他内容：</w:t>
      </w:r>
      <w:r>
        <w:rPr>
          <w:rFonts w:hint="eastAsia" w:ascii="宋体" w:hAnsi="宋体" w:eastAsia="宋体" w:cs="宋体"/>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7.1.2 施工组织设计的提交和修改</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收到中标通知书三天内向发包人和监理工程师提供本工程详细的《施工组织设计》和施工总进度计划各一式四份；工程实施过程中，承包人严格按照经批准的施工组织设计组织施工，接受发包人、监理单位对进度的检查、监督。发包人和监理单位将对照确认的施工方案和进度计划对承包人的施工进度进行严格考核，每十天为一个考核周期。承包人应严格按照进度计划组织施工，如在一个考核周期内发生未能按照进度计划表约定的节点工期建设，发包人有权</w:t>
      </w:r>
      <w:r>
        <w:rPr>
          <w:rFonts w:hint="eastAsia" w:ascii="宋体" w:hAnsi="宋体" w:eastAsia="宋体" w:cs="宋体"/>
          <w:szCs w:val="21"/>
          <w:highlight w:val="none"/>
          <w:u w:val="single"/>
        </w:rPr>
        <w:t xml:space="preserve">要求承包人在限期内整改，承包人同时承担每次5000元的违约金，发包人有权在当期工程款支付时或履约保证金中扣除，并要求承包人在下一个考核周期内抢工补救上一个考核周期内的施工任务和本考核周期内的施工任务。如在下一个考核周期内没有完成既定施工任务的，承包人将承担违约责任，承包人应承担每个考核周期不少于10000元的违约金，直至施工任务完成达到施工方案和进度计划的要求。如承包人的实际进度与进度计划不符，又不能按发包人提出的要求组织抢工改进，导致实际工期拖延，发包人可在不征求承包人意见及不需要承包人同意签订补充协议的</w:t>
      </w:r>
      <w:r>
        <w:rPr>
          <w:rFonts w:hint="eastAsia" w:ascii="宋体" w:hAnsi="宋体" w:eastAsia="宋体" w:cs="宋体"/>
          <w:szCs w:val="21"/>
          <w:highlight w:val="none"/>
          <w:u w:val="single"/>
        </w:rPr>
        <w:t xml:space="preserve">前提下另行自行组织其他施工队伍帮助承包人抢工，承包人按照抢工发生费用的 1.5 倍承担费用，发包人有权在当期工程款支付时扣除。如承包人拒绝执行上述条款的，发包人有权清退解除合同，已完工作量按70%结算，同时由此造成的损失均由承包人承担。如因承包人的原因导致工程不能按期开工，承包人应当向发包人支付违约金，违约金每延期一日以人民币10000元计。连续达到两个（不含）以上考核周期没按工程进度计划，发包人有权解除合同，扣除履约保证金，承包人按照合同协议书约定的合同总价的20%承担违约金并赔偿甲方因此遭受的全部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07" w:name="_Toc312677479"/>
      <w:r/>
      <w:bookmarkStart w:id="308" w:name="_Toc297216173"/>
      <w:r/>
      <w:bookmarkStart w:id="309" w:name="_Toc304295541"/>
      <w:r/>
      <w:bookmarkStart w:id="310" w:name="_Toc303539123"/>
      <w:r/>
      <w:bookmarkStart w:id="311" w:name="_Toc297123514"/>
      <w:r/>
      <w:bookmarkStart w:id="312" w:name="_Toc300934966"/>
      <w:r/>
      <w:bookmarkStart w:id="313" w:name="_Toc312678005"/>
      <w:r>
        <w:rPr>
          <w:rFonts w:hint="eastAsia" w:ascii="宋体" w:hAnsi="宋体" w:eastAsia="宋体" w:cs="宋体"/>
          <w:szCs w:val="21"/>
          <w:highlight w:val="none"/>
        </w:rPr>
        <w:t xml:space="preserve">.2 施工进度计划</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7.2.2 施工进度计划的修订</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  3天内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 开工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7.3.1 开工准备</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计划开工日期前3天提交开工报审表或开工报告 。实际开工时间以发包人发出的开工通知日期为准。</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开工前配合承包人将施工所需的水、电、电讯线路接至施工场地，费用由承包人承担；开工前提供工程地质和地下管线资料；办理施工所需证件、批件；交验水准点与坐标控制点交验，费用由承包人承担。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开工前三日内，承包人自行完善施工用接水、接电及场内外运输、通行所需的条件，由此发生的费用在投标报价的措施费中自行考虑。开工前必须向发包人提供施工进度计划、材料清单、材料进场计划、劳动力计划以及发包人、监理</w:t>
      </w:r>
      <w:r>
        <w:rPr>
          <w:rFonts w:hint="eastAsia" w:ascii="宋体" w:hAnsi="宋体" w:eastAsia="宋体" w:cs="宋体"/>
          <w:szCs w:val="21"/>
          <w:highlight w:val="none"/>
          <w:u w:val="single"/>
        </w:rPr>
        <w:t xml:space="preserve">、建设主管部门要求提供相关资料等。承包人在中标后须派专人配合发包人办理相关手续，该人员办理手续期间，服从发包人工作安排，相关费用已在合同价款中考虑。承包人未按照发包人要求办理的，发包人有权要求承包人承担 5000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支付 2000 元的违约金。前述违约发包人有权在应付工程款中直接扣除，也可要求承包人另行支付。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7.3.2开工通知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天内发出开工通知的，承包人有权提出价格调整要求，或者解除合同。</w:t>
      </w:r>
      <w:bookmarkEnd w:id="307"/>
      <w:r/>
      <w:bookmarkEnd w:id="308"/>
      <w:r/>
      <w:bookmarkEnd w:id="309"/>
      <w:r/>
      <w:bookmarkEnd w:id="310"/>
      <w:r/>
      <w:bookmarkEnd w:id="311"/>
      <w:r/>
      <w:bookmarkEnd w:id="312"/>
      <w:r/>
      <w:bookmarkEnd w:id="31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7.4 测量放线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7.4.1发包人通过监理人向承包人提供测量基准点、基准线和水准点及其书面资料的期限：</w:t>
      </w:r>
      <w:r>
        <w:rPr>
          <w:rFonts w:hint="eastAsia" w:ascii="宋体" w:hAnsi="宋体" w:eastAsia="宋体" w:cs="宋体"/>
          <w:szCs w:val="21"/>
          <w:highlight w:val="none"/>
          <w:u w:val="single"/>
        </w:rPr>
        <w:t xml:space="preserve"> 开工前现场交验</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14" w:name="_Toc297216175"/>
      <w:r/>
      <w:bookmarkStart w:id="315" w:name="_Toc312677484"/>
      <w:r/>
      <w:bookmarkStart w:id="316" w:name="_Toc312678010"/>
      <w:r/>
      <w:bookmarkStart w:id="317" w:name="_Toc300934968"/>
      <w:r/>
      <w:bookmarkStart w:id="318" w:name="_Toc303539125"/>
      <w:r/>
      <w:bookmarkStart w:id="319" w:name="_Toc304295546"/>
      <w:r/>
      <w:bookmarkStart w:id="320" w:name="_Toc297123516"/>
      <w:r>
        <w:rPr>
          <w:rFonts w:hint="eastAsia" w:ascii="宋体" w:hAnsi="宋体" w:eastAsia="宋体" w:cs="宋体"/>
          <w:szCs w:val="21"/>
          <w:highlight w:val="none"/>
        </w:rPr>
        <w:t xml:space="preserve">.5 工期延误</w:t>
      </w:r>
      <w:bookmarkEnd w:id="314"/>
      <w:r/>
      <w:bookmarkEnd w:id="315"/>
      <w:r/>
      <w:bookmarkEnd w:id="316"/>
      <w:r/>
      <w:bookmarkEnd w:id="317"/>
      <w:r/>
      <w:bookmarkEnd w:id="318"/>
      <w:r/>
      <w:bookmarkEnd w:id="319"/>
      <w:r/>
      <w:bookmarkEnd w:id="320"/>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7.5.1 因发包人原因导致工期延误</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因发包人原因导致工期延误的其他情形：</w:t>
      </w:r>
      <w:r>
        <w:rPr>
          <w:rFonts w:hint="eastAsia" w:ascii="宋体" w:hAnsi="宋体" w:eastAsia="宋体" w:cs="宋体"/>
          <w:szCs w:val="21"/>
          <w:highlight w:val="none"/>
          <w:u w:val="single"/>
        </w:rPr>
        <w:t xml:space="preserve">①发包人未能及时提供施工图纸，经催告后在合理时间内仍未提供的；②经发包人书面确认的不可抗力因素；③合同中约定的或发包人同意工期顺延的其他情况。上述情况必须经发包人书面确认，确认后工期可相应顺延并且承包人自愿放弃因发包方原因导致工期延误期间所有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21" w:name="_Toc318581169"/>
      <w:r/>
      <w:bookmarkStart w:id="322" w:name="_Toc312677486"/>
      <w:r/>
      <w:bookmarkStart w:id="323" w:name="_Toc312678012"/>
      <w:r/>
      <w:bookmarkStart w:id="324" w:name="_Toc304295548"/>
      <w:r/>
      <w:bookmarkStart w:id="325" w:name="_Toc303539127"/>
      <w:r/>
      <w:bookmarkStart w:id="326" w:name="_Toc297123518"/>
      <w:r/>
      <w:bookmarkStart w:id="327" w:name="_Toc300934970"/>
      <w:r/>
      <w:bookmarkStart w:id="328" w:name="_Toc297216177"/>
      <w:r>
        <w:rPr>
          <w:rFonts w:hint="eastAsia" w:ascii="宋体" w:hAnsi="宋体" w:eastAsia="宋体" w:cs="宋体"/>
          <w:szCs w:val="21"/>
          <w:highlight w:val="none"/>
        </w:rPr>
        <w:t xml:space="preserve">.5.2 因承包人原因导致工期延误</w:t>
      </w:r>
      <w:bookmarkEnd w:id="321"/>
      <w:r/>
      <w:bookmarkEnd w:id="322"/>
      <w:r/>
      <w:bookmarkEnd w:id="323"/>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因</w:t>
      </w:r>
      <w:bookmarkStart w:id="329" w:name="_Toc312678013"/>
      <w:r/>
      <w:bookmarkStart w:id="330" w:name="_Toc312677487"/>
      <w:r/>
      <w:bookmarkStart w:id="331"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zCs w:val="21"/>
          <w:highlight w:val="none"/>
          <w:u w:val="single"/>
        </w:rPr>
        <w:t xml:space="preserve">承包人应按照投标文件承诺的工期确保工程验收，满足工程竣</w:t>
      </w:r>
      <w:r>
        <w:rPr>
          <w:rFonts w:hint="eastAsia" w:ascii="宋体" w:hAnsi="宋体" w:eastAsia="宋体" w:cs="宋体"/>
          <w:szCs w:val="21"/>
          <w:highlight w:val="none"/>
          <w:u w:val="single"/>
        </w:rPr>
        <w:t xml:space="preserve">工要求，必须在承诺工期内完成全部工程量，不得以任何借口停工怠工，如因承包人原因延误工期的（含不按期开工等情形），按每拖延一天向发包人支付人民币5000元的违约金，延期超过三天的，发包人有权解除合同，扣除履约保证金，并要求承包人承担合同协议书约定的总价20%的违约金，同时对发包人的全部损失承担赔偿责任。如因发包人原因并且符合工程工期顺延的情况，经发包人签证确认后仅顺延工期,承包人不得向发包人提出其他索赔要求。如承包人无故提出停工、怠工二天以上，发包人有权解除合同，扣除履约保证金，清退出场，已完工程量不予结算。</w:t>
      </w:r>
      <w:bookmarkEnd w:id="324"/>
      <w:r/>
      <w:bookmarkEnd w:id="325"/>
      <w:r/>
      <w:bookmarkEnd w:id="326"/>
      <w:r/>
      <w:bookmarkEnd w:id="327"/>
      <w:r/>
      <w:bookmarkEnd w:id="328"/>
      <w:r/>
      <w:bookmarkEnd w:id="329"/>
      <w:r/>
      <w:bookmarkEnd w:id="330"/>
      <w:r/>
      <w:bookmarkEnd w:id="331"/>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向发包</w:t>
      </w:r>
      <w:r>
        <w:rPr>
          <w:rFonts w:hint="eastAsia" w:ascii="宋体" w:hAnsi="宋体" w:eastAsia="宋体" w:cs="宋体"/>
          <w:szCs w:val="21"/>
          <w:highlight w:val="none"/>
          <w:u w:val="single"/>
        </w:rPr>
        <w:t xml:space="preserve">人支付每次 10000 元的违约金，相关费用发包人有权直接从工程款项中扣除，并要求承包方在下一个考核周期内抢工补救上一个考核周期内的施工任务和本考核周期内的施工任务。如在下一个考核周期内没有完成既定施工任务的，承包方将承担违约责任，承包方应承担每个考核周期不少于 20000 元的违约金，直至施工任务完成达到施工方案和进度计划的要求。如承包方拒绝执行上述条款的， 建设单位有权清退承包单位，已完工作量按 70%结算，发包人有权扣除履约保证金，并要求承包人承担 20%的违约金，同时对发包人的全部损失承担赔偿责任。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因承包人原因造成工期延误，逾</w:t>
      </w:r>
      <w:bookmarkStart w:id="332" w:name="_Toc318581171"/>
      <w:r/>
      <w:bookmarkStart w:id="333" w:name="_Toc312678014"/>
      <w:r>
        <w:rPr>
          <w:rFonts w:hint="eastAsia" w:ascii="宋体" w:hAnsi="宋体" w:eastAsia="宋体" w:cs="宋体"/>
          <w:szCs w:val="21"/>
          <w:highlight w:val="none"/>
        </w:rPr>
        <w:t xml:space="preserve">期竣工违约金的上限：</w:t>
      </w:r>
      <w:r>
        <w:rPr>
          <w:rFonts w:hint="eastAsia" w:ascii="宋体" w:hAnsi="宋体" w:eastAsia="宋体" w:cs="宋体"/>
          <w:szCs w:val="21"/>
          <w:highlight w:val="none"/>
          <w:u w:val="single"/>
        </w:rPr>
        <w:t xml:space="preserve">  / 。</w:t>
      </w:r>
      <w:bookmarkEnd w:id="332"/>
      <w:r/>
      <w:bookmarkEnd w:id="33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34" w:name="_Toc297216178"/>
      <w:r/>
      <w:bookmarkStart w:id="335" w:name="_Toc300934971"/>
      <w:r/>
      <w:bookmarkStart w:id="336" w:name="_Toc297123519"/>
      <w:r/>
      <w:bookmarkStart w:id="337" w:name="_Toc303539128"/>
      <w:r/>
      <w:bookmarkStart w:id="338" w:name="_Toc304295549"/>
      <w:r/>
      <w:bookmarkStart w:id="339" w:name="_Toc312678015"/>
      <w:r>
        <w:rPr>
          <w:rFonts w:hint="eastAsia" w:ascii="宋体" w:hAnsi="宋体" w:eastAsia="宋体" w:cs="宋体"/>
          <w:szCs w:val="21"/>
          <w:highlight w:val="none"/>
        </w:rPr>
        <w:t xml:space="preserve">.6 不</w:t>
      </w:r>
      <w:bookmarkEnd w:id="334"/>
      <w:r/>
      <w:bookmarkEnd w:id="335"/>
      <w:r/>
      <w:bookmarkEnd w:id="336"/>
      <w:r/>
      <w:bookmarkEnd w:id="337"/>
      <w:r/>
      <w:bookmarkEnd w:id="338"/>
      <w:r/>
      <w:bookmarkEnd w:id="339"/>
      <w:r>
        <w:rPr>
          <w:rFonts w:hint="eastAsia" w:ascii="宋体" w:hAnsi="宋体" w:eastAsia="宋体" w:cs="宋体"/>
          <w:szCs w:val="21"/>
          <w:highlight w:val="none"/>
        </w:rPr>
        <w:t xml:space="preserve">利物质条件</w:t>
      </w:r>
      <w:r/>
    </w:p>
    <w:p>
      <w:pPr>
        <w:ind w:left="0" w:firstLine="420"/>
        <w:jc w:val="left"/>
        <w:pageBreakBefore w:val="0"/>
        <w:spacing w:line="420" w:lineRule="exact"/>
        <w:widowControl w:val="off"/>
        <w:rPr>
          <w:rFonts w:hint="eastAsia" w:ascii="宋体" w:hAnsi="宋体" w:eastAsia="宋体" w:cs="宋体"/>
          <w:szCs w:val="21"/>
          <w:highlight w:val="none"/>
        </w:rPr>
      </w:pPr>
      <w:r/>
      <w:bookmarkStart w:id="340" w:name="_Toc303539129"/>
      <w:r/>
      <w:bookmarkStart w:id="341" w:name="_Toc318581172"/>
      <w:r/>
      <w:bookmarkStart w:id="342" w:name="_Toc297123520"/>
      <w:r/>
      <w:bookmarkStart w:id="343" w:name="_Toc304295550"/>
      <w:r/>
      <w:bookmarkStart w:id="344" w:name="_Toc297216179"/>
      <w:r/>
      <w:bookmarkStart w:id="345" w:name="_Toc312678016"/>
      <w:r/>
      <w:bookmarkStart w:id="346" w:name="_Toc300934972"/>
      <w:r>
        <w:rPr>
          <w:rFonts w:hint="eastAsia" w:ascii="宋体" w:hAnsi="宋体" w:eastAsia="宋体" w:cs="宋体"/>
          <w:szCs w:val="21"/>
          <w:highlight w:val="none"/>
        </w:rPr>
        <w:t xml:space="preserve">不利物质条件的其他情形和有关约定：执行通用条款。</w:t>
      </w:r>
      <w:bookmarkEnd w:id="340"/>
      <w:r/>
      <w:bookmarkEnd w:id="341"/>
      <w:r/>
      <w:bookmarkEnd w:id="342"/>
      <w:r/>
      <w:bookmarkEnd w:id="343"/>
      <w:r/>
      <w:bookmarkEnd w:id="344"/>
      <w:r/>
      <w:bookmarkEnd w:id="345"/>
      <w:r/>
      <w:bookmarkEnd w:id="346"/>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47" w:name="_Toc304295551"/>
      <w:r/>
      <w:bookmarkStart w:id="348" w:name="_Toc300934973"/>
      <w:r/>
      <w:bookmarkStart w:id="349" w:name="_Toc312678017"/>
      <w:r/>
      <w:bookmarkStart w:id="350" w:name="_Toc297216180"/>
      <w:r/>
      <w:bookmarkStart w:id="351" w:name="_Toc303539130"/>
      <w:r/>
      <w:bookmarkStart w:id="352" w:name="_Toc297123521"/>
      <w:r>
        <w:rPr>
          <w:rFonts w:hint="eastAsia" w:ascii="宋体" w:hAnsi="宋体" w:eastAsia="宋体" w:cs="宋体"/>
          <w:szCs w:val="21"/>
          <w:highlight w:val="none"/>
        </w:rPr>
        <w:t xml:space="preserve">.7异常恶劣的气候条件</w:t>
      </w:r>
      <w:bookmarkEnd w:id="347"/>
      <w:r/>
      <w:bookmarkEnd w:id="348"/>
      <w:r/>
      <w:bookmarkEnd w:id="349"/>
      <w:r/>
      <w:bookmarkEnd w:id="350"/>
      <w:r/>
      <w:bookmarkEnd w:id="351"/>
      <w:r/>
      <w:bookmarkEnd w:id="352"/>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发包人和承包人同意以下情形视为异常恶劣的气候条件：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（1）持续高温：连续三日日最高气温 35℃以上；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（2）持续低温：连续三日日最低气温-10℃以下；</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（3）大风天气：施工区域日风力在 6 级以上且持续时间不少于 4 小时，或阵风大于8 级；</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（4）暴雨天气：日降雨量 50mm 及以上，或降雨强度大于20mm/h。</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7.9 提前竣工的奖励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7.9.2提前竣工的奖励：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53" w:name="_Toc351203640"/>
      <w:r>
        <w:rPr>
          <w:rFonts w:hint="eastAsia" w:ascii="宋体" w:hAnsi="宋体" w:eastAsia="宋体" w:cs="宋体"/>
          <w:b/>
          <w:szCs w:val="21"/>
          <w:highlight w:val="none"/>
        </w:rPr>
        <w:t xml:space="preserve">8. 材料与设备</w:t>
      </w:r>
      <w:bookmarkEnd w:id="353"/>
      <w:r/>
      <w:bookmarkEnd w:id="288"/>
      <w:r/>
      <w:bookmarkEnd w:id="289"/>
      <w:r/>
      <w:bookmarkEnd w:id="290"/>
      <w:r/>
      <w:bookmarkEnd w:id="291"/>
      <w:r/>
      <w:bookmarkEnd w:id="292"/>
      <w:r/>
      <w:bookmarkEnd w:id="293"/>
      <w:r/>
      <w:bookmarkEnd w:id="294"/>
      <w:r/>
      <w:bookmarkEnd w:id="295"/>
      <w:r/>
      <w:bookmarkEnd w:id="296"/>
      <w:r/>
      <w:bookmarkEnd w:id="297"/>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354" w:name="_Toc296944506"/>
      <w:r/>
      <w:bookmarkStart w:id="355" w:name="_Toc304295556"/>
      <w:r/>
      <w:bookmarkStart w:id="356" w:name="_Toc280868654"/>
      <w:r/>
      <w:bookmarkStart w:id="357" w:name="_Toc296890995"/>
      <w:r/>
      <w:bookmarkStart w:id="358" w:name="_Toc296347166"/>
      <w:r/>
      <w:bookmarkStart w:id="359" w:name="_Toc297120467"/>
      <w:r/>
      <w:bookmarkStart w:id="360" w:name="_Toc296346668"/>
      <w:r/>
      <w:bookmarkStart w:id="361" w:name="_Toc297048353"/>
      <w:r/>
      <w:bookmarkStart w:id="362" w:name="_Toc297216186"/>
      <w:r/>
      <w:bookmarkStart w:id="363" w:name="_Toc292559372"/>
      <w:r/>
      <w:bookmarkStart w:id="364" w:name="_Toc296891207"/>
      <w:r/>
      <w:bookmarkStart w:id="365" w:name="_Toc303539136"/>
      <w:r/>
      <w:bookmarkStart w:id="366" w:name="_Toc312677493"/>
      <w:r/>
      <w:bookmarkStart w:id="367" w:name="_Toc292559877"/>
      <w:r/>
      <w:bookmarkStart w:id="368" w:name="_Toc296503167"/>
      <w:r/>
      <w:bookmarkStart w:id="369" w:name="_Toc297123527"/>
      <w:r/>
      <w:bookmarkStart w:id="370" w:name="_Toc312678019"/>
      <w:r/>
      <w:bookmarkStart w:id="371" w:name="_Toc300934979"/>
      <w:r/>
      <w:bookmarkStart w:id="372" w:name="_Toc280868656"/>
      <w:r/>
      <w:bookmarkStart w:id="373" w:name="_Toc267251424"/>
      <w:r/>
      <w:bookmarkStart w:id="374" w:name="_Toc280868655"/>
      <w:r>
        <w:rPr>
          <w:rFonts w:hint="eastAsia" w:ascii="宋体" w:hAnsi="宋体" w:eastAsia="宋体" w:cs="宋体"/>
          <w:szCs w:val="21"/>
          <w:highlight w:val="none"/>
        </w:rPr>
        <w:t xml:space="preserve">.4材料与工程设备的保管与使用</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8</w:t>
      </w:r>
      <w:bookmarkStart w:id="375" w:name="_Toc292559878"/>
      <w:r/>
      <w:bookmarkStart w:id="376" w:name="_Toc292559373"/>
      <w:r/>
      <w:bookmarkStart w:id="377" w:name="_Toc297123528"/>
      <w:r/>
      <w:bookmarkStart w:id="378" w:name="_Toc296891208"/>
      <w:r/>
      <w:bookmarkStart w:id="379" w:name="_Toc297048354"/>
      <w:r/>
      <w:bookmarkStart w:id="380" w:name="_Toc318581173"/>
      <w:r/>
      <w:bookmarkStart w:id="381" w:name="_Toc312677494"/>
      <w:r/>
      <w:bookmarkStart w:id="382" w:name="_Toc297216187"/>
      <w:r/>
      <w:bookmarkStart w:id="383" w:name="_Toc296346669"/>
      <w:r/>
      <w:bookmarkStart w:id="384" w:name="_Toc296890996"/>
      <w:r/>
      <w:bookmarkStart w:id="385" w:name="_Toc312678020"/>
      <w:r/>
      <w:bookmarkStart w:id="386" w:name="_Toc303539137"/>
      <w:r/>
      <w:bookmarkStart w:id="387" w:name="_Toc296347167"/>
      <w:r/>
      <w:bookmarkStart w:id="388" w:name="_Toc300934980"/>
      <w:r/>
      <w:bookmarkStart w:id="389" w:name="_Toc297120468"/>
      <w:r/>
      <w:bookmarkStart w:id="390" w:name="_Toc296944507"/>
      <w:r/>
      <w:bookmarkStart w:id="391" w:name="_Toc304295557"/>
      <w:r/>
      <w:bookmarkStart w:id="392" w:name="_Toc296503168"/>
      <w:r>
        <w:rPr>
          <w:rFonts w:hint="eastAsia" w:ascii="宋体" w:hAnsi="宋体" w:eastAsia="宋体" w:cs="宋体"/>
          <w:szCs w:val="21"/>
          <w:highlight w:val="none"/>
        </w:rPr>
        <w:t xml:space="preserve">.4.1发包人供应的材料设备的保管费用的承担：</w:t>
      </w:r>
      <w:r>
        <w:rPr>
          <w:rFonts w:hint="eastAsia" w:ascii="宋体" w:hAnsi="宋体" w:eastAsia="宋体" w:cs="宋体"/>
          <w:szCs w:val="21"/>
          <w:highlight w:val="none"/>
          <w:u w:val="single"/>
        </w:rPr>
        <w:t xml:space="preserve">/。</w:t>
      </w:r>
      <w:bookmarkEnd w:id="375"/>
      <w:r/>
      <w:bookmarkEnd w:id="376"/>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（1）除合同工程量清单确定的《其他项目清单计价与汇总表》中的“暂估价”的</w:t>
      </w:r>
      <w:r>
        <w:rPr>
          <w:rFonts w:hint="eastAsia" w:ascii="宋体" w:hAnsi="宋体" w:eastAsia="宋体" w:cs="宋体"/>
          <w:szCs w:val="21"/>
          <w:highlight w:val="none"/>
          <w:u w:val="single"/>
        </w:rPr>
        <w:t xml:space="preserve">材料外，其它材料均由承包人自行组织采购。凡由承包人采购的材料，承包人应按照设计要求、技术标准及合同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造成工期延误的，按照施工合同约定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（2）对本合同工程量清单《其他项目清单与计价汇总表》 中确定为“暂估价”的设备材料和专业工程，发包人应根据国家发改委令第 16 号要求，施工单项合同估算价在400万元以上的专业工程或单项合同估算价在200万元以上的重要设备材料等货物的采购，达此限额及以上的发包人应依法组织公开招标。单项合同估算价在上述限额标准以下的项目，根据区级主管部门规定执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（3）如在施工过程中监管人员（发包人及监理人员等）一旦发现承包人未按发包人及设计</w:t>
      </w:r>
      <w:r>
        <w:rPr>
          <w:rFonts w:hint="eastAsia" w:ascii="宋体" w:hAnsi="宋体" w:eastAsia="宋体" w:cs="宋体"/>
          <w:szCs w:val="21"/>
          <w:highlight w:val="none"/>
          <w:u w:val="single"/>
        </w:rPr>
        <w:t xml:space="preserve">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 1 次承包人应承担签约合同价款百分之一的违约金； 造成建设工程质量不符合规定的质量标准的，承包人负责返工、修理， 根据合同约定承担违约责任并赔偿发包人因此造成的所有损失；情节严重的，报相关建设行政主管部门，责令停业整顿，降低资质等级或者吊销资质证书。</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（4）承包人未对建筑材料、建筑构配件、设备和商品混凝土进行检验， 或者未对涉及结构安全的试块、试件以及有关材料取样检测的，责令改正，承包人应承担1万元以上5万元以下的违约金；情节严重的，移交相关部门处理。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（5）采用甲供的材料、设备，承包人应提前 30 天向发包人提供所需材料、设备的情况，包括：材料、设备的品种、规格、型号、数量、质量等级、提供时间和地点等，发包人在所供材料、设备到货前 24 小时，以书面形式通知承包人，由承包人派人和发包人共同清点，其材料、设备的质量由承包人把关，如甲供的设备材料发生现场保管的，发包人须给付甲供设备材料总价款 1%的现场保管费用。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所选用材料必须符合相关国家强制性标准和规范要求，保证材料符合相关安全、环保等要求。主材如未按合同约定，以次充优，擅自更换品牌或使用假冒、贴牌产品的，必须全部无条件清退出场。所造成的一切责任和后果均由承包人承担，对于已发生的还将进行“以一罚十”的赔偿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（7）承包人采购材料设备的约定：⑴符合施工图纸要</w:t>
      </w:r>
      <w:r>
        <w:rPr>
          <w:rFonts w:hint="eastAsia" w:ascii="宋体" w:hAnsi="宋体" w:eastAsia="宋体" w:cs="宋体"/>
          <w:szCs w:val="21"/>
          <w:highlight w:val="none"/>
          <w:u w:val="single"/>
        </w:rPr>
        <w:t xml:space="preserve">求、满足国家及相关部门有关规定、保质保量并按相关规定进行检验、验收；⑵须向发包人提供质量保证书、出厂合格证及现场抽样送检的复试报告等证明材料，对材料质量负责；⑶如不符合质量及相关规定要求或规格有差异的，应禁止使用。若已使用，对工程造成的损失由承包人负责。发包人保留对承包人所供材料随机抽查送检的权利，如经相关部门检测不合格，承包人应无条件更换不合格产品，并赔偿不合格产品价值 3 倍的违约金，一切损失和责任均由承包人承担。如不服从或拒绝更换的，发包人有权单独采购符合要求的产品，其一切费用均在承包人款项中扣除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本项目所有设备、材料在采购前须列出详细的采购清单，采购清单须注明设备、材料的品牌、规格型号、产地等主要内容，并在采购前将书面设备、材料采购清单报发包人审批，经发包人书面同意后方可进行采购，否则所采购的设备、材料不予认可，如设备材料已运至施工现场的，须无条件退场（如已施工，须自行拆除），由此造成的损失由承包人自行承担，工期不因此类原因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承包人按该设备、材料投标价的70%承担违约金,同时该设备、材料的售后、维修等服务仍由承包人负责。以上违约金费用均在结算时予以扣除，并由承包人承担相应的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为了防止承包人所选用的材料、设备以劣充优，以次充好，谋取不正当利益情况，所有设备必须都有厂家铭牌，设备必须与铭牌一致，发包人拒绝贴牌设备，如发现并经查实承包人贴牌设备，发包人有权要求承包人立即退场，同时承包人承担设备实际采购价与合同价差价为基准计算最高不超过 2 倍的违约金，发包人有权在履约保证金或到期工程款中予以扣除。</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8.6 样品</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8.6.1</w:t>
      </w:r>
      <w:r>
        <w:rPr>
          <w:rFonts w:hint="eastAsia" w:ascii="宋体" w:hAnsi="宋体" w:eastAsia="宋体" w:cs="宋体"/>
          <w:szCs w:val="21"/>
          <w:highlight w:val="none"/>
        </w:rPr>
        <w:tab/>
      </w:r>
      <w:r>
        <w:rPr>
          <w:rFonts w:hint="eastAsia" w:ascii="宋体" w:hAnsi="宋体" w:eastAsia="宋体" w:cs="宋体"/>
          <w:szCs w:val="21"/>
          <w:highlight w:val="none"/>
        </w:rPr>
        <w:t xml:space="preserve">样品的报送与封存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按规范要求招标文件及招标过程中的补充文件执行。发包人不因此另行支付样品费用，样品费用含在合同价中。</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8.8 施工设备和临时设施</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8.8.1 承包人提供的施工设备和临时设施</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关于修建临时设施费用承担的约定：</w:t>
      </w:r>
      <w:r>
        <w:rPr>
          <w:rFonts w:hint="eastAsia" w:ascii="宋体" w:hAnsi="宋体" w:eastAsia="宋体" w:cs="宋体"/>
          <w:szCs w:val="21"/>
          <w:highlight w:val="none"/>
          <w:u w:val="single"/>
        </w:rPr>
        <w:t xml:space="preserve">承包人自行修建施工设备和临时设施，费用自理 </w:t>
      </w:r>
      <w:r>
        <w:rPr>
          <w:rFonts w:hint="eastAsia" w:ascii="宋体" w:hAnsi="宋体" w:eastAsia="宋体" w:cs="宋体"/>
          <w:szCs w:val="21"/>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393" w:name="_Toc351203641"/>
      <w:r>
        <w:rPr>
          <w:rFonts w:hint="eastAsia" w:ascii="宋体" w:hAnsi="宋体" w:eastAsia="宋体" w:cs="宋体"/>
          <w:szCs w:val="21"/>
          <w:highlight w:val="none"/>
        </w:rPr>
        <w:t xml:space="preserve">9</w:t>
      </w:r>
      <w:bookmarkEnd w:id="372"/>
      <w:r/>
      <w:bookmarkEnd w:id="373"/>
      <w:r/>
      <w:bookmarkEnd w:id="374"/>
      <w:r/>
      <w:bookmarkStart w:id="394" w:name="_Toc312677495"/>
      <w:r/>
      <w:bookmarkStart w:id="395" w:name="_Toc303539139"/>
      <w:r/>
      <w:bookmarkStart w:id="396" w:name="_Toc297123533"/>
      <w:r/>
      <w:bookmarkStart w:id="397" w:name="_Toc300934982"/>
      <w:r/>
      <w:bookmarkStart w:id="398" w:name="_Toc297216192"/>
      <w:r/>
      <w:bookmarkStart w:id="399" w:name="_Toc312678021"/>
      <w:r/>
      <w:bookmarkStart w:id="400" w:name="_Toc304295559"/>
      <w:r/>
      <w:bookmarkStart w:id="401" w:name="_Toc292559378"/>
      <w:r/>
      <w:bookmarkStart w:id="402" w:name="_Toc297120473"/>
      <w:r/>
      <w:bookmarkStart w:id="403" w:name="_Toc296944512"/>
      <w:r/>
      <w:bookmarkStart w:id="404" w:name="_Toc292559883"/>
      <w:r/>
      <w:bookmarkStart w:id="405" w:name="_Toc296503173"/>
      <w:r/>
      <w:bookmarkStart w:id="406" w:name="_Toc296347172"/>
      <w:r/>
      <w:bookmarkStart w:id="407" w:name="_Toc296891213"/>
      <w:r/>
      <w:bookmarkStart w:id="408" w:name="_Toc267251428"/>
      <w:r/>
      <w:bookmarkStart w:id="409" w:name="_Toc296891001"/>
      <w:r/>
      <w:bookmarkStart w:id="410" w:name="_Toc296346674"/>
      <w:r/>
      <w:bookmarkStart w:id="411" w:name="_Toc267251427"/>
      <w:r/>
      <w:bookmarkStart w:id="412" w:name="_Toc297048359"/>
      <w:r>
        <w:rPr>
          <w:rFonts w:hint="eastAsia" w:ascii="宋体" w:hAnsi="宋体" w:eastAsia="宋体" w:cs="宋体"/>
          <w:szCs w:val="21"/>
          <w:highlight w:val="none"/>
        </w:rPr>
        <w:t xml:space="preserve">. 试验与检验</w:t>
      </w:r>
      <w:bookmarkEnd w:id="393"/>
      <w:r/>
      <w:bookmarkEnd w:id="394"/>
      <w:r/>
      <w:bookmarkEnd w:id="395"/>
      <w:r/>
      <w:bookmarkEnd w:id="396"/>
      <w:r/>
      <w:bookmarkEnd w:id="397"/>
      <w:r/>
      <w:bookmarkEnd w:id="398"/>
      <w:r/>
      <w:bookmarkEnd w:id="399"/>
      <w:r/>
      <w:bookmarkEnd w:id="400"/>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413" w:name="_Toc304295560"/>
      <w:r/>
      <w:bookmarkStart w:id="414" w:name="_Toc303539140"/>
      <w:r/>
      <w:bookmarkStart w:id="415" w:name="_Toc312678022"/>
      <w:r/>
      <w:bookmarkStart w:id="416" w:name="_Toc312677496"/>
      <w:r/>
      <w:bookmarkStart w:id="417" w:name="_Toc297123534"/>
      <w:r/>
      <w:bookmarkStart w:id="418" w:name="_Toc297216193"/>
      <w:r/>
      <w:bookmarkStart w:id="419" w:name="_Toc300934983"/>
      <w:r>
        <w:rPr>
          <w:rFonts w:hint="eastAsia" w:ascii="宋体" w:hAnsi="宋体" w:eastAsia="宋体" w:cs="宋体"/>
          <w:szCs w:val="21"/>
          <w:highlight w:val="none"/>
        </w:rPr>
        <w:t xml:space="preserve">.1试验设备与试验人员</w:t>
      </w:r>
      <w:bookmarkEnd w:id="413"/>
      <w:r/>
      <w:bookmarkEnd w:id="414"/>
      <w:r/>
      <w:bookmarkEnd w:id="415"/>
      <w:r/>
      <w:bookmarkEnd w:id="416"/>
      <w:r/>
      <w:bookmarkEnd w:id="417"/>
      <w:r/>
      <w:bookmarkEnd w:id="418"/>
      <w:r/>
      <w:bookmarkEnd w:id="419"/>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420" w:name="_Toc297123535"/>
      <w:r/>
      <w:bookmarkStart w:id="421" w:name="_Toc297216194"/>
      <w:r/>
      <w:bookmarkStart w:id="422" w:name="_Toc300934984"/>
      <w:r/>
      <w:bookmarkStart w:id="423" w:name="_Toc303539141"/>
      <w:r/>
      <w:bookmarkStart w:id="424" w:name="_Toc304295561"/>
      <w:r/>
      <w:bookmarkStart w:id="425" w:name="_Toc312677497"/>
      <w:r/>
      <w:bookmarkStart w:id="426" w:name="_Toc312678023"/>
      <w:r/>
      <w:bookmarkStart w:id="427" w:name="_Toc318581174"/>
      <w:r>
        <w:rPr>
          <w:rFonts w:hint="eastAsia" w:ascii="宋体" w:hAnsi="宋体" w:eastAsia="宋体" w:cs="宋体"/>
          <w:szCs w:val="21"/>
          <w:highlight w:val="none"/>
        </w:rPr>
        <w:t xml:space="preserve">.1.2 试验设备</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420"/>
      <w:r/>
      <w:bookmarkEnd w:id="421"/>
      <w:r/>
      <w:bookmarkEnd w:id="422"/>
      <w:r/>
      <w:bookmarkEnd w:id="423"/>
      <w:r/>
      <w:bookmarkEnd w:id="424"/>
      <w:r/>
      <w:bookmarkEnd w:id="425"/>
      <w:r/>
      <w:bookmarkEnd w:id="426"/>
      <w:r/>
      <w:bookmarkStart w:id="428" w:name="_Toc297216195"/>
      <w:r/>
      <w:bookmarkStart w:id="429" w:name="_Toc312677498"/>
      <w:r/>
      <w:bookmarkStart w:id="430" w:name="_Toc300934985"/>
      <w:r/>
      <w:bookmarkStart w:id="431" w:name="_Toc297123536"/>
      <w:r/>
      <w:bookmarkStart w:id="432" w:name="_Toc304295562"/>
      <w:r/>
      <w:bookmarkStart w:id="433" w:name="_Toc303539142"/>
      <w:r/>
      <w:bookmarkStart w:id="434" w:name="_Toc312678024"/>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9.4 现场工艺试验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执行通用条款。</w:t>
      </w:r>
      <w:bookmarkEnd w:id="427"/>
      <w:r/>
      <w:bookmarkEnd w:id="428"/>
      <w:r/>
      <w:bookmarkEnd w:id="429"/>
      <w:r/>
      <w:bookmarkEnd w:id="430"/>
      <w:r/>
      <w:bookmarkEnd w:id="431"/>
      <w:r/>
      <w:bookmarkEnd w:id="432"/>
      <w:r/>
      <w:bookmarkEnd w:id="433"/>
      <w:r/>
      <w:bookmarkEnd w:id="434"/>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435" w:name="_Toc351203642"/>
      <w:r>
        <w:rPr>
          <w:rFonts w:hint="eastAsia" w:ascii="宋体" w:hAnsi="宋体" w:eastAsia="宋体" w:cs="宋体"/>
          <w:szCs w:val="21"/>
          <w:highlight w:val="none"/>
        </w:rPr>
        <w:t xml:space="preserve">1</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36" w:name="_Toc303539146"/>
      <w:r/>
      <w:bookmarkStart w:id="437" w:name="_Toc304295566"/>
      <w:r/>
      <w:bookmarkStart w:id="438" w:name="_Toc292559903"/>
      <w:r/>
      <w:bookmarkStart w:id="439" w:name="_Toc296891021"/>
      <w:r/>
      <w:bookmarkStart w:id="440" w:name="_Toc297120493"/>
      <w:r/>
      <w:bookmarkStart w:id="441" w:name="_Toc292559398"/>
      <w:r/>
      <w:bookmarkStart w:id="442" w:name="_Toc297123540"/>
      <w:r/>
      <w:bookmarkStart w:id="443" w:name="_Toc296347192"/>
      <w:r/>
      <w:bookmarkStart w:id="444" w:name="_Toc296503193"/>
      <w:r/>
      <w:bookmarkStart w:id="445" w:name="_Toc300934989"/>
      <w:r/>
      <w:bookmarkStart w:id="446" w:name="_Toc297216199"/>
      <w:r/>
      <w:bookmarkStart w:id="447" w:name="_Toc296944532"/>
      <w:r/>
      <w:bookmarkStart w:id="448" w:name="_Toc297048379"/>
      <w:r/>
      <w:bookmarkStart w:id="449" w:name="_Toc296891233"/>
      <w:r/>
      <w:bookmarkStart w:id="450" w:name="_Toc296346694"/>
      <w:r/>
      <w:bookmarkStart w:id="451" w:name="_Toc312677499"/>
      <w:r/>
      <w:bookmarkStart w:id="452" w:name="_Toc312678025"/>
      <w:r/>
      <w:bookmarkStart w:id="453" w:name="_Toc267251437"/>
      <w:r/>
      <w:bookmarkStart w:id="454" w:name="_Toc267251435"/>
      <w:r/>
      <w:bookmarkStart w:id="455" w:name="_Toc267251441"/>
      <w:r/>
      <w:bookmarkStart w:id="456" w:name="_Toc267251439"/>
      <w:r/>
      <w:bookmarkStart w:id="457" w:name="_Toc267251440"/>
      <w:r/>
      <w:bookmarkStart w:id="458" w:name="_Toc267251433"/>
      <w:r/>
      <w:bookmarkStart w:id="459" w:name="_Toc267251442"/>
      <w:r>
        <w:rPr>
          <w:rFonts w:hint="eastAsia" w:ascii="宋体" w:hAnsi="宋体" w:eastAsia="宋体" w:cs="宋体"/>
          <w:szCs w:val="21"/>
          <w:highlight w:val="none"/>
        </w:rPr>
        <w:t xml:space="preserve">0. 变更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460" w:name="_Toc312677500"/>
      <w:r/>
      <w:bookmarkStart w:id="461" w:name="_Toc303539147"/>
      <w:r/>
      <w:bookmarkStart w:id="462" w:name="_Toc296944533"/>
      <w:r/>
      <w:bookmarkStart w:id="463" w:name="_Toc296891234"/>
      <w:r/>
      <w:bookmarkStart w:id="464" w:name="_Toc292559399"/>
      <w:r/>
      <w:bookmarkStart w:id="465" w:name="_Toc297216200"/>
      <w:r/>
      <w:bookmarkStart w:id="466" w:name="_Toc296347193"/>
      <w:r/>
      <w:bookmarkStart w:id="467" w:name="_Toc296891022"/>
      <w:r/>
      <w:bookmarkStart w:id="468" w:name="_Toc296346695"/>
      <w:r/>
      <w:bookmarkStart w:id="469" w:name="_Toc312678026"/>
      <w:r/>
      <w:bookmarkStart w:id="470" w:name="_Toc296503194"/>
      <w:r/>
      <w:bookmarkStart w:id="471" w:name="_Toc297048380"/>
      <w:r/>
      <w:bookmarkStart w:id="472" w:name="_Toc304295567"/>
      <w:r/>
      <w:bookmarkStart w:id="473" w:name="_Toc300934990"/>
      <w:r/>
      <w:bookmarkStart w:id="474" w:name="_Toc292559904"/>
      <w:r/>
      <w:bookmarkStart w:id="475" w:name="_Toc297123541"/>
      <w:r/>
      <w:bookmarkStart w:id="476" w:name="_Toc297120494"/>
      <w:r>
        <w:rPr>
          <w:rFonts w:hint="eastAsia" w:ascii="宋体" w:hAnsi="宋体" w:eastAsia="宋体" w:cs="宋体"/>
          <w:szCs w:val="21"/>
          <w:highlight w:val="none"/>
        </w:rPr>
        <w:t xml:space="preserve">0.1变更的范围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关于变更的范围的约定：</w:t>
      </w:r>
      <w:r>
        <w:rPr>
          <w:rFonts w:hint="eastAsia" w:ascii="宋体" w:hAnsi="宋体" w:eastAsia="宋体" w:cs="宋体"/>
          <w:szCs w:val="21"/>
          <w:highlight w:val="none"/>
          <w:u w:val="single"/>
        </w:rPr>
        <w:t xml:space="preserve">工程变更须经发包人、设计单位及监理人确定后，承包人按书面文件要求实施。承包人必须无条件服从发包人对工程的设计变更，不得以因发包人设计变更减少了工程利润为由要挟发包人追加其它费用。设计变更按发包人书面签证确认为准，否则一律不予确认。</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10.4 变更估价</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10.4.1 变更估价原则</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承包人必须无条件服从发包人对工程的设计变更，不得以因发包人设计变更减少了工程利润为由要挟发包人追加其它费用。设计变更按发包人书面签证确认为准，否则一律不予确认。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1) 工程变更签证的资料要求。属于工程变更（含设计变更和合同外增加工程等）的签证工程，必须同时提供程序完善的变更缘由、工程业务联系单、签证单（须附上竣工图及验收单），如承包人原因造成资料不全，工程结算时不得补充资料，则工程造价增加的视为承包人放弃此项权利，工程造价减少的按实结算扣除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 签证的时限要求。发生设计变更、经济签证事件时, 承包人须在事件发生 28 日内将书面变更资料（变更工程量、变更部分综合单价、拟增加的经济费用缘由、计取方式及依据）书面报送经监理方、发包人签字认可后作为结算依据，过期不予认可，责任由承包人自行承担。因不可抗力或发包人原因导致超期的，承包人可申请延期。</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 由于承包人原因导致的工程变更，承包人无权要求签证赔偿。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 签证单的签证程序必须严格按照发包人规定执行，否则，视为无效签证单。无效签证单发包人不予承认，责任由承包人自负。</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 若发包人有明确的工作指令，承包人不应以工程签证未办理</w:t>
      </w:r>
      <w:r>
        <w:rPr>
          <w:rFonts w:hint="eastAsia" w:ascii="宋体" w:hAnsi="宋体" w:eastAsia="宋体" w:cs="宋体"/>
          <w:szCs w:val="21"/>
          <w:highlight w:val="none"/>
          <w:u w:val="single"/>
        </w:rPr>
        <w:t xml:space="preserve">完成为借口，延误工作进展。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Start w:id="477" w:name="_Toc297216203"/>
      <w:r/>
      <w:bookmarkStart w:id="478" w:name="_Toc300934993"/>
      <w:r/>
      <w:bookmarkStart w:id="479" w:name="_Toc296944536"/>
      <w:r/>
      <w:bookmarkStart w:id="480" w:name="_Toc303539150"/>
      <w:r/>
      <w:bookmarkStart w:id="481" w:name="_Toc292559907"/>
      <w:r/>
      <w:bookmarkStart w:id="482" w:name="_Toc296503197"/>
      <w:r/>
      <w:bookmarkStart w:id="483" w:name="_Toc297123544"/>
      <w:r/>
      <w:bookmarkStart w:id="484" w:name="_Toc296347196"/>
      <w:r/>
      <w:bookmarkStart w:id="485" w:name="_Toc297048383"/>
      <w:r/>
      <w:bookmarkStart w:id="486" w:name="_Toc296891237"/>
      <w:r/>
      <w:bookmarkStart w:id="487" w:name="_Toc296346698"/>
      <w:r/>
      <w:bookmarkStart w:id="488" w:name="_Toc297120497"/>
      <w:r/>
      <w:bookmarkStart w:id="489" w:name="_Toc296891025"/>
      <w:r/>
      <w:bookmarkStart w:id="490" w:name="_Toc292559402"/>
      <w:r/>
      <w:bookmarkStart w:id="491" w:name="_Toc312678029"/>
      <w:r/>
      <w:bookmarkStart w:id="492" w:name="_Toc312677503"/>
      <w:r/>
      <w:bookmarkStart w:id="493" w:name="_Toc304295570"/>
      <w:r>
        <w:rPr>
          <w:rFonts w:hint="eastAsia" w:ascii="宋体" w:hAnsi="宋体" w:eastAsia="宋体" w:cs="宋体"/>
          <w:szCs w:val="21"/>
          <w:highlight w:val="none"/>
        </w:rPr>
        <w:t xml:space="preserve">0.5承</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Start w:id="494" w:name="_Toc296891243"/>
      <w:r/>
      <w:bookmarkStart w:id="495" w:name="_Toc296346704"/>
      <w:r/>
      <w:bookmarkStart w:id="496" w:name="_Toc296891031"/>
      <w:r/>
      <w:bookmarkStart w:id="497" w:name="_Toc300934994"/>
      <w:r/>
      <w:bookmarkStart w:id="498" w:name="_Toc296944542"/>
      <w:r/>
      <w:bookmarkStart w:id="499" w:name="_Toc292559913"/>
      <w:r/>
      <w:bookmarkStart w:id="500" w:name="_Toc296503203"/>
      <w:r/>
      <w:bookmarkStart w:id="501" w:name="_Toc296347202"/>
      <w:r/>
      <w:bookmarkStart w:id="502" w:name="_Toc292559408"/>
      <w:r/>
      <w:bookmarkStart w:id="503" w:name="_Toc297120503"/>
      <w:r/>
      <w:bookmarkStart w:id="504" w:name="_Toc297123545"/>
      <w:r/>
      <w:bookmarkStart w:id="505" w:name="_Toc297216204"/>
      <w:r/>
      <w:bookmarkStart w:id="506" w:name="_Toc303539151"/>
      <w:r/>
      <w:bookmarkStart w:id="507" w:name="_Toc297048389"/>
      <w:r>
        <w:rPr>
          <w:rFonts w:hint="eastAsia" w:ascii="宋体" w:hAnsi="宋体" w:eastAsia="宋体" w:cs="宋体"/>
          <w:szCs w:val="21"/>
          <w:highlight w:val="none"/>
        </w:rPr>
        <w:t xml:space="preserve">包人的合理化建议</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508" w:name="_Toc297120504"/>
      <w:r/>
      <w:bookmarkStart w:id="509" w:name="_Toc297048390"/>
      <w:r/>
      <w:bookmarkStart w:id="510" w:name="_Toc292559409"/>
      <w:r/>
      <w:bookmarkStart w:id="511" w:name="_Toc296944543"/>
      <w:r/>
      <w:bookmarkStart w:id="512" w:name="_Toc297216205"/>
      <w:r/>
      <w:bookmarkStart w:id="513" w:name="_Toc296891244"/>
      <w:r/>
      <w:bookmarkStart w:id="514" w:name="_Toc292559914"/>
      <w:r/>
      <w:bookmarkStart w:id="515" w:name="_Toc297123546"/>
      <w:r/>
      <w:bookmarkStart w:id="516" w:name="_Toc296346705"/>
      <w:r/>
      <w:bookmarkStart w:id="517" w:name="_Toc296503204"/>
      <w:r/>
      <w:bookmarkStart w:id="518" w:name="_Toc296347203"/>
      <w:r/>
      <w:bookmarkStart w:id="519" w:name="_Toc304295571"/>
      <w:r/>
      <w:bookmarkStart w:id="520" w:name="_Toc300934995"/>
      <w:r/>
      <w:bookmarkStart w:id="521" w:name="_Toc296891032"/>
      <w:r/>
      <w:bookmarkStart w:id="522" w:name="_Toc318581175"/>
      <w:r/>
      <w:bookmarkStart w:id="523" w:name="_Toc303539152"/>
      <w:r/>
      <w:bookmarkStart w:id="524" w:name="_Toc312678030"/>
      <w:r/>
      <w:bookmarkStart w:id="525" w:name="_Toc312677504"/>
      <w:r>
        <w:rPr>
          <w:rFonts w:hint="eastAsia" w:ascii="宋体" w:hAnsi="宋体" w:eastAsia="宋体" w:cs="宋体"/>
          <w:szCs w:val="21"/>
          <w:highlight w:val="none"/>
        </w:rPr>
        <w:t xml:space="preserve">包人提出的合理化建议降低了合同价格或者提高了工程经济效益的奖励的方法和金额为：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526" w:name="_Toc312678033"/>
      <w:r/>
      <w:bookmarkStart w:id="527" w:name="_Toc296346700"/>
      <w:r/>
      <w:bookmarkStart w:id="528" w:name="_Toc297123548"/>
      <w:r/>
      <w:bookmarkStart w:id="529" w:name="_Toc296503199"/>
      <w:r/>
      <w:bookmarkStart w:id="530" w:name="_Toc312677507"/>
      <w:r/>
      <w:bookmarkStart w:id="531" w:name="_Toc296891027"/>
      <w:r/>
      <w:bookmarkStart w:id="532" w:name="_Toc292559404"/>
      <w:r/>
      <w:bookmarkStart w:id="533" w:name="_Toc300934997"/>
      <w:r/>
      <w:bookmarkStart w:id="534" w:name="_Toc297048385"/>
      <w:r/>
      <w:bookmarkStart w:id="535" w:name="_Toc297120499"/>
      <w:r/>
      <w:bookmarkStart w:id="536" w:name="_Toc292559909"/>
      <w:r/>
      <w:bookmarkStart w:id="537" w:name="_Toc304295574"/>
      <w:r/>
      <w:bookmarkStart w:id="538" w:name="_Toc296891239"/>
      <w:r/>
      <w:bookmarkStart w:id="539" w:name="_Toc297216207"/>
      <w:r/>
      <w:bookmarkStart w:id="540" w:name="_Toc296944538"/>
      <w:r/>
      <w:bookmarkStart w:id="541" w:name="_Toc296347198"/>
      <w:r/>
      <w:bookmarkStart w:id="542" w:name="_Toc303539154"/>
      <w:r>
        <w:rPr>
          <w:rFonts w:hint="eastAsia" w:ascii="宋体" w:hAnsi="宋体" w:eastAsia="宋体" w:cs="宋体"/>
          <w:szCs w:val="21"/>
          <w:highlight w:val="none"/>
        </w:rPr>
        <w:t xml:space="preserve">0.7 暂估价</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暂</w:t>
      </w:r>
      <w:bookmarkStart w:id="543" w:name="_Toc312677508"/>
      <w:r/>
      <w:bookmarkStart w:id="544" w:name="_Toc312678034"/>
      <w:r/>
      <w:bookmarkStart w:id="545" w:name="_Toc318581176"/>
      <w:r>
        <w:rPr>
          <w:rFonts w:hint="eastAsia" w:ascii="宋体" w:hAnsi="宋体" w:eastAsia="宋体" w:cs="宋体"/>
          <w:szCs w:val="21"/>
          <w:highlight w:val="none"/>
        </w:rPr>
        <w:t xml:space="preserve">估价材料和工程设备的明细详见附件11：《暂估价一览表》。</w:t>
      </w:r>
      <w:bookmarkEnd w:id="543"/>
      <w:r/>
      <w:bookmarkEnd w:id="544"/>
      <w:r/>
      <w:bookmarkEnd w:id="545"/>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546" w:name="_Toc312677509"/>
      <w:r/>
      <w:bookmarkStart w:id="547" w:name="_Toc318581177"/>
      <w:r/>
      <w:bookmarkStart w:id="548" w:name="_Toc312678035"/>
      <w:r>
        <w:rPr>
          <w:rFonts w:hint="eastAsia" w:ascii="宋体" w:hAnsi="宋体" w:eastAsia="宋体" w:cs="宋体"/>
          <w:szCs w:val="21"/>
          <w:highlight w:val="none"/>
        </w:rPr>
        <w:t xml:space="preserve">0.7.1 依法必须招标的暂估价项目</w:t>
      </w:r>
      <w:bookmarkEnd w:id="546"/>
      <w:r/>
      <w:bookmarkEnd w:id="547"/>
      <w:r/>
      <w:bookmarkEnd w:id="548"/>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10.7.2 不属于依法必须招标的暂估价项目</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与本工程合同条件一致</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10.8 暂列金额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49" w:name="_Toc351203643"/>
      <w:r>
        <w:rPr>
          <w:rFonts w:hint="eastAsia" w:ascii="宋体" w:hAnsi="宋体" w:eastAsia="宋体" w:cs="宋体"/>
          <w:szCs w:val="21"/>
          <w:highlight w:val="none"/>
        </w:rPr>
        <w:t xml:space="preserve">11. 价格调整</w:t>
      </w:r>
      <w:bookmarkEnd w:id="549"/>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50" w:name="_Toc296944540"/>
      <w:r/>
      <w:bookmarkStart w:id="551" w:name="_Toc296891029"/>
      <w:r/>
      <w:bookmarkStart w:id="552" w:name="_Toc297048387"/>
      <w:r/>
      <w:bookmarkStart w:id="553" w:name="_Toc292559406"/>
      <w:r/>
      <w:bookmarkStart w:id="554" w:name="_Toc297216209"/>
      <w:r/>
      <w:bookmarkStart w:id="555" w:name="_Toc292559911"/>
      <w:r/>
      <w:bookmarkStart w:id="556" w:name="_Toc296346702"/>
      <w:r/>
      <w:bookmarkStart w:id="557" w:name="_Toc304295577"/>
      <w:r/>
      <w:bookmarkStart w:id="558" w:name="_Toc296347200"/>
      <w:r/>
      <w:bookmarkStart w:id="559" w:name="_Toc296891241"/>
      <w:r/>
      <w:bookmarkStart w:id="560" w:name="_Toc300935000"/>
      <w:r/>
      <w:bookmarkStart w:id="561" w:name="_Toc312678039"/>
      <w:r/>
      <w:bookmarkStart w:id="562" w:name="_Toc297123550"/>
      <w:r/>
      <w:bookmarkStart w:id="563" w:name="_Toc296503201"/>
      <w:r/>
      <w:bookmarkStart w:id="564" w:name="_Toc297120501"/>
      <w:r/>
      <w:bookmarkStart w:id="565" w:name="_Toc303539157"/>
      <w:r>
        <w:rPr>
          <w:rFonts w:hint="eastAsia" w:ascii="宋体" w:hAnsi="宋体" w:eastAsia="宋体" w:cs="宋体"/>
          <w:szCs w:val="21"/>
          <w:highlight w:val="none"/>
        </w:rPr>
        <w:t xml:space="preserve">11.1 市场价格波动引起的调整</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否</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种方式对合同价格进行调整：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（2）关于基准价格的约定：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645"/>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w:t>
      </w:r>
      <w:bookmarkEnd w:id="453"/>
      <w:r/>
      <w:bookmarkEnd w:id="454"/>
      <w:r/>
      <w:bookmarkEnd w:id="455"/>
      <w:r/>
      <w:bookmarkEnd w:id="456"/>
      <w:r/>
      <w:bookmarkEnd w:id="457"/>
      <w:r/>
      <w:bookmarkEnd w:id="458"/>
      <w:r/>
      <w:r/>
    </w:p>
    <w:p>
      <w:pPr>
        <w:ind w:left="0" w:firstLine="420"/>
        <w:pageBreakBefore w:val="0"/>
        <w:spacing w:line="420" w:lineRule="exact"/>
        <w:widowControl w:val="off"/>
        <w:tabs>
          <w:tab w:val="left" w:pos="79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12. 合同价格、计量与支付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12.1 合同价格形式：固定单价合同。</w:t>
      </w:r>
      <w:r/>
    </w:p>
    <w:p>
      <w:pPr>
        <w:ind w:left="0" w:firstLine="315"/>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rPr>
          <w:rFonts w:hint="eastAsia" w:ascii="宋体" w:hAnsi="宋体" w:eastAsia="宋体" w:cs="宋体"/>
          <w:szCs w:val="21"/>
          <w:highlight w:val="none"/>
          <w:u w:val="single"/>
        </w:rPr>
        <w:t xml:space="preserve">无论招标时工程量清单中项目特征描述是否准确，发包人要求承包人的投标报价应为完成施工图纸（如有）的全部内容，若无相关设计变更，除本招标文件及施工合同约定允许调整外中标的综合单价不予调整，工程量按实际完成并经发包人确认的合格工程量结算。</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按招标文件约定</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 </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12.1.1本工程采用“固定单价”合同，合同实施过程中除招标文件和合同约定允许调整外，其余的综合单价不作调整。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12.1.2工程结算方式为： </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本招标项目工程竣工结算价=分部分项工程费用（实际数量*中标综合单价）+措施项目费用+其他项目费用+规费+税金+招标文件和合同约定可以调整的价格。</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1、因招标工程量清单缺项</w:t>
      </w:r>
      <w:r>
        <w:rPr>
          <w:rFonts w:hint="eastAsia" w:ascii="宋体" w:hAnsi="宋体" w:eastAsia="宋体" w:cs="宋体"/>
          <w:szCs w:val="21"/>
          <w:highlight w:val="none"/>
          <w:u w:val="single"/>
        </w:rPr>
        <w:t xml:space="preserve">、设计图纸（含设计变更）与招标工程量清单项目的特征描述不符、工程变更，造成增加新的工程量清单项目 ，风险范围以外合同价格的调整方法：（1）已标价工程量清单中有适用于变更工程项目的，采用该项目的单价；（2）已标价工程量清单中没有适用但有类似于变更工程项目的，在合理范围内参照类似项目的单价；（3）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ind w:left="2520" w:hanging="25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中标价（扣除预算审核价中暂列金额、专业工程暂估价、暂估材料总价及上述三项的规费和税金） </w:t>
      </w:r>
      <w:r/>
    </w:p>
    <w:p>
      <w:pPr>
        <w:numPr>
          <w:ilvl w:val="0"/>
          <w:numId w:val="1"/>
        </w:num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中标下浮率 ＝</w:t>
      </w:r>
      <w:r>
        <w:rPr>
          <w:rFonts w:hint="eastAsia" w:ascii="宋体" w:hAnsi="宋体" w:eastAsia="宋体" w:cs="宋体"/>
          <w:sz w:val="24"/>
          <w:highlight w:val="none"/>
        </w:rPr>
        <w:t xml:space="preserve">1－  </w:t>
      </w:r>
      <w:r>
        <w:rPr>
          <w:rFonts w:hint="eastAsia" w:ascii="宋体" w:hAnsi="宋体" w:eastAsia="宋体" w:cs="宋体"/>
          <w:szCs w:val="21"/>
          <w:highlight w:val="none"/>
        </w:rPr>
        <w:t xml:space="preserve">----------------------------------------------×100% </w:t>
      </w:r>
      <w:r/>
    </w:p>
    <w:p>
      <w:pPr>
        <w:ind w:left="0" w:firstLine="189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预算审核价（扣除预算审核价中暂列金额、专业工程暂估价、暂估材料 </w:t>
      </w:r>
      <w:r/>
    </w:p>
    <w:p>
      <w:pPr>
        <w:ind w:left="0" w:firstLine="315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总价及上述三项的规费和税金</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3、措施项目费</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3.2单价措施项目：执行投标时的综合单价。</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3.3总价措施项目：采用费率报价的按原组价方式执行投标时的费率。未按费率报价的，按《计价定额》规定组价的措施项目按原组价方法调整，未按《计价定额》规定组价的措施项目按投标时价格折算成费率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3.4因分部分项工程量清单缺项或非承包人原因的工程变更，引起施工方案改变并使措施项目发生变化时，拟实施的方案经发承包双方确认后执行，并按照下列规定调整措施项目费：</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3.4.1安全文明施工措施费按照实际发生的措施项目调整。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3.4.2单价措施项目变更原则同分部分项工程。</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3.4.3总价措施项目费中以费率报价的，执行投标时的费率。总价项目中未按费率报价的，按《计价定额》规定组价的措施项目按原组价方法调整，未按《计价定额》规定组价的措施项目按投标时价格折算成费率调整；原措施费中没有的措施项目，由承包人按招标文件最高投标限价约定的计价依据、程序（不计风险费）提出变更工程项目的单价，经发包人确认后作为结算依据(该项目单价的下浮率按照中标时的下浮率执行)。</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5、招标时暂定（暂估）价格在结算时按实调整。① 计日工按发包人实际签证确认的事项计算；② 暂估价中的材料单价按发、承包双方最终确认价在综合单价中调整；③ 专业工程暂估价按专业工程招标中标价或发包人、承包人与分包人最终确认价计算；本工程承包人与其他专业工程之间的协调、配合由本工程承包人自行协调处理，若发生费用由本工程承包人承担，发包人不支付此项费用。暂列金额减去工程价款调整与索赔、现场签证金额计算，如有余额归发包人。</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bookmarkStart w:id="566" w:name="page84"/>
      <w:r/>
      <w:bookmarkEnd w:id="566"/>
      <w:r>
        <w:rPr>
          <w:rFonts w:hint="eastAsia" w:ascii="宋体" w:hAnsi="宋体" w:eastAsia="宋体" w:cs="宋体"/>
          <w:szCs w:val="21"/>
          <w:highlight w:val="none"/>
          <w:u w:val="single"/>
        </w:rPr>
        <w:t xml:space="preserve">6、竣工结算时若承包人完成了发包人所要求的且为合同以外的零星工作或发生非承包人责任事件的工程量按现场实际完成的工程量经发包人签证确定。</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7、双方约定合同价款不予调整的情形，包括但不仅限于下列情形：① 发包人提供的图纸如果存</w:t>
      </w:r>
      <w:r>
        <w:rPr>
          <w:rFonts w:hint="eastAsia" w:ascii="宋体" w:hAnsi="宋体" w:eastAsia="宋体" w:cs="宋体"/>
          <w:szCs w:val="21"/>
          <w:highlight w:val="none"/>
          <w:u w:val="single"/>
        </w:rPr>
        <w:t xml:space="preserve">在明显错误或疏忽，承包人作为合格的承包商应当发现并及时通知监理人。如果承包人不能发现或发现后不及时通知监理人，由此引起的停工索赔与返工经济签证发包人不予认可，结算价款不予调整；② 承包人原因造成工期延误，延误期间发生的材料价格上涨差额由承包人承担，不予调整；③ 因承包人自身原因导致的工程变更、返工，造成工程价款增加的，不予调整；④ 签证内容不全、与事实不符或不技术标准规范要求、施工常规、正常施工方法及已在招标文件要求计入投标报价范围的不予调整；⑤不符合工程结算相关的法律、法规、规范性文件规定的价款不予调整。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8、所有的设计变更均须发包人、设计单位和监理单位三方签字后方可生效；变更的工程量签证均须发包人、承包人、造价咨询单位和监理单位四方签字后方可生效，未经书面确认的工程量发包人有权不予结算。</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发生设计变更、经济签证事件时,承包人须在事件发生7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10、由于承包人管理不善，在施工中污染周围环境、施工噪音干扰他人等所引起的政府职能部门罚</w:t>
      </w:r>
      <w:bookmarkStart w:id="567" w:name="page85"/>
      <w:r/>
      <w:bookmarkEnd w:id="567"/>
      <w:r>
        <w:rPr>
          <w:rFonts w:hint="eastAsia" w:ascii="宋体" w:hAnsi="宋体" w:eastAsia="宋体" w:cs="宋体"/>
          <w:szCs w:val="21"/>
          <w:highlight w:val="none"/>
          <w:u w:val="single"/>
        </w:rPr>
        <w:t xml:space="preserve">款或停工整改或引起周围居民纠纷和索赔时，其所有发生的费用与损失由承包人，自行承担。</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本项目发包人要求承包人严格按照盐建建筑〔2016〕35号《关于进一步做好建筑施工拖欠农民工工资治理工作的通知》文件要求执行。承包人进场前必须在发包人指定的银行开设农民工工资支付专用账户，用于支付农民工工资。在项目基础、主体、装修三个分部工程开工前，发包人应将相应比例的人工工资划拨到承包人本项目的农民工工资支付专用账户, 发包人不按进度支付民工工资的，承包人应主动联系发包人询问情况。发包人要求承包人实行农民工实名制用工管理，在施工现场要设置脸谱和指纹考勤仪，承包人应在工程项目部配置专</w:t>
      </w:r>
      <w:r>
        <w:rPr>
          <w:rFonts w:hint="eastAsia" w:ascii="宋体" w:hAnsi="宋体" w:eastAsia="宋体" w:cs="宋体"/>
          <w:szCs w:val="21"/>
          <w:highlight w:val="none"/>
          <w:u w:val="single"/>
        </w:rPr>
        <w:t xml:space="preserve">职劳务员，对进场农民工实施考勤，同时建立农民工进出场登记和劳动考勤计量等台账，并为农民工申办个人工资帐户和银行卡，按月编制工资支付书面记录，逐月向农民工提供工资清单，由农民工签字查收并保存两年以上备查。在工程基础、主体、装修三个部分工程或专业工程自验合格后，及时向发包人报送民工工资支付申请表并附民工工资清单，开户银行凭施工和发包人共同盖章确认的民工工资支付申请表及民工工资清单，将民工工资直接转入民工的个人工资帐户。若承包人不能执行关于农民工工资的相关文件规定，发包人有权向主管部门申请与其单方面解除施工合同。</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u w:val="single"/>
        </w:rPr>
        <w:t xml:space="preserve">12、其他：以上关于合同定价与结算方式主要条款中未尽事宜由甲乙双方依据《建设工程工程量清单计价规范》（GB50500－2013）、建设部标准定额研究所关于其有关问题解释答疑及苏建定（2004）290号文中 关于合同与结算的条款等进行协商，并另行约定。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总价包含的风险范围：</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3、其他价格方式：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68" w:name="_Toc303539161"/>
      <w:r/>
      <w:bookmarkStart w:id="569" w:name="_Toc304295581"/>
      <w:r/>
      <w:bookmarkStart w:id="570" w:name="_Toc300935004"/>
      <w:r/>
      <w:bookmarkStart w:id="571" w:name="_Toc297216213"/>
      <w:r/>
      <w:bookmarkStart w:id="572" w:name="_Toc312678042"/>
      <w:r/>
      <w:bookmarkStart w:id="573" w:name="_Toc297123554"/>
      <w:r/>
      <w:bookmarkStart w:id="574" w:name="_Toc297048393"/>
      <w:r/>
      <w:bookmarkStart w:id="575" w:name="_Toc296503207"/>
      <w:r/>
      <w:bookmarkStart w:id="576" w:name="_Toc296891035"/>
      <w:r/>
      <w:bookmarkStart w:id="577" w:name="_Toc297120507"/>
      <w:r/>
      <w:bookmarkStart w:id="578" w:name="_Toc296347206"/>
      <w:r/>
      <w:bookmarkStart w:id="579" w:name="_Toc292559412"/>
      <w:r/>
      <w:bookmarkStart w:id="580" w:name="_Toc296944546"/>
      <w:r/>
      <w:bookmarkStart w:id="581" w:name="_Toc296891247"/>
      <w:r/>
      <w:bookmarkStart w:id="582" w:name="_Toc296346708"/>
      <w:r/>
      <w:bookmarkStart w:id="583" w:name="_Toc292559917"/>
      <w:r>
        <w:rPr>
          <w:rFonts w:hint="eastAsia" w:ascii="宋体" w:hAnsi="宋体" w:eastAsia="宋体" w:cs="宋体"/>
          <w:szCs w:val="21"/>
          <w:highlight w:val="none"/>
        </w:rPr>
        <w:t xml:space="preserve">12.2 预付款</w:t>
      </w:r>
      <w:bookmarkEnd w:id="568"/>
      <w:r/>
      <w:bookmarkEnd w:id="569"/>
      <w:r/>
      <w:bookmarkEnd w:id="570"/>
      <w:r/>
      <w:bookmarkEnd w:id="571"/>
      <w:r/>
      <w:bookmarkEnd w:id="572"/>
      <w:r/>
      <w:bookmarkEnd w:id="573"/>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12.2.1 预付款的支付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zCs w:val="21"/>
          <w:highlight w:val="none"/>
          <w:u w:val="single"/>
        </w:rPr>
        <w:t xml:space="preserve"> 合同价款的 10%，含发包人打入农民工工资专用账户的保证金，发包人不另行支付农民工工资保证金。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zCs w:val="21"/>
          <w:highlight w:val="none"/>
          <w:u w:val="single"/>
        </w:rPr>
        <w:t xml:space="preserve"> 合同签订后，工程开工前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竣工验收合格付工程款时一次性扣除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12.2.2 预付款担保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pacing w:val="-1"/>
          <w:szCs w:val="21"/>
          <w:highlight w:val="none"/>
          <w:u w:val="single"/>
        </w:rPr>
        <w:t xml:space="preserve">预付款支付之前</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同履约保证金形式。</w:t>
      </w:r>
      <w:bookmarkEnd w:id="574"/>
      <w:r/>
      <w:bookmarkEnd w:id="575"/>
      <w:r/>
      <w:bookmarkEnd w:id="576"/>
      <w:r/>
      <w:bookmarkEnd w:id="577"/>
      <w:r/>
      <w:bookmarkEnd w:id="578"/>
      <w:r/>
      <w:bookmarkEnd w:id="579"/>
      <w:r/>
      <w:bookmarkEnd w:id="580"/>
      <w:r/>
      <w:bookmarkEnd w:id="581"/>
      <w:r/>
      <w:bookmarkEnd w:id="582"/>
      <w:r/>
      <w:bookmarkEnd w:id="583"/>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12.3 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12.3.1 计量原则</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《建设工程工程量清单计价规范》（GB50500-2013）</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12.3.2 计量周期</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hint="eastAsia" w:ascii="宋体" w:hAnsi="宋体" w:eastAsia="宋体" w:cs="宋体"/>
          <w:szCs w:val="21"/>
          <w:highlight w:val="none"/>
          <w:u w:val="single"/>
        </w:rPr>
        <w:t xml:space="preserve">根据工程每周工程进度向发包人工程师提交已完工程量报表，经工程师、监理、审计单位签字后提交发包人审核和确认。</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12.3.3 单价合同的计量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关于单价合同计量的约定：</w:t>
      </w:r>
      <w:r>
        <w:rPr>
          <w:rFonts w:hint="eastAsia" w:ascii="宋体" w:hAnsi="宋体" w:eastAsia="宋体" w:cs="宋体"/>
          <w:szCs w:val="21"/>
          <w:highlight w:val="none"/>
          <w:u w:val="single"/>
        </w:rPr>
        <w:t xml:space="preserve">工程量按 2013 清单计量规范计算。</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12.3.4 总价合同的计量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12.3.5总价合同采用支付分解表计量支付的，是否适用第12.3.4 项〔总价合同的计量〕约定进行计量：</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12.3.6 其他价格形式合同的计量</w:t>
      </w:r>
      <w:r/>
    </w:p>
    <w:p>
      <w:pPr>
        <w:ind w:left="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 工程进度款支付</w:t>
      </w:r>
      <w:r/>
    </w:p>
    <w:p>
      <w:pPr>
        <w:ind w:left="0" w:firstLine="420"/>
        <w:jc w:val="left"/>
        <w:pageBreakBefore w:val="0"/>
        <w:spacing w:line="420" w:lineRule="exact"/>
        <w:widowControl w:val="off"/>
        <w:rPr>
          <w:rFonts w:hint="eastAsia" w:ascii="宋体" w:hAnsi="宋体" w:eastAsia="宋体" w:cs="宋体"/>
          <w:szCs w:val="21"/>
          <w:highlight w:val="none"/>
        </w:rPr>
      </w:pPr>
      <w:r/>
      <w:bookmarkStart w:id="584" w:name="_Toc296891251"/>
      <w:r/>
      <w:bookmarkStart w:id="585" w:name="_Toc296891039"/>
      <w:r/>
      <w:bookmarkStart w:id="586" w:name="_Toc297123556"/>
      <w:r/>
      <w:bookmarkStart w:id="587" w:name="_Toc292559921"/>
      <w:r/>
      <w:bookmarkStart w:id="588" w:name="_Toc297120511"/>
      <w:r/>
      <w:bookmarkStart w:id="589" w:name="_Toc296346712"/>
      <w:r/>
      <w:bookmarkStart w:id="590" w:name="_Toc296503211"/>
      <w:r/>
      <w:bookmarkStart w:id="591" w:name="_Toc303539163"/>
      <w:r/>
      <w:bookmarkStart w:id="592" w:name="_Toc297048397"/>
      <w:r/>
      <w:bookmarkStart w:id="593" w:name="_Toc292559416"/>
      <w:r/>
      <w:bookmarkStart w:id="594" w:name="_Toc296944550"/>
      <w:r/>
      <w:bookmarkStart w:id="595" w:name="_Toc297216215"/>
      <w:r/>
      <w:bookmarkStart w:id="596" w:name="_Toc296347210"/>
      <w:r/>
      <w:bookmarkStart w:id="597" w:name="_Toc300935006"/>
      <w:r>
        <w:rPr>
          <w:rFonts w:hint="eastAsia" w:ascii="宋体" w:hAnsi="宋体" w:eastAsia="宋体" w:cs="宋体"/>
          <w:szCs w:val="21"/>
          <w:highlight w:val="none"/>
        </w:rPr>
        <w:t xml:space="preserve">12.4.1 付款周期</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关于付款周期的约定：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工程款指合同价（即中标价）扣除暂列金额、专业工程暂估价、发包人供应材料设备价格及上述三项的规费和税金后的工程价款。具体付款幅度如下：</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1、本工程施工合同签订后,支付合同总价的10%为预付款（中标人同时须提供同等金额的预付款银行保函）；</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2、按合同约定工期节点完成工程量的，且经甲方</w:t>
      </w:r>
      <w:r>
        <w:rPr>
          <w:rFonts w:hint="eastAsia" w:ascii="宋体" w:hAnsi="宋体" w:eastAsia="宋体" w:cs="宋体"/>
          <w:szCs w:val="21"/>
          <w:highlight w:val="none"/>
          <w:u w:val="single"/>
          <w:lang w:eastAsia="zh-CN"/>
        </w:rPr>
        <w:t xml:space="preserve">确认</w:t>
      </w:r>
      <w:r>
        <w:rPr>
          <w:rFonts w:hint="eastAsia" w:ascii="宋体" w:hAnsi="宋体" w:eastAsia="宋体" w:cs="宋体"/>
          <w:szCs w:val="21"/>
          <w:highlight w:val="none"/>
          <w:u w:val="single"/>
        </w:rPr>
        <w:t xml:space="preserve">总工作量达到80%的，可在2026年12月31日前付至合同价款的70%（含预付款）；</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3、工程完工后，2027年3月31日前付至合同价款的90%。</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4、工程竣工验收合格后，并经一审审计结束出具审计结果报告后，付至审计价的95%；</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5、工程竣工验收合格满一年后，并经政府审计结束出具审计结果报告后支付至审计价的97%；</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6、余款3%待质保期满后结清。</w:t>
      </w:r>
      <w:r/>
    </w:p>
    <w:p>
      <w:pPr>
        <w:ind w:left="0" w:firstLine="422"/>
        <w:jc w:val="left"/>
        <w:pageBreakBefore w:val="0"/>
        <w:spacing w:line="420" w:lineRule="exact"/>
        <w:widowControl w:val="off"/>
        <w:rPr>
          <w:rFonts w:hint="eastAsia" w:ascii="宋体" w:hAnsi="宋体" w:eastAsia="宋体" w:cs="宋体"/>
          <w:b/>
          <w:bCs/>
          <w:szCs w:val="21"/>
          <w:highlight w:val="none"/>
          <w:u w:val="single"/>
        </w:rPr>
      </w:pPr>
      <w:r>
        <w:rPr>
          <w:rFonts w:hint="eastAsia" w:ascii="宋体" w:hAnsi="宋体" w:eastAsia="宋体" w:cs="宋体"/>
          <w:b/>
          <w:bCs/>
          <w:szCs w:val="21"/>
          <w:highlight w:val="none"/>
          <w:u w:val="single"/>
        </w:rPr>
        <w:t xml:space="preserve">注：本工程为中央财政资金，如未在规定节点前完成相应工程内容，导致付款延迟，承包人自行承担相应后果；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注：按以上付款进度，无任何利息补偿。本工程价款一律通过银行非现金结算。因承包人未及时递交已完工程结算资料，而影响工程款支付的，一切后果由承包人自行负责。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以上价款一律通过银行非现金结算，承包人提供增值税务发票。按以上付款进度，无任何利息补偿。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本工程提交审计时，承包人应在发包人约定的时间内完成资料整理，并积极配合，要求资料齐全，计算准确不得虚报，要求与审计价差距不得超过5%。</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1、若承包人的结算报审价与最终审定价≤5%，审计费由发包人承担。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报送价与终审审核价误差率＞5%且≤10%时，超出5%部分的审计费由承包人承担；误差率＞10%时，所有审计费用均由承包人承担；误差率≥20%时，承包人除承担所有审计费用外，还将承担该项目核减额5%的违约金，发包方有权要求承包人在审计报告出具后二十日内支付，或发包人可直接从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关于农民工工资支付等的约定：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1）承包人必须遵守“关于转发省清欠办《关于印</w:t>
      </w:r>
      <w:r>
        <w:rPr>
          <w:rFonts w:hint="eastAsia" w:ascii="宋体" w:hAnsi="宋体" w:eastAsia="宋体" w:cs="宋体"/>
          <w:szCs w:val="21"/>
          <w:highlight w:val="none"/>
          <w:u w:val="single"/>
        </w:rPr>
        <w:t xml:space="preserve">发〈江苏省建设领域农民工工资保证金实施办法〉的通知》的通知”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2）严格落实农民工工资专用帐户制度，施工企业项目开工前，按规定开设农民工工资专用帐户，发包人按工程施工合同约定向农民工工资专用帐户存入不低于进度款 20%的资金，应发工资高于进度款 20%的，则按照实际工资数额存入工资专户。</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3）工程竣工验收后且在合同约定付款时，承包人应当优先全额结清包括但不限于农民工在内的工人工资。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4）承包人须对施工现场所有从业人员，建立电脑用工台账，实行日常考勤管理。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5）承包人必须在第一时间内主动向发包人、监理单位， 提供与劳务公司签订的用工合同，或提供班组人员与施工单位签订的用工合同。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6）由监理单位全程实施检查、监督和管理承包人的农民工工资支付发放工作及信息反馈工作。发现存在拖欠农民工工资现象的，及时向发包人反映。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7）在履行合同过程中，承包人应遵守国家或地方的法律、法规、规章、条例、规范性文件或任何对工程有管辖权的部门的规章，并按要求支付有关费用。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8）无论发包人是否给予了批准或同意，承包人应对现场作业、施工方法及所施工工程的完备性、稳定性和安全性承担全部责任，负责完成对工程的稳定、完整、安全、可靠及有效运行所必须的全部工作。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9）农民工工资管理办法详见《农民工工资条例》盐建建筑〔2016〕35 号《关于进一步做好建筑施工拖欠农民工工资治理工作的通知》。 </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12.4.2 进度付款申请单的编制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关于进度付款申请单编制的约定：</w:t>
      </w:r>
      <w:r>
        <w:rPr>
          <w:rFonts w:hint="eastAsia" w:ascii="宋体" w:hAnsi="宋体" w:eastAsia="宋体" w:cs="宋体"/>
          <w:szCs w:val="21"/>
          <w:highlight w:val="none"/>
          <w:u w:val="single"/>
        </w:rPr>
        <w:t xml:space="preserve"> 根据发包人统一格式报批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12.4.3 进度付款申请单的提交</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（1）单价合同进度付款申请单提交的约定： </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（3）其他价格形式合同进度付款申请单提交的约定：</w:t>
      </w:r>
      <w:r>
        <w:rPr>
          <w:rFonts w:hint="eastAsia" w:ascii="宋体" w:hAnsi="宋体" w:eastAsia="宋体" w:cs="宋体"/>
          <w:szCs w:val="21"/>
          <w:highlight w:val="none"/>
          <w:u w:val="single"/>
        </w:rPr>
        <w:t xml:space="preserve"> 根据发包人统一格式报批</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12.4.4 进度款审核和支付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发包人完成审批并签发进度款支付证书的期限：</w:t>
      </w:r>
      <w:r>
        <w:rPr>
          <w:rFonts w:hint="eastAsia" w:ascii="宋体" w:hAnsi="宋体" w:eastAsia="宋体" w:cs="宋体"/>
          <w:szCs w:val="21"/>
          <w:highlight w:val="none"/>
          <w:u w:val="single"/>
        </w:rPr>
        <w:t xml:space="preserve">  30 天</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（2）发包人支付进度款的期限：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发包人逾期支付进度款的违约金的计算方式：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12.4.6 支付分解表的编制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3、单价合同的总价项目支付分解表的编制与审批：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 验收和工程试车</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13.1 分部分项工程验收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13.1.2 监理人不能按时进行验收时，应提前</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小时提交书面延期要求。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小时。</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13.2 竣工验收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13.2.2 竣工验收程序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关于竣工验收程序的约定: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13.2.2.1 进行工程移交验收的条件：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（1）缺陷责任期满后施工单位根据合同约定对工程质量进行检查，确认工程质量符合有关法律、法规和工程建设强制性标准，提出工程移交报告；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（2）经监理、施工等单位共同验收，存在的问题已整改到位；</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（3）监理单位对工程进行复查，并已提出工程移交评估报告；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13.2.2.2 发包人收到工程移交验收报告 15 天内组织工程移交验收。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13.2.2.3 工程移交验收标准：工程移交验收标准为国家工程建设强制性标准、现行施工验收规范及相关标准、经审查通过的设计文件以及有关的法律、法规、规章和规范性文件规定。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13.2.2.4 工程移交验收程序及内容：</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（1）由发包人派驻的现场负责人主持移交验收；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（2）检测、施工、监理等单位分别书面汇报工程项目在缺陷责任期内的建设质量状况、工程养护、维修情况；</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（3）验收组分为三部分分别进行检查验收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①检查工程实体及外观质量；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②对工程的使用功能进行抽查、试验；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③对工程移交验收情况进行汇总讨论，形成工程移交综合验收结论，填写《工程移交验收证书》，验收组人员分别签字、单位盖章；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④当在验收过程中发现严重问题，达不到竣工验收标准时，验收组将责成责任单位立即整改，并宣布本次验收无效，重新确定时间组织工程移交验收；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⑤当在工程移交验收过程中发现一般需整改的质量问题，验收组可形成初步验收意见，填写《工程移交验收证书》，验收组人员分别签字，但各单位不加盖公章。验收组责成有关责任单位整改，并由发包人和 监理单位项目负责人组织复查，整改完毕符合要求后，加盖各单位公章；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⑥当工程移交验收组各方不能形成一致验收意见，重新确定时间组织工程移交验收。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⑦最终验收结果需经发包人书面确认，发包人对验收结果拥有最终决定权。</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1、本工程施工过程中遇到的一切地方矛盾及由此发生的费用均由承包人自行负责，与发包人无涉。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2、本工程价款一律通过银行非现金结算，工程款汇入企业基本帐户，实行专款专用。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3、承包人自行承担工程施工过程中的质量、安全责任。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在本合同履行过程中，如承包人发生如下情形之一，发包人将视承包人严重违约，立即解除合同，冻结专户资金，承包人承担合同协议书约定的合同总价20%的违约金并承担由此造成的一切损失，承包人在现场的人员无条件退场，承包人在现场的设备和材料无条件供发包人使用，其设备租金和材料价值待诉讼裁决后，如有剩余，在裁决后7天内支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 不同意本工程合同条件；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自认合同价款比例和时间；</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停工累计达2天或故意拖延施工进度或影响施工质量；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要挟发包人提高合同价款；</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要挟发包人给予某种补偿者。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13.2.2.5、关于农民工工资支付等的约定：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1）工程竣工验收后且在合同约定付款时，承包人应当优先全额结清包括但不限于农民工在内的工人工资。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程竣工验收后且在合同约定付款时，承包人未按上条约定履行的，或在工程施工过程中、竣工后发生一起包括但不限于农民工在内的工人上访讨薪事件的均视为承包人违约，若由发包人垫付，承包人除需返还发包人垫付的金额外，承包人还需承担垫付的金额5倍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3）承包人须对施工现场所有从业人员，建立电脑用工台账，实行日常考勤管理。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4）承包人必须在第一时间内主动向发包人、监理单位，提供与劳务公司签订的用工合同，或提供班组人员与施工单位签订的用工合同。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5）由监理单位全程实施检查、监督和管理承包人的农民工工资支付发放工作及信息反馈工作。发现存在拖欠农民工工资现象的，及时向发包人反映。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6）在履行合同过程中，承包人应遵守国家或地方的法律、法规、规章、条例、规范性文件或任何对工程有管辖的部门的规章，并按要求支付有关费用。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8）承包人必须遵守“ 关于转发省清欠办《关于印发〈江苏省建设领域农民工工资保证</w:t>
      </w:r>
      <w:r>
        <w:rPr>
          <w:rFonts w:hint="eastAsia" w:ascii="宋体" w:hAnsi="宋体" w:eastAsia="宋体" w:cs="宋体"/>
          <w:szCs w:val="21"/>
          <w:highlight w:val="none"/>
          <w:u w:val="single"/>
        </w:rPr>
        <w:t xml:space="preserve">金实施办法〉的通知》的通知 ”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并要求承包人按约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农民工工资管理办法详见《农民工工资条例》》盐建建筑〔 2016〕35 号《关于进一 步做好建筑施工拖欠农民工工资治理工作的通知》。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13.2.2.6、施工过程中的排污、环保、市容、城建城管、消防、治安、人口管理等办理相关手续以及对临近居民、行人的影响等，由承包人负责协调处理，并承担相关的费用。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13.2.5 移交、接收全部与部分工程</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承包人向发包人移交工程的期限： 按通用条款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发包人未按本合同约定接收全部或部分工程的，违约金的计算方法为：无。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承包人未按时移交工程的，违约金的计算方法为：按每拖延一天向发包人支付人民币 5000 元的违约金。拖延超过三天，发包人有权单方解除合同，扣除履约保证金，承包人应承担总合同价款20%违约金，以及赔偿由此给发包人造成的一切损失。</w:t>
      </w:r>
      <w:bookmarkEnd w:id="459"/>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98" w:name="_Toc280868708"/>
      <w:r/>
      <w:bookmarkStart w:id="599" w:name="_Toc267251474"/>
      <w:r/>
      <w:bookmarkStart w:id="600" w:name="_Toc280868709"/>
      <w:r/>
      <w:bookmarkStart w:id="601" w:name="_Toc267251476"/>
      <w:r/>
      <w:bookmarkStart w:id="602" w:name="_Toc267251472"/>
      <w:r/>
      <w:bookmarkStart w:id="603" w:name="_Toc267251470"/>
      <w:r/>
      <w:bookmarkStart w:id="604" w:name="_Toc267251471"/>
      <w:r/>
      <w:bookmarkStart w:id="605" w:name="_Toc267251473"/>
      <w:r/>
      <w:bookmarkStart w:id="606" w:name="_Toc267251475"/>
      <w:r>
        <w:rPr>
          <w:rFonts w:hint="eastAsia" w:ascii="宋体" w:hAnsi="宋体" w:eastAsia="宋体" w:cs="宋体"/>
          <w:szCs w:val="21"/>
          <w:highlight w:val="none"/>
        </w:rPr>
        <w:t xml:space="preserve">13.3 工程试车</w:t>
      </w:r>
      <w:bookmarkEnd w:id="598"/>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13.3.1 试车程序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pacing w:val="-2"/>
          <w:szCs w:val="21"/>
          <w:highlight w:val="none"/>
          <w:u w:val="singl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13.3.3 投料试车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pacing w:val="-1"/>
          <w:szCs w:val="21"/>
          <w:highlight w:val="none"/>
          <w:u w:val="single"/>
        </w:rPr>
        <w:t xml:space="preserve">/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13.6 竣工退场</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13.6.1 竣工退场</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1）工程竣工验收前，承包人应完成场地清理（包括建筑物周围的堆积物及红线内的淤泥清运，临时生产和生活设施的拆除），并将现场清扫干净。</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程竣工验收通过后7天内承包人将竣工工程交付发包人，撤离除收尾工程所需的施工、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专用条款 7.5.2 条向发包人支付违约金，并承担由此造成发包人的一切损失。工程竣工验收按备案规定执行。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3）工程移交发包人之前，承包人负责维护。如发包人提前使用，由此造成的损坏所需的维修费用由发包人承担。</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07" w:name="_Toc351203646"/>
      <w:r>
        <w:rPr>
          <w:rFonts w:hint="eastAsia" w:ascii="宋体" w:hAnsi="宋体" w:eastAsia="宋体" w:cs="宋体"/>
          <w:b/>
          <w:szCs w:val="21"/>
          <w:highlight w:val="none"/>
        </w:rPr>
        <w:t xml:space="preserve">14. 竣工结算</w:t>
      </w:r>
      <w:bookmarkEnd w:id="607"/>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14.1 竣工结算申请</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承包人提交竣工结算申请单的期限：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竣工结算申请单应包括的内容：</w:t>
      </w:r>
      <w:r>
        <w:rPr>
          <w:rFonts w:hint="eastAsia" w:ascii="宋体" w:hAnsi="宋体" w:eastAsia="宋体" w:cs="宋体"/>
          <w:szCs w:val="21"/>
          <w:highlight w:val="none"/>
          <w:u w:val="single"/>
        </w:rPr>
        <w:t xml:space="preserve">除通用条款约定外，还包括施工图、竣工资料等原件，要求随竣工结算申请单一同提交发包人 ，同时须确保提交的所有竣工资料一次性通过档案馆归档验收。申报结算资料时必须提供每道工序的影像，图片等资料，否则不予结算。</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14.2 竣工结算审核</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发包人审批竣工付款申请单的期限：</w:t>
      </w:r>
      <w:r>
        <w:rPr>
          <w:rFonts w:hint="eastAsia" w:ascii="宋体" w:hAnsi="宋体" w:eastAsia="宋体" w:cs="宋体"/>
          <w:szCs w:val="21"/>
          <w:highlight w:val="none"/>
          <w:u w:val="single"/>
        </w:rPr>
        <w:t xml:space="preserve">按付款约定</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按招标文件约定的工程款支付条款约定付款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14.4 最终结清</w:t>
      </w:r>
      <w:r/>
    </w:p>
    <w:p>
      <w:pPr>
        <w:ind w:left="0" w:firstLine="420"/>
        <w:keepLines/>
        <w:keepNext/>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14.4.1 最终结清申请单</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 </w:t>
      </w:r>
      <w:r/>
    </w:p>
    <w:p>
      <w:pPr>
        <w:ind w:left="0" w:firstLine="420"/>
        <w:keepLines/>
        <w:keepNext/>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14.4.2 最终结清证书和支付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bookmarkEnd w:id="599"/>
      <w:r/>
      <w:bookmarkEnd w:id="600"/>
      <w:r/>
      <w:bookmarkEnd w:id="601"/>
      <w:r/>
      <w:bookmarkEnd w:id="602"/>
      <w:r/>
      <w:bookmarkEnd w:id="603"/>
      <w:r/>
      <w:bookmarkEnd w:id="604"/>
      <w:r/>
      <w:bookmarkEnd w:id="605"/>
      <w:r/>
      <w:bookmarkEnd w:id="606"/>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08" w:name="_Toc351203647"/>
      <w:r/>
      <w:bookmarkStart w:id="609" w:name="_Toc267251483"/>
      <w:r/>
      <w:bookmarkStart w:id="610" w:name="_Toc267251484"/>
      <w:r/>
      <w:bookmarkStart w:id="611" w:name="_Toc267251482"/>
      <w:r/>
      <w:bookmarkStart w:id="612" w:name="_Toc267251485"/>
      <w:r/>
      <w:bookmarkStart w:id="613" w:name="_Toc267251489"/>
      <w:r/>
      <w:bookmarkStart w:id="614" w:name="_Toc267251486"/>
      <w:r/>
      <w:bookmarkStart w:id="615" w:name="_Toc267251490"/>
      <w:r/>
      <w:bookmarkStart w:id="616" w:name="_Toc267251488"/>
      <w:r/>
      <w:bookmarkStart w:id="617" w:name="_Toc267251495"/>
      <w:r/>
      <w:bookmarkStart w:id="618" w:name="_Toc267251496"/>
      <w:r/>
      <w:bookmarkStart w:id="619" w:name="_Toc267251502"/>
      <w:r/>
      <w:bookmarkStart w:id="620" w:name="_Toc267251498"/>
      <w:r/>
      <w:bookmarkStart w:id="621" w:name="_Toc267251494"/>
      <w:r/>
      <w:bookmarkStart w:id="622" w:name="_Toc267251493"/>
      <w:r/>
      <w:bookmarkStart w:id="623" w:name="_Toc267251501"/>
      <w:r/>
      <w:bookmarkStart w:id="624" w:name="_Toc267251491"/>
      <w:r/>
      <w:bookmarkStart w:id="625" w:name="_Toc267251503"/>
      <w:r/>
      <w:bookmarkStart w:id="626" w:name="_Toc267251497"/>
      <w:r/>
      <w:bookmarkStart w:id="627" w:name="_Toc267251499"/>
      <w:r/>
      <w:bookmarkStart w:id="628" w:name="_Toc267251492"/>
      <w:r/>
      <w:bookmarkStart w:id="629" w:name="_Toc267251506"/>
      <w:r/>
      <w:bookmarkStart w:id="630" w:name="_Toc267251504"/>
      <w:r/>
      <w:bookmarkStart w:id="631" w:name="_Toc267251507"/>
      <w:r/>
      <w:bookmarkStart w:id="632" w:name="_Toc267251508"/>
      <w:r/>
      <w:bookmarkStart w:id="633" w:name="_Toc267251511"/>
      <w:r/>
      <w:bookmarkStart w:id="634" w:name="_Toc267251513"/>
      <w:r/>
      <w:bookmarkStart w:id="635" w:name="_Toc267251514"/>
      <w:r/>
      <w:bookmarkStart w:id="636" w:name="_Toc267251510"/>
      <w:r/>
      <w:bookmarkStart w:id="637" w:name="_Toc267251509"/>
      <w:r/>
      <w:bookmarkStart w:id="638" w:name="_Toc267251515"/>
      <w:r>
        <w:rPr>
          <w:rFonts w:hint="eastAsia" w:ascii="宋体" w:hAnsi="宋体" w:eastAsia="宋体" w:cs="宋体"/>
          <w:b/>
          <w:szCs w:val="21"/>
          <w:highlight w:val="none"/>
        </w:rPr>
        <w:t xml:space="preserve">15. 缺陷责任期与保修</w:t>
      </w:r>
      <w:bookmarkEnd w:id="608"/>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15.2缺陷责任期</w:t>
      </w:r>
      <w:bookmarkEnd w:id="609"/>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按国家规定执行。</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15.3 质量保证金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关于是否扣留质量保证金的约定：</w:t>
      </w:r>
      <w:r>
        <w:rPr>
          <w:rFonts w:hint="eastAsia" w:ascii="宋体" w:hAnsi="宋体" w:eastAsia="宋体" w:cs="宋体"/>
          <w:szCs w:val="21"/>
          <w:highlight w:val="none"/>
          <w:u w:val="single"/>
        </w:rPr>
        <w:t xml:space="preserve">是。工程缺陷责任期根据《建设工程质量保证金管理暂行办法》规定。在缺陷责任期内，承包人应定时、不定时地对工程进行巡查，及时更换、维修破损的设施，在缺陷责任期内因承包人未能及时更换、维修破损的设施而发生的因缺陷所造成的质量、安全等一切责任均由承包人承担。发包人通知承包人对缺陷问题限期修复，如承包人不能及时修复，发包人可以指定单位修复，直接在质量保证金中扣除相关费用，承包人承担修复费2倍的违约金，从质保金中扣除。承包人未接到通知，不排除其应承担的责任。缺陷责任期满但未履行工程移交手续，一切责任仍由承包人负责。</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15.3.1 承包人提供质量保证金的方式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质量保证金采用以下第</w:t>
      </w:r>
      <w:r>
        <w:rPr>
          <w:rFonts w:hint="eastAsia" w:ascii="宋体" w:hAnsi="宋体" w:eastAsia="宋体" w:cs="宋体"/>
          <w:szCs w:val="21"/>
          <w:highlight w:val="none"/>
          <w:u w:val="single"/>
        </w:rPr>
        <w:t xml:space="preserve"> （2）</w:t>
      </w:r>
      <w:r>
        <w:rPr>
          <w:rFonts w:hint="eastAsia" w:ascii="宋体" w:hAnsi="宋体" w:eastAsia="宋体" w:cs="宋体"/>
          <w:szCs w:val="21"/>
          <w:highlight w:val="none"/>
        </w:rPr>
        <w:t xml:space="preserve">种方式：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b/>
          <w:bCs/>
          <w:szCs w:val="21"/>
          <w:highlight w:val="none"/>
          <w:u w:val="single"/>
        </w:rPr>
        <w:t xml:space="preserve"> 3 </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的工程款；</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15.3.2 质量保证金的扣留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（3）其他扣留方式 :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关于质量保证金的补充约定：</w:t>
      </w:r>
      <w:r>
        <w:rPr>
          <w:rFonts w:hint="eastAsia" w:ascii="宋体" w:hAnsi="宋体" w:eastAsia="宋体" w:cs="宋体"/>
          <w:szCs w:val="21"/>
          <w:highlight w:val="none"/>
          <w:u w:val="single"/>
        </w:rPr>
        <w:t xml:space="preserve">在缺陷责任期内，因承包人原因造成工程缺陷、损坏的，承包人未能及时修复的，发包人可以直接委托第三方修复，所需费用由承包人承担，缺陷责任期满将扣除修复费用、违约金（如有）部分无息退还承包人。</w:t>
      </w:r>
      <w:bookmarkEnd w:id="610"/>
      <w:r/>
      <w:bookmarkEnd w:id="611"/>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15.4保修</w:t>
      </w:r>
      <w:bookmarkEnd w:id="612"/>
      <w:r/>
      <w:r/>
    </w:p>
    <w:p>
      <w:pPr>
        <w:ind w:left="0" w:firstLine="409"/>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15.4.1 保修责任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按国家相关规定。</w:t>
      </w:r>
      <w:r/>
    </w:p>
    <w:p>
      <w:pPr>
        <w:ind w:left="0" w:firstLine="409"/>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15.4.3 修复通知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1、属于保修范围、内容的项目，承包人应当在接到保修通知之日起2天内派人保修。承包人不在约定期限内派人保修的，发包人可以委 托他人修理。2、发生紧急抢修事故的，承包人在接到事故通知后，应当立即到达事故现场抢修；承包人不按时派人保修的，发包人可以委托他人修理，所发生的费用由承包人承担。</w:t>
      </w:r>
      <w:bookmarkEnd w:id="613"/>
      <w:r/>
      <w:bookmarkEnd w:id="614"/>
      <w:r/>
      <w:bookmarkEnd w:id="615"/>
      <w:r/>
      <w:bookmarkEnd w:id="616"/>
      <w:r/>
      <w:bookmarkStart w:id="639" w:name="_Toc351203648"/>
      <w:r/>
      <w:bookmarkStart w:id="640" w:name="_Toc280868717"/>
      <w:r/>
      <w:bookmarkStart w:id="641" w:name="_Toc280868718"/>
      <w:r/>
      <w:r/>
    </w:p>
    <w:p>
      <w:pPr>
        <w:numPr>
          <w:ilvl w:val="0"/>
          <w:numId w:val="2"/>
        </w:num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违约</w:t>
      </w:r>
      <w:bookmarkEnd w:id="639"/>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16.1 发包人违约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16.1.1 发包人违约的情形</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16.1.2 发包人违约的责任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（1）因发包人原因未能在计划开工日期前 7 天内下达开工通知的违约责任：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 10.1 款〔变更的范围〕第（2）项约定，自行实施被取消的工作或转由他人实施的违约责任：</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 或因发包人原因导致交货日期延误或交货地点变更等情况的违约责任：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（6）发包人无正当理由没有在约定期限内发出复工指示，导致承包人无法复工的违约责任： </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（7）其他：发包人发出书面开工通知前，承包人不得提前备工备料，承包人擅自投入造成损失的，发包人不作任何形式的补偿或赔偿。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项目因故未能实施，中标后至可以将项目负责人解锁期间的企业管理费中的人员费用，发包人不做任何形式的补偿或赔偿。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16.1.3 因发包人违约解除合同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w:t>
      </w:r>
      <w:r>
        <w:rPr>
          <w:rFonts w:hint="eastAsia" w:ascii="宋体" w:hAnsi="宋体" w:eastAsia="宋体" w:cs="宋体"/>
          <w:szCs w:val="21"/>
          <w:highlight w:val="none"/>
          <w:u w:val="single"/>
        </w:rPr>
        <w:t xml:space="preserve">/天</w:t>
      </w:r>
      <w:r>
        <w:rPr>
          <w:rFonts w:hint="eastAsia" w:ascii="宋体" w:hAnsi="宋体" w:eastAsia="宋体" w:cs="宋体"/>
          <w:szCs w:val="21"/>
          <w:highlight w:val="none"/>
        </w:rPr>
        <w:t xml:space="preserve">后发包人仍不纠正其违约行为并致使合同目的不能实现的，承包人有权解除合同。</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16.2 承包人违约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16.2.1 承包人违约的情形:</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违约的其他情形：违反合同约定进行转包或违法分包，违反合同约定采购不合格的材料和工程设备，在缺陷责任期及保修期内未能在合理期限内对工程缺陷进行修复或拒绝修复，未能按合同约定工期按期交付工程，工程质量不能达到合同约定质量，不服从发包人安排，接到发包人通知不按时进场，接到发包人通知不按时进场未能按投标文件承诺工期按期交付工程，工程质量不能达到投标文件承诺质量，不服从发包人安排，接到发包人通知不按时进场以及因工程施工中，安全、质量、文明施工、环境保护等各方面被媒体曝光，对发包人造成不良影响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承包人须保证农民工工资及时发放到位，不得截留和拖欠。若发包人发现一次承包人因农民工工资未及时发放而造成矛盾，发包人有权扣除承包人应得工程款而直接用于发放，承包人需向发包人支付垫付的金额 5 倍的违约金并赔偿发包人的损失。情节严重的，发包人有权单方解除合同，冻结专户资金。承包人除承担违约责任并承担由此造成的一切损失，承包人在现场的人员无条件退场，承包人在现场的设备和材料在限期内不搬离的，视为放弃所有权，发包人有权自行处置，由此产生的损失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承包人不得转包、不得以任何形式进行挂靠施工及违法分包。如承包人以挂靠、转包或变相挂靠转包的，发包人有权</w:t>
      </w:r>
      <w:r>
        <w:rPr>
          <w:rFonts w:hint="eastAsia" w:ascii="宋体" w:hAnsi="宋体" w:eastAsia="宋体" w:cs="宋体"/>
          <w:szCs w:val="21"/>
          <w:highlight w:val="none"/>
          <w:u w:val="single"/>
        </w:rPr>
        <w:t xml:space="preserve">解除合同，已完工的工程量无偿归发包人所有。发包人有权没收承包人履约保证金，清退其出场；对发包人的损失，由承包人加倍赔偿。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要求其承担违约金，情节严重，发包人可单方终止合同，并没收其履约保证金，承包人应承担合同总金额 30%的违约金并赔偿因此造成发包人的一切损失。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16.2.2 承包人违约的责任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承包人违约责任的承担方式和计算方法：</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本工程开工时间以发包人和监理工程师批准的开工报告日期为准。如遇特殊情况推迟开工，经发包人确认，合同工期相应顺延。承包人应按照投标文件承诺的工期确保工程验收，不得以任何借口停工怠工。如因承包人原因延误工期的，承包人应承担违约责任，按每拖延一天向发包人支付合同约定的违约金，此违约金发包人有权在履约保证金或工程款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因承包人的原因导致实际进度与进度计划不符，承包人无权就改进措施提出追加合同价款，并按合同约定承担违约责任；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（3）承包人在中标后须派专人配合发包人办理相关手续，该人员办理手续期间，服从发包人工作安排，相关费用已在签约合同价中考虑。承包人未按照发包人要求办理的，发包人有权要求承包人承担 5000 元的违约金。须根据工程建设进度需要派专人负责工程所有相关资料的填写、审签、完善工作，服从发包人检查的需要，相关费用已在签约合同价中考虑。承包人未按照发包人要求及时完成的，每发生一次承包人须向发包人承担 2000 元的违约金；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（4）承包人需服从发包人对施工现场的统筹管理，合理组织，推进工程建设，参加发包人定期开展的工作例会，并按照要求定期向承包人及现场监理上报进度计划，承包人应对照进度计划定 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要求承包人承担 5000 元/次的违约金并按照合同专用条款 7.5.2 条处理；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（5）发包人根据现场进展情况有权要求承包人增加机械、人员，所发生的费用由承包人自行承担，不服从管理的，发包人有权要求承包人承担 5000 元每次的违约金；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承包人自行勘查现场，考虑地块位置的局限性及施工场地较小因素，并充分考虑工期及质量影响，项目现场矛盾由承包人自行协调解决，费用由承包人自行考虑在签约合同价中，发包人不另行签证，工期不顺延，确保质量符合要求；</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（8）无论是货物、材料还是施工如有质量问题，承包人必须按发包人或监理提出整改意见整改到位后，提请验收；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（9）工程质保期按现行相关规定执行，并从工程竣工验收合格之日起计算。在质保期内如出现产品质量问题或安装施工质量问题，责任由承包人负责；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（10）承包人须考虑保护地下设施, 费用由承包人承担；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（11）对于招标文件、清单或图纸中的表述不清、有矛盾的地方，承包人在规定的时间内提出答疑，未提出答疑，施工进场时，按照发包人的解释执行；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（12）承包人报送的结算资料是复印件的，报审时携带原件核对。审核过程中，承包人保证密切配合，以确保及时、准确地完成工程结算审核工作；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本合同中所有涉及应当由承包人承担的违约金，在结算价中直接扣除。其他：以上关于合同定价与结算方式主要条款中未尽事宜由双方依据《建设工程工程量清单计价规范》（GB50500-2013）以及相关配套文件中关于工程价款调整结算的内容进行协商,并在合同中具体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（14）承包人应当按照开工令的开工日期开工。承包人不能按时开工，应当不迟于合同约定的开工日期前 7 天，以书面形式向发包人提出延期开工的理由和要求。发包人应当在接到延期开工申请后的 48 小时内以书面形式答复承包人，发包人在接到延期开工申请后的 48 小时内不答复，视为不同意承包人的要求。发包人不同意延期要求或承包人未在规定时间内提出延期开工要求，工期不予顺延；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（15）承包人施工时必须服从发包人和监理工程师对施工场地和施工时间的统一管理。与相关施工单位密切配合绝不扯皮，如有问题以发包人意见为准，如不服从根据实际情况每次支付违约金 10000 元，如造成工期延误的，视为承包人违约，并按照合同约定承担逾期违约责任。承包人应充分考虑施工环境、施工部位和施工季节的特殊性，在遵守地方政府规定的前提下确保工期和质量，自行处理各方关系，费用自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（16）因承包人原因，工程在中间交验过程中，不能达到招标和合同要求（工期、质量），累计拖延工期达 2 天以上，且承包人拿不出让发包人满意的追赶工期计划，承包人除承担违约责任外，发包人有权拒付（缓付）工程款，并酌情调整施工队伍直至清除出场，发包人也有权单方解除合同， 扣除履约保证金，承包人需承担合同协议书约定的总价 20%的违约金，承包人承诺无条件服从并承担由此发生的一切费用和损失；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17）本合同涉及的承包人需承担的违约金、赔偿金等费用，发包人也有权直接在应付工程款或履约保证金等待付款项中直接扣除。如仍不能弥补发包人损失的，发包人有权暂停支付承包人在发包人处其它工程的应付款项。</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16.2.3 因承包人违约解除合同</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zCs w:val="21"/>
          <w:highlight w:val="none"/>
          <w:u w:val="single"/>
        </w:rPr>
        <w:t xml:space="preserve">在本合同履行过程中，如承包人发生如下情形之一，发包人将视承包人严重违约，立即解除合同，没收全部履约保证金，承包人承担合同协议书约定的合同总价20%的违约金并承担由此造成的一切损失，承包人在现场的人员无条件退场，承包人在现场的设备和材料无条件供发包人使用，其设备租金和材料价值待法院裁定后，如有剩余，在裁判生效后7天内支付</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①不同意本工程合同条件；</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②停工累计达 2 天或拖延施工进度或影响施工质量；</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③无正当理由，单方面要挟发包人提高合同价款；</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④无正当理由，单方面要挟发包人给予某种补偿；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⑤承包人未在合同签订后 15 日内完成施工许可证办理的。</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⑥承包人未在合同签订后 10 日内向发包人、监理单位，提供与劳务公司（水电安装、消防、装修、室外附属工程）签订的用工合同，或提供班组人员与施工单位签订的用工合同的。</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⑦因主要材料不到场而解除合同，承包人无条件退场（包括已进场的材料等一切投入），发包人不承担任何责任。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2" w:name="_Toc351203649"/>
      <w:r>
        <w:rPr>
          <w:rFonts w:hint="eastAsia" w:ascii="宋体" w:hAnsi="宋体" w:eastAsia="宋体" w:cs="宋体"/>
          <w:b/>
          <w:szCs w:val="21"/>
          <w:highlight w:val="none"/>
        </w:rPr>
        <w:t xml:space="preserve">17. 不可抗力</w:t>
      </w:r>
      <w:bookmarkEnd w:id="642"/>
      <w:r>
        <w:rPr>
          <w:rFonts w:hint="eastAsia" w:ascii="宋体" w:hAnsi="宋体" w:eastAsia="宋体" w:cs="宋体"/>
          <w:b/>
          <w:szCs w:val="21"/>
          <w:highlight w:val="none"/>
        </w:rPr>
        <w:t xml:space="preserve"> </w:t>
      </w:r>
      <w:bookmarkEnd w:id="640"/>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17.1 不可抗力的确认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zCs w:val="21"/>
          <w:highlight w:val="none"/>
          <w:u w:val="single"/>
        </w:rPr>
        <w:t xml:space="preserve">政府行为、流行病、罢工等社会异常事件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17.4 因不可抗力解除合同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30 </w:t>
      </w:r>
      <w:r>
        <w:rPr>
          <w:rFonts w:hint="eastAsia" w:ascii="宋体" w:hAnsi="宋体" w:eastAsia="宋体" w:cs="宋体"/>
          <w:szCs w:val="21"/>
          <w:highlight w:val="none"/>
        </w:rPr>
        <w:t xml:space="preserve">天内完成款项的支付。</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3" w:name="_Toc351203650"/>
      <w:r>
        <w:rPr>
          <w:rFonts w:hint="eastAsia" w:ascii="宋体" w:hAnsi="宋体" w:eastAsia="宋体" w:cs="宋体"/>
          <w:b/>
          <w:szCs w:val="21"/>
          <w:highlight w:val="none"/>
        </w:rPr>
        <w:t xml:space="preserve">18. 保险</w:t>
      </w:r>
      <w:bookmarkEnd w:id="643"/>
      <w:r/>
      <w:bookmarkEnd w:id="641"/>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18.1 工程保险</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zCs w:val="21"/>
          <w:highlight w:val="none"/>
          <w:u w:val="single"/>
        </w:rPr>
        <w:t xml:space="preserve">承包人投保安装工程一切险并承担保险费用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18.3 其他保险</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由承包人按相应规定办理，相关费用由承包人承担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18.7 通知义务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4" w:name="_Toc351203651"/>
      <w:r>
        <w:rPr>
          <w:rFonts w:hint="eastAsia" w:ascii="宋体" w:hAnsi="宋体" w:eastAsia="宋体" w:cs="宋体"/>
          <w:b/>
          <w:szCs w:val="21"/>
          <w:highlight w:val="none"/>
        </w:rPr>
        <w:t xml:space="preserve">20. 争议解决</w:t>
      </w:r>
      <w:bookmarkEnd w:id="644"/>
      <w:r/>
      <w:bookmarkEnd w:id="629"/>
      <w:r/>
      <w:bookmarkEnd w:id="630"/>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20.3 争</w:t>
      </w:r>
      <w:bookmarkEnd w:id="631"/>
      <w:r>
        <w:rPr>
          <w:rFonts w:hint="eastAsia" w:ascii="宋体" w:hAnsi="宋体" w:eastAsia="宋体" w:cs="宋体"/>
          <w:b/>
          <w:szCs w:val="21"/>
          <w:highlight w:val="none"/>
        </w:rPr>
        <w:t xml:space="preserve">议评审</w:t>
      </w:r>
      <w:r/>
    </w:p>
    <w:p>
      <w:pPr>
        <w:ind w:left="0" w:firstLine="315"/>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20.3.1 争议评审小组的确定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20.3.2 争议评审小组的决定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20.4仲裁或诉讼</w:t>
      </w:r>
      <w:bookmarkEnd w:id="632"/>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（1）向</w:t>
      </w:r>
      <w:r>
        <w:rPr>
          <w:rFonts w:hint="eastAsia" w:ascii="宋体" w:hAnsi="宋体" w:eastAsia="宋体" w:cs="宋体"/>
          <w:szCs w:val="21"/>
          <w:highlight w:val="none"/>
          <w:u w:val="single"/>
        </w:rPr>
        <w:t xml:space="preserve">盐城 </w:t>
      </w:r>
      <w:r>
        <w:rPr>
          <w:rFonts w:hint="eastAsia" w:ascii="宋体" w:hAnsi="宋体" w:eastAsia="宋体" w:cs="宋体"/>
          <w:szCs w:val="21"/>
          <w:highlight w:val="none"/>
        </w:rPr>
        <w:t xml:space="preserve">仲裁委员会申请仲裁；</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工程所在地</w:t>
      </w:r>
      <w:r>
        <w:rPr>
          <w:rFonts w:hint="eastAsia" w:ascii="宋体" w:hAnsi="宋体" w:eastAsia="宋体" w:cs="宋体"/>
          <w:szCs w:val="21"/>
          <w:highlight w:val="none"/>
        </w:rPr>
        <w:t xml:space="preserve">人民法院起诉。</w:t>
      </w:r>
      <w:bookmarkEnd w:id="633"/>
      <w:r/>
      <w:bookmarkEnd w:id="634"/>
      <w:r/>
      <w:bookmarkEnd w:id="635"/>
      <w:r/>
      <w:bookmarkEnd w:id="636"/>
      <w:r/>
      <w:bookmarkEnd w:id="637"/>
      <w:r/>
      <w:bookmarkEnd w:id="638"/>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21.通知</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发包人向承包人发送的通知，以邮寄方式发出的，自邮寄之日起第3日视为送达，以电子邮件或传真发出的，自发出之时即视为送达。</w:t>
      </w:r>
      <w:r/>
    </w:p>
    <w:p>
      <w:pPr>
        <w:ind w:left="0" w:firstLine="42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ind w:left="0"/>
        <w:pageBreakBefore w:val="0"/>
        <w:spacing w:line="219" w:lineRule="auto"/>
        <w:widowControl w:val="off"/>
        <w:rPr>
          <w:rFonts w:hint="eastAsia" w:ascii="宋体" w:hAnsi="宋体" w:eastAsia="宋体" w:cs="宋体"/>
          <w:szCs w:val="21"/>
          <w:highlight w:val="none"/>
        </w:rPr>
      </w:pPr>
      <w:r>
        <w:rPr>
          <w:rFonts w:hint="eastAsia" w:ascii="宋体" w:hAnsi="宋体" w:eastAsia="宋体" w:cs="宋体"/>
          <w:spacing w:val="-5"/>
          <w:szCs w:val="21"/>
          <w:highlight w:val="none"/>
        </w:rPr>
        <w:t xml:space="preserve">发包人（盖章</w:t>
      </w:r>
      <w:r>
        <w:rPr>
          <w:rFonts w:hint="eastAsia" w:ascii="宋体" w:hAnsi="宋体" w:eastAsia="宋体" w:cs="宋体"/>
          <w:spacing w:val="-1"/>
          <w:szCs w:val="21"/>
          <w:highlight w:val="none"/>
        </w:rPr>
        <w:t xml:space="preserve">）：</w:t>
      </w:r>
      <w:r>
        <w:rPr>
          <w:rFonts w:hint="eastAsia" w:ascii="宋体" w:hAnsi="宋体" w:eastAsia="宋体" w:cs="宋体"/>
          <w:szCs w:val="21"/>
          <w:highlight w:val="none"/>
        </w:rPr>
        <w:t xml:space="preserve">                         </w:t>
      </w:r>
      <w:r>
        <w:rPr>
          <w:rFonts w:hint="eastAsia" w:ascii="宋体" w:hAnsi="宋体" w:eastAsia="宋体" w:cs="宋体"/>
          <w:spacing w:val="-5"/>
          <w:szCs w:val="21"/>
          <w:highlight w:val="none"/>
        </w:rPr>
        <w:t xml:space="preserve">承包人（盖章</w:t>
      </w:r>
      <w:r>
        <w:rPr>
          <w:rFonts w:hint="eastAsia" w:ascii="宋体" w:hAnsi="宋体" w:eastAsia="宋体" w:cs="宋体"/>
          <w:spacing w:val="-1"/>
          <w:szCs w:val="21"/>
          <w:highlight w:val="none"/>
        </w:rPr>
        <w:t xml:space="preserve">）：</w:t>
      </w:r>
      <w:r/>
    </w:p>
    <w:p>
      <w:pPr>
        <w:pStyle w:val="856"/>
        <w:ind w:left="0"/>
        <w:pageBreakBefore w:val="0"/>
        <w:spacing w:line="321" w:lineRule="auto"/>
        <w:widowControl w:val="off"/>
        <w:rPr>
          <w:rFonts w:hint="eastAsia" w:ascii="宋体" w:eastAsia="宋体" w:cs="宋体"/>
          <w:highlight w:val="none"/>
        </w:rPr>
      </w:pPr>
      <w:r>
        <w:rPr>
          <w:rFonts w:hint="eastAsia" w:ascii="宋体" w:eastAsia="宋体" w:cs="宋体"/>
          <w:highlight w:val="none"/>
        </w:rPr>
      </w:r>
      <w:r/>
    </w:p>
    <w:p>
      <w:pPr>
        <w:pStyle w:val="856"/>
        <w:ind w:left="0"/>
        <w:pageBreakBefore w:val="0"/>
        <w:spacing w:line="321" w:lineRule="auto"/>
        <w:widowControl w:val="off"/>
        <w:rPr>
          <w:rFonts w:hint="eastAsia" w:ascii="宋体" w:eastAsia="宋体" w:cs="宋体"/>
          <w:highlight w:val="none"/>
        </w:rPr>
      </w:pPr>
      <w:r>
        <w:rPr>
          <w:rFonts w:hint="eastAsia" w:ascii="宋体" w:eastAsia="宋体" w:cs="宋体"/>
          <w:highlight w:val="none"/>
        </w:rPr>
      </w:r>
      <w:r/>
    </w:p>
    <w:p>
      <w:pPr>
        <w:ind w:left="0"/>
        <w:pageBreakBefore w:val="0"/>
        <w:spacing w:line="220" w:lineRule="auto"/>
        <w:widowControl w:val="off"/>
        <w:rPr>
          <w:rFonts w:hint="eastAsia" w:ascii="宋体" w:hAnsi="宋体" w:eastAsia="宋体" w:cs="宋体"/>
          <w:szCs w:val="21"/>
          <w:highlight w:val="none"/>
        </w:rPr>
      </w:pPr>
      <w:r>
        <w:rPr>
          <w:rFonts w:hint="eastAsia" w:ascii="宋体" w:hAnsi="宋体" w:eastAsia="宋体" w:cs="宋体"/>
          <w:spacing w:val="-10"/>
          <w:szCs w:val="21"/>
          <w:highlight w:val="none"/>
        </w:rPr>
        <w:t xml:space="preserve">日期：</w:t>
      </w:r>
      <w:r>
        <w:rPr>
          <w:rFonts w:hint="eastAsia" w:ascii="宋体" w:hAnsi="宋体" w:eastAsia="宋体" w:cs="宋体"/>
          <w:spacing w:val="9"/>
          <w:szCs w:val="21"/>
          <w:highlight w:val="none"/>
        </w:rPr>
        <w:t xml:space="preserve">   </w:t>
      </w:r>
      <w:r>
        <w:rPr>
          <w:rFonts w:hint="eastAsia" w:ascii="宋体" w:hAnsi="宋体" w:eastAsia="宋体" w:cs="宋体"/>
          <w:spacing w:val="-10"/>
          <w:szCs w:val="21"/>
          <w:highlight w:val="none"/>
        </w:rPr>
        <w:t xml:space="preserve">年</w:t>
      </w:r>
      <w:r>
        <w:rPr>
          <w:rFonts w:hint="eastAsia" w:ascii="宋体" w:hAnsi="宋体" w:eastAsia="宋体" w:cs="宋体"/>
          <w:spacing w:val="6"/>
          <w:szCs w:val="21"/>
          <w:highlight w:val="none"/>
        </w:rPr>
        <w:t xml:space="preserve">  </w:t>
      </w:r>
      <w:r>
        <w:rPr>
          <w:rFonts w:hint="eastAsia" w:ascii="宋体" w:hAnsi="宋体" w:eastAsia="宋体" w:cs="宋体"/>
          <w:spacing w:val="-10"/>
          <w:szCs w:val="21"/>
          <w:highlight w:val="none"/>
        </w:rPr>
        <w:t xml:space="preserve">月</w:t>
      </w:r>
      <w:r>
        <w:rPr>
          <w:rFonts w:hint="eastAsia" w:ascii="宋体" w:hAnsi="宋体" w:eastAsia="宋体" w:cs="宋体"/>
          <w:spacing w:val="23"/>
          <w:szCs w:val="21"/>
          <w:highlight w:val="none"/>
        </w:rPr>
        <w:t xml:space="preserve">  </w:t>
      </w:r>
      <w:r>
        <w:rPr>
          <w:rFonts w:hint="eastAsia" w:ascii="宋体" w:hAnsi="宋体" w:eastAsia="宋体" w:cs="宋体"/>
          <w:spacing w:val="-10"/>
          <w:szCs w:val="21"/>
          <w:highlight w:val="none"/>
        </w:rPr>
        <w:t xml:space="preserve">日                        日期：</w:t>
      </w:r>
      <w:r>
        <w:rPr>
          <w:rFonts w:hint="eastAsia" w:ascii="宋体" w:hAnsi="宋体" w:eastAsia="宋体" w:cs="宋体"/>
          <w:spacing w:val="2"/>
          <w:szCs w:val="21"/>
          <w:highlight w:val="none"/>
        </w:rPr>
        <w:t xml:space="preserve">    </w:t>
      </w:r>
      <w:r>
        <w:rPr>
          <w:rFonts w:hint="eastAsia" w:ascii="宋体" w:hAnsi="宋体" w:eastAsia="宋体" w:cs="宋体"/>
          <w:spacing w:val="-10"/>
          <w:szCs w:val="21"/>
          <w:highlight w:val="none"/>
        </w:rPr>
        <w:t xml:space="preserve">年  月   日</w:t>
      </w:r>
      <w:r/>
    </w:p>
    <w:p>
      <w:pPr>
        <w:spacing w:line="360" w:lineRule="auto"/>
        <w:rPr>
          <w:rFonts w:hint="eastAsia" w:ascii="宋体" w:hAnsi="宋体" w:eastAsia="宋体" w:cs="宋体"/>
          <w:sz w:val="24"/>
          <w:highlight w:val="none"/>
        </w:rPr>
      </w:pPr>
      <w:r>
        <w:rPr>
          <w:rFonts w:hint="eastAsia" w:ascii="宋体" w:hAnsi="宋体" w:eastAsia="宋体" w:cs="宋体"/>
          <w:sz w:val="44"/>
          <w:szCs w:val="44"/>
          <w:highlight w:val="none"/>
        </w:rPr>
        <w:br w:type="page" w:clear="all"/>
      </w:r>
      <w:r>
        <w:rPr>
          <w:rFonts w:hint="eastAsia" w:ascii="宋体" w:hAnsi="宋体" w:eastAsia="宋体" w:cs="宋体"/>
          <w:sz w:val="24"/>
          <w:highlight w:val="none"/>
        </w:rPr>
        <w:t xml:space="preserve">附件</w:t>
      </w:r>
      <w:r/>
    </w:p>
    <w:p>
      <w:pPr>
        <w:pStyle w:val="873"/>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附件1：工程质量保修书</w:t>
      </w:r>
      <w:r/>
    </w:p>
    <w:p>
      <w:pPr>
        <w:rPr>
          <w:rFonts w:hint="eastAsia" w:ascii="宋体" w:hAnsi="宋体" w:eastAsia="宋体" w:cs="宋体"/>
          <w:sz w:val="24"/>
          <w:highlight w:val="none"/>
        </w:rPr>
      </w:pPr>
      <w:r>
        <w:rPr>
          <w:rFonts w:hint="eastAsia" w:ascii="宋体" w:hAnsi="宋体" w:eastAsia="宋体" w:cs="宋体"/>
          <w:sz w:val="24"/>
          <w:highlight w:val="none"/>
        </w:rPr>
        <w:t xml:space="preserve">附件2：安全生产合同</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171"/>
        <w:spacing w:before="97" w:line="222" w:lineRule="auto"/>
        <w:rPr>
          <w:rFonts w:hint="eastAsia" w:ascii="宋体" w:hAnsi="宋体" w:eastAsia="宋体" w:cs="宋体"/>
          <w:szCs w:val="21"/>
          <w:highlight w:val="none"/>
        </w:rPr>
      </w:pPr>
      <w:r>
        <w:rPr>
          <w:rFonts w:hint="eastAsia" w:ascii="宋体" w:hAnsi="宋体" w:eastAsia="宋体" w:cs="宋体"/>
          <w:spacing w:val="-12"/>
          <w:sz w:val="30"/>
          <w:szCs w:val="30"/>
          <w:highlight w:val="none"/>
        </w:rPr>
        <w:br w:type="page" w:clear="all"/>
      </w:r>
      <w:r>
        <w:rPr>
          <w:rFonts w:hint="eastAsia" w:ascii="宋体" w:hAnsi="宋体" w:eastAsia="宋体" w:cs="宋体"/>
          <w:spacing w:val="-12"/>
          <w:szCs w:val="21"/>
          <w:highlight w:val="none"/>
        </w:rPr>
        <w:t xml:space="preserve">附件</w:t>
      </w:r>
      <w:r>
        <w:rPr>
          <w:rFonts w:hint="eastAsia" w:ascii="宋体" w:hAnsi="宋体" w:eastAsia="宋体" w:cs="宋体"/>
          <w:spacing w:val="-61"/>
          <w:szCs w:val="21"/>
          <w:highlight w:val="none"/>
        </w:rPr>
        <w:t xml:space="preserve"> </w:t>
      </w:r>
      <w:r>
        <w:rPr>
          <w:rFonts w:hint="eastAsia" w:ascii="宋体" w:hAnsi="宋体" w:eastAsia="宋体" w:cs="宋体"/>
          <w:spacing w:val="-12"/>
          <w:szCs w:val="21"/>
          <w:highlight w:val="none"/>
        </w:rPr>
        <w:t xml:space="preserve">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工程质量保修书</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发包人（全称）：</w:t>
      </w:r>
      <w:r>
        <w:rPr>
          <w:rFonts w:ascii="宋体" w:hAnsi="宋体" w:eastAsia="宋体" w:cs="宋体"/>
          <w:sz w:val="22"/>
          <w:szCs w:val="22"/>
          <w:highlight w:val="none"/>
        </w:rPr>
        <w:t xml:space="preserve">盐城市盐都区龙冈镇人民政府</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承包人（全称）：</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发包人和承包人根据《中华人民共和国建筑法》和《建设工程质量管理条例》，经协商一致就签订工程质量保修书。</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一、工程质量保修范围和内容</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承包人在质量保修期内，按照有关法律规定和合同约定，承担工程质量保修责任。</w:t>
      </w:r>
      <w:r/>
    </w:p>
    <w:p>
      <w:pPr>
        <w:ind w:firstLine="420"/>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本工程保修按中华人民共和国国务院279号《建设工程质量管理条例》等法律法规规定执行。</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二、质量保修期</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根据《建设工程质量管理条例》及有关规定，工程的质量保修期如下：</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1．地基基础工程和主体结构工程为设计文件规定的工程合理使用年限；</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2．屋面防水工程、有防水要求的卫生间、房间和外墙面的防渗为</w:t>
      </w:r>
      <w:r>
        <w:rPr>
          <w:rFonts w:hint="eastAsia" w:ascii="宋体" w:hAnsi="宋体" w:eastAsia="宋体" w:cs="宋体"/>
          <w:sz w:val="22"/>
          <w:szCs w:val="22"/>
          <w:highlight w:val="none"/>
          <w:u w:val="single"/>
        </w:rPr>
        <w:t xml:space="preserve">5</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3．装修工程为</w:t>
      </w:r>
      <w:r>
        <w:rPr>
          <w:rFonts w:hint="eastAsia" w:ascii="宋体" w:hAnsi="宋体" w:eastAsia="宋体" w:cs="宋体"/>
          <w:sz w:val="22"/>
          <w:szCs w:val="22"/>
          <w:highlight w:val="none"/>
          <w:u w:val="single"/>
        </w:rPr>
        <w:t xml:space="preserve">2</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4．电气管线、给排水管道、设备安装工程为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5．供热与供冷系统为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个采暖期、供冷期；</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6．住宅小区内的给排水设施、道路等配套工程为</w:t>
      </w:r>
      <w:r>
        <w:rPr>
          <w:rFonts w:hint="eastAsia" w:ascii="宋体" w:hAnsi="宋体" w:eastAsia="宋体" w:cs="宋体"/>
          <w:sz w:val="22"/>
          <w:szCs w:val="22"/>
          <w:highlight w:val="none"/>
          <w:u w:val="single"/>
        </w:rPr>
        <w:t xml:space="preserve">  2  </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7．其他项目保修期限约定如下：</w:t>
      </w:r>
      <w:r>
        <w:rPr>
          <w:rFonts w:hint="eastAsia" w:ascii="宋体" w:hAnsi="宋体" w:eastAsia="宋体" w:cs="宋体"/>
          <w:sz w:val="22"/>
          <w:szCs w:val="22"/>
          <w:highlight w:val="none"/>
          <w:u w:val="single"/>
        </w:rPr>
        <w:t xml:space="preserve">两年</w:t>
      </w:r>
      <w:r>
        <w:rPr>
          <w:rFonts w:hint="eastAsia" w:ascii="宋体" w:hAnsi="宋体" w:eastAsia="宋体" w:cs="宋体"/>
          <w:sz w:val="22"/>
          <w:szCs w:val="22"/>
          <w:highlight w:val="none"/>
        </w:rPr>
        <w:t xml:space="preserve">。</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质量保修期自工程竣工验收合格之日起计算。</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三、缺陷责任期</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工程缺陷责任期为24个月，缺陷责任期自工程通过竣工验收之日起计算。单位工程先于全部工程进行验收，单位工程缺陷责任期自单位工程验收合格之日起算。</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缺陷责任期终止后，发包人无息退还剩余的质量保证金。</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四、质量保修责任</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1．属于保修范围、内容的项目，承包人应当在接到保修通知之日起2天内派人保修。承包人不在约定期限内派人保修的，发包人可以委托他人修理。</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2．发生紧急事故需抢修的，承包人在接到事故通知后，应当立即到达事故现场抢修。</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4．质量保修完成后，由发包人组织验收。</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五、保修费用</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保修费用由造成质量缺陷的责任方承担。</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六、双方约定的其他工程质量保修事项：</w:t>
      </w:r>
      <w:r>
        <w:rPr>
          <w:rFonts w:hint="eastAsia" w:ascii="宋体" w:hAnsi="宋体" w:eastAsia="宋体" w:cs="宋体"/>
          <w:sz w:val="22"/>
          <w:szCs w:val="22"/>
          <w:highlight w:val="non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发包人(公章)：</w:t>
      </w:r>
      <w:r>
        <w:rPr>
          <w:rFonts w:hint="eastAsia" w:ascii="宋体" w:hAnsi="宋体" w:eastAsia="宋体" w:cs="宋体"/>
          <w:sz w:val="22"/>
          <w:szCs w:val="22"/>
          <w:highlight w:val="none"/>
          <w:u w:val="single"/>
        </w:rPr>
        <w:t xml:space="preserve">              </w:t>
      </w:r>
      <w:r>
        <w:rPr>
          <w:rFonts w:hint="eastAsia" w:ascii="宋体" w:hAnsi="宋体" w:eastAsia="宋体" w:cs="宋体"/>
          <w:sz w:val="22"/>
          <w:szCs w:val="22"/>
          <w:highlight w:val="none"/>
        </w:rPr>
        <w:t xml:space="preserve">         承包人(公章)：</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  址：</w:t>
      </w:r>
      <w:r>
        <w:rPr>
          <w:rFonts w:hint="eastAsia" w:ascii="宋体" w:hAnsi="宋体" w:eastAsia="宋体" w:cs="宋体"/>
          <w:sz w:val="22"/>
          <w:szCs w:val="22"/>
          <w:highlight w:val="none"/>
          <w:u w:val="single"/>
        </w:rPr>
        <w:t xml:space="preserve">             </w:t>
      </w:r>
      <w:r>
        <w:rPr>
          <w:rFonts w:hint="eastAsia" w:ascii="宋体" w:hAnsi="宋体" w:eastAsia="宋体" w:cs="宋体"/>
          <w:sz w:val="22"/>
          <w:szCs w:val="22"/>
          <w:highlight w:val="none"/>
        </w:rPr>
        <w:t xml:space="preserve">        地  址：</w:t>
      </w:r>
      <w:r>
        <w:rPr>
          <w:rFonts w:hint="eastAsia" w:ascii="宋体" w:hAnsi="宋体" w:eastAsia="宋体" w:cs="宋体"/>
          <w:sz w:val="22"/>
          <w:szCs w:val="22"/>
          <w:highlight w:val="none"/>
          <w:u w:val="single"/>
        </w:rPr>
        <w:t xml:space="preserve">       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法定代表人(签字)：</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法定代表人(签字)：</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委托代理人(签字)：</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委托代理人(签字)：</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  话：</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电  话：</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传  真：</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传  真：</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开户银行：</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开户银行：</w:t>
      </w:r>
      <w:r>
        <w:rPr>
          <w:rFonts w:hint="eastAsia" w:ascii="宋体" w:hAnsi="宋体" w:eastAsia="宋体" w:cs="宋体"/>
          <w:sz w:val="22"/>
          <w:szCs w:val="22"/>
          <w:highlight w:val="none"/>
          <w:u w:val="single"/>
        </w:rPr>
        <w:t xml:space="preserve"> 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账  号：</w:t>
      </w:r>
      <w:r>
        <w:rPr>
          <w:rFonts w:hint="eastAsia" w:ascii="宋体" w:hAnsi="宋体" w:eastAsia="宋体" w:cs="宋体"/>
          <w:sz w:val="22"/>
          <w:szCs w:val="22"/>
          <w:highlight w:val="none"/>
          <w:u w:val="single"/>
        </w:rPr>
        <w:t xml:space="preserve">       </w:t>
      </w:r>
      <w:bookmarkStart w:id="645" w:name="OLE_LINK19"/>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账</w:t>
      </w:r>
      <w:bookmarkEnd w:id="645"/>
      <w:r>
        <w:rPr>
          <w:rFonts w:hint="eastAsia" w:ascii="宋体" w:hAnsi="宋体" w:eastAsia="宋体" w:cs="宋体"/>
          <w:sz w:val="22"/>
          <w:szCs w:val="22"/>
          <w:highlight w:val="none"/>
        </w:rPr>
        <w:t xml:space="preserve"> 号：</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邮政编码：</w:t>
      </w:r>
      <w:r>
        <w:rPr>
          <w:rFonts w:hint="eastAsia" w:ascii="宋体" w:hAnsi="宋体" w:eastAsia="宋体" w:cs="宋体"/>
          <w:sz w:val="22"/>
          <w:szCs w:val="22"/>
          <w:highlight w:val="none"/>
          <w:u w:val="single"/>
        </w:rPr>
        <w:t xml:space="preserve">              </w:t>
      </w:r>
      <w:r>
        <w:rPr>
          <w:rFonts w:hint="eastAsia" w:ascii="宋体" w:hAnsi="宋体" w:eastAsia="宋体" w:cs="宋体"/>
          <w:sz w:val="22"/>
          <w:szCs w:val="22"/>
          <w:highlight w:val="none"/>
        </w:rPr>
        <w:t xml:space="preserve">       邮政编码：</w:t>
      </w:r>
      <w:r>
        <w:rPr>
          <w:rFonts w:hint="eastAsia" w:ascii="宋体" w:hAnsi="宋体" w:eastAsia="宋体" w:cs="宋体"/>
          <w:sz w:val="22"/>
          <w:szCs w:val="22"/>
          <w:highlight w:val="none"/>
          <w:u w:val="single"/>
        </w:rPr>
        <w:t xml:space="preserve">    </w:t>
      </w:r>
      <w:r/>
    </w:p>
    <w:p>
      <w:pPr>
        <w:ind w:left="166"/>
        <w:spacing w:before="183" w:line="22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pacing w:val="-13"/>
          <w:sz w:val="24"/>
          <w:highlight w:val="none"/>
        </w:rPr>
      </w:pPr>
      <w:r>
        <w:rPr>
          <w:rFonts w:hint="eastAsia" w:ascii="宋体" w:hAnsi="宋体" w:eastAsia="宋体" w:cs="宋体"/>
          <w:sz w:val="24"/>
          <w:szCs w:val="32"/>
          <w:highlight w:val="none"/>
        </w:rPr>
        <w:br w:type="page" w:clear="all"/>
      </w:r>
      <w:r>
        <w:rPr>
          <w:rFonts w:hint="eastAsia" w:ascii="宋体" w:hAnsi="宋体" w:eastAsia="宋体" w:cs="宋体"/>
          <w:spacing w:val="-13"/>
          <w:sz w:val="24"/>
          <w:highlight w:val="none"/>
        </w:rPr>
        <w:t xml:space="preserve">附件</w:t>
      </w:r>
      <w:r>
        <w:rPr>
          <w:rFonts w:hint="eastAsia" w:ascii="宋体" w:hAnsi="宋体" w:eastAsia="宋体" w:cs="宋体"/>
          <w:spacing w:val="-37"/>
          <w:sz w:val="24"/>
          <w:highlight w:val="none"/>
        </w:rPr>
        <w:t xml:space="preserve"> </w:t>
      </w:r>
      <w:r>
        <w:rPr>
          <w:rFonts w:hint="eastAsia" w:ascii="宋体" w:hAnsi="宋体" w:eastAsia="宋体" w:cs="宋体"/>
          <w:spacing w:val="-13"/>
          <w:sz w:val="24"/>
          <w:highlight w:val="none"/>
        </w:rPr>
        <w:t xml:space="preserve">2</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安全生产合同</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甲方（发包方）：</w:t>
      </w:r>
      <w:r>
        <w:rPr>
          <w:rFonts w:hint="eastAsia" w:ascii="宋体" w:hAnsi="宋体" w:cs="宋体"/>
          <w:sz w:val="24"/>
          <w:highlight w:val="none"/>
          <w:u w:val="single"/>
          <w:lang w:bidi="en-US"/>
        </w:rPr>
        <w:t xml:space="preserve">盐城市盐都区龙冈镇人民政府</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乙方（承包方）：</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cs="宋体"/>
          <w:sz w:val="24"/>
          <w:highlight w:val="none"/>
          <w:u w:val="single"/>
          <w:lang w:bidi="en-US"/>
        </w:rPr>
        <w:t xml:space="preserve">龙冈镇三旺村道路及桥梁改造和人居环境提升项目</w:t>
      </w:r>
      <w:r>
        <w:rPr>
          <w:rFonts w:hint="eastAsia" w:ascii="宋体" w:hAnsi="宋体" w:eastAsia="宋体" w:cs="宋体"/>
          <w:sz w:val="24"/>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一、工程概况</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工程名称：</w:t>
      </w:r>
      <w:r>
        <w:rPr>
          <w:rFonts w:hint="eastAsia" w:ascii="宋体" w:hAnsi="宋体" w:cs="宋体"/>
          <w:sz w:val="24"/>
          <w:highlight w:val="none"/>
          <w:u w:val="single"/>
          <w:lang w:bidi="en-US"/>
        </w:rPr>
        <w:t xml:space="preserve">龙冈镇三旺村道路及桥梁改造和人居环境提升项目</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工程地点：</w:t>
      </w:r>
      <w:r>
        <w:rPr>
          <w:rFonts w:hint="eastAsia" w:ascii="宋体" w:hAnsi="宋体" w:cs="宋体"/>
          <w:sz w:val="24"/>
          <w:highlight w:val="none"/>
          <w:u w:val="single"/>
          <w:lang w:bidi="en-US"/>
        </w:rPr>
        <w:t xml:space="preserve">盐都区龙冈镇境内</w:t>
      </w:r>
      <w:r>
        <w:rPr>
          <w:rFonts w:hint="eastAsia" w:ascii="宋体" w:hAnsi="宋体" w:eastAsia="宋体" w:cs="宋体"/>
          <w:sz w:val="24"/>
          <w:highlight w:val="none"/>
          <w:lang w:bidi="en-US"/>
        </w:rPr>
        <w:t xml:space="preserve">                         </w:t>
      </w:r>
      <w:r/>
    </w:p>
    <w:p>
      <w:pPr>
        <w:ind w:firstLine="482"/>
        <w:spacing w:line="360" w:lineRule="auto"/>
        <w:widowControl/>
        <w:rPr>
          <w:rFonts w:hint="eastAsia" w:ascii="宋体" w:hAnsi="宋体" w:eastAsia="宋体" w:cs="宋体"/>
          <w:sz w:val="24"/>
          <w:highlight w:val="none"/>
          <w:lang w:bidi="en-US"/>
        </w:rPr>
      </w:pPr>
      <w:r>
        <w:rPr>
          <w:rFonts w:hint="eastAsia" w:ascii="宋体" w:hAnsi="宋体" w:eastAsia="宋体" w:cs="宋体"/>
          <w:b/>
          <w:sz w:val="24"/>
          <w:highlight w:val="none"/>
          <w:lang w:bidi="en-US"/>
        </w:rPr>
        <w:t xml:space="preserve">二、合同履行期限：</w:t>
      </w:r>
      <w:r>
        <w:rPr>
          <w:rFonts w:hint="eastAsia" w:ascii="宋体" w:hAnsi="宋体" w:cs="宋体"/>
          <w:bCs/>
          <w:sz w:val="24"/>
          <w:highlight w:val="none"/>
          <w:lang w:bidi="en-US"/>
        </w:rPr>
        <w:t xml:space="preserve">60日历天</w:t>
      </w:r>
      <w:r>
        <w:rPr>
          <w:rFonts w:hint="eastAsia" w:ascii="宋体" w:hAnsi="宋体" w:eastAsia="宋体" w:cs="宋体"/>
          <w:bCs/>
          <w:sz w:val="24"/>
          <w:highlight w:val="none"/>
          <w:lang w:bidi="en-US"/>
        </w:rPr>
        <w:t xml:space="preserve">。  </w:t>
      </w:r>
      <w:r>
        <w:rPr>
          <w:rFonts w:hint="eastAsia" w:ascii="宋体" w:hAnsi="宋体" w:eastAsia="宋体" w:cs="宋体"/>
          <w:sz w:val="24"/>
          <w:highlight w:val="none"/>
          <w:lang w:bidi="en-US"/>
        </w:rPr>
        <w:t xml:space="preserve">                    </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三、安全生产</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1、乙方必须学习、掌握，并执行甲方发行的有关安全生产的各项规章制度和管理方式。</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2、乙方必须执行甲方与乙方共同制定的与项目有关的总体工程施工组织设计和安全技术方案。</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3、乙方必须执行三级安全教育制度，项目经理、承包项目负责人及特种作业人员必须持证上岗。</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4、乙方必须执行安全生产检查整改制度，认真开展日常和定期、不定期的安全及治安保卫工作检查，及时发现隐患，落实整改措施，不断提高安全防范能力。</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5、乙方必须接受甲方或甲方上级主管部门、政府有关部门的安全生产检查，对于甲方查处的隐患，乙方必须限期整改。</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6、乙方必须执行安全防护设施、设备验收制度。</w:t>
      </w:r>
      <w:r/>
    </w:p>
    <w:p>
      <w:pPr>
        <w:ind w:firstLine="48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7、乙方自带的施工机械设备，必须符合国家标准、规定，且机械性能良好、安全防护装置齐全、灵敏、有效。</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8、乙方必须按规定为作业人员配发合格的劳动防护用品。</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10、乙方须承担因为乙方的原因造成事故的经济责任和法律责任。</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11、乙方有权拒绝甲方的违章指挥。</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13、乙方应做好重点要害部位的治安管理工作，达到制度全、管理严、设施齐，岗位人员责任性强。</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14、乙方应严格执行国家有关暂住人口管理规定，外地施工人员进驻现场必须按规定办理暂住证；人员管理必须要做到：底数清、情况明、证件齐、登记申报及时。</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17、乙方必须坚持文明施工，对所承担工程区域的文明施工负责，做到工完料尽场地清。</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18、甲方应为乙方创造良好的作业环境，完全因甲方的设施、设备不良造成的事故，应由甲方负责。</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19、甲方有监督、纠正乙方人员违章、违规、违纪行为的权力，对不服管理的有权命令其停止作业。</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20、甲方有权审查乙方的安全资质和人员的安全教育情况。</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四、违 约</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1、达不到约定条件的，甲方一经发现，可要求乙方立即进行改正和补充完善，乙方应按甲方要求改正和补充完善，直到符合约定条件。</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2、因乙方原因达不到约定条件的，由乙方承担违约责任和经济支出。</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五、争 议</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en-US"/>
        </w:rPr>
        <w:t xml:space="preserve">1、本合同在执行过程中如遇有与国家、地方政府的有关规定不一致时，按照国家、地方的有关规定执行。</w:t>
      </w:r>
      <w:r>
        <w:rPr>
          <w:rFonts w:hint="eastAsia" w:ascii="宋体" w:hAnsi="宋体" w:eastAsia="宋体" w:cs="宋体"/>
          <w:sz w:val="24"/>
          <w:highlight w:val="none"/>
        </w:rPr>
        <w:t xml:space="preserve"> </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2、本合同争议进行调解时，可提交进行调解。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3、仲裁或诉讼合同争议的最终解决方式为下列第</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种方式：</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（1）提请</w:t>
      </w:r>
      <w:r>
        <w:rPr>
          <w:rFonts w:hint="eastAsia" w:ascii="宋体" w:hAnsi="宋体" w:eastAsia="宋体" w:cs="宋体"/>
          <w:sz w:val="24"/>
          <w:highlight w:val="none"/>
          <w:u w:val="single"/>
        </w:rPr>
        <w:t xml:space="preserve">盐城</w:t>
      </w:r>
      <w:r>
        <w:rPr>
          <w:rFonts w:hint="eastAsia" w:ascii="宋体" w:hAnsi="宋体" w:eastAsia="宋体" w:cs="宋体"/>
          <w:sz w:val="24"/>
          <w:highlight w:val="none"/>
        </w:rPr>
        <w:t xml:space="preserve">仲裁委员会进行仲裁。</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（2）向工程所在地人民法院提起诉讼。由此产生的包括但不限于律师费、诉讼费、鉴定费、保全费、保全保函费用等一切费用均由违约方承担。 </w:t>
      </w:r>
      <w:r/>
    </w:p>
    <w:p>
      <w:pPr>
        <w:ind w:firstLine="482"/>
        <w:spacing w:line="360" w:lineRule="auto"/>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六、</w:t>
      </w:r>
      <w:r>
        <w:rPr>
          <w:rFonts w:hint="eastAsia" w:ascii="宋体" w:hAnsi="宋体" w:eastAsia="宋体" w:cs="宋体"/>
          <w:sz w:val="24"/>
          <w:highlight w:val="none"/>
          <w:lang w:bidi="en-US"/>
        </w:rPr>
        <w:t xml:space="preserve">本合同作为甲方与乙方签署的《</w:t>
      </w:r>
      <w:r>
        <w:rPr>
          <w:rFonts w:hint="eastAsia" w:ascii="宋体" w:hAnsi="宋体" w:cs="宋体"/>
          <w:sz w:val="24"/>
          <w:highlight w:val="none"/>
          <w:lang w:bidi="en-US"/>
        </w:rPr>
        <w:t xml:space="preserve">盐城市盐都区龙冈镇人民政府</w:t>
      </w:r>
      <w:r>
        <w:rPr>
          <w:rFonts w:hint="eastAsia" w:ascii="宋体" w:hAnsi="宋体" w:eastAsia="宋体" w:cs="宋体"/>
          <w:sz w:val="24"/>
          <w:highlight w:val="none"/>
          <w:lang w:bidi="en-US"/>
        </w:rPr>
        <w:t xml:space="preserve">承包合同》 的附件，与《</w:t>
      </w:r>
      <w:r>
        <w:rPr>
          <w:rFonts w:hint="eastAsia" w:ascii="宋体" w:hAnsi="宋体" w:cs="宋体"/>
          <w:sz w:val="24"/>
          <w:highlight w:val="none"/>
          <w:lang w:bidi="en-US"/>
        </w:rPr>
        <w:t xml:space="preserve">盐城市盐都区龙冈镇人民政府</w:t>
      </w:r>
      <w:r>
        <w:rPr>
          <w:rFonts w:hint="eastAsia" w:ascii="宋体" w:hAnsi="宋体" w:eastAsia="宋体" w:cs="宋体"/>
          <w:sz w:val="24"/>
          <w:highlight w:val="none"/>
          <w:lang w:bidi="en-US"/>
        </w:rPr>
        <w:t xml:space="preserve">承包合同》具有同样的法律效力。经协议双方法定代表人或其委托代理人签字并加盖单位公司后立即生效。</w:t>
      </w:r>
      <w:r/>
    </w:p>
    <w:p>
      <w:pPr>
        <w:ind w:firstLine="482"/>
        <w:spacing w:line="360" w:lineRule="auto"/>
        <w:widowControl/>
        <w:rPr>
          <w:rFonts w:hint="eastAsia" w:ascii="宋体" w:hAnsi="宋体" w:eastAsia="宋体" w:cs="宋体"/>
          <w:sz w:val="24"/>
          <w:highlight w:val="none"/>
          <w:lang w:bidi="en-US"/>
        </w:rPr>
      </w:pPr>
      <w:r>
        <w:rPr>
          <w:rFonts w:hint="eastAsia" w:ascii="宋体" w:hAnsi="宋体" w:eastAsia="宋体" w:cs="宋体"/>
          <w:b/>
          <w:sz w:val="24"/>
          <w:highlight w:val="none"/>
          <w:lang w:bidi="en-US"/>
        </w:rPr>
        <w:t xml:space="preserve">七、</w:t>
      </w:r>
      <w:r>
        <w:rPr>
          <w:rFonts w:hint="eastAsia" w:ascii="宋体" w:hAnsi="宋体" w:eastAsia="宋体" w:cs="宋体"/>
          <w:sz w:val="24"/>
          <w:highlight w:val="none"/>
          <w:lang w:bidi="en-US"/>
        </w:rPr>
        <w:t xml:space="preserve">本合同一式陆份，甲方执叁份，乙方执贰份，监理单位执壹份。</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甲方（盖章）：                    乙方（盖章）：</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法定代表人：                         法定代表人：</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（或委托代理人签字或盖章）</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（或委托代理人签字或盖章）</w:t>
      </w:r>
      <w:r>
        <w:rPr>
          <w:rFonts w:hint="eastAsia" w:ascii="宋体" w:hAnsi="宋体" w:eastAsia="宋体" w:cs="宋体"/>
          <w:sz w:val="24"/>
          <w:highlight w:val="none"/>
          <w:u w:val="singl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日期：                               日期：</w:t>
      </w:r>
      <w:r/>
    </w:p>
    <w:p>
      <w:pPr>
        <w:pStyle w:val="849"/>
        <w:rPr>
          <w:rFonts w:hint="eastAsia"/>
          <w:highlight w:val="none"/>
          <w:lang w:bidi="en-US"/>
        </w:rPr>
      </w:pPr>
      <w:r>
        <w:rPr>
          <w:rFonts w:hint="eastAsia"/>
          <w:highlight w:val="none"/>
          <w:lang w:bidi="en-US"/>
        </w:rPr>
        <w:br w:type="page" w:clear="all"/>
      </w:r>
      <w:r/>
    </w:p>
    <w:p>
      <w:pPr>
        <w:pStyle w:val="873"/>
        <w:numPr>
          <w:ilvl w:val="0"/>
          <w:numId w:val="3"/>
        </w:numPr>
        <w:jc w:val="center"/>
        <w:spacing w:before="120" w:beforeAutospacing="0" w:after="120" w:afterAutospacing="0" w:line="0" w:lineRule="atLeast"/>
        <w:rPr>
          <w:rFonts w:hint="eastAsia" w:ascii="黑体" w:hAnsi="宋体" w:eastAsia="黑体" w:cs="黑体"/>
          <w:sz w:val="44"/>
          <w:szCs w:val="44"/>
          <w:highlight w:val="none"/>
        </w:rPr>
        <w:outlineLvl w:val="0"/>
      </w:pPr>
      <w:r>
        <w:rPr>
          <w:rFonts w:hint="eastAsia" w:ascii="黑体" w:hAnsi="宋体" w:eastAsia="黑体" w:cs="黑体"/>
          <w:sz w:val="44"/>
          <w:szCs w:val="44"/>
          <w:highlight w:val="none"/>
        </w:rPr>
        <w:t xml:space="preserve">采购需求</w:t>
      </w:r>
      <w:bookmarkEnd w:id="162"/>
      <w:r/>
      <w:bookmarkEnd w:id="163"/>
      <w:r/>
      <w:bookmarkEnd w:id="164"/>
      <w:r/>
      <w:bookmarkEnd w:id="165"/>
      <w:r/>
      <w:bookmarkEnd w:id="166"/>
      <w:r/>
      <w:bookmarkStart w:id="646" w:name="_Toc26554093"/>
      <w:r/>
      <w:bookmarkEnd w:id="646"/>
      <w:r/>
      <w:bookmarkStart w:id="647" w:name="_Toc49090575"/>
      <w:r/>
      <w:bookmarkEnd w:id="647"/>
      <w:r/>
      <w:r/>
    </w:p>
    <w:p>
      <w:pPr>
        <w:ind w:firstLine="498"/>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一、项目基本情况</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color w:val="000000"/>
          <w:highlight w:val="none"/>
        </w:rPr>
        <w:t xml:space="preserve">1.项目名称：龙冈镇三旺村道路及桥梁改造和人居环境提升项目</w:t>
      </w:r>
      <w:r/>
    </w:p>
    <w:p>
      <w:pPr>
        <w:ind w:firstLine="480"/>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.采购方式：竞争性磋商</w:t>
      </w:r>
      <w:r/>
    </w:p>
    <w:p>
      <w:pPr>
        <w:ind w:firstLine="480"/>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3.采购需求：龙冈镇三旺村道路及桥梁改造和人居环境提升项目的施工，具体招标内容详见工程量清单和施工图纸。</w:t>
      </w:r>
      <w:r/>
    </w:p>
    <w:p>
      <w:pPr>
        <w:ind w:firstLine="480"/>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4.合同履行期限：</w:t>
      </w:r>
      <w:r>
        <w:rPr>
          <w:rFonts w:hint="eastAsia" w:ascii="宋体" w:hAnsi="宋体" w:eastAsia="宋体" w:cs="宋体"/>
          <w:color w:val="000000"/>
          <w:highlight w:val="none"/>
        </w:rPr>
        <w:t xml:space="preserve">60日历天</w:t>
      </w:r>
      <w:r>
        <w:rPr>
          <w:rFonts w:hint="eastAsia" w:ascii="宋体" w:hAnsi="宋体" w:eastAsia="宋体" w:cs="宋体"/>
          <w:color w:val="000000"/>
          <w:highlight w:val="none"/>
        </w:rPr>
        <w:t xml:space="preserve">，具体开工日期以采购人的书面通知为准。</w:t>
      </w:r>
      <w:r/>
    </w:p>
    <w:p>
      <w:pPr>
        <w:ind w:firstLine="480"/>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w:t>
      </w:r>
      <w:r>
        <w:rPr>
          <w:rFonts w:ascii="宋体" w:hAnsi="宋体" w:eastAsia="宋体" w:cs="宋体"/>
          <w:color w:val="000000"/>
          <w:highlight w:val="none"/>
        </w:rPr>
        <w:t xml:space="preserve">.质量要求：合格</w:t>
      </w:r>
      <w:r>
        <w:rPr>
          <w:rFonts w:ascii="宋体" w:hAnsi="宋体" w:eastAsia="宋体" w:cs="宋体"/>
          <w:color w:val="000000"/>
          <w:highlight w:val="none"/>
        </w:rPr>
        <w:t xml:space="preserve">。</w:t>
      </w:r>
      <w:r/>
    </w:p>
    <w:p>
      <w:pPr>
        <w:ind w:firstLine="480"/>
        <w:keepLines w:val="0"/>
        <w:keepNext w:val="0"/>
        <w:pageBreakBefore w:val="0"/>
        <w:spacing w:line="360" w:lineRule="auto"/>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w:t>
      </w:r>
      <w:r>
        <w:rPr>
          <w:rFonts w:ascii="宋体" w:hAnsi="宋体" w:eastAsia="宋体" w:cs="宋体"/>
          <w:color w:val="000000"/>
          <w:highlight w:val="none"/>
        </w:rPr>
        <w:t xml:space="preserve">.安全目标：无安全生产责任事故</w:t>
      </w:r>
      <w:r>
        <w:rPr>
          <w:rFonts w:ascii="宋体" w:hAnsi="宋体" w:eastAsia="宋体" w:cs="宋体"/>
          <w:color w:val="000000"/>
          <w:highlight w:val="none"/>
        </w:rPr>
        <w:t xml:space="preserve">。</w:t>
      </w:r>
      <w:r/>
    </w:p>
    <w:p>
      <w:pPr>
        <w:ind w:firstLine="480"/>
        <w:keepLines w:val="0"/>
        <w:keepNext w:val="0"/>
        <w:pageBreakBefore w:val="0"/>
        <w:spacing w:line="360" w:lineRule="auto"/>
        <w:widowControl/>
        <w:rPr>
          <w:rFonts w:hint="eastAsia" w:ascii="黑体" w:hAnsi="宋体" w:eastAsia="黑体" w:cs="黑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w:t>
      </w:r>
      <w:r>
        <w:rPr>
          <w:rFonts w:ascii="宋体" w:hAnsi="宋体" w:eastAsia="宋体" w:cs="宋体"/>
          <w:color w:val="000000"/>
          <w:highlight w:val="none"/>
        </w:rPr>
        <w:t xml:space="preserve">.缺陷责任期：工程交工验收合格后2年。</w:t>
      </w:r>
      <w:r/>
    </w:p>
    <w:p>
      <w:pPr>
        <w:contextualSpacing/>
        <w:ind w:firstLine="482"/>
        <w:keepLines w:val="0"/>
        <w:keepNext w:val="0"/>
        <w:pageBreakBefore w:val="0"/>
        <w:spacing w:line="360" w:lineRule="auto"/>
        <w:rPr>
          <w:rFonts w:hint="eastAsia" w:ascii="宋体" w:hAnsi="宋体" w:eastAsia="宋体" w:cs="宋体"/>
          <w:b/>
          <w:szCs w:val="21"/>
          <w:highlight w:val="none"/>
        </w:rPr>
        <w:outlineLvl w:val="1"/>
      </w:pPr>
      <w:r/>
      <w:bookmarkStart w:id="648" w:name="_Toc300834969"/>
      <w:r/>
      <w:bookmarkStart w:id="649" w:name="_Toc247513972"/>
      <w:r/>
      <w:bookmarkStart w:id="650" w:name="_Toc152045548"/>
      <w:r/>
      <w:bookmarkStart w:id="651" w:name="_Toc247527573"/>
      <w:r/>
      <w:bookmarkStart w:id="652" w:name="_Toc152042324"/>
      <w:r/>
      <w:bookmarkStart w:id="653" w:name="_Toc144974516"/>
      <w:r>
        <w:rPr>
          <w:rFonts w:hint="eastAsia" w:ascii="宋体" w:hAnsi="宋体" w:eastAsia="宋体" w:cs="宋体"/>
          <w:b/>
          <w:szCs w:val="21"/>
          <w:highlight w:val="none"/>
        </w:rPr>
        <w:t xml:space="preserve">二、踏勘现场</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1.各磋商投标人应在递交磋商响应文件截止日前至工程实施现场进行现场踏勘，如因未踏勘现场造成的一切后果自负。</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2.磋商投标人踏勘现场发生的费用自理，自行承担在踏勘现场中所发生的人员伤亡和财产损失。</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磋商投标人到工程实施现场进行踏勘时，应当充分了解工地位置、情况、道路、储存空间、装卸限制及任何其它足以影响报价的情况，并根据现场的实际情况将本工程可预见的相关费用（包括地方矛盾）自行考虑到投标报价中，磋商投标人中标后可预见的相关费用包干使用。任何因忽视或误解工地情况而导致的索赔或工期延长申请将不被批准。因磋商投标人未踏勘现场所引起的一切后果由磋商投标人自负。</w:t>
      </w:r>
      <w:r/>
    </w:p>
    <w:p>
      <w:pPr>
        <w:ind w:firstLine="422"/>
        <w:keepLines w:val="0"/>
        <w:keepNext w:val="0"/>
        <w:pageBreakBefore w:val="0"/>
        <w:spacing w:line="360" w:lineRule="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三、投标报价要求</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1.投标人应按招标人提供的“招标工程量清单”的要求填写价格清单。</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3.投标人需自行勘查现场，结合招标人的施工工艺要求，以及现场施工难度，进行投标报价，投标报价需包含按照招标人工艺要求进行施工的所有费用。</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4.投标人须考虑现场情况，部分材料可能需要人工二次倒运，投标人须将此费用考虑在投标综合报价中。</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6.成品保护按相关要求执行，工程施工不得随意破坏已完工的项目，如破坏需及时按原状修复，否则由招标人另行安排施工单位修复，费用由招标人安排的施工单位报价，在中标人结算总价中按2倍的价格扣减。</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8.工程必须确保安全，投标人自行承担工程施工过程中的工程质量、任何状况下的安全责任。</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9.本工程施工过程中遇到的地方矛盾、与其他施工单位的矛盾协调、环保，城管，环卫，附近居民等相关矛盾协调，均由投标人自行解决，并不支付任何额外费用。</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10.本项目施工用水、用电由投标人自行解决，投标人投标报价时应将施工用水、用电充分考虑到投标报价的综合单价中，结算时，此部分费用不再另行计取。</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11.本项目具体开工时间以招标人通知为准，投标人不得以项目开始实施时间太迟为由要求招标人调整价格，投标人投标时应将此风险充分考虑到投标报价中。</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12.工程量现场实测计量，招标人保留增加或减少工作量的权利，合同价相应调整，但投标的综合单价不变。</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13.材料进场前投标人必须送样品给招标人确认，经招标人确认后方可实施。如施工时提供的样品不能满足招标人要求，招标人有权要求更换。</w:t>
      </w:r>
      <w:r/>
    </w:p>
    <w:p>
      <w:pPr>
        <w:ind w:firstLine="422"/>
        <w:keepLines w:val="0"/>
        <w:keepNext w:val="0"/>
        <w:pageBreakBefore w:val="0"/>
        <w:spacing w:line="360" w:lineRule="auto"/>
        <w:widowControl/>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四、投标报价的方式</w:t>
      </w:r>
      <w:bookmarkEnd w:id="648"/>
      <w:r/>
      <w:bookmarkEnd w:id="649"/>
      <w:r/>
      <w:bookmarkEnd w:id="650"/>
      <w:r/>
      <w:bookmarkEnd w:id="651"/>
      <w:r/>
      <w:bookmarkEnd w:id="652"/>
      <w:r/>
      <w:bookmarkEnd w:id="653"/>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2.投标报价的计价方法</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本工程投标报价采用“工程量清单计价”法（工程量计算规则依据《建设工程量清单计价规范》（GB50500-2013）、《 市 政 工 程 工 程 量 计 算 规 范 》（ GB50857-2013 ）及其工程量计算规范）。投标人应根据采购人提供的招标工程量清单计算工程项目的综合单价和合价。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工程量清单中每一个清单项均需计算并填写综合单价、合价。对施工中发生的所有措施费及可预见费用等，由施工单位自行考虑，计入单价和总价。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3.投标报价文件编制的依据</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3.1 招标人提供的招标文件、招标工程量清单及其补充通知；</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3.2 招标人设定的最高限价；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3.3《建设工程量清单计价规范》(GB50500-2013) 、《 市 政 工 程 工 程 量 计 算 规 范 》（ GB50857-2013 ）及其工程量计算规范； </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3.4 有关的施工规范与工程验收规范；</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3.5 施工现场情况、工程特点及投标人拟采用的施工组织设计和施工方案；</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3.6 投标人的企业定额；</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3.7 投标人可同时参考2014年《江苏省建筑与装饰工程计价定额》、2014年《江苏省安装工程计价定额》、《江苏省市政工程计价定额》（2014版）、《江苏省建设工程费用定额（2014年）》及江苏省关于营改增的计价文件等最高限价（预算）的编制依据。</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4.投标报价文件编制的要求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4.1招标人提供的施工图纸、招标工程量清单应与招标文件一起参照阅读；</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4.2工程质量、材料、施工等特殊要求详见招标文件和清单等；</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4.3本工程使用预拌砂浆；</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4.4本工程混凝土使用商品混凝土，是否泵送由投标人自行考虑，结算时不因输送方式不同而调整综合单价；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4.5本工程中伸缩缝、沉降缝由投标单位自行在综合单价中考虑，结算时不调整综合单价；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4.6施工现场外露部分防尘遮挡可能防尘费用不够的部分由投标人在报价中考虑，不另行结算；</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4.7工程量清单中未明确的做法、施工及技术要求，各投标人应结合施工图纸进行报价；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4.8涉及混凝土的模板的制作、安装、搭设、拆除等费用在对应的分部分项工程量清单单价中考虑，不再单独列模板清单项计取；</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4.9拆除沥青混凝土路面及基层、水泥混凝土路面及基层残值请投标人自行考虑报价；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4.10井盖占地费用投标人综合考虑在报价中，结算不增加相关费用；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4.11施工前,施工单位应对照物探测量成果对地下管线进行复核,防止出现漏测的管线。物探无法测量的管线,应提前联系权属单位。所发生的费用投标人综合考虑在报价中，结算不增加相关费用；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4.12施工时应对现状管线采取保护措施避让,尤其存在燃气、电力等管线的管段,应注意安全距离。所发生的费用投标人综合考虑在报价中，结算不增加相关费用；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4.13关于沿线地上、地下建筑物、构筑物、管线、管道、井等的保护，除清单已考虑部分，其他由投标人在投标报价中综合考虑，结算不增加相关费用。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4.14围挡搭设要求道路改造施工需封闭，具体要求：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a、高度不低于2.5m,钢骨架+彩钢板+人工草皮+宣传语，满足建设单位的创卫要求;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b、围挡拆除、回收由施工单位自行负责;</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c、含基础等一切相关费用。</w:t>
      </w:r>
      <w:r/>
    </w:p>
    <w:p>
      <w:pPr>
        <w:ind w:firstLine="482"/>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五、最高限价（预算）的编制</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1.最高限价：详见投标须知前附表，招标人拒绝高于最高限价的投标报价。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2.最高限价确定的依据：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bookmarkStart w:id="654" w:name="EB8b95e4dd9e80494e85f00682aba7f2c4"/>
      <w:r>
        <w:rPr>
          <w:rFonts w:hint="eastAsia" w:asciiTheme="minorEastAsia" w:hAnsiTheme="minorEastAsia" w:eastAsiaTheme="minorEastAsia" w:cstheme="minorEastAsia"/>
          <w:sz w:val="22"/>
          <w:szCs w:val="22"/>
          <w:highlight w:val="none"/>
        </w:rPr>
        <w:t xml:space="preserve">本项目按照施工图纸、招标文件（含工程量清单）</w:t>
      </w:r>
      <w:r>
        <w:rPr>
          <w:rFonts w:hint="eastAsia" w:asciiTheme="minorEastAsia" w:hAnsiTheme="minorEastAsia" w:eastAsiaTheme="minorEastAsia" w:cstheme="minorEastAsia"/>
          <w:sz w:val="22"/>
          <w:szCs w:val="22"/>
          <w:highlight w:val="none"/>
        </w:rPr>
        <w:t xml:space="preserve">、《建设工程工程量清单计价规范》（GB50500-2013）、《房屋建筑与装饰工程工程量计算规范》（GB50854-2013）、《市政工程工程量计算规范》（GB50857-2013）、《通用安装工程工程量计算规范》（GB50856-2013）、《园林绿化工程工程量计算规范》(GB50858-2013)……（以下简称《工程量计算规范》）；《江苏省建筑与装饰工程计价定额》（2014版）、《江苏省市政工程计价定额》（2014版）、《江苏省安装工程计价定额》（2014版）、《江苏园林定额》(2007版)、《江苏省城</w:t>
      </w:r>
      <w:r>
        <w:rPr>
          <w:rFonts w:hint="eastAsia" w:asciiTheme="minorEastAsia" w:hAnsiTheme="minorEastAsia" w:eastAsiaTheme="minorEastAsia" w:cstheme="minorEastAsia"/>
          <w:sz w:val="22"/>
          <w:szCs w:val="22"/>
          <w:highlight w:val="none"/>
        </w:rPr>
        <w:t xml:space="preserve">市园林绿化养护管理定额》(2017版)、2009版《江苏省房屋修缮工程计价表》（2009版）……（以下简称《计价定额》）、《江苏省建设工程费用定额》（2014年）（以下简称《计价定额》）、《盐城工程造价》2026年第8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根据苏建价[2016]154号文件的规定，本项目招标文件及合同计税方法均采用增值税一般计税方法，招标文件及合同中的建材信息价及建材市场参考价均为除税价。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单位工程费用计费程序如下：</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1）分部分项工程量清单费用   人工费+材料费+施工机具使用费+管理费+利润；</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其  中：</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人工费                 计价定额人工消耗量×人工单价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材料费                 计价定额材料消耗量×除税材料单价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施工机具使用费         计价定额机械消耗量×除税机械单价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管理费                 按《费用定额》结合苏建价[2016]154号文计取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利  润                 按《费用定额》结合苏建价[2016]154号文计取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2）措施项目费用        单价措施费+总价措施费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单价措施费             除税综合单价×清单工程量</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总价措施费 （分部分项工程费+单价措施项目费-除税工程设备费）×费率或以项计</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3）其他项目费用 详见工程量清单</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4）规 费（分部分项工程费用+措施项目费用+其他项目费用-除税工程设备费）×费率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其中：</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①环境保护税（暂按招标工程量清单中的费率计取，结算时按环保和税务部门的规定执行）。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②社会保险费（执行《费用定额》苏建价[2016]154号规定的费率）。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③住房公积金（执行《费用定额》及苏建价[2016]154号规定的费率）。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5）税      金（分部分项工程量清单费用+措施项目费用+其他项目费用+规费-除税甲供材料和甲供设备费/1.01）×9%</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6）工程造价  分部分项工程量清单费用+措施项目费用+其他项目费用+规费-除税甲供材料和甲供设备费/1.01+税金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说明：</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（一）分部分项工程费用部分</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（1）工程类别：按《费用定额》中的“工程类别划分”执行。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（2）工程量按《建设工程工程量清单计价规范》、《工程量计算规范》、《费用定额》、《计价定额》及施工图纸等计算。</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（3）人工工资单价参照苏建函价[2025]273号文执行。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材料单价执行《盐城工程造价》2026年第8期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（5）机械单价中燃料费按《盐城工程造价》2026年第8期建设工程材料信息价、市场参考价。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（6）企业管理费按《费用定额》结合苏建价[2016]154号文中的“工程费用取费标准及有关规定”对应的取费标准计取。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（7）利润率：按《费用定额》结合苏建价[2016]154号文中的“工程费用取费标准及有关规定”对应的取费标准计取。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（8）风险费率：招标人在预算价编制时不考虑风险费率，但投标人可按（人工费+除税材料费+除税机械费+管理费+利润-除税工程设备费）的适当比例和相关规定自行考虑。</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（二）措施项目部分：</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（1）单价措施项目：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详见招标工程量清单。</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（2）总价措施项目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1）通用的总价措施项目费：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1.1安全文明施工措施费：该费用为不可竞争费，在预算价编制和投标报价中应根据文件规定足额计取。</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根据《费用定额》结合苏建价[2016]154号文等文件的规定，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1.2夜间施工费：招标人在编制预算价时不计取，投标人可根据招标人的工期要求及施工组织设计自行考虑。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1.3非夜间施工照明费：招标人在编制预算价时不计取，投标人可根据招标人的工期要求及施工组织设计自行考虑。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1.4二次搬运费：招标人在编制预算价时不计取，投标人可根据招标人的工期要求及施工组织设计自行考虑。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1.5冬雨季施工增加费：招标人在编制预算价时不计取，投标人可根据招标人的工期要求及施工组织设计自行考虑。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1.6地上地下设施、建筑物的临时保护设施费：招标人在编制预算价时不计取，投标人可根据施工现场实际情况及施工组织设计自行考虑。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1.7已完工程及设备保护费：招标人在编制预算价时不计取，投标人可根据施工组织设计自行计取。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1.8临时设施费：招标人在编制预算价时按费用定额对应类别的中值计取。投标人可根据招标人的工期要求及施工组织设计自行计取。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1.9赶工措施费：招标人在编制预算价时不计取，投标人可根据招标人的工期要求及施工组织设计自行计取。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1.10工程按质论价费：招标人在编制预算价时不计取。 </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1.11特殊条件下施工增加费：招标人在编制预算价时不计取。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  1.12建筑工人实名制费用：招标人在编制预算价时按费用定额对应类别的中值计取。投标人可根据招标人的工期要求及施工组织设计自行计取。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1.13智慧工地费用：招标人在编制预算价时不计取。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1.14垃圾清运费用：本工程施工过程中所产生的垃圾应由本工程承包人负责清运，各投标人须在投标报价中自行考虑。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1.15施工临时用电、用水均由承包人自行解决来源并现场单独挂表计量，费用由承包人负责。</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（三）其他项目费用：</w:t>
      </w:r>
      <w:bookmarkEnd w:id="654"/>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（1）暂列金额、暂估价：按采购人《其他项目清单与计价汇总表》执行。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（2）计日工：由承发包双方在施工合同中约定，招标时暂不考虑此项费用。</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（3）总承包服务费：本工程不计总承包服务费。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（4）其余详见《其他项目清单与计价汇总表》。</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（四）规 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（1）环境保护税：按盐市建价字[2018]29号文。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（2）社会保险费和住房公积金：《费用定额》及苏建价[2016]154号中的标准执行。</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（五）税 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税金是指根据建筑服务销售价格，按规定税率计算的增值税销项税额。并以除税工程造价为计取基础，费率为9%。</w:t>
      </w:r>
      <w:r/>
    </w:p>
    <w:p>
      <w:pPr>
        <w:pStyle w:val="1052"/>
        <w:ind w:firstLine="482"/>
        <w:keepLines w:val="0"/>
        <w:keepNext w:val="0"/>
        <w:pageBreakBefore w:val="0"/>
        <w:spacing w:line="360" w:lineRule="auto"/>
        <w:rPr>
          <w:rFonts w:hint="eastAsia" w:asciiTheme="minorEastAsia" w:hAnsiTheme="minorEastAsia" w:eastAsiaTheme="minorEastAsia" w:cstheme="minorEastAsia"/>
          <w:b/>
          <w:sz w:val="22"/>
          <w:szCs w:val="22"/>
          <w:highlight w:val="none"/>
        </w:rPr>
      </w:pPr>
      <w:r/>
      <w:bookmarkStart w:id="655" w:name="_Toc203032704"/>
      <w:r>
        <w:rPr>
          <w:rFonts w:hint="eastAsia" w:asciiTheme="minorEastAsia" w:hAnsiTheme="minorEastAsia" w:eastAsiaTheme="minorEastAsia" w:cstheme="minorEastAsia"/>
          <w:b/>
          <w:sz w:val="22"/>
          <w:szCs w:val="22"/>
          <w:highlight w:val="none"/>
        </w:rPr>
        <w:t xml:space="preserve">六、报价、计价说明</w:t>
      </w:r>
      <w:bookmarkEnd w:id="655"/>
      <w:r/>
      <w:r/>
    </w:p>
    <w:p>
      <w:pPr>
        <w:pStyle w:val="1052"/>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1.投标报价应包含完成本竞争性磋商文件中的全部内容所需的所有费用。</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2.磋商供应商应充分了解施工场地的位置、周边环境、道路、装卸、保管、安装限制以及影响投标报价的其他要素，结合市场情况进行投标报价。</w:t>
      </w:r>
      <w:r/>
    </w:p>
    <w:p>
      <w:pPr>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w:t>
      </w:r>
      <w:r>
        <w:rPr>
          <w:rFonts w:hint="eastAsia" w:asciiTheme="minorEastAsia" w:hAnsiTheme="minorEastAsia" w:eastAsiaTheme="minorEastAsia" w:cstheme="minorEastAsia"/>
          <w:sz w:val="22"/>
          <w:szCs w:val="22"/>
          <w:highlight w:val="none"/>
          <w:shd w:val="clear" w:color="auto" w:fill="ffffff"/>
        </w:rPr>
        <w:t xml:space="preserve">投标报价方式：本项目投标报价采用“工程量清单计价法”（工程量计算规则依据《建设工程工程量清单计价规范》（GB50500-2013）、</w:t>
      </w:r>
      <w:r>
        <w:rPr>
          <w:rFonts w:hint="eastAsia" w:asciiTheme="minorEastAsia" w:hAnsiTheme="minorEastAsia" w:eastAsiaTheme="minorEastAsia" w:cstheme="minorEastAsia"/>
          <w:sz w:val="22"/>
          <w:szCs w:val="22"/>
          <w:highlight w:val="none"/>
        </w:rPr>
        <w:t xml:space="preserve">《 市 政 工 程 工 程 量 计 算 规 范 》（ GB50857-2013 ）</w:t>
      </w:r>
      <w:r>
        <w:rPr>
          <w:rFonts w:hint="eastAsia" w:asciiTheme="minorEastAsia" w:hAnsiTheme="minorEastAsia" w:eastAsiaTheme="minorEastAsia" w:cstheme="minorEastAsia"/>
          <w:sz w:val="22"/>
          <w:szCs w:val="22"/>
          <w:highlight w:val="none"/>
          <w:shd w:val="clear" w:color="auto" w:fill="ffffff"/>
        </w:rPr>
        <w:t xml:space="preserve">）。</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对采购人提供的工程量清单如有异议（包括对工程量清单中漏项的疑问），应在</w:t>
      </w:r>
      <w:r>
        <w:rPr>
          <w:rFonts w:hint="eastAsia" w:asciiTheme="minorEastAsia" w:hAnsiTheme="minorEastAsia" w:eastAsiaTheme="minorEastAsia" w:cstheme="minorEastAsia"/>
          <w:sz w:val="22"/>
          <w:szCs w:val="22"/>
          <w:highlight w:val="none"/>
        </w:rPr>
        <w:t xml:space="preserve">提交首次响应文件截止时间五日前</w:t>
      </w:r>
      <w:r>
        <w:rPr>
          <w:rFonts w:hint="eastAsia" w:asciiTheme="minorEastAsia" w:hAnsiTheme="minorEastAsia" w:eastAsiaTheme="minorEastAsia" w:cstheme="minorEastAsia"/>
          <w:sz w:val="22"/>
          <w:szCs w:val="22"/>
          <w:highlight w:val="none"/>
          <w:shd w:val="clear" w:color="auto" w:fill="ffffff"/>
        </w:rPr>
        <w:t xml:space="preserve">向</w:t>
      </w:r>
      <w:r>
        <w:rPr>
          <w:rFonts w:hint="eastAsia" w:asciiTheme="minorEastAsia" w:hAnsiTheme="minorEastAsia" w:eastAsiaTheme="minorEastAsia" w:cstheme="minorEastAsia"/>
          <w:sz w:val="22"/>
          <w:szCs w:val="22"/>
          <w:highlight w:val="none"/>
        </w:rPr>
        <w:t xml:space="preserve">采购人或采购代理机构提出</w:t>
      </w:r>
      <w:r>
        <w:rPr>
          <w:rFonts w:hint="eastAsia" w:asciiTheme="minorEastAsia" w:hAnsiTheme="minorEastAsia" w:eastAsiaTheme="minorEastAsia" w:cstheme="minorEastAsia"/>
          <w:sz w:val="22"/>
          <w:szCs w:val="22"/>
          <w:highlight w:val="none"/>
          <w:shd w:val="clear" w:color="auto" w:fill="ffffff"/>
        </w:rPr>
        <w:t xml:space="preserve">。各</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keepLines w:val="0"/>
        <w:keepNext w:val="0"/>
        <w:pageBreakBefore w:val="0"/>
        <w:spacing w:line="360" w:lineRule="auto"/>
        <w:rPr>
          <w:rFonts w:hint="eastAsia" w:asciiTheme="minorEastAsia" w:hAnsiTheme="minorEastAsia" w:eastAsiaTheme="minorEastAsia" w:cstheme="minorEastAsia"/>
          <w:sz w:val="22"/>
          <w:szCs w:val="22"/>
          <w:highlight w:val="none"/>
          <w:shd w:val="clear" w:color="auto" w:fill="ffffff"/>
        </w:rPr>
      </w:pPr>
      <w:r>
        <w:rPr>
          <w:rFonts w:hint="eastAsia" w:asciiTheme="minorEastAsia" w:hAnsiTheme="minorEastAsia" w:eastAsiaTheme="minorEastAsia" w:cstheme="minorEastAsia"/>
          <w:sz w:val="22"/>
          <w:szCs w:val="22"/>
          <w:highlight w:val="none"/>
          <w:shd w:val="clear" w:color="auto" w:fill="ffffff"/>
        </w:rPr>
        <w:t xml:space="preserve">4.合同定价方式</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shd w:val="clear" w:color="auto" w:fill="ffffff"/>
        </w:rPr>
        <w:t xml:space="preserve">本工程采用单价合同。本工程实行《建设工程工程量清单计价规范》（GB50500-2013）、</w:t>
      </w:r>
      <w:r>
        <w:rPr>
          <w:rFonts w:hint="eastAsia" w:asciiTheme="minorEastAsia" w:hAnsiTheme="minorEastAsia" w:eastAsiaTheme="minorEastAsia" w:cstheme="minorEastAsia"/>
          <w:sz w:val="22"/>
          <w:szCs w:val="22"/>
          <w:highlight w:val="none"/>
        </w:rPr>
        <w:t xml:space="preserve">《 市 政 工 程 工 程 量 计 算 规 范 》（ GB50857-2013 ）</w:t>
      </w:r>
      <w:r>
        <w:rPr>
          <w:rFonts w:hint="eastAsia" w:asciiTheme="minorEastAsia" w:hAnsiTheme="minorEastAsia" w:eastAsiaTheme="minorEastAsia" w:cstheme="minorEastAsia"/>
          <w:sz w:val="22"/>
          <w:szCs w:val="22"/>
          <w:highlight w:val="none"/>
          <w:shd w:val="clear" w:color="auto" w:fill="ffffff"/>
        </w:rPr>
        <w:t xml:space="preserve">招标，建设工程合同采用单价合同，以体现风险共担的原则。由采购人提供工程量清单，</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以工程量清单及图纸为基础填报相应的单价并计算合价。采购人要求</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5.投标报价的要求</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5.1采购人提供工程量清单应与</w:t>
      </w:r>
      <w:r>
        <w:rPr>
          <w:rFonts w:hint="eastAsia" w:asciiTheme="minorEastAsia" w:hAnsiTheme="minorEastAsia" w:eastAsiaTheme="minorEastAsia" w:cstheme="minorEastAsia"/>
          <w:sz w:val="22"/>
          <w:szCs w:val="22"/>
          <w:highlight w:val="none"/>
          <w:shd w:val="clear" w:color="auto" w:fill="ffffff"/>
        </w:rPr>
        <w:t xml:space="preserve">竞争性磋商</w:t>
      </w:r>
      <w:r>
        <w:rPr>
          <w:rFonts w:hint="eastAsia" w:asciiTheme="minorEastAsia" w:hAnsiTheme="minorEastAsia" w:eastAsiaTheme="minorEastAsia" w:cstheme="minorEastAsia"/>
          <w:sz w:val="22"/>
          <w:szCs w:val="22"/>
          <w:highlight w:val="none"/>
        </w:rPr>
        <w:t xml:space="preserve">文件一起参照阅读；</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052"/>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rPr>
          <w:rFonts w:hint="eastAsia" w:asciiTheme="minorEastAsia" w:hAnsiTheme="minorEastAsia" w:eastAsiaTheme="minorEastAsia" w:cstheme="minorEastAsia"/>
          <w:bCs/>
          <w:sz w:val="22"/>
          <w:szCs w:val="22"/>
          <w:highlight w:val="none"/>
        </w:rPr>
        <w:t xml:space="preserve">5.5供应商报价时应充分考虑法定节假日施工队伍组建难度、赶工难度（含订货）等风险因素，并将费用综合考虑进报价中，结算时采购人不另计。如因成交供应商原因造成不能按期竣工，将严格对照合同约定进行考核。</w:t>
      </w:r>
      <w:r/>
    </w:p>
    <w:p>
      <w:pPr>
        <w:pStyle w:val="1052"/>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5.6 如磋商供应商在投标时承诺质量标准达到合格以上等级的，应在投标报价时足额考虑创优所增加的施工成本，相关费用采购人不再另行支付；</w:t>
      </w:r>
      <w:r/>
    </w:p>
    <w:p>
      <w:pPr>
        <w:pStyle w:val="1052"/>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5.7综合单价的组成：完成一个规定清单项目所需的人工费、材料费和工程设备费、施工机具使用费和企业管理费与利润，以及一定范围内的风险费用；</w:t>
      </w:r>
      <w:r/>
    </w:p>
    <w:p>
      <w:pPr>
        <w:pStyle w:val="1052"/>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5.8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r/>
    </w:p>
    <w:p>
      <w:pPr>
        <w:pStyle w:val="1052"/>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5.9 规费和税金应按招标工程量清单中的规定标准执行；</w:t>
      </w:r>
      <w:r/>
    </w:p>
    <w:p>
      <w:pPr>
        <w:pStyle w:val="1052"/>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5.10分部分项工程和单价措施项目清单与计价表中列明的所有需要填写的单价和合价，磋商供应商均应填写，未填写单价和合价，视为此项费用已包含在工程量清单的其他单价和合价中。当竣事结算时，此项目不得重新组价予以调整。</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5.11投标总价应当与分部分项工程费、措施项目费、其他项目费和规费、税金的合计金额一致。</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rPr>
          <w:rFonts w:hint="eastAsia" w:asciiTheme="minorEastAsia" w:hAnsiTheme="minorEastAsia" w:eastAsiaTheme="minorEastAsia" w:cstheme="minorEastAsia"/>
          <w:b/>
          <w:sz w:val="22"/>
          <w:szCs w:val="22"/>
          <w:highlight w:val="none"/>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left="0" w:firstLine="48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sz w:val="22"/>
          <w:szCs w:val="22"/>
          <w:highlight w:val="none"/>
        </w:rPr>
        <w:t xml:space="preserve">5.14供应商最后报价为响应文件中已标价工程量清单总价下浮后得到（各清单项的数量不变，单价同比例下浮，其中暂列金额、暂估价、甲供材及其规费费率和税金费率不下浮）。</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sz w:val="20"/>
          <w:szCs w:val="22"/>
          <w:highlight w:val="none"/>
        </w:rPr>
      </w:pPr>
      <w:r>
        <w:rPr>
          <w:rFonts w:hint="eastAsia" w:asciiTheme="minorEastAsia" w:hAnsiTheme="minorEastAsia" w:eastAsiaTheme="minorEastAsia" w:cstheme="minorEastAsia"/>
          <w:sz w:val="20"/>
          <w:szCs w:val="22"/>
          <w:highlight w:val="none"/>
        </w:rPr>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sz w:val="22"/>
          <w:szCs w:val="22"/>
          <w:highlight w:val="none"/>
        </w:rPr>
        <w:t xml:space="preserve">七、图纸、招标清单下载</w:t>
      </w:r>
      <w:r>
        <w:rPr>
          <w:rFonts w:ascii="SimSun" w:hAnsi="SimSun" w:eastAsia="SimSun" w:cs="SimSun"/>
          <w:b/>
          <w:color w:val="000000"/>
          <w:sz w:val="22"/>
        </w:rPr>
        <w:t xml:space="preserve">链接: https://pan.baidu.com/s/1FqbJT3fw9kU2rf6CBthJZA?pwd=umdy 提取码: umdy。</w:t>
      </w:r>
      <w:r/>
    </w:p>
    <w:p>
      <w:pPr>
        <w:contextualSpacing/>
        <w:ind w:left="0" w:firstLine="48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outlineLvl w:val="1"/>
      </w:pPr>
      <w:r>
        <w:rPr>
          <w:rFonts w:hint="eastAsia" w:asciiTheme="minorEastAsia" w:hAnsiTheme="minorEastAsia" w:eastAsiaTheme="minorEastAsia" w:cstheme="minorEastAsia"/>
          <w:b/>
          <w:sz w:val="22"/>
          <w:szCs w:val="22"/>
          <w:highlight w:val="none"/>
        </w:rPr>
      </w:r>
      <w:r/>
      <w:r/>
    </w:p>
    <w:p>
      <w:pPr>
        <w:pStyle w:val="1049"/>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bookmarkStart w:id="656" w:name="_Toc203032705"/>
      <w:r/>
      <w:bookmarkStart w:id="657" w:name="_Toc166856201"/>
      <w:r>
        <w:rPr>
          <w:rFonts w:hint="eastAsia" w:asciiTheme="minorEastAsia" w:hAnsiTheme="minorEastAsia" w:eastAsiaTheme="minorEastAsia" w:cstheme="minorEastAsia"/>
          <w:b/>
          <w:sz w:val="22"/>
          <w:szCs w:val="22"/>
          <w:highlight w:val="none"/>
        </w:rPr>
        <w:t xml:space="preserve">八、工程及材料技术要求</w:t>
      </w:r>
      <w:bookmarkEnd w:id="656"/>
      <w:r/>
      <w:bookmarkEnd w:id="657"/>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1.工程质量应达到的等级：达到国标验收规范合格要求。</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2.材料进场、垃圾外运时需注意对业主方道路、道板及绿化的保护，如有损坏，成交人应恢复原样，相关维修费由成交人自理。</w:t>
      </w:r>
      <w:r/>
    </w:p>
    <w:p>
      <w:pPr>
        <w:pStyle w:val="1049"/>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bookmarkStart w:id="658" w:name="_Toc195778616"/>
      <w:r>
        <w:rPr>
          <w:rFonts w:hint="eastAsia" w:asciiTheme="minorEastAsia" w:hAnsiTheme="minorEastAsia" w:eastAsiaTheme="minorEastAsia" w:cstheme="minorEastAsia"/>
          <w:b/>
          <w:sz w:val="22"/>
          <w:szCs w:val="22"/>
          <w:highlight w:val="none"/>
        </w:rPr>
        <w:t xml:space="preserve">九、类似业绩</w:t>
      </w:r>
      <w:bookmarkEnd w:id="658"/>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供应商需要具备丰富的类似项目承接经验，确保本项目的顺利实施，自2023年10月1日以来（以合同签订日期为准），供应商具有类似业绩的优先。</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十、体系认证</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投标人需具备良好的质量管理体系规范日常管理与服务，本项目施工环境达到国家相关部门标准，积极保障员工健康和安全，以保障本项目的顺利实施，具有有效期内的质量管理体系认证证书、环境管理体系认证证书、职业健康安全管理体系认证证书的优先。</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十一、人员配备</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根据项目施工相关要求，按岗位进行足额人员配置：</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1、拟投入本项目的项目负责人具有建设工程类职称的优先。 </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2、拟投入本项目的成员具有资料员证书的优先。</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3、拟投入本项目的成员具有专职安全员证书的优先。</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4、拟投入本项目的成员具有质量员证书的优先。</w:t>
      </w:r>
      <w:r/>
    </w:p>
    <w:p>
      <w:pPr>
        <w:pStyle w:val="849"/>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5、拟投入本项目的成员具有施工员证书的优先。</w:t>
      </w:r>
      <w:r/>
    </w:p>
    <w:p>
      <w:pPr>
        <w:pStyle w:val="1052"/>
        <w:ind w:left="0" w:firstLine="480"/>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bookmarkStart w:id="659" w:name="_Toc195778617"/>
      <w:r>
        <w:rPr>
          <w:rFonts w:hint="eastAsia" w:asciiTheme="minorEastAsia" w:hAnsiTheme="minorEastAsia" w:eastAsiaTheme="minorEastAsia" w:cstheme="minorEastAsia"/>
          <w:b/>
          <w:bCs/>
          <w:sz w:val="22"/>
          <w:szCs w:val="22"/>
          <w:highlight w:val="none"/>
        </w:rPr>
        <w:t xml:space="preserve">十二、投标人投标时应提供以下方案</w:t>
      </w:r>
      <w:bookmarkEnd w:id="659"/>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投标人应根据采购需求和本项目实际，制订相应的方案：</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1.施工准备方案、目标控制方案及技术措施方案至少包含以下内容：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①施工准备方案：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（1）项目组织机构设置及人员配备情况，至少包含围绕项目的质量、进度、成本、安全等设计，将安全职责并入"现场管理组"；建立"项目决策层 - 现场管理组 - 施工班组"三级管理层级，现场管理组需包含安全管理岗，安全职责条款明确率100%。机构设置及人员配备需符合法律法规及行业规范；项目经理需持有注册建造师证书，施工员、安全员、质量员、材料员、资料员持证上岗，持证上岗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（2）施工场地规划与临时设施布置须符合国家及地方的法律法规、行业标准，满足施工生产的基本需求，优先考虑施工安全，设置安全防护设施，保证人员和设备安全。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材料设备采购及进场计划须包含采购计划和进场管控。采购计划管控：材料设备采购清单需明确规格、数量误差范围（≤±2%），到货时间偏差不超过计划时间24小时；供应商需提供近6个月内材料检测报告，报告真实有效率100%。进场检验：材料进场后抽样检验比例≥3%，检验合格率100%方可入库；材料进场时间需比施工需求提前3日及以上，延误率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②施工项目目标控制方案：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质量目标控制。材料检验：进场材料查验凭证（合格证、检验报告）齐全率100%，抽样送检率100%，不合格材料退场率100%。质量巡查：项目质量员每日至少开展2次（上午、下午至少各1次）质量巡查，巡查记录完整率100%；每周至少组织1次质量专项检查，问题整改闭环率100%。验收标准：各分项工程质量验收合格率100%，优良率≥85%，无重大质量缺陷。</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（2）进度目标控制，至少</w:t>
      </w:r>
      <w:r>
        <w:rPr>
          <w:rFonts w:hint="eastAsia" w:asciiTheme="minorEastAsia" w:hAnsiTheme="minorEastAsia" w:eastAsiaTheme="minorEastAsia" w:cstheme="minorEastAsia"/>
          <w:sz w:val="22"/>
          <w:szCs w:val="22"/>
          <w:highlight w:val="none"/>
        </w:rPr>
        <w:t xml:space="preserve">包含周进度计划，明确各阶段的施工任务；充分考虑天气对施工的影响，预留合理的天气延误时间，并制定应对恶劣天气的预案；若出现滞后，及时调整资源配置（如增加熟练工、设备）或优化施工工序（在保证质量和安全的前提下）；建立进度汇报制度等控制措施。计划编制：周进度计划偏差控制在±1天内，计划编制完成率100%。资源调整：进度滞后≥5天时，24小时内完成人力（增加人数≥原配置的20%）或机械（增加台数≥原配置的15%）调整。进度汇报：至少每周五17:00前向采购人提交进度报告，报告准时提交率100%，数据准确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安全目标控制，以杜绝重伤及以上安全事故，特别是沟槽坍塌、交通事故、触电与机械伤害、混凝土作业安全为目标，至少包含对所有进场施工人员进行专门的作业安全教育培训和安全技术交底，考核合格后方可上岗；严格执行持证上岗制度，提高安全意识；设置明显的安全警示标志，设置警戒区，配备齐全且合格的安全防护用品，并强制要求正确佩戴和使用；定期进行安全检查，重点检查坍塌、中毒窒息、触电、交通事故、汛期内涝、人</w:t>
      </w:r>
      <w:r>
        <w:rPr>
          <w:rFonts w:hint="eastAsia" w:asciiTheme="minorEastAsia" w:hAnsiTheme="minorEastAsia" w:eastAsiaTheme="minorEastAsia" w:cstheme="minorEastAsia"/>
          <w:sz w:val="22"/>
          <w:szCs w:val="22"/>
          <w:highlight w:val="none"/>
        </w:rPr>
        <w:t xml:space="preserve">员防护用品佩戴、材料堆放稳定性、恶劣天气应对措施等，排查安全隐患并及时整改，对违规操作行为严肃处理。安全教育：新进场人员岗前安全培训时长≥24学时，特种作业人员专项培训时长≥16学时，培训考核合格率100%；每月至少开展1次全员安全再培训，参训率100%。安全防护：施工现场危险区域安全警示标志设置率100%，防护用品（安全帽、安全带等）配备率100%，佩戴规范率100%。安全检查：专职安全员每日至少2次安全巡查，每周至少1次综合安全检查，隐患整改率100%；重伤及以上安全事故发生率0%，轻伤事故频率≤1‰。</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成本目标控制，至少包含将施工成本控制在预算范围内，严格控制材料采购成本，合理安排人力和机械使用等控制措施。优化施工工艺，减少返工。加强现场管理，减少材料损耗。成本偏差：施工总成本控制在预算范围内，偏差率≤±5%；材料采购成本偏差率≤±3%，人力、机械使用成本偏差率≤±4%。损耗控制：主要材料损耗率≤3%，辅助材料损耗率≤5%，超损耗部分需提供详细说明并经采购人确认。</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③技术措施方案：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（1）关键施工技术方案及工艺标准，至少包含管道疏通及检测施工方案、混泥土道路施工方案、雨水工程施工方案。</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2.工程进度计划与保证措施至少包含以下内容：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①对施工进度的关键因素分析方案内容至少包含：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至少包含（（1）前期准备阶段；（2）工程施工阶段；（3）清理验收阶段等的时间及工序进度计划。</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②保证措施和人员分工的合理性方案内容至少包含：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（1）人员保障：明确各工序负责人，合理调配人力，在关键工序（如混凝土浇筑、设备安装）增加施工人员，加快施工速度。人员到位率100%，缺勤率≤3%。</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（2）材料保障：主要材料储备量≥3天施工用量，备用材料储备率100%；材料短缺响应时间≤2 小时，补货到位时间≤24 小时。</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（3）工序衔接：制定详细的工序交接清单，合理安排各工序施工顺序。</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（4）进度监控：工序交接清单编制完整率100%，交接验收合格率100%；上一工序完成后，下一工序进场间隔≤8小时。</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（5）应急处理：针对恶劣天气（暴雨、台风等），提前48小时制定应对方案；安全事故发生后，响应时间≤1小时，处理完成时间≤72小时（一般事故），最大限度减少工期延误（延误≤2天）。</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③实施计划、工期进度安排方案：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总体施工进度计划表（横道图或网络图）</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（1）明确目标和范围：确定计划的目标和范围，确保所有参与方都清楚理解。</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（2）制定详细步骤：将目标分解为具体的目标和行动，制定每个步骤的时间表和责任人。</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（3）资源配置：根据计划的需求，合理配置人力、物力和财力资源。</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（4）沟通与协调：建立有效的沟通机制，确保团队成员与相关方之间信息畅通，协调各方行动。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④工期进度安排</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至少包含（1）前期准备阶段；（2）工程施工阶段；（3）清理验收阶段等的时间及工序进度计划。计划中必须明确各关键节点的开始和完成时间。计划编制完成率100%，关键节点按时完成率≥95%。</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3.安全管理方案和措施方案至少包含以下内容：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①安全管理方案内容至少包含：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安全目标以杜绝重伤及以上安全事故，减少轻伤事故，确保施工人员人身安全和现场设备设施完好，顺利完成工程为目标。重伤及以上安全事故发生率0%，轻伤事故频率≤1‰，施工人员安全培训覆盖率100%，设备设施完好率≥98%。</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明确项目经理为安全第一责任人，配备专职安全员，施工班组设兼职安全员，层层落实安全责任，签订安全责任书。项目开工后3日内完成安全责任书签订，签订率100%；专职安全员持证上岗率100%，施工班组每20人至少设1名兼职安全员，兼职安全员培训考核合格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建立安全生产教育培训制度、安全检查制度、隐患排查整改制度、临时用电管理制度、应急管理制度等，规范施工安全管理流程。制度备案完成时间≤项目开工后3天，各项安全记录留存率100%。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②安全管理制度方案内容至少包含：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安全生产责任制度及考核办法；安全教育培训制度；安全检查及隐患排查制度；事故报告与应急处理制度；特种作业管理制度等。</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③安全保证措施方案内容至少包含：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施工前安全准备：进行全面的安全风险评估，对施工人员进行安全培训和技术交底，考核合格后方可上岗；检查、测试并确保所有安全防护设施牢固可靠，符合规范；设置齐全、醒目的安全警示标志等。安全技术交底覆盖率100%，交底记录签字率100%；安全警示标志设置数量≥施工区域面积/50㎡（每50㎡至少1处），标志完好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（2）各施工环节安全控制：至少包含坍塌、中毒窒息、触电、交通事故、汛期内涝等环节的安全控制。各环节安全控制措施落实率100%。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4.质量管理方案和措施方案至少包含以下内容：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①质量管理方案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（1）质量目标：质量符合国家及行业相关标准，一次验收合格。工程质量验收合格率100%，优良率≥85%，重大质量缺陷发生率0%，材料进场检验合格率100%。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质量管理体系：明确项目经理为质量第一责任人，配备专职质量检查员，施工班组设质量监督员，通过规范的制度约束确保质量管理有序开展。专职质量检查员持证上岗率100%，施工班组质量监督员配置率100%，质量管理文件备案完成时间≤项目开工后10天。</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②具体质量措施</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（2）施工前质量准备：组织施工人员进行详细的技术交底。检查基层条件是否达标。技术交底覆盖率100%，交底记录签字率100%，基层条件达标率100%。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（3）各工序质量控制：各施工环节的质量控制。各工序自检合格率100%，专检合格率100%，未验收合格不得进入下道工序。</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（4）质量检查与验收：每道工序完成后，施工班组先进行自检，自检合格后报质量检查员复检，验收合格签字确认后方可进入下道工序。工序验收记录完整率100%，签字确认率100%。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5.文明施工及环境保护方案至少包含以下内容：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现场管理：施工现场设置明显的施工标识牌，标识牌设置率100%；施工区域进行有效封闭围挡，保持围挡整洁，围挡完好率≥98%；材料、工具、设备按指定区域分类堆放整齐，标识清晰，堆放合格率100%。废旧材料、建筑垃圾及时装入专用容器或袋中，固定位置堆放，垃圾容器配置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②人员管理：施工人员统一佩戴安全帽，佩戴率100%；合理安排施工时间，尽量减少噪声，减少对周边环境的影响。教育工人遵守采购人相关规定，举止文明，禁止喧哗。工人违规次数≤1次/周。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③卫生管理：施工现场设置临时垃圾桶，及时清理施工垃圾和生活垃圾，做到日产日清，集中运至指定地点处理。严禁垃圾从屋面抛掷。垃圾日清率100%。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④工序衔接与成品保护：各工序施工完成后，做到"工完场清"，场清率100%；材料垂直运输或水平运输过程中，采取严密防护措施，防止粉尘飞扬，防护措施落实率100%。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6.缺陷责任期内的服务方案至少包含以下内容：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服务内容：至少包含定期对工程进行巡查，主动发现潜在缺陷并及时处理。接到采购人关于工程缺陷的通知后，及时对缺陷进行核实，制定修复方案，按照规范要求进行修复，确保修复质量符合原工程标准。提供详细的维修记录报告（含缺陷描述、原因分析、修复过程、试验结果、验收结论）给采购人备案。质量保修期内每月至少开展1次工程巡查，巡查覆盖率100%；修复质量验收合格率100%，维修报告提交及时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②响应机制：至少包含接到采购人通知后，2小时内做出响应，明确处理时间；对于紧急缺陷，4小时内到达现场处理。响应及时率100%，紧急缺陷4小时到场率100%，一般缺陷24小时内到场率100%。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问题处理流程：至少包含接收采购人的缺陷通知，详细记录缺陷位置、现象；安排技术人员到现场勘查，确定缺陷原因、范围及严重程度；明确修复方法、材料、工期及责任人；确保施工安全和修复质量及验收等。缺陷记录完整率100%，现场勘查完成时间≤8小时，修复方案确定时间≤24小时，修复工期偏差≤±1天。</w:t>
      </w:r>
      <w:r/>
    </w:p>
    <w:p>
      <w:pPr>
        <w:ind w:left="0" w:firstLine="440"/>
        <w:keepLines w:val="0"/>
        <w:keepNext w:val="0"/>
        <w:pageBreakBefore w:val="0"/>
        <w:spacing w:line="360" w:lineRule="auto"/>
        <w:widowControl w:val="off"/>
        <w:rPr>
          <w:rFonts w:hint="eastAsia"/>
          <w:highlight w:val="none"/>
        </w:rPr>
      </w:pPr>
      <w:r>
        <w:rPr>
          <w:rFonts w:hint="eastAsia" w:asciiTheme="minorEastAsia" w:hAnsiTheme="minorEastAsia" w:eastAsiaTheme="minorEastAsia" w:cstheme="minorEastAsia"/>
          <w:sz w:val="22"/>
          <w:szCs w:val="22"/>
          <w:highlight w:val="none"/>
        </w:rPr>
        <w:t xml:space="preserve">④保障措施：至少包含配备专职的缺陷处理人员和技术人员。建立材料储备清单和供应商快速响应机制。保持与采购人指定联系人的畅通沟通渠道。建立完善的缺陷处理档案管理制度。专职处理人员配置≥2人，技术人员配置≥1人；修复材料储备量≥常用缺陷修复用量的1.2倍，材料到位时间≤24小时。</w:t>
      </w:r>
      <w:r/>
    </w:p>
    <w:p>
      <w:pPr>
        <w:contextualSpacing/>
        <w:ind w:firstLine="482"/>
        <w:spacing w:before="156" w:after="156" w:line="440" w:lineRule="exact"/>
        <w:rPr>
          <w:rFonts w:hint="eastAsia" w:ascii="宋体" w:hAnsi="宋体" w:eastAsia="宋体" w:cs="宋体"/>
          <w:b/>
          <w:sz w:val="24"/>
          <w:highlight w:val="none"/>
        </w:rPr>
        <w:outlineLvl w:val="1"/>
      </w:pPr>
      <w:r>
        <w:rPr>
          <w:rFonts w:hint="eastAsia" w:ascii="宋体" w:hAnsi="宋体" w:eastAsia="宋体" w:cs="宋体"/>
          <w:b/>
          <w:szCs w:val="21"/>
          <w:highlight w:val="none"/>
        </w:rPr>
        <w:t xml:space="preserve">七、采购标的对应的中小企业划分标准所属行业一览表</w:t>
      </w:r>
      <w:r/>
    </w:p>
    <w:tbl>
      <w:tblPr>
        <w:tblStyle w:val="848"/>
        <w:tblW w:w="81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4458"/>
        <w:gridCol w:w="2801"/>
      </w:tblGrid>
      <w:tr>
        <w:trPr>
          <w:cantSplit/>
          <w:jc w:val="center"/>
          <w:tblCellSpacing w:w="0" w:type="dxa"/>
          <w:trHeight w:val="285"/>
        </w:trPr>
        <w:tc>
          <w:tcPr>
            <w:tcW w:w="940" w:type="dxa"/>
            <w:vAlign w:val="center"/>
            <w:textDirection w:val="lrTb"/>
            <w:noWrap w:val="false"/>
          </w:tcPr>
          <w:p>
            <w:pPr>
              <w:pStyle w:val="87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序号</w:t>
            </w:r>
            <w:r/>
          </w:p>
        </w:tc>
        <w:tc>
          <w:tcPr>
            <w:tcW w:w="4458" w:type="dxa"/>
            <w:vAlign w:val="center"/>
            <w:textDirection w:val="lrTb"/>
            <w:noWrap w:val="false"/>
          </w:tcPr>
          <w:p>
            <w:pPr>
              <w:pStyle w:val="87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采购标的</w:t>
            </w:r>
            <w:r/>
          </w:p>
        </w:tc>
        <w:tc>
          <w:tcPr>
            <w:tcW w:w="2801" w:type="dxa"/>
            <w:vAlign w:val="center"/>
            <w:textDirection w:val="lrTb"/>
            <w:noWrap w:val="false"/>
          </w:tcPr>
          <w:p>
            <w:pPr>
              <w:pStyle w:val="87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对应中小企业划分标准所属行业</w:t>
            </w:r>
            <w:r/>
          </w:p>
        </w:tc>
      </w:tr>
      <w:tr>
        <w:trPr>
          <w:cantSplit/>
          <w:jc w:val="center"/>
          <w:tblCellSpacing w:w="0" w:type="dxa"/>
          <w:trHeight w:val="417"/>
        </w:trPr>
        <w:tc>
          <w:tcPr>
            <w:tcW w:w="940" w:type="dxa"/>
            <w:vAlign w:val="center"/>
            <w:textDirection w:val="lrTb"/>
            <w:noWrap w:val="false"/>
          </w:tcPr>
          <w:p>
            <w:pPr>
              <w:pStyle w:val="87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1</w:t>
            </w:r>
            <w:r/>
          </w:p>
        </w:tc>
        <w:tc>
          <w:tcPr>
            <w:tcW w:w="4458" w:type="dxa"/>
            <w:vAlign w:val="center"/>
            <w:textDirection w:val="lrTb"/>
            <w:noWrap w:val="false"/>
          </w:tcPr>
          <w:p>
            <w:pPr>
              <w:pStyle w:val="87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龙冈镇三旺村道路及桥梁改造和人居环境提升项目</w:t>
            </w:r>
            <w:r/>
          </w:p>
        </w:tc>
        <w:tc>
          <w:tcPr>
            <w:tcW w:w="2801" w:type="dxa"/>
            <w:vAlign w:val="center"/>
            <w:textDirection w:val="lrTb"/>
            <w:noWrap w:val="false"/>
          </w:tcPr>
          <w:p>
            <w:pPr>
              <w:pStyle w:val="873"/>
              <w:jc w:val="center"/>
              <w:spacing w:beforeAutospacing="0" w:afterAutospacing="0" w:line="0" w:lineRule="atLeast"/>
              <w:rPr>
                <w:rFonts w:hint="eastAsia" w:ascii="宋体" w:hAnsi="宋体" w:eastAsia="宋体" w:cs="宋体"/>
                <w:highlight w:val="none"/>
              </w:rPr>
            </w:pPr>
            <w:r>
              <w:rPr>
                <w:b/>
                <w:bCs/>
                <w:highlight w:val="none"/>
              </w:rPr>
              <w:t xml:space="preserve"> </w:t>
            </w:r>
            <w:r>
              <w:rPr>
                <w:rFonts w:hint="eastAsia"/>
                <w:b/>
                <w:bCs/>
                <w:highlight w:val="none"/>
              </w:rPr>
              <w:t xml:space="preserve">建筑业</w:t>
            </w:r>
            <w:r>
              <w:rPr>
                <w:rFonts w:hint="eastAsia" w:ascii="宋体" w:hAnsi="宋体" w:eastAsia="宋体" w:cs="宋体"/>
                <w:highlight w:val="none"/>
              </w:rPr>
              <w:t xml:space="preserve"> </w:t>
            </w:r>
            <w:r/>
          </w:p>
        </w:tc>
      </w:tr>
    </w:tbl>
    <w:p>
      <w:pPr>
        <w:rPr>
          <w:highlight w:val="none"/>
        </w:rPr>
      </w:pPr>
      <w:r>
        <w:rPr>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widowControl/>
        <w:rPr>
          <w:highlight w:val="none"/>
        </w:rPr>
      </w:pPr>
      <w:r/>
      <w:bookmarkStart w:id="660" w:name="_Toc120614281"/>
      <w:r/>
      <w:bookmarkStart w:id="661" w:name="_Toc6274"/>
      <w:r>
        <w:rPr>
          <w:rFonts w:hint="eastAsia" w:ascii="黑体" w:hAnsi="宋体" w:eastAsia="黑体" w:cs="黑体"/>
          <w:sz w:val="44"/>
          <w:szCs w:val="44"/>
          <w:highlight w:val="none"/>
        </w:rPr>
        <w:br w:type="page" w:clear="all"/>
      </w:r>
      <w:r>
        <w:rPr>
          <w:rFonts w:hint="eastAsia" w:ascii="黑体" w:hAnsi="宋体" w:eastAsia="黑体" w:cs="黑体"/>
          <w:sz w:val="44"/>
          <w:szCs w:val="44"/>
          <w:highlight w:val="none"/>
        </w:rPr>
        <w:t xml:space="preserve">第五章  </w:t>
      </w:r>
      <w:r>
        <w:rPr>
          <w:rFonts w:hint="eastAsia" w:ascii="黑体" w:hAnsi="宋体" w:eastAsia="黑体" w:cs="黑体"/>
          <w:b/>
          <w:sz w:val="44"/>
          <w:szCs w:val="44"/>
          <w:highlight w:val="none"/>
        </w:rPr>
        <w:t xml:space="preserve">评审方法与评审标准</w:t>
      </w:r>
      <w:bookmarkEnd w:id="660"/>
      <w:r/>
      <w:bookmarkEnd w:id="661"/>
      <w:r/>
      <w:r/>
    </w:p>
    <w:p>
      <w:pPr>
        <w:pStyle w:val="873"/>
        <w:jc w:val="both"/>
        <w:spacing w:beforeAutospacing="0" w:afterAutospacing="0"/>
        <w:rPr>
          <w:highlight w:val="none"/>
        </w:rPr>
      </w:pPr>
      <w:r>
        <w:rPr>
          <w:highlight w:val="none"/>
        </w:rPr>
        <w:t xml:space="preserve"> </w:t>
      </w:r>
      <w:r/>
    </w:p>
    <w:p>
      <w:pPr>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一、定标原则</w:t>
      </w:r>
      <w:r/>
    </w:p>
    <w:p>
      <w:pPr>
        <w:pStyle w:val="1031"/>
        <w:ind w:firstLine="600"/>
        <w:rPr>
          <w:rFonts w:hint="eastAsia" w:ascii="宋体" w:hAnsi="宋体" w:eastAsia="宋体" w:cs="宋体"/>
          <w:highlight w:val="none"/>
        </w:rPr>
      </w:pPr>
      <w:r>
        <w:rPr>
          <w:rFonts w:hint="eastAsia" w:ascii="宋体" w:hAnsi="宋体" w:eastAsia="宋体" w:cs="宋体"/>
          <w:highlight w:val="none"/>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highlight w:val="none"/>
        </w:rPr>
        <w:t xml:space="preserve">第二十一条第三款情形的，可以推荐2家成交候选供应商。评审得分相同的，按照最后报价由低到高的顺序推荐。评审得分且最后报价相同的，按照技术指标优劣顺序推荐。</w:t>
      </w:r>
      <w:r/>
    </w:p>
    <w:p>
      <w:pPr>
        <w:pStyle w:val="873"/>
        <w:ind w:firstLine="442"/>
        <w:spacing w:beforeAutospacing="0" w:afterAutospacing="0" w:line="460" w:lineRule="exact"/>
        <w:rPr>
          <w:rFonts w:hint="eastAsia" w:ascii="宋体" w:hAnsi="宋体" w:eastAsia="宋体" w:cs="宋体"/>
          <w:highlight w:val="none"/>
        </w:rPr>
      </w:pPr>
      <w:r>
        <w:rPr>
          <w:rFonts w:hint="eastAsia" w:ascii="宋体" w:hAnsi="宋体" w:eastAsia="宋体" w:cs="宋体"/>
          <w:b/>
          <w:highlight w:val="none"/>
        </w:rPr>
        <w:t xml:space="preserve">政府采购政策功能落实</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1、小微型企业</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（2）供应商需按照采购文件的要求提供相应的《中小企业声明函》。</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（3）企业标准请参照《关于印发中小企业划型标准规定的通知》（工信部联企业[2011]300号）文件规定自行填写。</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2、残疾人福利单位</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（2）残疾人福利单位需按照采购文件的要求提供《残疾人福利性单位声明函》。</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3、监狱和戒毒企业</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4、残疾人福利单位、监狱企业属于小型、微型企业的，不重复享受政策。</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5、严格执行政府采购关于支持</w:t>
      </w:r>
      <w:r>
        <w:rPr>
          <w:rFonts w:hint="eastAsia" w:ascii="宋体" w:hAnsi="宋体" w:eastAsia="宋体" w:cs="宋体"/>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6、供应商对于投标产品的商品包装、快递包装应按照“财办库〔2020〕123号《关于印发《商品包装政府采购需求标准（试行）》、《快递包装政府采购需求标准（试行）》的通知》”执行。</w:t>
      </w:r>
      <w:r/>
    </w:p>
    <w:p>
      <w:pPr>
        <w:pStyle w:val="873"/>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7、本文件中若涉及到数据中心采购，应按照《&lt;绿色数据中心政府采购需求标准（试行）&gt;的通知》（财库〔2023〕7号）执行。</w:t>
      </w:r>
      <w:r/>
    </w:p>
    <w:p>
      <w:pPr>
        <w:pStyle w:val="873"/>
        <w:ind w:firstLine="480"/>
        <w:spacing w:beforeAutospacing="0" w:afterAutospacing="0" w:line="460" w:lineRule="exact"/>
        <w:rPr>
          <w:rFonts w:hint="eastAsia" w:ascii="宋体" w:hAnsi="宋体" w:eastAsia="宋体" w:cs="宋体"/>
          <w:b/>
          <w:bCs/>
          <w:highlight w:val="none"/>
        </w:rPr>
      </w:pPr>
      <w:r>
        <w:rPr>
          <w:rFonts w:hint="eastAsia" w:ascii="宋体" w:hAnsi="宋体" w:eastAsia="宋体" w:cs="宋体"/>
          <w:highlight w:val="none"/>
        </w:rPr>
        <w:t xml:space="preserve">8、</w:t>
      </w:r>
      <w:r>
        <w:rPr>
          <w:rFonts w:hint="eastAsia" w:ascii="宋体" w:hAnsi="宋体" w:eastAsia="宋体" w:cs="宋体"/>
          <w:b/>
          <w:bCs/>
          <w:highlight w:val="none"/>
        </w:rPr>
        <w:t xml:space="preserve">评标委员会认为投标人的报价明显低于其他通过符合性审查投标人的报价，有可能影响产品质量或者不能诚信履约的，应当启动异常低价投标（响应）审查，审查的情形和具体要求如下：</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（一）评审过程中出现下列情形之一的，评标委员会应当启动异常低价投标审查程序：</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3.投标（响应）报价低于采购项目最高限价45%的，即投标（响应）报价&lt;采购项目最高限价×45%；</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4.评审委员会基于专业判断，认为供应商报价过低，有可能影响产品质量或者不能诚信履约的其他情形。</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提醒：采购人可以结合具体项目实际情况，提高上述第1项至第3项中启动异常低价投标（响应）审查的数值标准，但是最高不得超过65%。</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相关法律法规对供应商报价有规定的，从其规定。</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3"/>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3"/>
        <w:ind w:firstLine="482"/>
        <w:spacing w:beforeAutospacing="0" w:afterAutospacing="0" w:line="460" w:lineRule="exact"/>
        <w:rPr>
          <w:rFonts w:hint="eastAsia" w:ascii="宋体" w:hAnsi="宋体" w:eastAsia="宋体" w:cs="宋体"/>
          <w:b/>
          <w:highlight w:val="none"/>
        </w:rPr>
      </w:pPr>
      <w:r>
        <w:rPr>
          <w:rFonts w:hint="eastAsia" w:ascii="宋体" w:hAnsi="宋体" w:eastAsia="宋体" w:cs="宋体"/>
          <w:b/>
          <w:highlight w:val="none"/>
        </w:rPr>
        <w:t xml:space="preserve">二、评审方法与评审标准</w:t>
      </w:r>
      <w:r/>
    </w:p>
    <w:p>
      <w:pPr>
        <w:ind w:firstLine="480"/>
        <w:jc w:val="left"/>
        <w:spacing w:line="560" w:lineRule="exact"/>
        <w:widowControl/>
        <w:rPr>
          <w:rFonts w:hint="eastAsia" w:ascii="宋体" w:hAnsi="宋体" w:eastAsia="宋体" w:cs="宋体"/>
          <w:sz w:val="24"/>
          <w:highlight w:val="none"/>
        </w:rPr>
      </w:pPr>
      <w:r>
        <w:rPr>
          <w:rFonts w:hint="eastAsia" w:asciiTheme="minorEastAsia" w:hAnsiTheme="minorEastAsia" w:cstheme="minorEastAsia"/>
          <w:sz w:val="24"/>
          <w:szCs w:val="20"/>
          <w:highlight w:val="none"/>
        </w:rPr>
        <w:t xml:space="preserve">本项目评分总分值为100分。</w:t>
      </w:r>
      <w:r/>
    </w:p>
    <w:tbl>
      <w:tblPr>
        <w:tblStyle w:val="876"/>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8359"/>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rPr>
                <w:rFonts w:ascii="宋体" w:hAnsi="宋体" w:eastAsia="宋体" w:cs="宋体"/>
                <w:b/>
                <w:color w:val="000000"/>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ind w:left="29"/>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价格分</w:t>
            </w:r>
            <w:r/>
          </w:p>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30</w:t>
            </w:r>
            <w:r>
              <w:rPr>
                <w:rFonts w:ascii="宋体" w:hAnsi="宋体" w:eastAsia="宋体" w:cs="宋体"/>
                <w:color w:val="000000"/>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000000"/>
                <w:highlight w:val="none"/>
              </w:rPr>
              <w:t xml:space="preserve">30</w:t>
            </w:r>
            <w:r>
              <w:rPr>
                <w:rFonts w:ascii="宋体" w:hAnsi="宋体" w:eastAsia="宋体" w:cs="宋体"/>
                <w:color w:val="000000"/>
                <w:highlight w:val="none"/>
              </w:rPr>
              <w:t xml:space="preserve">（投标报价分值计算按四舍五入取至小数点后两位）。</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企业业绩（</w:t>
            </w:r>
            <w:r>
              <w:rPr>
                <w:rFonts w:ascii="宋体" w:hAnsi="宋体" w:eastAsia="宋体" w:cs="宋体"/>
                <w:color w:val="000000"/>
                <w:highlight w:val="none"/>
              </w:rPr>
              <w:t xml:space="preserve">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应商自202</w:t>
            </w:r>
            <w:r>
              <w:rPr>
                <w:rFonts w:hint="eastAsia" w:ascii="宋体" w:hAnsi="宋体" w:eastAsia="宋体" w:cs="宋体"/>
                <w:color w:val="auto"/>
                <w:highlight w:val="none"/>
              </w:rPr>
              <w:t xml:space="preserve">3</w:t>
            </w:r>
            <w:r>
              <w:rPr>
                <w:rFonts w:ascii="宋体" w:hAnsi="宋体" w:eastAsia="宋体" w:cs="宋体"/>
                <w:color w:val="auto"/>
                <w:highlight w:val="none"/>
              </w:rPr>
              <w:t xml:space="preserve">年1</w:t>
            </w:r>
            <w:r>
              <w:rPr>
                <w:rFonts w:hint="eastAsia" w:ascii="宋体" w:hAnsi="宋体" w:eastAsia="宋体" w:cs="宋体"/>
                <w:color w:val="auto"/>
                <w:highlight w:val="none"/>
              </w:rPr>
              <w:t xml:space="preserve">0</w:t>
            </w:r>
            <w:r>
              <w:rPr>
                <w:rFonts w:ascii="宋体" w:hAnsi="宋体" w:eastAsia="宋体" w:cs="宋体"/>
                <w:color w:val="auto"/>
                <w:highlight w:val="none"/>
              </w:rPr>
              <w:t xml:space="preserve">月1日以来承担过一个类似项目业绩，有一</w:t>
            </w:r>
            <w:r>
              <w:rPr>
                <w:rFonts w:hint="eastAsia" w:ascii="宋体" w:hAnsi="宋体" w:eastAsia="宋体" w:cs="宋体"/>
                <w:color w:val="auto"/>
                <w:highlight w:val="none"/>
              </w:rPr>
              <w:t xml:space="preserve">个</w:t>
            </w:r>
            <w:r>
              <w:rPr>
                <w:rFonts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4</w:t>
            </w:r>
            <w:r>
              <w:rPr>
                <w:rFonts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每增加一个得2分，</w:t>
            </w:r>
            <w:r>
              <w:rPr>
                <w:rFonts w:ascii="宋体" w:hAnsi="宋体" w:eastAsia="宋体" w:cs="宋体"/>
                <w:color w:val="auto"/>
                <w:highlight w:val="none"/>
              </w:rPr>
              <w:t xml:space="preserve">本项最高得</w:t>
            </w: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注：1、业绩时间以交（竣）工验收证明时间为准，提供</w:t>
            </w:r>
            <w:r>
              <w:rPr>
                <w:rFonts w:ascii="宋体" w:hAnsi="宋体" w:eastAsia="宋体" w:cs="宋体"/>
                <w:b/>
                <w:color w:val="000000"/>
                <w:highlight w:val="none"/>
              </w:rPr>
              <w:t xml:space="preserve">成交确认书或中标通知书</w:t>
            </w:r>
            <w:r>
              <w:rPr>
                <w:rFonts w:ascii="宋体" w:hAnsi="宋体" w:eastAsia="宋体" w:cs="宋体"/>
                <w:color w:val="000000"/>
                <w:highlight w:val="none"/>
              </w:rPr>
              <w:t xml:space="preserve">（非招标项目不需提供，但须提供业主出具的加盖单位公章的直接发包证明）、</w:t>
            </w:r>
            <w:r>
              <w:rPr>
                <w:rFonts w:ascii="宋体" w:hAnsi="宋体" w:eastAsia="宋体" w:cs="宋体"/>
                <w:b/>
                <w:color w:val="000000"/>
                <w:highlight w:val="none"/>
              </w:rPr>
              <w:t xml:space="preserve">施工合同、交</w:t>
            </w:r>
            <w:r>
              <w:rPr>
                <w:rFonts w:hint="eastAsia" w:ascii="宋体" w:hAnsi="宋体" w:eastAsia="宋体" w:cs="宋体"/>
                <w:b/>
                <w:color w:val="000000"/>
                <w:highlight w:val="none"/>
              </w:rPr>
              <w:t xml:space="preserve">工或</w:t>
            </w:r>
            <w:r>
              <w:rPr>
                <w:rFonts w:ascii="宋体" w:hAnsi="宋体" w:eastAsia="宋体" w:cs="宋体"/>
                <w:b/>
                <w:color w:val="000000"/>
                <w:highlight w:val="none"/>
              </w:rPr>
              <w:t xml:space="preserve">竣工验收证明原件彩色扫描件并加盖CA电子公章（所提供材料无法证明相关工作内容，供应商可出具业主证明材料并加盖CA电子公章，格式自拟。）</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2、未提供上述材料或提供不全的，不予加分。如业绩材料弄虚作假，一经查实，建议政府采购部门将其列入黑名单。</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企业管理（3分）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投标人具有有效且通过年检的质量管理体系认证证书、环境管理体系认证证书、职业健康安全管理体系认证证书，每提供1个得1分，最高得3分。 </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注：投标时提供上述证书的原件扫描件，同时须提供上述证书在中国国家认证认可监督管理委员会网站http://www.cnca.gov.cn/查询页面完整截图，</w:t>
            </w:r>
            <w:r>
              <w:rPr>
                <w:rFonts w:ascii="宋体" w:hAnsi="宋体" w:eastAsia="宋体" w:cs="宋体"/>
                <w:color w:val="000000"/>
                <w:highlight w:val="none"/>
              </w:rPr>
              <w:t xml:space="preserve">并加盖CA电子公章</w:t>
            </w:r>
            <w:r>
              <w:rPr>
                <w:rFonts w:hint="eastAsia" w:ascii="宋体" w:hAnsi="宋体" w:eastAsia="宋体" w:cs="宋体"/>
                <w:color w:val="000000"/>
                <w:highlight w:val="none"/>
              </w:rPr>
              <w:t xml:space="preserve">，投标人应当确保证书开标当天处于有效期内，否则不予认可。不提供不得分。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人员配备（6分）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1、拟投入本项目的项目负责人具有</w:t>
            </w:r>
            <w:r>
              <w:rPr>
                <w:rFonts w:ascii="宋体" w:hAnsi="宋体" w:eastAsia="宋体" w:cs="宋体"/>
                <w:color w:val="000000"/>
                <w:highlight w:val="none"/>
              </w:rPr>
              <w:t xml:space="preserve">建设工程类中级职称得 </w:t>
            </w:r>
            <w:r>
              <w:rPr>
                <w:rFonts w:hint="eastAsia" w:ascii="宋体" w:hAnsi="宋体" w:eastAsia="宋体" w:cs="宋体"/>
                <w:color w:val="000000"/>
                <w:highlight w:val="none"/>
              </w:rPr>
              <w:t xml:space="preserve">1</w:t>
            </w:r>
            <w:r>
              <w:rPr>
                <w:rFonts w:ascii="宋体" w:hAnsi="宋体" w:eastAsia="宋体" w:cs="宋体"/>
                <w:color w:val="000000"/>
                <w:highlight w:val="none"/>
              </w:rPr>
              <w:t xml:space="preserve"> 分，高级及以上职称得 </w:t>
            </w: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 分，</w:t>
            </w:r>
            <w:r>
              <w:rPr>
                <w:rFonts w:hint="eastAsia" w:ascii="宋体" w:hAnsi="宋体" w:eastAsia="宋体" w:cs="宋体"/>
                <w:color w:val="000000"/>
                <w:highlight w:val="none"/>
              </w:rPr>
              <w:t xml:space="preserve">此项最高</w:t>
            </w:r>
            <w:r>
              <w:rPr>
                <w:rFonts w:ascii="宋体" w:hAnsi="宋体" w:eastAsia="宋体" w:cs="宋体"/>
                <w:color w:val="000000"/>
                <w:highlight w:val="none"/>
              </w:rPr>
              <w:t xml:space="preserve"> </w:t>
            </w: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 分</w:t>
            </w:r>
            <w:r>
              <w:rPr>
                <w:rFonts w:hint="eastAsia" w:ascii="宋体" w:hAnsi="宋体" w:eastAsia="宋体" w:cs="宋体"/>
                <w:color w:val="000000"/>
                <w:highlight w:val="none"/>
              </w:rPr>
              <w:t xml:space="preserve">。 </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2、拟投入本项目的成员具有资料员证书的得1分，此项最高1分。</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3、拟投入本项目的成员具有专职安全员证书的得1分，此项最高1分。</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4、拟投入本项目的成员具有质量员证书的得1分，此项最高1分。</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5、拟投入本项目的成员具有施工员证书的得1分，此项最高1分。</w:t>
            </w:r>
            <w:r/>
          </w:p>
          <w:p>
            <w:pPr>
              <w:spacing w:line="40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w:t>
            </w:r>
            <w:r>
              <w:rPr>
                <w:rFonts w:hint="eastAsia" w:ascii="宋体" w:hAnsi="宋体" w:eastAsia="宋体" w:cs="宋体"/>
                <w:b/>
                <w:bCs/>
                <w:color w:val="000000"/>
                <w:highlight w:val="none"/>
              </w:rPr>
              <w:t xml:space="preserve">上述人员不得重复计分，投标时提供人员证书彩色扫描件，以及对应人员</w:t>
            </w:r>
            <w:r>
              <w:rPr>
                <w:rFonts w:ascii="宋体" w:hAnsi="宋体" w:eastAsia="宋体" w:cs="宋体"/>
                <w:b/>
                <w:bCs/>
                <w:color w:val="000000"/>
                <w:highlight w:val="none"/>
              </w:rPr>
              <w:t xml:space="preserve">从2026年8月开始至投标截止之日当月内至少1个月在本单位缴纳养老保险缴费记录证明（退休人员提供在本单位相关证明）</w:t>
            </w:r>
            <w:r>
              <w:rPr>
                <w:rFonts w:hint="eastAsia" w:ascii="宋体" w:hAnsi="宋体" w:eastAsia="宋体" w:cs="宋体"/>
                <w:b/>
                <w:bCs/>
                <w:color w:val="000000"/>
                <w:highlight w:val="none"/>
              </w:rPr>
              <w:t xml:space="preserve">并</w:t>
            </w:r>
            <w:r>
              <w:rPr>
                <w:rFonts w:ascii="宋体" w:hAnsi="宋体" w:eastAsia="宋体" w:cs="宋体"/>
                <w:b/>
                <w:bCs/>
                <w:color w:val="000000"/>
                <w:highlight w:val="none"/>
              </w:rPr>
              <w:t xml:space="preserve">加盖CA电子公章。</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项目实施方案（</w:t>
            </w:r>
            <w:r>
              <w:rPr>
                <w:rFonts w:hint="eastAsia" w:ascii="宋体" w:hAnsi="宋体" w:eastAsia="宋体" w:cs="宋体"/>
                <w:color w:val="000000"/>
                <w:highlight w:val="none"/>
                <w:lang w:val="en-US" w:eastAsia="zh-CN"/>
              </w:rPr>
              <w:t xml:space="preserve">51</w:t>
            </w:r>
            <w:r>
              <w:rPr>
                <w:rFonts w:ascii="宋体" w:hAnsi="宋体" w:eastAsia="宋体" w:cs="宋体"/>
                <w:color w:val="000000"/>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1.施工准备方案、目标控制方案及技术措施方案（10分）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施工准备方案、目标控制方案及技术措施”要求提供至少包含：①施工准备方案；②施工项目目标控制；③技术措施方案；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2.工程进度计划与保证措施（10分）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工程进度计划与保证措施”要求提供至少包含：①对施工进度的关键因素分析；②保证措施和人员分工的合理性方案；③实施计划、工期进度安排；④工期进度安排等方面内容进行综合评定：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3.安全管理方案和措施（10分）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安全管理方案和措施”要求提供至少包含：①安全管理方案；②安全管理制度；③安全保证措施等方面内容。进行综合评定：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4.质量管理方案和措施（10分）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质量管理方案和措施”要求提供至少包含：①确定质量方针和目标；②具体质量措施等方面内容进行综合评定：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5.文明施工及环境保护方案（</w:t>
            </w:r>
            <w:r>
              <w:rPr>
                <w:rFonts w:hint="eastAsia"/>
                <w:highlight w:val="none"/>
                <w:lang w:val="en-US" w:eastAsia="zh-CN"/>
              </w:rPr>
              <w:t xml:space="preserve">6</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供应商根据本项目第四章中“文明施工及环境保护方案”要求提供至少包含：①现场管理；②人员管理；③卫生管理；④工序衔接与成品保护等方面内容。进行综合评定：优于项目需求的得</w:t>
            </w:r>
            <w:r>
              <w:rPr>
                <w:rFonts w:hint="eastAsia"/>
                <w:highlight w:val="none"/>
                <w:lang w:val="en-US" w:eastAsia="zh-CN"/>
              </w:rPr>
              <w:t xml:space="preserve">6</w:t>
            </w:r>
            <w:r>
              <w:rPr>
                <w:rFonts w:hint="eastAsia"/>
                <w:highlight w:val="none"/>
              </w:rPr>
              <w:t xml:space="preserve">分；满足项目需求的得</w:t>
            </w:r>
            <w:r>
              <w:rPr>
                <w:rFonts w:hint="eastAsia"/>
                <w:highlight w:val="none"/>
                <w:lang w:val="en-US" w:eastAsia="zh-CN"/>
              </w:rPr>
              <w:t xml:space="preserve">4</w:t>
            </w:r>
            <w:r>
              <w:rPr>
                <w:rFonts w:hint="eastAsia"/>
                <w:highlight w:val="none"/>
              </w:rPr>
              <w:t xml:space="preserve">分；基本满足项目需求、存在少量瑕疵的得</w:t>
            </w:r>
            <w:r>
              <w:rPr>
                <w:rFonts w:hint="eastAsia"/>
                <w:highlight w:val="none"/>
                <w:lang w:val="en-US" w:eastAsia="zh-CN"/>
              </w:rPr>
              <w:t xml:space="preserve">2</w:t>
            </w:r>
            <w:r>
              <w:rPr>
                <w:rFonts w:hint="eastAsia"/>
                <w:highlight w:val="none"/>
              </w:rPr>
              <w:t xml:space="preserve">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6.缺陷责任期内的服务方案（</w:t>
            </w:r>
            <w:r>
              <w:rPr>
                <w:rFonts w:hint="eastAsia"/>
                <w:highlight w:val="none"/>
                <w:lang w:val="en-US" w:eastAsia="zh-CN"/>
              </w:rPr>
              <w:t xml:space="preserve">5</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供应商根据本项目第四章中“缺陷责任期内的服务方案”要求提供至少包含：①服务内容；②响应机制；③问题处理流程；④保障措施等方面内容。进行综合评定：优于项目需求的得</w:t>
            </w:r>
            <w:r>
              <w:rPr>
                <w:rFonts w:hint="eastAsia"/>
                <w:highlight w:val="none"/>
                <w:lang w:val="en-US" w:eastAsia="zh-CN"/>
              </w:rPr>
              <w:t xml:space="preserve">5</w:t>
            </w:r>
            <w:r>
              <w:rPr>
                <w:rFonts w:hint="eastAsia"/>
                <w:highlight w:val="none"/>
              </w:rPr>
              <w:t xml:space="preserve">分；满足项目需求的得</w:t>
            </w:r>
            <w:r>
              <w:rPr>
                <w:rFonts w:hint="eastAsia"/>
                <w:highlight w:val="none"/>
                <w:lang w:val="en-US" w:eastAsia="zh-CN"/>
              </w:rPr>
              <w:t xml:space="preserve">3</w:t>
            </w:r>
            <w:r>
              <w:rPr>
                <w:rFonts w:hint="eastAsia"/>
                <w:highlight w:val="none"/>
              </w:rPr>
              <w:t xml:space="preserve">分；基本满足项目需求、存在少量瑕疵的得</w:t>
            </w:r>
            <w:r>
              <w:rPr>
                <w:rFonts w:hint="eastAsia"/>
                <w:highlight w:val="none"/>
                <w:lang w:val="en-US" w:eastAsia="zh-CN"/>
              </w:rPr>
              <w:t xml:space="preserve">1</w:t>
            </w:r>
            <w:r>
              <w:rPr>
                <w:rFonts w:hint="eastAsia"/>
                <w:highlight w:val="none"/>
              </w:rPr>
              <w:t xml:space="preserve">分；不满足或无此项内容的本项不得分。</w:t>
            </w:r>
            <w:r/>
          </w:p>
          <w:p>
            <w:pPr>
              <w:spacing w:line="400" w:lineRule="exact"/>
              <w:widowControl/>
              <w:rPr>
                <w:b/>
                <w:bCs/>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注：</w:t>
            </w:r>
            <w:r/>
          </w:p>
          <w:p>
            <w:pPr>
              <w:spacing w:line="400" w:lineRule="exact"/>
              <w:widowControl/>
              <w:rPr>
                <w:b/>
                <w:bCs/>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1.供应商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符合。具体由评审委员会评审。</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2.</w:t>
            </w:r>
            <w:r>
              <w:rPr>
                <w:rFonts w:hint="eastAsia"/>
                <w:b/>
                <w:bCs/>
                <w:highlight w:val="none"/>
              </w:rPr>
              <w:t xml:space="preserve">方案总页数不得超过100页，否则本项内容不得分。</w:t>
            </w:r>
            <w:r/>
          </w:p>
        </w:tc>
      </w:tr>
    </w:tbl>
    <w:p>
      <w:pPr>
        <w:jc w:val="center"/>
        <w:spacing w:before="240" w:after="24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t xml:space="preserve"> </w:t>
      </w:r>
      <w:r/>
    </w:p>
    <w:p>
      <w:pPr>
        <w:pStyle w:val="87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3"/>
        <w:jc w:val="both"/>
        <w:spacing w:beforeAutospacing="0" w:afterAutospacing="0"/>
        <w:rPr>
          <w:rFonts w:hint="eastAsia" w:ascii="黑体" w:hAnsi="宋体" w:eastAsia="黑体" w:cs="黑体"/>
          <w:sz w:val="44"/>
          <w:szCs w:val="44"/>
          <w:highlight w:val="none"/>
        </w:rPr>
      </w:pPr>
      <w:r>
        <w:rPr>
          <w:rFonts w:hint="eastAsia" w:ascii="仿宋" w:hAnsi="仿宋" w:eastAsia="仿宋" w:cs="仿宋"/>
          <w:highlight w:val="none"/>
        </w:rPr>
        <w:t xml:space="preserve"> </w:t>
      </w:r>
      <w:r/>
    </w:p>
    <w:p>
      <w:pPr>
        <w:rPr>
          <w:rFonts w:hint="eastAsia" w:ascii="黑体" w:hAnsi="宋体" w:eastAsia="黑体" w:cs="黑体"/>
          <w:sz w:val="44"/>
          <w:szCs w:val="44"/>
          <w:highlight w:val="none"/>
        </w:rPr>
      </w:pPr>
      <w:r/>
      <w:bookmarkStart w:id="662" w:name="_Toc21664"/>
      <w:r>
        <w:rPr>
          <w:rFonts w:hint="eastAsia" w:ascii="黑体" w:hAnsi="宋体" w:eastAsia="黑体" w:cs="黑体"/>
          <w:sz w:val="44"/>
          <w:szCs w:val="44"/>
          <w:highlight w:val="none"/>
        </w:rPr>
        <w:br w:type="page" w:clear="all"/>
      </w:r>
      <w:r/>
    </w:p>
    <w:p>
      <w:pPr>
        <w:pStyle w:val="873"/>
        <w:jc w:val="center"/>
        <w:keepNext/>
        <w:spacing w:beforeAutospacing="0" w:afterAutospacing="0"/>
        <w:rPr>
          <w:highlight w:val="none"/>
        </w:rPr>
        <w:outlineLvl w:val="0"/>
      </w:pPr>
      <w:r>
        <w:rPr>
          <w:rFonts w:hint="eastAsia" w:ascii="黑体" w:hAnsi="宋体" w:eastAsia="黑体" w:cs="黑体"/>
          <w:sz w:val="44"/>
          <w:szCs w:val="44"/>
          <w:highlight w:val="none"/>
        </w:rPr>
        <w:t xml:space="preserve">第六章  响应文件格式</w:t>
      </w:r>
      <w:bookmarkEnd w:id="662"/>
      <w:r>
        <w:rPr>
          <w:rFonts w:hint="eastAsia" w:ascii="黑体" w:hAnsi="宋体" w:eastAsia="黑体" w:cs="黑体"/>
          <w:sz w:val="44"/>
          <w:szCs w:val="44"/>
          <w:highlight w:val="none"/>
        </w:rPr>
        <w:t xml:space="preserve"> </w:t>
      </w:r>
      <w:r/>
    </w:p>
    <w:p>
      <w:pPr>
        <w:pStyle w:val="873"/>
        <w:jc w:val="center"/>
        <w:spacing w:beforeAutospacing="0" w:afterAutospacing="0"/>
        <w:rPr>
          <w:rFonts w:hint="eastAsia" w:ascii="宋体" w:hAnsi="宋体" w:eastAsia="宋体" w:cs="宋体"/>
          <w:b/>
          <w:sz w:val="72"/>
          <w:szCs w:val="72"/>
          <w:highlight w:val="none"/>
        </w:rPr>
      </w:pPr>
      <w:r/>
      <w:bookmarkStart w:id="663" w:name="_Toc49090576"/>
      <w:r/>
      <w:bookmarkEnd w:id="663"/>
      <w:r/>
      <w:bookmarkStart w:id="664" w:name="_Toc120614282"/>
      <w:r/>
      <w:bookmarkEnd w:id="664"/>
      <w:r/>
      <w:bookmarkStart w:id="665" w:name="_Toc26554094"/>
      <w:r/>
      <w:bookmarkStart w:id="666" w:name="_Hlt26955039"/>
      <w:r/>
      <w:bookmarkStart w:id="667" w:name="_Hlt26671244"/>
      <w:r/>
      <w:r/>
    </w:p>
    <w:p>
      <w:pPr>
        <w:pStyle w:val="873"/>
        <w:jc w:val="center"/>
        <w:spacing w:beforeAutospacing="0" w:afterAutospacing="0"/>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73"/>
        <w:jc w:val="center"/>
        <w:spacing w:beforeAutospacing="0" w:afterAutospacing="0"/>
        <w:rPr>
          <w:highlight w:val="none"/>
        </w:rPr>
      </w:pPr>
      <w:r>
        <w:rPr>
          <w:rFonts w:hint="eastAsia" w:ascii="宋体" w:hAnsi="宋体" w:eastAsia="宋体" w:cs="宋体"/>
          <w:b/>
          <w:sz w:val="72"/>
          <w:szCs w:val="72"/>
          <w:highlight w:val="none"/>
        </w:rPr>
        <w:t xml:space="preserve">响  应  文  件</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both"/>
        <w:spacing w:beforeAutospacing="0" w:afterAutospacing="0" w:line="480" w:lineRule="auto"/>
        <w:rPr>
          <w:highlight w:val="none"/>
        </w:rPr>
      </w:pPr>
      <w:r>
        <w:rPr>
          <w:rFonts w:hint="eastAsia" w:ascii="宋体" w:hAnsi="宋体" w:eastAsia="宋体" w:cs="宋体"/>
          <w:b/>
          <w:sz w:val="36"/>
          <w:szCs w:val="36"/>
          <w:highlight w:val="none"/>
        </w:rPr>
        <w:t xml:space="preserve">项 目名 称：</w:t>
      </w:r>
      <w:r>
        <w:rPr>
          <w:rFonts w:hint="eastAsia" w:ascii="宋体" w:hAnsi="宋体" w:eastAsia="宋体" w:cs="宋体"/>
          <w:b/>
          <w:sz w:val="36"/>
          <w:szCs w:val="36"/>
          <w:highlight w:val="none"/>
          <w:u w:val="single"/>
        </w:rPr>
        <w:t xml:space="preserve">               </w:t>
      </w:r>
      <w:r/>
    </w:p>
    <w:p>
      <w:pPr>
        <w:pStyle w:val="873"/>
        <w:jc w:val="both"/>
        <w:spacing w:beforeAutospacing="0" w:afterAutospacing="0" w:line="480" w:lineRule="auto"/>
        <w:rPr>
          <w:highlight w:val="none"/>
        </w:rPr>
      </w:pPr>
      <w:r>
        <w:rPr>
          <w:rFonts w:hint="eastAsia" w:ascii="宋体" w:hAnsi="宋体" w:eastAsia="宋体" w:cs="宋体"/>
          <w:b/>
          <w:sz w:val="36"/>
          <w:szCs w:val="36"/>
          <w:highlight w:val="none"/>
        </w:rPr>
        <w:t xml:space="preserve">项 目编 号：</w:t>
      </w:r>
      <w:r>
        <w:rPr>
          <w:rFonts w:hint="eastAsia" w:ascii="宋体" w:hAnsi="宋体" w:eastAsia="宋体" w:cs="宋体"/>
          <w:b/>
          <w:sz w:val="36"/>
          <w:szCs w:val="36"/>
          <w:highlight w:val="none"/>
          <w:u w:val="single"/>
        </w:rPr>
        <w:t xml:space="preserve">               </w:t>
      </w:r>
      <w:r/>
    </w:p>
    <w:p>
      <w:pPr>
        <w:pStyle w:val="873"/>
        <w:jc w:val="both"/>
        <w:spacing w:beforeAutospacing="0" w:afterAutospacing="0" w:line="480" w:lineRule="auto"/>
        <w:rPr>
          <w:rFonts w:eastAsia="宋体"/>
          <w:highlight w:val="none"/>
        </w:rPr>
        <w:outlineLvl w:val="1"/>
      </w:pPr>
      <w:r>
        <w:rPr>
          <w:rFonts w:hint="eastAsia" w:ascii="宋体" w:hAnsi="宋体" w:eastAsia="宋体" w:cs="宋体"/>
          <w:b/>
          <w:sz w:val="36"/>
          <w:szCs w:val="36"/>
          <w:highlight w:val="none"/>
        </w:rPr>
        <w:t xml:space="preserve">供应商名称 ：</w:t>
      </w:r>
      <w:r>
        <w:rPr>
          <w:rFonts w:hint="eastAsia" w:ascii="宋体" w:hAnsi="宋体" w:eastAsia="宋体" w:cs="宋体"/>
          <w:b/>
          <w:sz w:val="36"/>
          <w:szCs w:val="36"/>
          <w:highlight w:val="none"/>
          <w:u w:val="single"/>
        </w:rPr>
        <w:t xml:space="preserve">（加盖CA电子公章）        </w:t>
      </w:r>
      <w:r/>
    </w:p>
    <w:p>
      <w:pPr>
        <w:pStyle w:val="873"/>
        <w:jc w:val="both"/>
        <w:spacing w:beforeAutospacing="0" w:afterAutospacing="0" w:line="480" w:lineRule="auto"/>
        <w:rPr>
          <w:rFonts w:eastAsia="宋体"/>
          <w:highlight w:val="none"/>
        </w:rPr>
      </w:pPr>
      <w:r>
        <w:rPr>
          <w:rFonts w:hint="eastAsia" w:ascii="宋体" w:hAnsi="宋体" w:eastAsia="宋体" w:cs="宋体"/>
          <w:b/>
          <w:sz w:val="36"/>
          <w:szCs w:val="36"/>
          <w:highlight w:val="none"/>
        </w:rPr>
        <w:t xml:space="preserve">日   期 ：</w:t>
      </w:r>
      <w:r>
        <w:rPr>
          <w:rFonts w:hint="eastAsia" w:ascii="宋体" w:hAnsi="宋体" w:eastAsia="宋体" w:cs="宋体"/>
          <w:b/>
          <w:sz w:val="36"/>
          <w:szCs w:val="36"/>
          <w:highlight w:val="none"/>
          <w:u w:val="single"/>
        </w:rPr>
        <w:t xml:space="preserve">                </w:t>
      </w:r>
      <w:r/>
    </w:p>
    <w:p>
      <w:pPr>
        <w:spacing w:line="48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873"/>
        <w:jc w:val="center"/>
        <w:spacing w:beforeAutospacing="0" w:afterAutospacing="0" w:line="0" w:lineRule="atLeas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响应文件目录</w:t>
      </w:r>
      <w:r/>
    </w:p>
    <w:p>
      <w:pPr>
        <w:pStyle w:val="873"/>
        <w:jc w:val="center"/>
        <w:spacing w:beforeAutospacing="0" w:afterAutospacing="0" w:line="0" w:lineRule="atLeast"/>
        <w:rPr>
          <w:highlight w:val="none"/>
        </w:rPr>
      </w:pPr>
      <w:r>
        <w:rPr>
          <w:highlight w:val="none"/>
        </w:rPr>
        <w:t xml:space="preserve"> </w:t>
      </w:r>
      <w:r/>
    </w:p>
    <w:p>
      <w:pPr>
        <w:pStyle w:val="873"/>
        <w:ind w:left="480"/>
        <w:jc w:val="both"/>
        <w:spacing w:beforeAutospacing="0" w:afterAutospacing="0" w:line="440" w:lineRule="exact"/>
        <w:rPr>
          <w:rFonts w:hint="eastAsia" w:asciiTheme="minorEastAsia" w:hAnsiTheme="minorEastAsia" w:cstheme="minorEastAsia"/>
          <w:iCs/>
          <w:highlight w:val="none"/>
          <w:u w:val="single"/>
        </w:rPr>
        <w:outlineLvl w:val="1"/>
      </w:pPr>
      <w:r>
        <w:rPr>
          <w:rFonts w:hint="eastAsia" w:asciiTheme="minorEastAsia" w:hAnsiTheme="minorEastAsia" w:cstheme="minorEastAsia"/>
          <w:iCs/>
          <w:highlight w:val="none"/>
          <w:u w:val="single"/>
        </w:rPr>
        <w:t xml:space="preserve">一、法人或者其他组织的营业执照等证明文件，自然人的身份证明</w:t>
      </w:r>
      <w:r/>
    </w:p>
    <w:p>
      <w:pPr>
        <w:pStyle w:val="873"/>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    二、上一年度的财务状况报告（至少提供资产负债表、利润表、现金流量表，磋商供应商成立不满一年无需提供）</w:t>
      </w:r>
      <w:r/>
    </w:p>
    <w:p>
      <w:pPr>
        <w:pStyle w:val="873"/>
        <w:ind w:left="480"/>
        <w:jc w:val="both"/>
        <w:spacing w:beforeAutospacing="0" w:afterAutospacing="0" w:line="440" w:lineRule="exact"/>
        <w:rPr>
          <w:rFonts w:hint="eastAsia" w:asciiTheme="minorEastAsia" w:hAnsiTheme="minorEastAsia" w:cstheme="minorEastAsia"/>
          <w:iCs/>
          <w:highlight w:val="none"/>
          <w:u w:val="single"/>
        </w:rPr>
        <w:outlineLvl w:val="1"/>
      </w:pPr>
      <w:r>
        <w:rPr>
          <w:rFonts w:hint="eastAsia" w:asciiTheme="minorEastAsia" w:hAnsiTheme="minorEastAsia" w:cstheme="minorEastAsia"/>
          <w:iCs/>
          <w:highlight w:val="none"/>
          <w:u w:val="single"/>
        </w:rPr>
        <w:t xml:space="preserve">三、具备履行合同所必需的设备和专业技术能力的书面声明</w:t>
      </w:r>
      <w:r/>
    </w:p>
    <w:p>
      <w:pPr>
        <w:pStyle w:val="873"/>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73"/>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五、参加政府采购活动前 3 年内在经营活动中没有重大违法记录的书面声明</w:t>
      </w:r>
      <w:r/>
    </w:p>
    <w:p>
      <w:pPr>
        <w:pStyle w:val="873"/>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六、特定资格要求的证明文件（如果本项目设置特定资格要求，则需要提供）</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（1）投标人有效的资质证书；</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（2）投标人有效的安全生产许可证；</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（3）投标项目负责人有效的安全生产考核合格证（B 类）；</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（4）投标项目负责人有效的建造师注册证书；</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（5）投标申请人代理人及投标承诺的项目负责人均为本单位的正式职工，投标时提供从2026年8月开始至投标截止之日当月内至少1个月在本单位缴纳养老保险缴费记录证明（退休人员提供在本单位相关证明）。</w:t>
      </w:r>
      <w:r/>
    </w:p>
    <w:p>
      <w:pPr>
        <w:ind w:firstLine="482"/>
        <w:spacing w:line="479" w:lineRule="atLeast"/>
        <w:rPr>
          <w:rFonts w:hint="eastAsia" w:asciiTheme="minorEastAsia" w:hAnsiTheme="minorEastAsia" w:cstheme="minorEastAsia"/>
          <w:iCs/>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（6）项目负责人无在岗项目承诺书</w:t>
      </w:r>
      <w:r/>
    </w:p>
    <w:p>
      <w:pPr>
        <w:pStyle w:val="873"/>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七、法人授权书</w:t>
      </w:r>
      <w:r/>
    </w:p>
    <w:p>
      <w:pPr>
        <w:pStyle w:val="873"/>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八、磋商响应函</w:t>
      </w:r>
      <w:r/>
    </w:p>
    <w:p>
      <w:pPr>
        <w:pStyle w:val="873"/>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九、中小企业声明函</w:t>
      </w:r>
      <w:r/>
    </w:p>
    <w:p>
      <w:pPr>
        <w:pStyle w:val="873"/>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十、残疾人福利性单位声明函</w:t>
      </w:r>
      <w:r/>
    </w:p>
    <w:p>
      <w:pPr>
        <w:pStyle w:val="873"/>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十一、已标价的工程量清单报价表</w:t>
      </w:r>
      <w:r/>
    </w:p>
    <w:p>
      <w:pPr>
        <w:pStyle w:val="873"/>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十二、技术要求响应及偏离表</w:t>
      </w:r>
      <w:r/>
    </w:p>
    <w:p>
      <w:pPr>
        <w:pStyle w:val="873"/>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十三、商务要求响应及偏离表</w:t>
      </w:r>
      <w:r/>
    </w:p>
    <w:p>
      <w:pPr>
        <w:pStyle w:val="873"/>
        <w:ind w:left="480"/>
        <w:jc w:val="both"/>
        <w:spacing w:beforeAutospacing="0" w:afterAutospacing="0" w:line="440" w:lineRule="exact"/>
        <w:rPr>
          <w:rFonts w:hint="eastAsia" w:asciiTheme="minorEastAsia" w:hAnsiTheme="minorEastAsia" w:cstheme="minorEastAsia"/>
          <w:i/>
          <w:highlight w:val="none"/>
          <w:u w:val="single"/>
        </w:rPr>
      </w:pPr>
      <w:r>
        <w:rPr>
          <w:rFonts w:hint="eastAsia" w:asciiTheme="minorEastAsia" w:hAnsiTheme="minorEastAsia" w:cstheme="minorEastAsia"/>
          <w:i/>
          <w:highlight w:val="none"/>
          <w:u w:val="single"/>
        </w:rPr>
        <w:t xml:space="preserve">十四、磋商报价表</w:t>
      </w:r>
      <w:r/>
    </w:p>
    <w:p>
      <w:pPr>
        <w:ind w:firstLine="480"/>
        <w:spacing w:before="50" w:after="50" w:line="440" w:lineRule="exact"/>
        <w:widowControl/>
        <w:rPr>
          <w:rFonts w:hint="eastAsia" w:asciiTheme="minorEastAsia" w:hAnsiTheme="minorEastAsia" w:cstheme="minorEastAsia"/>
          <w:iCs/>
          <w:sz w:val="24"/>
          <w:highlight w:val="none"/>
        </w:rPr>
      </w:pPr>
      <w:r>
        <w:rPr>
          <w:rFonts w:hint="eastAsia" w:asciiTheme="minorEastAsia" w:hAnsiTheme="minorEastAsia" w:cstheme="minorEastAsia"/>
          <w:iCs/>
          <w:sz w:val="24"/>
          <w:highlight w:val="none"/>
        </w:rPr>
        <w:t xml:space="preserve">十五、实施方案</w:t>
      </w:r>
      <w:r/>
    </w:p>
    <w:p>
      <w:pPr>
        <w:pStyle w:val="873"/>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十六、盐都区政府采购事前信用承诺书</w:t>
      </w:r>
      <w:r/>
    </w:p>
    <w:p>
      <w:pPr>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br w:type="page" w:clear="all"/>
      </w:r>
      <w:r>
        <w:rPr>
          <w:rFonts w:hint="eastAsia" w:ascii="黑体" w:hAnsi="宋体" w:eastAsia="黑体" w:cs="黑体"/>
          <w:i/>
          <w:sz w:val="32"/>
          <w:szCs w:val="32"/>
          <w:highlight w:val="none"/>
          <w:u w:val="single"/>
        </w:rPr>
        <w:t xml:space="preserve">一、法人或者其他组织的营业执照等证明文件，自然人的身份证明</w:t>
      </w:r>
      <w:r>
        <w:rPr>
          <w:rFonts w:hint="eastAsia" w:ascii="黑体" w:hAnsi="宋体" w:eastAsia="黑体" w:cs="黑体"/>
          <w:i/>
          <w:sz w:val="32"/>
          <w:szCs w:val="32"/>
          <w:highlight w:val="none"/>
          <w:u w:val="single"/>
        </w:rPr>
      </w:r>
      <w:r/>
    </w:p>
    <w:p>
      <w:pPr>
        <w:pStyle w:val="873"/>
        <w:jc w:val="center"/>
        <w:spacing w:beforeAutospacing="0" w:afterAutospacing="0"/>
        <w:rPr>
          <w:rFonts w:eastAsia="黑体"/>
          <w:highlight w:val="none"/>
        </w:rPr>
      </w:pPr>
      <w:r>
        <w:rPr>
          <w:rFonts w:hint="eastAsia" w:ascii="黑体" w:hAnsi="宋体" w:eastAsia="黑体" w:cs="黑体"/>
          <w:i/>
          <w:sz w:val="32"/>
          <w:szCs w:val="32"/>
          <w:highlight w:val="none"/>
          <w:u w:val="single"/>
        </w:rPr>
      </w:r>
      <w:r>
        <w:rPr>
          <w:rFonts w:hint="eastAsia" w:ascii="黑体" w:hAnsi="宋体" w:eastAsia="黑体" w:cs="黑体"/>
          <w:i/>
          <w:sz w:val="32"/>
          <w:szCs w:val="32"/>
          <w:highlight w:val="none"/>
          <w:u w:val="single"/>
        </w:rPr>
      </w:r>
      <w:r/>
    </w:p>
    <w:p>
      <w:pPr>
        <w:pStyle w:val="873"/>
        <w:jc w:val="left"/>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i/>
          <w:sz w:val="32"/>
          <w:szCs w:val="32"/>
          <w:highlight w:val="none"/>
          <w:u w:val="single"/>
        </w:rPr>
      </w:r>
      <w:r>
        <w:rPr>
          <w:rFonts w:hint="eastAsia" w:ascii="黑体" w:hAnsi="宋体" w:eastAsia="黑体" w:cs="黑体"/>
          <w:i/>
          <w:sz w:val="32"/>
          <w:szCs w:val="32"/>
          <w:highlight w:val="none"/>
          <w:u w:val="single"/>
        </w:rPr>
      </w:r>
      <w:r/>
    </w:p>
    <w:p>
      <w:pPr>
        <w:pStyle w:val="873"/>
        <w:jc w:val="left"/>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i/>
          <w:sz w:val="32"/>
          <w:szCs w:val="32"/>
          <w:highlight w:val="none"/>
          <w:u w:val="single"/>
        </w:rPr>
        <w:t xml:space="preserve">二、上一年度的财务状况报告</w:t>
      </w:r>
      <w:r>
        <w:rPr>
          <w:rFonts w:hint="eastAsia" w:ascii="黑体" w:hAnsi="宋体" w:eastAsia="黑体" w:cs="黑体"/>
          <w:bCs/>
          <w:i/>
          <w:sz w:val="32"/>
          <w:szCs w:val="32"/>
          <w:highlight w:val="none"/>
          <w:u w:val="single"/>
        </w:rPr>
      </w:r>
      <w:r/>
    </w:p>
    <w:p>
      <w:pPr>
        <w:pStyle w:val="873"/>
        <w:jc w:val="left"/>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i/>
          <w:sz w:val="32"/>
          <w:szCs w:val="32"/>
          <w:highlight w:val="none"/>
          <w:u w:val="single"/>
        </w:rPr>
      </w:r>
      <w:r>
        <w:rPr>
          <w:rFonts w:hint="eastAsia" w:asciiTheme="minorEastAsia" w:hAnsiTheme="minorEastAsia" w:cstheme="minorEastAsia"/>
          <w:iCs/>
          <w:highlight w:val="none"/>
          <w:u w:val="single"/>
        </w:rPr>
        <w:t xml:space="preserve">（至少提供资产负债表、利润表、现金流量表，磋商供应商成立不满一年无需提供）</w:t>
      </w:r>
      <w:r>
        <w:rPr>
          <w:rFonts w:hint="eastAsia" w:ascii="黑体" w:hAnsi="宋体" w:eastAsia="黑体" w:cs="黑体"/>
          <w:bCs/>
          <w:i/>
          <w:sz w:val="32"/>
          <w:szCs w:val="32"/>
          <w:highlight w:val="none"/>
          <w:u w:val="single"/>
        </w:rPr>
      </w:r>
      <w:r/>
    </w:p>
    <w:p>
      <w:pPr>
        <w:pStyle w:val="873"/>
        <w:ind w:firstLine="480"/>
        <w:jc w:val="both"/>
        <w:spacing w:beforeAutospacing="0" w:afterAutospacing="0" w:line="0" w:lineRule="atLeast"/>
        <w:rPr>
          <w:rFonts w:eastAsia="宋体"/>
          <w:highlight w:val="none"/>
        </w:rPr>
      </w:pPr>
      <w:r>
        <w:rPr>
          <w:rFonts w:eastAsia="宋体"/>
          <w:highlight w:val="none"/>
        </w:rPr>
      </w:r>
      <w:r/>
    </w:p>
    <w:p>
      <w:pPr>
        <w:pStyle w:val="873"/>
        <w:jc w:val="left"/>
        <w:spacing w:beforeAutospacing="0" w:afterAutospacing="0"/>
        <w:rPr>
          <w:highlight w:val="none"/>
        </w:rPr>
        <w:outlineLvl w:val="1"/>
      </w:pPr>
      <w:r>
        <w:rPr>
          <w:rFonts w:hint="eastAsia" w:ascii="黑体" w:hAnsi="宋体" w:eastAsia="黑体" w:cs="黑体"/>
          <w:i/>
          <w:sz w:val="32"/>
          <w:szCs w:val="32"/>
          <w:highlight w:val="none"/>
          <w:u w:val="single"/>
        </w:rPr>
      </w:r>
      <w:r>
        <w:rPr>
          <w:rFonts w:hint="eastAsia" w:ascii="黑体" w:hAnsi="宋体" w:eastAsia="黑体" w:cs="黑体"/>
          <w:i/>
          <w:sz w:val="32"/>
          <w:szCs w:val="32"/>
          <w:highlight w:val="none"/>
          <w:u w:val="single"/>
        </w:rPr>
      </w:r>
      <w:r/>
    </w:p>
    <w:p>
      <w:pPr>
        <w:pStyle w:val="873"/>
        <w:jc w:val="left"/>
        <w:spacing w:beforeAutospacing="0" w:afterAutospacing="0"/>
        <w:rPr>
          <w:rFonts w:hint="eastAsia" w:ascii="黑体" w:hAnsi="宋体" w:eastAsia="黑体" w:cs="黑体"/>
          <w:bCs/>
          <w:i/>
          <w:sz w:val="32"/>
          <w:szCs w:val="32"/>
          <w:highlight w:val="none"/>
          <w:u w:val="single"/>
        </w:rPr>
        <w:outlineLvl w:val="1"/>
      </w:pPr>
      <w:r>
        <w:rPr>
          <w:rFonts w:hint="eastAsia" w:ascii="黑体" w:hAnsi="宋体" w:eastAsia="黑体" w:cs="黑体"/>
          <w:i/>
          <w:sz w:val="32"/>
          <w:szCs w:val="32"/>
          <w:highlight w:val="none"/>
          <w:u w:val="single"/>
        </w:rPr>
        <w:t xml:space="preserve">三、具备履行合同所必需的设备和专业技术能力的书面声明</w:t>
      </w:r>
      <w:r/>
    </w:p>
    <w:p>
      <w:pPr>
        <w:pStyle w:val="87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3"/>
        <w:ind w:firstLine="492"/>
        <w:jc w:val="both"/>
        <w:spacing w:beforeAutospacing="0" w:afterAutospacing="0" w:line="480" w:lineRule="auto"/>
        <w:rPr>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p>
    <w:p>
      <w:pPr>
        <w:pStyle w:val="873"/>
        <w:ind w:firstLine="492"/>
        <w:jc w:val="both"/>
        <w:spacing w:beforeAutospacing="0" w:afterAutospacing="0" w:line="480" w:lineRule="auto"/>
        <w:rPr>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73"/>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73"/>
        <w:jc w:val="left"/>
        <w:spacing w:beforeAutospacing="0" w:afterAutospacing="0"/>
        <w:rPr>
          <w:highlight w:val="none"/>
        </w:rPr>
        <w:outlineLvl w:val="1"/>
      </w:pPr>
      <w:r>
        <w:rPr>
          <w:rFonts w:hint="eastAsia" w:ascii="黑体" w:hAnsi="宋体" w:eastAsia="黑体" w:cs="黑体"/>
          <w:i/>
          <w:sz w:val="32"/>
          <w:szCs w:val="32"/>
          <w:highlight w:val="none"/>
          <w:u w:val="single"/>
        </w:rPr>
      </w:r>
      <w:r>
        <w:rPr>
          <w:rFonts w:hint="eastAsia" w:ascii="黑体" w:hAnsi="宋体" w:eastAsia="黑体" w:cs="黑体"/>
          <w:i/>
          <w:sz w:val="32"/>
          <w:szCs w:val="32"/>
          <w:highlight w:val="none"/>
          <w:u w:val="single"/>
        </w:rPr>
      </w:r>
      <w:r/>
    </w:p>
    <w:p>
      <w:pPr>
        <w:pStyle w:val="873"/>
        <w:jc w:val="left"/>
        <w:spacing w:beforeAutospacing="0" w:afterAutospacing="0"/>
        <w:rPr>
          <w:rFonts w:hint="eastAsia" w:ascii="黑体" w:hAnsi="宋体" w:eastAsia="黑体" w:cs="黑体"/>
          <w:bCs/>
          <w:i/>
          <w:sz w:val="32"/>
          <w:szCs w:val="32"/>
          <w:highlight w:val="none"/>
          <w:u w:val="single"/>
        </w:rPr>
        <w:outlineLvl w:val="1"/>
      </w:pPr>
      <w:r>
        <w:rPr>
          <w:rFonts w:hint="eastAsia" w:ascii="黑体" w:hAnsi="宋体" w:eastAsia="黑体" w:cs="黑体"/>
          <w:i/>
          <w:sz w:val="32"/>
          <w:szCs w:val="32"/>
          <w:highlight w:val="none"/>
          <w:u w:val="single"/>
        </w:rPr>
        <w:t xml:space="preserve">四、依法缴纳税收和社会保障资金的相关材料</w:t>
      </w:r>
      <w:r/>
    </w:p>
    <w:p>
      <w:pPr>
        <w:pStyle w:val="873"/>
        <w:ind w:firstLine="480"/>
        <w:jc w:val="both"/>
        <w:spacing w:beforeAutospacing="0" w:afterAutospacing="0" w:line="360" w:lineRule="auto"/>
        <w:rPr>
          <w:highlight w:val="none"/>
        </w:rPr>
      </w:pPr>
      <w:r>
        <w:rPr>
          <w:rFonts w:hint="eastAsia" w:ascii="宋体" w:hAnsi="宋体" w:eastAsia="宋体" w:cs="宋体"/>
          <w:highlight w:val="none"/>
        </w:rPr>
        <w:t xml:space="preserve">提供提交响应文件截止时间前一年内至少一个月依法缴纳税收及缴纳社会保障资金的证明材料。供应商依法享受缓缴、免缴税收、社会保障资金的提供证明材料。</w:t>
      </w:r>
      <w:r/>
    </w:p>
    <w:p>
      <w:pPr>
        <w:pStyle w:val="873"/>
        <w:jc w:val="both"/>
        <w:spacing w:beforeAutospacing="0" w:afterAutospacing="0" w:line="0" w:lineRule="atLeast"/>
        <w:rPr>
          <w:highlight w:val="none"/>
        </w:rPr>
      </w:pPr>
      <w:r>
        <w:rPr>
          <w:rFonts w:hint="eastAsia" w:ascii="宋体" w:hAnsi="宋体" w:eastAsia="宋体" w:cs="宋体"/>
          <w:highlight w:val="none"/>
        </w:rPr>
        <w:t xml:space="preserve">                                     </w:t>
      </w:r>
      <w:r/>
    </w:p>
    <w:p>
      <w:pPr>
        <w:pStyle w:val="873"/>
        <w:jc w:val="both"/>
        <w:spacing w:beforeAutospacing="0" w:afterAutospacing="0"/>
        <w:rPr>
          <w:highlight w:val="none"/>
        </w:rPr>
      </w:pPr>
      <w:r>
        <w:rPr>
          <w:highlight w:val="none"/>
        </w:rPr>
        <w:t xml:space="preserve"> </w:t>
      </w:r>
      <w:r/>
    </w:p>
    <w:p>
      <w:pPr>
        <w:pStyle w:val="873"/>
        <w:jc w:val="center"/>
        <w:spacing w:beforeAutospacing="0" w:afterAutospacing="0"/>
        <w:rPr>
          <w:highlight w:val="none"/>
        </w:rPr>
        <w:outlineLvl w:val="1"/>
      </w:pPr>
      <w:r>
        <w:rPr>
          <w:rFonts w:hint="eastAsia" w:ascii="黑体" w:hAnsi="宋体" w:eastAsia="黑体" w:cs="黑体"/>
          <w:i/>
          <w:sz w:val="32"/>
          <w:szCs w:val="32"/>
          <w:highlight w:val="none"/>
          <w:u w:val="single"/>
        </w:rPr>
        <w:t xml:space="preserve">五、参加政府采购活动前 3 年内在经营活动中没有重大违法记录的书面声明</w:t>
      </w:r>
      <w:r/>
    </w:p>
    <w:p>
      <w:pPr>
        <w:pStyle w:val="873"/>
        <w:jc w:val="center"/>
        <w:spacing w:beforeAutospacing="0" w:afterAutospacing="0" w:line="0" w:lineRule="atLeas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873"/>
        <w:jc w:val="center"/>
        <w:spacing w:beforeAutospacing="0" w:afterAutospacing="0" w:line="0" w:lineRule="atLeas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873"/>
        <w:jc w:val="center"/>
        <w:spacing w:beforeAutospacing="0" w:afterAutospacing="0" w:line="0" w:lineRule="atLeast"/>
        <w:rPr>
          <w:highlight w:val="none"/>
        </w:rPr>
      </w:pPr>
      <w:r>
        <w:rPr>
          <w:rFonts w:hint="eastAsia" w:ascii="宋体" w:hAnsi="宋体" w:eastAsia="宋体" w:cs="宋体"/>
          <w:b/>
          <w:sz w:val="44"/>
          <w:szCs w:val="44"/>
          <w:highlight w:val="none"/>
        </w:rPr>
        <w:t xml:space="preserve">声  明</w:t>
      </w:r>
      <w:r/>
    </w:p>
    <w:p>
      <w:pPr>
        <w:pStyle w:val="873"/>
        <w:jc w:val="both"/>
        <w:spacing w:beforeAutospacing="0" w:afterAutospacing="0" w:line="0" w:lineRule="atLeast"/>
        <w:rPr>
          <w:rFonts w:hint="eastAsia" w:ascii="宋体" w:hAnsi="宋体" w:eastAsia="宋体" w:cs="宋体"/>
          <w:b/>
          <w:highlight w:val="none"/>
        </w:rPr>
      </w:pPr>
      <w:r>
        <w:rPr>
          <w:rFonts w:hint="eastAsia" w:ascii="宋体" w:hAnsi="宋体" w:eastAsia="宋体" w:cs="宋体"/>
          <w:b/>
          <w:highlight w:val="none"/>
        </w:rPr>
        <w:t xml:space="preserve">   </w:t>
      </w:r>
      <w:r/>
    </w:p>
    <w:p>
      <w:pPr>
        <w:pStyle w:val="873"/>
        <w:ind w:firstLine="480"/>
        <w:jc w:val="both"/>
        <w:spacing w:beforeAutospacing="0" w:afterAutospacing="0" w:line="360" w:lineRule="auto"/>
        <w:rPr>
          <w:highlight w:val="none"/>
        </w:rPr>
      </w:pPr>
      <w:r>
        <w:rPr>
          <w:rFonts w:hint="eastAsia" w:ascii="宋体" w:hAnsi="宋体" w:eastAsia="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3"/>
        <w:jc w:val="left"/>
        <w:spacing w:beforeAutospacing="0" w:afterAutospacing="0"/>
        <w:rPr>
          <w:highlight w:val="none"/>
        </w:rPr>
        <w:outlineLvl w:val="1"/>
      </w:pPr>
      <w:r>
        <w:rPr>
          <w:rFonts w:hint="eastAsia" w:ascii="黑体" w:hAnsi="宋体" w:eastAsia="黑体" w:cs="黑体"/>
          <w:i/>
          <w:sz w:val="32"/>
          <w:szCs w:val="32"/>
          <w:highlight w:val="none"/>
          <w:u w:val="single"/>
        </w:rPr>
        <w:t xml:space="preserve">六、特定资格要求的证明文件</w:t>
      </w:r>
      <w:r/>
    </w:p>
    <w:p>
      <w:pPr>
        <w:pStyle w:val="87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3"/>
        <w:jc w:val="both"/>
        <w:spacing w:beforeAutospacing="0" w:afterAutospacing="0" w:line="0" w:lineRule="atLeast"/>
        <w:rPr>
          <w:highlight w:val="none"/>
        </w:rPr>
      </w:pPr>
      <w:r>
        <w:rPr>
          <w:rFonts w:hint="eastAsia" w:ascii="宋体" w:hAnsi="宋体" w:eastAsia="宋体" w:cs="宋体"/>
          <w:highlight w:val="none"/>
        </w:rPr>
        <w:t xml:space="preserve">如果本项目申请人的特定资格要求中要求提供的，必须提供。</w:t>
      </w:r>
      <w:r/>
    </w:p>
    <w:p>
      <w:pPr>
        <w:jc w:val="center"/>
        <w:widowControl/>
        <w:rPr>
          <w:highlight w:val="none"/>
        </w:rPr>
      </w:pPr>
      <w:r/>
      <w:bookmarkStart w:id="668" w:name="_Toc120614284"/>
      <w:r>
        <w:rPr>
          <w:rFonts w:hint="eastAsia" w:ascii="宋体" w:hAnsi="宋体" w:eastAsia="宋体" w:cs="宋体"/>
          <w:i/>
          <w:color w:val="000000"/>
          <w:sz w:val="32"/>
          <w:highlight w:val="none"/>
          <w:u w:val="single"/>
        </w:rPr>
        <w:t xml:space="preserve">项目负责人（项目经理）无在岗承诺书格式</w:t>
      </w:r>
      <w:r>
        <w:rPr>
          <w:rFonts w:hint="eastAsia" w:ascii="宋体" w:hAnsi="宋体" w:eastAsia="宋体" w:cs="宋体"/>
          <w:color w:val="000000"/>
          <w:sz w:val="28"/>
          <w:szCs w:val="28"/>
          <w:highlight w:val="none"/>
          <w:lang w:bidi="ar"/>
        </w:rPr>
        <w:t xml:space="preserve">：</w:t>
      </w:r>
      <w:r/>
    </w:p>
    <w:p>
      <w:pPr>
        <w:jc w:val="center"/>
        <w:widowControl/>
        <w:rPr>
          <w:rFonts w:hint="eastAsia" w:ascii="宋体" w:hAnsi="宋体" w:eastAsia="宋体" w:cs="宋体"/>
          <w:b/>
          <w:bCs/>
          <w:color w:val="000000"/>
          <w:sz w:val="32"/>
          <w:szCs w:val="32"/>
          <w:highlight w:val="none"/>
          <w:lang w:bidi="ar"/>
        </w:rPr>
      </w:pPr>
      <w:r>
        <w:rPr>
          <w:rFonts w:hint="eastAsia" w:ascii="宋体" w:hAnsi="宋体" w:eastAsia="宋体" w:cs="宋体"/>
          <w:b/>
          <w:bCs/>
          <w:color w:val="000000"/>
          <w:sz w:val="32"/>
          <w:szCs w:val="32"/>
          <w:highlight w:val="none"/>
          <w:lang w:bidi="ar"/>
        </w:rPr>
      </w:r>
      <w:r/>
    </w:p>
    <w:p>
      <w:pPr>
        <w:jc w:val="center"/>
        <w:widowControl/>
        <w:rPr>
          <w:sz w:val="32"/>
          <w:szCs w:val="32"/>
          <w:highlight w:val="none"/>
        </w:rPr>
      </w:pPr>
      <w:r>
        <w:rPr>
          <w:rFonts w:hint="eastAsia" w:ascii="宋体" w:hAnsi="宋体" w:eastAsia="宋体" w:cs="宋体"/>
          <w:b/>
          <w:bCs/>
          <w:color w:val="000000"/>
          <w:sz w:val="32"/>
          <w:szCs w:val="32"/>
          <w:highlight w:val="none"/>
          <w:lang w:bidi="ar"/>
        </w:rPr>
        <w:t xml:space="preserve">无在岗项目承诺书</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致： </w:t>
      </w:r>
      <w:r>
        <w:rPr>
          <w:rFonts w:hint="eastAsia" w:ascii="宋体" w:eastAsia="宋体" w:cs="宋体"/>
          <w:b/>
          <w:bCs/>
          <w:szCs w:val="21"/>
          <w:highlight w:val="none"/>
          <w:u w:val="single"/>
        </w:rPr>
        <w:t xml:space="preserve">            </w:t>
      </w:r>
      <w:r>
        <w:rPr>
          <w:rFonts w:hint="eastAsia" w:ascii="宋体" w:hAnsi="宋体" w:eastAsia="宋体" w:cs="宋体"/>
          <w:color w:val="000000"/>
          <w:szCs w:val="21"/>
          <w:highlight w:val="none"/>
          <w:lang w:bidi="ar"/>
        </w:rPr>
        <w:t xml:space="preserve">（招标人）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我单位自愿参加 </w:t>
      </w:r>
      <w:r>
        <w:rPr>
          <w:rFonts w:hint="eastAsia" w:ascii="宋体" w:eastAsia="宋体" w:cs="宋体"/>
          <w:b/>
          <w:bCs/>
          <w:szCs w:val="21"/>
          <w:highlight w:val="none"/>
          <w:u w:val="single"/>
        </w:rPr>
        <w:t xml:space="preserve">            </w:t>
      </w:r>
      <w:r>
        <w:rPr>
          <w:rFonts w:hint="eastAsia" w:ascii="宋体" w:hAnsi="宋体" w:eastAsia="宋体" w:cs="宋体"/>
          <w:color w:val="000000"/>
          <w:szCs w:val="21"/>
          <w:highlight w:val="none"/>
          <w:lang w:bidi="ar"/>
        </w:rPr>
        <w:t xml:space="preserve">（项目及标段名称） 项目的投标活动，并郑重承诺：（以下两种情况自行勾选，若未勾选视为无在岗项目）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□1、本项目拟投入的项目经理无在岗项目。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ind w:firstLine="525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投标人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盖章</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 </w:t>
      </w:r>
      <w:r/>
    </w:p>
    <w:p>
      <w:pPr>
        <w:ind w:firstLine="294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法定代表人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或其授权的代理人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（签章</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 </w:t>
      </w:r>
      <w:r/>
    </w:p>
    <w:p>
      <w:pPr>
        <w:ind w:firstLine="567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年 月 日 </w:t>
      </w:r>
      <w:r/>
    </w:p>
    <w:p>
      <w:pPr>
        <w:jc w:val="left"/>
        <w:widowControl/>
        <w:rPr>
          <w:szCs w:val="21"/>
          <w:highlight w:val="none"/>
        </w:rPr>
      </w:pPr>
      <w:r>
        <w:rPr>
          <w:rFonts w:hint="eastAsia" w:ascii="宋体" w:hAnsi="宋体" w:eastAsia="宋体" w:cs="宋体"/>
          <w:color w:val="000000"/>
          <w:szCs w:val="21"/>
          <w:highlight w:val="none"/>
          <w:lang w:bidi="ar"/>
        </w:rPr>
        <w:t xml:space="preserve">注：在岗情况，按下列原则认定： </w:t>
      </w:r>
      <w:r/>
    </w:p>
    <w:p>
      <w:pPr>
        <w:jc w:val="left"/>
        <w:widowControl/>
        <w:rPr>
          <w:szCs w:val="21"/>
          <w:highlight w:val="none"/>
        </w:rPr>
      </w:pPr>
      <w:r>
        <w:rPr>
          <w:rFonts w:hint="eastAsia" w:ascii="宋体" w:hAnsi="宋体" w:eastAsia="宋体" w:cs="宋体"/>
          <w:color w:val="000000"/>
          <w:szCs w:val="21"/>
          <w:highlight w:val="none"/>
          <w:lang w:bidi="ar"/>
        </w:rPr>
        <w:t xml:space="preserve">1.在招标项目投标截止时间之前，投标人拟投入的主要人员已在其他项目中作为主要人员任职，包括在已发出中标通知书或者签定合约的其他项目中作为主要人员的，应当视为有在岗项目； </w:t>
      </w:r>
      <w:r/>
    </w:p>
    <w:p>
      <w:pPr>
        <w:jc w:val="left"/>
        <w:widowControl/>
        <w:rPr>
          <w:szCs w:val="21"/>
          <w:highlight w:val="none"/>
        </w:rPr>
      </w:pPr>
      <w:r>
        <w:rPr>
          <w:rFonts w:hint="eastAsia" w:ascii="宋体" w:hAnsi="宋体" w:eastAsia="宋体" w:cs="宋体"/>
          <w:color w:val="000000"/>
          <w:szCs w:val="21"/>
          <w:highlight w:val="none"/>
          <w:lang w:bidi="ar"/>
        </w:rPr>
        <w:t xml:space="preserve">2.未在其他项目上作为主要人员任职，或虽在其他项目上作为主要人员任职、但在投标文件中提供了拟投入本项目中的主要人员在中标后可以从其他项目撤离的书面承诺，视为无在岗项目； </w:t>
      </w:r>
      <w:r/>
    </w:p>
    <w:p>
      <w:pPr>
        <w:jc w:val="left"/>
        <w:widowControl/>
        <w:rPr>
          <w:szCs w:val="21"/>
          <w:highlight w:val="none"/>
        </w:rPr>
      </w:pPr>
      <w:r>
        <w:rPr>
          <w:rFonts w:hint="eastAsia" w:ascii="宋体" w:hAnsi="宋体" w:eastAsia="宋体" w:cs="宋体"/>
          <w:color w:val="000000"/>
          <w:szCs w:val="21"/>
          <w:highlight w:val="none"/>
          <w:lang w:bidi="ar"/>
        </w:rPr>
        <w:t xml:space="preserve">3.投标人拟投入的主要人员在其他项目上作为主要人员任职，虽然项目尚未交工但符合下列情形之一、并在投标文件中提供一旦中标可以从其他项目上撤离的书面承诺，视为无在岗项目： </w:t>
      </w:r>
      <w:r/>
    </w:p>
    <w:p>
      <w:pPr>
        <w:jc w:val="left"/>
        <w:widowControl/>
        <w:rPr>
          <w:szCs w:val="21"/>
          <w:highlight w:val="none"/>
        </w:rPr>
      </w:pPr>
      <w:r>
        <w:rPr>
          <w:rFonts w:hint="eastAsia" w:ascii="宋体" w:hAnsi="宋体" w:eastAsia="宋体" w:cs="宋体"/>
          <w:color w:val="000000"/>
          <w:szCs w:val="21"/>
          <w:highlight w:val="none"/>
          <w:lang w:bidi="ar"/>
        </w:rPr>
        <w:t xml:space="preserve">1）工程已经完工，经项目质量监督机构核验合格，主要人员基本完成职责，非投标人原因尚未进行交工验收的； </w:t>
      </w:r>
      <w:r/>
    </w:p>
    <w:p>
      <w:pPr>
        <w:jc w:val="left"/>
        <w:widowControl/>
        <w:rPr>
          <w:szCs w:val="21"/>
          <w:highlight w:val="none"/>
        </w:rPr>
      </w:pPr>
      <w:r>
        <w:rPr>
          <w:rFonts w:hint="eastAsia" w:ascii="宋体" w:hAnsi="宋体" w:eastAsia="宋体" w:cs="宋体"/>
          <w:color w:val="000000"/>
          <w:szCs w:val="21"/>
          <w:highlight w:val="none"/>
          <w:lang w:bidi="ar"/>
        </w:rPr>
        <w:t xml:space="preserve">2）工程中标后半年内非中标人原因无法开工或停工半年以上无法复工等情况。</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br w:type="page" w:clear="all"/>
      </w:r>
      <w:r/>
    </w:p>
    <w:p>
      <w:pPr>
        <w:pStyle w:val="873"/>
        <w:jc w:val="center"/>
        <w:spacing w:beforeAutospacing="0" w:afterAutospacing="0"/>
        <w:rPr>
          <w:highlight w:val="none"/>
        </w:rPr>
        <w:outlineLvl w:val="1"/>
      </w:pPr>
      <w:r>
        <w:rPr>
          <w:rFonts w:hint="eastAsia" w:ascii="黑体" w:hAnsi="宋体" w:eastAsia="黑体" w:cs="黑体"/>
          <w:i/>
          <w:sz w:val="32"/>
          <w:szCs w:val="32"/>
          <w:highlight w:val="none"/>
          <w:u w:val="single"/>
        </w:rPr>
        <w:t xml:space="preserve">七、法人授权书</w:t>
      </w:r>
      <w:r/>
    </w:p>
    <w:p>
      <w:pPr>
        <w:pStyle w:val="873"/>
        <w:ind w:firstLine="480"/>
        <w:jc w:val="both"/>
        <w:spacing w:beforeAutospacing="0" w:afterAutospacing="0" w:line="480" w:lineRule="exact"/>
        <w:tabs>
          <w:tab w:val="left" w:pos="360" w:leader="none"/>
        </w:tabs>
        <w:rPr>
          <w:rFonts w:ascii="Times New Roman" w:hAnsi="Times New Roman"/>
          <w:highlight w:val="none"/>
        </w:rPr>
      </w:pPr>
      <w:r>
        <w:rPr>
          <w:rFonts w:ascii="Times New Roman" w:hAnsi="Times New Roman"/>
          <w:highlight w:val="none"/>
        </w:rPr>
      </w:r>
      <w:r/>
    </w:p>
    <w:p>
      <w:pPr>
        <w:pStyle w:val="873"/>
        <w:ind w:firstLine="480"/>
        <w:jc w:val="both"/>
        <w:spacing w:beforeAutospacing="0" w:afterAutospacing="0" w:line="480" w:lineRule="exact"/>
        <w:tabs>
          <w:tab w:val="left" w:pos="360" w:leader="none"/>
        </w:tabs>
        <w:rPr>
          <w:highlight w:val="none"/>
        </w:rPr>
      </w:pPr>
      <w:r>
        <w:rPr>
          <w:rFonts w:ascii="Times New Roman" w:hAnsi="Times New Roman"/>
          <w:highlight w:val="none"/>
        </w:rPr>
        <w:t xml:space="preserve">本授权书声明：____________（供应商名称）授权________________（被授权人的姓名）为我方就JSZC-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 xml:space="preserve">号项目采购活动的合法代理人，以本单位名义全权处理一切与该项目采购有关的事务。</w:t>
      </w:r>
      <w:r/>
    </w:p>
    <w:p>
      <w:pPr>
        <w:pStyle w:val="873"/>
        <w:ind w:firstLine="480"/>
        <w:jc w:val="both"/>
        <w:spacing w:beforeAutospacing="0" w:afterAutospacing="0" w:line="480" w:lineRule="exact"/>
        <w:tabs>
          <w:tab w:val="left" w:pos="360" w:leader="none"/>
        </w:tabs>
        <w:rPr>
          <w:highlight w:val="none"/>
        </w:rPr>
      </w:pPr>
      <w:r>
        <w:rPr>
          <w:rFonts w:ascii="Times New Roman" w:hAnsi="Times New Roman"/>
          <w:highlight w:val="none"/>
        </w:rPr>
        <w:t xml:space="preserve">本授权书于______年____月____日起生效，特此声明。</w:t>
      </w:r>
      <w:r/>
    </w:p>
    <w:p>
      <w:pPr>
        <w:pStyle w:val="873"/>
        <w:jc w:val="both"/>
        <w:spacing w:beforeAutospacing="0" w:afterAutospacing="0" w:line="480" w:lineRule="exact"/>
        <w:tabs>
          <w:tab w:val="left" w:pos="360" w:leader="none"/>
        </w:tabs>
        <w:rPr>
          <w:highlight w:val="none"/>
        </w:rPr>
      </w:pPr>
      <w:r>
        <w:rPr>
          <w:rFonts w:ascii="Times New Roman" w:hAnsi="Times New Roman"/>
          <w:highlight w:val="none"/>
        </w:rPr>
        <w:t xml:space="preserve">          被授权人身份证号码：</w:t>
      </w:r>
      <w:r>
        <w:rPr>
          <w:rFonts w:ascii="Times New Roman" w:hAnsi="Times New Roman"/>
          <w:highlight w:val="none"/>
          <w:u w:val="single"/>
        </w:rPr>
        <w:t xml:space="preserve">                              </w:t>
      </w:r>
      <w:r/>
    </w:p>
    <w:p>
      <w:pPr>
        <w:pStyle w:val="873"/>
        <w:jc w:val="both"/>
        <w:spacing w:beforeAutospacing="0" w:afterAutospacing="0" w:line="480" w:lineRule="exact"/>
        <w:tabs>
          <w:tab w:val="left" w:pos="360" w:leader="none"/>
        </w:tabs>
        <w:rPr>
          <w:highlight w:val="none"/>
        </w:rPr>
      </w:pPr>
      <w:r>
        <w:rPr>
          <w:rFonts w:ascii="Times New Roman" w:hAnsi="Times New Roman"/>
          <w:highlight w:val="none"/>
        </w:rPr>
        <w:t xml:space="preserve">          被授权人联系电话：（手机）</w:t>
      </w:r>
      <w:r>
        <w:rPr>
          <w:rFonts w:ascii="Times New Roman" w:hAnsi="Times New Roman"/>
          <w:highlight w:val="none"/>
          <w:u w:val="single"/>
        </w:rPr>
        <w:t xml:space="preserve">                          </w:t>
      </w:r>
      <w:r/>
    </w:p>
    <w:p>
      <w:pPr>
        <w:pStyle w:val="873"/>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p>
    <w:p>
      <w:pPr>
        <w:pStyle w:val="873"/>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单位地址：</w:t>
      </w:r>
      <w:r>
        <w:rPr>
          <w:rFonts w:ascii="Times New Roman" w:hAnsi="Times New Roman"/>
          <w:highlight w:val="none"/>
          <w:u w:val="single"/>
        </w:rPr>
        <w:t xml:space="preserve">                                         </w:t>
      </w:r>
      <w:r/>
    </w:p>
    <w:p>
      <w:pPr>
        <w:pStyle w:val="873"/>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日期：</w:t>
      </w:r>
      <w:bookmarkStart w:id="669" w:name="_格式3__银行出具的资信证明"/>
      <w:r/>
      <w:bookmarkStart w:id="670" w:name="_Hlt26955070"/>
      <w:r/>
      <w:bookmarkStart w:id="671" w:name="_Hlt26671380"/>
      <w:r>
        <w:rPr>
          <w:rFonts w:ascii="Times New Roman" w:hAnsi="Times New Roman"/>
          <w:highlight w:val="none"/>
          <w:u w:val="single"/>
        </w:rPr>
        <w:t xml:space="preserve">                                         </w:t>
      </w:r>
      <w:r/>
    </w:p>
    <w:p>
      <w:pPr>
        <w:pStyle w:val="873"/>
        <w:ind w:firstLine="480"/>
        <w:jc w:val="both"/>
        <w:spacing w:beforeAutospacing="0" w:afterAutospacing="0"/>
        <w:tabs>
          <w:tab w:val="left" w:pos="360" w:leader="none"/>
        </w:tabs>
        <w:rPr>
          <w:highlight w:val="none"/>
        </w:rPr>
      </w:pPr>
      <w:r>
        <w:rPr>
          <w:highlight w:val="none"/>
        </w:rPr>
        <w:t xml:space="preserve"> </w:t>
      </w:r>
      <w:r/>
    </w:p>
    <w:p>
      <w:pPr>
        <w:pStyle w:val="873"/>
        <w:ind w:firstLine="480"/>
        <w:jc w:val="both"/>
        <w:spacing w:beforeAutospacing="0" w:afterAutospacing="0"/>
        <w:tabs>
          <w:tab w:val="left" w:pos="360" w:leader="none"/>
        </w:tabs>
        <w:rPr>
          <w:highlight w:val="none"/>
        </w:rPr>
      </w:pPr>
      <w:r>
        <w:rPr>
          <w:highlight w:val="none"/>
        </w:rPr>
        <w:t xml:space="preserve"> </w:t>
      </w:r>
      <w:r/>
    </w:p>
    <w:p>
      <w:pPr>
        <w:pStyle w:val="873"/>
        <w:ind w:firstLine="420"/>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center"/>
        <w:keepLines/>
        <w:keepNext/>
        <w:spacing w:before="260" w:beforeAutospacing="0" w:after="260" w:afterAutospacing="0" w:line="415" w:lineRule="auto"/>
        <w:rPr>
          <w:highlight w:val="none"/>
        </w:rPr>
        <w:outlineLvl w:val="1"/>
      </w:pPr>
      <w:r>
        <w:rPr>
          <w:rFonts w:hint="eastAsia" w:ascii="宋体" w:hAnsi="宋体" w:eastAsia="宋体" w:cs="宋体"/>
          <w:b/>
          <w:highlight w:val="none"/>
        </w:rPr>
        <w:br w:type="page" w:clear="all"/>
      </w:r>
      <w:r>
        <w:rPr>
          <w:rFonts w:hint="eastAsia" w:ascii="黑体" w:hAnsi="宋体" w:eastAsia="黑体" w:cs="黑体"/>
          <w:b/>
          <w:i/>
          <w:sz w:val="32"/>
          <w:szCs w:val="32"/>
          <w:highlight w:val="none"/>
          <w:u w:val="single"/>
        </w:rPr>
        <w:t xml:space="preserve">八、磋商响应函</w:t>
      </w:r>
      <w:r/>
    </w:p>
    <w:p>
      <w:pPr>
        <w:pStyle w:val="873"/>
        <w:ind w:firstLine="480"/>
        <w:spacing w:beforeAutospacing="0" w:afterAutospacing="0" w:line="440" w:lineRule="exact"/>
        <w:rPr>
          <w:highlight w:val="none"/>
        </w:rPr>
      </w:pPr>
      <w:r>
        <w:rPr>
          <w:rFonts w:hint="eastAsia" w:ascii="宋体" w:hAnsi="宋体" w:eastAsia="宋体" w:cs="宋体"/>
          <w:highlight w:val="none"/>
        </w:rPr>
        <w:t xml:space="preserve">致：盐城市盐都区龙冈镇人民政府根据贵方的</w:t>
      </w:r>
      <w:r>
        <w:rPr>
          <w:rFonts w:hint="eastAsia" w:ascii="宋体" w:hAnsi="宋体" w:eastAsia="宋体" w:cs="宋体"/>
          <w:highlight w:val="none"/>
          <w:lang w:eastAsia="zh-CN"/>
        </w:rPr>
        <w:t xml:space="preserve">JSZC-320903-CSXC-C2026-0049</w:t>
      </w:r>
      <w:r>
        <w:rPr>
          <w:rFonts w:hint="eastAsia" w:ascii="宋体" w:hAnsi="宋体" w:eastAsia="宋体" w:cs="宋体"/>
          <w:highlight w:val="none"/>
        </w:rPr>
        <w:t xml:space="preserve">号磋商文件，正式授权下述签字人______(姓名)代表我方______________（供应商的名称），全权处理本次项目磋商的有关事宜。</w:t>
      </w:r>
      <w:r/>
    </w:p>
    <w:p>
      <w:pPr>
        <w:pStyle w:val="873"/>
        <w:ind w:firstLine="480"/>
        <w:spacing w:beforeAutospacing="0" w:afterAutospacing="0" w:line="440" w:lineRule="exact"/>
        <w:rPr>
          <w:highlight w:val="none"/>
        </w:rPr>
      </w:pPr>
      <w:r>
        <w:rPr>
          <w:rFonts w:hint="eastAsia" w:ascii="宋体" w:hAnsi="宋体" w:eastAsia="宋体" w:cs="宋体"/>
          <w:highlight w:val="none"/>
        </w:rPr>
        <w:t xml:space="preserve">据此函，__________签字人兹宣布同意如下：</w:t>
      </w:r>
      <w:r/>
    </w:p>
    <w:p>
      <w:pPr>
        <w:pStyle w:val="873"/>
        <w:ind w:firstLine="480"/>
        <w:spacing w:beforeAutospacing="0" w:afterAutospacing="0" w:line="440" w:lineRule="exact"/>
        <w:rPr>
          <w:highlight w:val="none"/>
        </w:rPr>
      </w:pPr>
      <w:r>
        <w:rPr>
          <w:rFonts w:hint="eastAsia" w:ascii="宋体" w:hAnsi="宋体" w:eastAsia="宋体" w:cs="宋体"/>
          <w:highlight w:val="none"/>
        </w:rPr>
        <w:t xml:space="preserve">1.按磋商文件规定的各项要求，向买方提供所需货物、服务（包含与货物相关的服务及与服务相关的货物）。</w:t>
      </w:r>
      <w:r/>
    </w:p>
    <w:p>
      <w:pPr>
        <w:pStyle w:val="873"/>
        <w:ind w:firstLine="480"/>
        <w:spacing w:beforeAutospacing="0" w:afterAutospacing="0" w:line="440" w:lineRule="exact"/>
        <w:rPr>
          <w:highlight w:val="none"/>
        </w:rPr>
        <w:outlineLvl w:val="2"/>
      </w:pPr>
      <w:r>
        <w:rPr>
          <w:rFonts w:hint="eastAsia" w:ascii="宋体" w:hAnsi="宋体" w:eastAsia="宋体" w:cs="宋体"/>
          <w:highlight w:val="none"/>
        </w:rPr>
        <w:t xml:space="preserve">2.我们完全理解贵方不一定将合同授予最低报价的供应商。</w:t>
      </w:r>
      <w:r/>
    </w:p>
    <w:p>
      <w:pPr>
        <w:pStyle w:val="873"/>
        <w:ind w:firstLine="480"/>
        <w:spacing w:beforeAutospacing="0" w:afterAutospacing="0" w:line="440" w:lineRule="exact"/>
        <w:rPr>
          <w:highlight w:val="none"/>
        </w:rPr>
      </w:pPr>
      <w:r>
        <w:rPr>
          <w:rFonts w:hint="eastAsia" w:ascii="宋体" w:hAnsi="宋体" w:eastAsia="宋体" w:cs="宋体"/>
          <w:highlight w:val="none"/>
        </w:rPr>
        <w:t xml:space="preserve">3.我们已详细审核全部磋商文件及其有效补充文件，我们知道必须放弃提出含糊不清或误解问题的权利。</w:t>
      </w:r>
      <w:r/>
    </w:p>
    <w:p>
      <w:pPr>
        <w:pStyle w:val="873"/>
        <w:ind w:firstLine="480"/>
        <w:spacing w:beforeAutospacing="0" w:afterAutospacing="0" w:line="440" w:lineRule="exact"/>
        <w:rPr>
          <w:highlight w:val="none"/>
        </w:rPr>
      </w:pPr>
      <w:r>
        <w:rPr>
          <w:rFonts w:hint="eastAsia" w:ascii="宋体" w:hAnsi="宋体" w:eastAsia="宋体" w:cs="宋体"/>
          <w:highlight w:val="none"/>
        </w:rPr>
        <w:t xml:space="preserve">4.我们同意从规定的开标日期起遵循本响应文件，并在规定的磋商有效期期满之前均具有约束力。</w:t>
      </w:r>
      <w:r/>
    </w:p>
    <w:p>
      <w:pPr>
        <w:pStyle w:val="873"/>
        <w:ind w:firstLine="480"/>
        <w:spacing w:beforeAutospacing="0" w:afterAutospacing="0" w:line="440" w:lineRule="exact"/>
        <w:rPr>
          <w:highlight w:val="none"/>
        </w:rPr>
      </w:pPr>
      <w:r>
        <w:rPr>
          <w:rFonts w:hint="eastAsia" w:ascii="宋体" w:hAnsi="宋体" w:eastAsia="宋体" w:cs="宋体"/>
          <w:highlight w:val="none"/>
        </w:rPr>
        <w:t xml:space="preserve">5.同意向贵方提供贵方可能另外要求的与磋商有关的任何证据或资料，并保证我方已提供和将要提供的文件是真实的、准确的。</w:t>
      </w:r>
      <w:r/>
    </w:p>
    <w:p>
      <w:pPr>
        <w:pStyle w:val="873"/>
        <w:ind w:firstLine="480"/>
        <w:spacing w:beforeAutospacing="0" w:afterAutospacing="0" w:line="440" w:lineRule="exact"/>
        <w:rPr>
          <w:highlight w:val="none"/>
        </w:rPr>
      </w:pPr>
      <w:r>
        <w:rPr>
          <w:rFonts w:hint="eastAsia" w:ascii="宋体" w:hAnsi="宋体" w:eastAsia="宋体" w:cs="宋体"/>
          <w:highlight w:val="none"/>
        </w:rPr>
        <w:t xml:space="preserve">6.一旦我方成交,我方将根据磋商文件的规定，严格履行合同的责任和义务,并保证在磋商文件规定的时间完成项目，交付买方验收、使用。</w:t>
      </w:r>
      <w:r/>
    </w:p>
    <w:p>
      <w:pPr>
        <w:pStyle w:val="873"/>
        <w:ind w:left="425"/>
        <w:spacing w:beforeAutospacing="0" w:afterAutospacing="0" w:line="440" w:lineRule="exact"/>
        <w:rPr>
          <w:highlight w:val="none"/>
        </w:rPr>
        <w:outlineLvl w:val="2"/>
      </w:pPr>
      <w:r>
        <w:rPr>
          <w:rFonts w:hint="eastAsia" w:ascii="宋体" w:hAnsi="宋体" w:eastAsia="宋体" w:cs="宋体"/>
          <w:highlight w:val="none"/>
        </w:rPr>
        <w:t xml:space="preserve">7.我方与本磋商有关的正式通讯地址为：</w:t>
      </w:r>
      <w:r/>
    </w:p>
    <w:p>
      <w:pPr>
        <w:pStyle w:val="873"/>
        <w:ind w:left="420" w:firstLine="480"/>
        <w:spacing w:beforeAutospacing="0" w:afterAutospacing="0" w:line="440" w:lineRule="exact"/>
        <w:rPr>
          <w:highlight w:val="none"/>
        </w:rPr>
      </w:pPr>
      <w:r>
        <w:rPr>
          <w:rFonts w:hint="eastAsia" w:ascii="宋体" w:hAnsi="宋体" w:eastAsia="宋体" w:cs="宋体"/>
          <w:highlight w:val="none"/>
        </w:rPr>
        <w:t xml:space="preserve">地          址：</w:t>
      </w:r>
      <w:r/>
    </w:p>
    <w:p>
      <w:pPr>
        <w:pStyle w:val="873"/>
        <w:ind w:left="420" w:firstLine="480"/>
        <w:spacing w:beforeAutospacing="0" w:afterAutospacing="0" w:line="440" w:lineRule="exact"/>
        <w:rPr>
          <w:highlight w:val="none"/>
        </w:rPr>
      </w:pPr>
      <w:r>
        <w:rPr>
          <w:rFonts w:hint="eastAsia" w:ascii="宋体" w:hAnsi="宋体" w:eastAsia="宋体" w:cs="宋体"/>
          <w:highlight w:val="none"/>
        </w:rPr>
        <w:t xml:space="preserve">邮          编：</w:t>
      </w:r>
      <w:r/>
    </w:p>
    <w:p>
      <w:pPr>
        <w:pStyle w:val="873"/>
        <w:ind w:left="420" w:firstLine="480"/>
        <w:spacing w:beforeAutospacing="0" w:afterAutospacing="0" w:line="440" w:lineRule="exact"/>
        <w:rPr>
          <w:highlight w:val="none"/>
        </w:rPr>
      </w:pPr>
      <w:r>
        <w:rPr>
          <w:rFonts w:hint="eastAsia" w:ascii="宋体" w:hAnsi="宋体" w:eastAsia="宋体" w:cs="宋体"/>
          <w:highlight w:val="none"/>
        </w:rPr>
        <w:t xml:space="preserve">电          话：</w:t>
      </w:r>
      <w:r/>
    </w:p>
    <w:p>
      <w:pPr>
        <w:pStyle w:val="873"/>
        <w:ind w:left="420" w:firstLine="480"/>
        <w:spacing w:beforeAutospacing="0" w:afterAutospacing="0" w:line="440" w:lineRule="exact"/>
        <w:rPr>
          <w:highlight w:val="none"/>
        </w:rPr>
      </w:pPr>
      <w:r>
        <w:rPr>
          <w:rFonts w:hint="eastAsia" w:ascii="宋体" w:hAnsi="宋体" w:eastAsia="宋体" w:cs="宋体"/>
          <w:highlight w:val="none"/>
        </w:rPr>
        <w:t xml:space="preserve">传          真：</w:t>
      </w:r>
      <w:r/>
    </w:p>
    <w:p>
      <w:pPr>
        <w:pStyle w:val="873"/>
        <w:ind w:left="420" w:firstLine="480"/>
        <w:spacing w:beforeAutospacing="0" w:afterAutospacing="0" w:line="440" w:lineRule="exact"/>
        <w:rPr>
          <w:highlight w:val="none"/>
        </w:rPr>
      </w:pPr>
      <w:r>
        <w:rPr>
          <w:rFonts w:hint="eastAsia" w:ascii="宋体" w:hAnsi="宋体" w:eastAsia="宋体" w:cs="宋体"/>
          <w:highlight w:val="none"/>
        </w:rPr>
        <w:t xml:space="preserve">供  应  商  开  户   行：</w:t>
      </w:r>
      <w:r/>
    </w:p>
    <w:p>
      <w:pPr>
        <w:pStyle w:val="873"/>
        <w:ind w:left="420" w:firstLine="480"/>
        <w:spacing w:beforeAutospacing="0" w:afterAutospacing="0" w:line="440" w:lineRule="exact"/>
        <w:rPr>
          <w:highlight w:val="none"/>
        </w:rPr>
      </w:pPr>
      <w:r>
        <w:rPr>
          <w:rFonts w:hint="eastAsia" w:ascii="宋体" w:hAnsi="宋体" w:eastAsia="宋体" w:cs="宋体"/>
          <w:highlight w:val="none"/>
        </w:rPr>
        <w:t xml:space="preserve">账          号： </w:t>
      </w:r>
      <w:r/>
    </w:p>
    <w:p>
      <w:pPr>
        <w:pStyle w:val="873"/>
        <w:ind w:left="420" w:firstLine="480"/>
        <w:spacing w:beforeAutospacing="0" w:afterAutospacing="0" w:line="440" w:lineRule="exact"/>
        <w:rPr>
          <w:highlight w:val="none"/>
        </w:rPr>
      </w:pPr>
      <w:r>
        <w:rPr>
          <w:rFonts w:hint="eastAsia" w:ascii="宋体" w:hAnsi="宋体" w:eastAsia="宋体" w:cs="宋体"/>
          <w:highlight w:val="none"/>
        </w:rPr>
        <w:t xml:space="preserve">日          期：________年____月____日</w:t>
      </w:r>
      <w:r/>
    </w:p>
    <w:p>
      <w:pPr>
        <w:rPr>
          <w:highlight w:val="none"/>
        </w:rPr>
      </w:pPr>
      <w:r>
        <w:rPr>
          <w:highlight w:val="none"/>
        </w:rPr>
        <w:br w:type="page" w:clear="all"/>
      </w:r>
      <w:r/>
    </w:p>
    <w:p>
      <w:pPr>
        <w:pStyle w:val="873"/>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t xml:space="preserve">九、中小企业声明函（工程）</w:t>
      </w:r>
      <w:r/>
    </w:p>
    <w:p>
      <w:pPr>
        <w:pStyle w:val="873"/>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号）的规定，本公司参加盐城市盐都区龙冈镇人民政府组织的，采购编号为     的    （项目名称）的采购活动，工程的施工单位全部为符合政策要求的中小企业承接。具体情况如下：</w:t>
      </w:r>
      <w:r/>
    </w:p>
    <w:p>
      <w:pPr>
        <w:numPr>
          <w:ilvl w:val="0"/>
          <w:numId w:val="4"/>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建筑业（磋商文件中明确的所属行业）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4"/>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建筑业（磋商文件中明确的所属行业）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pStyle w:val="873"/>
        <w:ind w:right="720"/>
        <w:jc w:val="both"/>
        <w:spacing w:beforeAutospacing="0" w:afterAutospacing="0" w:line="0" w:lineRule="atLeast"/>
        <w:rPr>
          <w:highlight w:val="none"/>
        </w:rPr>
      </w:pPr>
      <w:r>
        <w:rPr>
          <w:highlight w:val="none"/>
        </w:rPr>
        <w:t xml:space="preserve"> </w:t>
      </w:r>
      <w:r/>
    </w:p>
    <w:p>
      <w:pPr>
        <w:pStyle w:val="873"/>
        <w:ind w:right="180" w:firstLine="360"/>
        <w:jc w:val="right"/>
        <w:spacing w:beforeAutospacing="0" w:afterAutospacing="0" w:line="0" w:lineRule="atLeast"/>
        <w:rPr>
          <w:highlight w:val="none"/>
        </w:rPr>
      </w:pPr>
      <w:r>
        <w:rPr>
          <w:rFonts w:hint="eastAsia" w:ascii="宋体" w:hAnsi="宋体" w:eastAsia="宋体" w:cs="宋体"/>
          <w:highlight w:val="none"/>
        </w:rPr>
        <w:t xml:space="preserve">企业名称（加盖CA电子公章）：</w:t>
      </w:r>
      <w:r/>
    </w:p>
    <w:p>
      <w:pPr>
        <w:pStyle w:val="873"/>
        <w:ind w:right="480" w:firstLine="5400"/>
        <w:jc w:val="both"/>
        <w:spacing w:beforeAutospacing="0" w:afterAutospacing="0" w:line="0" w:lineRule="atLeast"/>
        <w:rPr>
          <w:highlight w:val="none"/>
        </w:rPr>
      </w:pPr>
      <w:r>
        <w:rPr>
          <w:rFonts w:hint="eastAsia" w:ascii="宋体" w:hAnsi="宋体" w:eastAsia="宋体" w:cs="宋体"/>
          <w:highlight w:val="none"/>
        </w:rPr>
        <w:t xml:space="preserve">日  期：</w:t>
      </w:r>
      <w:r/>
    </w:p>
    <w:p>
      <w:pPr>
        <w:pStyle w:val="873"/>
        <w:ind w:firstLine="24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p>
    <w:p>
      <w:pPr>
        <w:pStyle w:val="873"/>
        <w:ind w:firstLine="480"/>
        <w:jc w:val="both"/>
        <w:spacing w:beforeAutospacing="0" w:afterAutospacing="0" w:line="0" w:lineRule="atLeast"/>
        <w:rPr>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p>
    <w:p>
      <w:pPr>
        <w:pStyle w:val="873"/>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br w:type="page" w:clear="all"/>
      </w:r>
      <w:r>
        <w:rPr>
          <w:rFonts w:hint="eastAsia" w:ascii="黑体" w:hAnsi="宋体" w:eastAsia="黑体" w:cs="黑体"/>
          <w:b/>
          <w:sz w:val="32"/>
          <w:szCs w:val="32"/>
          <w:highlight w:val="none"/>
        </w:rPr>
        <w:t xml:space="preserve"> 十、残疾人福利性单位声明函</w:t>
      </w:r>
      <w:r/>
    </w:p>
    <w:p>
      <w:pPr>
        <w:pStyle w:val="873"/>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r>
      <w:r/>
    </w:p>
    <w:p>
      <w:pPr>
        <w:pStyle w:val="873"/>
        <w:ind w:firstLine="480"/>
        <w:jc w:val="both"/>
        <w:spacing w:beforeAutospacing="0" w:afterAutospacing="0" w:line="440" w:lineRule="exact"/>
        <w:rPr>
          <w:highlight w:val="none"/>
        </w:rPr>
      </w:pPr>
      <w:r>
        <w:rPr>
          <w:rFonts w:hint="eastAsia"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项目（分包号：**）采购活动提供本单位制造的货物，或者提供其他残疾人福利性单位制造的货物（不包括使用非残疾人福利性单位注册商标的货物）。</w:t>
      </w:r>
      <w:r/>
    </w:p>
    <w:p>
      <w:pPr>
        <w:pStyle w:val="873"/>
        <w:ind w:firstLine="480"/>
        <w:jc w:val="both"/>
        <w:spacing w:beforeAutospacing="0" w:afterAutospacing="0" w:line="440" w:lineRule="exact"/>
        <w:rPr>
          <w:highlight w:val="none"/>
        </w:rPr>
      </w:pPr>
      <w:r>
        <w:rPr>
          <w:rFonts w:hint="eastAsia" w:ascii="宋体" w:hAnsi="宋体" w:eastAsia="宋体" w:cs="宋体"/>
          <w:highlight w:val="none"/>
        </w:rPr>
        <w:t xml:space="preserve">本单位对上述声明的真实性负责。如有虚假，将依法承担相应责任。</w:t>
      </w:r>
      <w:r/>
    </w:p>
    <w:p>
      <w:pPr>
        <w:pStyle w:val="873"/>
        <w:ind w:firstLine="480"/>
        <w:jc w:val="both"/>
        <w:spacing w:beforeAutospacing="0" w:afterAutospacing="0" w:line="440" w:lineRule="exact"/>
        <w:rPr>
          <w:highlight w:val="none"/>
        </w:rPr>
      </w:pPr>
      <w:r>
        <w:rPr>
          <w:highlight w:val="none"/>
        </w:rPr>
        <w:t xml:space="preserve"> </w:t>
      </w:r>
      <w:r/>
    </w:p>
    <w:p>
      <w:pPr>
        <w:pStyle w:val="873"/>
        <w:ind w:firstLine="480"/>
        <w:jc w:val="both"/>
        <w:spacing w:beforeAutospacing="0" w:afterAutospacing="0" w:line="440" w:lineRule="exact"/>
        <w:rPr>
          <w:highlight w:val="none"/>
        </w:rPr>
      </w:pPr>
      <w:r>
        <w:rPr>
          <w:rFonts w:hint="eastAsia" w:ascii="宋体" w:hAnsi="宋体" w:eastAsia="宋体" w:cs="宋体"/>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73"/>
        <w:ind w:firstLine="624"/>
        <w:jc w:val="both"/>
        <w:spacing w:beforeAutospacing="0" w:afterAutospacing="0" w:line="440" w:lineRule="exact"/>
        <w:rPr>
          <w:highlight w:val="none"/>
        </w:rPr>
      </w:pPr>
      <w:r>
        <w:rPr>
          <w:highlight w:val="none"/>
        </w:rPr>
        <w:t xml:space="preserve"> </w:t>
      </w:r>
      <w:r/>
    </w:p>
    <w:p>
      <w:pPr>
        <w:pStyle w:val="873"/>
        <w:ind w:right="1560" w:firstLine="624"/>
        <w:jc w:val="center"/>
        <w:spacing w:beforeAutospacing="0" w:afterAutospacing="0" w:line="440" w:lineRule="exact"/>
        <w:tabs>
          <w:tab w:val="left" w:pos="4864" w:leader="none"/>
        </w:tabs>
        <w:rPr>
          <w:highlight w:val="none"/>
        </w:rPr>
      </w:pPr>
      <w:r>
        <w:rPr>
          <w:rFonts w:ascii="仿宋_GB2312" w:eastAsia="仿宋_GB2312" w:cs="仿宋_GB2312"/>
          <w:sz w:val="30"/>
          <w:szCs w:val="30"/>
          <w:highlight w:val="none"/>
        </w:rPr>
        <w:t xml:space="preserve">           </w:t>
      </w:r>
      <w:r>
        <w:rPr>
          <w:rFonts w:hint="eastAsia" w:ascii="宋体" w:hAnsi="宋体" w:eastAsia="宋体" w:cs="宋体"/>
          <w:highlight w:val="none"/>
        </w:rPr>
        <w:t xml:space="preserve">供应商全称（加盖CA电子公章）：</w:t>
      </w:r>
      <w:r/>
    </w:p>
    <w:p>
      <w:pPr>
        <w:pStyle w:val="873"/>
        <w:ind w:right="1560" w:firstLine="480"/>
        <w:jc w:val="center"/>
        <w:spacing w:beforeAutospacing="0" w:afterAutospacing="0" w:line="440" w:lineRule="exact"/>
        <w:tabs>
          <w:tab w:val="left" w:pos="4864" w:leader="none"/>
        </w:tabs>
        <w:rPr>
          <w:highlight w:val="none"/>
        </w:rPr>
      </w:pPr>
      <w:r>
        <w:rPr>
          <w:rFonts w:hint="eastAsia" w:ascii="宋体" w:hAnsi="宋体" w:eastAsia="宋体" w:cs="宋体"/>
          <w:highlight w:val="none"/>
        </w:rPr>
        <w:t xml:space="preserve">                       日  期：</w:t>
      </w:r>
      <w:r/>
    </w:p>
    <w:p>
      <w:pPr>
        <w:rPr>
          <w:highlight w:val="none"/>
        </w:rPr>
      </w:pPr>
      <w:r>
        <w:rPr>
          <w:highlight w:val="none"/>
        </w:rPr>
        <w:br w:type="page" w:clear="all"/>
      </w:r>
      <w:r/>
    </w:p>
    <w:p>
      <w:pPr>
        <w:pStyle w:val="873"/>
        <w:jc w:val="center"/>
        <w:spacing w:beforeAutospacing="0" w:afterAutospacing="0" w:line="0" w:lineRule="atLeast"/>
        <w:rPr>
          <w:highlight w:val="none"/>
        </w:rPr>
        <w:outlineLvl w:val="1"/>
      </w:pPr>
      <w:r>
        <w:rPr>
          <w:rFonts w:hint="eastAsia" w:ascii="黑体" w:hAnsi="宋体" w:eastAsia="黑体" w:cs="黑体"/>
          <w:b/>
          <w:sz w:val="32"/>
          <w:szCs w:val="32"/>
          <w:highlight w:val="none"/>
        </w:rPr>
        <w:t xml:space="preserve">十一、已标价的工程量清单报价表</w:t>
      </w:r>
      <w:r/>
    </w:p>
    <w:p>
      <w:pPr>
        <w:pStyle w:val="856"/>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 </w:t>
      </w:r>
      <w:r/>
    </w:p>
    <w:p>
      <w:pPr>
        <w:pStyle w:val="856"/>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※分部分项工程和单价措施项目清单与计价表中列明的所有需要填写的单价和合价，投标人均应填写。未填写单价和合价，视为此项费用已包含在工程量清单的其他单价和合价中。</w:t>
      </w:r>
      <w:r/>
    </w:p>
    <w:p>
      <w:pPr>
        <w:pStyle w:val="856"/>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r/>
    </w:p>
    <w:p>
      <w:pPr>
        <w:pStyle w:val="873"/>
        <w:jc w:val="both"/>
        <w:spacing w:beforeAutospacing="0" w:afterAutospacing="0" w:line="440" w:lineRule="exact"/>
        <w:rPr>
          <w:highlight w:val="none"/>
        </w:rPr>
      </w:pPr>
      <w:r>
        <w:rPr>
          <w:highlight w:val="none"/>
        </w:rPr>
        <w:t xml:space="preserve"> </w:t>
      </w:r>
      <w:r/>
    </w:p>
    <w:p>
      <w:pPr>
        <w:pStyle w:val="873"/>
        <w:jc w:val="both"/>
        <w:spacing w:beforeAutospacing="0" w:afterAutospacing="0" w:line="0" w:lineRule="atLeast"/>
        <w:rPr>
          <w:highlight w:val="none"/>
        </w:rPr>
      </w:pPr>
      <w:r>
        <w:rPr>
          <w:highlight w:val="none"/>
        </w:rPr>
        <w:t xml:space="preserve"> </w:t>
      </w:r>
      <w:r/>
    </w:p>
    <w:p>
      <w:pPr>
        <w:pStyle w:val="873"/>
        <w:jc w:val="both"/>
        <w:spacing w:beforeAutospacing="0" w:afterAutospacing="0"/>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pStyle w:val="873"/>
        <w:jc w:val="center"/>
        <w:spacing w:beforeAutospacing="0" w:afterAutospacing="0"/>
        <w:rPr>
          <w:highlight w:val="none"/>
        </w:rPr>
        <w:outlineLvl w:val="1"/>
      </w:pPr>
      <w:r>
        <w:rPr>
          <w:rFonts w:hint="eastAsia" w:ascii="黑体" w:hAnsi="宋体" w:eastAsia="黑体" w:cs="黑体"/>
          <w:b/>
          <w:sz w:val="32"/>
          <w:szCs w:val="32"/>
          <w:highlight w:val="none"/>
        </w:rPr>
        <w:t xml:space="preserve">十二、技术要求响应及偏离表</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证明</w:t>
            </w:r>
            <w:r/>
          </w:p>
          <w:p>
            <w:pPr>
              <w:pStyle w:val="873"/>
              <w:jc w:val="center"/>
              <w:spacing w:beforeAutospacing="0" w:afterAutospacing="0"/>
              <w:rPr>
                <w:highlight w:val="none"/>
              </w:rPr>
            </w:pPr>
            <w:r>
              <w:rPr>
                <w:rFonts w:hint="eastAsia" w:ascii="宋体" w:hAnsi="宋体" w:eastAsia="宋体" w:cs="宋体"/>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bl>
    <w:p>
      <w:pPr>
        <w:pStyle w:val="873"/>
        <w:jc w:val="both"/>
        <w:spacing w:before="156" w:beforeAutospacing="0" w:afterAutospacing="0"/>
        <w:rPr>
          <w:highlight w:val="none"/>
        </w:rPr>
      </w:pPr>
      <w:r>
        <w:rPr>
          <w:rFonts w:hint="eastAsia" w:ascii="宋体" w:hAnsi="宋体" w:eastAsia="宋体" w:cs="宋体"/>
          <w:highlight w:val="none"/>
        </w:rPr>
        <w:t xml:space="preserve">注： 行数不够，可自行添加。</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rPr>
          <w:rFonts w:hint="eastAsia" w:ascii="黑体" w:hAnsi="宋体" w:eastAsia="黑体" w:cs="黑体"/>
          <w:b/>
          <w:sz w:val="32"/>
          <w:szCs w:val="32"/>
          <w:highlight w:val="none"/>
        </w:rPr>
      </w:pPr>
      <w:r/>
      <w:bookmarkStart w:id="672" w:name="_Hlt26955054"/>
      <w:r>
        <w:rPr>
          <w:rFonts w:hint="eastAsia" w:ascii="黑体" w:hAnsi="宋体" w:eastAsia="黑体" w:cs="黑体"/>
          <w:b/>
          <w:sz w:val="32"/>
          <w:szCs w:val="32"/>
          <w:highlight w:val="none"/>
        </w:rPr>
        <w:br w:type="page" w:clear="all"/>
      </w:r>
      <w:r/>
    </w:p>
    <w:p>
      <w:pPr>
        <w:pStyle w:val="873"/>
        <w:jc w:val="center"/>
        <w:spacing w:beforeAutospacing="0" w:afterAutospacing="0"/>
        <w:rPr>
          <w:highlight w:val="none"/>
        </w:rPr>
        <w:outlineLvl w:val="1"/>
      </w:pPr>
      <w:r>
        <w:rPr>
          <w:rFonts w:hint="eastAsia" w:ascii="黑体" w:hAnsi="宋体" w:eastAsia="黑体" w:cs="黑体"/>
          <w:b/>
          <w:sz w:val="32"/>
          <w:szCs w:val="32"/>
          <w:highlight w:val="none"/>
        </w:rPr>
        <w:t xml:space="preserve">十三、商务要求响应及偏离表</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bookmarkStart w:id="673" w:name="_Hlt26671343"/>
            <w:r/>
            <w:bookmarkStart w:id="674" w:name="_Hlt24879081"/>
            <w:r/>
            <w:bookmarkStart w:id="675" w:name="_Hlt26955064"/>
            <w:r/>
            <w:bookmarkStart w:id="676" w:name="_Hlt26671372"/>
            <w:r/>
            <w:bookmarkStart w:id="677" w:name="_Hlt26955056"/>
            <w:r/>
            <w:bookmarkStart w:id="678" w:name="_Hlt26609391"/>
            <w:r/>
            <w:bookmarkStart w:id="679" w:name="_Hlt26782999"/>
            <w:r/>
            <w:bookmarkStart w:id="680" w:name="_Hlt26580838"/>
            <w:r>
              <w:rPr>
                <w:rFonts w:hint="eastAsia" w:ascii="宋体" w:hAnsi="宋体" w:eastAsia="宋体" w:cs="宋体"/>
                <w:highlight w:val="none"/>
              </w:rPr>
              <w:t xml:space="preserve">序号</w:t>
            </w:r>
            <w:bookmarkEnd w:id="673"/>
            <w:r/>
            <w:bookmarkEnd w:id="674"/>
            <w:r/>
            <w:bookmarkEnd w:id="675"/>
            <w:r/>
            <w:bookmarkEnd w:id="676"/>
            <w:r/>
            <w:bookmarkEnd w:id="677"/>
            <w:r/>
            <w:bookmarkEnd w:id="678"/>
            <w:r/>
            <w:bookmarkEnd w:id="679"/>
            <w:r/>
            <w:bookmarkEnd w:id="680"/>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证明</w:t>
            </w:r>
            <w:r/>
          </w:p>
          <w:p>
            <w:pPr>
              <w:pStyle w:val="873"/>
              <w:jc w:val="center"/>
              <w:spacing w:beforeAutospacing="0" w:afterAutospacing="0"/>
              <w:rPr>
                <w:highlight w:val="none"/>
              </w:rPr>
            </w:pPr>
            <w:r>
              <w:rPr>
                <w:rFonts w:hint="eastAsia" w:ascii="宋体" w:hAnsi="宋体" w:eastAsia="宋体" w:cs="宋体"/>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bl>
    <w:p>
      <w:pPr>
        <w:pStyle w:val="873"/>
        <w:jc w:val="both"/>
        <w:spacing w:before="156" w:beforeAutospacing="0" w:afterAutospacing="0"/>
        <w:rPr>
          <w:highlight w:val="none"/>
        </w:rPr>
      </w:pPr>
      <w:r>
        <w:rPr>
          <w:rFonts w:hint="eastAsia" w:ascii="宋体" w:hAnsi="宋体" w:eastAsia="宋体" w:cs="宋体"/>
          <w:highlight w:val="none"/>
        </w:rPr>
        <w:t xml:space="preserve">注： 行数不够，可自行添加。</w:t>
      </w:r>
      <w:r/>
    </w:p>
    <w:p>
      <w:pPr>
        <w:pStyle w:val="873"/>
        <w:jc w:val="both"/>
        <w:spacing w:beforeAutospacing="0" w:afterAutospacing="0" w:line="480" w:lineRule="auto"/>
        <w:rPr>
          <w:highlight w:val="none"/>
        </w:rPr>
      </w:pPr>
      <w:r>
        <w:rPr>
          <w:highlight w:val="none"/>
        </w:rPr>
        <w:t xml:space="preserve"> </w:t>
      </w:r>
      <w:r/>
    </w:p>
    <w:p>
      <w:pPr>
        <w:pStyle w:val="873"/>
        <w:jc w:val="both"/>
        <w:spacing w:beforeAutospacing="0" w:afterAutospacing="0" w:line="480" w:lineRule="auto"/>
        <w:rPr>
          <w:highlight w:val="none"/>
        </w:rPr>
      </w:pPr>
      <w:r>
        <w:rPr>
          <w:highlight w:val="none"/>
        </w:rPr>
        <w:t xml:space="preserve"> </w:t>
      </w:r>
      <w:r/>
    </w:p>
    <w:p>
      <w:pPr>
        <w:pStyle w:val="873"/>
        <w:jc w:val="center"/>
        <w:spacing w:beforeAutospacing="0" w:afterAutospacing="0"/>
        <w:rPr>
          <w:highlight w:val="none"/>
        </w:rPr>
      </w:pPr>
      <w:r/>
      <w:bookmarkStart w:id="681" w:name="_格式2__法定代表人授权书"/>
      <w:r/>
      <w:bookmarkStart w:id="682" w:name="_Hlt26609389"/>
      <w:r/>
      <w:bookmarkStart w:id="683" w:name="_Hlt26955066"/>
      <w:r/>
      <w:bookmarkStart w:id="684" w:name="_Toc462564146"/>
      <w:r/>
      <w:bookmarkStart w:id="685" w:name="_Hlt26671374"/>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pStyle w:val="873"/>
        <w:jc w:val="center"/>
        <w:spacing w:beforeAutospacing="0" w:afterAutospacing="0"/>
        <w:rPr>
          <w:highlight w:val="none"/>
        </w:rPr>
        <w:outlineLvl w:val="1"/>
      </w:pPr>
      <w:r>
        <w:rPr>
          <w:rFonts w:hint="eastAsia" w:ascii="黑体" w:hAnsi="宋体" w:eastAsia="黑体" w:cs="黑体"/>
          <w:b/>
          <w:i/>
          <w:sz w:val="32"/>
          <w:szCs w:val="32"/>
          <w:highlight w:val="none"/>
          <w:u w:val="single"/>
        </w:rPr>
        <w:t xml:space="preserve">十四、磋商报价表</w:t>
      </w:r>
      <w:r/>
    </w:p>
    <w:p>
      <w:pPr>
        <w:pStyle w:val="873"/>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3"/>
        <w:ind w:firstLine="480"/>
        <w:jc w:val="both"/>
        <w:spacing w:beforeAutospacing="0" w:afterAutospacing="0"/>
        <w:rPr>
          <w:highlight w:val="none"/>
        </w:rPr>
      </w:pPr>
      <w:r>
        <w:rPr>
          <w:rFonts w:hint="eastAsia" w:ascii="宋体" w:hAnsi="宋体" w:eastAsia="宋体" w:cs="宋体"/>
          <w:highlight w:val="none"/>
        </w:rPr>
        <w:t xml:space="preserve">投标人全称（加盖CA电子签章）：</w:t>
      </w:r>
      <w:r/>
    </w:p>
    <w:p>
      <w:pPr>
        <w:pStyle w:val="873"/>
        <w:ind w:firstLine="480"/>
        <w:jc w:val="both"/>
        <w:spacing w:beforeAutospacing="0" w:afterAutospacing="0"/>
        <w:rPr>
          <w:highlight w:val="none"/>
        </w:rPr>
      </w:pPr>
      <w:r>
        <w:rPr>
          <w:rFonts w:hint="eastAsia" w:ascii="宋体" w:hAnsi="宋体" w:eastAsia="宋体" w:cs="宋体"/>
          <w:highlight w:val="none"/>
        </w:rPr>
        <w:t xml:space="preserve">项目名称：</w:t>
      </w:r>
      <w:r/>
    </w:p>
    <w:p>
      <w:pPr>
        <w:pStyle w:val="873"/>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项目编号：</w:t>
      </w:r>
      <w:r/>
    </w:p>
    <w:p>
      <w:pPr>
        <w:ind w:firstLine="482"/>
        <w:spacing w:line="6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56"/>
        <w:gridCol w:w="2825"/>
        <w:gridCol w:w="2841"/>
      </w:tblGrid>
      <w:tr>
        <w:trPr/>
        <w:tc>
          <w:tcPr>
            <w:tcW w:w="2990" w:type="dxa"/>
            <w:textDirection w:val="lrTb"/>
            <w:noWrap w:val="false"/>
          </w:tcPr>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项目名称</w:t>
            </w:r>
            <w:r/>
          </w:p>
        </w:tc>
        <w:tc>
          <w:tcPr>
            <w:tcW w:w="2990" w:type="dxa"/>
            <w:textDirection w:val="lrTb"/>
            <w:noWrap w:val="false"/>
          </w:tcPr>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项目内容</w:t>
            </w:r>
            <w:r/>
          </w:p>
        </w:tc>
        <w:tc>
          <w:tcPr>
            <w:tcW w:w="2990" w:type="dxa"/>
            <w:textDirection w:val="lrTb"/>
            <w:noWrap w:val="false"/>
          </w:tcPr>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总价（小写）</w:t>
            </w:r>
            <w:r/>
          </w:p>
        </w:tc>
      </w:tr>
      <w:tr>
        <w:trPr/>
        <w:tc>
          <w:tcPr>
            <w:tcW w:w="2990" w:type="dxa"/>
            <w:textDirection w:val="lrTb"/>
            <w:noWrap w:val="false"/>
          </w:tcPr>
          <w:p>
            <w:pPr>
              <w:pStyle w:val="873"/>
              <w:jc w:val="both"/>
              <w:spacing w:beforeAutospacing="0" w:afterAutospacing="0" w:line="360" w:lineRule="auto"/>
              <w:rPr>
                <w:rFonts w:hint="eastAsia" w:ascii="宋体" w:hAnsi="宋体" w:eastAsia="宋体" w:cs="宋体"/>
                <w:highlight w:val="none"/>
              </w:rPr>
            </w:pPr>
            <w:r>
              <w:rPr>
                <w:rFonts w:hint="eastAsia" w:ascii="宋体" w:hAnsi="宋体" w:cs="宋体"/>
                <w:highlight w:val="none"/>
              </w:rPr>
              <w:t xml:space="preserve">龙冈镇三旺村道路及桥梁改造和人居环境提升项目</w:t>
            </w:r>
            <w:r/>
          </w:p>
        </w:tc>
        <w:tc>
          <w:tcPr>
            <w:tcW w:w="2990" w:type="dxa"/>
            <w:textDirection w:val="lrTb"/>
            <w:noWrap w:val="false"/>
          </w:tcPr>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szCs w:val="22"/>
                <w:highlight w:val="none"/>
                <w:lang w:eastAsia="en-US"/>
              </w:rPr>
              <w:t xml:space="preserve">详见</w:t>
            </w:r>
            <w:r>
              <w:rPr>
                <w:rFonts w:hint="eastAsia" w:ascii="宋体" w:hAnsi="宋体" w:eastAsia="宋体" w:cs="宋体"/>
                <w:szCs w:val="22"/>
                <w:highlight w:val="none"/>
              </w:rPr>
              <w:t xml:space="preserve">响应</w:t>
            </w:r>
            <w:r>
              <w:rPr>
                <w:rFonts w:hint="eastAsia" w:ascii="宋体" w:hAnsi="宋体" w:eastAsia="宋体" w:cs="宋体"/>
                <w:szCs w:val="22"/>
                <w:highlight w:val="none"/>
                <w:lang w:eastAsia="en-US"/>
              </w:rPr>
              <w:t xml:space="preserve">文件</w:t>
            </w:r>
            <w:r/>
          </w:p>
        </w:tc>
        <w:tc>
          <w:tcPr>
            <w:tcW w:w="2990" w:type="dxa"/>
            <w:textDirection w:val="lrTb"/>
            <w:noWrap w:val="false"/>
          </w:tcPr>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tc>
      </w:tr>
      <w:tr>
        <w:trPr/>
        <w:tc>
          <w:tcPr>
            <w:tcW w:w="2990" w:type="dxa"/>
            <w:textDirection w:val="lrTb"/>
            <w:noWrap w:val="false"/>
          </w:tcPr>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总价（大写）：</w:t>
            </w:r>
            <w:r/>
          </w:p>
        </w:tc>
        <w:tc>
          <w:tcPr>
            <w:gridSpan w:val="2"/>
            <w:tcW w:w="5980" w:type="dxa"/>
            <w:textDirection w:val="lrTb"/>
            <w:noWrap w:val="false"/>
          </w:tcPr>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849"/>
        <w:rPr>
          <w:rFonts w:hint="eastAsia"/>
          <w:highlight w:val="none"/>
        </w:rPr>
      </w:pPr>
      <w:r>
        <w:rPr>
          <w:rFonts w:hint="eastAsia"/>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160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ind w:firstLine="160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rFonts w:hint="eastAsia" w:ascii="宋体" w:hAnsi="宋体" w:eastAsia="宋体" w:cs="宋体"/>
          <w:sz w:val="24"/>
          <w:highlight w:val="none"/>
        </w:rPr>
        <w:t xml:space="preserve">      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873"/>
        <w:widowControl/>
        <w:rPr>
          <w:highlight w:val="none"/>
        </w:rPr>
      </w:pPr>
      <w:r>
        <w:rPr>
          <w:highlight w:val="none"/>
        </w:rPr>
        <w:t xml:space="preserve"> </w:t>
      </w:r>
      <w:r/>
    </w:p>
    <w:p>
      <w:pPr>
        <w:pStyle w:val="873"/>
        <w:widowControl/>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t xml:space="preserve">十五、项目实施方案</w:t>
      </w:r>
      <w:r/>
    </w:p>
    <w:p>
      <w:pPr>
        <w:pStyle w:val="873"/>
        <w:ind w:firstLine="2640"/>
        <w:jc w:val="both"/>
        <w:spacing w:beforeAutospacing="0" w:afterAutospacing="0"/>
        <w:tabs>
          <w:tab w:val="left" w:pos="2160" w:leader="none"/>
        </w:tabs>
        <w:rPr>
          <w:highlight w:val="none"/>
        </w:rPr>
      </w:pPr>
      <w:r>
        <w:rPr>
          <w:rFonts w:ascii="宋体" w:hAnsi="宋体" w:eastAsia="宋体" w:cs="宋体"/>
          <w:color w:val="000000"/>
          <w:highlight w:val="none"/>
        </w:rPr>
        <w:t xml:space="preserve">（按招标文件评标办法编制）</w:t>
      </w:r>
      <w:r/>
    </w:p>
    <w:p>
      <w:pPr>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t xml:space="preserve">十六、盐都区政府采购事前信用承诺书</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32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873"/>
        <w:jc w:val="center"/>
        <w:spacing w:beforeAutospacing="0" w:afterAutospacing="0"/>
        <w:rPr>
          <w:rFonts w:hint="eastAsia" w:ascii="宋体" w:hAnsi="宋体" w:eastAsia="宋体" w:cs="宋体"/>
          <w:b/>
          <w:sz w:val="32"/>
          <w:szCs w:val="32"/>
          <w:highlight w:val="none"/>
        </w:rPr>
        <w:outlineLvl w:val="2"/>
      </w:pPr>
      <w:r>
        <w:rPr>
          <w:rFonts w:hint="eastAsia" w:ascii="宋体" w:hAnsi="宋体" w:eastAsia="宋体" w:cs="宋体"/>
          <w:b/>
          <w:sz w:val="32"/>
          <w:szCs w:val="32"/>
          <w:highlight w:val="none"/>
        </w:rPr>
        <w:t xml:space="preserve">质疑函范本</w:t>
      </w:r>
      <w:r/>
    </w:p>
    <w:p>
      <w:pPr>
        <w:pStyle w:val="873"/>
        <w:jc w:val="both"/>
        <w:spacing w:before="290"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一、质疑供应商基本信息</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质疑供应商：</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地址：</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联系人：</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授权代表：</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地址： </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二、质疑项目基本情况</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质疑项目的名称：</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质疑项目的编号：</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包号：</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采购人名称：</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磋商文件获取日期：</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三、质疑事项具体内容</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质疑事项1：</w:t>
      </w:r>
      <w:r>
        <w:rPr>
          <w:rFonts w:hint="eastAsia" w:ascii="宋体" w:hAnsi="宋体" w:eastAsia="宋体" w:cs="宋体"/>
          <w:highlight w:val="none"/>
          <w:u w:val="single"/>
        </w:rPr>
        <w:t xml:space="preserve">                             </w:t>
      </w:r>
      <w:r/>
    </w:p>
    <w:p>
      <w:pPr>
        <w:pStyle w:val="87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事实依据：</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法律依据：</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质疑事项2</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w:t>
      </w:r>
      <w:r/>
    </w:p>
    <w:p>
      <w:pPr>
        <w:pStyle w:val="873"/>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四、与质疑事项相关的质疑请求</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请求：</w:t>
      </w:r>
      <w:r>
        <w:rPr>
          <w:rFonts w:hint="eastAsia" w:ascii="宋体" w:hAnsi="宋体" w:eastAsia="宋体" w:cs="宋体"/>
          <w:highlight w:val="none"/>
          <w:u w:val="single"/>
        </w:rPr>
        <w:t xml:space="preserve">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签字(签章)：                 公章：               日期：    </w:t>
      </w:r>
      <w:r/>
    </w:p>
    <w:p>
      <w:pPr>
        <w:pStyle w:val="873"/>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质疑函制作说明：</w:t>
      </w:r>
      <w:r/>
    </w:p>
    <w:p>
      <w:pPr>
        <w:pStyle w:val="873"/>
        <w:ind w:firstLine="480"/>
        <w:spacing w:beforeAutospacing="0" w:afterAutospacing="0" w:line="360" w:lineRule="auto"/>
        <w:widowControl/>
        <w:rPr>
          <w:rFonts w:hint="eastAsia" w:ascii="宋体" w:hAnsi="宋体" w:eastAsia="宋体" w:cs="宋体"/>
          <w:highlight w:val="none"/>
        </w:rPr>
        <w:outlineLvl w:val="2"/>
      </w:pPr>
      <w:r>
        <w:rPr>
          <w:rFonts w:hint="eastAsia" w:ascii="宋体" w:hAnsi="宋体" w:eastAsia="宋体" w:cs="宋体"/>
          <w:highlight w:val="none"/>
        </w:rPr>
        <w:t xml:space="preserve">1.供应商提出质疑时，应提交质疑函和必要的证明材料。</w:t>
      </w:r>
      <w:r/>
    </w:p>
    <w:p>
      <w:pPr>
        <w:pStyle w:val="873"/>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3"/>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3.质疑供应商若对项目的某一分包进行质疑，质疑函中应列明具体分包号。</w:t>
      </w:r>
      <w:r/>
    </w:p>
    <w:p>
      <w:pPr>
        <w:pStyle w:val="873"/>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4.质疑函的质疑事项应具体、明确，并有必要的事实依据和法律依据。</w:t>
      </w:r>
      <w:r/>
    </w:p>
    <w:p>
      <w:pPr>
        <w:pStyle w:val="873"/>
        <w:ind w:firstLine="480"/>
        <w:spacing w:beforeAutospacing="0" w:afterAutospacing="0" w:line="360" w:lineRule="auto"/>
        <w:widowControl/>
        <w:rPr>
          <w:rFonts w:hint="eastAsia" w:ascii="宋体" w:hAnsi="宋体" w:eastAsia="宋体" w:cs="宋体"/>
          <w:highlight w:val="none"/>
        </w:rPr>
        <w:outlineLvl w:val="2"/>
      </w:pPr>
      <w:r>
        <w:rPr>
          <w:rFonts w:hint="eastAsia" w:ascii="宋体" w:hAnsi="宋体" w:eastAsia="宋体" w:cs="宋体"/>
          <w:highlight w:val="none"/>
        </w:rPr>
        <w:t xml:space="preserve">5.质疑函的质疑请求应与质疑事项相关。</w:t>
      </w:r>
      <w:r/>
    </w:p>
    <w:p>
      <w:pPr>
        <w:pStyle w:val="873"/>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3"/>
        <w:ind w:firstLine="42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p>
      <w:pPr>
        <w:pStyle w:val="873"/>
        <w:ind w:firstLine="420"/>
        <w:jc w:val="both"/>
        <w:spacing w:beforeAutospacing="0" w:afterAutospacing="0"/>
        <w:rPr>
          <w:highlight w:val="none"/>
        </w:rPr>
      </w:pPr>
      <w:r>
        <w:rPr>
          <w:highlight w:val="none"/>
        </w:rPr>
        <w:t xml:space="preserve"> </w:t>
      </w:r>
      <w:bookmarkEnd w:id="11"/>
      <w:r/>
      <w:bookmarkEnd w:id="47"/>
      <w:r/>
      <w:bookmarkEnd w:id="94"/>
      <w:r/>
      <w:bookmarkEnd w:id="95"/>
      <w:r/>
      <w:bookmarkEnd w:id="96"/>
      <w:r/>
      <w:bookmarkEnd w:id="97"/>
      <w:r/>
      <w:bookmarkEnd w:id="98"/>
      <w:r/>
      <w:bookmarkEnd w:id="99"/>
      <w:r/>
      <w:bookmarkEnd w:id="100"/>
      <w:r/>
      <w:bookmarkEnd w:id="101"/>
      <w:r/>
      <w:bookmarkEnd w:id="110"/>
      <w:r/>
      <w:bookmarkEnd w:id="111"/>
      <w:r/>
      <w:bookmarkEnd w:id="118"/>
      <w:r/>
      <w:bookmarkEnd w:id="167"/>
      <w:r/>
      <w:bookmarkEnd w:id="168"/>
      <w:r/>
      <w:bookmarkEnd w:id="665"/>
      <w:r/>
      <w:bookmarkEnd w:id="666"/>
      <w:r/>
      <w:bookmarkEnd w:id="667"/>
      <w:r/>
      <w:bookmarkEnd w:id="668"/>
      <w:r/>
      <w:bookmarkEnd w:id="669"/>
      <w:r/>
      <w:bookmarkEnd w:id="670"/>
      <w:r/>
      <w:bookmarkEnd w:id="671"/>
      <w:r/>
      <w:bookmarkEnd w:id="672"/>
      <w:r/>
      <w:bookmarkEnd w:id="681"/>
      <w:r/>
      <w:bookmarkEnd w:id="682"/>
      <w:r/>
      <w:bookmarkEnd w:id="683"/>
      <w:r/>
      <w:bookmarkEnd w:id="684"/>
      <w:r/>
      <w:bookmarkEnd w:id="685"/>
      <w:r/>
      <w:r/>
    </w:p>
    <w:p>
      <w:pPr>
        <w:rPr>
          <w:highlight w:val="none"/>
        </w:rPr>
      </w:pPr>
      <w:r>
        <w:rPr>
          <w:highlight w:val="none"/>
        </w:rPr>
      </w:r>
      <w:bookmarkEnd w:id="686"/>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仿宋">
    <w:panose1 w:val="02010609060101010101"/>
  </w:font>
  <w:font w:name="等线">
    <w:panose1 w:val="02010600030101010101"/>
  </w:font>
  <w:font w:name="Garamond">
    <w:panose1 w:val="02020404030301010803"/>
  </w:font>
  <w:font w:name="Calibri">
    <w:panose1 w:val="020F050202020403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txbxContent>
              </v:textbox>
            </v:shape>
          </w:pict>
        </mc:Fallback>
      </mc:AlternateContent>
    </w:r>
    <w:r/>
  </w:p>
  <w:p>
    <w:pPr>
      <w:pStyle w:val="864"/>
      <w:tabs>
        <w:tab w:val="left" w:pos="3615" w:leader="none"/>
      </w:tabs>
      <w:pBdr>
        <w:bottom w:val="none" w:color="auto" w:sz="0" w:space="0"/>
      </w:pBd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2546985</wp:posOffset>
              </wp:positionH>
              <wp:positionV relativeFrom="paragraph">
                <wp:posOffset>-279400</wp:posOffset>
              </wp:positionV>
              <wp:extent cx="617855" cy="23114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617855" cy="2311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00.5pt;mso-position-horizontal:absolute;mso-position-vertical-relative:text;margin-top:-22.0pt;mso-position-vertical:absolute;width:48.6pt;height:18.2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25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2204720</wp:posOffset>
              </wp:positionH>
              <wp:positionV relativeFrom="paragraph">
                <wp:posOffset>-215900</wp:posOffset>
              </wp:positionV>
              <wp:extent cx="494030" cy="18415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494030" cy="184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173.6pt;mso-position-horizontal:absolute;mso-position-vertical-relative:text;margin-top:-17.0pt;mso-position-vertical:absolute;width:38.9pt;height:14.5pt;mso-wrap-distance-left:9.0pt;mso-wrap-distance-top:0.0pt;mso-wrap-distance-right:9.0pt;mso-wrap-distance-bottom:0.0pt;v-text-anchor:top;visibility:visible;" filled="f" stroked="f" strokeweight="0.50pt">
              <v:textbox inset="0,0,0,0">
                <w:txbxContent>
                  <w:p>
                    <w:pPr>
                      <w:pStyle w:val="8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1 Char"/>
    <w:basedOn w:val="847"/>
    <w:link w:val="838"/>
    <w:uiPriority w:val="9"/>
    <w:rPr>
      <w:rFonts w:ascii="Arial" w:hAnsi="Arial" w:eastAsia="Arial" w:cs="Arial"/>
      <w:sz w:val="40"/>
      <w:szCs w:val="40"/>
    </w:rPr>
  </w:style>
  <w:style w:type="character" w:styleId="823">
    <w:name w:val="Heading 2 Char"/>
    <w:basedOn w:val="847"/>
    <w:link w:val="839"/>
    <w:uiPriority w:val="9"/>
    <w:rPr>
      <w:rFonts w:ascii="Arial" w:hAnsi="Arial" w:eastAsia="Arial" w:cs="Arial"/>
      <w:sz w:val="34"/>
    </w:rPr>
  </w:style>
  <w:style w:type="character" w:styleId="824">
    <w:name w:val="Heading 3 Char"/>
    <w:basedOn w:val="847"/>
    <w:link w:val="840"/>
    <w:uiPriority w:val="9"/>
    <w:rPr>
      <w:rFonts w:ascii="Arial" w:hAnsi="Arial" w:eastAsia="Arial" w:cs="Arial"/>
      <w:sz w:val="30"/>
      <w:szCs w:val="30"/>
    </w:rPr>
  </w:style>
  <w:style w:type="character" w:styleId="825">
    <w:name w:val="Heading 4 Char"/>
    <w:basedOn w:val="847"/>
    <w:link w:val="841"/>
    <w:uiPriority w:val="9"/>
    <w:rPr>
      <w:rFonts w:ascii="Arial" w:hAnsi="Arial" w:eastAsia="Arial" w:cs="Arial"/>
      <w:b/>
      <w:bCs/>
      <w:sz w:val="26"/>
      <w:szCs w:val="26"/>
    </w:rPr>
  </w:style>
  <w:style w:type="character" w:styleId="826">
    <w:name w:val="Heading 5 Char"/>
    <w:basedOn w:val="847"/>
    <w:link w:val="842"/>
    <w:uiPriority w:val="9"/>
    <w:rPr>
      <w:rFonts w:ascii="Arial" w:hAnsi="Arial" w:eastAsia="Arial" w:cs="Arial"/>
      <w:b/>
      <w:bCs/>
      <w:sz w:val="24"/>
      <w:szCs w:val="24"/>
    </w:rPr>
  </w:style>
  <w:style w:type="character" w:styleId="827">
    <w:name w:val="Heading 6 Char"/>
    <w:basedOn w:val="847"/>
    <w:link w:val="843"/>
    <w:uiPriority w:val="9"/>
    <w:rPr>
      <w:rFonts w:ascii="Arial" w:hAnsi="Arial" w:eastAsia="Arial" w:cs="Arial"/>
      <w:b/>
      <w:bCs/>
      <w:sz w:val="22"/>
      <w:szCs w:val="22"/>
    </w:rPr>
  </w:style>
  <w:style w:type="character" w:styleId="828">
    <w:name w:val="Heading 7 Char"/>
    <w:basedOn w:val="847"/>
    <w:link w:val="844"/>
    <w:uiPriority w:val="9"/>
    <w:rPr>
      <w:rFonts w:ascii="Arial" w:hAnsi="Arial" w:eastAsia="Arial" w:cs="Arial"/>
      <w:b/>
      <w:bCs/>
      <w:i/>
      <w:iCs/>
      <w:sz w:val="22"/>
      <w:szCs w:val="22"/>
    </w:rPr>
  </w:style>
  <w:style w:type="character" w:styleId="829">
    <w:name w:val="Heading 8 Char"/>
    <w:basedOn w:val="847"/>
    <w:link w:val="845"/>
    <w:uiPriority w:val="9"/>
    <w:rPr>
      <w:rFonts w:ascii="Arial" w:hAnsi="Arial" w:eastAsia="Arial" w:cs="Arial"/>
      <w:i/>
      <w:iCs/>
      <w:sz w:val="22"/>
      <w:szCs w:val="22"/>
    </w:rPr>
  </w:style>
  <w:style w:type="character" w:styleId="830">
    <w:name w:val="Heading 9 Char"/>
    <w:basedOn w:val="847"/>
    <w:link w:val="846"/>
    <w:uiPriority w:val="9"/>
    <w:rPr>
      <w:rFonts w:ascii="Arial" w:hAnsi="Arial" w:eastAsia="Arial" w:cs="Arial"/>
      <w:i/>
      <w:iCs/>
      <w:sz w:val="21"/>
      <w:szCs w:val="21"/>
    </w:rPr>
  </w:style>
  <w:style w:type="character" w:styleId="831">
    <w:name w:val="Title Char"/>
    <w:basedOn w:val="847"/>
    <w:link w:val="874"/>
    <w:uiPriority w:val="10"/>
    <w:rPr>
      <w:sz w:val="48"/>
      <w:szCs w:val="48"/>
    </w:rPr>
  </w:style>
  <w:style w:type="character" w:styleId="832">
    <w:name w:val="Subtitle Char"/>
    <w:basedOn w:val="847"/>
    <w:link w:val="867"/>
    <w:uiPriority w:val="11"/>
    <w:rPr>
      <w:sz w:val="24"/>
      <w:szCs w:val="24"/>
    </w:rPr>
  </w:style>
  <w:style w:type="character" w:styleId="833">
    <w:name w:val="Quote Char"/>
    <w:link w:val="893"/>
    <w:uiPriority w:val="29"/>
    <w:rPr>
      <w:i/>
    </w:rPr>
  </w:style>
  <w:style w:type="character" w:styleId="834">
    <w:name w:val="Intense Quote Char"/>
    <w:link w:val="895"/>
    <w:uiPriority w:val="30"/>
    <w:rPr>
      <w:i/>
    </w:rPr>
  </w:style>
  <w:style w:type="character" w:styleId="835">
    <w:name w:val="Footnote Text Char"/>
    <w:link w:val="868"/>
    <w:uiPriority w:val="99"/>
    <w:rPr>
      <w:sz w:val="18"/>
    </w:rPr>
  </w:style>
  <w:style w:type="character" w:styleId="836">
    <w:name w:val="Endnote Text Char"/>
    <w:link w:val="862"/>
    <w:uiPriority w:val="99"/>
    <w:rPr>
      <w:sz w:val="20"/>
    </w:rPr>
  </w:style>
  <w:style w:type="paragraph" w:styleId="837" w:default="1">
    <w:name w:val="Normal"/>
    <w:next w:val="84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8">
    <w:name w:val="Heading 1"/>
    <w:basedOn w:val="837"/>
    <w:link w:val="881"/>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39">
    <w:name w:val="Heading 2"/>
    <w:basedOn w:val="837"/>
    <w:next w:val="837"/>
    <w:link w:val="882"/>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840">
    <w:name w:val="Heading 3"/>
    <w:basedOn w:val="837"/>
    <w:next w:val="837"/>
    <w:link w:val="883"/>
    <w:uiPriority w:val="0"/>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84"/>
    <w:uiPriority w:val="0"/>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85"/>
    <w:uiPriority w:val="0"/>
    <w:unhideWhenUsed/>
    <w:qFormat/>
    <w:pPr>
      <w:keepLines/>
      <w:keepNext/>
      <w:spacing w:before="320" w:after="200"/>
      <w:outlineLvl w:val="4"/>
    </w:pPr>
    <w:rPr>
      <w:rFonts w:ascii="Arial" w:hAnsi="Arial" w:eastAsia="Arial" w:cs="Arial"/>
      <w:b/>
      <w:bCs/>
      <w:sz w:val="24"/>
    </w:rPr>
  </w:style>
  <w:style w:type="paragraph" w:styleId="843">
    <w:name w:val="Heading 6"/>
    <w:basedOn w:val="837"/>
    <w:next w:val="837"/>
    <w:link w:val="886"/>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8"/>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89"/>
    <w:uiPriority w:val="9"/>
    <w:unhideWhenUsed/>
    <w:qFormat/>
    <w:pPr>
      <w:keepLines/>
      <w:keepNext/>
      <w:spacing w:before="320" w:after="200"/>
      <w:outlineLvl w:val="8"/>
    </w:pPr>
    <w:rPr>
      <w:rFonts w:ascii="Arial" w:hAnsi="Arial" w:eastAsia="Arial" w:cs="Arial"/>
      <w:i/>
      <w:iCs/>
      <w:szCs w:val="21"/>
    </w:rPr>
  </w:style>
  <w:style w:type="character" w:styleId="847" w:default="1">
    <w:name w:val="Default Paragraph Font"/>
    <w:uiPriority w:val="1"/>
    <w:semiHidden/>
    <w:unhideWhenUsed/>
  </w:style>
  <w:style w:type="table" w:styleId="848" w:default="1">
    <w:name w:val="Normal Table"/>
    <w:uiPriority w:val="99"/>
    <w:semiHidden/>
    <w:unhideWhenUsed/>
    <w:tblPr>
      <w:tblCellMar>
        <w:left w:w="108" w:type="dxa"/>
        <w:top w:w="0" w:type="dxa"/>
        <w:right w:w="108" w:type="dxa"/>
        <w:bottom w:w="0" w:type="dxa"/>
      </w:tblCellMar>
    </w:tblPr>
  </w:style>
  <w:style w:type="paragraph" w:styleId="849">
    <w:name w:val="Body Text First Indent 2"/>
    <w:basedOn w:val="850"/>
    <w:uiPriority w:val="0"/>
    <w:qFormat/>
    <w:pPr>
      <w:ind w:left="420" w:firstLine="200"/>
      <w:spacing w:after="120" w:line="240" w:lineRule="auto"/>
    </w:pPr>
    <w:rPr>
      <w:sz w:val="21"/>
    </w:rPr>
  </w:style>
  <w:style w:type="paragraph" w:styleId="850">
    <w:name w:val="Body Text Indent"/>
    <w:basedOn w:val="837"/>
    <w:uiPriority w:val="0"/>
    <w:qFormat/>
    <w:pPr>
      <w:ind w:firstLine="720"/>
      <w:spacing w:line="520" w:lineRule="exact"/>
    </w:pPr>
    <w:rPr>
      <w:rFonts w:ascii="仿宋_GB2312" w:hAnsi="宋体" w:eastAsia="仿宋_GB2312"/>
      <w:sz w:val="30"/>
    </w:rPr>
  </w:style>
  <w:style w:type="paragraph" w:styleId="851">
    <w:name w:val="toc 7"/>
    <w:basedOn w:val="837"/>
    <w:next w:val="837"/>
    <w:uiPriority w:val="39"/>
    <w:unhideWhenUsed/>
    <w:pPr>
      <w:ind w:left="1701"/>
      <w:spacing w:after="57"/>
    </w:pPr>
  </w:style>
  <w:style w:type="paragraph" w:styleId="852">
    <w:name w:val="Note Heading"/>
    <w:basedOn w:val="837"/>
    <w:next w:val="837"/>
    <w:uiPriority w:val="0"/>
    <w:qFormat/>
    <w:rPr>
      <w:rFonts w:ascii="Verdana" w:hAnsi="Verdana"/>
      <w:szCs w:val="20"/>
    </w:rPr>
  </w:style>
  <w:style w:type="paragraph" w:styleId="853">
    <w:name w:val="Normal Indent"/>
    <w:basedOn w:val="837"/>
    <w:uiPriority w:val="99"/>
    <w:qFormat/>
    <w:pPr>
      <w:ind w:firstLine="420"/>
      <w:jc w:val="left"/>
      <w:widowControl/>
    </w:pPr>
    <w:rPr>
      <w:rFonts w:eastAsia="楷体_GB2312" w:cs="黑体"/>
      <w:sz w:val="24"/>
    </w:rPr>
  </w:style>
  <w:style w:type="paragraph" w:styleId="854">
    <w:name w:val="Caption"/>
    <w:basedOn w:val="837"/>
    <w:next w:val="83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55">
    <w:name w:val="annotation text"/>
    <w:basedOn w:val="837"/>
    <w:uiPriority w:val="0"/>
    <w:qFormat/>
    <w:pPr>
      <w:jc w:val="left"/>
    </w:pPr>
  </w:style>
  <w:style w:type="paragraph" w:styleId="856">
    <w:name w:val="Body Text"/>
    <w:basedOn w:val="837"/>
    <w:link w:val="1044"/>
    <w:uiPriority w:val="0"/>
    <w:qFormat/>
    <w:pPr>
      <w:spacing w:line="420" w:lineRule="exact"/>
    </w:pPr>
    <w:rPr>
      <w:rFonts w:ascii="仿宋_GB2312" w:hAnsi="宋体" w:eastAsia="仿宋_GB2312"/>
      <w:sz w:val="28"/>
    </w:rPr>
  </w:style>
  <w:style w:type="paragraph" w:styleId="857">
    <w:name w:val="Block Text"/>
    <w:basedOn w:val="837"/>
    <w:uiPriority w:val="99"/>
    <w:qFormat/>
    <w:pPr>
      <w:ind w:left="560" w:right="-512"/>
    </w:pPr>
    <w:rPr>
      <w:rFonts w:ascii="幼圆" w:hAnsi="Calibri" w:eastAsia="幼圆" w:cs="Garamond"/>
      <w:sz w:val="24"/>
    </w:rPr>
  </w:style>
  <w:style w:type="paragraph" w:styleId="858">
    <w:name w:val="toc 5"/>
    <w:basedOn w:val="837"/>
    <w:next w:val="837"/>
    <w:uiPriority w:val="39"/>
    <w:unhideWhenUsed/>
    <w:pPr>
      <w:ind w:left="1134"/>
      <w:spacing w:after="57"/>
    </w:pPr>
  </w:style>
  <w:style w:type="paragraph" w:styleId="859">
    <w:name w:val="toc 3"/>
    <w:basedOn w:val="837"/>
    <w:next w:val="837"/>
    <w:uiPriority w:val="39"/>
    <w:unhideWhenUsed/>
    <w:pPr>
      <w:ind w:left="567"/>
      <w:spacing w:after="57"/>
    </w:pPr>
  </w:style>
  <w:style w:type="paragraph" w:styleId="860">
    <w:name w:val="toc 8"/>
    <w:basedOn w:val="837"/>
    <w:next w:val="837"/>
    <w:uiPriority w:val="39"/>
    <w:unhideWhenUsed/>
    <w:pPr>
      <w:ind w:left="1984"/>
      <w:spacing w:after="57"/>
    </w:pPr>
  </w:style>
  <w:style w:type="paragraph" w:styleId="861">
    <w:name w:val="Body Text Indent 2"/>
    <w:basedOn w:val="837"/>
    <w:uiPriority w:val="0"/>
    <w:qFormat/>
    <w:pPr>
      <w:ind w:firstLine="600"/>
      <w:spacing w:line="480" w:lineRule="exact"/>
    </w:pPr>
    <w:rPr>
      <w:rFonts w:ascii="仿宋_GB2312" w:hAnsi="宋体" w:eastAsia="仿宋_GB2312"/>
      <w:sz w:val="30"/>
    </w:rPr>
  </w:style>
  <w:style w:type="paragraph" w:styleId="862">
    <w:name w:val="endnote text"/>
    <w:basedOn w:val="837"/>
    <w:link w:val="1026"/>
    <w:uiPriority w:val="99"/>
    <w:semiHidden/>
    <w:unhideWhenUsed/>
    <w:qFormat/>
    <w:rPr>
      <w:sz w:val="20"/>
    </w:rPr>
  </w:style>
  <w:style w:type="paragraph" w:styleId="863">
    <w:name w:val="Footer"/>
    <w:basedOn w:val="837"/>
    <w:link w:val="1030"/>
    <w:uiPriority w:val="0"/>
    <w:qFormat/>
    <w:pPr>
      <w:jc w:val="left"/>
      <w:tabs>
        <w:tab w:val="center" w:pos="4153" w:leader="none"/>
        <w:tab w:val="right" w:pos="8306" w:leader="none"/>
      </w:tabs>
    </w:pPr>
    <w:rPr>
      <w:sz w:val="18"/>
      <w:szCs w:val="18"/>
    </w:rPr>
  </w:style>
  <w:style w:type="paragraph" w:styleId="864">
    <w:name w:val="Header"/>
    <w:basedOn w:val="837"/>
    <w:link w:val="1029"/>
    <w:uiPriority w:val="0"/>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37"/>
    <w:next w:val="837"/>
    <w:uiPriority w:val="0"/>
    <w:qFormat/>
  </w:style>
  <w:style w:type="paragraph" w:styleId="866">
    <w:name w:val="toc 4"/>
    <w:basedOn w:val="837"/>
    <w:next w:val="837"/>
    <w:uiPriority w:val="39"/>
    <w:unhideWhenUsed/>
    <w:pPr>
      <w:ind w:left="850"/>
      <w:spacing w:after="57"/>
    </w:pPr>
  </w:style>
  <w:style w:type="paragraph" w:styleId="867">
    <w:name w:val="Subtitle"/>
    <w:basedOn w:val="837"/>
    <w:next w:val="837"/>
    <w:link w:val="892"/>
    <w:uiPriority w:val="11"/>
    <w:qFormat/>
    <w:pPr>
      <w:spacing w:before="200" w:after="200"/>
    </w:pPr>
    <w:rPr>
      <w:sz w:val="24"/>
    </w:rPr>
  </w:style>
  <w:style w:type="paragraph" w:styleId="868">
    <w:name w:val="footnote text"/>
    <w:basedOn w:val="837"/>
    <w:link w:val="1025"/>
    <w:uiPriority w:val="99"/>
    <w:semiHidden/>
    <w:unhideWhenUsed/>
    <w:pPr>
      <w:spacing w:after="40"/>
    </w:pPr>
    <w:rPr>
      <w:sz w:val="18"/>
    </w:rPr>
  </w:style>
  <w:style w:type="paragraph" w:styleId="869">
    <w:name w:val="toc 6"/>
    <w:basedOn w:val="837"/>
    <w:next w:val="837"/>
    <w:uiPriority w:val="39"/>
    <w:unhideWhenUsed/>
    <w:pPr>
      <w:ind w:left="1417"/>
      <w:spacing w:after="57"/>
    </w:pPr>
  </w:style>
  <w:style w:type="paragraph" w:styleId="870">
    <w:name w:val="table of figures"/>
    <w:basedOn w:val="837"/>
    <w:next w:val="837"/>
    <w:uiPriority w:val="99"/>
    <w:unhideWhenUsed/>
  </w:style>
  <w:style w:type="paragraph" w:styleId="871">
    <w:name w:val="toc 2"/>
    <w:next w:val="837"/>
    <w:uiPriority w:val="0"/>
    <w:qFormat/>
    <w:pPr>
      <w:ind w:left="420"/>
      <w:jc w:val="both"/>
      <w:widowControl w:val="off"/>
    </w:pPr>
    <w:rPr>
      <w:rFonts w:ascii="宋体" w:hAnsi="Times New Roman" w:eastAsia="宋体" w:cs="Times New Roman"/>
      <w:b/>
      <w:sz w:val="28"/>
      <w:lang w:val="en-US" w:eastAsia="zh-CN" w:bidi="ar-SA"/>
    </w:rPr>
  </w:style>
  <w:style w:type="paragraph" w:styleId="872">
    <w:name w:val="toc 9"/>
    <w:basedOn w:val="837"/>
    <w:next w:val="837"/>
    <w:uiPriority w:val="39"/>
    <w:unhideWhenUsed/>
    <w:pPr>
      <w:ind w:left="2268"/>
      <w:spacing w:after="57"/>
    </w:pPr>
  </w:style>
  <w:style w:type="paragraph" w:styleId="873">
    <w:name w:val="Normal (Web)"/>
    <w:basedOn w:val="837"/>
    <w:uiPriority w:val="0"/>
    <w:qFormat/>
    <w:pPr>
      <w:jc w:val="left"/>
      <w:spacing w:beforeAutospacing="1" w:afterAutospacing="1"/>
    </w:pPr>
    <w:rPr>
      <w:rFonts w:cs="Times New Roman"/>
      <w:sz w:val="24"/>
    </w:rPr>
  </w:style>
  <w:style w:type="paragraph" w:styleId="874">
    <w:name w:val="Title"/>
    <w:basedOn w:val="837"/>
    <w:next w:val="837"/>
    <w:link w:val="891"/>
    <w:uiPriority w:val="10"/>
    <w:qFormat/>
    <w:pPr>
      <w:contextualSpacing/>
      <w:spacing w:before="300" w:after="200"/>
    </w:pPr>
    <w:rPr>
      <w:sz w:val="48"/>
      <w:szCs w:val="48"/>
    </w:rPr>
  </w:style>
  <w:style w:type="paragraph" w:styleId="875">
    <w:name w:val="Body Text First Indent"/>
    <w:basedOn w:val="856"/>
    <w:link w:val="1045"/>
    <w:uiPriority w:val="99"/>
    <w:qFormat/>
    <w:pPr>
      <w:ind w:firstLine="200"/>
      <w:spacing w:line="360" w:lineRule="auto"/>
    </w:pPr>
    <w:rPr>
      <w:rFonts w:hAnsi="Arial" w:cs="Arial"/>
      <w:sz w:val="30"/>
      <w:szCs w:val="30"/>
      <w:lang w:eastAsia="en-US"/>
    </w:rPr>
  </w:style>
  <w:style w:type="table" w:styleId="87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Strong"/>
    <w:basedOn w:val="847"/>
    <w:uiPriority w:val="0"/>
    <w:qFormat/>
    <w:rPr>
      <w:b/>
    </w:rPr>
  </w:style>
  <w:style w:type="character" w:styleId="878">
    <w:name w:val="endnote reference"/>
    <w:basedOn w:val="847"/>
    <w:uiPriority w:val="99"/>
    <w:semiHidden/>
    <w:unhideWhenUsed/>
    <w:rPr>
      <w:vertAlign w:val="superscript"/>
    </w:rPr>
  </w:style>
  <w:style w:type="character" w:styleId="879">
    <w:name w:val="Hyperlink"/>
    <w:basedOn w:val="847"/>
    <w:uiPriority w:val="0"/>
    <w:qFormat/>
    <w:rPr>
      <w:color w:val="0000ff"/>
      <w:u w:val="single"/>
    </w:rPr>
  </w:style>
  <w:style w:type="character" w:styleId="880">
    <w:name w:val="footnote reference"/>
    <w:basedOn w:val="847"/>
    <w:uiPriority w:val="99"/>
    <w:unhideWhenUsed/>
    <w:rPr>
      <w:vertAlign w:val="superscript"/>
    </w:rPr>
  </w:style>
  <w:style w:type="character" w:styleId="881" w:customStyle="1">
    <w:name w:val="标题 1 字符"/>
    <w:basedOn w:val="847"/>
    <w:link w:val="838"/>
    <w:uiPriority w:val="9"/>
    <w:rPr>
      <w:rFonts w:ascii="Arial" w:hAnsi="Arial" w:eastAsia="Arial" w:cs="Arial"/>
      <w:sz w:val="40"/>
      <w:szCs w:val="40"/>
    </w:rPr>
  </w:style>
  <w:style w:type="character" w:styleId="882" w:customStyle="1">
    <w:name w:val="标题 2 字符"/>
    <w:basedOn w:val="847"/>
    <w:link w:val="839"/>
    <w:uiPriority w:val="9"/>
    <w:rPr>
      <w:rFonts w:ascii="Arial" w:hAnsi="Arial" w:eastAsia="Arial" w:cs="Arial"/>
      <w:sz w:val="34"/>
    </w:rPr>
  </w:style>
  <w:style w:type="character" w:styleId="883" w:customStyle="1">
    <w:name w:val="标题 3 字符"/>
    <w:basedOn w:val="847"/>
    <w:link w:val="840"/>
    <w:uiPriority w:val="9"/>
    <w:rPr>
      <w:rFonts w:ascii="Arial" w:hAnsi="Arial" w:eastAsia="Arial" w:cs="Arial"/>
      <w:sz w:val="30"/>
      <w:szCs w:val="30"/>
    </w:rPr>
  </w:style>
  <w:style w:type="character" w:styleId="884" w:customStyle="1">
    <w:name w:val="标题 4 字符"/>
    <w:basedOn w:val="847"/>
    <w:link w:val="841"/>
    <w:uiPriority w:val="9"/>
    <w:rPr>
      <w:rFonts w:ascii="Arial" w:hAnsi="Arial" w:eastAsia="Arial" w:cs="Arial"/>
      <w:b/>
      <w:bCs/>
      <w:sz w:val="26"/>
      <w:szCs w:val="26"/>
    </w:rPr>
  </w:style>
  <w:style w:type="character" w:styleId="885" w:customStyle="1">
    <w:name w:val="标题 5 字符"/>
    <w:basedOn w:val="847"/>
    <w:link w:val="842"/>
    <w:uiPriority w:val="9"/>
    <w:rPr>
      <w:rFonts w:ascii="Arial" w:hAnsi="Arial" w:eastAsia="Arial" w:cs="Arial"/>
      <w:b/>
      <w:bCs/>
      <w:sz w:val="24"/>
      <w:szCs w:val="24"/>
    </w:rPr>
  </w:style>
  <w:style w:type="character" w:styleId="886" w:customStyle="1">
    <w:name w:val="标题 6 字符"/>
    <w:basedOn w:val="847"/>
    <w:link w:val="843"/>
    <w:uiPriority w:val="9"/>
    <w:rPr>
      <w:rFonts w:ascii="Arial" w:hAnsi="Arial" w:eastAsia="Arial" w:cs="Arial"/>
      <w:b/>
      <w:bCs/>
      <w:sz w:val="22"/>
      <w:szCs w:val="22"/>
    </w:rPr>
  </w:style>
  <w:style w:type="character" w:styleId="887" w:customStyle="1">
    <w:name w:val="标题 7 字符"/>
    <w:basedOn w:val="847"/>
    <w:link w:val="844"/>
    <w:uiPriority w:val="9"/>
    <w:rPr>
      <w:rFonts w:ascii="Arial" w:hAnsi="Arial" w:eastAsia="Arial" w:cs="Arial"/>
      <w:b/>
      <w:bCs/>
      <w:i/>
      <w:iCs/>
      <w:sz w:val="22"/>
      <w:szCs w:val="22"/>
    </w:rPr>
  </w:style>
  <w:style w:type="character" w:styleId="888" w:customStyle="1">
    <w:name w:val="标题 8 字符"/>
    <w:basedOn w:val="847"/>
    <w:link w:val="845"/>
    <w:uiPriority w:val="9"/>
    <w:rPr>
      <w:rFonts w:ascii="Arial" w:hAnsi="Arial" w:eastAsia="Arial" w:cs="Arial"/>
      <w:i/>
      <w:iCs/>
      <w:sz w:val="22"/>
      <w:szCs w:val="22"/>
    </w:rPr>
  </w:style>
  <w:style w:type="character" w:styleId="889" w:customStyle="1">
    <w:name w:val="标题 9 字符"/>
    <w:basedOn w:val="847"/>
    <w:link w:val="846"/>
    <w:uiPriority w:val="9"/>
    <w:rPr>
      <w:rFonts w:ascii="Arial" w:hAnsi="Arial" w:eastAsia="Arial" w:cs="Arial"/>
      <w:i/>
      <w:iCs/>
      <w:sz w:val="21"/>
      <w:szCs w:val="21"/>
    </w:rPr>
  </w:style>
  <w:style w:type="paragraph" w:styleId="890">
    <w:name w:val="No Spacing"/>
    <w:uiPriority w:val="1"/>
    <w:qFormat/>
    <w:rPr>
      <w:rFonts w:ascii="Times New Roman" w:hAnsi="Times New Roman" w:eastAsia="宋体" w:cs="Times New Roman"/>
      <w:lang w:val="en-US" w:eastAsia="zh-CN" w:bidi="ar-SA"/>
    </w:rPr>
  </w:style>
  <w:style w:type="character" w:styleId="891" w:customStyle="1">
    <w:name w:val="标题 字符"/>
    <w:basedOn w:val="847"/>
    <w:link w:val="874"/>
    <w:uiPriority w:val="10"/>
    <w:rPr>
      <w:sz w:val="48"/>
      <w:szCs w:val="48"/>
    </w:rPr>
  </w:style>
  <w:style w:type="character" w:styleId="892" w:customStyle="1">
    <w:name w:val="副标题 字符"/>
    <w:basedOn w:val="847"/>
    <w:link w:val="867"/>
    <w:uiPriority w:val="11"/>
    <w:rPr>
      <w:sz w:val="24"/>
      <w:szCs w:val="24"/>
    </w:rPr>
  </w:style>
  <w:style w:type="paragraph" w:styleId="893">
    <w:name w:val="Quote"/>
    <w:basedOn w:val="837"/>
    <w:next w:val="837"/>
    <w:link w:val="894"/>
    <w:uiPriority w:val="29"/>
    <w:qFormat/>
    <w:pPr>
      <w:ind w:left="720" w:right="720"/>
    </w:pPr>
    <w:rPr>
      <w:i/>
    </w:rPr>
  </w:style>
  <w:style w:type="character" w:styleId="894" w:customStyle="1">
    <w:name w:val="引用 字符"/>
    <w:link w:val="893"/>
    <w:uiPriority w:val="29"/>
    <w:rPr>
      <w:i/>
    </w:rPr>
  </w:style>
  <w:style w:type="paragraph" w:styleId="895">
    <w:name w:val="Intense Quote"/>
    <w:basedOn w:val="837"/>
    <w:next w:val="837"/>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字符"/>
    <w:link w:val="895"/>
    <w:uiPriority w:val="30"/>
    <w:rPr>
      <w:i/>
    </w:rPr>
  </w:style>
  <w:style w:type="character" w:styleId="897" w:customStyle="1">
    <w:name w:val="Header Char"/>
    <w:basedOn w:val="847"/>
    <w:uiPriority w:val="99"/>
  </w:style>
  <w:style w:type="character" w:styleId="898" w:customStyle="1">
    <w:name w:val="Footer Char"/>
    <w:basedOn w:val="847"/>
    <w:uiPriority w:val="99"/>
  </w:style>
  <w:style w:type="character" w:styleId="899" w:customStyle="1">
    <w:name w:val="Caption Char"/>
    <w:uiPriority w:val="99"/>
  </w:style>
  <w:style w:type="table" w:styleId="900" w:customStyle="1">
    <w:name w:val="Table Grid Light"/>
    <w:basedOn w:val="84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1" w:customStyle="1">
    <w:name w:val="Plain Table 1"/>
    <w:basedOn w:val="84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4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4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4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4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48"/>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84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4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48"/>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48"/>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4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4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84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4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4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48"/>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4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48"/>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Grid Table 3"/>
    <w:basedOn w:val="84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84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84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84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848"/>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84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84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w:basedOn w:val="848"/>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84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9" w:customStyle="1">
    <w:name w:val="Grid Table 4 - Accent 2"/>
    <w:basedOn w:val="84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0" w:customStyle="1">
    <w:name w:val="Grid Table 4 - Accent 3"/>
    <w:basedOn w:val="84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1" w:customStyle="1">
    <w:name w:val="Grid Table 4 - Accent 4"/>
    <w:basedOn w:val="84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2" w:customStyle="1">
    <w:name w:val="Grid Table 4 - Accent 5"/>
    <w:basedOn w:val="84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3" w:customStyle="1">
    <w:name w:val="Grid Table 4 - Accent 6"/>
    <w:basedOn w:val="84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4" w:customStyle="1">
    <w:name w:val="Grid Table 5 Dark"/>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6" w:customStyle="1">
    <w:name w:val="Grid Table 5 Dark - Accent 2"/>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7" w:customStyle="1">
    <w:name w:val="Grid Table 5 Dark - Accent 3"/>
    <w:basedOn w:val="8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8" w:customStyle="1">
    <w:name w:val="Grid Table 5 Dark- Accent 4"/>
    <w:basedOn w:val="8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9" w:customStyle="1">
    <w:name w:val="Grid Table 5 Dark - Accent 5"/>
    <w:basedOn w:val="8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0" w:customStyle="1">
    <w:name w:val="Grid Table 5 Dark - Accent 6"/>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1" w:customStyle="1">
    <w:name w:val="Grid Table 6 Colorful"/>
    <w:basedOn w:val="848"/>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6 Colorful - Accent 1"/>
    <w:basedOn w:val="848"/>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3" w:customStyle="1">
    <w:name w:val="Grid Table 6 Colorful - Accent 2"/>
    <w:basedOn w:val="848"/>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4" w:customStyle="1">
    <w:name w:val="Grid Table 6 Colorful - Accent 3"/>
    <w:basedOn w:val="848"/>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5" w:customStyle="1">
    <w:name w:val="Grid Table 6 Colorful - Accent 4"/>
    <w:basedOn w:val="848"/>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6" w:customStyle="1">
    <w:name w:val="Grid Table 6 Colorful - Accent 5"/>
    <w:basedOn w:val="84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7" w:customStyle="1">
    <w:name w:val="Grid Table 6 Colorful - Accent 6"/>
    <w:basedOn w:val="84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8" w:customStyle="1">
    <w:name w:val="Grid Table 7 Colorful"/>
    <w:basedOn w:val="848"/>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848"/>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84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84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848"/>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848"/>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848"/>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5" w:customStyle="1">
    <w:name w:val="List Table 1 Light"/>
    <w:basedOn w:val="848"/>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848"/>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4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4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48"/>
    <w:uiPriority w:val="99"/>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48"/>
    <w:uiPriority w:val="99"/>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48"/>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List Table 2"/>
    <w:basedOn w:val="848"/>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basedOn w:val="84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4" w:customStyle="1">
    <w:name w:val="List Table 2 - Accent 2"/>
    <w:basedOn w:val="848"/>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5" w:customStyle="1">
    <w:name w:val="List Table 2 - Accent 3"/>
    <w:basedOn w:val="848"/>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6" w:customStyle="1">
    <w:name w:val="List Table 2 - Accent 4"/>
    <w:basedOn w:val="84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7" w:customStyle="1">
    <w:name w:val="List Table 2 - Accent 5"/>
    <w:basedOn w:val="848"/>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8" w:customStyle="1">
    <w:name w:val="List Table 2 - Accent 6"/>
    <w:basedOn w:val="848"/>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9" w:customStyle="1">
    <w:name w:val="List Table 3"/>
    <w:basedOn w:val="84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84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1" w:customStyle="1">
    <w:name w:val="List Table 3 - Accent 2"/>
    <w:basedOn w:val="848"/>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848"/>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84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848"/>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848"/>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6" w:customStyle="1">
    <w:name w:val="List Table 4"/>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848"/>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8" w:customStyle="1">
    <w:name w:val="List Table 4 - Accent 2"/>
    <w:basedOn w:val="848"/>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9" w:customStyle="1">
    <w:name w:val="List Table 4 - Accent 3"/>
    <w:basedOn w:val="848"/>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0" w:customStyle="1">
    <w:name w:val="List Table 4 - Accent 4"/>
    <w:basedOn w:val="848"/>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1" w:customStyle="1">
    <w:name w:val="List Table 4 - Accent 5"/>
    <w:basedOn w:val="848"/>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2" w:customStyle="1">
    <w:name w:val="List Table 4 - Accent 6"/>
    <w:basedOn w:val="848"/>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3" w:customStyle="1">
    <w:name w:val="List Table 5 Dark"/>
    <w:basedOn w:val="848"/>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1"/>
    <w:basedOn w:val="848"/>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48"/>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48"/>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48"/>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4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48"/>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w:basedOn w:val="84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6 Colorful - Accent 1"/>
    <w:basedOn w:val="848"/>
    <w:uiPriority w:val="99"/>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2" w:customStyle="1">
    <w:name w:val="List Table 6 Colorful - Accent 2"/>
    <w:basedOn w:val="848"/>
    <w:uiPriority w:val="99"/>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3" w:customStyle="1">
    <w:name w:val="List Table 6 Colorful - Accent 3"/>
    <w:basedOn w:val="848"/>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4" w:customStyle="1">
    <w:name w:val="List Table 6 Colorful - Accent 4"/>
    <w:basedOn w:val="84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5" w:customStyle="1">
    <w:name w:val="List Table 6 Colorful - Accent 5"/>
    <w:basedOn w:val="848"/>
    <w:uiPriority w:val="99"/>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6" w:customStyle="1">
    <w:name w:val="List Table 6 Colorful - Accent 6"/>
    <w:basedOn w:val="84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7" w:customStyle="1">
    <w:name w:val="List Table 7 Colorful"/>
    <w:basedOn w:val="848"/>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848"/>
    <w:uiPriority w:val="99"/>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48"/>
    <w:uiPriority w:val="99"/>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4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4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4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4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basedOn w:val="8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6" w:customStyle="1">
    <w:name w:val="Lined - Accent 2"/>
    <w:basedOn w:val="8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7" w:customStyle="1">
    <w:name w:val="Lined - Accent 3"/>
    <w:basedOn w:val="8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8" w:customStyle="1">
    <w:name w:val="Lined - Accent 4"/>
    <w:basedOn w:val="8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9" w:customStyle="1">
    <w:name w:val="Lined - Accent 5"/>
    <w:basedOn w:val="8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0" w:customStyle="1">
    <w:name w:val="Lined - Accent 6"/>
    <w:basedOn w:val="8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1" w:customStyle="1">
    <w:name w:val="Bordered &amp; Lined - Accent"/>
    <w:basedOn w:val="848"/>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basedOn w:val="848"/>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3" w:customStyle="1">
    <w:name w:val="Bordered &amp; Lined - Accent 2"/>
    <w:basedOn w:val="848"/>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Bordered &amp; Lined - Accent 3"/>
    <w:basedOn w:val="848"/>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Bordered &amp; Lined - Accent 4"/>
    <w:basedOn w:val="848"/>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Bordered &amp; Lined - Accent 5"/>
    <w:basedOn w:val="848"/>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7" w:customStyle="1">
    <w:name w:val="Bordered &amp; Lined - Accent 6"/>
    <w:basedOn w:val="848"/>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w:basedOn w:val="848"/>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basedOn w:val="84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0" w:customStyle="1">
    <w:name w:val="Bordered - Accent 2"/>
    <w:basedOn w:val="84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1" w:customStyle="1">
    <w:name w:val="Bordered - Accent 3"/>
    <w:basedOn w:val="848"/>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2" w:customStyle="1">
    <w:name w:val="Bordered - Accent 4"/>
    <w:basedOn w:val="848"/>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3" w:customStyle="1">
    <w:name w:val="Bordered - Accent 5"/>
    <w:basedOn w:val="848"/>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4" w:customStyle="1">
    <w:name w:val="Bordered - Accent 6"/>
    <w:basedOn w:val="848"/>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5" w:customStyle="1">
    <w:name w:val="脚注文本 字符"/>
    <w:link w:val="868"/>
    <w:uiPriority w:val="99"/>
    <w:rPr>
      <w:sz w:val="18"/>
    </w:rPr>
  </w:style>
  <w:style w:type="character" w:styleId="1026" w:customStyle="1">
    <w:name w:val="尾注文本 字符"/>
    <w:link w:val="862"/>
    <w:uiPriority w:val="99"/>
    <w:rPr>
      <w:sz w:val="20"/>
    </w:rPr>
  </w:style>
  <w:style w:type="paragraph" w:styleId="1027" w:customStyle="1">
    <w:name w:val="TOC Heading"/>
    <w:uiPriority w:val="39"/>
    <w:unhideWhenUsed/>
    <w:rPr>
      <w:rFonts w:ascii="Times New Roman" w:hAnsi="Times New Roman" w:eastAsia="宋体" w:cs="Times New Roman"/>
      <w:lang w:val="en-US" w:eastAsia="zh-CN" w:bidi="ar-SA"/>
    </w:rPr>
  </w:style>
  <w:style w:type="paragraph" w:styleId="1028" w:customStyle="1">
    <w:name w:val="Default"/>
    <w:basedOn w:val="837"/>
    <w:uiPriority w:val="0"/>
    <w:semiHidden/>
    <w:qFormat/>
    <w:pPr>
      <w:jc w:val="left"/>
    </w:pPr>
    <w:rPr>
      <w:rFonts w:ascii="宋体" w:hAnsi="Calibri" w:cs="宋体"/>
      <w:color w:val="000000"/>
      <w:sz w:val="24"/>
    </w:rPr>
  </w:style>
  <w:style w:type="character" w:styleId="1029" w:customStyle="1">
    <w:name w:val="页眉 字符"/>
    <w:basedOn w:val="847"/>
    <w:link w:val="864"/>
    <w:uiPriority w:val="0"/>
    <w:qFormat/>
    <w:rPr>
      <w:rFonts w:asciiTheme="minorHAnsi" w:hAnsiTheme="minorHAnsi" w:eastAsiaTheme="minorEastAsia" w:cstheme="minorBidi"/>
      <w:sz w:val="18"/>
      <w:szCs w:val="18"/>
    </w:rPr>
  </w:style>
  <w:style w:type="character" w:styleId="1030" w:customStyle="1">
    <w:name w:val="页脚 字符"/>
    <w:basedOn w:val="847"/>
    <w:link w:val="863"/>
    <w:uiPriority w:val="0"/>
    <w:qFormat/>
    <w:rPr>
      <w:rFonts w:asciiTheme="minorHAnsi" w:hAnsiTheme="minorHAnsi" w:eastAsiaTheme="minorEastAsia" w:cstheme="minorBidi"/>
      <w:sz w:val="18"/>
      <w:szCs w:val="18"/>
    </w:rPr>
  </w:style>
  <w:style w:type="paragraph" w:styleId="1031" w:customStyle="1">
    <w:name w:val="普通正文"/>
    <w:basedOn w:val="837"/>
    <w:uiPriority w:val="0"/>
    <w:qFormat/>
    <w:pPr>
      <w:ind w:firstLine="480"/>
      <w:jc w:val="left"/>
      <w:spacing w:before="120" w:after="120" w:line="360" w:lineRule="auto"/>
    </w:pPr>
    <w:rPr>
      <w:rFonts w:ascii="Arial" w:hAnsi="Arial" w:eastAsia="等线" w:cs="Arial"/>
      <w:sz w:val="24"/>
    </w:rPr>
  </w:style>
  <w:style w:type="paragraph" w:styleId="1032" w:customStyle="1">
    <w:name w:val="正文首行缩进 21"/>
    <w:basedOn w:val="1033"/>
    <w:uiPriority w:val="0"/>
    <w:qFormat/>
    <w:pPr>
      <w:ind w:firstLine="420"/>
    </w:pPr>
  </w:style>
  <w:style w:type="paragraph" w:styleId="1033" w:customStyle="1">
    <w:name w:val="正文文本缩进1"/>
    <w:basedOn w:val="837"/>
    <w:uiPriority w:val="0"/>
    <w:qFormat/>
    <w:pPr>
      <w:ind w:left="420"/>
      <w:spacing w:after="120"/>
    </w:pPr>
  </w:style>
  <w:style w:type="paragraph" w:styleId="1034" w:customStyle="1">
    <w:name w:val="[Normal]"/>
    <w:uiPriority w:val="0"/>
    <w:qFormat/>
    <w:rPr>
      <w:rFonts w:ascii="方正仿宋简体" w:hAnsi="方正仿宋简体" w:eastAsia="方正仿宋简体" w:cs="Courier New"/>
      <w:sz w:val="24"/>
      <w:szCs w:val="22"/>
      <w:lang w:val="zh-CN" w:eastAsia="zh-CN" w:bidi="ar-SA"/>
    </w:rPr>
  </w:style>
  <w:style w:type="paragraph" w:styleId="1035" w:customStyle="1">
    <w:name w:val="页脚1"/>
    <w:uiPriority w:val="99"/>
    <w:qFormat/>
    <w:pPr>
      <w:widowControl w:val="off"/>
      <w:tabs>
        <w:tab w:val="center" w:pos="4153" w:leader="none"/>
        <w:tab w:val="right" w:pos="8306" w:leader="none"/>
      </w:tabs>
    </w:pPr>
    <w:rPr>
      <w:rFonts w:ascii="Calibri" w:hAnsi="Calibri" w:eastAsia="宋体" w:cs="Times New Roman"/>
      <w:sz w:val="18"/>
      <w:lang w:val="en-US" w:eastAsia="zh-CN" w:bidi="ar-SA"/>
    </w:rPr>
  </w:style>
  <w:style w:type="character" w:styleId="1036" w:customStyle="1">
    <w:name w:val="NormalCharacter"/>
    <w:uiPriority w:val="0"/>
    <w:qFormat/>
  </w:style>
  <w:style w:type="paragraph" w:styleId="1037" w:customStyle="1">
    <w:name w:val="Table Paragraph"/>
    <w:basedOn w:val="837"/>
    <w:uiPriority w:val="1"/>
    <w:qFormat/>
    <w:pPr>
      <w:jc w:val="left"/>
    </w:pPr>
    <w:rPr>
      <w:rFonts w:ascii="宋体" w:hAnsi="宋体" w:cs="宋体"/>
      <w:sz w:val="22"/>
      <w:szCs w:val="22"/>
      <w:lang w:val="zh-CN"/>
    </w:rPr>
  </w:style>
  <w:style w:type="paragraph" w:styleId="1038">
    <w:name w:val="List Paragraph"/>
    <w:basedOn w:val="837"/>
    <w:uiPriority w:val="1"/>
    <w:qFormat/>
    <w:pPr>
      <w:ind w:firstLine="420"/>
    </w:pPr>
    <w:rPr>
      <w:szCs w:val="21"/>
    </w:rPr>
  </w:style>
  <w:style w:type="paragraph" w:styleId="1039" w:customStyle="1">
    <w:name w:val="一级条标题"/>
    <w:basedOn w:val="1040"/>
    <w:next w:val="1041"/>
    <w:uiPriority w:val="0"/>
    <w:qFormat/>
    <w:pPr>
      <w:outlineLvl w:val="2"/>
    </w:pPr>
    <w:rPr>
      <w:rFonts w:ascii="Calibri"/>
    </w:rPr>
  </w:style>
  <w:style w:type="paragraph" w:styleId="1040" w:customStyle="1">
    <w:name w:val="章标题"/>
    <w:next w:val="837"/>
    <w:uiPriority w:val="0"/>
    <w:qFormat/>
    <w:pPr>
      <w:jc w:val="both"/>
      <w:outlineLvl w:val="1"/>
    </w:pPr>
    <w:rPr>
      <w:rFonts w:ascii="黑体" w:hAnsi="Calibri" w:eastAsia="黑体" w:cs="黑体"/>
      <w:sz w:val="21"/>
      <w:szCs w:val="21"/>
      <w:lang w:val="en-US" w:eastAsia="zh-CN" w:bidi="ar-SA"/>
    </w:rPr>
  </w:style>
  <w:style w:type="paragraph" w:styleId="1041" w:customStyle="1">
    <w:name w:val="段"/>
    <w:next w:val="1042"/>
    <w:uiPriority w:val="0"/>
    <w:qFormat/>
    <w:pPr>
      <w:ind w:firstLine="200"/>
      <w:jc w:val="both"/>
    </w:pPr>
    <w:rPr>
      <w:rFonts w:ascii="宋体" w:hAnsi="Calibri" w:eastAsia="宋体" w:cs="宋体"/>
      <w:sz w:val="21"/>
      <w:szCs w:val="21"/>
      <w:lang w:val="en-US" w:eastAsia="zh-CN" w:bidi="ar-SA"/>
    </w:rPr>
  </w:style>
  <w:style w:type="paragraph" w:styleId="1042" w:customStyle="1">
    <w:name w:val="正文 A"/>
    <w:next w:val="1041"/>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1043" w:customStyle="1">
    <w:name w:val="Table Text"/>
    <w:basedOn w:val="837"/>
    <w:uiPriority w:val="0"/>
    <w:semiHidden/>
    <w:qFormat/>
    <w:rPr>
      <w:rFonts w:ascii="宋体" w:hAnsi="宋体" w:eastAsia="宋体" w:cs="宋体"/>
      <w:szCs w:val="21"/>
      <w:lang w:eastAsia="en-US"/>
    </w:rPr>
  </w:style>
  <w:style w:type="character" w:styleId="1044" w:customStyle="1">
    <w:name w:val="正文文本 字符"/>
    <w:basedOn w:val="847"/>
    <w:link w:val="856"/>
    <w:uiPriority w:val="0"/>
    <w:rPr>
      <w:rFonts w:ascii="仿宋_GB2312" w:hAnsi="宋体" w:eastAsia="仿宋_GB2312" w:cstheme="minorBidi"/>
      <w:sz w:val="28"/>
      <w:szCs w:val="24"/>
    </w:rPr>
  </w:style>
  <w:style w:type="character" w:styleId="1045" w:customStyle="1">
    <w:name w:val="正文文本首行缩进 字符"/>
    <w:basedOn w:val="1044"/>
    <w:link w:val="875"/>
    <w:uiPriority w:val="99"/>
    <w:rPr>
      <w:rFonts w:ascii="仿宋_GB2312" w:hAnsi="Arial" w:eastAsia="仿宋_GB2312" w:cs="Arial"/>
      <w:sz w:val="30"/>
      <w:szCs w:val="30"/>
      <w:lang w:eastAsia="en-US"/>
    </w:rPr>
  </w:style>
  <w:style w:type="table" w:styleId="1046" w:customStyle="1">
    <w:name w:val="Table Normal"/>
    <w:uiPriority w:val="0"/>
    <w:unhideWhenUsed/>
    <w:qFormat/>
    <w:tblPr>
      <w:tblCellMar>
        <w:left w:w="0" w:type="dxa"/>
        <w:top w:w="0" w:type="dxa"/>
        <w:right w:w="0" w:type="dxa"/>
        <w:bottom w:w="0" w:type="dxa"/>
      </w:tblCellMar>
    </w:tblPr>
  </w:style>
  <w:style w:type="paragraph" w:styleId="1047" w:customStyle="1">
    <w:name w:val="_Style 5"/>
    <w:basedOn w:val="838"/>
    <w:next w:val="837"/>
    <w:uiPriority w:val="0"/>
    <w:qFormat/>
    <w:pPr>
      <w:spacing w:before="100" w:after="100" w:line="578" w:lineRule="auto"/>
      <w:outlineLvl w:val="9"/>
    </w:pPr>
  </w:style>
  <w:style w:type="paragraph" w:styleId="1048" w:customStyle="1">
    <w:name w:val="_Style 2"/>
    <w:basedOn w:val="838"/>
    <w:next w:val="837"/>
    <w:uiPriority w:val="0"/>
    <w:qFormat/>
    <w:pPr>
      <w:spacing w:before="100" w:after="100" w:line="578" w:lineRule="auto"/>
      <w:outlineLvl w:val="9"/>
    </w:pPr>
  </w:style>
  <w:style w:type="paragraph" w:styleId="1049" w:customStyle="1">
    <w:name w:val="列出段落3"/>
    <w:basedOn w:val="837"/>
    <w:uiPriority w:val="0"/>
    <w:qFormat/>
    <w:pPr>
      <w:ind w:firstLine="420"/>
    </w:pPr>
    <w:rPr>
      <w:rFonts w:ascii="Calibri" w:hAnsi="Calibri" w:eastAsia="宋体" w:cs="Times New Roman"/>
      <w:szCs w:val="20"/>
    </w:rPr>
  </w:style>
  <w:style w:type="paragraph" w:styleId="1050" w:customStyle="1">
    <w:name w:val="正文1"/>
    <w:basedOn w:val="1051"/>
    <w:next w:val="837"/>
    <w:uiPriority w:val="0"/>
    <w:qFormat/>
    <w:pPr>
      <w:tabs>
        <w:tab w:val="right" w:pos="8268" w:leader="dot"/>
      </w:tabs>
    </w:pPr>
    <w:rPr>
      <w:rFonts w:ascii="Helvetica" w:hAnsi="Helvetica" w:eastAsia="Arial Unicode MS" w:cs="Arial Unicode MS"/>
      <w:color w:val="000000"/>
      <w:sz w:val="22"/>
      <w:szCs w:val="22"/>
    </w:rPr>
  </w:style>
  <w:style w:type="paragraph" w:styleId="1051" w:customStyle="1">
    <w:name w:val="目录 31"/>
    <w:basedOn w:val="837"/>
    <w:next w:val="837"/>
    <w:uiPriority w:val="0"/>
    <w:qFormat/>
    <w:pPr>
      <w:ind w:left="840" w:firstLine="482"/>
      <w:spacing w:line="460" w:lineRule="exact"/>
      <w:tabs>
        <w:tab w:val="right" w:pos="8268" w:leader="dot"/>
      </w:tabs>
    </w:pPr>
    <w:rPr>
      <w:rFonts w:ascii="宋体" w:hAnsi="宋体" w:eastAsia="宋体" w:cs="Times New Roman"/>
    </w:rPr>
  </w:style>
  <w:style w:type="paragraph" w:styleId="1052" w:customStyle="1">
    <w:name w:val="列出段落2"/>
    <w:basedOn w:val="837"/>
    <w:uiPriority w:val="0"/>
    <w:qFormat/>
    <w:pPr>
      <w:ind w:firstLine="420"/>
    </w:pPr>
    <w:rPr>
      <w:rFonts w:ascii="Calibri" w:hAnsi="Calibri" w:eastAsia="宋体" w:cs="Times New Roman"/>
    </w:rPr>
  </w:style>
  <w:style w:type="paragraph" w:styleId="1053" w:customStyle="1">
    <w:name w:val="批注文字1"/>
    <w:basedOn w:val="837"/>
    <w:uiPriority w:val="99"/>
    <w:qFormat/>
    <w:pPr>
      <w:jc w:val="left"/>
    </w:pPr>
    <w:rPr>
      <w:rFonts w:ascii="Calibri" w:hAnsi="Calibri" w:eastAsia="宋体" w:cs="Times New Roman"/>
      <w:sz w:val="20"/>
    </w:rPr>
  </w:style>
  <w:style w:type="paragraph" w:styleId="1054" w:customStyle="1">
    <w:name w:val="普通(网站)11"/>
    <w:basedOn w:val="837"/>
    <w:uiPriority w:val="99"/>
    <w:qFormat/>
    <w:pPr>
      <w:jc w:val="left"/>
      <w:spacing w:beforeAutospacing="1" w:afterAutospacing="1"/>
    </w:pPr>
    <w:rPr>
      <w:rFonts w:ascii="Calibri" w:hAnsi="Calibri" w:eastAsia="宋体" w:cs="Times New Roman"/>
      <w:sz w:val="24"/>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dataSourceCollection xmlns="http://www.yonyou.com/datasource"/>
</file>

<file path=customXml/item2.xml><?xml version="1.0" encoding="utf-8"?>
<relations xmlns="http://www.yonyou.com/relation"/>
</file>

<file path=customXml/item3.xml><?xml version="1.0" encoding="utf-8"?>
<formulas xmlns="http://www.yonyou.com/formula"/>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5"/>
  </customShpExts>
</s:customData>
</file>

<file path=customXml/itemProps1.xml><?xml version="1.0" encoding="utf-8"?>
<ds:datastoreItem xmlns:ds="http://schemas.openxmlformats.org/officeDocument/2006/customXml" ds:itemID="{77C9E712-C2DF-4451-9607-C499CA129BBC}"/>
</file>

<file path=customXml/itemProps2.xml><?xml version="1.0" encoding="utf-8"?>
<ds:datastoreItem xmlns:ds="http://schemas.openxmlformats.org/officeDocument/2006/customXml" ds:itemID="{57CC328F-50A7-40DD-AE0D-6AD6E955B691}"/>
</file>

<file path=customXml/itemProps3.xml><?xml version="1.0" encoding="utf-8"?>
<ds:datastoreItem xmlns:ds="http://schemas.openxmlformats.org/officeDocument/2006/customXml" ds:itemID="{23BD3C1D-EBCD-42F9-8C6F-F1C8C0249955}"/>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董静</cp:lastModifiedBy>
  <cp:revision>215</cp:revision>
  <dcterms:created xsi:type="dcterms:W3CDTF">2014-10-29T12:08:00Z</dcterms:created>
  <dcterms:modified xsi:type="dcterms:W3CDTF">2026-10-28T06:54:35Z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21C38A46E8164925937763E3EDAEB3E1_13</vt:lpwstr>
  </property>
  <property fmtid="{D5CDD505-2E9C-101B-9397-08002B2CF9AE}" pid="4" name="KSOTemplateDocerSaveRecord">
    <vt:lpwstr>eyJoZGlkIjoiOGQ4MmI4ODcwOWMwYWIxODIyODFhNjcyZDY0NzVjOGQiLCJ1c2VySWQiOiI4ODIyMjY4NDYifQ==</vt:lpwstr>
  </property>
</Properties>
</file>