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color w:val="000000" w:themeColor="text1"/>
          <w:sz w:val="36"/>
          <w:highlight w:val="white"/>
          <w14:textFill>
            <w14:solidFill>
              <w14:schemeClr w14:val="tx1"/>
            </w14:solidFill>
          </w14:textFill>
        </w:rPr>
      </w:pPr>
      <w:r>
        <w:rPr>
          <w:highlight w:val="white"/>
        </w:rPr>
      </w:r>
      <w:bookmarkStart w:id="0" w:name="_Toc120614210"/>
      <w:r>
        <w:rPr>
          <w:highlight w:val="white"/>
        </w:rPr>
      </w:r>
      <w:bookmarkStart w:id="1" w:name="_Toc523127445"/>
      <w:r>
        <w:rPr>
          <w:highlight w:val="white"/>
        </w:rPr>
      </w:r>
      <w:bookmarkStart w:id="2" w:name="_Toc513029200"/>
      <w:r>
        <w:rPr>
          <w:highlight w:val="white"/>
        </w:rPr>
      </w:r>
      <w:bookmarkStart w:id="3" w:name="_Toc479757206"/>
      <w:r>
        <w:rPr>
          <w:highlight w:val="white"/>
        </w:rPr>
      </w:r>
      <w:bookmarkStart w:id="4" w:name="_Toc16938516"/>
      <w:r>
        <w:rPr>
          <w:highlight w:val="white"/>
        </w:rPr>
      </w:r>
      <w:bookmarkStart w:id="5" w:name="_Toc20823272"/>
      <w:r>
        <w:rPr>
          <w:rFonts w:hint="eastAsia" w:ascii="宋体" w:hAnsi="宋体" w:cs="宋体"/>
          <w:b/>
          <w:color w:val="000000" w:themeColor="text1"/>
          <w:sz w:val="36"/>
          <w:highlight w:val="white"/>
          <w14:textFill>
            <w14:solidFill>
              <w14:schemeClr w14:val="tx1"/>
            </w14:solidFill>
          </w14:textFill>
        </w:rPr>
        <w:t xml:space="preserve"> </w:t>
      </w:r>
      <w:r>
        <w:rPr>
          <w:highlight w:val="white"/>
        </w:rPr>
      </w:r>
      <w:r/>
    </w:p>
    <w:p>
      <w:pPr>
        <w:pStyle w:val="1126"/>
        <w:ind w:firstLine="0"/>
        <w:jc w:val="center"/>
        <w:rPr>
          <w:rFonts w:ascii="Times New Roman" w:hAnsi="Times New Roman" w:eastAsia="黑体"/>
          <w:b/>
          <w:bCs/>
          <w:color w:val="000000" w:themeColor="text1"/>
          <w:sz w:val="84"/>
          <w:highlight w:val="white"/>
          <w14:textFill>
            <w14:solidFill>
              <w14:schemeClr w14:val="tx1"/>
            </w14:solidFill>
          </w14:textFill>
        </w:rPr>
      </w:pPr>
      <w:r>
        <w:rPr>
          <w:rFonts w:ascii="Times New Roman" w:hAnsi="Times New Roman" w:eastAsia="黑体"/>
          <w:b/>
          <w:bCs/>
          <w:color w:val="000000" w:themeColor="text1"/>
          <w:sz w:val="84"/>
          <w:highlight w:val="white"/>
          <w14:textFill>
            <w14:solidFill>
              <w14:schemeClr w14:val="tx1"/>
            </w14:solidFill>
          </w14:textFill>
        </w:rPr>
        <w:t xml:space="preserve">竞争性磋商文件</w:t>
      </w:r>
      <w:r>
        <w:rPr>
          <w:highlight w:val="white"/>
        </w:rPr>
      </w:r>
      <w:r/>
    </w:p>
    <w:p>
      <w:pPr>
        <w:pStyle w:val="1152"/>
        <w:rPr>
          <w:rFonts w:hint="eastAsia" w:hAnsi="宋体" w:cs="宋体"/>
          <w:color w:val="000000" w:themeColor="text1"/>
          <w:highlight w:val="white"/>
          <w14:textFill>
            <w14:solidFill>
              <w14:schemeClr w14:val="tx1"/>
            </w14:solidFill>
          </w14:textFill>
        </w:rPr>
      </w:pPr>
      <w:r>
        <w:rPr>
          <w:rFonts w:hint="eastAsia" w:hAnsi="宋体" w:cs="宋体"/>
          <w:color w:val="000000" w:themeColor="text1"/>
          <w:highlight w:val="white"/>
          <w14:textFill>
            <w14:solidFill>
              <w14:schemeClr w14:val="tx1"/>
            </w14:solidFill>
          </w14:textFill>
        </w:rPr>
      </w:r>
      <w:r>
        <w:rPr>
          <w:highlight w:val="white"/>
        </w:rPr>
      </w:r>
      <w:r/>
    </w:p>
    <w:p>
      <w:pPr>
        <w:pStyle w:val="1152"/>
        <w:rPr>
          <w:rFonts w:hint="eastAsia" w:hAnsi="宋体" w:cs="宋体"/>
          <w:color w:val="000000" w:themeColor="text1"/>
          <w:highlight w:val="white"/>
          <w14:textFill>
            <w14:solidFill>
              <w14:schemeClr w14:val="tx1"/>
            </w14:solidFill>
          </w14:textFill>
        </w:rPr>
      </w:pPr>
      <w:r>
        <w:rPr>
          <w:rFonts w:hint="eastAsia" w:hAnsi="宋体" w:cs="宋体"/>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eastAsia="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项目名称：</w:t>
      </w:r>
      <w:r>
        <w:rPr>
          <w:rFonts w:hint="eastAsia" w:ascii="宋体" w:hAnsi="宋体" w:cs="宋体"/>
          <w:b/>
          <w:color w:val="000000" w:themeColor="text1"/>
          <w:sz w:val="36"/>
          <w:highlight w:val="white"/>
          <w:lang w:eastAsia="zh-CN"/>
          <w14:textFill>
            <w14:solidFill>
              <w14:schemeClr w14:val="tx1"/>
            </w14:solidFill>
          </w14:textFill>
        </w:rPr>
        <w:t xml:space="preserve">老旧水库改造提升项目评估</w:t>
      </w:r>
      <w:r>
        <w:rPr>
          <w:highlight w:val="white"/>
        </w:rPr>
      </w:r>
      <w:r/>
    </w:p>
    <w:p>
      <w:pPr>
        <w:jc w:val="center"/>
        <w:rPr>
          <w:rFonts w:hint="eastAsia" w:ascii="宋体" w:hAnsi="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r>
      <w:r>
        <w:rPr>
          <w:highlight w:val="white"/>
        </w:rPr>
      </w:r>
      <w:r/>
    </w:p>
    <w:p>
      <w:pPr>
        <w:ind w:right="420"/>
        <w:jc w:val="center"/>
        <w:rPr>
          <w:rFonts w:hint="eastAsia" w:ascii="宋体" w:hAnsi="宋体" w:eastAsia="宋体" w:cs="宋体"/>
          <w:b/>
          <w:color w:val="auto"/>
          <w:sz w:val="36"/>
          <w:highlight w:val="white"/>
        </w:rPr>
      </w:pPr>
      <w:r>
        <w:rPr>
          <w:rFonts w:hint="eastAsia" w:ascii="宋体" w:hAnsi="宋体" w:cs="宋体"/>
          <w:b/>
          <w:color w:val="000000" w:themeColor="text1"/>
          <w:sz w:val="36"/>
          <w:highlight w:val="white"/>
          <w14:textFill>
            <w14:solidFill>
              <w14:schemeClr w14:val="tx1"/>
            </w14:solidFill>
          </w14:textFill>
        </w:rPr>
        <w:t xml:space="preserve">项目编号：</w:t>
      </w:r>
      <w:r>
        <w:rPr>
          <w:rFonts w:hint="eastAsia" w:ascii="宋体" w:hAnsi="宋体" w:cs="宋体"/>
          <w:b/>
          <w:color w:val="auto"/>
          <w:sz w:val="36"/>
          <w:highlight w:val="white"/>
          <w:lang w:eastAsia="zh-CN"/>
        </w:rPr>
        <w:t xml:space="preserve">JSZC-321000-YZJW-C2026-0002</w:t>
      </w:r>
      <w:r>
        <w:rPr>
          <w:highlight w:val="white"/>
        </w:rPr>
      </w:r>
      <w:r/>
    </w:p>
    <w:p>
      <w:pPr>
        <w:jc w:val="center"/>
        <w:rPr>
          <w:rFonts w:hint="eastAsia" w:ascii="宋体" w:hAnsi="宋体" w:cs="宋体"/>
          <w:color w:val="000000" w:themeColor="text1"/>
          <w:sz w:val="36"/>
          <w:highlight w:val="white"/>
          <w14:textFill>
            <w14:solidFill>
              <w14:schemeClr w14:val="tx1"/>
            </w14:solidFill>
          </w14:textFill>
        </w:rPr>
      </w:pPr>
      <w:r>
        <w:rPr>
          <w:rFonts w:hint="eastAsia" w:ascii="宋体" w:hAnsi="宋体" w:cs="宋体"/>
          <w:color w:val="000000" w:themeColor="text1"/>
          <w:sz w:val="36"/>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rPr>
          <w:rFonts w:hint="eastAsia" w:ascii="宋体" w:hAnsi="宋体" w:cs="宋体"/>
          <w:color w:val="000000" w:themeColor="text1"/>
          <w:sz w:val="36"/>
          <w:highlight w:val="white"/>
          <w14:textFill>
            <w14:solidFill>
              <w14:schemeClr w14:val="tx1"/>
            </w14:solidFill>
          </w14:textFill>
        </w:rPr>
      </w:pPr>
      <w:r>
        <w:rPr>
          <w:rFonts w:hint="eastAsia" w:ascii="宋体" w:hAnsi="宋体" w:cs="宋体"/>
          <w:color w:val="000000" w:themeColor="text1"/>
          <w:sz w:val="36"/>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jc w:val="cente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ind w:right="120" w:firstLine="0"/>
        <w:jc w:val="center"/>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t xml:space="preserve">采购人：</w:t>
      </w:r>
      <w:bookmarkStart w:id="6" w:name="_Hlk201847882"/>
      <w:r>
        <w:rPr>
          <w:rFonts w:hint="eastAsia" w:ascii="宋体" w:hAnsi="宋体" w:cs="宋体"/>
          <w:b/>
          <w:bCs/>
          <w:color w:val="000000" w:themeColor="text1"/>
          <w:sz w:val="32"/>
          <w:szCs w:val="32"/>
          <w:highlight w:val="white"/>
          <w14:textFill>
            <w14:solidFill>
              <w14:schemeClr w14:val="tx1"/>
            </w14:solidFill>
          </w14:textFill>
        </w:rPr>
        <w:t xml:space="preserve">扬州市水利局</w:t>
      </w:r>
      <w:bookmarkEnd w:id="6"/>
      <w:r>
        <w:rPr>
          <w:highlight w:val="white"/>
        </w:rPr>
      </w:r>
      <w:r/>
    </w:p>
    <w:p>
      <w:pPr>
        <w:pStyle w:val="843"/>
        <w:jc w:val="center"/>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t xml:space="preserve">采购代理机构</w:t>
      </w:r>
      <w:r>
        <w:rPr>
          <w:rFonts w:hint="eastAsia"/>
          <w:color w:val="000000" w:themeColor="text1"/>
          <w:highlight w:val="white"/>
          <w14:textFill>
            <w14:solidFill>
              <w14:schemeClr w14:val="tx1"/>
            </w14:solidFill>
          </w14:textFill>
        </w:rPr>
        <w:t xml:space="preserve">:</w:t>
      </w:r>
      <w:r>
        <w:rPr>
          <w:rFonts w:hint="eastAsia" w:ascii="宋体" w:hAnsi="宋体" w:eastAsia="宋体" w:cs="宋体"/>
          <w:color w:val="000000" w:themeColor="text1"/>
          <w:highlight w:val="white"/>
          <w14:textFill>
            <w14:solidFill>
              <w14:schemeClr w14:val="tx1"/>
            </w14:solidFill>
          </w14:textFill>
        </w:rPr>
        <w:t xml:space="preserve">扬州市建卫工程建设监理有限责任公司</w:t>
      </w:r>
      <w:r>
        <w:rPr>
          <w:highlight w:val="white"/>
        </w:rPr>
      </w:r>
      <w:r/>
    </w:p>
    <w:p>
      <w:pPr>
        <w:rPr>
          <w:highlight w:val="white"/>
        </w:rPr>
      </w:pPr>
      <w:r>
        <w:rPr>
          <w:highlight w:val="white"/>
        </w:rPr>
      </w:r>
      <w:r>
        <w:rPr>
          <w:highlight w:val="white"/>
        </w:rPr>
      </w:r>
      <w:r/>
    </w:p>
    <w:p>
      <w:pPr>
        <w:jc w:val="center"/>
        <w:spacing w:line="480" w:lineRule="auto"/>
        <w:rPr>
          <w:rFonts w:hint="eastAsia" w:ascii="宋体" w:hAnsi="宋体" w:eastAsia="宋体" w:cs="宋体"/>
          <w:b/>
          <w:bCs/>
          <w:color w:val="000000" w:themeColor="text1"/>
          <w:sz w:val="44"/>
          <w:szCs w:val="21"/>
          <w:highlight w:val="white"/>
          <w14:textFill>
            <w14:solidFill>
              <w14:schemeClr w14:val="tx1"/>
            </w14:solidFill>
          </w14:textFill>
        </w:rPr>
        <w:outlineLvl w:val="0"/>
      </w:pPr>
      <w:r>
        <w:rPr>
          <w:rFonts w:hint="eastAsia" w:ascii="宋体" w:hAnsi="宋体" w:cs="宋体"/>
          <w:b/>
          <w:bCs/>
          <w:color w:val="000000" w:themeColor="text1"/>
          <w:sz w:val="36"/>
          <w:highlight w:val="white"/>
          <w:lang w:eastAsia="zh-CN"/>
          <w14:textFill>
            <w14:solidFill>
              <w14:schemeClr w14:val="tx1"/>
            </w14:solidFill>
          </w14:textFill>
        </w:rPr>
        <w:t xml:space="preserve">2026年 </w:t>
      </w:r>
      <w:r>
        <w:rPr>
          <w:rFonts w:hint="eastAsia" w:ascii="宋体" w:hAnsi="宋体" w:cs="宋体"/>
          <w:b/>
          <w:bCs/>
          <w:color w:val="000000" w:themeColor="text1"/>
          <w:sz w:val="36"/>
          <w:highlight w:val="white"/>
          <w:lang w:val="en-US" w:eastAsia="zh-CN"/>
          <w14:textFill>
            <w14:solidFill>
              <w14:schemeClr w14:val="tx1"/>
            </w14:solidFill>
          </w14:textFill>
        </w:rPr>
        <w:t xml:space="preserve">10</w:t>
      </w:r>
      <w:r>
        <w:rPr>
          <w:rFonts w:hint="eastAsia" w:ascii="宋体" w:hAnsi="宋体" w:cs="宋体"/>
          <w:b/>
          <w:bCs/>
          <w:color w:val="000000" w:themeColor="text1"/>
          <w:sz w:val="36"/>
          <w:highlight w:val="white"/>
          <w:lang w:eastAsia="zh-CN"/>
          <w14:textFill>
            <w14:solidFill>
              <w14:schemeClr w14:val="tx1"/>
            </w14:solidFill>
          </w14:textFill>
        </w:rPr>
        <w:t xml:space="preserve"> 月 </w:t>
      </w:r>
      <w:r>
        <w:rPr>
          <w:highlight w:val="white"/>
        </w:rPr>
      </w:r>
      <w:r/>
    </w:p>
    <w:p>
      <w:pPr>
        <w:spacing w:line="480" w:lineRule="auto"/>
        <w:rPr>
          <w:rFonts w:hint="eastAsia" w:ascii="宋体" w:hAnsi="宋体" w:cs="宋体"/>
          <w:b/>
          <w:color w:val="000000" w:themeColor="text1"/>
          <w:sz w:val="44"/>
          <w:szCs w:val="21"/>
          <w:highlight w:val="white"/>
          <w14:textFill>
            <w14:solidFill>
              <w14:schemeClr w14:val="tx1"/>
            </w14:solidFill>
          </w14:textFill>
        </w:rPr>
        <w:outlineLvl w:val="0"/>
      </w:pPr>
      <w:r>
        <w:rPr>
          <w:rFonts w:hint="eastAsia" w:ascii="宋体" w:hAnsi="宋体" w:cs="宋体"/>
          <w:b/>
          <w:color w:val="000000" w:themeColor="text1"/>
          <w:sz w:val="44"/>
          <w:szCs w:val="21"/>
          <w:highlight w:val="white"/>
          <w14:textFill>
            <w14:solidFill>
              <w14:schemeClr w14:val="tx1"/>
            </w14:solidFill>
          </w14:textFill>
        </w:rPr>
      </w:r>
      <w:r>
        <w:rPr>
          <w:highlight w:val="white"/>
        </w:rPr>
      </w:r>
      <w:r/>
    </w:p>
    <w:p>
      <w:pPr>
        <w:jc w:val="center"/>
        <w:spacing w:line="480" w:lineRule="auto"/>
        <w:rPr>
          <w:rFonts w:hint="eastAsia" w:ascii="宋体" w:hAnsi="宋体" w:cs="宋体"/>
          <w:b/>
          <w:color w:val="000000" w:themeColor="text1"/>
          <w:sz w:val="44"/>
          <w:szCs w:val="21"/>
          <w:highlight w:val="white"/>
          <w14:textFill>
            <w14:solidFill>
              <w14:schemeClr w14:val="tx1"/>
            </w14:solidFill>
          </w14:textFill>
        </w:rPr>
        <w:outlineLvl w:val="0"/>
      </w:pPr>
      <w:r>
        <w:rPr>
          <w:rFonts w:hint="eastAsia" w:ascii="宋体" w:hAnsi="宋体" w:cs="宋体"/>
          <w:b/>
          <w:color w:val="000000" w:themeColor="text1"/>
          <w:sz w:val="44"/>
          <w:szCs w:val="21"/>
          <w:highlight w:val="white"/>
          <w14:textFill>
            <w14:solidFill>
              <w14:schemeClr w14:val="tx1"/>
            </w14:solidFill>
          </w14:textFill>
        </w:rPr>
        <w:t xml:space="preserve">总  目  录</w:t>
      </w:r>
      <w:r>
        <w:rPr>
          <w:highlight w:val="white"/>
        </w:rPr>
      </w:r>
      <w:r/>
    </w:p>
    <w:p>
      <w:pPr>
        <w:spacing w:line="480" w:lineRule="auto"/>
        <w:rPr>
          <w:rFonts w:hint="eastAsia" w:ascii="宋体" w:hAnsi="宋体" w:cs="宋体"/>
          <w:b/>
          <w:color w:val="000000" w:themeColor="text1"/>
          <w:sz w:val="28"/>
          <w:szCs w:val="21"/>
          <w:highlight w:val="white"/>
          <w14:textFill>
            <w14:solidFill>
              <w14:schemeClr w14:val="tx1"/>
            </w14:solidFill>
          </w14:textFill>
        </w:rPr>
      </w:pPr>
      <w:r>
        <w:rPr>
          <w:rFonts w:hint="eastAsia" w:ascii="宋体" w:hAnsi="宋体" w:cs="宋体"/>
          <w:b/>
          <w:color w:val="000000" w:themeColor="text1"/>
          <w:sz w:val="28"/>
          <w:szCs w:val="21"/>
          <w:highlight w:val="white"/>
          <w14:textFill>
            <w14:solidFill>
              <w14:schemeClr w14:val="tx1"/>
            </w14:solidFill>
          </w14:textFill>
        </w:rPr>
      </w:r>
      <w:r>
        <w:rPr>
          <w:highlight w:val="white"/>
        </w:rPr>
      </w:r>
      <w:r/>
    </w:p>
    <w:p>
      <w:pPr>
        <w:numPr>
          <w:ilvl w:val="0"/>
          <w:numId w:val="6"/>
        </w:numPr>
        <w:spacing w:line="480" w:lineRule="auto"/>
        <w:rPr>
          <w:rFonts w:hint="eastAsia" w:ascii="宋体" w:hAnsi="宋体" w:cs="宋体"/>
          <w:color w:val="000000" w:themeColor="text1"/>
          <w:sz w:val="32"/>
          <w:szCs w:val="21"/>
          <w:highlight w:val="white"/>
          <w14:textFill>
            <w14:solidFill>
              <w14:schemeClr w14:val="tx1"/>
            </w14:solidFill>
          </w14:textFill>
        </w:rPr>
        <w:outlineLvl w:val="0"/>
      </w:pPr>
      <w:r>
        <w:rPr>
          <w:rFonts w:hint="eastAsia" w:ascii="宋体" w:hAnsi="宋体" w:cs="宋体"/>
          <w:color w:val="000000" w:themeColor="text1"/>
          <w:sz w:val="36"/>
          <w:szCs w:val="21"/>
          <w:highlight w:val="white"/>
          <w14:textFill>
            <w14:solidFill>
              <w14:schemeClr w14:val="tx1"/>
            </w14:solidFill>
          </w14:textFill>
        </w:rPr>
        <w:t xml:space="preserve">磋商公告……………………………………3</w:t>
      </w:r>
      <w:r>
        <w:rPr>
          <w:highlight w:val="white"/>
        </w:rPr>
      </w:r>
      <w:r/>
    </w:p>
    <w:p>
      <w:pPr>
        <w:numPr>
          <w:ilvl w:val="0"/>
          <w:numId w:val="6"/>
        </w:numPr>
        <w:spacing w:line="480" w:lineRule="auto"/>
        <w:rPr>
          <w:rFonts w:hint="eastAsia" w:ascii="宋体" w:hAnsi="宋体" w:cs="宋体"/>
          <w:color w:val="000000" w:themeColor="text1"/>
          <w:sz w:val="36"/>
          <w:szCs w:val="21"/>
          <w:highlight w:val="white"/>
          <w14:textFill>
            <w14:solidFill>
              <w14:schemeClr w14:val="tx1"/>
            </w14:solidFill>
          </w14:textFill>
        </w:rPr>
        <w:outlineLvl w:val="0"/>
      </w:pPr>
      <w:r>
        <w:rPr>
          <w:rFonts w:hint="eastAsia" w:ascii="宋体" w:hAnsi="宋体" w:cs="宋体"/>
          <w:bCs/>
          <w:color w:val="000000" w:themeColor="text1"/>
          <w:sz w:val="36"/>
          <w:szCs w:val="36"/>
          <w:highlight w:val="white"/>
          <w14:textFill>
            <w14:solidFill>
              <w14:schemeClr w14:val="tx1"/>
            </w14:solidFill>
          </w14:textFill>
        </w:rPr>
        <w:t xml:space="preserve">供应商须知</w:t>
      </w:r>
      <w:r>
        <w:rPr>
          <w:rFonts w:hint="eastAsia" w:ascii="宋体" w:hAnsi="宋体" w:cs="宋体"/>
          <w:color w:val="000000" w:themeColor="text1"/>
          <w:sz w:val="36"/>
          <w:szCs w:val="36"/>
          <w:highlight w:val="white"/>
          <w14:textFill>
            <w14:solidFill>
              <w14:schemeClr w14:val="tx1"/>
            </w14:solidFill>
          </w14:textFill>
        </w:rPr>
        <w:t xml:space="preserve">…</w:t>
      </w:r>
      <w:r>
        <w:rPr>
          <w:rFonts w:hint="eastAsia" w:ascii="宋体" w:hAnsi="宋体" w:cs="宋体"/>
          <w:color w:val="000000" w:themeColor="text1"/>
          <w:sz w:val="36"/>
          <w:szCs w:val="21"/>
          <w:highlight w:val="white"/>
          <w14:textFill>
            <w14:solidFill>
              <w14:schemeClr w14:val="tx1"/>
            </w14:solidFill>
          </w14:textFill>
        </w:rPr>
        <w:t xml:space="preserve">………………………………7</w:t>
      </w:r>
      <w:r>
        <w:rPr>
          <w:highlight w:val="white"/>
        </w:rPr>
      </w:r>
      <w:r/>
    </w:p>
    <w:p>
      <w:pPr>
        <w:numPr>
          <w:ilvl w:val="0"/>
          <w:numId w:val="6"/>
        </w:numPr>
        <w:spacing w:line="480" w:lineRule="auto"/>
        <w:rPr>
          <w:rFonts w:hint="eastAsia" w:ascii="宋体" w:hAnsi="宋体" w:cs="宋体"/>
          <w:color w:val="000000" w:themeColor="text1"/>
          <w:sz w:val="36"/>
          <w:szCs w:val="21"/>
          <w:highlight w:val="white"/>
          <w14:textFill>
            <w14:solidFill>
              <w14:schemeClr w14:val="tx1"/>
            </w14:solidFill>
          </w14:textFill>
        </w:rPr>
        <w:outlineLvl w:val="0"/>
      </w:pPr>
      <w:r>
        <w:rPr>
          <w:rFonts w:hint="eastAsia" w:ascii="宋体" w:hAnsi="宋体" w:cs="宋体"/>
          <w:color w:val="000000" w:themeColor="text1"/>
          <w:sz w:val="36"/>
          <w:szCs w:val="21"/>
          <w:highlight w:val="white"/>
          <w14:textFill>
            <w14:solidFill>
              <w14:schemeClr w14:val="tx1"/>
            </w14:solidFill>
          </w14:textFill>
        </w:rPr>
        <w:t xml:space="preserve">合同文本……………………………………</w:t>
      </w:r>
      <w:r>
        <w:rPr>
          <w:rFonts w:hint="eastAsia" w:ascii="宋体" w:hAnsi="宋体" w:cs="宋体"/>
          <w:color w:val="000000" w:themeColor="text1"/>
          <w:sz w:val="36"/>
          <w:szCs w:val="21"/>
          <w:highlight w:val="white"/>
          <w:lang w:val="en-US" w:eastAsia="zh-CN"/>
          <w14:textFill>
            <w14:solidFill>
              <w14:schemeClr w14:val="tx1"/>
            </w14:solidFill>
          </w14:textFill>
        </w:rPr>
        <w:t xml:space="preserve">17</w:t>
      </w:r>
      <w:r>
        <w:rPr>
          <w:highlight w:val="white"/>
        </w:rPr>
      </w:r>
      <w:r/>
    </w:p>
    <w:p>
      <w:pPr>
        <w:numPr>
          <w:ilvl w:val="0"/>
          <w:numId w:val="6"/>
        </w:numPr>
        <w:spacing w:line="480" w:lineRule="auto"/>
        <w:rPr>
          <w:rFonts w:hint="eastAsia" w:ascii="宋体" w:hAnsi="宋体" w:cs="宋体"/>
          <w:color w:val="000000" w:themeColor="text1"/>
          <w:sz w:val="36"/>
          <w:szCs w:val="21"/>
          <w:highlight w:val="white"/>
          <w14:textFill>
            <w14:solidFill>
              <w14:schemeClr w14:val="tx1"/>
            </w14:solidFill>
          </w14:textFill>
        </w:rPr>
        <w:outlineLvl w:val="0"/>
      </w:pPr>
      <w:r>
        <w:rPr>
          <w:rFonts w:hint="eastAsia" w:ascii="宋体" w:hAnsi="宋体" w:cs="宋体"/>
          <w:color w:val="000000" w:themeColor="text1"/>
          <w:sz w:val="36"/>
          <w:szCs w:val="21"/>
          <w:highlight w:val="white"/>
          <w14:textFill>
            <w14:solidFill>
              <w14:schemeClr w14:val="tx1"/>
            </w14:solidFill>
          </w14:textFill>
        </w:rPr>
        <w:t xml:space="preserve">采购需求……………………………………</w:t>
      </w:r>
      <w:r>
        <w:rPr>
          <w:rFonts w:hint="eastAsia" w:ascii="宋体" w:hAnsi="宋体" w:cs="宋体"/>
          <w:color w:val="000000" w:themeColor="text1"/>
          <w:sz w:val="36"/>
          <w:szCs w:val="21"/>
          <w:highlight w:val="white"/>
          <w:lang w:val="en-US" w:eastAsia="zh-CN"/>
          <w14:textFill>
            <w14:solidFill>
              <w14:schemeClr w14:val="tx1"/>
            </w14:solidFill>
          </w14:textFill>
        </w:rPr>
        <w:t xml:space="preserve">21</w:t>
      </w:r>
      <w:r>
        <w:rPr>
          <w:highlight w:val="white"/>
        </w:rPr>
      </w:r>
      <w:r/>
    </w:p>
    <w:p>
      <w:pPr>
        <w:numPr>
          <w:ilvl w:val="0"/>
          <w:numId w:val="6"/>
        </w:numPr>
        <w:spacing w:line="480" w:lineRule="auto"/>
        <w:rPr>
          <w:rFonts w:hint="eastAsia" w:ascii="宋体" w:hAnsi="宋体" w:cs="宋体"/>
          <w:color w:val="000000" w:themeColor="text1"/>
          <w:sz w:val="36"/>
          <w:szCs w:val="21"/>
          <w:highlight w:val="white"/>
          <w14:textFill>
            <w14:solidFill>
              <w14:schemeClr w14:val="tx1"/>
            </w14:solidFill>
          </w14:textFill>
        </w:rPr>
        <w:outlineLvl w:val="0"/>
      </w:pPr>
      <w:r>
        <w:rPr>
          <w:rFonts w:hint="eastAsia" w:ascii="宋体" w:hAnsi="宋体" w:cs="宋体"/>
          <w:bCs/>
          <w:color w:val="000000" w:themeColor="text1"/>
          <w:sz w:val="36"/>
          <w:szCs w:val="36"/>
          <w:highlight w:val="white"/>
          <w14:textFill>
            <w14:solidFill>
              <w14:schemeClr w14:val="tx1"/>
            </w14:solidFill>
          </w14:textFill>
        </w:rPr>
        <w:t xml:space="preserve">评审方法与评审标准</w:t>
      </w:r>
      <w:r>
        <w:rPr>
          <w:rFonts w:hint="eastAsia" w:ascii="宋体" w:hAnsi="宋体" w:cs="宋体"/>
          <w:color w:val="000000" w:themeColor="text1"/>
          <w:sz w:val="36"/>
          <w:szCs w:val="21"/>
          <w:highlight w:val="white"/>
          <w14:textFill>
            <w14:solidFill>
              <w14:schemeClr w14:val="tx1"/>
            </w14:solidFill>
          </w14:textFill>
        </w:rPr>
        <w:t xml:space="preserve">………………………</w:t>
      </w:r>
      <w:r>
        <w:rPr>
          <w:rFonts w:hint="eastAsia" w:ascii="宋体" w:hAnsi="宋体" w:cs="宋体"/>
          <w:color w:val="000000" w:themeColor="text1"/>
          <w:sz w:val="36"/>
          <w:szCs w:val="21"/>
          <w:highlight w:val="white"/>
          <w:lang w:val="en-US" w:eastAsia="zh-CN"/>
          <w14:textFill>
            <w14:solidFill>
              <w14:schemeClr w14:val="tx1"/>
            </w14:solidFill>
          </w14:textFill>
        </w:rPr>
        <w:t xml:space="preserve">24</w:t>
      </w:r>
      <w:r>
        <w:rPr>
          <w:highlight w:val="white"/>
        </w:rPr>
      </w:r>
      <w:r/>
    </w:p>
    <w:p>
      <w:pPr>
        <w:numPr>
          <w:ilvl w:val="0"/>
          <w:numId w:val="6"/>
        </w:numPr>
        <w:spacing w:line="480" w:lineRule="auto"/>
        <w:rPr>
          <w:rFonts w:hint="eastAsia" w:ascii="宋体" w:hAnsi="宋体" w:cs="宋体"/>
          <w:color w:val="000000" w:themeColor="text1"/>
          <w:sz w:val="36"/>
          <w:szCs w:val="21"/>
          <w:highlight w:val="white"/>
          <w14:textFill>
            <w14:solidFill>
              <w14:schemeClr w14:val="tx1"/>
            </w14:solidFill>
          </w14:textFill>
        </w:rPr>
        <w:outlineLvl w:val="0"/>
      </w:pPr>
      <w:r>
        <w:rPr>
          <w:rFonts w:hint="eastAsia" w:ascii="宋体" w:hAnsi="宋体" w:cs="宋体"/>
          <w:color w:val="000000" w:themeColor="text1"/>
          <w:sz w:val="36"/>
          <w:szCs w:val="21"/>
          <w:highlight w:val="white"/>
          <w14:textFill>
            <w14:solidFill>
              <w14:schemeClr w14:val="tx1"/>
            </w14:solidFill>
          </w14:textFill>
        </w:rPr>
        <w:t xml:space="preserve">响应文件格式………………………………</w:t>
      </w:r>
      <w:r>
        <w:rPr>
          <w:rFonts w:hint="eastAsia" w:ascii="宋体" w:hAnsi="宋体" w:cs="宋体"/>
          <w:color w:val="000000" w:themeColor="text1"/>
          <w:sz w:val="36"/>
          <w:szCs w:val="21"/>
          <w:highlight w:val="white"/>
          <w:lang w:val="en-US" w:eastAsia="zh-CN"/>
          <w14:textFill>
            <w14:solidFill>
              <w14:schemeClr w14:val="tx1"/>
            </w14:solidFill>
          </w14:textFill>
        </w:rPr>
        <w:t xml:space="preserve">29</w:t>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pStyle w:val="1149"/>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第一章  </w:t>
      </w:r>
      <w:bookmarkEnd w:id="0"/>
      <w:r>
        <w:rPr>
          <w:rFonts w:hint="eastAsia"/>
          <w:color w:val="000000" w:themeColor="text1"/>
          <w:highlight w:val="white"/>
          <w14:textFill>
            <w14:solidFill>
              <w14:schemeClr w14:val="tx1"/>
            </w14:solidFill>
          </w14:textFill>
        </w:rPr>
        <w:t xml:space="preserve">磋商公告</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受扬州市水利局的委托，扬州市建卫工程建设监理有限责任公司就</w:t>
      </w:r>
      <w:r>
        <w:rPr>
          <w:rFonts w:hint="eastAsia" w:ascii="宋体" w:hAnsi="宋体" w:cs="宋体"/>
          <w:color w:val="000000" w:themeColor="text1"/>
          <w:szCs w:val="21"/>
          <w:highlight w:val="white"/>
          <w:u w:val="single"/>
          <w:lang w:eastAsia="zh-CN"/>
          <w14:textFill>
            <w14:solidFill>
              <w14:schemeClr w14:val="tx1"/>
            </w14:solidFill>
          </w14:textFill>
        </w:rPr>
        <w:t xml:space="preserve">老旧水库改造提升项目</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评估</w:t>
      </w:r>
      <w:r>
        <w:rPr>
          <w:rFonts w:hint="eastAsia" w:ascii="宋体" w:hAnsi="宋体" w:cs="宋体"/>
          <w:color w:val="auto"/>
          <w:szCs w:val="21"/>
          <w:highlight w:val="white"/>
        </w:rPr>
        <w:t xml:space="preserve">(</w:t>
      </w:r>
      <w:r>
        <w:rPr>
          <w:rFonts w:hint="eastAsia" w:ascii="宋体" w:hAnsi="宋体" w:cs="宋体"/>
          <w:color w:val="auto"/>
          <w:szCs w:val="21"/>
          <w:highlight w:val="white"/>
          <w:lang w:eastAsia="zh-CN"/>
        </w:rPr>
        <w:t xml:space="preserve">JSZC-321000-YZJW-C2026-0002</w:t>
      </w:r>
      <w:r>
        <w:rPr>
          <w:rFonts w:hint="eastAsia" w:ascii="宋体" w:hAnsi="宋体" w:cs="宋体"/>
          <w:color w:val="auto"/>
          <w:szCs w:val="21"/>
          <w:highlight w:val="white"/>
        </w:rPr>
        <w:t xml:space="preserve">)</w:t>
      </w:r>
      <w:r>
        <w:rPr>
          <w:rFonts w:hint="eastAsia" w:ascii="宋体" w:hAnsi="宋体" w:cs="宋体"/>
          <w:color w:val="000000" w:themeColor="text1"/>
          <w:szCs w:val="21"/>
          <w:highlight w:val="white"/>
          <w14:textFill>
            <w14:solidFill>
              <w14:schemeClr w14:val="tx1"/>
            </w14:solidFill>
          </w14:textFill>
        </w:rPr>
        <w:t xml:space="preserve">项目进行竞争性磋商采购，欢迎符合条件的供应商参加磋商。</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white"/>
          <w14:textFill>
            <w14:solidFill>
              <w14:schemeClr w14:val="tx1"/>
            </w14:solidFill>
          </w14:textFill>
        </w:rPr>
        <w:t xml:space="preserve">项目概况</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white"/>
          <w:u w:val="single"/>
          <w:lang w:eastAsia="zh-CN"/>
          <w14:textFill>
            <w14:solidFill>
              <w14:schemeClr w14:val="tx1"/>
            </w14:solidFill>
          </w14:textFill>
        </w:rPr>
        <w:t xml:space="preserve">老旧水库改造提升项目</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评估</w:t>
      </w:r>
      <w:r>
        <w:rPr>
          <w:rFonts w:hint="eastAsia" w:ascii="宋体" w:hAnsi="宋体" w:cs="宋体"/>
          <w:color w:val="000000" w:themeColor="text1"/>
          <w:szCs w:val="21"/>
          <w:highlight w:val="white"/>
          <w14:textFill>
            <w14:solidFill>
              <w14:schemeClr w14:val="tx1"/>
            </w14:solidFill>
          </w14:textFill>
        </w:rPr>
        <w:t xml:space="preserve">竞争性磋商项目的潜在供应商可在</w:t>
      </w:r>
      <w:r>
        <w:rPr>
          <w:rFonts w:hint="eastAsia" w:ascii="宋体" w:hAnsi="宋体" w:cs="宋体"/>
          <w:color w:val="000000" w:themeColor="text1"/>
          <w:szCs w:val="21"/>
          <w:highlight w:val="white"/>
          <w:u w:val="single"/>
          <w14:textFill>
            <w14:solidFill>
              <w14:schemeClr w14:val="tx1"/>
            </w14:solidFill>
          </w14:textFill>
        </w:rPr>
        <w:t xml:space="preserve">“扬州市政府采购网”、“江苏省政府采购网”自行免费下载</w:t>
      </w:r>
      <w:r>
        <w:rPr>
          <w:rFonts w:hint="eastAsia" w:ascii="宋体" w:hAnsi="宋体" w:cs="宋体"/>
          <w:color w:val="000000" w:themeColor="text1"/>
          <w:szCs w:val="21"/>
          <w:highlight w:val="white"/>
          <w14:textFill>
            <w14:solidFill>
              <w14:schemeClr w14:val="tx1"/>
            </w14:solidFill>
          </w14:textFill>
        </w:rPr>
        <w:t xml:space="preserve">磋商文件，并于</w:t>
      </w:r>
      <w:r>
        <w:rPr>
          <w:rFonts w:hint="eastAsia" w:ascii="宋体" w:hAnsi="宋体" w:cs="宋体"/>
          <w:b/>
          <w:bCs/>
          <w:color w:val="ff0000"/>
          <w:szCs w:val="21"/>
          <w:highlight w:val="white"/>
          <w:u w:val="single"/>
          <w:lang w:eastAsia="zh-CN"/>
        </w:rPr>
        <w:t xml:space="preserve">2026年1</w:t>
      </w:r>
      <w:r>
        <w:rPr>
          <w:rFonts w:hint="eastAsia" w:ascii="宋体" w:hAnsi="宋体" w:cs="宋体"/>
          <w:b/>
          <w:bCs/>
          <w:color w:val="ff0000"/>
          <w:szCs w:val="21"/>
          <w:highlight w:val="white"/>
          <w:u w:val="single"/>
          <w:lang w:val="en-US" w:eastAsia="zh-CN"/>
        </w:rPr>
        <w:t xml:space="preserve">1</w:t>
      </w:r>
      <w:r>
        <w:rPr>
          <w:rFonts w:hint="eastAsia" w:ascii="宋体" w:hAnsi="宋体" w:cs="宋体"/>
          <w:b/>
          <w:bCs/>
          <w:color w:val="ff0000"/>
          <w:szCs w:val="21"/>
          <w:highlight w:val="white"/>
          <w:u w:val="single"/>
          <w:lang w:eastAsia="zh-CN"/>
        </w:rPr>
        <w:t xml:space="preserve">月</w:t>
      </w:r>
      <w:r>
        <w:rPr>
          <w:rFonts w:hint="eastAsia" w:ascii="宋体" w:hAnsi="宋体" w:cs="宋体"/>
          <w:b/>
          <w:bCs/>
          <w:color w:val="ff0000"/>
          <w:szCs w:val="21"/>
          <w:highlight w:val="white"/>
          <w:u w:val="single"/>
          <w:lang w:val="en-US" w:eastAsia="zh-CN"/>
        </w:rPr>
        <w:t xml:space="preserve">09</w:t>
      </w:r>
      <w:r>
        <w:rPr>
          <w:rFonts w:hint="eastAsia" w:ascii="宋体" w:hAnsi="宋体" w:cs="宋体"/>
          <w:b/>
          <w:bCs/>
          <w:color w:val="ff0000"/>
          <w:szCs w:val="21"/>
          <w:highlight w:val="white"/>
          <w:u w:val="single"/>
          <w:lang w:eastAsia="zh-CN"/>
        </w:rPr>
        <w:t xml:space="preserve">日</w:t>
      </w:r>
      <w:r>
        <w:rPr>
          <w:rFonts w:hint="eastAsia" w:ascii="宋体" w:hAnsi="宋体" w:cs="宋体"/>
          <w:b/>
          <w:bCs/>
          <w:color w:val="ff0000"/>
          <w:szCs w:val="21"/>
          <w:highlight w:val="white"/>
          <w:u w:val="single"/>
        </w:rPr>
        <w:t xml:space="preserve">9点30分</w:t>
      </w:r>
      <w:r>
        <w:rPr>
          <w:rFonts w:hint="eastAsia" w:ascii="宋体" w:hAnsi="宋体" w:cs="宋体"/>
          <w:bCs/>
          <w:color w:val="000000" w:themeColor="text1"/>
          <w:szCs w:val="21"/>
          <w:highlight w:val="white"/>
          <w14:textFill>
            <w14:solidFill>
              <w14:schemeClr w14:val="tx1"/>
            </w14:solidFill>
          </w14:textFill>
        </w:rPr>
        <w:t xml:space="preserve">（北京时间）前递交响应文件</w:t>
      </w:r>
      <w:r>
        <w:rPr>
          <w:rFonts w:hint="eastAsia" w:ascii="宋体" w:hAnsi="宋体" w:cs="宋体"/>
          <w:color w:val="000000" w:themeColor="text1"/>
          <w:szCs w:val="21"/>
          <w:highlight w:val="white"/>
          <w14:textFill>
            <w14:solidFill>
              <w14:schemeClr w14:val="tx1"/>
            </w14:solidFill>
          </w14:textFill>
        </w:rPr>
        <w:t xml:space="preserve">。</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highlight w:val="white"/>
        </w:rPr>
      </w:r>
      <w:bookmarkStart w:id="7" w:name="_Toc35393621"/>
      <w:r>
        <w:rPr>
          <w:highlight w:val="white"/>
        </w:rPr>
      </w:r>
      <w:bookmarkStart w:id="8" w:name="_Toc28359002"/>
      <w:r>
        <w:rPr>
          <w:highlight w:val="white"/>
        </w:rPr>
      </w:r>
      <w:bookmarkStart w:id="9" w:name="_Toc38985263"/>
      <w:r>
        <w:rPr>
          <w:highlight w:val="white"/>
        </w:rPr>
      </w:r>
      <w:bookmarkStart w:id="10" w:name="_Toc35393790"/>
      <w:r>
        <w:rPr>
          <w:highlight w:val="white"/>
        </w:rPr>
      </w:r>
      <w:bookmarkStart w:id="11" w:name="_Toc28359079"/>
      <w:r>
        <w:rPr>
          <w:highlight w:val="white"/>
        </w:rPr>
      </w:r>
      <w:bookmarkStart w:id="12" w:name="_Hlk24379207"/>
      <w:r>
        <w:rPr>
          <w:rFonts w:hint="eastAsia" w:hAnsi="宋体" w:eastAsia="宋体" w:cs="宋体"/>
          <w:b/>
          <w:bCs/>
          <w:color w:val="000000" w:themeColor="text1"/>
          <w:sz w:val="21"/>
          <w:szCs w:val="21"/>
          <w:highlight w:val="white"/>
          <w14:textFill>
            <w14:solidFill>
              <w14:schemeClr w14:val="tx1"/>
            </w14:solidFill>
          </w14:textFill>
        </w:rPr>
        <w:t xml:space="preserve">一、项目基本情况</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r/>
    </w:p>
    <w:p>
      <w:pPr>
        <w:ind w:firstLine="420"/>
        <w:spacing w:line="360" w:lineRule="auto"/>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1.项目编号：</w:t>
      </w:r>
      <w:r>
        <w:rPr>
          <w:rFonts w:hint="eastAsia" w:ascii="宋体" w:hAnsi="宋体" w:cs="宋体"/>
          <w:color w:val="000000" w:themeColor="text1"/>
          <w:szCs w:val="21"/>
          <w:highlight w:val="white"/>
          <w:lang w:eastAsia="zh-CN"/>
          <w14:textFill>
            <w14:solidFill>
              <w14:schemeClr w14:val="tx1"/>
            </w14:solidFill>
          </w14:textFill>
        </w:rPr>
        <w:t xml:space="preserve">JSZC-321000-YZJW-C2026-0002</w:t>
      </w:r>
      <w:r>
        <w:rPr>
          <w:highlight w:val="white"/>
        </w:rPr>
      </w:r>
      <w:r/>
    </w:p>
    <w:p>
      <w:pPr>
        <w:ind w:firstLine="420"/>
        <w:spacing w:line="360" w:lineRule="auto"/>
        <w:rPr>
          <w:rFonts w:hint="eastAsia" w:ascii="宋体" w:hAnsi="宋体" w:eastAsia="宋体" w:cs="宋体"/>
          <w:strike/>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2.项目名称：</w:t>
      </w:r>
      <w:r>
        <w:rPr>
          <w:rFonts w:hint="eastAsia" w:ascii="宋体" w:hAnsi="宋体" w:cs="宋体"/>
          <w:color w:val="000000" w:themeColor="text1"/>
          <w:szCs w:val="21"/>
          <w:highlight w:val="white"/>
          <w:lang w:eastAsia="zh-CN"/>
          <w14:textFill>
            <w14:solidFill>
              <w14:schemeClr w14:val="tx1"/>
            </w14:solidFill>
          </w14:textFill>
        </w:rPr>
        <w:t xml:space="preserve">老旧水库改造提升项目</w:t>
      </w:r>
      <w:r>
        <w:rPr>
          <w:rFonts w:hint="eastAsia" w:ascii="宋体" w:hAnsi="宋体" w:cs="宋体"/>
          <w:color w:val="000000" w:themeColor="text1"/>
          <w:szCs w:val="21"/>
          <w:highlight w:val="white"/>
          <w:u w:val="none"/>
          <w:lang w:val="en-US" w:eastAsia="zh-CN"/>
          <w14:textFill>
            <w14:solidFill>
              <w14:schemeClr w14:val="tx1"/>
            </w14:solidFill>
          </w14:textFill>
        </w:rPr>
        <w:t xml:space="preserve">评估</w:t>
      </w:r>
      <w:bookmarkEnd w:id="12"/>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3.预算金额：</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360</w:t>
      </w:r>
      <w:r>
        <w:rPr>
          <w:rFonts w:hint="eastAsia" w:ascii="宋体" w:hAnsi="宋体" w:cs="宋体"/>
          <w:color w:val="000000" w:themeColor="text1"/>
          <w:szCs w:val="21"/>
          <w:highlight w:val="white"/>
          <w:u w:val="single"/>
          <w14:textFill>
            <w14:solidFill>
              <w14:schemeClr w14:val="tx1"/>
            </w14:solidFill>
          </w14:textFill>
        </w:rPr>
        <w:t xml:space="preserve">万元</w:t>
      </w:r>
      <w:r>
        <w:rPr>
          <w:rFonts w:hint="eastAsia" w:ascii="宋体" w:hAnsi="宋体" w:cs="宋体"/>
          <w:color w:val="000000" w:themeColor="text1"/>
          <w:szCs w:val="21"/>
          <w:highlight w:val="white"/>
          <w14:textFill>
            <w14:solidFill>
              <w14:schemeClr w14:val="tx1"/>
            </w14:solidFill>
          </w14:textFill>
        </w:rPr>
        <w:t xml:space="preserve">（本项目设置最高限价，最高限价为 </w:t>
      </w:r>
      <w:r>
        <w:rPr>
          <w:rFonts w:hint="eastAsia" w:ascii="宋体" w:hAnsi="宋体" w:cs="宋体"/>
          <w:color w:val="000000" w:themeColor="text1"/>
          <w:szCs w:val="21"/>
          <w:highlight w:val="white"/>
          <w:lang w:val="en-US" w:eastAsia="zh-CN"/>
          <w14:textFill>
            <w14:solidFill>
              <w14:schemeClr w14:val="tx1"/>
            </w14:solidFill>
          </w14:textFill>
        </w:rPr>
        <w:t xml:space="preserve">360</w:t>
      </w:r>
      <w:r>
        <w:rPr>
          <w:rFonts w:hint="eastAsia" w:ascii="宋体" w:hAnsi="宋体" w:cs="宋体"/>
          <w:color w:val="000000" w:themeColor="text1"/>
          <w:szCs w:val="21"/>
          <w:highlight w:val="white"/>
          <w14:textFill>
            <w14:solidFill>
              <w14:schemeClr w14:val="tx1"/>
            </w14:solidFill>
          </w14:textFill>
        </w:rPr>
        <w:t xml:space="preserve"> 万元，最后报价超过最高限价的做无效响应处理）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4.采购需求：详见采购文件第四章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5.合同履行期限：详见采购文件第四章</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6.</w:t>
      </w:r>
      <w:r>
        <w:rPr>
          <w:rFonts w:hint="eastAsia" w:ascii="宋体" w:hAnsi="宋体" w:cs="宋体"/>
          <w:bCs/>
          <w:color w:val="000000" w:themeColor="text1"/>
          <w:highlight w:val="whit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本项目不接受联合体响应。</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7.</w:t>
      </w:r>
      <w:r>
        <w:rPr>
          <w:rFonts w:hint="eastAsia" w:ascii="宋体" w:hAnsi="宋体" w:cs="宋体"/>
          <w:bCs/>
          <w:color w:val="000000" w:themeColor="text1"/>
          <w:highlight w:val="whit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本项目不接受进口产品响应。</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highlight w:val="white"/>
        </w:rPr>
      </w:r>
      <w:bookmarkStart w:id="13" w:name="_Toc28359003"/>
      <w:r>
        <w:rPr>
          <w:highlight w:val="white"/>
        </w:rPr>
      </w:r>
      <w:bookmarkStart w:id="14" w:name="_Toc35393622"/>
      <w:r>
        <w:rPr>
          <w:highlight w:val="white"/>
        </w:rPr>
      </w:r>
      <w:bookmarkStart w:id="15" w:name="_Toc28359080"/>
      <w:r>
        <w:rPr>
          <w:highlight w:val="white"/>
        </w:rPr>
      </w:r>
      <w:bookmarkStart w:id="16" w:name="_Toc38985264"/>
      <w:r>
        <w:rPr>
          <w:highlight w:val="white"/>
        </w:rPr>
      </w:r>
      <w:bookmarkStart w:id="17" w:name="_Toc35393791"/>
      <w:r>
        <w:rPr>
          <w:rFonts w:hint="eastAsia" w:hAnsi="宋体" w:eastAsia="宋体" w:cs="宋体"/>
          <w:b/>
          <w:bCs/>
          <w:color w:val="000000" w:themeColor="text1"/>
          <w:sz w:val="21"/>
          <w:szCs w:val="21"/>
          <w:highlight w:val="white"/>
          <w14:textFill>
            <w14:solidFill>
              <w14:schemeClr w14:val="tx1"/>
            </w14:solidFill>
          </w14:textFill>
        </w:rPr>
        <w:t xml:space="preserve">二、申请人的资格要求：</w:t>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highlight w:val="white"/>
        </w:rPr>
      </w:r>
      <w:bookmarkStart w:id="18" w:name="_Toc35393792"/>
      <w:r>
        <w:rPr>
          <w:highlight w:val="white"/>
        </w:rPr>
      </w:r>
      <w:bookmarkStart w:id="19" w:name="_Toc28359081"/>
      <w:r>
        <w:rPr>
          <w:highlight w:val="white"/>
        </w:rPr>
      </w:r>
      <w:bookmarkStart w:id="20" w:name="_Toc28359004"/>
      <w:r>
        <w:rPr>
          <w:highlight w:val="white"/>
        </w:rPr>
      </w:r>
      <w:bookmarkStart w:id="21" w:name="_Toc38985265"/>
      <w:r>
        <w:rPr>
          <w:highlight w:val="white"/>
        </w:rPr>
      </w:r>
      <w:bookmarkStart w:id="22" w:name="_Toc35393623"/>
      <w:r>
        <w:rPr>
          <w:rFonts w:hint="eastAsia" w:ascii="宋体" w:hAnsi="宋体" w:cs="宋体"/>
          <w:color w:val="000000" w:themeColor="text1"/>
          <w:szCs w:val="21"/>
          <w:highlight w:val="white"/>
          <w14:textFill>
            <w14:solidFill>
              <w14:schemeClr w14:val="tx1"/>
            </w14:solidFill>
          </w14:textFill>
        </w:rPr>
        <w:t xml:space="preserve">1.满足《中华人民共和国政府采购法》第二十二条规定，并提供下列材料：</w:t>
      </w:r>
      <w:r>
        <w:rPr>
          <w:highlight w:val="white"/>
        </w:rPr>
      </w:r>
      <w:r/>
    </w:p>
    <w:p>
      <w:pPr>
        <w:ind w:firstLine="420"/>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1.1法人或者其他组织的营业执照等证明文件，自然人的身份证明</w:t>
      </w:r>
      <w:r>
        <w:rPr>
          <w:highlight w:val="white"/>
        </w:rPr>
      </w:r>
      <w:r/>
    </w:p>
    <w:p>
      <w:pPr>
        <w:ind w:firstLine="420"/>
        <w:spacing w:line="360" w:lineRule="auto"/>
        <w:rPr>
          <w:rFonts w:hint="eastAsia" w:ascii="宋体" w:hAnsi="宋体" w:cs="宋体"/>
          <w:b/>
          <w:bCs/>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1.2 依法缴纳税收和社会保障资金的相关材料</w:t>
      </w:r>
      <w:r>
        <w:rPr>
          <w:rFonts w:hint="eastAsia" w:ascii="宋体" w:hAnsi="宋体" w:cs="宋体"/>
          <w:b/>
          <w:bCs/>
          <w:i/>
          <w:iCs/>
          <w:color w:val="000000" w:themeColor="text1"/>
          <w:szCs w:val="21"/>
          <w:highlight w:val="white"/>
          <w:u w:val="single"/>
          <w14:textFill>
            <w14:solidFill>
              <w14:schemeClr w14:val="tx1"/>
            </w14:solidFill>
          </w14:textFill>
        </w:rPr>
        <w:t xml:space="preserve">（提供提交响应文件截止时间前</w:t>
      </w:r>
      <w:r>
        <w:rPr>
          <w:rFonts w:hint="eastAsia" w:ascii="宋体" w:hAnsi="宋体" w:cs="宋体"/>
          <w:b/>
          <w:bCs/>
          <w:i/>
          <w:iCs/>
          <w:szCs w:val="21"/>
          <w:highlight w:val="white"/>
          <w:u w:val="single"/>
        </w:rPr>
        <w:t xml:space="preserve">一年内至少一个月</w:t>
      </w:r>
      <w:r>
        <w:rPr>
          <w:rFonts w:hint="eastAsia" w:ascii="宋体" w:hAnsi="宋体" w:cs="宋体"/>
          <w:b/>
          <w:bCs/>
          <w:i/>
          <w:iCs/>
          <w:color w:val="000000" w:themeColor="text1"/>
          <w:szCs w:val="21"/>
          <w:highlight w:val="white"/>
          <w:u w:val="single"/>
          <w14:textFill>
            <w14:solidFill>
              <w14:schemeClr w14:val="tx1"/>
            </w14:solidFill>
          </w14:textFill>
        </w:rPr>
        <w:t xml:space="preserve">在本单位依法缴纳税收及缴纳社会保障资金的证明材料。供应商依法享受缓缴、免缴税收、社会保障资金的提供证明材料。新成立企业距响应截止日不足30日的，可不提供，以新办企业营业执照发放日期为准）</w:t>
      </w:r>
      <w:r>
        <w:rPr>
          <w:highlight w:val="white"/>
        </w:rPr>
      </w:r>
      <w:r/>
    </w:p>
    <w:p>
      <w:pPr>
        <w:ind w:firstLine="420"/>
        <w:spacing w:line="360" w:lineRule="auto"/>
        <w:rPr>
          <w:rFonts w:hint="eastAsia" w:ascii="宋体" w:hAnsi="宋体" w:cs="宋体"/>
          <w:b/>
          <w:bCs/>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1.3 上一年度的财务状况报告</w:t>
      </w:r>
      <w:r>
        <w:rPr>
          <w:rFonts w:hint="eastAsia" w:ascii="宋体" w:hAnsi="宋体" w:cs="宋体"/>
          <w:b/>
          <w:bCs/>
          <w:i/>
          <w:iCs/>
          <w:color w:val="000000" w:themeColor="text1"/>
          <w:szCs w:val="21"/>
          <w:highlight w:val="white"/>
          <w:u w:val="single"/>
          <w14:textFill>
            <w14:solidFill>
              <w14:schemeClr w14:val="tx1"/>
            </w14:solidFill>
          </w14:textFill>
        </w:rPr>
        <w:t xml:space="preserve">（成立不满一年不需提供）</w:t>
      </w:r>
      <w:r>
        <w:rPr>
          <w:highlight w:val="white"/>
        </w:rPr>
      </w:r>
      <w:r/>
    </w:p>
    <w:p>
      <w:pPr>
        <w:ind w:firstLine="420"/>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1.4 具备履行合同所必需的设备和专业技术能力的证明材料</w:t>
      </w:r>
      <w:r>
        <w:rPr>
          <w:highlight w:val="white"/>
        </w:rPr>
      </w:r>
      <w:r/>
    </w:p>
    <w:p>
      <w:pPr>
        <w:ind w:firstLine="420"/>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1.5 参加本次政府采购活动前3年内在经营活动中没有重大违法记录的书面声明</w:t>
      </w:r>
      <w:r>
        <w:rPr>
          <w:highlight w:val="white"/>
        </w:rPr>
      </w:r>
      <w:r/>
    </w:p>
    <w:p>
      <w:pPr>
        <w:ind w:firstLine="420"/>
        <w:spacing w:line="360" w:lineRule="auto"/>
        <w:rPr>
          <w:rFonts w:hint="eastAsia" w:ascii="宋体" w:hAnsi="宋体" w:cs="宋体"/>
          <w:b/>
          <w:bCs/>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highlight w:val="white"/>
          <w:u w:val="single"/>
          <w14:textFill>
            <w14:solidFill>
              <w14:schemeClr w14:val="tx1"/>
            </w14:solidFill>
          </w14:textFill>
        </w:rPr>
        <w:t xml:space="preserve">（</w:t>
      </w:r>
      <w:r>
        <w:rPr>
          <w:rFonts w:ascii="SimSun" w:hAnsi="SimSun" w:eastAsia="SimSun" w:cs="SimSun"/>
          <w:b/>
          <w:i/>
          <w:color w:val="000000"/>
          <w:sz w:val="21"/>
          <w:u w:val="single"/>
        </w:rPr>
        <w:t xml:space="preserve">（提供网站截图材料）</w:t>
      </w:r>
      <w:r>
        <w:rPr>
          <w:rFonts w:hint="eastAsia" w:ascii="宋体" w:hAnsi="宋体" w:cs="宋体"/>
          <w:b/>
          <w:bCs/>
          <w:i/>
          <w:iCs/>
          <w:color w:val="000000" w:themeColor="text1"/>
          <w:szCs w:val="21"/>
          <w:highlight w:val="white"/>
          <w:u w:val="single"/>
          <w14:textFill>
            <w14:solidFill>
              <w14:schemeClr w14:val="tx1"/>
            </w14:solidFill>
          </w14:textFill>
        </w:rPr>
        <w:t xml:space="preserve">）</w:t>
      </w:r>
      <w:r>
        <w:rPr>
          <w:highlight w:val="white"/>
        </w:rPr>
      </w:r>
      <w:r/>
    </w:p>
    <w:p>
      <w:pPr>
        <w:ind w:firstLine="397"/>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1.7供应商信用承诺函</w:t>
      </w:r>
      <w:r>
        <w:rPr>
          <w:highlight w:val="white"/>
        </w:rPr>
      </w:r>
      <w:r/>
    </w:p>
    <w:p>
      <w:pPr>
        <w:numPr>
          <w:ilvl w:val="0"/>
          <w:numId w:val="7"/>
        </w:num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落实政府采购政策需满足的资格要求：</w:t>
      </w:r>
      <w:r>
        <w:rPr>
          <w:highlight w:val="white"/>
        </w:rPr>
      </w:r>
      <w:r/>
    </w:p>
    <w:p>
      <w:pPr>
        <w:numPr>
          <w:ilvl w:val="-1"/>
          <w:numId w:val="0"/>
        </w:numPr>
        <w:ind w:firstLine="420"/>
        <w:jc w:val="left"/>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r>
        <w:rPr>
          <w:highlight w:val="white"/>
        </w:rPr>
      </w:r>
      <w:r/>
    </w:p>
    <w:p>
      <w:pPr>
        <w:ind w:firstLine="420"/>
        <w:spacing w:line="360" w:lineRule="auto"/>
        <w:rPr>
          <w:rFonts w:hint="eastAsia" w:ascii="宋体" w:hAnsi="宋体" w:cs="宋体"/>
          <w:i/>
          <w:iCs/>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3.本项目的特定资格要求：</w:t>
      </w:r>
      <w:r>
        <w:rPr>
          <w:highlight w:val="white"/>
        </w:rPr>
      </w:r>
      <w:r/>
    </w:p>
    <w:p>
      <w:pPr>
        <w:ind w:firstLine="397"/>
        <w:spacing w:line="360" w:lineRule="auto"/>
        <w:rPr>
          <w:rFonts w:hint="eastAsia" w:hAnsi="宋体" w:cs="宋体"/>
          <w:b w:val="0"/>
          <w:bCs w:val="0"/>
          <w:color w:val="auto"/>
          <w:szCs w:val="21"/>
          <w:highlight w:val="white"/>
        </w:rPr>
      </w:pPr>
      <w:r>
        <w:rPr>
          <w:rFonts w:hint="eastAsia" w:ascii="宋体" w:hAnsi="宋体" w:cs="宋体"/>
          <w:b w:val="0"/>
          <w:bCs w:val="0"/>
          <w:i/>
          <w:iCs/>
          <w:color w:val="auto"/>
          <w:szCs w:val="21"/>
          <w:highlight w:val="white"/>
          <w:u w:val="single"/>
          <w:lang w:val="en-US" w:eastAsia="zh-CN"/>
        </w:rPr>
        <w:t xml:space="preserve">供应商具备工程设计综合甲级资质；或水利行业乙级及以上资质；或水利行业（水库枢纽）专业乙级及以上资质。</w:t>
      </w:r>
      <w:r>
        <w:rPr>
          <w:highlight w:val="white"/>
        </w:rPr>
      </w:r>
      <w:r/>
    </w:p>
    <w:p>
      <w:pPr>
        <w:ind w:firstLine="397"/>
        <w:spacing w:line="360" w:lineRule="auto"/>
        <w:rPr>
          <w:rFonts w:hint="eastAsia" w:hAnsi="宋体" w:cs="宋体"/>
          <w:b/>
          <w:bCs/>
          <w:color w:val="000000" w:themeColor="text1"/>
          <w:szCs w:val="21"/>
          <w:highlight w:val="white"/>
          <w14:textFill>
            <w14:solidFill>
              <w14:schemeClr w14:val="tx1"/>
            </w14:solidFill>
          </w14:textFill>
        </w:rPr>
      </w:pPr>
      <w:r>
        <w:rPr>
          <w:rFonts w:hint="eastAsia" w:hAnsi="宋体" w:cs="宋体"/>
          <w:b/>
          <w:bCs/>
          <w:color w:val="000000" w:themeColor="text1"/>
          <w:szCs w:val="21"/>
          <w:highlight w:val="white"/>
          <w14:textFill>
            <w14:solidFill>
              <w14:schemeClr w14:val="tx1"/>
            </w14:solidFill>
          </w14:textFill>
        </w:rPr>
        <w:t xml:space="preserve">三、获取</w:t>
      </w:r>
      <w:bookmarkEnd w:id="18"/>
      <w:r>
        <w:rPr>
          <w:highlight w:val="white"/>
        </w:rPr>
      </w:r>
      <w:bookmarkEnd w:id="19"/>
      <w:r>
        <w:rPr>
          <w:highlight w:val="white"/>
        </w:rPr>
      </w:r>
      <w:bookmarkEnd w:id="20"/>
      <w:r>
        <w:rPr>
          <w:highlight w:val="white"/>
        </w:rPr>
      </w:r>
      <w:bookmarkEnd w:id="21"/>
      <w:r>
        <w:rPr>
          <w:highlight w:val="white"/>
        </w:rPr>
      </w:r>
      <w:bookmarkEnd w:id="22"/>
      <w:r>
        <w:rPr>
          <w:rFonts w:hint="eastAsia" w:hAnsi="宋体" w:cs="宋体"/>
          <w:b/>
          <w:bCs/>
          <w:color w:val="000000" w:themeColor="text1"/>
          <w:szCs w:val="21"/>
          <w:highlight w:val="white"/>
          <w14:textFill>
            <w14:solidFill>
              <w14:schemeClr w14:val="tx1"/>
            </w14:solidFill>
          </w14:textFill>
        </w:rPr>
        <w:t xml:space="preserve">磋商文件</w:t>
      </w:r>
      <w:r>
        <w:rPr>
          <w:highlight w:val="white"/>
        </w:rPr>
      </w:r>
      <w:r/>
    </w:p>
    <w:p>
      <w:pPr>
        <w:ind w:firstLine="397"/>
        <w:spacing w:line="360" w:lineRule="auto"/>
        <w:rPr>
          <w:rFonts w:hint="eastAsia" w:ascii="宋体" w:hAnsi="宋体" w:cs="宋体"/>
          <w:b/>
          <w:color w:val="000000" w:themeColor="text1"/>
          <w:szCs w:val="21"/>
          <w:highlight w:val="white"/>
          <w14:textFill>
            <w14:solidFill>
              <w14:schemeClr w14:val="tx1"/>
            </w14:solidFill>
          </w14:textFill>
        </w:rPr>
      </w:pPr>
      <w:r>
        <w:rPr>
          <w:highlight w:val="white"/>
        </w:rPr>
      </w:r>
      <w:bookmarkStart w:id="23" w:name="_Toc28359005"/>
      <w:r>
        <w:rPr>
          <w:highlight w:val="white"/>
        </w:rPr>
      </w:r>
      <w:bookmarkStart w:id="24" w:name="_Toc28359082"/>
      <w:r>
        <w:rPr>
          <w:highlight w:val="white"/>
        </w:rPr>
      </w:r>
      <w:bookmarkStart w:id="25" w:name="_Toc35393624"/>
      <w:r>
        <w:rPr>
          <w:highlight w:val="white"/>
        </w:rPr>
      </w:r>
      <w:bookmarkStart w:id="26" w:name="_Toc35393793"/>
      <w:r>
        <w:rPr>
          <w:highlight w:val="white"/>
        </w:rPr>
      </w:r>
      <w:bookmarkStart w:id="27" w:name="_Toc38985266"/>
      <w:r>
        <w:rPr>
          <w:rFonts w:hint="eastAsia" w:ascii="宋体" w:hAnsi="宋体" w:cs="宋体"/>
          <w:color w:val="000000" w:themeColor="text1"/>
          <w:szCs w:val="21"/>
          <w:highlight w:val="white"/>
          <w14:textFill>
            <w14:solidFill>
              <w14:schemeClr w14:val="tx1"/>
            </w14:solidFill>
          </w14:textFill>
        </w:rPr>
        <w:t xml:space="preserve">1.时间：自磋商公告发布之日起5个工作日。5个工作日后仍可下载采购文件，但不作为供应商权益受到损害的证明材料和依据。</w:t>
      </w:r>
      <w:r>
        <w:rPr>
          <w:highlight w:val="white"/>
        </w:rPr>
      </w:r>
      <w:r/>
    </w:p>
    <w:p>
      <w:pPr>
        <w:ind w:firstLine="397"/>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2.方式：在“扬州市政府采购网”、“江苏省政府采购网”自行免费下载磋商文件。</w:t>
      </w:r>
      <w:r>
        <w:rPr>
          <w:highlight w:val="white"/>
        </w:rPr>
      </w:r>
      <w:r/>
    </w:p>
    <w:p>
      <w:pPr>
        <w:ind w:firstLine="397"/>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3.潜在供应商访问政府采购管理交易系统（苏采云）的网络地址和方法：</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（3）“CA数字证书”的办理材料以及供应商操作手册详见：</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http://zfcg.yangzhou.gov.cn/zfcg/xzzx/202309/4d7de1f7865f4a2894fc22bc452f94d8.shtml。</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（4）潜在供应商访问“苏采云”系统的网络地址和方法：“苏采云”系统的网址：http://jszfcg.jsczt.cn/。</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（5）采购文件（后缀名为“.kedt”）、供应商操作手册及政府采购客户端工具也可通过“苏采云”系统--已报名项目--报名详情页面内相应链接进行下载。</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（6）招标代理机构（采购代理机构）将数据电文形式的采购文件加载至“苏采云”系统，供潜在供应商下载或者查阅。</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（7）苏采云系统使用谷歌浏览器参与不见面开标。</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四、提交</w:t>
      </w:r>
      <w:bookmarkEnd w:id="23"/>
      <w:r>
        <w:rPr>
          <w:highlight w:val="white"/>
        </w:rPr>
      </w:r>
      <w:bookmarkEnd w:id="24"/>
      <w:r>
        <w:rPr>
          <w:rFonts w:hint="eastAsia" w:hAnsi="宋体" w:eastAsia="宋体" w:cs="宋体"/>
          <w:b/>
          <w:bCs/>
          <w:color w:val="000000" w:themeColor="text1"/>
          <w:sz w:val="21"/>
          <w:szCs w:val="21"/>
          <w:highlight w:val="white"/>
          <w14:textFill>
            <w14:solidFill>
              <w14:schemeClr w14:val="tx1"/>
            </w14:solidFill>
          </w14:textFill>
        </w:rPr>
        <w:t xml:space="preserve">响应文件截止时间</w:t>
      </w:r>
      <w:bookmarkEnd w:id="25"/>
      <w:r>
        <w:rPr>
          <w:highlight w:val="white"/>
        </w:rPr>
      </w:r>
      <w:bookmarkEnd w:id="26"/>
      <w:r>
        <w:rPr>
          <w:highlight w:val="white"/>
        </w:rPr>
      </w:r>
      <w:bookmarkEnd w:id="27"/>
      <w:r>
        <w:rPr>
          <w:highlight w:val="white"/>
        </w:rPr>
      </w:r>
      <w:r/>
    </w:p>
    <w:p>
      <w:pPr>
        <w:pStyle w:val="1158"/>
        <w:ind w:firstLine="422"/>
        <w:spacing w:line="360" w:lineRule="auto"/>
        <w:rPr>
          <w:rFonts w:hint="eastAsia" w:hAnsi="宋体" w:eastAsia="宋体" w:cs="宋体"/>
          <w:b/>
          <w:bCs/>
          <w:color w:val="ff0000"/>
          <w:sz w:val="21"/>
          <w:szCs w:val="21"/>
          <w:highlight w:val="white"/>
        </w:rPr>
      </w:pPr>
      <w:r>
        <w:rPr>
          <w:rFonts w:hint="eastAsia" w:hAnsi="宋体" w:eastAsia="宋体" w:cs="宋体"/>
          <w:b/>
          <w:bCs/>
          <w:color w:val="auto"/>
          <w:sz w:val="21"/>
          <w:szCs w:val="21"/>
          <w:highlight w:val="white"/>
        </w:rPr>
        <w:t xml:space="preserve">1.</w:t>
      </w:r>
      <w:r>
        <w:rPr>
          <w:rFonts w:hint="eastAsia" w:hAnsi="宋体" w:eastAsia="宋体" w:cs="宋体"/>
          <w:b/>
          <w:bCs/>
          <w:color w:val="ff0000"/>
          <w:sz w:val="21"/>
          <w:szCs w:val="21"/>
          <w:highlight w:val="white"/>
          <w:lang w:eastAsia="zh-CN"/>
        </w:rPr>
        <w:t xml:space="preserve">2026年</w:t>
      </w:r>
      <w:r>
        <w:rPr>
          <w:rFonts w:hint="eastAsia" w:hAnsi="宋体" w:eastAsia="宋体" w:cs="宋体"/>
          <w:b/>
          <w:bCs/>
          <w:color w:val="ff0000"/>
          <w:sz w:val="21"/>
          <w:szCs w:val="21"/>
          <w:highlight w:val="white"/>
          <w:lang w:val="en-US" w:eastAsia="zh-CN"/>
        </w:rPr>
        <w:t xml:space="preserve">11</w:t>
      </w:r>
      <w:r>
        <w:rPr>
          <w:rFonts w:hint="eastAsia" w:hAnsi="宋体" w:eastAsia="宋体" w:cs="宋体"/>
          <w:b/>
          <w:bCs/>
          <w:color w:val="ff0000"/>
          <w:sz w:val="21"/>
          <w:szCs w:val="21"/>
          <w:highlight w:val="white"/>
          <w:lang w:eastAsia="zh-CN"/>
        </w:rPr>
        <w:t xml:space="preserve">月</w:t>
      </w:r>
      <w:r>
        <w:rPr>
          <w:rFonts w:hint="eastAsia" w:hAnsi="宋体" w:eastAsia="宋体" w:cs="宋体"/>
          <w:b/>
          <w:bCs/>
          <w:color w:val="ff0000"/>
          <w:sz w:val="21"/>
          <w:szCs w:val="21"/>
          <w:highlight w:val="white"/>
          <w:lang w:val="en-US" w:eastAsia="zh-CN"/>
        </w:rPr>
        <w:t xml:space="preserve">09</w:t>
      </w:r>
      <w:r>
        <w:rPr>
          <w:rFonts w:hint="eastAsia" w:hAnsi="宋体" w:eastAsia="宋体" w:cs="宋体"/>
          <w:b/>
          <w:bCs/>
          <w:color w:val="ff0000"/>
          <w:sz w:val="21"/>
          <w:szCs w:val="21"/>
          <w:highlight w:val="white"/>
          <w:lang w:eastAsia="zh-CN"/>
        </w:rPr>
        <w:t xml:space="preserve">日</w:t>
      </w:r>
      <w:r>
        <w:rPr>
          <w:rFonts w:hint="eastAsia" w:hAnsi="宋体" w:eastAsia="宋体" w:cs="宋体"/>
          <w:b/>
          <w:bCs/>
          <w:color w:val="ff0000"/>
          <w:sz w:val="21"/>
          <w:szCs w:val="21"/>
          <w:highlight w:val="white"/>
        </w:rPr>
        <w:t xml:space="preserve">9点30分（北京时间）。</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highlight w:val="white"/>
        </w:rPr>
      </w:r>
      <w:bookmarkStart w:id="28" w:name="_Toc28359007"/>
      <w:r>
        <w:rPr>
          <w:highlight w:val="white"/>
        </w:rPr>
      </w:r>
      <w:bookmarkStart w:id="29" w:name="_Toc35393625"/>
      <w:r>
        <w:rPr>
          <w:highlight w:val="white"/>
        </w:rPr>
      </w:r>
      <w:bookmarkStart w:id="30" w:name="_Toc35393794"/>
      <w:r>
        <w:rPr>
          <w:highlight w:val="white"/>
        </w:rPr>
      </w:r>
      <w:bookmarkStart w:id="31" w:name="_Toc28359084"/>
      <w:r>
        <w:rPr>
          <w:highlight w:val="white"/>
        </w:rPr>
      </w:r>
      <w:bookmarkStart w:id="32" w:name="_Toc38985267"/>
      <w:r>
        <w:rPr>
          <w:rFonts w:hint="eastAsia" w:hAnsi="宋体" w:eastAsia="宋体" w:cs="宋体"/>
          <w:b/>
          <w:bCs/>
          <w:color w:val="000000" w:themeColor="text1"/>
          <w:sz w:val="21"/>
          <w:szCs w:val="21"/>
          <w:highlight w:val="white"/>
          <w14:textFill>
            <w14:solidFill>
              <w14:schemeClr w14:val="tx1"/>
            </w14:solidFill>
          </w14:textFill>
        </w:rPr>
        <w:t xml:space="preserve">五、公告期限</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highlight w:val="white"/>
        </w:rPr>
      </w:r>
      <w:bookmarkStart w:id="33" w:name="_Toc38985268"/>
      <w:r>
        <w:rPr>
          <w:highlight w:val="white"/>
        </w:rPr>
      </w:r>
      <w:bookmarkStart w:id="34" w:name="_Toc35393795"/>
      <w:r>
        <w:rPr>
          <w:highlight w:val="white"/>
        </w:rPr>
      </w:r>
      <w:bookmarkStart w:id="35" w:name="_Toc35393626"/>
      <w:r>
        <w:rPr>
          <w:rFonts w:hint="eastAsia" w:ascii="宋体" w:hAnsi="宋体" w:cs="宋体"/>
          <w:color w:val="000000" w:themeColor="text1"/>
          <w:szCs w:val="21"/>
          <w:highlight w:val="white"/>
          <w14:textFill>
            <w14:solidFill>
              <w14:schemeClr w14:val="tx1"/>
            </w14:solidFill>
          </w14:textFill>
        </w:rPr>
        <w:t xml:space="preserve">磋商公告及磋商文件公告期限为自本公告发布之日起5个工作日。</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六、其他补充事宜</w:t>
      </w:r>
      <w:bookmarkEnd w:id="33"/>
      <w:r>
        <w:rPr>
          <w:highlight w:val="white"/>
        </w:rPr>
      </w:r>
      <w:bookmarkEnd w:id="34"/>
      <w:r>
        <w:rPr>
          <w:highlight w:val="white"/>
        </w:rPr>
      </w:r>
      <w:bookmarkEnd w:id="35"/>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highlight w:val="white"/>
        </w:rPr>
      </w:r>
      <w:bookmarkStart w:id="36" w:name="_Toc35393627"/>
      <w:r>
        <w:rPr>
          <w:highlight w:val="white"/>
        </w:rPr>
      </w:r>
      <w:bookmarkStart w:id="37" w:name="_Toc28359085"/>
      <w:r>
        <w:rPr>
          <w:highlight w:val="white"/>
        </w:rPr>
      </w:r>
      <w:bookmarkStart w:id="38" w:name="_Toc38985269"/>
      <w:r>
        <w:rPr>
          <w:highlight w:val="white"/>
        </w:rPr>
      </w:r>
      <w:bookmarkStart w:id="39" w:name="_Toc28359008"/>
      <w:r>
        <w:rPr>
          <w:highlight w:val="white"/>
        </w:rPr>
      </w:r>
      <w:bookmarkStart w:id="40" w:name="_Toc35393796"/>
      <w:r>
        <w:rPr>
          <w:rFonts w:hint="eastAsia" w:ascii="宋体" w:hAnsi="宋体" w:cs="宋体"/>
          <w:b/>
          <w:bCs/>
          <w:color w:val="000000" w:themeColor="text1"/>
          <w:szCs w:val="21"/>
          <w:highlight w:val="white"/>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highlight w:val="white"/>
        </w:rPr>
      </w:r>
      <w:r/>
    </w:p>
    <w:p>
      <w:pPr>
        <w:ind w:firstLine="422"/>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2.供应商如确定参加磋商，可自行下载采购文件及有关资料，按照《操作手册》进行注册，领取CA和办理电子签章，并按《操作手册》要求制作、上传电子响应文件，技术支持联系方式：13813140731。</w:t>
      </w:r>
      <w:r>
        <w:rPr>
          <w:highlight w:val="white"/>
        </w:rPr>
      </w:r>
      <w:r/>
    </w:p>
    <w:p>
      <w:pPr>
        <w:ind w:firstLine="422"/>
        <w:jc w:val="left"/>
        <w:spacing w:line="360" w:lineRule="auto"/>
        <w:widowControl/>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highlight w:val="white"/>
        </w:rPr>
      </w:r>
      <w:r/>
    </w:p>
    <w:p>
      <w:pPr>
        <w:ind w:firstLine="422"/>
        <w:jc w:val="left"/>
        <w:spacing w:line="360" w:lineRule="auto"/>
        <w:widowControl/>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4.潜在供应商对采购文件项目需求部分的询问、质疑请向采购人提出，由采购人负责答复。</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5.</w:t>
      </w:r>
      <w:r>
        <w:rPr>
          <w:rFonts w:hint="eastAsia" w:ascii="宋体" w:hAnsi="宋体" w:cs="宋体"/>
          <w:color w:val="000000" w:themeColor="text1"/>
          <w:szCs w:val="21"/>
          <w:highlight w:val="white"/>
          <w14:textFill>
            <w14:solidFill>
              <w14:schemeClr w14:val="tx1"/>
            </w14:solidFill>
          </w14:textFill>
        </w:rPr>
        <w:t xml:space="preserve">本次采购不收取保证金。</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w:t>
      </w:r>
      <w:r>
        <w:rPr>
          <w:rFonts w:hint="eastAsia" w:ascii="宋体" w:hAnsi="宋体" w:cs="宋体"/>
          <w:bCs/>
          <w:color w:val="000000" w:themeColor="text1"/>
          <w:szCs w:val="21"/>
          <w:highlight w:val="white"/>
          <w14:textFill>
            <w14:solidFill>
              <w14:schemeClr w14:val="tx1"/>
            </w14:solidFill>
          </w14:textFill>
        </w:rPr>
        <w:t xml:space="preserve">有关本次采购的事项若存在变动或修改，敬请及时关注</w:t>
      </w:r>
      <w:r>
        <w:rPr>
          <w:rFonts w:hint="eastAsia" w:ascii="宋体" w:hAnsi="宋体" w:cs="宋体"/>
          <w:color w:val="000000" w:themeColor="text1"/>
          <w:szCs w:val="21"/>
          <w:highlight w:val="white"/>
          <w:shd w:val="clear" w:color="auto" w:fill="ffffff"/>
          <w14:textFill>
            <w14:solidFill>
              <w14:schemeClr w14:val="tx1"/>
            </w14:solidFill>
          </w14:textFill>
        </w:rPr>
        <w:t xml:space="preserve">“扬州市政府采购网”、“江苏省政府采购网”</w:t>
      </w:r>
      <w:r>
        <w:rPr>
          <w:rFonts w:hint="eastAsia" w:ascii="宋体" w:hAnsi="宋体" w:cs="宋体"/>
          <w:bCs/>
          <w:color w:val="000000" w:themeColor="text1"/>
          <w:szCs w:val="21"/>
          <w:highlight w:val="white"/>
          <w14:textFill>
            <w14:solidFill>
              <w14:schemeClr w14:val="tx1"/>
            </w14:solidFill>
          </w14:textFill>
        </w:rPr>
        <w:t xml:space="preserve">发布的信息。</w:t>
      </w:r>
      <w:r>
        <w:rPr>
          <w:highlight w:val="white"/>
        </w:rPr>
      </w:r>
      <w:r/>
    </w:p>
    <w:p>
      <w:pPr>
        <w:ind w:firstLine="422"/>
        <w:spacing w:line="360" w:lineRule="auto"/>
        <w:rPr>
          <w:rFonts w:hint="eastAsia" w:ascii="宋体" w:hAnsi="宋体" w:cs="宋体"/>
          <w:b/>
          <w:i/>
          <w:iCs/>
          <w:color w:val="000000" w:themeColor="text1"/>
          <w:szCs w:val="21"/>
          <w:highlight w:val="white"/>
          <w:u w:val="single"/>
          <w14:textFill>
            <w14:solidFill>
              <w14:schemeClr w14:val="tx1"/>
            </w14:solidFill>
          </w14:textFill>
        </w:rPr>
      </w:pPr>
      <w:r>
        <w:rPr>
          <w:rFonts w:hint="eastAsia" w:ascii="宋体" w:hAnsi="宋体" w:cs="宋体"/>
          <w:b/>
          <w:i/>
          <w:iCs/>
          <w:color w:val="000000" w:themeColor="text1"/>
          <w:szCs w:val="21"/>
          <w:highlight w:val="white"/>
          <w:u w:val="single"/>
          <w14:textFill>
            <w14:solidFill>
              <w14:schemeClr w14:val="tx1"/>
            </w14:solidFill>
          </w14:textFill>
        </w:rPr>
        <w:t xml:space="preserve">7.本项目采购文件中所有斜体下划线部分为实质性条款，如不满足，则为无效响应。</w:t>
      </w:r>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七、本次磋商联系方式</w:t>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r/>
    </w:p>
    <w:p>
      <w:pPr>
        <w:ind w:firstLine="420"/>
        <w:jc w:val="left"/>
        <w:spacing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1.采购人信息</w:t>
      </w:r>
      <w:r>
        <w:rPr>
          <w:highlight w:val="white"/>
        </w:rPr>
      </w:r>
      <w:r/>
    </w:p>
    <w:p>
      <w:pPr>
        <w:ind w:firstLine="420"/>
        <w:jc w:val="left"/>
        <w:spacing w:line="360" w:lineRule="auto"/>
        <w:rPr>
          <w:rFonts w:hint="eastAsia" w:ascii="宋体" w:hAnsi="宋体" w:cs="宋体"/>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名  称：</w:t>
      </w:r>
      <w:bookmarkStart w:id="41" w:name="_Toc28359009"/>
      <w:r>
        <w:rPr>
          <w:highlight w:val="white"/>
        </w:rPr>
      </w:r>
      <w:bookmarkStart w:id="42" w:name="_Toc28359086"/>
      <w:r>
        <w:rPr>
          <w:rFonts w:hint="eastAsia" w:ascii="宋体" w:hAnsi="宋体" w:cs="宋体"/>
          <w:color w:val="000000" w:themeColor="text1"/>
          <w:szCs w:val="21"/>
          <w:highlight w:val="white"/>
          <w14:textFill>
            <w14:solidFill>
              <w14:schemeClr w14:val="tx1"/>
            </w14:solidFill>
          </w14:textFill>
        </w:rPr>
        <w:t xml:space="preserve">扬州市水利局</w:t>
      </w:r>
      <w:r>
        <w:rPr>
          <w:highlight w:val="white"/>
        </w:rPr>
      </w:r>
      <w:r/>
    </w:p>
    <w:p>
      <w:pPr>
        <w:ind w:firstLine="420"/>
        <w:jc w:val="left"/>
        <w:spacing w:line="360" w:lineRule="auto"/>
        <w:rPr>
          <w:rFonts w:hint="eastAsia" w:ascii="宋体" w:hAnsi="宋体" w:eastAsia="宋体" w:cs="宋体"/>
          <w:color w:val="000000" w:themeColor="text1"/>
          <w:szCs w:val="21"/>
          <w:highlight w:val="white"/>
          <w:u w:val="non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地  址：扬州市文昌中路460</w:t>
      </w:r>
      <w:r>
        <w:rPr>
          <w:rFonts w:hint="eastAsia" w:ascii="宋体" w:hAnsi="宋体" w:cs="宋体"/>
          <w:color w:val="auto"/>
          <w:szCs w:val="21"/>
          <w:highlight w:val="white"/>
          <w:u w:val="none"/>
          <w:lang w:val="en-US" w:eastAsia="zh-CN"/>
        </w:rPr>
        <w:t xml:space="preserve"> </w:t>
      </w:r>
      <w:r>
        <w:rPr>
          <w:rFonts w:hint="eastAsia" w:ascii="宋体" w:hAnsi="宋体" w:cs="宋体"/>
          <w:color w:val="000000" w:themeColor="text1"/>
          <w:szCs w:val="21"/>
          <w:highlight w:val="white"/>
          <w:u w:val="none"/>
          <w:lang w:val="en-US" w:eastAsia="zh-CN"/>
          <w14:textFill>
            <w14:solidFill>
              <w14:schemeClr w14:val="tx1"/>
            </w14:solidFill>
          </w14:textFill>
        </w:rPr>
        <w:t xml:space="preserve">号</w:t>
      </w:r>
      <w:r>
        <w:rPr>
          <w:highlight w:val="white"/>
        </w:rPr>
      </w:r>
      <w:r/>
    </w:p>
    <w:p>
      <w:pPr>
        <w:ind w:firstLine="420"/>
        <w:spacing w:line="360" w:lineRule="auto"/>
        <w:rPr>
          <w:rFonts w:hint="default" w:ascii="宋体" w:hAnsi="宋体" w:cs="宋体"/>
          <w:color w:val="ff0000"/>
          <w:szCs w:val="21"/>
          <w:highlight w:val="white"/>
          <w:u w:val="single"/>
        </w:rPr>
      </w:pPr>
      <w:r>
        <w:rPr>
          <w:rFonts w:hint="eastAsia" w:ascii="宋体" w:hAnsi="宋体" w:cs="宋体"/>
          <w:color w:val="000000" w:themeColor="text1"/>
          <w:szCs w:val="21"/>
          <w:highlight w:val="white"/>
          <w14:textFill>
            <w14:solidFill>
              <w14:schemeClr w14:val="tx1"/>
            </w14:solidFill>
          </w14:textFill>
        </w:rPr>
        <w:t xml:space="preserve">联</w:t>
      </w:r>
      <w:r>
        <w:rPr>
          <w:rFonts w:hint="eastAsia" w:ascii="宋体" w:hAnsi="宋体" w:cs="宋体"/>
          <w:color w:val="auto"/>
          <w:szCs w:val="21"/>
          <w:highlight w:val="white"/>
        </w:rPr>
        <w:t xml:space="preserve">系人</w:t>
      </w:r>
      <w:r>
        <w:rPr>
          <w:rFonts w:hint="eastAsia" w:ascii="宋体" w:hAnsi="宋体" w:cs="宋体"/>
          <w:color w:val="ff0000"/>
          <w:szCs w:val="21"/>
          <w:highlight w:val="white"/>
        </w:rPr>
        <w:t xml:space="preserve">：</w:t>
      </w:r>
      <w:r>
        <w:rPr>
          <w:rFonts w:hint="eastAsia" w:ascii="宋体" w:hAnsi="宋体" w:cs="宋体"/>
          <w:color w:val="ff0000"/>
          <w:szCs w:val="21"/>
          <w:highlight w:val="white"/>
          <w:lang w:val="en-US" w:eastAsia="zh-CN"/>
        </w:rPr>
        <w:t xml:space="preserve">范先生</w:t>
      </w:r>
      <w:r>
        <w:rPr>
          <w:highlight w:val="white"/>
        </w:rPr>
      </w:r>
      <w:r/>
    </w:p>
    <w:p>
      <w:pPr>
        <w:ind w:firstLine="420"/>
        <w:spacing w:line="360" w:lineRule="auto"/>
        <w:rPr>
          <w:rFonts w:hint="default" w:ascii="宋体" w:hAnsi="宋体" w:eastAsia="宋体" w:cs="宋体"/>
          <w:color w:val="ff0000"/>
          <w:szCs w:val="21"/>
          <w:highlight w:val="white"/>
        </w:rPr>
      </w:pPr>
      <w:r>
        <w:rPr>
          <w:rFonts w:hint="eastAsia" w:ascii="宋体" w:hAnsi="宋体" w:cs="宋体"/>
          <w:color w:val="ff0000"/>
          <w:szCs w:val="21"/>
          <w:highlight w:val="white"/>
        </w:rPr>
        <w:t xml:space="preserve">联系方式：</w:t>
      </w:r>
      <w:r>
        <w:rPr>
          <w:rFonts w:hint="eastAsia" w:ascii="宋体" w:hAnsi="宋体" w:cs="宋体"/>
          <w:color w:val="ff0000"/>
          <w:szCs w:val="21"/>
          <w:highlight w:val="white"/>
          <w:u w:val="none"/>
          <w:lang w:val="en-US" w:eastAsia="zh-CN"/>
        </w:rPr>
        <w:t xml:space="preserve">0514-</w:t>
      </w:r>
      <w:r>
        <w:rPr>
          <w:rFonts w:hint="eastAsia" w:ascii="宋体" w:hAnsi="宋体" w:cs="宋体"/>
          <w:color w:val="ff0000"/>
          <w:szCs w:val="21"/>
          <w:highlight w:val="white"/>
          <w:u w:val="none"/>
        </w:rPr>
        <w:t xml:space="preserve">87939796</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w:t>
      </w:r>
      <w:bookmarkEnd w:id="41"/>
      <w:r>
        <w:rPr>
          <w:highlight w:val="white"/>
        </w:rPr>
      </w:r>
      <w:bookmarkEnd w:id="42"/>
      <w:r>
        <w:rPr>
          <w:rFonts w:hint="eastAsia" w:ascii="宋体" w:hAnsi="宋体" w:cs="宋体"/>
          <w:color w:val="000000" w:themeColor="text1"/>
          <w:szCs w:val="21"/>
          <w:highlight w:val="white"/>
          <w14:textFill>
            <w14:solidFill>
              <w14:schemeClr w14:val="tx1"/>
            </w14:solidFill>
          </w14:textFill>
        </w:rPr>
        <w:t xml:space="preserve">代理机构信息</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名  称：扬州市建卫工程建设监理有限责任公司</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地　址：扬州市汶河北路18号南3楼</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联系人：倪先生</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联系方式：</w:t>
      </w:r>
      <w:bookmarkStart w:id="43" w:name="_Toc28359087"/>
      <w:r>
        <w:rPr>
          <w:highlight w:val="white"/>
        </w:rPr>
      </w:r>
      <w:bookmarkStart w:id="44" w:name="_Toc28359010"/>
      <w:r>
        <w:rPr>
          <w:rFonts w:hint="eastAsia" w:ascii="宋体" w:hAnsi="宋体" w:cs="宋体"/>
          <w:color w:val="000000" w:themeColor="text1"/>
          <w:szCs w:val="21"/>
          <w:highlight w:val="white"/>
          <w14:textFill>
            <w14:solidFill>
              <w14:schemeClr w14:val="tx1"/>
            </w14:solidFill>
          </w14:textFill>
        </w:rPr>
        <w:t xml:space="preserve">18952746858</w:t>
      </w:r>
      <w:bookmarkEnd w:id="43"/>
      <w:r/>
      <w:bookmarkEnd w:id="44"/>
      <w:r>
        <w:rPr>
          <w:highlight w:val="white"/>
        </w:rPr>
      </w:r>
      <w:r/>
    </w:p>
    <w:p>
      <w:pPr>
        <w:pStyle w:val="1158"/>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八、政府采购相关政策</w:t>
      </w:r>
      <w:r>
        <w:rPr>
          <w:highlight w:val="white"/>
        </w:rPr>
      </w:r>
      <w:r/>
    </w:p>
    <w:p>
      <w:pPr>
        <w:pStyle w:val="1158"/>
        <w:ind w:firstLine="422"/>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1.落实好政府采购履约资金扶持政策。中标/成交供应商可凭政府采购合同办理融资贷款，详见江苏政府采购网“政采贷”专栏。”</w:t>
      </w:r>
      <w:r>
        <w:rPr>
          <w:highlight w:val="white"/>
        </w:rPr>
      </w:r>
      <w:r/>
    </w:p>
    <w:p>
      <w:pPr>
        <w:pStyle w:val="1158"/>
        <w:ind w:firstLine="422"/>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highlight w:val="white"/>
        </w:rPr>
      </w:r>
      <w:r/>
    </w:p>
    <w:p>
      <w:pPr>
        <w:pStyle w:val="1158"/>
        <w:ind w:firstLine="422"/>
        <w:spacing w:line="360" w:lineRule="auto"/>
        <w:rPr>
          <w:rFonts w:hint="eastAsia" w:hAnsi="宋体" w:eastAsia="宋体" w:cs="宋体"/>
          <w:b/>
          <w:bCs/>
          <w:color w:val="000000" w:themeColor="text1"/>
          <w:sz w:val="21"/>
          <w:szCs w:val="21"/>
          <w:highlight w:val="white"/>
          <w14:textFill>
            <w14:solidFill>
              <w14:schemeClr w14:val="tx1"/>
            </w14:solidFill>
          </w14:textFill>
        </w:rPr>
      </w:pPr>
      <w:r>
        <w:rPr>
          <w:rFonts w:hint="eastAsia" w:hAnsi="宋体" w:eastAsia="宋体" w:cs="宋体"/>
          <w:b/>
          <w:bCs/>
          <w:color w:val="000000" w:themeColor="text1"/>
          <w:sz w:val="21"/>
          <w:szCs w:val="21"/>
          <w:highlight w:val="white"/>
          <w14:textFill>
            <w14:solidFill>
              <w14:schemeClr w14:val="tx1"/>
            </w14:solidFill>
          </w14:textFill>
        </w:rPr>
        <w:t xml:space="preserve">3.严格执行政府采购关于支持</w:t>
      </w:r>
      <w:r>
        <w:rPr>
          <w:rFonts w:hint="eastAsia" w:hAnsi="宋体" w:eastAsia="宋体" w:cs="宋体"/>
          <w:b/>
          <w:bCs/>
          <w:color w:val="000000" w:themeColor="text1"/>
          <w:sz w:val="21"/>
          <w:szCs w:val="21"/>
          <w:highlight w:val="whit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highlight w:val="white"/>
        </w:rPr>
      </w:r>
      <w:r/>
    </w:p>
    <w:p>
      <w:pPr>
        <w:ind w:firstLine="422"/>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rPr>
          <w:highlight w:val="white"/>
        </w:rPr>
      </w:r>
      <w:r/>
    </w:p>
    <w:p>
      <w:pPr>
        <w:ind w:firstLine="420"/>
        <w:spacing w:line="360" w:lineRule="auto"/>
        <w:tabs>
          <w:tab w:val="left" w:pos="900" w:leader="none"/>
        </w:tabs>
        <w:rPr>
          <w:rFonts w:hint="eastAsia" w:ascii="宋体" w:hAnsi="宋体" w:cs="宋体"/>
          <w:bCs/>
          <w:color w:val="000000" w:themeColor="text1"/>
          <w:szCs w:val="21"/>
          <w:highlight w:val="white"/>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pStyle w:val="1149"/>
        <w:rPr>
          <w:rFonts w:hint="eastAsia" w:ascii="宋体" w:hAnsi="宋体" w:cs="宋体"/>
          <w:color w:val="000000" w:themeColor="text1"/>
          <w:highlight w:val="white"/>
          <w14:textFill>
            <w14:solidFill>
              <w14:schemeClr w14:val="tx1"/>
            </w14:solidFill>
          </w14:textFill>
        </w:rPr>
      </w:pPr>
      <w:r>
        <w:rPr>
          <w:highlight w:val="white"/>
        </w:rPr>
      </w:r>
      <w:bookmarkStart w:id="45" w:name="_Toc120614211"/>
      <w:r>
        <w:rPr>
          <w:rFonts w:hint="eastAsia"/>
          <w:color w:val="000000" w:themeColor="text1"/>
          <w:highlight w:val="white"/>
          <w14:textFill>
            <w14:solidFill>
              <w14:schemeClr w14:val="tx1"/>
            </w14:solidFill>
          </w14:textFill>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45"/>
      <w:r>
        <w:rPr>
          <w:rFonts w:hint="eastAsia"/>
          <w:color w:val="000000" w:themeColor="text1"/>
          <w:highlight w:val="white"/>
          <w14:textFill>
            <w14:solidFill>
              <w14:schemeClr w14:val="tx1"/>
            </w14:solidFill>
          </w14:textFill>
        </w:rPr>
        <w:t xml:space="preserve">供应商须知</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46" w:name="_Toc120614214"/>
      <w:r>
        <w:rPr>
          <w:highlight w:val="white"/>
        </w:rPr>
      </w:r>
      <w:bookmarkStart w:id="47" w:name="_Toc16938519"/>
      <w:r>
        <w:rPr>
          <w:highlight w:val="white"/>
        </w:rPr>
      </w:r>
      <w:bookmarkStart w:id="48" w:name="_Toc513029203"/>
      <w:r>
        <w:rPr>
          <w:highlight w:val="white"/>
        </w:rPr>
      </w:r>
      <w:bookmarkStart w:id="49" w:name="_Toc20823275"/>
      <w:r>
        <w:rPr>
          <w:rFonts w:hint="eastAsia" w:ascii="宋体" w:hAnsi="宋体" w:cs="宋体"/>
          <w:b/>
          <w:bCs/>
          <w:color w:val="000000" w:themeColor="text1"/>
          <w:szCs w:val="21"/>
          <w:highlight w:val="white"/>
          <w14:textFill>
            <w14:solidFill>
              <w14:schemeClr w14:val="tx1"/>
            </w14:solidFill>
          </w14:textFill>
        </w:rPr>
        <w:t xml:space="preserve">一、总则</w:t>
      </w:r>
      <w:bookmarkEnd w:id="46"/>
      <w:r>
        <w:rPr>
          <w:highlight w:val="white"/>
        </w:rPr>
      </w:r>
      <w:bookmarkEnd w:id="47"/>
      <w:r>
        <w:rPr>
          <w:highlight w:val="white"/>
        </w:rPr>
      </w:r>
      <w:bookmarkEnd w:id="48"/>
      <w:r>
        <w:rPr>
          <w:highlight w:val="white"/>
        </w:rPr>
      </w:r>
      <w:bookmarkEnd w:id="49"/>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50" w:name="_Hlt16619475"/>
      <w:r>
        <w:rPr>
          <w:highlight w:val="white"/>
        </w:rPr>
      </w:r>
      <w:bookmarkEnd w:id="50"/>
      <w:r>
        <w:rPr>
          <w:highlight w:val="white"/>
        </w:rPr>
      </w:r>
      <w:bookmarkStart w:id="51" w:name="_Toc458694821"/>
      <w:r>
        <w:rPr>
          <w:highlight w:val="white"/>
        </w:rPr>
      </w:r>
      <w:bookmarkStart w:id="52" w:name="_Toc513029204"/>
      <w:r>
        <w:rPr>
          <w:highlight w:val="white"/>
        </w:rPr>
      </w:r>
      <w:bookmarkStart w:id="53" w:name="_Toc20823276"/>
      <w:r>
        <w:rPr>
          <w:highlight w:val="white"/>
        </w:rPr>
      </w:r>
      <w:bookmarkStart w:id="54" w:name="_Toc16938520"/>
      <w:r>
        <w:rPr>
          <w:rFonts w:hint="eastAsia" w:ascii="宋体" w:hAnsi="宋体" w:cs="宋体"/>
          <w:color w:val="000000" w:themeColor="text1"/>
          <w:szCs w:val="21"/>
          <w:highlight w:val="white"/>
          <w14:textFill>
            <w14:solidFill>
              <w14:schemeClr w14:val="tx1"/>
            </w14:solidFill>
          </w14:textFill>
        </w:rPr>
        <w:t xml:space="preserve">1</w:t>
      </w:r>
      <w:bookmarkEnd w:id="51"/>
      <w:r>
        <w:rPr>
          <w:rFonts w:hint="eastAsia" w:ascii="宋体" w:hAnsi="宋体" w:cs="宋体"/>
          <w:color w:val="000000" w:themeColor="text1"/>
          <w:szCs w:val="21"/>
          <w:highlight w:val="white"/>
          <w14:textFill>
            <w14:solidFill>
              <w14:schemeClr w14:val="tx1"/>
            </w14:solidFill>
          </w14:textFill>
        </w:rPr>
        <w:t xml:space="preserve">、采购方式</w:t>
      </w:r>
      <w:bookmarkEnd w:id="52"/>
      <w:r>
        <w:rPr>
          <w:highlight w:val="white"/>
        </w:rPr>
      </w:r>
      <w:bookmarkEnd w:id="53"/>
      <w:r>
        <w:rPr>
          <w:highlight w:val="white"/>
        </w:rPr>
      </w:r>
      <w:bookmarkEnd w:id="54"/>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1.1 本次政府采购活动采取竞争性磋商(以下简称磋商)方式，本磋商文件仅适用于磋商公告中所述项目。</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55" w:name="_Toc16938521"/>
      <w:r>
        <w:rPr>
          <w:highlight w:val="white"/>
        </w:rPr>
      </w:r>
      <w:bookmarkStart w:id="56" w:name="_Toc513029205"/>
      <w:r>
        <w:rPr>
          <w:highlight w:val="white"/>
        </w:rPr>
      </w:r>
      <w:bookmarkStart w:id="57" w:name="_Toc20823277"/>
      <w:r>
        <w:rPr>
          <w:rFonts w:hint="eastAsia" w:ascii="宋体" w:hAnsi="宋体" w:cs="宋体"/>
          <w:color w:val="000000" w:themeColor="text1"/>
          <w:szCs w:val="21"/>
          <w:highlight w:val="white"/>
          <w14:textFill>
            <w14:solidFill>
              <w14:schemeClr w14:val="tx1"/>
            </w14:solidFill>
          </w14:textFill>
        </w:rPr>
        <w:t xml:space="preserve">2、合格的</w:t>
      </w:r>
      <w:bookmarkEnd w:id="55"/>
      <w:r>
        <w:rPr>
          <w:highlight w:val="white"/>
        </w:rPr>
      </w:r>
      <w:bookmarkEnd w:id="56"/>
      <w:r>
        <w:rPr>
          <w:highlight w:val="white"/>
        </w:rPr>
      </w:r>
      <w:bookmarkEnd w:id="57"/>
      <w:r>
        <w:rPr>
          <w:rFonts w:hint="eastAsia" w:ascii="宋体" w:hAnsi="宋体" w:cs="宋体"/>
          <w:color w:val="000000" w:themeColor="text1"/>
          <w:szCs w:val="21"/>
          <w:highlight w:val="white"/>
          <w14:textFill>
            <w14:solidFill>
              <w14:schemeClr w14:val="tx1"/>
            </w14:solidFill>
          </w14:textFill>
        </w:rPr>
        <w:t xml:space="preserve">供应商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2.1满足磋商公告中供应商资格要求的规定。</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2.2 满足本磋商文件实质性要求和条件的规定。</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58" w:name="_Toc20823278"/>
      <w:r>
        <w:rPr>
          <w:highlight w:val="white"/>
        </w:rPr>
      </w:r>
      <w:bookmarkStart w:id="59" w:name="_Toc513029206"/>
      <w:r>
        <w:rPr>
          <w:highlight w:val="white"/>
        </w:rPr>
      </w:r>
      <w:bookmarkStart w:id="60" w:name="_Toc16938522"/>
      <w:r>
        <w:rPr>
          <w:rFonts w:hint="eastAsia" w:ascii="宋体" w:hAnsi="宋体" w:cs="宋体"/>
          <w:color w:val="000000" w:themeColor="text1"/>
          <w:szCs w:val="21"/>
          <w:highlight w:val="white"/>
          <w14:textFill>
            <w14:solidFill>
              <w14:schemeClr w14:val="tx1"/>
            </w14:solidFill>
          </w14:textFill>
        </w:rPr>
        <w:t xml:space="preserve">3、适用法律</w:t>
      </w:r>
      <w:bookmarkEnd w:id="58"/>
      <w:r>
        <w:rPr>
          <w:highlight w:val="white"/>
        </w:rPr>
      </w:r>
      <w:bookmarkEnd w:id="59"/>
      <w:r>
        <w:rPr>
          <w:highlight w:val="white"/>
        </w:rPr>
      </w:r>
      <w:bookmarkEnd w:id="60"/>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3.1 本次磋商及由此产生的合同受中华人民共和国有关的法律法规制约和保护。</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61" w:name="_Toc462564067"/>
      <w:r>
        <w:rPr>
          <w:highlight w:val="white"/>
        </w:rPr>
      </w:r>
      <w:bookmarkStart w:id="62" w:name="_Toc513029207"/>
      <w:r>
        <w:rPr>
          <w:highlight w:val="white"/>
        </w:rPr>
      </w:r>
      <w:bookmarkStart w:id="63" w:name="_Toc20823279"/>
      <w:r>
        <w:rPr>
          <w:highlight w:val="white"/>
        </w:rPr>
      </w:r>
      <w:bookmarkStart w:id="64" w:name="_Toc16938523"/>
      <w:r>
        <w:rPr>
          <w:rFonts w:hint="eastAsia" w:ascii="宋体" w:hAnsi="宋体" w:cs="宋体"/>
          <w:color w:val="000000" w:themeColor="text1"/>
          <w:szCs w:val="21"/>
          <w:highlight w:val="white"/>
          <w14:textFill>
            <w14:solidFill>
              <w14:schemeClr w14:val="tx1"/>
            </w14:solidFill>
          </w14:textFill>
        </w:rPr>
        <w:t xml:space="preserve">4、磋商费用</w:t>
      </w:r>
      <w:bookmarkEnd w:id="61"/>
      <w:r>
        <w:rPr>
          <w:highlight w:val="white"/>
        </w:rPr>
      </w:r>
      <w:bookmarkEnd w:id="62"/>
      <w:r>
        <w:rPr>
          <w:highlight w:val="white"/>
        </w:rPr>
      </w:r>
      <w:bookmarkEnd w:id="63"/>
      <w:r>
        <w:rPr>
          <w:highlight w:val="white"/>
        </w:rPr>
      </w:r>
      <w:bookmarkEnd w:id="64"/>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4.1</w:t>
      </w:r>
      <w:r>
        <w:rPr>
          <w:rFonts w:hint="eastAsia" w:ascii="宋体" w:hAnsi="宋体" w:cs="宋体"/>
          <w:color w:val="000000" w:themeColor="text1"/>
          <w:szCs w:val="21"/>
          <w:highlight w:val="white"/>
          <w14:textFill>
            <w14:solidFill>
              <w14:schemeClr w14:val="tx1"/>
            </w14:solidFill>
          </w14:textFill>
        </w:rPr>
        <w:t xml:space="preserve">供应商应自行承担所有与参加本次磋商有关的费用，无论磋商过程中的做法和结果如何，扬州市建卫工程建设监理有限责任公司（以下简称代理机构）在任何情况下均无义务和责任承担这些费用。</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4.2</w:t>
      </w:r>
      <w:r>
        <w:rPr>
          <w:rFonts w:ascii="宋体" w:hAnsi="宋体" w:cs="宋体"/>
          <w:b/>
          <w:bCs/>
          <w:color w:val="000000" w:themeColor="text1"/>
          <w:szCs w:val="21"/>
          <w:highlight w:val="white"/>
          <w14:textFill>
            <w14:solidFill>
              <w14:schemeClr w14:val="tx1"/>
            </w14:solidFill>
          </w14:textFill>
        </w:rPr>
        <w:t xml:space="preserve">本次采购由成交单位在领取成交通知书前</w:t>
      </w:r>
      <w:r>
        <w:rPr>
          <w:rFonts w:hint="eastAsia" w:ascii="宋体" w:hAnsi="宋体" w:cs="宋体"/>
          <w:b/>
          <w:bCs/>
          <w:color w:val="000000" w:themeColor="text1"/>
          <w:szCs w:val="21"/>
          <w:highlight w:val="white"/>
          <w14:textFill>
            <w14:solidFill>
              <w14:schemeClr w14:val="tx1"/>
            </w14:solidFill>
          </w14:textFill>
        </w:rPr>
        <w:t xml:space="preserve">参照</w:t>
      </w:r>
      <w:r>
        <w:rPr>
          <w:rFonts w:ascii="宋体" w:hAnsi="宋体" w:cs="宋体"/>
          <w:b/>
          <w:bCs/>
          <w:color w:val="000000" w:themeColor="text1"/>
          <w:szCs w:val="21"/>
          <w:highlight w:val="white"/>
          <w14:textFill>
            <w14:solidFill>
              <w14:schemeClr w14:val="tx1"/>
            </w14:solidFill>
          </w14:textFill>
        </w:rPr>
        <w:t xml:space="preserve">国家计委印发的《招标代理服务收费管理暂行办法》(计价格【2002】1980 号文)服务类标准一次性支付给招标代理机构代理服务费</w:t>
      </w:r>
      <w:r>
        <w:rPr>
          <w:rFonts w:hint="eastAsia" w:ascii="宋体" w:hAnsi="宋体" w:cs="宋体"/>
          <w:b/>
          <w:bCs/>
          <w:color w:val="000000" w:themeColor="text1"/>
          <w:szCs w:val="21"/>
          <w:highlight w:val="white"/>
          <w14:textFill>
            <w14:solidFill>
              <w14:schemeClr w14:val="tx1"/>
            </w14:solidFill>
          </w14:textFill>
        </w:rPr>
        <w:t xml:space="preserve">。</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（1）代理服务费以人民币支付； </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（2）代理服务费一次性以电汇、转账等非现金形式支付； </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（3）招标代理服务费不在磋商报价中单列，包含在磋商总价中，由成交单位支付给代理机构。 </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招标代理服务费开户银行：中国工商银行扬州市汶河支行</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开户名称：</w:t>
      </w:r>
      <w:r>
        <w:rPr>
          <w:rFonts w:ascii="宋体" w:hAnsi="宋体" w:cs="宋体"/>
          <w:color w:val="000000" w:themeColor="text1"/>
          <w:szCs w:val="21"/>
          <w:highlight w:val="white"/>
          <w14:textFill>
            <w14:solidFill>
              <w14:schemeClr w14:val="tx1"/>
            </w14:solidFill>
          </w14:textFill>
        </w:rPr>
        <w:t xml:space="preserve">扬州市建卫工程建设监理有限责任公司</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开户帐号：</w:t>
      </w:r>
      <w:r>
        <w:rPr>
          <w:rFonts w:ascii="宋体" w:hAnsi="宋体" w:cs="宋体"/>
          <w:color w:val="000000" w:themeColor="text1"/>
          <w:szCs w:val="21"/>
          <w:highlight w:val="white"/>
          <w14:textFill>
            <w14:solidFill>
              <w14:schemeClr w14:val="tx1"/>
            </w14:solidFill>
          </w14:textFill>
        </w:rPr>
        <w:t xml:space="preserve">1108020919100103317</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4.3专家评审费按扬财购【2020】40 号文《关于进一步规范扬州市政府采购专家评审费标准的通知》执行</w:t>
      </w:r>
      <w:r>
        <w:rPr>
          <w:rFonts w:hint="eastAsia" w:ascii="宋体" w:hAnsi="宋体" w:cs="宋体"/>
          <w:b/>
          <w:bCs/>
          <w:color w:val="000000" w:themeColor="text1"/>
          <w:szCs w:val="21"/>
          <w:highlight w:val="white"/>
          <w:lang w:eastAsia="zh-CN"/>
          <w14:textFill>
            <w14:solidFill>
              <w14:schemeClr w14:val="tx1"/>
            </w14:solidFill>
          </w14:textFill>
        </w:rPr>
        <w:t xml:space="preserve">，</w:t>
      </w:r>
      <w:r>
        <w:rPr>
          <w:rFonts w:hint="eastAsia" w:ascii="宋体" w:hAnsi="宋体" w:cs="宋体"/>
          <w:b/>
          <w:bCs/>
          <w:color w:val="000000" w:themeColor="text1"/>
          <w:szCs w:val="21"/>
          <w:highlight w:val="white"/>
          <w:lang w:val="en-US" w:eastAsia="zh-CN"/>
          <w14:textFill>
            <w14:solidFill>
              <w14:schemeClr w14:val="tx1"/>
            </w14:solidFill>
          </w14:textFill>
        </w:rPr>
        <w:t xml:space="preserve">由采购人支付</w:t>
      </w:r>
      <w:r>
        <w:rPr>
          <w:rFonts w:hint="eastAsia" w:ascii="宋体" w:hAnsi="宋体" w:cs="宋体"/>
          <w:b/>
          <w:bCs/>
          <w:color w:val="000000" w:themeColor="text1"/>
          <w:szCs w:val="21"/>
          <w:highlight w:val="white"/>
          <w14:textFill>
            <w14:solidFill>
              <w14:schemeClr w14:val="tx1"/>
            </w14:solidFill>
          </w14:textFill>
        </w:rPr>
        <w:t xml:space="preserve">。</w:t>
      </w:r>
      <w:r>
        <w:rPr>
          <w:highlight w:val="white"/>
        </w:rPr>
      </w:r>
      <w:r/>
    </w:p>
    <w:p>
      <w:pPr>
        <w:ind w:firstLine="422"/>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b/>
          <w:bCs/>
          <w:color w:val="000000" w:themeColor="text1"/>
          <w:szCs w:val="21"/>
          <w:highlight w:val="white"/>
          <w14:textFill>
            <w14:solidFill>
              <w14:schemeClr w14:val="tx1"/>
            </w14:solidFill>
          </w14:textFill>
        </w:rPr>
        <w:t xml:space="preserve">5、</w:t>
      </w:r>
      <w:r>
        <w:rPr>
          <w:rFonts w:hint="eastAsia" w:ascii="宋体" w:hAnsi="宋体" w:cs="宋体"/>
          <w:color w:val="000000" w:themeColor="text1"/>
          <w:szCs w:val="21"/>
          <w:highlight w:val="white"/>
          <w14:textFill>
            <w14:solidFill>
              <w14:schemeClr w14:val="tx1"/>
            </w14:solidFill>
          </w14:textFill>
        </w:rPr>
        <w:t xml:space="preserve">磋商文件的约束力</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5.1</w:t>
      </w:r>
      <w:r>
        <w:rPr>
          <w:rFonts w:hint="eastAsia" w:ascii="宋体" w:hAnsi="宋体" w:cs="宋体"/>
          <w:color w:val="000000" w:themeColor="text1"/>
          <w:szCs w:val="21"/>
          <w:highlight w:val="white"/>
          <w14:textFill>
            <w14:solidFill>
              <w14:schemeClr w14:val="tx1"/>
            </w14:solidFill>
          </w14:textFill>
        </w:rPr>
        <w:t xml:space="preserve">供应商一旦参加本项目采购活动，即被认为接受了本磋商文件的规定和约束。</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65" w:name="_Toc16938525"/>
      <w:r>
        <w:rPr>
          <w:highlight w:val="white"/>
        </w:rPr>
      </w:r>
      <w:bookmarkStart w:id="66" w:name="_Toc20823281"/>
      <w:r>
        <w:rPr>
          <w:highlight w:val="white"/>
        </w:rPr>
      </w:r>
      <w:bookmarkStart w:id="67" w:name="_Toc513029209"/>
      <w:r>
        <w:rPr>
          <w:highlight w:val="white"/>
        </w:rPr>
      </w:r>
      <w:bookmarkStart w:id="68" w:name="_Toc120614215"/>
      <w:r>
        <w:rPr>
          <w:rFonts w:hint="eastAsia" w:ascii="宋体" w:hAnsi="宋体" w:cs="宋体"/>
          <w:b/>
          <w:bCs/>
          <w:color w:val="000000" w:themeColor="text1"/>
          <w:szCs w:val="21"/>
          <w:highlight w:val="white"/>
          <w14:textFill>
            <w14:solidFill>
              <w14:schemeClr w14:val="tx1"/>
            </w14:solidFill>
          </w14:textFill>
        </w:rPr>
        <w:t xml:space="preserve">二、</w:t>
      </w:r>
      <w:bookmarkEnd w:id="65"/>
      <w:r>
        <w:rPr>
          <w:highlight w:val="white"/>
        </w:rPr>
      </w:r>
      <w:bookmarkEnd w:id="66"/>
      <w:r>
        <w:rPr>
          <w:highlight w:val="white"/>
        </w:rPr>
      </w:r>
      <w:bookmarkEnd w:id="67"/>
      <w:r>
        <w:rPr>
          <w:highlight w:val="white"/>
        </w:rPr>
      </w:r>
      <w:bookmarkEnd w:id="68"/>
      <w:r>
        <w:rPr>
          <w:rFonts w:hint="eastAsia" w:ascii="宋体" w:hAnsi="宋体" w:cs="宋体"/>
          <w:b/>
          <w:bCs/>
          <w:color w:val="000000" w:themeColor="text1"/>
          <w:szCs w:val="21"/>
          <w:highlight w:val="white"/>
          <w14:textFill>
            <w14:solidFill>
              <w14:schemeClr w14:val="tx1"/>
            </w14:solidFill>
          </w14:textFill>
        </w:rPr>
        <w:t xml:space="preserve">磋商文件</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69" w:name="_Toc16938526"/>
      <w:r>
        <w:rPr>
          <w:highlight w:val="white"/>
        </w:rPr>
      </w:r>
      <w:bookmarkStart w:id="70" w:name="_Toc20823282"/>
      <w:r>
        <w:rPr>
          <w:highlight w:val="white"/>
        </w:rPr>
      </w:r>
      <w:bookmarkStart w:id="71" w:name="_Toc513029210"/>
      <w:r>
        <w:rPr>
          <w:rFonts w:hint="eastAsia" w:ascii="宋体" w:hAnsi="宋体" w:cs="宋体"/>
          <w:color w:val="000000" w:themeColor="text1"/>
          <w:szCs w:val="21"/>
          <w:highlight w:val="white"/>
          <w14:textFill>
            <w14:solidFill>
              <w14:schemeClr w14:val="tx1"/>
            </w14:solidFill>
          </w14:textFill>
        </w:rPr>
        <w:t xml:space="preserve">6、磋商文件构成</w:t>
      </w:r>
      <w:bookmarkEnd w:id="69"/>
      <w:r>
        <w:rPr>
          <w:highlight w:val="white"/>
        </w:rPr>
      </w:r>
      <w:bookmarkEnd w:id="70"/>
      <w:r>
        <w:rPr>
          <w:highlight w:val="white"/>
        </w:rPr>
      </w:r>
      <w:bookmarkEnd w:id="71"/>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6.1</w:t>
      </w:r>
      <w:r>
        <w:rPr>
          <w:rFonts w:hint="eastAsia" w:ascii="宋体" w:hAnsi="宋体" w:cs="宋体"/>
          <w:color w:val="000000" w:themeColor="text1"/>
          <w:szCs w:val="21"/>
          <w:highlight w:val="white"/>
          <w14:textFill>
            <w14:solidFill>
              <w14:schemeClr w14:val="tx1"/>
            </w14:solidFill>
          </w14:textFill>
        </w:rPr>
        <w:t xml:space="preserve">磋商文件由以下部分组成：</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（1）磋商公告</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（2）供应商须知</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（3）合同文本</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（4）采购需求</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（5）评审方法与评审标准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（6）响应文件格式</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请仔细检查磋商文件是否齐全，如有缺漏请立即与代理机构联系解决。</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6.2 采购的最小单位是包。项目需求中未分包的，供应商不得部分响应；已经分包的，应当以包为单位响应。</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6.3 采购文件如果要求供应商提交备选方案的，供应商可以提交备选方案；否则，备选方案将被拒绝。</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72" w:name="_Toc462564070"/>
      <w:r>
        <w:rPr>
          <w:highlight w:val="white"/>
        </w:rPr>
      </w:r>
      <w:bookmarkStart w:id="73" w:name="_Toc16938527"/>
      <w:r>
        <w:rPr>
          <w:highlight w:val="white"/>
        </w:rPr>
      </w:r>
      <w:bookmarkStart w:id="74" w:name="_Toc513029211"/>
      <w:r>
        <w:rPr>
          <w:highlight w:val="white"/>
        </w:rPr>
      </w:r>
      <w:bookmarkStart w:id="75" w:name="_Toc20823283"/>
      <w:r>
        <w:rPr>
          <w:rFonts w:hint="eastAsia" w:ascii="宋体" w:hAnsi="宋体" w:cs="宋体"/>
          <w:color w:val="000000" w:themeColor="text1"/>
          <w:szCs w:val="21"/>
          <w:highlight w:val="white"/>
          <w14:textFill>
            <w14:solidFill>
              <w14:schemeClr w14:val="tx1"/>
            </w14:solidFill>
          </w14:textFill>
        </w:rPr>
        <w:t xml:space="preserve">7、磋商文件的澄清</w:t>
      </w:r>
      <w:bookmarkEnd w:id="72"/>
      <w:r>
        <w:rPr>
          <w:highlight w:val="white"/>
        </w:rPr>
      </w:r>
      <w:bookmarkEnd w:id="73"/>
      <w:r>
        <w:rPr>
          <w:highlight w:val="white"/>
        </w:rPr>
      </w:r>
      <w:bookmarkEnd w:id="74"/>
      <w:r>
        <w:rPr>
          <w:highlight w:val="white"/>
        </w:rPr>
      </w:r>
      <w:bookmarkEnd w:id="75"/>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7.1</w:t>
      </w:r>
      <w:r>
        <w:rPr>
          <w:rFonts w:hint="eastAsia" w:ascii="宋体" w:hAnsi="宋体" w:cs="宋体"/>
          <w:color w:val="000000" w:themeColor="text1"/>
          <w:szCs w:val="21"/>
          <w:highlight w:val="white"/>
          <w14:textFill>
            <w14:solidFill>
              <w14:schemeClr w14:val="tx1"/>
            </w14:solidFill>
          </w14:textFill>
        </w:rPr>
        <w:t xml:space="preserve"> 任何要求对磋商文件进行澄清的供应商，应在磋商截止期5日前按磋商公告中的通讯地址，以书面形式通知代理机构。</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76" w:name="_Toc462564071"/>
      <w:r>
        <w:rPr>
          <w:highlight w:val="white"/>
        </w:rPr>
      </w:r>
      <w:bookmarkStart w:id="77" w:name="_Toc20823284"/>
      <w:r>
        <w:rPr>
          <w:highlight w:val="white"/>
        </w:rPr>
      </w:r>
      <w:bookmarkStart w:id="78" w:name="_Toc513029212"/>
      <w:r>
        <w:rPr>
          <w:highlight w:val="white"/>
        </w:rPr>
      </w:r>
      <w:bookmarkStart w:id="79" w:name="_Toc16938528"/>
      <w:r>
        <w:rPr>
          <w:rFonts w:hint="eastAsia" w:ascii="宋体" w:hAnsi="宋体" w:cs="宋体"/>
          <w:color w:val="000000" w:themeColor="text1"/>
          <w:szCs w:val="21"/>
          <w:highlight w:val="white"/>
          <w14:textFill>
            <w14:solidFill>
              <w14:schemeClr w14:val="tx1"/>
            </w14:solidFill>
          </w14:textFill>
        </w:rPr>
        <w:t xml:space="preserve">8、磋商文件的澄清和修改</w:t>
      </w:r>
      <w:bookmarkEnd w:id="76"/>
      <w:r>
        <w:rPr>
          <w:highlight w:val="white"/>
        </w:rPr>
      </w:r>
      <w:bookmarkEnd w:id="77"/>
      <w:r>
        <w:rPr>
          <w:highlight w:val="white"/>
        </w:rPr>
      </w:r>
      <w:bookmarkEnd w:id="78"/>
      <w:r>
        <w:rPr>
          <w:highlight w:val="white"/>
        </w:rPr>
      </w:r>
      <w:bookmarkEnd w:id="79"/>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8.1</w:t>
      </w:r>
      <w:r>
        <w:rPr>
          <w:rFonts w:hint="eastAsia" w:ascii="宋体" w:hAnsi="宋体" w:cs="宋体"/>
          <w:color w:val="000000" w:themeColor="text1"/>
          <w:szCs w:val="21"/>
          <w:highlight w:val="white"/>
          <w14:textFill>
            <w14:solidFill>
              <w14:schemeClr w14:val="tx1"/>
            </w14:solidFill>
          </w14:textFill>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8.2代理机构可以视采购项目的具体情况，组织供应商进行现场考察或召开磋商前答疑会，但不单独或分别组织只有一个供应商参加的现场考察和答疑会。</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8.3供应商应在提交首次响应文件截止之日前关注原采购信息发布媒体上有关本采购项目有无变更公告。</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80" w:name="_Toc462564072"/>
      <w:r>
        <w:rPr>
          <w:highlight w:val="white"/>
        </w:rPr>
      </w:r>
      <w:bookmarkStart w:id="81" w:name="_Toc513029213"/>
      <w:r>
        <w:rPr>
          <w:highlight w:val="white"/>
        </w:rPr>
      </w:r>
      <w:bookmarkStart w:id="82" w:name="_Toc16938529"/>
      <w:r>
        <w:rPr>
          <w:highlight w:val="white"/>
        </w:rPr>
      </w:r>
      <w:bookmarkStart w:id="83" w:name="_Toc120614216"/>
      <w:r>
        <w:rPr>
          <w:highlight w:val="white"/>
        </w:rPr>
      </w:r>
      <w:bookmarkStart w:id="84" w:name="_Toc20823285"/>
      <w:r>
        <w:rPr>
          <w:rFonts w:hint="eastAsia" w:ascii="宋体" w:hAnsi="宋体" w:cs="宋体"/>
          <w:b/>
          <w:bCs/>
          <w:color w:val="000000" w:themeColor="text1"/>
          <w:szCs w:val="21"/>
          <w:highlight w:val="white"/>
          <w14:textFill>
            <w14:solidFill>
              <w14:schemeClr w14:val="tx1"/>
            </w14:solidFill>
          </w14:textFill>
        </w:rPr>
        <w:t xml:space="preserve">三、响应文件的编制</w:t>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r/>
    </w:p>
    <w:p>
      <w:pPr>
        <w:ind w:firstLine="420"/>
        <w:keepLines/>
        <w:keepNext/>
        <w:spacing w:line="360" w:lineRule="auto"/>
        <w:rPr>
          <w:rFonts w:hint="eastAsia" w:ascii="宋体" w:hAnsi="宋体" w:cs="宋体"/>
          <w:b/>
          <w:color w:val="000000" w:themeColor="text1"/>
          <w:szCs w:val="21"/>
          <w:highlight w:val="white"/>
          <w14:textFill>
            <w14:solidFill>
              <w14:schemeClr w14:val="tx1"/>
            </w14:solidFill>
          </w14:textFill>
        </w:rPr>
        <w:outlineLvl w:val="3"/>
      </w:pPr>
      <w:r>
        <w:rPr>
          <w:highlight w:val="white"/>
        </w:rPr>
      </w:r>
      <w:bookmarkStart w:id="85" w:name="_Toc462564073"/>
      <w:r>
        <w:rPr>
          <w:highlight w:val="white"/>
        </w:rPr>
      </w:r>
      <w:bookmarkStart w:id="86" w:name="_Toc20823286"/>
      <w:r>
        <w:rPr>
          <w:highlight w:val="white"/>
        </w:rPr>
      </w:r>
      <w:bookmarkStart w:id="87" w:name="_Toc513029214"/>
      <w:r>
        <w:rPr>
          <w:highlight w:val="white"/>
        </w:rPr>
      </w:r>
      <w:bookmarkStart w:id="88" w:name="_Toc16938530"/>
      <w:r>
        <w:rPr>
          <w:rFonts w:hint="eastAsia" w:ascii="宋体" w:hAnsi="宋体" w:cs="宋体"/>
          <w:color w:val="000000" w:themeColor="text1"/>
          <w:szCs w:val="21"/>
          <w:highlight w:val="white"/>
          <w14:textFill>
            <w14:solidFill>
              <w14:schemeClr w14:val="tx1"/>
            </w14:solidFill>
          </w14:textFill>
        </w:rPr>
        <w:t xml:space="preserve">9、响应文件的语言及度量衡单位</w:t>
      </w:r>
      <w:bookmarkEnd w:id="85"/>
      <w:r>
        <w:rPr>
          <w:highlight w:val="white"/>
        </w:rPr>
      </w:r>
      <w:bookmarkEnd w:id="86"/>
      <w:r>
        <w:rPr>
          <w:highlight w:val="white"/>
        </w:rPr>
      </w:r>
      <w:bookmarkEnd w:id="87"/>
      <w:r>
        <w:rPr>
          <w:highlight w:val="white"/>
        </w:rPr>
      </w:r>
      <w:bookmarkEnd w:id="88"/>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9.1</w:t>
      </w:r>
      <w:r>
        <w:rPr>
          <w:rFonts w:hint="eastAsia" w:ascii="宋体" w:hAnsi="宋体" w:cs="宋体"/>
          <w:color w:val="000000" w:themeColor="text1"/>
          <w:szCs w:val="21"/>
          <w:highlight w:val="white"/>
          <w14:textFill>
            <w14:solidFill>
              <w14:schemeClr w14:val="tx1"/>
            </w14:solidFill>
          </w14:textFill>
        </w:rPr>
        <w:t xml:space="preserve">供应商提交的响应文件以及供应商与代理机构就有关磋商的所有来往通知、函件和文件均应使用</w:t>
      </w:r>
      <w:r>
        <w:rPr>
          <w:rFonts w:hint="eastAsia" w:ascii="宋体" w:hAnsi="宋体" w:cs="宋体"/>
          <w:b/>
          <w:bCs/>
          <w:color w:val="000000" w:themeColor="text1"/>
          <w:szCs w:val="21"/>
          <w:highlight w:val="white"/>
          <w14:textFill>
            <w14:solidFill>
              <w14:schemeClr w14:val="tx1"/>
            </w14:solidFill>
          </w14:textFill>
        </w:rPr>
        <w:t xml:space="preserve">简体中文</w:t>
      </w:r>
      <w:r>
        <w:rPr>
          <w:rFonts w:hint="eastAsia" w:ascii="宋体" w:hAnsi="宋体" w:cs="宋体"/>
          <w:color w:val="000000" w:themeColor="text1"/>
          <w:szCs w:val="21"/>
          <w:highlight w:val="white"/>
          <w14:textFill>
            <w14:solidFill>
              <w14:schemeClr w14:val="tx1"/>
            </w14:solidFill>
          </w14:textFill>
        </w:rPr>
        <w:t xml:space="preserve">。</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9.2 除技术性能另有规定外，响应文件所使用的度量衡单位，均须采用国家法定计量单位。</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9.3供应商应使用人民币报价。</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89" w:name="_Toc20823287"/>
      <w:r>
        <w:rPr>
          <w:highlight w:val="white"/>
        </w:rPr>
      </w:r>
      <w:bookmarkStart w:id="90" w:name="_Toc462564074"/>
      <w:r>
        <w:rPr>
          <w:highlight w:val="white"/>
        </w:rPr>
      </w:r>
      <w:bookmarkStart w:id="91" w:name="_Toc513029215"/>
      <w:r>
        <w:rPr>
          <w:highlight w:val="white"/>
        </w:rPr>
      </w:r>
      <w:bookmarkStart w:id="92" w:name="_Toc16938531"/>
      <w:r>
        <w:rPr>
          <w:rFonts w:hint="eastAsia" w:ascii="宋体" w:hAnsi="宋体" w:cs="宋体"/>
          <w:color w:val="000000" w:themeColor="text1"/>
          <w:szCs w:val="21"/>
          <w:highlight w:val="white"/>
          <w14:textFill>
            <w14:solidFill>
              <w14:schemeClr w14:val="tx1"/>
            </w14:solidFill>
          </w14:textFill>
        </w:rPr>
        <w:t xml:space="preserve">10、响应文件构成</w:t>
      </w:r>
      <w:bookmarkEnd w:id="89"/>
      <w:r>
        <w:rPr>
          <w:highlight w:val="white"/>
        </w:rPr>
      </w:r>
      <w:bookmarkEnd w:id="90"/>
      <w:r>
        <w:rPr>
          <w:highlight w:val="white"/>
        </w:rPr>
      </w:r>
      <w:bookmarkEnd w:id="91"/>
      <w:r>
        <w:rPr>
          <w:highlight w:val="white"/>
        </w:rPr>
      </w:r>
      <w:bookmarkEnd w:id="92"/>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10.1</w:t>
      </w:r>
      <w:r>
        <w:rPr>
          <w:rFonts w:hint="eastAsia" w:ascii="宋体" w:hAnsi="宋体" w:cs="宋体"/>
          <w:color w:val="000000" w:themeColor="text1"/>
          <w:szCs w:val="21"/>
          <w:highlight w:val="whit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10.2 如标书制作工具中格式和内容与“扬州市政府采购网”、“江苏省政府采购网”发布的磋商文件不一致，请以“扬州市政府采购网”、“江苏省政府采购网”发布的磋商文件为准。</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93" w:name="_Hlt26670360"/>
      <w:r>
        <w:rPr>
          <w:highlight w:val="white"/>
        </w:rPr>
      </w:r>
      <w:bookmarkEnd w:id="93"/>
      <w:r>
        <w:rPr>
          <w:highlight w:val="white"/>
        </w:rPr>
      </w:r>
      <w:bookmarkStart w:id="94" w:name="_Hlt26668975"/>
      <w:r>
        <w:rPr>
          <w:highlight w:val="white"/>
        </w:rPr>
      </w:r>
      <w:bookmarkEnd w:id="94"/>
      <w:r>
        <w:rPr>
          <w:highlight w:val="white"/>
        </w:rPr>
      </w:r>
      <w:bookmarkStart w:id="95" w:name="_Hlt26954838"/>
      <w:r>
        <w:rPr>
          <w:highlight w:val="white"/>
        </w:rPr>
      </w:r>
      <w:bookmarkEnd w:id="95"/>
      <w:r>
        <w:rPr>
          <w:highlight w:val="white"/>
        </w:rPr>
      </w:r>
      <w:bookmarkStart w:id="96" w:name="_Toc14577357"/>
      <w:r>
        <w:rPr>
          <w:highlight w:val="white"/>
        </w:rPr>
      </w:r>
      <w:bookmarkStart w:id="97" w:name="_Toc49090509"/>
      <w:r>
        <w:rPr>
          <w:highlight w:val="white"/>
        </w:rPr>
      </w:r>
      <w:bookmarkStart w:id="98" w:name="_Toc513029219"/>
      <w:r>
        <w:rPr>
          <w:highlight w:val="white"/>
        </w:rPr>
      </w:r>
      <w:bookmarkStart w:id="99" w:name="_Toc49090507"/>
      <w:r>
        <w:rPr>
          <w:highlight w:val="white"/>
        </w:rPr>
      </w:r>
      <w:bookmarkStart w:id="100" w:name="_Toc513029216"/>
      <w:r>
        <w:rPr>
          <w:highlight w:val="white"/>
        </w:rPr>
      </w:r>
      <w:bookmarkStart w:id="101" w:name="_Toc14577354"/>
      <w:r>
        <w:rPr>
          <w:highlight w:val="white"/>
        </w:rPr>
      </w:r>
      <w:bookmarkStart w:id="102" w:name="_Toc49090508"/>
      <w:r>
        <w:rPr>
          <w:highlight w:val="white"/>
        </w:rPr>
      </w:r>
      <w:bookmarkStart w:id="103" w:name="_Toc14577355"/>
      <w:r>
        <w:rPr>
          <w:rFonts w:hint="eastAsia" w:ascii="宋体" w:hAnsi="宋体" w:cs="宋体"/>
          <w:color w:val="000000" w:themeColor="text1"/>
          <w:szCs w:val="21"/>
          <w:highlight w:val="white"/>
          <w14:textFill>
            <w14:solidFill>
              <w14:schemeClr w14:val="tx1"/>
            </w14:solidFill>
          </w14:textFill>
        </w:rPr>
        <w:t xml:space="preserve">11、证明磋商响应标的符合磋商文件规定的文件</w:t>
      </w:r>
      <w:bookmarkEnd w:id="96"/>
      <w:r>
        <w:rPr>
          <w:highlight w:val="white"/>
        </w:rPr>
      </w:r>
      <w:bookmarkEnd w:id="97"/>
      <w:r>
        <w:rPr>
          <w:highlight w:val="white"/>
        </w:rPr>
      </w:r>
      <w:bookmarkEnd w:id="98"/>
      <w:r>
        <w:rPr>
          <w:highlight w:val="white"/>
        </w:rPr>
      </w:r>
      <w:bookmarkEnd w:id="99"/>
      <w:r/>
      <w:bookmarkEnd w:id="100"/>
      <w:r/>
      <w:bookmarkEnd w:id="101"/>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11.1供应商应按照磋商文件要求提交证明文件，证明其及磋商响应标的符合磋商文件规定。</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11.2磋商文件对证明文件无明确形式要求的，证明文件可以以文字资料、图纸和数据等形式提交。</w:t>
      </w:r>
      <w:bookmarkEnd w:id="102"/>
      <w:r/>
      <w:bookmarkEnd w:id="103"/>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12、分项报价表</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12.1</w:t>
      </w:r>
      <w:r>
        <w:rPr>
          <w:rFonts w:hint="eastAsia" w:ascii="宋体" w:hAnsi="宋体" w:cs="宋体"/>
          <w:color w:val="000000" w:themeColor="text1"/>
          <w:szCs w:val="21"/>
          <w:highlight w:val="white"/>
          <w14:textFill>
            <w14:solidFill>
              <w14:schemeClr w14:val="tx1"/>
            </w14:solidFill>
          </w14:textFill>
        </w:rPr>
        <w:t xml:space="preserve">供应商应按照磋商文件规定格式填报分项报价表。</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12.2</w:t>
      </w:r>
      <w:r>
        <w:rPr>
          <w:rFonts w:hint="eastAsia" w:ascii="宋体" w:hAnsi="宋体" w:cs="宋体"/>
          <w:bCs/>
          <w:color w:val="000000" w:themeColor="text1"/>
          <w:szCs w:val="21"/>
          <w:highlight w:val="white"/>
          <w14:textFill>
            <w14:solidFill>
              <w14:schemeClr w14:val="tx1"/>
            </w14:solidFill>
          </w14:textFill>
        </w:rPr>
        <w:t xml:space="preserve">磋商货币。响应文件中的单价和总价无特殊规定的采用人民币报价，以元为单位标注。</w:t>
      </w:r>
      <w:r>
        <w:rPr>
          <w:rFonts w:hint="eastAsia" w:ascii="宋体" w:hAnsi="宋体" w:cs="宋体"/>
          <w:color w:val="000000" w:themeColor="text1"/>
          <w:szCs w:val="21"/>
          <w:highlight w:val="white"/>
          <w14:textFill>
            <w14:solidFill>
              <w14:schemeClr w14:val="tx1"/>
            </w14:solidFill>
          </w14:textFill>
        </w:rPr>
        <w:t xml:space="preserve">磋商文件中另有规定的按规定执行。</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12.3有关费用处理</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12.4其它费用处理</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采购文件未列明，而供应商认为必需的费用也需列入报价。</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04" w:name="_Hlt26954848"/>
      <w:r>
        <w:rPr>
          <w:highlight w:val="white"/>
        </w:rPr>
      </w:r>
      <w:bookmarkEnd w:id="104"/>
      <w:r>
        <w:rPr>
          <w:highlight w:val="white"/>
        </w:rPr>
      </w:r>
      <w:bookmarkStart w:id="105" w:name="_Hlt26670482"/>
      <w:r>
        <w:rPr>
          <w:highlight w:val="white"/>
        </w:rPr>
      </w:r>
      <w:bookmarkEnd w:id="105"/>
      <w:r>
        <w:rPr>
          <w:highlight w:val="white"/>
        </w:rPr>
      </w:r>
      <w:bookmarkStart w:id="106" w:name="_Hlt26954731"/>
      <w:r>
        <w:rPr>
          <w:highlight w:val="white"/>
        </w:rPr>
      </w:r>
      <w:bookmarkEnd w:id="106"/>
      <w:r>
        <w:rPr>
          <w:highlight w:val="white"/>
        </w:rPr>
      </w:r>
      <w:bookmarkStart w:id="107" w:name="_Hlt26954846"/>
      <w:r>
        <w:rPr>
          <w:highlight w:val="white"/>
        </w:rPr>
      </w:r>
      <w:bookmarkEnd w:id="107"/>
      <w:r>
        <w:rPr>
          <w:highlight w:val="white"/>
        </w:rPr>
      </w:r>
      <w:bookmarkStart w:id="108" w:name="_Hlt26670486"/>
      <w:r>
        <w:rPr>
          <w:highlight w:val="white"/>
        </w:rPr>
      </w:r>
      <w:bookmarkEnd w:id="108"/>
      <w:r>
        <w:rPr>
          <w:rFonts w:hint="eastAsia" w:ascii="宋体" w:hAnsi="宋体" w:cs="宋体"/>
          <w:color w:val="000000" w:themeColor="text1"/>
          <w:szCs w:val="21"/>
          <w:highlight w:val="white"/>
          <w14:textFill>
            <w14:solidFill>
              <w14:schemeClr w14:val="tx1"/>
            </w14:solidFill>
          </w14:textFill>
        </w:rPr>
        <w:t xml:space="preserve">13、技术要求响应及偏离表、商务要求响应及偏离表</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lang w:val="zh-CN"/>
          <w14:textFill>
            <w14:solidFill>
              <w14:schemeClr w14:val="tx1"/>
            </w14:solidFill>
          </w14:textFill>
        </w:rPr>
        <w:t xml:space="preserve">13.1</w:t>
      </w:r>
      <w:r>
        <w:rPr>
          <w:rFonts w:hint="eastAsia" w:ascii="宋体" w:hAnsi="宋体" w:cs="宋体"/>
          <w:color w:val="000000" w:themeColor="text1"/>
          <w:szCs w:val="21"/>
          <w:highlight w:val="white"/>
          <w:lang w:val="zh-CN"/>
          <w14:textFill>
            <w14:solidFill>
              <w14:schemeClr w14:val="tx1"/>
            </w14:solidFill>
          </w14:textFill>
        </w:rPr>
        <w:t xml:space="preserve">供应商需对磋商文件中的技术要求与商务要求逐项作出响应或偏离，并说明原因。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lang w:val="zh-CN"/>
          <w14:textFill>
            <w14:solidFill>
              <w14:schemeClr w14:val="tx1"/>
            </w14:solidFill>
          </w14:textFill>
        </w:rPr>
        <w:t xml:space="preserve">13.2供应商可在响应文件中提供认为需要的其他技术文件或说明。</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14、服务承诺、培训计划、人员安排及其他</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14.1</w:t>
      </w:r>
      <w:r>
        <w:rPr>
          <w:rFonts w:hint="eastAsia" w:ascii="宋体" w:hAnsi="宋体" w:cs="宋体"/>
          <w:color w:val="000000" w:themeColor="text1"/>
          <w:szCs w:val="21"/>
          <w:highlight w:val="whit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14.2供应商需根据磋商文件要求提供培训计划。</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14.3供应商需根据磋商文件要求提供</w:t>
      </w:r>
      <w:r>
        <w:rPr>
          <w:rFonts w:hint="eastAsia" w:ascii="宋体" w:hAnsi="宋体" w:cs="宋体"/>
          <w:color w:val="000000" w:themeColor="text1"/>
          <w:szCs w:val="21"/>
          <w:highlight w:val="white"/>
          <w:lang w:val="zh-CN"/>
          <w14:textFill>
            <w14:solidFill>
              <w14:schemeClr w14:val="tx1"/>
            </w14:solidFill>
          </w14:textFill>
        </w:rPr>
        <w:t xml:space="preserve">磋商响应标的的主要组成部分、功能设计、实现思路及关键技术等。</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09" w:name="_Toc14577359"/>
      <w:r>
        <w:rPr>
          <w:highlight w:val="white"/>
        </w:rPr>
      </w:r>
      <w:bookmarkStart w:id="110" w:name="_Toc49090510"/>
      <w:r>
        <w:rPr>
          <w:rFonts w:hint="eastAsia" w:ascii="宋体" w:hAnsi="宋体" w:cs="宋体"/>
          <w:color w:val="000000" w:themeColor="text1"/>
          <w:szCs w:val="21"/>
          <w:highlight w:val="white"/>
          <w14:textFill>
            <w14:solidFill>
              <w14:schemeClr w14:val="tx1"/>
            </w14:solidFill>
          </w14:textFill>
        </w:rPr>
        <w:t xml:space="preserve">15、磋商响应函</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15.1</w:t>
      </w:r>
      <w:r>
        <w:rPr>
          <w:rFonts w:hint="eastAsia" w:ascii="宋体" w:hAnsi="宋体" w:cs="宋体"/>
          <w:color w:val="000000" w:themeColor="text1"/>
          <w:szCs w:val="21"/>
          <w:highlight w:val="white"/>
          <w14:textFill>
            <w14:solidFill>
              <w14:schemeClr w14:val="tx1"/>
            </w14:solidFill>
          </w14:textFill>
        </w:rPr>
        <w:t xml:space="preserve">供应商应按照磋商文件中提供的格式完整、正确填写磋商响应函。</w:t>
      </w:r>
      <w:bookmarkEnd w:id="109"/>
      <w:r/>
      <w:bookmarkEnd w:id="110"/>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11" w:name="_Toc49090511"/>
      <w:r>
        <w:rPr>
          <w:highlight w:val="white"/>
        </w:rPr>
      </w:r>
      <w:bookmarkStart w:id="112" w:name="_Toc14577360"/>
      <w:r>
        <w:rPr>
          <w:rFonts w:hint="eastAsia" w:ascii="宋体" w:hAnsi="宋体" w:cs="宋体"/>
          <w:color w:val="000000" w:themeColor="text1"/>
          <w:szCs w:val="21"/>
          <w:highlight w:val="white"/>
          <w14:textFill>
            <w14:solidFill>
              <w14:schemeClr w14:val="tx1"/>
            </w14:solidFill>
          </w14:textFill>
        </w:rPr>
        <w:t xml:space="preserve">16、磋商有效期</w:t>
      </w:r>
      <w:bookmarkEnd w:id="111"/>
      <w:r>
        <w:rPr>
          <w:highlight w:val="white"/>
        </w:rPr>
      </w:r>
      <w:bookmarkEnd w:id="112"/>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16.1磋商有效期为代理机构规定的提交响应文件截止之日后</w:t>
      </w:r>
      <w:r>
        <w:rPr>
          <w:rFonts w:hint="eastAsia" w:ascii="宋体" w:hAnsi="宋体" w:cs="宋体"/>
          <w:b/>
          <w:color w:val="000000" w:themeColor="text1"/>
          <w:szCs w:val="21"/>
          <w:highlight w:val="white"/>
          <w:u w:val="single"/>
          <w14:textFill>
            <w14:solidFill>
              <w14:schemeClr w14:val="tx1"/>
            </w14:solidFill>
          </w14:textFill>
        </w:rPr>
        <w:t xml:space="preserve">六十（60）天</w:t>
      </w:r>
      <w:r>
        <w:rPr>
          <w:rFonts w:hint="eastAsia" w:ascii="宋体" w:hAnsi="宋体" w:cs="宋体"/>
          <w:bCs/>
          <w:color w:val="000000" w:themeColor="text1"/>
          <w:szCs w:val="21"/>
          <w:highlight w:val="white"/>
          <w14:textFill>
            <w14:solidFill>
              <w14:schemeClr w14:val="tx1"/>
            </w14:solidFill>
          </w14:textFill>
        </w:rPr>
        <w:t xml:space="preserve">。磋商有效期比规定短的将被视为非实质性响应磋商文件而予以拒绝。</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17、磋商有效期的延长</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themeColor="text1"/>
          <w:szCs w:val="21"/>
          <w:highlight w:val="white"/>
          <w14:textFill>
            <w14:solidFill>
              <w14:schemeClr w14:val="tx1"/>
            </w14:solidFill>
          </w14:textFill>
        </w:rPr>
        <w:t xml:space="preserve">受磋商有效期约束的所有权利与义务均延长至新的有效期</w:t>
      </w:r>
      <w:r>
        <w:rPr>
          <w:rFonts w:hint="eastAsia" w:ascii="宋体" w:hAnsi="宋体" w:cs="宋体"/>
          <w:bCs/>
          <w:color w:val="000000" w:themeColor="text1"/>
          <w:szCs w:val="21"/>
          <w:highlight w:val="white"/>
          <w14:textFill>
            <w14:solidFill>
              <w14:schemeClr w14:val="tx1"/>
            </w14:solidFill>
          </w14:textFill>
        </w:rPr>
        <w:t xml:space="preserve">。</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113" w:name="_Hlt26954852"/>
      <w:r>
        <w:rPr>
          <w:highlight w:val="white"/>
        </w:rPr>
      </w:r>
      <w:bookmarkEnd w:id="113"/>
      <w:r>
        <w:rPr>
          <w:highlight w:val="white"/>
        </w:rPr>
      </w:r>
      <w:bookmarkStart w:id="114" w:name="_Hlt26954739"/>
      <w:r>
        <w:rPr>
          <w:highlight w:val="white"/>
        </w:rPr>
      </w:r>
      <w:bookmarkEnd w:id="114"/>
      <w:r>
        <w:rPr>
          <w:highlight w:val="white"/>
        </w:rPr>
      </w:r>
      <w:bookmarkStart w:id="115" w:name="_Toc513029224"/>
      <w:r>
        <w:rPr>
          <w:highlight w:val="white"/>
        </w:rPr>
      </w:r>
      <w:bookmarkStart w:id="116" w:name="_Toc120614217"/>
      <w:r>
        <w:rPr>
          <w:highlight w:val="white"/>
        </w:rPr>
      </w:r>
      <w:bookmarkStart w:id="117" w:name="_Toc16938540"/>
      <w:r>
        <w:rPr>
          <w:highlight w:val="white"/>
        </w:rPr>
      </w:r>
      <w:bookmarkStart w:id="118" w:name="_Toc20823296"/>
      <w:r>
        <w:rPr>
          <w:rFonts w:hint="eastAsia" w:ascii="宋体" w:hAnsi="宋体" w:cs="宋体"/>
          <w:b/>
          <w:bCs/>
          <w:color w:val="000000" w:themeColor="text1"/>
          <w:szCs w:val="21"/>
          <w:highlight w:val="white"/>
          <w14:textFill>
            <w14:solidFill>
              <w14:schemeClr w14:val="tx1"/>
            </w14:solidFill>
          </w14:textFill>
        </w:rPr>
        <w:t xml:space="preserve">四、响应文件的递交</w:t>
      </w:r>
      <w:bookmarkEnd w:id="115"/>
      <w:r>
        <w:rPr>
          <w:highlight w:val="white"/>
        </w:rPr>
      </w:r>
      <w:bookmarkEnd w:id="116"/>
      <w:r>
        <w:rPr>
          <w:highlight w:val="white"/>
        </w:rPr>
      </w:r>
      <w:bookmarkEnd w:id="117"/>
      <w:r>
        <w:rPr>
          <w:highlight w:val="white"/>
        </w:rPr>
      </w:r>
      <w:bookmarkEnd w:id="118"/>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19" w:name="_Toc513029225"/>
      <w:r>
        <w:rPr>
          <w:highlight w:val="white"/>
        </w:rPr>
      </w:r>
      <w:bookmarkStart w:id="120" w:name="_Toc20823297"/>
      <w:r>
        <w:rPr>
          <w:highlight w:val="white"/>
        </w:rPr>
      </w:r>
      <w:bookmarkStart w:id="121" w:name="_Toc462564084"/>
      <w:r>
        <w:rPr>
          <w:highlight w:val="white"/>
        </w:rPr>
      </w:r>
      <w:bookmarkStart w:id="122" w:name="_Toc16938541"/>
      <w:r>
        <w:rPr>
          <w:rFonts w:hint="eastAsia" w:ascii="宋体" w:hAnsi="宋体" w:cs="宋体"/>
          <w:color w:val="000000" w:themeColor="text1"/>
          <w:szCs w:val="21"/>
          <w:highlight w:val="white"/>
          <w14:textFill>
            <w14:solidFill>
              <w14:schemeClr w14:val="tx1"/>
            </w14:solidFill>
          </w14:textFill>
        </w:rPr>
        <w:t xml:space="preserve">18、电子磋商</w:t>
      </w:r>
      <w:bookmarkEnd w:id="119"/>
      <w:r>
        <w:rPr>
          <w:highlight w:val="white"/>
        </w:rPr>
      </w:r>
      <w:bookmarkEnd w:id="120"/>
      <w:r>
        <w:rPr>
          <w:highlight w:val="white"/>
        </w:rPr>
      </w:r>
      <w:bookmarkEnd w:id="121"/>
      <w:r>
        <w:rPr>
          <w:highlight w:val="white"/>
        </w:rPr>
      </w:r>
      <w:bookmarkEnd w:id="122"/>
      <w:r>
        <w:rPr>
          <w:rFonts w:hint="eastAsia" w:ascii="宋体" w:hAnsi="宋体" w:cs="宋体"/>
          <w:color w:val="000000" w:themeColor="text1"/>
          <w:szCs w:val="21"/>
          <w:highlight w:val="white"/>
          <w14:textFill>
            <w14:solidFill>
              <w14:schemeClr w14:val="tx1"/>
            </w14:solidFill>
          </w14:textFill>
        </w:rPr>
        <w:t xml:space="preserve">响应文件的递交</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18.1供应商应当按照《操作手册》规定，在提交响应文件截止时间前制作并上传电子响应文件。</w:t>
      </w:r>
      <w:bookmarkStart w:id="123" w:name="_Toc513029226"/>
      <w:r>
        <w:rPr>
          <w:highlight w:val="white"/>
        </w:rPr>
      </w:r>
      <w:bookmarkStart w:id="124" w:name="_Toc16938542"/>
      <w:r>
        <w:rPr>
          <w:highlight w:val="white"/>
        </w:rPr>
      </w:r>
      <w:bookmarkStart w:id="125" w:name="_Toc20823298"/>
      <w:r>
        <w:rPr>
          <w:highlight w:val="white"/>
        </w:rPr>
      </w:r>
      <w:r/>
    </w:p>
    <w:p>
      <w:pPr>
        <w:ind w:firstLine="422"/>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18.2政府采购管理交易系统（苏采云）相关要求是本招标文件的组成部分。</w:t>
      </w:r>
      <w:r>
        <w:rPr>
          <w:highlight w:val="white"/>
        </w:rPr>
      </w:r>
      <w:r/>
    </w:p>
    <w:p>
      <w:pPr>
        <w:ind w:firstLine="422"/>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18.3供应商应对 CA 证书妥善保管，如被他人盗用，因此带来的结果均由供应商自行承担。</w:t>
      </w:r>
      <w:r>
        <w:rPr>
          <w:highlight w:val="white"/>
        </w:rPr>
      </w:r>
      <w:r/>
    </w:p>
    <w:p>
      <w:pPr>
        <w:ind w:firstLine="422"/>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18.4供应商应当对采购文件提出的要求和条件作出实质性响应，并在电子投标系统逐条应答。</w:t>
      </w:r>
      <w:r>
        <w:rPr>
          <w:highlight w:val="white"/>
        </w:rPr>
      </w:r>
      <w:r/>
    </w:p>
    <w:p>
      <w:pPr>
        <w:ind w:firstLine="422"/>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18.5供应商应对要求提供的资格证明文件（如资质证书、资格证书）、技术资料（如白皮书、彩页、手册、检测报告等）扫描上传至投标系统。</w:t>
      </w:r>
      <w:r>
        <w:rPr>
          <w:highlight w:val="white"/>
        </w:rPr>
      </w:r>
      <w:r/>
    </w:p>
    <w:p>
      <w:pPr>
        <w:ind w:firstLine="422"/>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18.6各供应商应在规定时间内凭CA证书进行网上解密。</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19、提交响应文件截止时间</w:t>
      </w:r>
      <w:bookmarkEnd w:id="123"/>
      <w:r>
        <w:rPr>
          <w:highlight w:val="white"/>
        </w:rPr>
      </w:r>
      <w:bookmarkEnd w:id="124"/>
      <w:r>
        <w:rPr>
          <w:highlight w:val="white"/>
        </w:rPr>
      </w:r>
      <w:bookmarkEnd w:id="125"/>
      <w:r>
        <w:rPr>
          <w:highlight w:val="white"/>
        </w:rPr>
      </w:r>
      <w:r/>
    </w:p>
    <w:p>
      <w:pPr>
        <w:ind w:firstLine="420"/>
        <w:spacing w:line="360" w:lineRule="auto"/>
        <w:rPr>
          <w:rFonts w:hint="eastAsia" w:ascii="宋体" w:hAnsi="宋体" w:cs="宋体"/>
          <w:bCs/>
          <w:i/>
          <w:color w:val="000000" w:themeColor="text1"/>
          <w:szCs w:val="21"/>
          <w:highlight w:val="white"/>
          <w:u w:val="single"/>
          <w14:textFill>
            <w14:solidFill>
              <w14:schemeClr w14:val="tx1"/>
            </w14:solidFill>
          </w14:textFill>
        </w:rPr>
      </w:pPr>
      <w:r>
        <w:rPr>
          <w:rFonts w:hint="eastAsia" w:ascii="宋体" w:hAnsi="宋体" w:cs="宋体"/>
          <w:i/>
          <w:color w:val="000000" w:themeColor="text1"/>
          <w:szCs w:val="21"/>
          <w:highlight w:val="white"/>
          <w:u w:val="single"/>
          <w14:textFill>
            <w14:solidFill>
              <w14:schemeClr w14:val="tx1"/>
            </w14:solidFill>
          </w14:textFill>
        </w:rPr>
        <w:t xml:space="preserve">19.1</w:t>
      </w:r>
      <w:r>
        <w:rPr>
          <w:rFonts w:hint="eastAsia" w:ascii="宋体" w:hAnsi="宋体" w:cs="宋体"/>
          <w:bCs/>
          <w:i/>
          <w:color w:val="000000" w:themeColor="text1"/>
          <w:szCs w:val="21"/>
          <w:highlight w:val="white"/>
          <w:u w:val="single"/>
          <w14:textFill>
            <w14:solidFill>
              <w14:schemeClr w14:val="tx1"/>
            </w14:solidFill>
          </w14:textFill>
        </w:rPr>
        <w:t xml:space="preserve">供应商上传电子响应文件的时间不得迟于磋商公告中规定的提交响应文件截止时间。</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19.2</w:t>
      </w:r>
      <w:r>
        <w:rPr>
          <w:rFonts w:hint="eastAsia" w:ascii="宋体" w:hAnsi="宋体" w:cs="宋体"/>
          <w:bCs/>
          <w:color w:val="000000" w:themeColor="text1"/>
          <w:szCs w:val="21"/>
          <w:highlight w:val="white"/>
          <w14:textFill>
            <w14:solidFill>
              <w14:schemeClr w14:val="tx1"/>
            </w14:solidFill>
          </w14:textFill>
        </w:rPr>
        <w:t xml:space="preserve"> 代理机构可以按照规定，通过修改磋商文件酌情延长提交响应文件截止日期，在此情况下，供应商的所有权利和义务以及供应商受制的截止日期均应以延长后新的截止日期为准。</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26" w:name="_Toc20823299"/>
      <w:r>
        <w:rPr>
          <w:highlight w:val="white"/>
        </w:rPr>
      </w:r>
      <w:bookmarkStart w:id="127" w:name="_Toc513029227"/>
      <w:r>
        <w:rPr>
          <w:highlight w:val="white"/>
        </w:rPr>
      </w:r>
      <w:bookmarkStart w:id="128" w:name="_Toc16938543"/>
      <w:r>
        <w:rPr>
          <w:rFonts w:hint="eastAsia" w:ascii="宋体" w:hAnsi="宋体" w:cs="宋体"/>
          <w:color w:val="000000" w:themeColor="text1"/>
          <w:szCs w:val="21"/>
          <w:highlight w:val="white"/>
          <w14:textFill>
            <w14:solidFill>
              <w14:schemeClr w14:val="tx1"/>
            </w14:solidFill>
          </w14:textFill>
        </w:rPr>
        <w:t xml:space="preserve">20、响应文件</w:t>
      </w:r>
      <w:bookmarkEnd w:id="126"/>
      <w:r>
        <w:rPr>
          <w:highlight w:val="white"/>
        </w:rPr>
      </w:r>
      <w:bookmarkEnd w:id="127"/>
      <w:r>
        <w:rPr>
          <w:highlight w:val="white"/>
        </w:rPr>
      </w:r>
      <w:bookmarkEnd w:id="128"/>
      <w:r>
        <w:rPr>
          <w:rFonts w:hint="eastAsia" w:ascii="宋体" w:hAnsi="宋体" w:cs="宋体"/>
          <w:color w:val="000000" w:themeColor="text1"/>
          <w:szCs w:val="21"/>
          <w:highlight w:val="white"/>
          <w14:textFill>
            <w14:solidFill>
              <w14:schemeClr w14:val="tx1"/>
            </w14:solidFill>
          </w14:textFill>
        </w:rPr>
        <w:t xml:space="preserve">的拒收</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20.1 代理机构拒绝接收在其规定的提交响应文件截止时间后上传的任何电子响应文件。</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29" w:name="_Toc20823300"/>
      <w:r>
        <w:rPr>
          <w:highlight w:val="white"/>
        </w:rPr>
      </w:r>
      <w:bookmarkStart w:id="130" w:name="_Toc513029228"/>
      <w:r>
        <w:rPr>
          <w:highlight w:val="white"/>
        </w:rPr>
      </w:r>
      <w:bookmarkStart w:id="131" w:name="_Toc16938544"/>
      <w:r>
        <w:rPr>
          <w:rFonts w:hint="eastAsia" w:ascii="宋体" w:hAnsi="宋体" w:cs="宋体"/>
          <w:color w:val="000000" w:themeColor="text1"/>
          <w:szCs w:val="21"/>
          <w:highlight w:val="white"/>
          <w14:textFill>
            <w14:solidFill>
              <w14:schemeClr w14:val="tx1"/>
            </w14:solidFill>
          </w14:textFill>
        </w:rPr>
        <w:t xml:space="preserve">21、响应文件的撤回和修改</w:t>
      </w:r>
      <w:bookmarkEnd w:id="129"/>
      <w:r>
        <w:rPr>
          <w:highlight w:val="white"/>
        </w:rPr>
      </w:r>
      <w:bookmarkEnd w:id="130"/>
      <w:r>
        <w:rPr>
          <w:highlight w:val="white"/>
        </w:rPr>
      </w:r>
      <w:bookmarkEnd w:id="131"/>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21.1响应文件的撤回</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21.1.1 电子响应文件的撤回</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供应商可在</w:t>
      </w:r>
      <w:r>
        <w:rPr>
          <w:rFonts w:hint="eastAsia" w:ascii="宋体" w:hAnsi="宋体" w:cs="宋体"/>
          <w:bCs/>
          <w:color w:val="000000" w:themeColor="text1"/>
          <w:szCs w:val="21"/>
          <w:highlight w:val="white"/>
          <w14:textFill>
            <w14:solidFill>
              <w14:schemeClr w14:val="tx1"/>
            </w14:solidFill>
          </w14:textFill>
        </w:rPr>
        <w:t xml:space="preserve">提交响应文件</w:t>
      </w:r>
      <w:r>
        <w:rPr>
          <w:rFonts w:hint="eastAsia" w:ascii="宋体" w:hAnsi="宋体" w:cs="宋体"/>
          <w:color w:val="000000" w:themeColor="text1"/>
          <w:szCs w:val="21"/>
          <w:highlight w:val="white"/>
          <w14:textFill>
            <w14:solidFill>
              <w14:schemeClr w14:val="tx1"/>
            </w14:solidFill>
          </w14:textFill>
        </w:rPr>
        <w:t xml:space="preserve">截止时间前，撤回其电子响应文件，具体操作方法见《操作手册》。</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21.1.2供应商撤回电子响应文件，则认为其不再参与本项目磋商活动。</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21.2响应文件的修改</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供应商可在</w:t>
      </w:r>
      <w:r>
        <w:rPr>
          <w:rFonts w:hint="eastAsia" w:ascii="宋体" w:hAnsi="宋体" w:cs="宋体"/>
          <w:bCs/>
          <w:color w:val="000000" w:themeColor="text1"/>
          <w:szCs w:val="21"/>
          <w:highlight w:val="white"/>
          <w14:textFill>
            <w14:solidFill>
              <w14:schemeClr w14:val="tx1"/>
            </w14:solidFill>
          </w14:textFill>
        </w:rPr>
        <w:t xml:space="preserve">提交响应文件</w:t>
      </w:r>
      <w:r>
        <w:rPr>
          <w:rFonts w:hint="eastAsia" w:ascii="宋体" w:hAnsi="宋体" w:cs="宋体"/>
          <w:color w:val="000000" w:themeColor="text1"/>
          <w:szCs w:val="21"/>
          <w:highlight w:val="white"/>
          <w14:textFill>
            <w14:solidFill>
              <w14:schemeClr w14:val="tx1"/>
            </w14:solidFill>
          </w14:textFill>
        </w:rPr>
        <w:t xml:space="preserve">截止时间前，对其电子响应文件进行修改，具体操作方法见《操作手册》。</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21.3</w:t>
      </w:r>
      <w:r>
        <w:rPr>
          <w:rFonts w:hint="eastAsia" w:ascii="宋体" w:hAnsi="宋体" w:cs="宋体"/>
          <w:bCs/>
          <w:color w:val="000000" w:themeColor="text1"/>
          <w:szCs w:val="21"/>
          <w:highlight w:val="white"/>
          <w14:textFill>
            <w14:solidFill>
              <w14:schemeClr w14:val="tx1"/>
            </w14:solidFill>
          </w14:textFill>
        </w:rPr>
        <w:t xml:space="preserve"> 在提交响应文件截止时间之后，供应商不得对其电子响应文件作任何修改。</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21.4</w:t>
      </w:r>
      <w:r>
        <w:rPr>
          <w:rFonts w:hint="eastAsia" w:ascii="宋体" w:hAnsi="宋体" w:cs="宋体"/>
          <w:bCs/>
          <w:color w:val="000000" w:themeColor="text1"/>
          <w:szCs w:val="21"/>
          <w:highlight w:val="white"/>
          <w14:textFill>
            <w14:solidFill>
              <w14:schemeClr w14:val="tx1"/>
            </w14:solidFill>
          </w14:textFill>
        </w:rPr>
        <w:t xml:space="preserve"> 在提交响应文件截止时间至磋商文件中规定的磋商有效期满之间的这段时间内，供应商不得撤回其响应文件。</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132" w:name="_Toc120614218"/>
      <w:r>
        <w:rPr>
          <w:highlight w:val="white"/>
        </w:rPr>
      </w:r>
      <w:bookmarkStart w:id="133" w:name="_Toc16938545"/>
      <w:r>
        <w:rPr>
          <w:highlight w:val="white"/>
        </w:rPr>
      </w:r>
      <w:bookmarkStart w:id="134" w:name="_Toc513029229"/>
      <w:r>
        <w:rPr>
          <w:highlight w:val="white"/>
        </w:rPr>
      </w:r>
      <w:bookmarkStart w:id="135" w:name="_Toc20823301"/>
      <w:r>
        <w:rPr>
          <w:rFonts w:hint="eastAsia" w:ascii="宋体" w:hAnsi="宋体" w:cs="宋体"/>
          <w:b/>
          <w:bCs/>
          <w:color w:val="000000" w:themeColor="text1"/>
          <w:szCs w:val="21"/>
          <w:highlight w:val="white"/>
          <w14:textFill>
            <w14:solidFill>
              <w14:schemeClr w14:val="tx1"/>
            </w14:solidFill>
          </w14:textFill>
        </w:rPr>
        <w:t xml:space="preserve">五、响应文件的解密与评审</w:t>
      </w:r>
      <w:bookmarkEnd w:id="132"/>
      <w:r>
        <w:rPr>
          <w:highlight w:val="white"/>
        </w:rPr>
      </w:r>
      <w:bookmarkEnd w:id="133"/>
      <w:r>
        <w:rPr>
          <w:highlight w:val="white"/>
        </w:rPr>
      </w:r>
      <w:bookmarkEnd w:id="134"/>
      <w:r>
        <w:rPr>
          <w:highlight w:val="white"/>
        </w:rPr>
      </w:r>
      <w:bookmarkEnd w:id="135"/>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36" w:name="_Toc513029230"/>
      <w:r>
        <w:rPr>
          <w:highlight w:val="white"/>
        </w:rPr>
      </w:r>
      <w:bookmarkStart w:id="137" w:name="_Toc16938546"/>
      <w:r>
        <w:rPr>
          <w:highlight w:val="white"/>
        </w:rPr>
      </w:r>
      <w:bookmarkStart w:id="138" w:name="_Toc20823302"/>
      <w:r>
        <w:rPr>
          <w:rFonts w:hint="eastAsia" w:ascii="宋体" w:hAnsi="宋体" w:cs="宋体"/>
          <w:color w:val="000000" w:themeColor="text1"/>
          <w:szCs w:val="21"/>
          <w:highlight w:val="white"/>
          <w14:textFill>
            <w14:solidFill>
              <w14:schemeClr w14:val="tx1"/>
            </w14:solidFill>
          </w14:textFill>
        </w:rPr>
        <w:t xml:space="preserve">22、</w:t>
      </w:r>
      <w:bookmarkEnd w:id="136"/>
      <w:r>
        <w:rPr>
          <w:highlight w:val="white"/>
        </w:rPr>
      </w:r>
      <w:bookmarkEnd w:id="137"/>
      <w:r>
        <w:rPr>
          <w:highlight w:val="white"/>
        </w:rPr>
      </w:r>
      <w:bookmarkEnd w:id="138"/>
      <w:r>
        <w:rPr>
          <w:rFonts w:hint="eastAsia" w:ascii="宋体" w:hAnsi="宋体" w:cs="宋体"/>
          <w:color w:val="000000" w:themeColor="text1"/>
          <w:szCs w:val="21"/>
          <w:highlight w:val="white"/>
          <w14:textFill>
            <w14:solidFill>
              <w14:schemeClr w14:val="tx1"/>
            </w14:solidFill>
          </w14:textFill>
        </w:rPr>
        <w:t xml:space="preserve">响应文件解密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22.1供应商应当按照《操作手册》规定，在苏采云系统规定的时间内对磋商响应文件进行解密。</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39" w:name="_Toc16938547"/>
      <w:r>
        <w:rPr>
          <w:highlight w:val="white"/>
        </w:rPr>
      </w:r>
      <w:bookmarkStart w:id="140" w:name="_Toc513029231"/>
      <w:r>
        <w:rPr>
          <w:highlight w:val="white"/>
        </w:rPr>
      </w:r>
      <w:bookmarkStart w:id="141" w:name="_Toc20823303"/>
      <w:r>
        <w:rPr>
          <w:rFonts w:hint="eastAsia" w:ascii="宋体" w:hAnsi="宋体" w:cs="宋体"/>
          <w:color w:val="000000" w:themeColor="text1"/>
          <w:szCs w:val="21"/>
          <w:highlight w:val="white"/>
          <w14:textFill>
            <w14:solidFill>
              <w14:schemeClr w14:val="tx1"/>
            </w14:solidFill>
          </w14:textFill>
        </w:rPr>
        <w:t xml:space="preserve">23、磋商小组</w:t>
      </w:r>
      <w:r>
        <w:rPr>
          <w:highlight w:val="white"/>
        </w:rPr>
      </w:r>
      <w:r/>
    </w:p>
    <w:p>
      <w:pPr>
        <w:ind w:firstLine="420"/>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23.1代理机构将组织磋商小组对响应文件进行评审。磋商小组由采购人代表和有关技术、经济等方面的专家组成，且人员构成符合政府采购有关规定。</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23.2磋商小组独立工作，负责评审所有响应文件并确定成交侯选人。</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24、评审过程的保密与公正</w:t>
      </w:r>
      <w:bookmarkEnd w:id="139"/>
      <w:r/>
      <w:bookmarkEnd w:id="140"/>
      <w:r/>
      <w:bookmarkEnd w:id="141"/>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24.1</w:t>
      </w:r>
      <w:r>
        <w:rPr>
          <w:rFonts w:hint="eastAsia" w:ascii="宋体" w:hAnsi="宋体" w:cs="宋体"/>
          <w:bCs/>
          <w:color w:val="000000" w:themeColor="text1"/>
          <w:szCs w:val="21"/>
          <w:highlight w:val="white"/>
          <w14:textFill>
            <w14:solidFill>
              <w14:schemeClr w14:val="tx1"/>
            </w14:solidFill>
          </w14:textFill>
        </w:rPr>
        <w:t xml:space="preserve">磋商小组、采购人和代理机构工作人员、相关监督人员等与评审工作有关的人员，对评审情况以及在评审过程中获悉的国家秘密、商业秘密负有保密责任。</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24.2在评审过程中，供应商不得以任何行为影响磋商评审过程，否则其响应文件将被作为无效响应文件。</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24.3在项目评审期间，代理机构将设专门人员与供应商联系。</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24.4 代理机构和磋商小组不向未成交的供应商解释未成交原因，也不公布评审过程中的相关细节。</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42" w:name="_Toc513029232"/>
      <w:r>
        <w:rPr>
          <w:highlight w:val="white"/>
        </w:rPr>
      </w:r>
      <w:bookmarkStart w:id="143" w:name="_Toc20823304"/>
      <w:r>
        <w:rPr>
          <w:highlight w:val="white"/>
        </w:rPr>
      </w:r>
      <w:bookmarkStart w:id="144" w:name="_Toc16938548"/>
      <w:r>
        <w:rPr>
          <w:rFonts w:hint="eastAsia" w:ascii="宋体" w:hAnsi="宋体" w:cs="宋体"/>
          <w:color w:val="000000" w:themeColor="text1"/>
          <w:szCs w:val="21"/>
          <w:highlight w:val="white"/>
          <w14:textFill>
            <w14:solidFill>
              <w14:schemeClr w14:val="tx1"/>
            </w14:solidFill>
          </w14:textFill>
        </w:rPr>
        <w:t xml:space="preserve">25、评审过程中的的澄清</w:t>
      </w:r>
      <w:bookmarkEnd w:id="142"/>
      <w:r>
        <w:rPr>
          <w:highlight w:val="white"/>
        </w:rPr>
      </w:r>
      <w:bookmarkEnd w:id="143"/>
      <w:r>
        <w:rPr>
          <w:highlight w:val="white"/>
        </w:rPr>
      </w:r>
      <w:bookmarkEnd w:id="144"/>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磋商小组并非对每个供应商都作澄清要求。</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25.3 接到磋商小组澄清、说明和更正要求的供应商如未按规定做出澄清、说明和 更正，其风险由供应商自行承担。</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highlight w:val="white"/>
        </w:rPr>
      </w:r>
      <w:bookmarkStart w:id="145" w:name="_Toc513029233"/>
      <w:r>
        <w:rPr>
          <w:highlight w:val="white"/>
        </w:rPr>
      </w:r>
      <w:bookmarkStart w:id="146" w:name="_Toc20823305"/>
      <w:r>
        <w:rPr>
          <w:highlight w:val="white"/>
        </w:rPr>
      </w:r>
      <w:bookmarkStart w:id="147" w:name="_Toc16938549"/>
      <w:r>
        <w:rPr>
          <w:rFonts w:hint="eastAsia" w:ascii="宋体" w:hAnsi="宋体" w:cs="宋体"/>
          <w:color w:val="000000" w:themeColor="text1"/>
          <w:szCs w:val="21"/>
          <w:highlight w:val="white"/>
          <w14:textFill>
            <w14:solidFill>
              <w14:schemeClr w14:val="tx1"/>
            </w14:solidFill>
          </w14:textFill>
        </w:rPr>
        <w:t xml:space="preserve">26、对响应文件的审</w:t>
      </w:r>
      <w:bookmarkEnd w:id="145"/>
      <w:r>
        <w:rPr>
          <w:highlight w:val="white"/>
        </w:rPr>
      </w:r>
      <w:bookmarkEnd w:id="146"/>
      <w:r>
        <w:rPr>
          <w:highlight w:val="white"/>
        </w:rPr>
      </w:r>
      <w:bookmarkEnd w:id="147"/>
      <w:r>
        <w:rPr>
          <w:rFonts w:hint="eastAsia" w:ascii="宋体" w:hAnsi="宋体" w:cs="宋体"/>
          <w:color w:val="000000" w:themeColor="text1"/>
          <w:szCs w:val="21"/>
          <w:highlight w:val="white"/>
          <w14:textFill>
            <w14:solidFill>
              <w14:schemeClr w14:val="tx1"/>
            </w14:solidFill>
          </w14:textFill>
        </w:rPr>
        <w:t xml:space="preserve">查</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26.1</w:t>
      </w:r>
      <w:r>
        <w:rPr>
          <w:rFonts w:hint="eastAsia" w:ascii="宋体" w:hAnsi="宋体" w:cs="宋体"/>
          <w:bCs/>
          <w:color w:val="000000" w:themeColor="text1"/>
          <w:szCs w:val="21"/>
          <w:highlight w:val="white"/>
          <w14:textFill>
            <w14:solidFill>
              <w14:schemeClr w14:val="tx1"/>
            </w14:solidFill>
          </w14:textFill>
        </w:rPr>
        <w:t xml:space="preserve">响应文件审查分为资格审查和符合性审查。</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26.1.3 未通过资格审查或符合性审查的供应商，磋商小组将在</w:t>
      </w:r>
      <w:r>
        <w:rPr>
          <w:rFonts w:hint="eastAsia" w:ascii="宋体" w:hAnsi="宋体" w:cs="宋体"/>
          <w:color w:val="000000" w:themeColor="text1"/>
          <w:szCs w:val="21"/>
          <w:highlight w:val="white"/>
          <w14:textFill>
            <w14:solidFill>
              <w14:schemeClr w14:val="tx1"/>
            </w14:solidFill>
          </w14:textFill>
        </w:rPr>
        <w:t xml:space="preserve">苏采云系统</w:t>
      </w:r>
      <w:r>
        <w:rPr>
          <w:rFonts w:hint="eastAsia" w:ascii="宋体" w:hAnsi="宋体" w:cs="宋体"/>
          <w:bCs/>
          <w:color w:val="000000" w:themeColor="text1"/>
          <w:szCs w:val="21"/>
          <w:highlight w:val="white"/>
          <w14:textFill>
            <w14:solidFill>
              <w14:schemeClr w14:val="tx1"/>
            </w14:solidFill>
          </w14:textFill>
        </w:rPr>
        <w:t xml:space="preserve">中告知未通过资格审查或符合性审查的原因，评审结束后，磋商小组将不再告知未通过资格审查或符合性审查的原因。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26.3未实质性响应磋商文件的情形</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26.3.1供应商在</w:t>
      </w:r>
      <w:r>
        <w:rPr>
          <w:rFonts w:hint="eastAsia" w:ascii="宋体" w:hAnsi="宋体" w:cs="宋体"/>
          <w:color w:val="000000" w:themeColor="text1"/>
          <w:szCs w:val="21"/>
          <w:highlight w:val="white"/>
          <w14:textFill>
            <w14:solidFill>
              <w14:schemeClr w14:val="tx1"/>
            </w14:solidFill>
          </w14:textFill>
        </w:rPr>
        <w:t xml:space="preserve">苏采云系统</w:t>
      </w:r>
      <w:r>
        <w:rPr>
          <w:rFonts w:hint="eastAsia" w:ascii="宋体" w:hAnsi="宋体" w:cs="宋体"/>
          <w:bCs/>
          <w:color w:val="000000" w:themeColor="text1"/>
          <w:szCs w:val="21"/>
          <w:highlight w:val="white"/>
          <w14:textFill>
            <w14:solidFill>
              <w14:schemeClr w14:val="tx1"/>
            </w14:solidFill>
          </w14:textFill>
        </w:rPr>
        <w:t xml:space="preserve">规定的时间内未成功解密电子响应文件的。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26.3.2供应商未按照磋商文件要求上传电子响应文件的。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26.3.3同一供应商提交两个（含两个）以上不同的响应文件或者最后报价的。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26.3.4供应商不具备磋商文件中规定资格要求的。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26.3.5供应商的最后报价超过了采购预算。</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26.3.6不符合磋商文件中规定的实质性要求和条件的</w:t>
      </w:r>
      <w:r>
        <w:rPr>
          <w:rFonts w:hint="eastAsia" w:ascii="宋体" w:hAnsi="宋体" w:cs="宋体"/>
          <w:bCs/>
          <w:i/>
          <w:color w:val="000000" w:themeColor="text1"/>
          <w:szCs w:val="21"/>
          <w:highlight w:val="white"/>
          <w:u w:val="single"/>
          <w14:textFill>
            <w14:solidFill>
              <w14:schemeClr w14:val="tx1"/>
            </w14:solidFill>
          </w14:textFill>
        </w:rPr>
        <w:t xml:space="preserve">（本磋商文件中斜体且有下划线部分为实质性要求和条件）。</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26.3.8  响应文件含有采购人不能接受的附加条件的。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26.3.10响应文件未按照磋商文件要求加盖CA电子公章的。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26.4未实质性响应磋商文件的响应文件按无效响应处理。</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26.5</w:t>
      </w:r>
      <w:r>
        <w:rPr>
          <w:rFonts w:hint="eastAsia" w:ascii="宋体" w:hAnsi="宋体" w:cs="宋体"/>
          <w:bCs/>
          <w:color w:val="000000" w:themeColor="text1"/>
          <w:szCs w:val="21"/>
          <w:highlight w:val="whit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highlight w:val="white"/>
        </w:rPr>
      </w:r>
      <w:bookmarkStart w:id="148" w:name="_Toc20823306"/>
      <w:r>
        <w:rPr>
          <w:highlight w:val="white"/>
        </w:rPr>
      </w:r>
      <w:bookmarkStart w:id="149" w:name="_Toc513029234"/>
      <w:r>
        <w:rPr>
          <w:highlight w:val="white"/>
        </w:rPr>
      </w:r>
      <w:bookmarkStart w:id="150" w:name="_Toc16938550"/>
      <w:r>
        <w:rPr>
          <w:rFonts w:hint="eastAsia" w:ascii="宋体" w:hAnsi="宋体" w:cs="宋体"/>
          <w:color w:val="000000" w:themeColor="text1"/>
          <w:szCs w:val="21"/>
          <w:highlight w:val="white"/>
          <w14:textFill>
            <w14:solidFill>
              <w14:schemeClr w14:val="tx1"/>
            </w14:solidFill>
          </w14:textFill>
        </w:rPr>
        <w:t xml:space="preserve">26.6供应商在项目评审全过程中应保持通讯畅通，并安排专人与代理机构及磋商小组联系。</w:t>
      </w:r>
      <w:r>
        <w:rPr>
          <w:highlight w:val="white"/>
        </w:rPr>
      </w:r>
      <w:r/>
    </w:p>
    <w:p>
      <w:pPr>
        <w:ind w:firstLine="420"/>
        <w:keepLines/>
        <w:keepNext/>
        <w:spacing w:line="360" w:lineRule="auto"/>
        <w:rPr>
          <w:rFonts w:hint="eastAsia" w:ascii="宋体" w:hAnsi="宋体" w:cs="宋体"/>
          <w:color w:val="000000" w:themeColor="text1"/>
          <w:szCs w:val="21"/>
          <w:highlight w:val="white"/>
          <w14:textFill>
            <w14:solidFill>
              <w14:schemeClr w14:val="tx1"/>
            </w14:solidFill>
          </w14:textFill>
        </w:rPr>
        <w:outlineLvl w:val="3"/>
      </w:pPr>
      <w:r>
        <w:rPr>
          <w:rFonts w:hint="eastAsia" w:ascii="宋体" w:hAnsi="宋体" w:cs="宋体"/>
          <w:color w:val="000000" w:themeColor="text1"/>
          <w:szCs w:val="21"/>
          <w:highlight w:val="white"/>
          <w14:textFill>
            <w14:solidFill>
              <w14:schemeClr w14:val="tx1"/>
            </w14:solidFill>
          </w14:textFill>
        </w:rPr>
        <w:t xml:space="preserve">27、</w:t>
      </w:r>
      <w:bookmarkEnd w:id="148"/>
      <w:r>
        <w:rPr>
          <w:highlight w:val="white"/>
        </w:rPr>
      </w:r>
      <w:bookmarkEnd w:id="149"/>
      <w:r>
        <w:rPr>
          <w:highlight w:val="white"/>
        </w:rPr>
      </w:r>
      <w:bookmarkEnd w:id="150"/>
      <w:r>
        <w:rPr>
          <w:rFonts w:hint="eastAsia" w:ascii="宋体" w:hAnsi="宋体" w:cs="宋体"/>
          <w:color w:val="000000" w:themeColor="text1"/>
          <w:szCs w:val="21"/>
          <w:highlight w:val="white"/>
          <w14:textFill>
            <w14:solidFill>
              <w14:schemeClr w14:val="tx1"/>
            </w14:solidFill>
          </w14:textFill>
        </w:rPr>
        <w:t xml:space="preserve">磋商程序及评审方法和评审标准</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27.1磋商程序</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27.2 评审方法和评审标准</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27.2.2评审标准</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见本磋商文件第五章规定。</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27.3采购活动终止的情况</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出现下列情形之一的，本次竞争性磋商采购活动将被终止：</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27.3.1因情况变化，不再符合规定的竞争性磋商采购方式适用情形的。</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27.3.2出现影响采购公正的违法、违规行为的。</w:t>
      </w:r>
      <w:r>
        <w:rPr>
          <w:highlight w:val="white"/>
        </w:rPr>
      </w:r>
      <w:r/>
    </w:p>
    <w:p>
      <w:pPr>
        <w:ind w:firstLine="420"/>
        <w:spacing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rPr>
          <w:highlight w:val="white"/>
        </w:rPr>
      </w:r>
      <w:r/>
    </w:p>
    <w:p>
      <w:pPr>
        <w:ind w:firstLine="420"/>
        <w:spacing w:line="360" w:lineRule="auto"/>
        <w:tabs>
          <w:tab w:val="left" w:pos="900" w:leader="none"/>
        </w:tabs>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27.3.4在苏采云系统规定时间内成功解密电子响应文件的供应商不足3家的。</w:t>
      </w:r>
      <w:r>
        <w:rPr>
          <w:highlight w:val="white"/>
        </w:rPr>
      </w:r>
      <w:r/>
    </w:p>
    <w:p>
      <w:pPr>
        <w:ind w:firstLine="420"/>
        <w:spacing w:line="360" w:lineRule="auto"/>
        <w:tabs>
          <w:tab w:val="left" w:pos="900" w:leader="none"/>
        </w:tabs>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27.4 异常低价投标（响应）</w:t>
      </w:r>
      <w:r>
        <w:rPr>
          <w:highlight w:val="white"/>
        </w:rPr>
      </w:r>
      <w:r/>
    </w:p>
    <w:p>
      <w:pPr>
        <w:ind w:firstLine="420"/>
        <w:spacing w:line="360" w:lineRule="auto"/>
        <w:tabs>
          <w:tab w:val="left" w:pos="900" w:leader="none"/>
        </w:tabs>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27.4.1投标（响应）报价低于</w:t>
      </w:r>
      <w:r>
        <w:rPr>
          <w:rFonts w:hint="eastAsia" w:ascii="宋体" w:hAnsi="宋体" w:cs="宋体"/>
          <w:b/>
          <w:bCs/>
          <w:color w:val="000000" w:themeColor="text1"/>
          <w:szCs w:val="21"/>
          <w:highlight w:val="white"/>
          <w:lang w:val="en-US" w:eastAsia="zh-CN"/>
          <w14:textFill>
            <w14:solidFill>
              <w14:schemeClr w14:val="tx1"/>
            </w14:solidFill>
          </w14:textFill>
        </w:rPr>
        <w:t xml:space="preserve">全部通过符合性审查供应商投标（响应）报价平均值</w:t>
      </w:r>
      <w:r>
        <w:rPr>
          <w:rFonts w:hint="eastAsia" w:ascii="宋体" w:hAnsi="宋体" w:cs="宋体"/>
          <w:b/>
          <w:bCs/>
          <w:color w:val="000000" w:themeColor="text1"/>
          <w:szCs w:val="21"/>
          <w:highlight w:val="white"/>
          <w14:textFill>
            <w14:solidFill>
              <w14:schemeClr w14:val="tx1"/>
            </w14:solidFill>
          </w14:textFill>
        </w:rPr>
        <w:t xml:space="preserve"> 50% 的，即投标（响应）报价&lt;</w:t>
      </w:r>
      <w:r>
        <w:rPr>
          <w:rFonts w:hint="eastAsia" w:ascii="宋体" w:hAnsi="宋体" w:cs="宋体"/>
          <w:b/>
          <w:bCs/>
          <w:color w:val="000000" w:themeColor="text1"/>
          <w:szCs w:val="21"/>
          <w:highlight w:val="white"/>
          <w:lang w:val="en-US" w:eastAsia="zh-CN"/>
          <w14:textFill>
            <w14:solidFill>
              <w14:schemeClr w14:val="tx1"/>
            </w14:solidFill>
          </w14:textFill>
        </w:rPr>
        <w:t xml:space="preserve">全部通过符合性审查供应商投标（响应）报价平均值</w:t>
      </w:r>
      <w:r>
        <w:rPr>
          <w:rFonts w:hint="eastAsia" w:ascii="宋体" w:hAnsi="宋体" w:cs="宋体"/>
          <w:b/>
          <w:bCs/>
          <w:color w:val="000000" w:themeColor="text1"/>
          <w:szCs w:val="21"/>
          <w:highlight w:val="white"/>
          <w14:textFill>
            <w14:solidFill>
              <w14:schemeClr w14:val="tx1"/>
            </w14:solidFill>
          </w14:textFill>
        </w:rPr>
        <w:t xml:space="preserve">×50% ；</w:t>
      </w:r>
      <w:r>
        <w:rPr>
          <w:highlight w:val="white"/>
        </w:rPr>
      </w:r>
      <w:r/>
    </w:p>
    <w:p>
      <w:pPr>
        <w:ind w:firstLine="420"/>
        <w:spacing w:line="360" w:lineRule="auto"/>
        <w:tabs>
          <w:tab w:val="left" w:pos="900" w:leader="none"/>
        </w:tabs>
        <w:rPr>
          <w:b/>
          <w:bCs/>
          <w:highlight w:val="white"/>
        </w:rPr>
      </w:pPr>
      <w:r>
        <w:rPr>
          <w:rFonts w:hint="eastAsia" w:ascii="宋体" w:hAnsi="宋体" w:cs="宋体"/>
          <w:b/>
          <w:bCs/>
          <w:color w:val="000000" w:themeColor="text1"/>
          <w:szCs w:val="21"/>
          <w:highlight w:val="white"/>
          <w14:textFill>
            <w14:solidFill>
              <w14:schemeClr w14:val="tx1"/>
            </w14:solidFill>
          </w14:textFill>
        </w:rPr>
        <w:t xml:space="preserve">27.4.</w:t>
      </w:r>
      <w:r>
        <w:rPr>
          <w:rFonts w:hint="eastAsia" w:ascii="宋体" w:hAnsi="宋体" w:cs="宋体"/>
          <w:b/>
          <w:bCs/>
          <w:color w:val="000000" w:themeColor="text1"/>
          <w:szCs w:val="21"/>
          <w:highlight w:val="white"/>
          <w:lang w:val="en-US" w:eastAsia="zh-CN"/>
          <w14:textFill>
            <w14:solidFill>
              <w14:schemeClr w14:val="tx1"/>
            </w14:solidFill>
          </w14:textFill>
        </w:rPr>
        <w:t xml:space="preserve">2</w:t>
      </w:r>
      <w:r>
        <w:rPr>
          <w:rFonts w:hint="eastAsia" w:ascii="宋体" w:hAnsi="宋体" w:cs="宋体"/>
          <w:b/>
          <w:bCs/>
          <w:color w:val="000000" w:themeColor="text1"/>
          <w:szCs w:val="21"/>
          <w:highlight w:val="white"/>
          <w14:textFill>
            <w14:solidFill>
              <w14:schemeClr w14:val="tx1"/>
            </w14:solidFill>
          </w14:textFill>
        </w:rPr>
        <w:t xml:space="preserve">投标（响应）报价低于</w:t>
      </w:r>
      <w:r>
        <w:rPr>
          <w:rFonts w:hint="eastAsia" w:ascii="宋体" w:hAnsi="宋体" w:cs="宋体"/>
          <w:b/>
          <w:bCs/>
          <w:color w:val="000000" w:themeColor="text1"/>
          <w:szCs w:val="21"/>
          <w:highlight w:val="white"/>
          <w:lang w:val="en-US" w:eastAsia="zh-CN"/>
          <w14:textFill>
            <w14:solidFill>
              <w14:schemeClr w14:val="tx1"/>
            </w14:solidFill>
          </w14:textFill>
        </w:rPr>
        <w:t xml:space="preserve">通过符合性审查的次低供应商投标（响应）报价</w:t>
      </w:r>
      <w:r>
        <w:rPr>
          <w:rFonts w:hint="eastAsia" w:ascii="宋体" w:hAnsi="宋体" w:cs="宋体"/>
          <w:b/>
          <w:bCs/>
          <w:color w:val="000000" w:themeColor="text1"/>
          <w:szCs w:val="21"/>
          <w:highlight w:val="white"/>
          <w14:textFill>
            <w14:solidFill>
              <w14:schemeClr w14:val="tx1"/>
            </w14:solidFill>
          </w14:textFill>
        </w:rPr>
        <w:t xml:space="preserve"> 50% 的，即投标（响应）报价&lt;</w:t>
      </w:r>
      <w:r>
        <w:rPr>
          <w:rFonts w:hint="eastAsia" w:ascii="宋体" w:hAnsi="宋体" w:cs="宋体"/>
          <w:b/>
          <w:bCs/>
          <w:color w:val="000000" w:themeColor="text1"/>
          <w:szCs w:val="21"/>
          <w:highlight w:val="white"/>
          <w:lang w:val="en-US" w:eastAsia="zh-CN"/>
          <w14:textFill>
            <w14:solidFill>
              <w14:schemeClr w14:val="tx1"/>
            </w14:solidFill>
          </w14:textFill>
        </w:rPr>
        <w:t xml:space="preserve">通过符合性审查的次低供应商投标（响应）报价</w:t>
      </w:r>
      <w:r>
        <w:rPr>
          <w:rFonts w:hint="eastAsia" w:ascii="宋体" w:hAnsi="宋体" w:cs="宋体"/>
          <w:b/>
          <w:bCs/>
          <w:color w:val="000000" w:themeColor="text1"/>
          <w:szCs w:val="21"/>
          <w:highlight w:val="white"/>
          <w14:textFill>
            <w14:solidFill>
              <w14:schemeClr w14:val="tx1"/>
            </w14:solidFill>
          </w14:textFill>
        </w:rPr>
        <w:t xml:space="preserve">×50% ；</w:t>
      </w:r>
      <w:r>
        <w:rPr>
          <w:highlight w:val="white"/>
        </w:rPr>
      </w:r>
      <w:r/>
    </w:p>
    <w:p>
      <w:pPr>
        <w:ind w:firstLine="420"/>
        <w:spacing w:line="360" w:lineRule="auto"/>
        <w:tabs>
          <w:tab w:val="left" w:pos="900" w:leader="none"/>
        </w:tabs>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27.4.</w:t>
      </w:r>
      <w:r>
        <w:rPr>
          <w:rFonts w:hint="eastAsia" w:ascii="宋体" w:hAnsi="宋体" w:cs="宋体"/>
          <w:b/>
          <w:bCs/>
          <w:color w:val="000000" w:themeColor="text1"/>
          <w:szCs w:val="21"/>
          <w:highlight w:val="white"/>
          <w:lang w:val="en-US" w:eastAsia="zh-CN"/>
          <w14:textFill>
            <w14:solidFill>
              <w14:schemeClr w14:val="tx1"/>
            </w14:solidFill>
          </w14:textFill>
        </w:rPr>
        <w:t xml:space="preserve">3</w:t>
      </w:r>
      <w:r>
        <w:rPr>
          <w:rFonts w:hint="eastAsia" w:ascii="宋体" w:hAnsi="宋体" w:cs="宋体"/>
          <w:b/>
          <w:bCs/>
          <w:color w:val="000000" w:themeColor="text1"/>
          <w:szCs w:val="21"/>
          <w:highlight w:val="white"/>
          <w14:textFill>
            <w14:solidFill>
              <w14:schemeClr w14:val="tx1"/>
            </w14:solidFill>
          </w14:textFill>
        </w:rPr>
        <w:t xml:space="preserve">投标（响应）报价低于采购项目最高限价</w:t>
      </w:r>
      <w:r>
        <w:rPr>
          <w:rFonts w:hint="eastAsia" w:ascii="宋体" w:hAnsi="宋体" w:cs="宋体"/>
          <w:b/>
          <w:bCs/>
          <w:color w:val="000000" w:themeColor="text1"/>
          <w:szCs w:val="21"/>
          <w:highlight w:val="white"/>
          <w:lang w:val="en-US" w:eastAsia="zh-CN"/>
          <w14:textFill>
            <w14:solidFill>
              <w14:schemeClr w14:val="tx1"/>
            </w14:solidFill>
          </w14:textFill>
        </w:rPr>
        <w:t xml:space="preserve">6</w:t>
      </w:r>
      <w:r>
        <w:rPr>
          <w:rFonts w:hint="eastAsia" w:ascii="宋体" w:hAnsi="宋体" w:cs="宋体"/>
          <w:b/>
          <w:bCs/>
          <w:color w:val="000000" w:themeColor="text1"/>
          <w:szCs w:val="21"/>
          <w:highlight w:val="white"/>
          <w14:textFill>
            <w14:solidFill>
              <w14:schemeClr w14:val="tx1"/>
            </w14:solidFill>
          </w14:textFill>
        </w:rPr>
        <w:t xml:space="preserve">5%</w:t>
      </w:r>
      <w:r>
        <w:rPr>
          <w:rFonts w:hint="eastAsia" w:ascii="宋体" w:hAnsi="宋体" w:cs="宋体"/>
          <w:b/>
          <w:bCs/>
          <w:color w:val="000000" w:themeColor="text1"/>
          <w:szCs w:val="21"/>
          <w:highlight w:val="white"/>
          <w:lang w:val="en-US" w:eastAsia="zh-CN"/>
          <w14:textFill>
            <w14:solidFill>
              <w14:schemeClr w14:val="tx1"/>
            </w14:solidFill>
          </w14:textFill>
        </w:rPr>
        <w:t xml:space="preserve"> </w:t>
      </w:r>
      <w:r>
        <w:rPr>
          <w:rFonts w:hint="eastAsia" w:ascii="宋体" w:hAnsi="宋体" w:cs="宋体"/>
          <w:b/>
          <w:bCs/>
          <w:color w:val="000000" w:themeColor="text1"/>
          <w:szCs w:val="21"/>
          <w:highlight w:val="white"/>
          <w14:textFill>
            <w14:solidFill>
              <w14:schemeClr w14:val="tx1"/>
            </w14:solidFill>
          </w14:textFill>
        </w:rPr>
        <w:t xml:space="preserve">的，即投标（响应）报价&lt;采购项目最高限价×65% ；</w:t>
      </w:r>
      <w:r>
        <w:rPr>
          <w:highlight w:val="white"/>
        </w:rPr>
      </w:r>
      <w:r/>
    </w:p>
    <w:p>
      <w:pPr>
        <w:ind w:firstLine="420"/>
        <w:spacing w:line="360" w:lineRule="auto"/>
        <w:tabs>
          <w:tab w:val="left" w:pos="900" w:leader="none"/>
        </w:tabs>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27.4.</w:t>
      </w:r>
      <w:r>
        <w:rPr>
          <w:rFonts w:hint="eastAsia" w:ascii="宋体" w:hAnsi="宋体" w:cs="宋体"/>
          <w:b/>
          <w:bCs/>
          <w:color w:val="000000" w:themeColor="text1"/>
          <w:szCs w:val="21"/>
          <w:highlight w:val="white"/>
          <w:lang w:val="en-US" w:eastAsia="zh-CN"/>
          <w14:textFill>
            <w14:solidFill>
              <w14:schemeClr w14:val="tx1"/>
            </w14:solidFill>
          </w14:textFill>
        </w:rPr>
        <w:t xml:space="preserve">4</w:t>
      </w:r>
      <w:r>
        <w:rPr>
          <w:rFonts w:hint="eastAsia" w:ascii="宋体" w:hAnsi="宋体" w:cs="宋体"/>
          <w:b/>
          <w:bCs/>
          <w:color w:val="000000" w:themeColor="text1"/>
          <w:szCs w:val="21"/>
          <w:highlight w:val="white"/>
          <w14:textFill>
            <w14:solidFill>
              <w14:schemeClr w14:val="tx1"/>
            </w14:solidFill>
          </w14:textFill>
        </w:rPr>
        <w:t xml:space="preserve">评审委员会认定的供应商报价过低、有可能影响产品质量或者不能诚信履约的其他情形。</w:t>
      </w:r>
      <w:r>
        <w:rPr>
          <w:highlight w:val="white"/>
        </w:rPr>
      </w:r>
      <w:r/>
    </w:p>
    <w:p>
      <w:pPr>
        <w:ind w:firstLine="420"/>
        <w:spacing w:line="360" w:lineRule="auto"/>
        <w:tabs>
          <w:tab w:val="left" w:pos="900" w:leader="none"/>
        </w:tabs>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27.4.</w:t>
      </w:r>
      <w:r>
        <w:rPr>
          <w:rFonts w:hint="eastAsia" w:ascii="宋体" w:hAnsi="宋体" w:cs="宋体"/>
          <w:b/>
          <w:bCs/>
          <w:color w:val="000000" w:themeColor="text1"/>
          <w:szCs w:val="21"/>
          <w:highlight w:val="white"/>
          <w:lang w:val="en-US" w:eastAsia="zh-CN"/>
          <w14:textFill>
            <w14:solidFill>
              <w14:schemeClr w14:val="tx1"/>
            </w14:solidFill>
          </w14:textFill>
        </w:rPr>
        <w:t xml:space="preserve">5</w:t>
      </w:r>
      <w:r>
        <w:rPr>
          <w:rFonts w:hint="eastAsia" w:ascii="宋体" w:hAnsi="宋体" w:cs="宋体"/>
          <w:b/>
          <w:bCs/>
          <w:color w:val="000000" w:themeColor="text1"/>
          <w:szCs w:val="21"/>
          <w:highlight w:val="whit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ind w:firstLine="422"/>
        <w:keepLines/>
        <w:keepNext/>
        <w:spacing w:before="156" w:after="156"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151" w:name="_Toc16938551"/>
      <w:r>
        <w:rPr>
          <w:highlight w:val="white"/>
        </w:rPr>
      </w:r>
      <w:bookmarkStart w:id="152" w:name="_Toc120614219"/>
      <w:r>
        <w:rPr>
          <w:highlight w:val="white"/>
        </w:rPr>
      </w:r>
      <w:bookmarkStart w:id="153" w:name="_Toc20823307"/>
      <w:r>
        <w:rPr>
          <w:highlight w:val="white"/>
        </w:rPr>
      </w:r>
      <w:bookmarkStart w:id="154" w:name="_Toc513029235"/>
      <w:r>
        <w:rPr>
          <w:rFonts w:hint="eastAsia" w:ascii="宋体" w:hAnsi="宋体" w:cs="宋体"/>
          <w:b/>
          <w:bCs/>
          <w:color w:val="000000" w:themeColor="text1"/>
          <w:szCs w:val="21"/>
          <w:highlight w:val="white"/>
          <w14:textFill>
            <w14:solidFill>
              <w14:schemeClr w14:val="tx1"/>
            </w14:solidFill>
          </w14:textFill>
        </w:rPr>
        <w:t xml:space="preserve">六、</w:t>
      </w:r>
      <w:bookmarkEnd w:id="151"/>
      <w:r>
        <w:rPr>
          <w:highlight w:val="white"/>
        </w:rPr>
      </w:r>
      <w:bookmarkEnd w:id="152"/>
      <w:r>
        <w:rPr>
          <w:highlight w:val="white"/>
        </w:rPr>
      </w:r>
      <w:bookmarkEnd w:id="153"/>
      <w:r>
        <w:rPr>
          <w:highlight w:val="white"/>
        </w:rPr>
      </w:r>
      <w:bookmarkEnd w:id="154"/>
      <w:r>
        <w:rPr>
          <w:rFonts w:hint="eastAsia" w:ascii="宋体" w:hAnsi="宋体" w:cs="宋体"/>
          <w:b/>
          <w:bCs/>
          <w:color w:val="000000" w:themeColor="text1"/>
          <w:szCs w:val="21"/>
          <w:highlight w:val="white"/>
          <w14:textFill>
            <w14:solidFill>
              <w14:schemeClr w14:val="tx1"/>
            </w14:solidFill>
          </w14:textFill>
        </w:rPr>
        <w:t xml:space="preserve">成交</w:t>
      </w:r>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highlight w:val="white"/>
        </w:rPr>
      </w:r>
      <w:bookmarkStart w:id="155" w:name="_Toc513029238"/>
      <w:r>
        <w:rPr>
          <w:highlight w:val="white"/>
        </w:rPr>
      </w:r>
      <w:bookmarkStart w:id="156" w:name="_Toc16938554"/>
      <w:r>
        <w:rPr>
          <w:highlight w:val="white"/>
        </w:rPr>
      </w:r>
      <w:bookmarkStart w:id="157" w:name="_Toc20823310"/>
      <w:r>
        <w:rPr>
          <w:rFonts w:hint="eastAsia" w:ascii="宋体" w:hAnsi="宋体" w:cs="宋体"/>
          <w:bCs/>
          <w:color w:val="000000" w:themeColor="text1"/>
          <w:szCs w:val="21"/>
          <w:highlight w:val="white"/>
          <w14:textFill>
            <w14:solidFill>
              <w14:schemeClr w14:val="tx1"/>
            </w14:solidFill>
          </w14:textFill>
        </w:rPr>
        <w:t xml:space="preserve">28、</w:t>
      </w:r>
      <w:bookmarkEnd w:id="155"/>
      <w:r>
        <w:rPr>
          <w:rFonts w:hint="eastAsia" w:ascii="宋体" w:hAnsi="宋体" w:cs="宋体"/>
          <w:bCs/>
          <w:color w:val="000000" w:themeColor="text1"/>
          <w:szCs w:val="21"/>
          <w:highlight w:val="white"/>
          <w14:textFill>
            <w14:solidFill>
              <w14:schemeClr w14:val="tx1"/>
            </w14:solidFill>
          </w14:textFill>
        </w:rPr>
        <w:t xml:space="preserve">确定</w:t>
      </w:r>
      <w:bookmarkEnd w:id="156"/>
      <w:r>
        <w:rPr>
          <w:highlight w:val="white"/>
        </w:rPr>
      </w:r>
      <w:bookmarkEnd w:id="157"/>
      <w:r>
        <w:rPr>
          <w:rFonts w:hint="eastAsia" w:ascii="宋体" w:hAnsi="宋体" w:cs="宋体"/>
          <w:bCs/>
          <w:color w:val="000000" w:themeColor="text1"/>
          <w:szCs w:val="21"/>
          <w:highlight w:val="white"/>
          <w14:textFill>
            <w14:solidFill>
              <w14:schemeClr w14:val="tx1"/>
            </w14:solidFill>
          </w14:textFill>
        </w:rPr>
        <w:t xml:space="preserve">成交单位</w:t>
      </w:r>
      <w:r>
        <w:rPr>
          <w:highlight w:val="white"/>
        </w:rPr>
      </w:r>
      <w:r/>
    </w:p>
    <w:p>
      <w:pPr>
        <w:ind w:firstLine="418"/>
        <w:spacing w:after="156" w:line="360" w:lineRule="auto"/>
        <w:tabs>
          <w:tab w:val="left" w:pos="90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28.1</w:t>
      </w:r>
      <w:r>
        <w:rPr>
          <w:rFonts w:hint="eastAsia" w:ascii="宋体" w:hAnsi="宋体" w:cs="宋体"/>
          <w:color w:val="000000" w:themeColor="text1"/>
          <w:szCs w:val="21"/>
          <w:highlight w:val="whit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28.2采购人从评审报告提出的成交候选供应商中，按照排序由高到低的原则确定成交供应商。采购人确定成交供应商后，代理机构将在“扬州市政府采购网”、“江苏省政府采购网”发布成交结果公告，公告期限为1个工作日。</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28.3若有充分证据证明，成交供应商出现下列情况之一的，一经查实，将被取消成交资格：</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28.3.1提供虚假材料谋取成交的。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28.3.2与评审专家、采购人、其他供应商或者代理机构工作人员恶意串通的。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28.3.3向评审专家、采购人或代理机构工作人员行贿或者提供其他不正当利益的。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28.3.4恶意竞争，最后报价明显低于其自身合理成本且又无法提供证明的。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28.3.5不满足本磋商文件规定的实质性要求，但在评审过程中又未被磋商小组发现的。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28.3.6成交后无正当理由拒不与采购人签订政府采购合同或者未按照磋商文件确定的事项签订政府采购合同的。</w:t>
      </w:r>
      <w:r>
        <w:rPr>
          <w:highlight w:val="white"/>
        </w:rPr>
      </w:r>
      <w:r/>
    </w:p>
    <w:p>
      <w:pPr>
        <w:ind w:firstLine="420"/>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28.3.7将政府采购合同转包的。</w:t>
      </w:r>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highlight w:val="white"/>
        </w:rPr>
      </w:r>
      <w:bookmarkStart w:id="158" w:name="_Toc200451960"/>
      <w:r>
        <w:rPr>
          <w:rFonts w:hint="eastAsia" w:ascii="宋体" w:hAnsi="宋体" w:cs="宋体"/>
          <w:bCs/>
          <w:color w:val="000000" w:themeColor="text1"/>
          <w:szCs w:val="21"/>
          <w:highlight w:val="white"/>
          <w14:textFill>
            <w14:solidFill>
              <w14:schemeClr w14:val="tx1"/>
            </w14:solidFill>
          </w14:textFill>
        </w:rPr>
        <w:t xml:space="preserve">29、质疑处理</w:t>
      </w:r>
      <w:bookmarkEnd w:id="158"/>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29.2.1对可以质疑的采购文件提出质疑的，为收到采购文件之日或者采购文件公告期限届满之日。</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29.2.2对采购过程提出质疑的，为各采购程序环节结束之日。</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29.2.3对成交结果提出质疑的，为成交结果公告期限届满之日。</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29.4.1 采购人只接收以纸质原件形式送达的质疑。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采购人质疑接收人及联系方式见采购文件第一章。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29.4.2收到质疑申请后，将对质疑的形式和内容进行审查，如质疑内容、格式不符合规定，将告知质疑人进行补正。</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29.4.3质疑人应当在法定质疑期限内进行补正并重新提交质疑函。</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 以下情形的质疑不予受理</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29.5.1 内容不符合《政府采购质疑和投诉办法》第十二条规定的质疑。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29.5.2 超出政府采购法定期限的质疑。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29.5.3 以传真、电子邮件等方式递交的非原件形式的质疑。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29.5.4未参加磋商活动的供应商或在磋商活动中自身权益未受到损害的供应商所提出的质疑。</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29.5.5供应商组成联合体参加磋商，联合体中任何一方或多方未按要求签字、盖章、加盖公章的质疑。</w:t>
      </w:r>
      <w:r>
        <w:rPr>
          <w:highlight w:val="white"/>
        </w:rPr>
      </w:r>
      <w:r/>
    </w:p>
    <w:p>
      <w:pPr>
        <w:ind w:firstLine="409"/>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rFonts w:hint="eastAsia" w:ascii="宋体" w:hAnsi="宋体" w:cs="宋体"/>
          <w:bCs/>
          <w:color w:val="000000" w:themeColor="text1"/>
          <w:szCs w:val="21"/>
          <w:highlight w:val="white"/>
          <w14:textFill>
            <w14:solidFill>
              <w14:schemeClr w14:val="tx1"/>
            </w14:solidFill>
          </w14:textFill>
        </w:rPr>
        <w:t xml:space="preserve">30、成交通知书</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keepLines/>
        <w:keepNext/>
        <w:spacing w:line="360" w:lineRule="auto"/>
        <w:rPr>
          <w:rFonts w:hint="eastAsia" w:ascii="宋体" w:hAnsi="宋体" w:cs="宋体"/>
          <w:b/>
          <w:bCs/>
          <w:color w:val="000000" w:themeColor="text1"/>
          <w:szCs w:val="21"/>
          <w:highlight w:val="white"/>
          <w14:textFill>
            <w14:solidFill>
              <w14:schemeClr w14:val="tx1"/>
            </w14:solidFill>
          </w14:textFill>
        </w:rPr>
        <w:outlineLvl w:val="2"/>
      </w:pPr>
      <w:r>
        <w:rPr>
          <w:highlight w:val="white"/>
        </w:rPr>
      </w:r>
      <w:bookmarkStart w:id="159" w:name="_Toc120614220"/>
      <w:r>
        <w:rPr>
          <w:highlight w:val="white"/>
        </w:rPr>
      </w:r>
      <w:bookmarkStart w:id="160" w:name="_Toc16938552"/>
      <w:r>
        <w:rPr>
          <w:highlight w:val="white"/>
        </w:rPr>
      </w:r>
      <w:bookmarkStart w:id="161" w:name="_Toc20823308"/>
      <w:r>
        <w:rPr>
          <w:highlight w:val="white"/>
        </w:rPr>
      </w:r>
      <w:bookmarkStart w:id="162" w:name="_Toc513029236"/>
      <w:r>
        <w:rPr>
          <w:rFonts w:hint="eastAsia" w:ascii="宋体" w:hAnsi="宋体" w:cs="宋体"/>
          <w:b/>
          <w:bCs/>
          <w:color w:val="000000" w:themeColor="text1"/>
          <w:szCs w:val="21"/>
          <w:highlight w:val="white"/>
          <w14:textFill>
            <w14:solidFill>
              <w14:schemeClr w14:val="tx1"/>
            </w14:solidFill>
          </w14:textFill>
        </w:rPr>
        <w:t xml:space="preserve">七、授予合同</w:t>
      </w:r>
      <w:bookmarkEnd w:id="159"/>
      <w:r>
        <w:rPr>
          <w:highlight w:val="white"/>
        </w:rPr>
      </w:r>
      <w:bookmarkEnd w:id="160"/>
      <w:r/>
      <w:bookmarkEnd w:id="161"/>
      <w:r/>
      <w:bookmarkEnd w:id="162"/>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highlight w:val="white"/>
        </w:rPr>
      </w:r>
      <w:bookmarkStart w:id="163" w:name="_Toc513029237"/>
      <w:r>
        <w:rPr>
          <w:highlight w:val="white"/>
        </w:rPr>
      </w:r>
      <w:bookmarkStart w:id="164" w:name="_Toc16938553"/>
      <w:r>
        <w:rPr>
          <w:highlight w:val="white"/>
        </w:rPr>
      </w:r>
      <w:bookmarkStart w:id="165" w:name="_Toc20823309"/>
      <w:r>
        <w:rPr>
          <w:rFonts w:hint="eastAsia" w:ascii="宋体" w:hAnsi="宋体" w:cs="宋体"/>
          <w:bCs/>
          <w:color w:val="000000" w:themeColor="text1"/>
          <w:szCs w:val="21"/>
          <w:highlight w:val="white"/>
          <w14:textFill>
            <w14:solidFill>
              <w14:schemeClr w14:val="tx1"/>
            </w14:solidFill>
          </w14:textFill>
        </w:rPr>
        <w:t xml:space="preserve">31. 签订合同</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31</w:t>
      </w:r>
      <w:r>
        <w:rPr>
          <w:rFonts w:hint="eastAsia" w:ascii="宋体" w:hAnsi="宋体" w:cs="宋体"/>
          <w:color w:val="000000" w:themeColor="text1"/>
          <w:szCs w:val="21"/>
          <w:highlight w:val="white"/>
          <w14:textFill>
            <w14:solidFill>
              <w14:schemeClr w14:val="tx1"/>
            </w14:solidFill>
          </w14:textFill>
        </w:rPr>
        <w:t xml:space="preserve">.l成交供应商应当在成交通知书发出之日起十五日内，按照磋商文件确定的事项与采购人签订政府采购合同。</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31.2磋商文件、成交供应商的响应文件及磋商过程中有关澄清、承诺文件均应作为合同附件。</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31.3 签订合同后，</w:t>
      </w:r>
      <w:r>
        <w:rPr>
          <w:rFonts w:hint="eastAsia" w:ascii="宋体" w:hAnsi="宋体" w:cs="宋体"/>
          <w:i/>
          <w:color w:val="000000" w:themeColor="text1"/>
          <w:szCs w:val="21"/>
          <w:highlight w:val="white"/>
          <w:u w:val="single"/>
          <w14:textFill>
            <w14:solidFill>
              <w14:schemeClr w14:val="tx1"/>
            </w14:solidFill>
          </w14:textFill>
        </w:rPr>
        <w:t xml:space="preserve">成交供应商不得将合同标的进行转包</w:t>
      </w:r>
      <w:r>
        <w:rPr>
          <w:rFonts w:hint="eastAsia" w:ascii="宋体" w:hAnsi="宋体" w:cs="宋体"/>
          <w:i/>
          <w:color w:val="000000" w:themeColor="text1"/>
          <w:szCs w:val="21"/>
          <w:highlight w:val="white"/>
          <w:u w:val="single"/>
          <w:lang w:val="en-US" w:eastAsia="zh-CN"/>
          <w14:textFill>
            <w14:solidFill>
              <w14:schemeClr w14:val="tx1"/>
            </w14:solidFill>
          </w14:textFill>
        </w:rPr>
        <w:t xml:space="preserve">或分包</w:t>
      </w: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rFonts w:hint="eastAsia" w:ascii="宋体" w:hAnsi="宋体" w:cs="宋体"/>
          <w:bCs/>
          <w:color w:val="000000" w:themeColor="text1"/>
          <w:szCs w:val="21"/>
          <w:highlight w:val="white"/>
          <w14:textFill>
            <w14:solidFill>
              <w14:schemeClr w14:val="tx1"/>
            </w14:solidFill>
          </w14:textFill>
        </w:rPr>
        <w:t xml:space="preserve">32、标的物的追加</w:t>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Pr>
          <w:highlight w:val="white"/>
        </w:rPr>
      </w:r>
      <w:r/>
    </w:p>
    <w:p>
      <w:pPr>
        <w:ind w:firstLine="420"/>
        <w:keepLines/>
        <w:keepNext/>
        <w:spacing w:line="360" w:lineRule="auto"/>
        <w:rPr>
          <w:rFonts w:hint="eastAsia" w:ascii="宋体" w:hAnsi="宋体" w:cs="宋体"/>
          <w:bCs/>
          <w:color w:val="000000" w:themeColor="text1"/>
          <w:szCs w:val="21"/>
          <w:highlight w:val="white"/>
          <w14:textFill>
            <w14:solidFill>
              <w14:schemeClr w14:val="tx1"/>
            </w14:solidFill>
          </w14:textFill>
        </w:rPr>
        <w:outlineLvl w:val="3"/>
      </w:pPr>
      <w:r>
        <w:rPr>
          <w:highlight w:val="white"/>
        </w:rPr>
      </w:r>
      <w:bookmarkStart w:id="166" w:name="_Toc120614221"/>
      <w:r>
        <w:rPr>
          <w:highlight w:val="white"/>
        </w:rPr>
      </w:r>
      <w:bookmarkStart w:id="167" w:name="_Toc513029242"/>
      <w:r>
        <w:rPr>
          <w:highlight w:val="white"/>
        </w:rPr>
      </w:r>
      <w:bookmarkStart w:id="168" w:name="_Toc479757207"/>
      <w:r>
        <w:rPr>
          <w:highlight w:val="white"/>
        </w:rPr>
      </w:r>
      <w:bookmarkStart w:id="169" w:name="_Toc16938558"/>
      <w:r>
        <w:rPr>
          <w:highlight w:val="white"/>
        </w:rPr>
      </w:r>
      <w:bookmarkStart w:id="170" w:name="_Toc20823314"/>
      <w:r>
        <w:rPr>
          <w:rFonts w:hint="eastAsia" w:ascii="宋体" w:hAnsi="宋体" w:cs="宋体"/>
          <w:bCs/>
          <w:color w:val="000000" w:themeColor="text1"/>
          <w:szCs w:val="21"/>
          <w:highlight w:val="white"/>
          <w14:textFill>
            <w14:solidFill>
              <w14:schemeClr w14:val="tx1"/>
            </w14:solidFill>
          </w14:textFill>
        </w:rPr>
        <w:t xml:space="preserve">33、政府采购履约资金扶持政策</w:t>
      </w:r>
      <w:r>
        <w:rPr>
          <w:highlight w:val="white"/>
        </w:rPr>
      </w:r>
      <w:r/>
    </w:p>
    <w:p>
      <w:pPr>
        <w:ind w:firstLine="420"/>
        <w:rPr>
          <w:rFonts w:hint="eastAsia"/>
          <w:color w:val="000000" w:themeColor="text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成交供应商可凭政府采购合同办理融资贷款，详情请见江苏政府采购网“政采贷”专栏。</w:t>
      </w:r>
      <w:r>
        <w:rPr>
          <w:highlight w:val="white"/>
        </w:rPr>
      </w:r>
      <w:r/>
    </w:p>
    <w:p>
      <w:pPr>
        <w:pStyle w:val="1149"/>
        <w:jc w:val="center"/>
        <w:spacing w:line="360" w:lineRule="auto"/>
        <w:rPr>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left"/>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rFonts w:hint="eastAsia"/>
          <w:color w:val="000000" w:themeColor="text1"/>
          <w:highlight w:val="white"/>
          <w14:textFill>
            <w14:solidFill>
              <w14:schemeClr w14:val="tx1"/>
            </w14:solidFill>
          </w14:textFill>
        </w:rPr>
      </w:r>
      <w:r/>
    </w:p>
    <w:p>
      <w:pPr>
        <w:pStyle w:val="1149"/>
        <w:jc w:val="center"/>
        <w:spacing w:line="360" w:lineRule="auto"/>
        <w:rPr>
          <w:rFonts w:hint="eastAsia"/>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第三章  合同</w:t>
      </w:r>
      <w:bookmarkEnd w:id="166"/>
      <w:r>
        <w:rPr>
          <w:highlight w:val="white"/>
        </w:rPr>
      </w:r>
      <w:bookmarkEnd w:id="167"/>
      <w:r>
        <w:rPr>
          <w:highlight w:val="white"/>
        </w:rPr>
      </w:r>
      <w:bookmarkEnd w:id="168"/>
      <w:r>
        <w:rPr>
          <w:highlight w:val="white"/>
        </w:rPr>
      </w:r>
      <w:bookmarkEnd w:id="169"/>
      <w:r>
        <w:rPr>
          <w:highlight w:val="white"/>
        </w:rPr>
      </w:r>
      <w:bookmarkEnd w:id="170"/>
      <w:r>
        <w:rPr>
          <w:rFonts w:hint="eastAsia"/>
          <w:color w:val="000000" w:themeColor="text1"/>
          <w:highlight w:val="white"/>
          <w14:textFill>
            <w14:solidFill>
              <w14:schemeClr w14:val="tx1"/>
            </w14:solidFill>
          </w14:textFill>
        </w:rPr>
        <w:t xml:space="preserve">文本</w:t>
      </w:r>
      <w:r>
        <w:rPr>
          <w:highlight w:val="white"/>
        </w:rPr>
      </w:r>
      <w:r/>
    </w:p>
    <w:p>
      <w:pPr>
        <w:ind w:firstLine="480"/>
        <w:spacing w:line="400" w:lineRule="exact"/>
        <w:rPr>
          <w:rFonts w:hint="eastAsia" w:ascii="宋体" w:hAnsi="宋体" w:cs="宋体"/>
          <w:b/>
          <w:color w:val="000000" w:themeColor="text1"/>
          <w:sz w:val="30"/>
          <w:szCs w:val="21"/>
          <w:highlight w:val="white"/>
          <w14:textFill>
            <w14:solidFill>
              <w14:schemeClr w14:val="tx1"/>
            </w14:solidFill>
          </w14:textFill>
        </w:rPr>
        <w:outlineLvl w:val="0"/>
      </w:pPr>
      <w:r>
        <w:rPr>
          <w:highlight w:val="white"/>
        </w:rPr>
      </w:r>
      <w:bookmarkStart w:id="171" w:name="_Toc16938559"/>
      <w:r>
        <w:rPr>
          <w:highlight w:val="white"/>
        </w:rPr>
      </w:r>
      <w:bookmarkStart w:id="172" w:name="_Toc20823315"/>
      <w:r>
        <w:rPr>
          <w:highlight w:val="white"/>
        </w:rPr>
      </w:r>
      <w:bookmarkStart w:id="173" w:name="_Toc513029243"/>
      <w:r>
        <w:rPr>
          <w:rFonts w:hint="eastAsia" w:ascii="宋体" w:hAnsi="宋体" w:cs="宋体"/>
          <w:bCs/>
          <w:color w:val="000000" w:themeColor="text1"/>
          <w:sz w:val="24"/>
          <w:szCs w:val="21"/>
          <w:highlight w:val="whit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rPr>
          <w:highlight w:val="white"/>
        </w:rPr>
      </w:r>
      <w:r/>
    </w:p>
    <w:p>
      <w:pPr>
        <w:jc w:val="center"/>
        <w:spacing w:before="156" w:after="156" w:line="360" w:lineRule="auto"/>
        <w:rPr>
          <w:rFonts w:hint="eastAsia" w:ascii="宋体" w:hAnsi="宋体" w:cs="宋体"/>
          <w:b/>
          <w:color w:val="000000" w:themeColor="text1"/>
          <w:sz w:val="30"/>
          <w:szCs w:val="21"/>
          <w:highlight w:val="white"/>
          <w14:textFill>
            <w14:solidFill>
              <w14:schemeClr w14:val="tx1"/>
            </w14:solidFill>
          </w14:textFill>
        </w:rPr>
        <w:outlineLvl w:val="0"/>
      </w:pPr>
      <w:r>
        <w:rPr>
          <w:rFonts w:hint="eastAsia" w:ascii="宋体" w:hAnsi="宋体" w:cs="宋体"/>
          <w:b/>
          <w:color w:val="000000" w:themeColor="text1"/>
          <w:sz w:val="30"/>
          <w:szCs w:val="21"/>
          <w:highlight w:val="white"/>
          <w14:textFill>
            <w14:solidFill>
              <w14:schemeClr w14:val="tx1"/>
            </w14:solidFill>
          </w14:textFill>
        </w:rPr>
        <w:t xml:space="preserve">江苏省政府采购合同（合同编号）</w:t>
      </w:r>
      <w:bookmarkEnd w:id="171"/>
      <w:r/>
      <w:bookmarkEnd w:id="172"/>
      <w:r/>
      <w:bookmarkEnd w:id="173"/>
      <w:r>
        <w:rPr>
          <w:highlight w:val="white"/>
        </w:rPr>
      </w:r>
      <w:r/>
    </w:p>
    <w:p>
      <w:pPr>
        <w:pStyle w:val="869"/>
        <w:ind w:firstLine="420"/>
        <w:spacing w:line="360" w:lineRule="auto"/>
        <w:rPr>
          <w:rFonts w:hint="default" w:hAnsi="宋体" w:eastAsia="宋体" w:cs="宋体"/>
          <w:bCs/>
          <w:color w:val="000000" w:themeColor="text1"/>
          <w:sz w:val="21"/>
          <w:szCs w:val="21"/>
          <w:highlight w:val="white"/>
          <w:u w:val="single"/>
          <w14:textFill>
            <w14:solidFill>
              <w14:schemeClr w14:val="tx1"/>
            </w14:solidFill>
          </w14:textFill>
        </w:rPr>
      </w:pPr>
      <w:r>
        <w:rPr>
          <w:highlight w:val="white"/>
        </w:rPr>
      </w:r>
      <w:bookmarkStart w:id="174" w:name="_Hlt16619350"/>
      <w:r>
        <w:rPr>
          <w:highlight w:val="white"/>
        </w:rPr>
      </w:r>
      <w:bookmarkStart w:id="175" w:name="_Toc20823346"/>
      <w:r>
        <w:rPr>
          <w:highlight w:val="white"/>
        </w:rPr>
      </w:r>
      <w:bookmarkStart w:id="176" w:name="_Toc120614244"/>
      <w:r>
        <w:rPr>
          <w:highlight w:val="white"/>
        </w:rPr>
      </w:r>
      <w:bookmarkStart w:id="177" w:name="_Toc16938590"/>
      <w:r>
        <w:rPr>
          <w:highlight w:val="white"/>
        </w:rPr>
      </w:r>
      <w:bookmarkStart w:id="178" w:name="_Toc462564139"/>
      <w:r>
        <w:rPr>
          <w:highlight w:val="white"/>
        </w:rPr>
      </w:r>
      <w:bookmarkStart w:id="179" w:name="_Toc479757211"/>
      <w:r>
        <w:rPr>
          <w:rFonts w:hint="eastAsia" w:hAnsi="宋体" w:cs="宋体"/>
          <w:bCs/>
          <w:color w:val="000000" w:themeColor="text1"/>
          <w:sz w:val="21"/>
          <w:szCs w:val="21"/>
          <w:highlight w:val="white"/>
          <w14:textFill>
            <w14:solidFill>
              <w14:schemeClr w14:val="tx1"/>
            </w14:solidFill>
          </w14:textFill>
        </w:rPr>
        <w:t xml:space="preserve">项目名称: </w:t>
      </w:r>
      <w:r>
        <w:rPr>
          <w:rFonts w:hint="eastAsia" w:hAnsi="宋体" w:cs="宋体"/>
          <w:bCs/>
          <w:color w:val="000000" w:themeColor="text1"/>
          <w:sz w:val="21"/>
          <w:szCs w:val="21"/>
          <w:highlight w:val="white"/>
          <w:u w:val="single"/>
          <w:lang w:eastAsia="zh-CN"/>
          <w14:textFill>
            <w14:solidFill>
              <w14:schemeClr w14:val="tx1"/>
            </w14:solidFill>
          </w14:textFill>
        </w:rPr>
        <w:t xml:space="preserve">老旧水库改造提升项目</w:t>
      </w:r>
      <w:r>
        <w:rPr>
          <w:rFonts w:hint="eastAsia" w:hAnsi="宋体" w:cs="宋体"/>
          <w:bCs/>
          <w:color w:val="000000" w:themeColor="text1"/>
          <w:sz w:val="21"/>
          <w:szCs w:val="21"/>
          <w:highlight w:val="white"/>
          <w:u w:val="single"/>
          <w:lang w:val="en-US" w:eastAsia="zh-CN"/>
          <w14:textFill>
            <w14:solidFill>
              <w14:schemeClr w14:val="tx1"/>
            </w14:solidFill>
          </w14:textFill>
        </w:rPr>
        <w:t xml:space="preserve">评估</w:t>
      </w:r>
      <w:r>
        <w:rPr>
          <w:highlight w:val="white"/>
        </w:rPr>
      </w:r>
      <w:r/>
    </w:p>
    <w:p>
      <w:pPr>
        <w:pStyle w:val="869"/>
        <w:ind w:firstLine="420"/>
        <w:spacing w:line="360" w:lineRule="auto"/>
        <w:rPr>
          <w:rFonts w:hint="eastAsia" w:hAnsi="宋体" w:eastAsia="宋体" w:cs="宋体"/>
          <w:color w:val="000000" w:themeColor="text1"/>
          <w:sz w:val="21"/>
          <w:szCs w:val="21"/>
          <w:highlight w:val="white"/>
          <w:u w:val="singl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项目编号：</w:t>
      </w:r>
      <w:r>
        <w:rPr>
          <w:rFonts w:hint="eastAsia" w:hAnsi="宋体" w:cs="宋体"/>
          <w:color w:val="000000" w:themeColor="text1"/>
          <w:sz w:val="21"/>
          <w:szCs w:val="21"/>
          <w:highlight w:val="white"/>
          <w:u w:val="single"/>
          <w:lang w:eastAsia="zh-CN"/>
          <w14:textFill>
            <w14:solidFill>
              <w14:schemeClr w14:val="tx1"/>
            </w14:solidFill>
          </w14:textFill>
        </w:rPr>
        <w:t xml:space="preserve">JSZC-321000-YZJW-C2026-0002</w:t>
      </w:r>
      <w:r>
        <w:rPr>
          <w:highlight w:val="white"/>
        </w:rPr>
      </w:r>
      <w:r/>
    </w:p>
    <w:p>
      <w:pPr>
        <w:pStyle w:val="869"/>
        <w:ind w:firstLine="420"/>
        <w:spacing w:line="360" w:lineRule="auto"/>
        <w:rPr>
          <w:rFonts w:hint="eastAsia" w:hAnsi="宋体" w:cs="宋体"/>
          <w:color w:val="000000" w:themeColor="text1"/>
          <w:sz w:val="21"/>
          <w:szCs w:val="21"/>
          <w:highlight w:val="white"/>
          <w:u w:val="singl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甲方（买方）：</w:t>
      </w:r>
      <w:r>
        <w:rPr>
          <w:rFonts w:hint="eastAsia" w:hAnsi="宋体" w:cs="宋体"/>
          <w:color w:val="000000" w:themeColor="text1"/>
          <w:sz w:val="21"/>
          <w:szCs w:val="21"/>
          <w:highlight w:val="white"/>
          <w:u w:val="single"/>
          <w14:textFill>
            <w14:solidFill>
              <w14:schemeClr w14:val="tx1"/>
            </w14:solidFill>
          </w14:textFill>
        </w:rPr>
        <w:t xml:space="preserve">扬州市水利局</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乙方（卖方）：_________</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甲、乙双方根据扬州市建卫工程建设监理有限责任公司关于本项目竞争性磋商的结果，签署本合同。</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一、服务及产品内容</w:t>
      </w:r>
      <w:r>
        <w:rPr>
          <w:highlight w:val="white"/>
        </w:rPr>
      </w:r>
      <w:r/>
    </w:p>
    <w:p>
      <w:pPr>
        <w:pStyle w:val="869"/>
        <w:ind w:firstLine="420"/>
        <w:spacing w:line="360" w:lineRule="auto"/>
        <w:rPr>
          <w:rFonts w:hint="eastAsia" w:hAnsi="宋体" w:eastAsia="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1.1 项目名称：</w:t>
      </w:r>
      <w:r>
        <w:rPr>
          <w:rFonts w:hint="eastAsia" w:hAnsi="宋体" w:cs="宋体"/>
          <w:color w:val="000000" w:themeColor="text1"/>
          <w:sz w:val="21"/>
          <w:szCs w:val="21"/>
          <w:highlight w:val="white"/>
          <w:lang w:eastAsia="zh-CN"/>
          <w14:textFill>
            <w14:solidFill>
              <w14:schemeClr w14:val="tx1"/>
            </w14:solidFill>
          </w14:textFill>
        </w:rPr>
        <w:t xml:space="preserve">老旧水库改造提升项目</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1.2 项目服务内容：按照采购文件第四章“采购需求”执行。</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二、合同金额</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2.1本合同金额为（大写）：___________________________圆（____________元）人民币。</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三、技术资料</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3.1乙方应按采购文件规定的时间向甲方提供使用服务或产品的有关技术资料。</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四、知识产权</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4.1乙方应保证甲方在使用、接受本合同服务或产品或其任何一部分时不受第三方提出侵犯其专利权、版权、商标权和工业设计权等知识产权的起诉。一旦出现侵权，由乙方负全部责任。</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五、产权担保</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5.1 乙方保证所交付的服务或产品的所有权完全属于乙方且无任何抵押、查封等产权瑕疵。</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六、履约保证金</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6.3 履约保证金扣除甲方应得的补偿后的余额，在本合同履行结束后由甲方退还。 </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6.4 履约保证收取：无。</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七、转包或分包</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7.1本合同范围的服务或产品，应由乙方直接供应，不得转让他人供应；</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7.2 除非得到甲方的书面同意，乙方不得部分分包给他人供应。</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7.3如有转让和未经甲方同意的分包行为，甲方有权给予终止合同。</w:t>
      </w:r>
      <w:r>
        <w:rPr>
          <w:highlight w:val="white"/>
        </w:rPr>
      </w:r>
      <w:r/>
    </w:p>
    <w:p>
      <w:pPr>
        <w:pStyle w:val="869"/>
        <w:ind w:left="315" w:firstLine="105"/>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八、服务期</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8.1服务期限：</w:t>
      </w:r>
      <w:r>
        <w:rPr>
          <w:rFonts w:hint="eastAsia" w:hAnsi="宋体" w:cs="宋体"/>
          <w:bCs/>
          <w:color w:val="000000" w:themeColor="text1"/>
          <w:sz w:val="21"/>
          <w:szCs w:val="21"/>
          <w:highlight w:val="white"/>
          <w:u w:val="single"/>
          <w14:textFill>
            <w14:solidFill>
              <w14:schemeClr w14:val="tx1"/>
            </w14:solidFill>
          </w14:textFill>
        </w:rPr>
        <w:t xml:space="preserve">          </w:t>
      </w:r>
      <w:r>
        <w:rPr>
          <w:rFonts w:hint="eastAsia" w:hAnsi="宋体" w:cs="宋体"/>
          <w:bCs/>
          <w:color w:val="000000" w:themeColor="text1"/>
          <w:sz w:val="21"/>
          <w:szCs w:val="21"/>
          <w:highlight w:val="white"/>
          <w14:textFill>
            <w14:solidFill>
              <w14:schemeClr w14:val="tx1"/>
            </w14:solidFill>
          </w14:textFill>
        </w:rPr>
        <w:t xml:space="preserve">。 </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九、服务方式及服务地点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9.1 服务方式：甲方指定方式。</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9.2 服务地点：甲方指定地点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十、合同款项支付</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10.1 本合同项下所有款项均以人民币支付。 </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10.2 本合同项下的采购资金由甲方支付，付款前乙方向甲方开具发票。</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10.3 付款方式：</w:t>
      </w:r>
      <w:r>
        <w:rPr>
          <w:highlight w:val="white"/>
        </w:rPr>
      </w:r>
      <w:r/>
    </w:p>
    <w:p>
      <w:pPr>
        <w:ind w:firstLine="420"/>
        <w:spacing w:line="360" w:lineRule="auto"/>
        <w:rPr>
          <w:rFonts w:hint="eastAsia" w:ascii="宋体" w:hAnsi="宋体" w:cs="宋体"/>
          <w:bCs/>
          <w:color w:val="ff0000"/>
          <w:szCs w:val="21"/>
          <w:highlight w:val="white"/>
          <w:u w:val="single"/>
        </w:rPr>
      </w:pPr>
      <w:r>
        <w:rPr>
          <w:rFonts w:hint="eastAsia" w:ascii="宋体" w:hAnsi="宋体" w:cs="宋体"/>
          <w:bCs/>
          <w:color w:val="ff0000"/>
          <w:szCs w:val="21"/>
          <w:highlight w:val="white"/>
          <w:u w:val="single"/>
        </w:rPr>
        <w:t xml:space="preserve">合同签订后，甲方自收到发票之日起10个工作日内支付乙方合同总价30%的预付款，</w:t>
      </w:r>
      <w:r>
        <w:rPr>
          <w:rFonts w:hint="eastAsia" w:ascii="宋体" w:hAnsi="宋体" w:cs="宋体"/>
          <w:bCs/>
          <w:color w:val="ff0000"/>
          <w:szCs w:val="21"/>
          <w:highlight w:val="white"/>
          <w:u w:val="single"/>
          <w:lang w:val="en-US" w:eastAsia="zh-CN"/>
        </w:rPr>
        <w:t xml:space="preserve">完成报告编制后付至合同总价95%，</w:t>
      </w:r>
      <w:r>
        <w:rPr>
          <w:rFonts w:hint="eastAsia" w:ascii="宋体" w:hAnsi="宋体" w:cs="宋体"/>
          <w:bCs/>
          <w:color w:val="ff0000"/>
          <w:szCs w:val="21"/>
          <w:highlight w:val="white"/>
          <w:u w:val="single"/>
        </w:rPr>
        <w:t xml:space="preserve">通过</w:t>
      </w:r>
      <w:r>
        <w:rPr>
          <w:rFonts w:hint="eastAsia" w:ascii="宋体" w:hAnsi="宋体" w:cs="宋体"/>
          <w:bCs/>
          <w:color w:val="ff0000"/>
          <w:szCs w:val="21"/>
          <w:highlight w:val="white"/>
          <w:u w:val="single"/>
          <w:lang w:val="en-US" w:eastAsia="zh-CN"/>
        </w:rPr>
        <w:t xml:space="preserve">上级部门成果复核后</w:t>
      </w:r>
      <w:r>
        <w:rPr>
          <w:rFonts w:hint="eastAsia" w:ascii="宋体" w:hAnsi="宋体" w:cs="宋体"/>
          <w:bCs/>
          <w:color w:val="ff0000"/>
          <w:szCs w:val="21"/>
          <w:highlight w:val="white"/>
          <w:u w:val="single"/>
        </w:rPr>
        <w:t xml:space="preserve">付</w:t>
      </w:r>
      <w:r>
        <w:rPr>
          <w:rFonts w:hint="eastAsia" w:ascii="宋体" w:hAnsi="宋体" w:cs="宋体"/>
          <w:bCs/>
          <w:color w:val="ff0000"/>
          <w:szCs w:val="21"/>
          <w:highlight w:val="white"/>
          <w:u w:val="single"/>
          <w:lang w:val="en-US" w:eastAsia="zh-CN"/>
        </w:rPr>
        <w:t xml:space="preserve">至合同总价100%</w:t>
      </w:r>
      <w:r>
        <w:rPr>
          <w:rFonts w:hint="eastAsia" w:ascii="宋体" w:hAnsi="宋体" w:cs="宋体"/>
          <w:bCs/>
          <w:color w:val="ff0000"/>
          <w:szCs w:val="21"/>
          <w:highlight w:val="white"/>
          <w:u w:val="single"/>
        </w:rPr>
        <w:t xml:space="preserve">。</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十一、税金</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11.1本合同执行中相关的一切税费均由乙方负担。</w:t>
      </w:r>
      <w:r>
        <w:rPr>
          <w:highlight w:val="white"/>
        </w:rPr>
      </w:r>
      <w:r/>
    </w:p>
    <w:p>
      <w:pPr>
        <w:pStyle w:val="869"/>
        <w:ind w:firstLine="420"/>
        <w:jc w:val="left"/>
        <w:spacing w:line="360" w:lineRule="auto"/>
        <w:rPr>
          <w:rFonts w:hint="eastAsia" w:hAnsi="宋体" w:cs="宋体"/>
          <w:bCs/>
          <w:color w:val="ff0000"/>
          <w:sz w:val="21"/>
          <w:szCs w:val="21"/>
          <w:highlight w:val="white"/>
        </w:rPr>
      </w:pPr>
      <w:r>
        <w:rPr>
          <w:rFonts w:hint="eastAsia" w:hAnsi="宋体" w:cs="宋体"/>
          <w:bCs/>
          <w:color w:val="000000" w:themeColor="text1"/>
          <w:sz w:val="21"/>
          <w:szCs w:val="21"/>
          <w:highlight w:val="white"/>
          <w14:textFill>
            <w14:solidFill>
              <w14:schemeClr w14:val="tx1"/>
            </w14:solidFill>
          </w14:textFill>
        </w:rPr>
        <w:t xml:space="preserve">十二、质量保证及售后服务</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12.1 乙方应按采购文件规定的服务或产品性能、技术要求、质量标准向甲方提供。</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12.2 乙方提供的服务或产品在质量期内因服务及产品本身的质量问题发生故障，乙方应负责免费更换。对达不到技术要求者，根据实际情况，经双方协商，可按以下办法处理：</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⑴更换：由乙方承担所发生的全部费用。</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⑵贬值处理：由甲乙双方合议定价。</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⑶退还处理：乙方应退还甲方支付的合同款，同时应承担该服务或产品的直接费用（运输、保险、检验、款项利息及银行手续费等）。</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12.3 如在使用过程中发生质量问题，乙方在接到甲方通知后在______小时内到达甲方现场。</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12.4 在质保期内，乙方应对服务或产品出现的质量及安全问题负责处理解决并承担一切费用。</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12.5上述的服务或产品免费保修期为 </w:t>
      </w:r>
      <w:r>
        <w:rPr>
          <w:rFonts w:hint="eastAsia" w:hAnsi="宋体" w:cs="宋体"/>
          <w:bCs/>
          <w:color w:val="000000" w:themeColor="text1"/>
          <w:sz w:val="21"/>
          <w:szCs w:val="21"/>
          <w:highlight w:val="white"/>
          <w:u w:val="single"/>
          <w14:textFill>
            <w14:solidFill>
              <w14:schemeClr w14:val="tx1"/>
            </w14:solidFill>
          </w14:textFill>
        </w:rPr>
        <w:t xml:space="preserve">     </w:t>
      </w:r>
      <w:r>
        <w:rPr>
          <w:rFonts w:hint="eastAsia" w:hAnsi="宋体" w:cs="宋体"/>
          <w:bCs/>
          <w:color w:val="000000" w:themeColor="text1"/>
          <w:sz w:val="21"/>
          <w:szCs w:val="21"/>
          <w:highlight w:val="white"/>
          <w14:textFill>
            <w14:solidFill>
              <w14:schemeClr w14:val="tx1"/>
            </w14:solidFill>
          </w14:textFill>
        </w:rPr>
        <w:t xml:space="preserve">年，因人为因素出现的故障不在免费保修范围内。超过保修期的机器设备，终生维修，维修时只收部件成本费。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12.6乙方需为拟派人员交纳意外伤害险，必须切实做好安全工作，一切安全事故均由乙方自行承担，与甲方无关。</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12.7安全责任</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12.7.1在合同履行期间，乙方承担合同范围内的一切安全责任。</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12.7.2发生突发紧急情况时，乙方必须第一时间组织人员抢险救灾，排除安全隐患并将具体情况、处理费用报甲方审核。因乙方未及时处理而造成财产损失、人员伤害的，乙方需承担一切责任，如造成恶劣影响的将取消其成交资格。</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十三、调试和验收</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13.2 乙方交付前应对服务或产品作出全面检查和对验收文件进行整理，并列出清单，作为甲方交付验收和使用的技术条件依据，检验的结果应随服务或产品交甲方。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13.3 甲方对乙方提供的服务或产品在使用前进行调试时，乙方需负责安装并培训甲方的使用操作人员，并协助甲方一起调试，直到符合技术要求，甲方才做最终验收。</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13.4 对技术复杂的服务或产品，甲方可请国家认可的专业检测机构参与初步验收及最终验收，并由其出具质量检测报告。</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13.5 验收时乙方必须在现场，验收完毕后作出验收结果报告；验收费用由甲乙双方协商解决。</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十四、服务或产品包装、发运及运输</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14.1 乙方应在服务或产品发运前对其进行满足运输距离、防潮、防震、防锈和防破损装卸等要求包装，以保证服务或产品安全运达甲方指定地点。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14.2 使用说明书、质量检验证明书、随配附件和工具以及清单一并交付甲方。</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14.3 乙方在服务或产品发运手续办理完毕后24小时内或交付到甲方48小时前通知甲方，以准备接受交付。</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14.4 服务在交付甲方前发生的风险均由乙方负责。</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14.5 服务或产品在规定的交付期限内由乙方送达甲方指定的地点视为交付，乙方同时需通知甲方服务或产品已送达。</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十五、违约责任</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15.1 甲方无正当理由拒收服务或产品的，甲方向乙方偿付拒收款项总值的百分之五违约金。</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15.2 甲方无故逾期验收和办理款项支付手续的,甲方应按逾期付款总额每日万分之五向乙方支付违约金。</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15.3 乙方逾期交付服务或产品的，乙方应按逾期交付总额每日万分之五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highlight w:val="white"/>
        </w:rPr>
      </w:r>
      <w:r/>
    </w:p>
    <w:p>
      <w:pPr>
        <w:pStyle w:val="869"/>
        <w:ind w:firstLine="420"/>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color w:val="000000" w:themeColor="text1"/>
          <w:sz w:val="21"/>
          <w:szCs w:val="21"/>
          <w:highlight w:val="white"/>
          <w14:textFill>
            <w14:solidFill>
              <w14:schemeClr w14:val="tx1"/>
            </w14:solidFill>
          </w14:textFill>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十六、不可抗力事件处理</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16.1 在合同有效期内，任何一方因不可抗力事件导致不能履行合同，则合同履行期可延长，其延长期与不可抗力影响期相同。</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16.2 不可抗力事件发生后，应立即通知对方，并寄送有关权威机构出具的证明。</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16.3 不可抗力事件延续120天以上，双方应通过友好协商，确定是否继续履行合同。</w:t>
      </w:r>
      <w:r>
        <w:rPr>
          <w:highlight w:val="white"/>
        </w:rPr>
      </w:r>
      <w:r/>
    </w:p>
    <w:p>
      <w:pPr>
        <w:pStyle w:val="869"/>
        <w:ind w:left="315" w:firstLine="105"/>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十七、解决争议的方法</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17.1 双方在执行合同中所发生的一切争议，应通过协商解决。如协商不成，可向合同签订地法院起诉，合同签订地在此约定为扬州市。</w:t>
      </w:r>
      <w:r>
        <w:rPr>
          <w:highlight w:val="white"/>
        </w:rPr>
      </w:r>
      <w:r/>
    </w:p>
    <w:p>
      <w:pPr>
        <w:ind w:firstLine="420"/>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十八、为落实好政府采购履约资金扶持政策，乙方可凭政府采购合同办理融资贷款，详见江苏政府采购网“政采贷”专栏。</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十九、合同生效及其它</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19.1 合同经双方法定代表人签章并加盖单位公章，并经扬州市建卫工程建设监理有限责任公司见证盖章后生效。</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19.2本合同未尽事宜，遵照《中华人民共和国民法典》有关条文执行。</w:t>
      </w:r>
      <w:r>
        <w:rPr>
          <w:highlight w:val="white"/>
        </w:rPr>
      </w:r>
      <w:r/>
    </w:p>
    <w:p>
      <w:pPr>
        <w:pStyle w:val="869"/>
        <w:ind w:firstLine="420"/>
        <w:jc w:val="left"/>
        <w:spacing w:line="360" w:lineRule="auto"/>
        <w:rPr>
          <w:rFonts w:hint="eastAsia" w:hAnsi="宋体" w:cs="宋体"/>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19.3 </w:t>
      </w:r>
      <w:r>
        <w:rPr>
          <w:rFonts w:hint="eastAsia" w:hAnsi="宋体" w:cs="宋体"/>
          <w:color w:val="000000" w:themeColor="text1"/>
          <w:sz w:val="21"/>
          <w:szCs w:val="21"/>
          <w:highlight w:val="white"/>
          <w14:textFill>
            <w14:solidFill>
              <w14:schemeClr w14:val="tx1"/>
            </w14:solidFill>
          </w14:textFill>
        </w:rPr>
        <w:t xml:space="preserve">本合同正本一式五份，具有同等法律效力，甲、乙双方各执两份、见证方执一份。  </w:t>
      </w:r>
      <w:r>
        <w:rPr>
          <w:highlight w:val="white"/>
        </w:rPr>
      </w:r>
      <w:r/>
    </w:p>
    <w:p>
      <w:pPr>
        <w:pStyle w:val="869"/>
        <w:ind w:firstLine="420"/>
        <w:jc w:val="left"/>
        <w:spacing w:line="360" w:lineRule="auto"/>
        <w:rPr>
          <w:rFonts w:hint="eastAsia" w:hAnsi="宋体" w:cs="宋体"/>
          <w:bCs/>
          <w:color w:val="000000" w:themeColor="text1"/>
          <w:sz w:val="21"/>
          <w:szCs w:val="21"/>
          <w:highlight w:val="white"/>
          <w14:textFill>
            <w14:solidFill>
              <w14:schemeClr w14:val="tx1"/>
            </w14:solidFill>
          </w14:textFill>
        </w:rPr>
      </w:pPr>
      <w:r>
        <w:rPr>
          <w:rFonts w:hint="eastAsia" w:hAnsi="宋体" w:cs="宋体"/>
          <w:bCs/>
          <w:color w:val="000000" w:themeColor="text1"/>
          <w:sz w:val="21"/>
          <w:szCs w:val="21"/>
          <w:highlight w:val="white"/>
          <w14:textFill>
            <w14:solidFill>
              <w14:schemeClr w14:val="tx1"/>
            </w14:solidFill>
          </w14:textFill>
        </w:rPr>
        <w:t xml:space="preserve"> </w:t>
      </w:r>
      <w:r>
        <w:rPr>
          <w:highlight w:val="white"/>
        </w:rPr>
      </w:r>
      <w:r/>
    </w:p>
    <w:tbl>
      <w:tblPr>
        <w:tblStyle w:val="85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甲方： </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乙方： </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地址： </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地址： </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法定代表人或授权代表：</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法定代表人或授权代表：</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联系电话：</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联系电话：</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日期：      年    月    日  </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日期：      年    月    日</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见证方： </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项目经办人：</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t xml:space="preserve">日期：     年   月   日</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jc w:val="left"/>
              <w:spacing w:line="360" w:lineRule="auto"/>
              <w:rPr>
                <w:rFonts w:hint="eastAsia" w:hAnsi="宋体" w:cs="宋体"/>
                <w:bCs/>
                <w:color w:val="000000" w:themeColor="text1"/>
                <w:sz w:val="21"/>
                <w:szCs w:val="22"/>
                <w:highlight w:val="white"/>
                <w14:textFill>
                  <w14:solidFill>
                    <w14:schemeClr w14:val="tx1"/>
                  </w14:solidFill>
                </w14:textFill>
              </w:rPr>
            </w:pPr>
            <w:r>
              <w:rPr>
                <w:rFonts w:hint="eastAsia" w:hAnsi="宋体" w:cs="宋体"/>
                <w:bCs/>
                <w:color w:val="000000" w:themeColor="text1"/>
                <w:sz w:val="21"/>
                <w:szCs w:val="22"/>
                <w:highlight w:val="white"/>
                <w14:textFill>
                  <w14:solidFill>
                    <w14:schemeClr w14:val="tx1"/>
                  </w14:solidFill>
                </w14:textFill>
              </w:rPr>
            </w:r>
            <w:r>
              <w:rPr>
                <w:highlight w:val="white"/>
              </w:rPr>
            </w:r>
            <w:r/>
          </w:p>
        </w:tc>
      </w:tr>
    </w:tbl>
    <w:p>
      <w:pPr>
        <w:pStyle w:val="1149"/>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3"/>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4"/>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5"/>
        <w:rPr>
          <w:rFonts w:hint="eastAsia"/>
          <w:highlight w:val="white"/>
        </w:rPr>
      </w:pPr>
      <w:r>
        <w:rPr>
          <w:rFonts w:hint="eastAsia"/>
          <w:highlight w:val="white"/>
        </w:rPr>
      </w:r>
      <w:r>
        <w:rPr>
          <w:highlight w:val="white"/>
        </w:rPr>
      </w:r>
      <w:r/>
    </w:p>
    <w:p>
      <w:pPr>
        <w:jc w:val="center"/>
        <w:spacing w:line="360" w:lineRule="auto"/>
        <w:rPr>
          <w:rFonts w:hint="eastAsia" w:ascii="宋体" w:hAnsi="宋体" w:eastAsia="宋体" w:cs="Times New Roman"/>
          <w:b/>
          <w:sz w:val="28"/>
          <w:szCs w:val="28"/>
          <w:highlight w:val="white"/>
        </w:rPr>
      </w:pPr>
      <w:r>
        <w:rPr>
          <w:rFonts w:hint="eastAsia" w:ascii="宋体" w:hAnsi="宋体" w:eastAsia="宋体" w:cs="Times New Roman"/>
          <w:b/>
          <w:sz w:val="28"/>
          <w:szCs w:val="28"/>
          <w:highlight w:val="white"/>
        </w:rPr>
        <w:t xml:space="preserve">廉政合同（格式）</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甲方：</w:t>
      </w:r>
      <w:r>
        <w:rPr>
          <w:rFonts w:hint="eastAsia" w:ascii="宋体" w:hAnsi="宋体" w:eastAsia="宋体" w:cs="宋体"/>
          <w:sz w:val="21"/>
          <w:szCs w:val="21"/>
          <w:highlight w:val="white"/>
          <w:u w:val="single"/>
          <w:lang w:val="en-US" w:eastAsia="zh-CN"/>
        </w:rPr>
        <w:t xml:space="preserve">扬州</w:t>
      </w:r>
      <w:r>
        <w:rPr>
          <w:rFonts w:hint="eastAsia" w:ascii="宋体" w:hAnsi="宋体" w:eastAsia="宋体" w:cs="宋体"/>
          <w:sz w:val="21"/>
          <w:szCs w:val="21"/>
          <w:highlight w:val="white"/>
          <w:u w:val="single"/>
        </w:rPr>
        <w:t xml:space="preserve">市水利局</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乙方：</w:t>
      </w:r>
      <w:r>
        <w:rPr>
          <w:rFonts w:hint="eastAsia" w:ascii="宋体" w:hAnsi="宋体" w:eastAsia="宋体" w:cs="宋体"/>
          <w:sz w:val="21"/>
          <w:szCs w:val="21"/>
          <w:highlight w:val="white"/>
          <w:u w:val="single"/>
        </w:rPr>
        <w:t xml:space="preserve">                   </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为了贯彻落实党中央、国务院《关于实行党风廉政建设责任制的规定》，为了加强水利工程建设中的党风廉政建设，保证</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u w:val="single"/>
          <w:lang w:eastAsia="zh-CN"/>
        </w:rPr>
        <w:t xml:space="preserve">老旧水库改造提升项目评估</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建设优质、高效、有序地进行，</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u w:val="single"/>
          <w:lang w:val="en-US" w:eastAsia="zh-CN"/>
        </w:rPr>
        <w:t xml:space="preserve">扬州</w:t>
      </w:r>
      <w:r>
        <w:rPr>
          <w:rFonts w:hint="eastAsia" w:ascii="宋体" w:hAnsi="宋体" w:eastAsia="宋体" w:cs="宋体"/>
          <w:sz w:val="21"/>
          <w:szCs w:val="21"/>
          <w:highlight w:val="white"/>
          <w:u w:val="single"/>
        </w:rPr>
        <w:t xml:space="preserve">市水利局 </w:t>
      </w:r>
      <w:r>
        <w:rPr>
          <w:rFonts w:hint="eastAsia" w:ascii="宋体" w:hAnsi="宋体" w:eastAsia="宋体" w:cs="宋体"/>
          <w:sz w:val="21"/>
          <w:szCs w:val="21"/>
          <w:highlight w:val="white"/>
        </w:rPr>
        <w:t xml:space="preserve">（以下简称“甲方”），与承担</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u w:val="single"/>
          <w:lang w:eastAsia="zh-CN"/>
        </w:rPr>
        <w:t xml:space="preserve">老旧水库改造提升项目评估</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w:t>
      </w:r>
      <w:r>
        <w:rPr>
          <w:rFonts w:hint="eastAsia" w:ascii="宋体" w:hAnsi="宋体" w:eastAsia="宋体" w:cs="宋体"/>
          <w:sz w:val="21"/>
          <w:szCs w:val="21"/>
          <w:highlight w:val="white"/>
          <w:lang w:val="en-US" w:eastAsia="zh-CN"/>
        </w:rPr>
        <w:t xml:space="preserve">项目</w:t>
      </w:r>
      <w:r>
        <w:rPr>
          <w:rFonts w:hint="eastAsia" w:ascii="宋体" w:hAnsi="宋体" w:eastAsia="宋体" w:cs="宋体"/>
          <w:sz w:val="21"/>
          <w:szCs w:val="21"/>
          <w:highlight w:val="white"/>
        </w:rPr>
        <w:t xml:space="preserve">编号： JSZC-321000-YZJW-C2026-</w:t>
      </w:r>
      <w:r>
        <w:rPr>
          <w:rFonts w:hint="eastAsia" w:ascii="宋体" w:hAnsi="宋体" w:cs="宋体"/>
          <w:sz w:val="21"/>
          <w:szCs w:val="21"/>
          <w:highlight w:val="white"/>
          <w:lang w:eastAsia="zh-CN"/>
        </w:rPr>
        <w:t xml:space="preserve">0002</w:t>
      </w:r>
      <w:r>
        <w:rPr>
          <w:rFonts w:hint="eastAsia" w:ascii="宋体" w:hAnsi="宋体" w:eastAsia="宋体" w:cs="宋体"/>
          <w:sz w:val="21"/>
          <w:szCs w:val="21"/>
          <w:highlight w:val="white"/>
        </w:rPr>
        <w:t xml:space="preserve">）的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（以下简称“乙方”），经双方协商一致，自愿签订以下廉政合同。</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一、甲、乙双方约定</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1、甲、乙双方应加强对本方人员的廉政监督，建立和建全廉政制度。</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2、甲、乙双方有对本方人员开展廉政告知、廉政教育和职业道德教育的义务。</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3、甲、乙双方及其工作人员应遵守国家和省、市以及行业主管部门关于加强水利基础设施建设管理以及党风廉政建设的各项规定。</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4、甲、乙双方及其工作人员应认真执行双方签订的廉政合同文件，自觉按合同办事。</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5、除法律认定的商业秘密或合同文件另有规定之外，甲、乙双方的业务活动应坚持公开、公正、诚实信用的原则，严禁损害国家和集体利益，严禁违反工程建设管理规章制度的不正当交易。</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6、甲、乙双方如发现对方在业务活动中有不廉洁行为，有及时提醒对方并督促其纠正的权利和义务，并认真查处本方的违纪行为。</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7、乙方保证本合同资金专款专用，甲方有权进行监管。</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二、甲方在廉政建设方面的责任</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1、甲方及其工作人员不得以任何形式向乙方索要和收受金钱、有价证券、物品等财物；对推辞不掉的礼金、有价证券和物品等，应立即上缴纪检监察部门或“510”廉政帐户。</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2、甲方不得在乙方报销任何费用。</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3、甲方工作人员不得参加乙方的宴请和旅游等活动；不得要求乙方为其提供吃、住、交通工具通讯工具、办公用品等。</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4、甲方及其工作人员不得要求或者接受乙方为其住房装修、婚丧嫁娶、亲属的工作安排以及出国提供方便。</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5、甲方及其工作人员不得要求乙方为其亲朋好友及有利害关系的人安排工作或劳务；不得违规从事与乙方工程有关的材料设备供应、工程分包、劳务等经济活动。</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6、甲方及其工作人员不得滥用职权影响工程的质量、进度和安全。</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7、甲方及其工作人员不得与乙方私下交易。</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8、甲方不得为任何单位和个人提供经济担保。</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9、甲方须认真执行中央“八项规定”及地方相关规定。</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三、乙方在廉政建设方面的责任</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1、乙方不得以任何理由向甲方及其工作人员馈赠礼金、礼品和有价证券等财产性权益。</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2、乙方不得以任何名义为甲方及其工作人员报销任何不当费用。</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3、乙方不得以任何理由邀请甲方工作人员参加吃、喝、玩、乐等活动。</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4、乙方不得为甲方单位或个人购置或提供通讯工具、交通工具、家电和高档办公用品等财物。</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5、乙方及其工作人员不得以任何理由与甲方进行私下交易。</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四、违约责任</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1、甲方若违反本“廉政合同”的，对违法违纪人员，将依法查处。</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2、乙方若违反本“廉政合同”的，视情节轻重，每次给予0.5-1万元的违约罚款，若严重违反“廉政合同”对违法违纪人员，将依法查处。</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五、对督促单位的约定和授权</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双方约定：本合同的督查单位待定。双方授权督查单位主持本合同执行情况的督查，提出在本合同规定规范内的裁定意见，执行本合同第四条所规定的处罚。</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六、检查方式</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的履约情况检查由督查单位主持，甲乙双方共同派人参加，检查方式为座谈、问卷调查、查看资料或由各方约定的其它方式等。检查时间、次数、检查方式、检查结论及处罚意见等由各方协商确定，如无法达成一致的，由督查单位依据事实裁定。</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七、本“合同”有效期为</w:t>
      </w:r>
      <w:r>
        <w:rPr>
          <w:rFonts w:hint="eastAsia" w:ascii="宋体" w:hAnsi="宋体" w:eastAsia="宋体" w:cs="宋体"/>
          <w:sz w:val="21"/>
          <w:szCs w:val="21"/>
          <w:highlight w:val="white"/>
          <w:lang w:val="en-US" w:eastAsia="zh-CN"/>
        </w:rPr>
        <w:t xml:space="preserve">项目</w:t>
      </w:r>
      <w:r>
        <w:rPr>
          <w:rFonts w:hint="eastAsia" w:ascii="宋体" w:hAnsi="宋体" w:eastAsia="宋体" w:cs="宋体"/>
          <w:sz w:val="21"/>
          <w:szCs w:val="21"/>
          <w:highlight w:val="white"/>
        </w:rPr>
        <w:t xml:space="preserve">开工之日起至该合同段项目竣工验收后止。</w:t>
      </w:r>
      <w:r>
        <w:rPr>
          <w:highlight w:val="white"/>
        </w:rPr>
      </w:r>
      <w:r/>
    </w:p>
    <w:p>
      <w:pPr>
        <w:ind w:firstLine="420"/>
        <w:jc w:val="left"/>
        <w:spacing w:line="360" w:lineRule="auto"/>
        <w:tabs>
          <w:tab w:val="left" w:pos="3105" w:leader="none"/>
          <w:tab w:val="left" w:pos="6960" w:leader="none"/>
        </w:tabs>
        <w:rPr>
          <w:rFonts w:hint="eastAsia" w:ascii="Times New Roman" w:hAnsi="Times New Roman" w:eastAsia="宋体" w:cs="Times New Roman"/>
          <w:sz w:val="21"/>
          <w:szCs w:val="28"/>
          <w:highlight w:val="white"/>
        </w:rPr>
      </w:pPr>
      <w:r>
        <w:rPr>
          <w:rFonts w:hint="eastAsia" w:ascii="宋体" w:hAnsi="宋体" w:eastAsia="宋体" w:cs="宋体"/>
          <w:sz w:val="21"/>
          <w:szCs w:val="21"/>
          <w:highlight w:val="white"/>
        </w:rPr>
        <w:t xml:space="preserve">八、本合同一式贰份，承、发包双方各执壹份。</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甲方：（盖单位公章）                 乙方：（盖单位公章）</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法定代表人（或委托代理人）：         法定代表人（或委托代理人）：</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单位地址：                           单位地址：</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联系电话：                           联系电话：</w:t>
      </w:r>
      <w:r>
        <w:rPr>
          <w:highlight w:val="white"/>
        </w:rPr>
      </w:r>
      <w:r/>
    </w:p>
    <w:p>
      <w:pPr>
        <w:ind w:firstLine="420"/>
        <w:jc w:val="left"/>
        <w:spacing w:line="360" w:lineRule="auto"/>
        <w:tabs>
          <w:tab w:val="left" w:pos="3105" w:leader="none"/>
          <w:tab w:val="left" w:pos="696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日期：   年   月   日                日期：   年   月   日</w:t>
      </w:r>
      <w:r>
        <w:rPr>
          <w:highlight w:val="white"/>
        </w:rPr>
      </w:r>
      <w:r/>
    </w:p>
    <w:p>
      <w:pPr>
        <w:pStyle w:val="1149"/>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65"/>
        <w:ind w:firstLine="0"/>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66"/>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66"/>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66"/>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bookmarkEnd w:id="174"/>
      <w:r>
        <w:rPr>
          <w:highlight w:val="white"/>
        </w:rPr>
      </w:r>
      <w:r/>
    </w:p>
    <w:p>
      <w:pPr>
        <w:pStyle w:val="1149"/>
        <w:numPr>
          <w:ilvl w:val="0"/>
          <w:numId w:val="8"/>
        </w:numPr>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采购需求</w:t>
      </w:r>
      <w:bookmarkEnd w:id="175"/>
      <w:r>
        <w:rPr>
          <w:highlight w:val="white"/>
        </w:rPr>
      </w:r>
      <w:bookmarkEnd w:id="176"/>
      <w:r>
        <w:rPr>
          <w:highlight w:val="white"/>
        </w:rPr>
      </w:r>
      <w:bookmarkEnd w:id="177"/>
      <w:r>
        <w:rPr>
          <w:highlight w:val="white"/>
        </w:rPr>
      </w:r>
      <w:bookmarkStart w:id="180" w:name="_Toc49090575"/>
      <w:r>
        <w:rPr>
          <w:highlight w:val="white"/>
        </w:rPr>
      </w:r>
      <w:bookmarkStart w:id="181" w:name="_Toc26554093"/>
      <w:r>
        <w:rPr>
          <w:highlight w:val="white"/>
        </w:rPr>
      </w:r>
      <w:r/>
    </w:p>
    <w:p>
      <w:pPr>
        <w:numPr>
          <w:ilvl w:val="-1"/>
          <w:numId w:val="0"/>
        </w:numPr>
        <w:rPr>
          <w:highlight w:val="white"/>
        </w:rPr>
      </w:pPr>
      <w:r>
        <w:rPr>
          <w:highlight w:val="white"/>
        </w:rPr>
      </w:r>
      <w:r>
        <w:rPr>
          <w:highlight w:val="white"/>
        </w:rPr>
      </w:r>
      <w:r/>
    </w:p>
    <w:p>
      <w:pPr>
        <w:numPr>
          <w:ilvl w:val="0"/>
          <w:numId w:val="9"/>
        </w:numPr>
        <w:contextualSpacing/>
        <w:ind w:left="500" w:hanging="500"/>
        <w:spacing w:line="360" w:lineRule="auto"/>
        <w:rPr>
          <w:rFonts w:ascii="宋体" w:hAnsi="宋体" w:eastAsia="宋体" w:cs="宋体"/>
          <w:b/>
          <w:sz w:val="24"/>
          <w:szCs w:val="24"/>
          <w:highlight w:val="white"/>
        </w:rPr>
      </w:pPr>
      <w:r>
        <w:rPr>
          <w:highlight w:val="white"/>
        </w:rPr>
      </w:r>
      <w:bookmarkStart w:id="182" w:name="_Toc120614281"/>
      <w:r>
        <w:rPr>
          <w:rFonts w:hint="eastAsia" w:ascii="宋体" w:hAnsi="宋体" w:eastAsia="宋体" w:cs="宋体"/>
          <w:b/>
          <w:sz w:val="24"/>
          <w:szCs w:val="24"/>
          <w:highlight w:val="white"/>
        </w:rPr>
        <w:t xml:space="preserve">技术要求</w:t>
      </w:r>
      <w:r>
        <w:rPr>
          <w:highlight w:val="white"/>
        </w:rPr>
      </w:r>
      <w:r/>
    </w:p>
    <w:p>
      <w:pPr>
        <w:numPr>
          <w:ilvl w:val="0"/>
          <w:numId w:val="10"/>
        </w:numPr>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服务范围</w:t>
      </w:r>
      <w:r>
        <w:rPr>
          <w:color w:val="000000" w:themeColor="text1"/>
          <w:sz w:val="21"/>
          <w:szCs w:val="21"/>
          <w:highlight w:val="white"/>
        </w:rPr>
      </w:r>
      <w:r/>
    </w:p>
    <w:p>
      <w:pPr>
        <w:ind w:firstLine="480"/>
        <w:jc w:val="left"/>
        <w:spacing w:line="360" w:lineRule="auto"/>
        <w:rPr>
          <w:rFonts w:ascii="宋体" w:hAnsi="宋体" w:eastAsia="宋体" w:cs="Times New Roman"/>
          <w:bCs/>
          <w:color w:val="000000" w:themeColor="text1"/>
          <w:sz w:val="21"/>
          <w:szCs w:val="21"/>
          <w:highlight w:val="white"/>
        </w:rPr>
      </w:pPr>
      <w:r>
        <w:rPr>
          <w:rFonts w:hint="eastAsia" w:ascii="宋体" w:hAnsi="宋体" w:eastAsia="宋体" w:cs="Times New Roman"/>
          <w:bCs/>
          <w:color w:val="000000" w:themeColor="text1"/>
          <w:sz w:val="21"/>
          <w:szCs w:val="21"/>
          <w:highlight w:val="white"/>
        </w:rPr>
        <w:t xml:space="preserve">对</w:t>
      </w:r>
      <w:r>
        <w:rPr>
          <w:rFonts w:hint="eastAsia" w:ascii="宋体" w:hAnsi="宋体" w:eastAsia="宋体" w:cs="Times New Roman"/>
          <w:bCs/>
          <w:color w:val="000000" w:themeColor="text1"/>
          <w:sz w:val="21"/>
          <w:szCs w:val="21"/>
          <w:highlight w:val="white"/>
          <w:u w:val="single"/>
        </w:rPr>
        <w:t xml:space="preserve">月塘、铁坝、六松、甘冲、魏井、塔山、芦坝、立新、山头、路北、泗涧、余桥、中利</w:t>
      </w:r>
      <w:r>
        <w:rPr>
          <w:rFonts w:hint="eastAsia" w:ascii="宋体" w:hAnsi="宋体" w:eastAsia="宋体" w:cs="Times New Roman"/>
          <w:bCs/>
          <w:color w:val="000000" w:themeColor="text1"/>
          <w:sz w:val="21"/>
          <w:szCs w:val="21"/>
          <w:highlight w:val="white"/>
          <w:u w:val="single"/>
          <w:lang w:eastAsia="zh-CN"/>
        </w:rPr>
        <w:t xml:space="preserve">、</w:t>
      </w:r>
      <w:r>
        <w:rPr>
          <w:rFonts w:hint="eastAsia" w:ascii="宋体" w:hAnsi="宋体" w:eastAsia="宋体" w:cs="Times New Roman"/>
          <w:bCs/>
          <w:color w:val="000000" w:themeColor="text1"/>
          <w:sz w:val="21"/>
          <w:szCs w:val="21"/>
          <w:highlight w:val="white"/>
          <w:u w:val="single"/>
        </w:rPr>
        <w:t xml:space="preserve">六巷、小刘云、小李庄、龙虎斗、枣林、沙河徐、耿庄、长塘、姚湾、向阳</w:t>
      </w:r>
      <w:r>
        <w:rPr>
          <w:rFonts w:hint="eastAsia" w:ascii="宋体" w:hAnsi="宋体" w:cs="Times New Roman"/>
          <w:bCs/>
          <w:color w:val="000000" w:themeColor="text1"/>
          <w:sz w:val="21"/>
          <w:szCs w:val="21"/>
          <w:highlight w:val="white"/>
          <w:u w:val="single"/>
          <w:lang w:eastAsia="zh-CN"/>
        </w:rPr>
        <w:t xml:space="preserve">（</w:t>
      </w:r>
      <w:r>
        <w:rPr>
          <w:rFonts w:hint="eastAsia" w:ascii="宋体" w:hAnsi="宋体" w:cs="Times New Roman"/>
          <w:bCs/>
          <w:color w:val="000000" w:themeColor="text1"/>
          <w:sz w:val="21"/>
          <w:szCs w:val="21"/>
          <w:highlight w:val="white"/>
          <w:u w:val="single"/>
          <w:lang w:val="en-US" w:eastAsia="zh-CN"/>
        </w:rPr>
        <w:t xml:space="preserve">邗江）</w:t>
      </w:r>
      <w:r>
        <w:rPr>
          <w:rFonts w:hint="eastAsia" w:ascii="宋体" w:hAnsi="宋体" w:eastAsia="宋体" w:cs="Times New Roman"/>
          <w:bCs/>
          <w:color w:val="000000" w:themeColor="text1"/>
          <w:sz w:val="21"/>
          <w:szCs w:val="21"/>
          <w:highlight w:val="white"/>
          <w:u w:val="single"/>
        </w:rPr>
        <w:t xml:space="preserve">、金坝、香巷、北涧、荷叶、余桥、赵庄、李岗、夏庄、红星、向阳</w:t>
      </w:r>
      <w:r>
        <w:rPr>
          <w:rFonts w:hint="eastAsia" w:ascii="宋体" w:hAnsi="宋体" w:cs="Times New Roman"/>
          <w:bCs/>
          <w:color w:val="000000" w:themeColor="text1"/>
          <w:sz w:val="21"/>
          <w:szCs w:val="21"/>
          <w:highlight w:val="white"/>
          <w:u w:val="single"/>
          <w:lang w:eastAsia="zh-CN"/>
        </w:rPr>
        <w:t xml:space="preserve">（</w:t>
      </w:r>
      <w:r>
        <w:rPr>
          <w:rFonts w:hint="eastAsia" w:ascii="宋体" w:hAnsi="宋体" w:cs="Times New Roman"/>
          <w:bCs/>
          <w:color w:val="000000" w:themeColor="text1"/>
          <w:sz w:val="21"/>
          <w:szCs w:val="21"/>
          <w:highlight w:val="white"/>
          <w:u w:val="single"/>
          <w:lang w:val="en-US" w:eastAsia="zh-CN"/>
        </w:rPr>
        <w:t xml:space="preserve">高邮）</w:t>
      </w:r>
      <w:r>
        <w:rPr>
          <w:rFonts w:hint="eastAsia" w:ascii="宋体" w:hAnsi="宋体" w:eastAsia="宋体" w:cs="Times New Roman"/>
          <w:bCs/>
          <w:color w:val="000000" w:themeColor="text1"/>
          <w:sz w:val="21"/>
          <w:szCs w:val="21"/>
          <w:highlight w:val="white"/>
          <w:u w:val="single"/>
          <w:lang w:eastAsia="zh-CN"/>
        </w:rPr>
        <w:t xml:space="preserve">、邵冲，姚塘，泗庄、丁洼</w:t>
      </w:r>
      <w:r>
        <w:rPr>
          <w:rFonts w:hint="eastAsia" w:ascii="宋体" w:hAnsi="宋体" w:eastAsia="宋体" w:cs="Times New Roman"/>
          <w:bCs/>
          <w:color w:val="000000" w:themeColor="text1"/>
          <w:sz w:val="21"/>
          <w:szCs w:val="21"/>
          <w:highlight w:val="white"/>
          <w:lang w:val="en-US" w:eastAsia="zh-CN"/>
        </w:rPr>
        <w:t xml:space="preserve">共计</w:t>
      </w:r>
      <w:r>
        <w:rPr>
          <w:rFonts w:ascii="宋体" w:hAnsi="宋体" w:eastAsia="宋体" w:cs="Times New Roman"/>
          <w:bCs/>
          <w:color w:val="000000" w:themeColor="text1"/>
          <w:sz w:val="21"/>
          <w:szCs w:val="21"/>
          <w:highlight w:val="white"/>
        </w:rPr>
        <w:t xml:space="preserve">3</w:t>
      </w:r>
      <w:r>
        <w:rPr>
          <w:rFonts w:hint="eastAsia" w:ascii="宋体" w:hAnsi="宋体" w:eastAsia="宋体" w:cs="Times New Roman"/>
          <w:bCs/>
          <w:color w:val="000000" w:themeColor="text1"/>
          <w:sz w:val="21"/>
          <w:szCs w:val="21"/>
          <w:highlight w:val="white"/>
          <w:lang w:val="en-US" w:eastAsia="zh-CN"/>
        </w:rPr>
        <w:t xml:space="preserve">7</w:t>
      </w:r>
      <w:r>
        <w:rPr>
          <w:rFonts w:hint="eastAsia" w:ascii="宋体" w:hAnsi="宋体" w:eastAsia="宋体" w:cs="Times New Roman"/>
          <w:bCs/>
          <w:color w:val="000000" w:themeColor="text1"/>
          <w:sz w:val="21"/>
          <w:szCs w:val="21"/>
          <w:highlight w:val="white"/>
        </w:rPr>
        <w:t xml:space="preserve">座</w:t>
      </w:r>
      <w:r>
        <w:rPr>
          <w:rFonts w:hint="eastAsia" w:ascii="宋体" w:hAnsi="宋体" w:cs="Times New Roman"/>
          <w:bCs/>
          <w:color w:val="000000" w:themeColor="text1"/>
          <w:sz w:val="21"/>
          <w:szCs w:val="21"/>
          <w:highlight w:val="white"/>
          <w:lang w:val="en-US" w:eastAsia="zh-CN"/>
        </w:rPr>
        <w:t xml:space="preserve">中</w:t>
      </w:r>
      <w:r>
        <w:rPr>
          <w:rFonts w:hint="eastAsia" w:ascii="宋体" w:hAnsi="宋体" w:eastAsia="宋体" w:cs="Times New Roman"/>
          <w:bCs/>
          <w:color w:val="000000" w:themeColor="text1"/>
          <w:sz w:val="21"/>
          <w:szCs w:val="21"/>
          <w:highlight w:val="white"/>
        </w:rPr>
        <w:t xml:space="preserve">小型水库进行改造提升评估</w:t>
      </w:r>
      <w:r>
        <w:rPr>
          <w:rFonts w:hint="eastAsia" w:ascii="Times New Roman" w:hAnsi="Times New Roman" w:eastAsia="宋体" w:cs="Times New Roman"/>
          <w:bCs/>
          <w:iCs/>
          <w:color w:val="000000" w:themeColor="text1"/>
          <w:sz w:val="21"/>
          <w:szCs w:val="21"/>
          <w:highlight w:val="white"/>
        </w:rPr>
        <w:t xml:space="preserve">。</w:t>
      </w:r>
      <w:r>
        <w:rPr>
          <w:color w:val="000000" w:themeColor="text1"/>
          <w:sz w:val="21"/>
          <w:szCs w:val="21"/>
          <w:highlight w:val="white"/>
        </w:rPr>
      </w:r>
      <w:r/>
    </w:p>
    <w:p>
      <w:pPr>
        <w:numPr>
          <w:ilvl w:val="0"/>
          <w:numId w:val="10"/>
        </w:numPr>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服务内容</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（1）现场安全排查</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现场安全检查：检查大坝是否存在工程安全隐患与管理缺陷，并为大坝安全评估工作提供指导性意见。</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（2）</w:t>
      </w:r>
      <w:r>
        <w:rPr>
          <w:rFonts w:ascii="Times New Roman" w:hAnsi="Times New Roman" w:eastAsia="宋体" w:cs="Times New Roman"/>
          <w:bCs/>
          <w:iCs/>
          <w:color w:val="000000" w:themeColor="text1"/>
          <w:sz w:val="21"/>
          <w:szCs w:val="21"/>
          <w:highlight w:val="white"/>
        </w:rPr>
        <w:t xml:space="preserve">水库失事后果分析</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从水库下游保护对象重要程度判别失事后果，并结合水库洪水风险图、溃坝洪水分析等成果，</w:t>
      </w:r>
      <w:r>
        <w:rPr>
          <w:rFonts w:ascii="Times New Roman" w:hAnsi="Times New Roman" w:eastAsia="宋体" w:cs="Times New Roman"/>
          <w:bCs/>
          <w:iCs/>
          <w:color w:val="000000" w:themeColor="text1"/>
          <w:sz w:val="21"/>
          <w:szCs w:val="21"/>
          <w:highlight w:val="white"/>
        </w:rPr>
        <w:t xml:space="preserve">评估失事后果的严重程度。</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（3）防洪能力分析</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包括设计洪水分析、洪水标准分析、调洪计算及大坝抗洪能力分析。</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w:t>
      </w:r>
      <w:r>
        <w:rPr>
          <w:rFonts w:ascii="Times New Roman" w:hAnsi="Times New Roman" w:eastAsia="宋体" w:cs="Times New Roman"/>
          <w:bCs/>
          <w:iCs/>
          <w:color w:val="000000" w:themeColor="text1"/>
          <w:sz w:val="21"/>
          <w:szCs w:val="21"/>
          <w:highlight w:val="white"/>
        </w:rPr>
        <w:t xml:space="preserve">4</w:t>
      </w:r>
      <w:r>
        <w:rPr>
          <w:rFonts w:hint="eastAsia" w:ascii="Times New Roman" w:hAnsi="Times New Roman" w:eastAsia="宋体" w:cs="Times New Roman"/>
          <w:bCs/>
          <w:iCs/>
          <w:color w:val="000000" w:themeColor="text1"/>
          <w:sz w:val="21"/>
          <w:szCs w:val="21"/>
          <w:highlight w:val="white"/>
        </w:rPr>
        <w:t xml:space="preserve">）大坝安全复核</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复核大坝渗流安全、结构安全、抗震安全、金属结构安全等。</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w:t>
      </w:r>
      <w:r>
        <w:rPr>
          <w:rFonts w:hint="eastAsia" w:ascii="Times New Roman" w:hAnsi="Times New Roman" w:eastAsia="宋体" w:cs="Times New Roman"/>
          <w:bCs/>
          <w:iCs/>
          <w:color w:val="000000" w:themeColor="text1"/>
          <w:sz w:val="21"/>
          <w:szCs w:val="21"/>
          <w:highlight w:val="white"/>
          <w:lang w:val="en-US" w:eastAsia="zh-CN"/>
        </w:rPr>
        <w:t xml:space="preserve">5</w:t>
      </w:r>
      <w:r>
        <w:rPr>
          <w:rFonts w:hint="eastAsia" w:ascii="Times New Roman" w:hAnsi="Times New Roman" w:eastAsia="宋体" w:cs="Times New Roman"/>
          <w:bCs/>
          <w:iCs/>
          <w:color w:val="000000" w:themeColor="text1"/>
          <w:sz w:val="21"/>
          <w:szCs w:val="21"/>
          <w:highlight w:val="white"/>
        </w:rPr>
        <w:t xml:space="preserve">）监测预报能力分析</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评估雨水情监测预报系统建设及运行状况，分析是否满足出入库洪水测报和调度运用要求。分析大坝安全监测设施是否满足监测运行要求。</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w:t>
      </w:r>
      <w:r>
        <w:rPr>
          <w:rFonts w:ascii="Times New Roman" w:hAnsi="Times New Roman" w:eastAsia="宋体" w:cs="Times New Roman"/>
          <w:bCs/>
          <w:iCs/>
          <w:color w:val="000000" w:themeColor="text1"/>
          <w:sz w:val="21"/>
          <w:szCs w:val="21"/>
          <w:highlight w:val="white"/>
        </w:rPr>
        <w:t xml:space="preserve">6</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val="en-US" w:eastAsia="zh-CN"/>
        </w:rPr>
        <w:t xml:space="preserve">风</w:t>
      </w:r>
      <w:r>
        <w:rPr>
          <w:rFonts w:hint="eastAsia" w:ascii="Times New Roman" w:hAnsi="Times New Roman" w:eastAsia="宋体" w:cs="Times New Roman"/>
          <w:bCs/>
          <w:iCs/>
          <w:color w:val="000000" w:themeColor="text1"/>
          <w:sz w:val="21"/>
          <w:szCs w:val="21"/>
          <w:highlight w:val="white"/>
        </w:rPr>
        <w:t xml:space="preserve">险评估</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对风险隐患水库台账内的老旧水库，综合考虑工程失事后果、安全状况、防洪能力等因素，按照重大风险与一般风险，科学确定水库风险等级。</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w:t>
      </w:r>
      <w:r>
        <w:rPr>
          <w:rFonts w:hint="eastAsia" w:ascii="Times New Roman" w:hAnsi="Times New Roman" w:eastAsia="宋体" w:cs="Times New Roman"/>
          <w:bCs/>
          <w:iCs/>
          <w:color w:val="000000" w:themeColor="text1"/>
          <w:sz w:val="21"/>
          <w:szCs w:val="21"/>
          <w:highlight w:val="white"/>
          <w:lang w:val="en-US" w:eastAsia="zh-CN"/>
        </w:rPr>
        <w:t xml:space="preserve">7</w:t>
      </w:r>
      <w:r>
        <w:rPr>
          <w:rFonts w:hint="eastAsia" w:ascii="Times New Roman" w:hAnsi="Times New Roman" w:eastAsia="宋体" w:cs="Times New Roman"/>
          <w:bCs/>
          <w:iCs/>
          <w:color w:val="000000" w:themeColor="text1"/>
          <w:sz w:val="21"/>
          <w:szCs w:val="21"/>
          <w:highlight w:val="white"/>
        </w:rPr>
        <w:t xml:space="preserve">）提出分类处置措施</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对</w:t>
      </w:r>
      <w:r>
        <w:rPr>
          <w:rFonts w:ascii="Times New Roman" w:hAnsi="Times New Roman" w:eastAsia="宋体" w:cs="Times New Roman"/>
          <w:bCs/>
          <w:iCs/>
          <w:color w:val="000000" w:themeColor="text1"/>
          <w:sz w:val="21"/>
          <w:szCs w:val="21"/>
          <w:highlight w:val="white"/>
        </w:rPr>
        <w:t xml:space="preserve">评估为重大风险的水库，</w:t>
      </w:r>
      <w:r>
        <w:rPr>
          <w:rFonts w:hint="eastAsia" w:ascii="Times New Roman" w:hAnsi="Times New Roman" w:eastAsia="宋体" w:cs="Times New Roman"/>
          <w:bCs/>
          <w:iCs/>
          <w:color w:val="000000" w:themeColor="text1"/>
          <w:sz w:val="21"/>
          <w:szCs w:val="21"/>
          <w:highlight w:val="white"/>
        </w:rPr>
        <w:t xml:space="preserve">按照</w:t>
      </w:r>
      <w:r>
        <w:rPr>
          <w:rFonts w:ascii="Times New Roman" w:hAnsi="Times New Roman" w:eastAsia="宋体" w:cs="Times New Roman"/>
          <w:bCs/>
          <w:iCs/>
          <w:color w:val="000000" w:themeColor="text1"/>
          <w:sz w:val="21"/>
          <w:szCs w:val="21"/>
          <w:highlight w:val="white"/>
        </w:rPr>
        <w:t xml:space="preserve">“一库一策”提出改造提升、除险加固、降等报废等分类处置措施建议。</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w:t>
      </w:r>
      <w:r>
        <w:rPr>
          <w:rFonts w:hint="eastAsia" w:ascii="Times New Roman" w:hAnsi="Times New Roman" w:eastAsia="宋体" w:cs="Times New Roman"/>
          <w:bCs/>
          <w:iCs/>
          <w:color w:val="000000" w:themeColor="text1"/>
          <w:sz w:val="21"/>
          <w:szCs w:val="21"/>
          <w:highlight w:val="white"/>
          <w:lang w:val="en-US" w:eastAsia="zh-CN"/>
        </w:rPr>
        <w:t xml:space="preserve">8</w:t>
      </w:r>
      <w:r>
        <w:rPr>
          <w:rFonts w:hint="eastAsia" w:ascii="Times New Roman" w:hAnsi="Times New Roman" w:eastAsia="宋体" w:cs="Times New Roman"/>
          <w:bCs/>
          <w:iCs/>
          <w:color w:val="000000" w:themeColor="text1"/>
          <w:sz w:val="21"/>
          <w:szCs w:val="21"/>
          <w:highlight w:val="white"/>
        </w:rPr>
        <w:t xml:space="preserve">）初定局部改造措施</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对实施局部改造的水库，初步提出新增或改扩建泄洪设施、坝体加固培厚、大坝安全隐患处理、坝顶硬化和坝坡防护等工程措施，同步完善监测预报等非工程措施，提高水库防洪安全韧性。</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ascii="Times New Roman" w:hAnsi="Times New Roman" w:eastAsia="宋体" w:cs="Times New Roman"/>
          <w:bCs/>
          <w:iCs/>
          <w:color w:val="000000" w:themeColor="text1"/>
          <w:sz w:val="21"/>
          <w:szCs w:val="21"/>
          <w:highlight w:val="white"/>
        </w:rPr>
        <w:t xml:space="preserve">(</w:t>
      </w:r>
      <w:r>
        <w:rPr>
          <w:rFonts w:hint="eastAsia" w:ascii="Times New Roman" w:hAnsi="Times New Roman" w:eastAsia="宋体" w:cs="Times New Roman"/>
          <w:bCs/>
          <w:iCs/>
          <w:color w:val="000000" w:themeColor="text1"/>
          <w:sz w:val="21"/>
          <w:szCs w:val="21"/>
          <w:highlight w:val="white"/>
          <w:lang w:val="en-US" w:eastAsia="zh-CN"/>
        </w:rPr>
        <w:t xml:space="preserve">9</w:t>
      </w:r>
      <w:r>
        <w:rPr>
          <w:rFonts w:ascii="Times New Roman" w:hAnsi="Times New Roman" w:eastAsia="宋体" w:cs="Times New Roman"/>
          <w:bCs/>
          <w:iCs/>
          <w:color w:val="000000" w:themeColor="text1"/>
          <w:sz w:val="21"/>
          <w:szCs w:val="21"/>
          <w:highlight w:val="white"/>
        </w:rPr>
        <w:t xml:space="preserve">)投资匡算</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根据现行水利工程定额、价格标准，初步匡算工程措施、非工程措施等投资。</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ascii="Times New Roman" w:hAnsi="Times New Roman" w:eastAsia="宋体" w:cs="Times New Roman"/>
          <w:bCs/>
          <w:iCs/>
          <w:color w:val="000000" w:themeColor="text1"/>
          <w:sz w:val="21"/>
          <w:szCs w:val="21"/>
          <w:highlight w:val="white"/>
        </w:rPr>
        <w:t xml:space="preserve">(</w:t>
      </w:r>
      <w:r>
        <w:rPr>
          <w:rFonts w:hint="eastAsia" w:ascii="Times New Roman" w:hAnsi="Times New Roman" w:eastAsia="宋体" w:cs="Times New Roman"/>
          <w:bCs/>
          <w:iCs/>
          <w:color w:val="000000" w:themeColor="text1"/>
          <w:sz w:val="21"/>
          <w:szCs w:val="21"/>
          <w:highlight w:val="white"/>
        </w:rPr>
        <w:t xml:space="preserve">1</w:t>
      </w:r>
      <w:r>
        <w:rPr>
          <w:rFonts w:hint="eastAsia" w:ascii="Times New Roman" w:hAnsi="Times New Roman" w:eastAsia="宋体" w:cs="Times New Roman"/>
          <w:bCs/>
          <w:iCs/>
          <w:color w:val="000000" w:themeColor="text1"/>
          <w:sz w:val="21"/>
          <w:szCs w:val="21"/>
          <w:highlight w:val="white"/>
          <w:lang w:val="en-US" w:eastAsia="zh-CN"/>
        </w:rPr>
        <w:t xml:space="preserve">0</w:t>
      </w:r>
      <w:r>
        <w:rPr>
          <w:rFonts w:ascii="Times New Roman" w:hAnsi="Times New Roman" w:eastAsia="宋体" w:cs="Times New Roman"/>
          <w:bCs/>
          <w:iCs/>
          <w:color w:val="000000" w:themeColor="text1"/>
          <w:sz w:val="21"/>
          <w:szCs w:val="21"/>
          <w:highlight w:val="white"/>
        </w:rPr>
        <w:t xml:space="preserve">)评估成果</w:t>
      </w:r>
      <w:r>
        <w:rPr>
          <w:color w:val="000000" w:themeColor="text1"/>
          <w:sz w:val="21"/>
          <w:szCs w:val="21"/>
          <w:highlight w:val="white"/>
        </w:rPr>
      </w:r>
      <w:r/>
    </w:p>
    <w:p>
      <w:pPr>
        <w:ind w:firstLine="480"/>
        <w:jc w:val="left"/>
        <w:spacing w:line="360" w:lineRule="auto"/>
        <w:rPr>
          <w:rFonts w:hint="eastAsia"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开展分析评估的老旧水库，“一库一策”形成评估报告。</w:t>
      </w:r>
      <w:r>
        <w:rPr>
          <w:color w:val="000000" w:themeColor="text1"/>
          <w:sz w:val="21"/>
          <w:szCs w:val="21"/>
          <w:highlight w:val="white"/>
        </w:rPr>
      </w:r>
      <w:r/>
    </w:p>
    <w:p>
      <w:pPr>
        <w:pStyle w:val="853"/>
        <w:rPr>
          <w:rFonts w:hint="default" w:eastAsia="宋体"/>
          <w:color w:val="000000" w:themeColor="text1"/>
          <w:sz w:val="21"/>
          <w:szCs w:val="21"/>
          <w:highlight w:val="white"/>
        </w:rPr>
      </w:pPr>
      <w:r>
        <w:rPr>
          <w:rFonts w:hint="eastAsia" w:cs="Times New Roman"/>
          <w:bCs/>
          <w:iCs/>
          <w:color w:val="000000" w:themeColor="text1"/>
          <w:sz w:val="21"/>
          <w:szCs w:val="21"/>
          <w:highlight w:val="white"/>
          <w:lang w:eastAsia="zh-CN"/>
        </w:rPr>
        <w:t xml:space="preserve">（</w:t>
      </w:r>
      <w:r>
        <w:rPr>
          <w:rFonts w:hint="eastAsia" w:cs="Times New Roman"/>
          <w:bCs/>
          <w:iCs/>
          <w:color w:val="000000" w:themeColor="text1"/>
          <w:sz w:val="21"/>
          <w:szCs w:val="21"/>
          <w:highlight w:val="white"/>
          <w:lang w:val="en-US" w:eastAsia="zh-CN"/>
        </w:rPr>
        <w:t xml:space="preserve">11</w:t>
      </w:r>
      <w:r>
        <w:rPr>
          <w:rFonts w:hint="eastAsia" w:cs="Times New Roman"/>
          <w:bCs/>
          <w:iCs/>
          <w:color w:val="000000" w:themeColor="text1"/>
          <w:sz w:val="21"/>
          <w:szCs w:val="21"/>
          <w:highlight w:val="white"/>
          <w:lang w:eastAsia="zh-CN"/>
        </w:rPr>
        <w:t xml:space="preserve">）</w:t>
      </w:r>
      <w:r>
        <w:rPr>
          <w:rFonts w:hint="eastAsia" w:cs="Times New Roman"/>
          <w:bCs/>
          <w:iCs/>
          <w:color w:val="000000" w:themeColor="text1"/>
          <w:sz w:val="21"/>
          <w:szCs w:val="21"/>
          <w:highlight w:val="white"/>
          <w:lang w:val="en-US" w:eastAsia="zh-CN"/>
        </w:rPr>
        <w:t xml:space="preserve">其他未尽事宜详见</w:t>
      </w:r>
      <w:r>
        <w:rPr>
          <w:rFonts w:hint="eastAsia" w:ascii="Times New Roman" w:hAnsi="Times New Roman" w:eastAsia="宋体" w:cs="Times New Roman"/>
          <w:bCs/>
          <w:iCs/>
          <w:color w:val="000000" w:themeColor="text1"/>
          <w:sz w:val="21"/>
          <w:szCs w:val="21"/>
          <w:highlight w:val="white"/>
        </w:rPr>
        <w:t xml:space="preserve">《老旧水库改造提升项目建设管理办法》</w:t>
      </w:r>
      <w:r>
        <w:rPr>
          <w:rFonts w:hint="eastAsia" w:cs="Times New Roman"/>
          <w:bCs/>
          <w:iCs/>
          <w:color w:val="000000" w:themeColor="text1"/>
          <w:sz w:val="21"/>
          <w:szCs w:val="21"/>
          <w:highlight w:val="white"/>
          <w:lang w:eastAsia="zh-CN"/>
        </w:rPr>
        <w:t xml:space="preserve">（</w:t>
      </w:r>
      <w:r>
        <w:rPr>
          <w:rFonts w:hint="eastAsia" w:ascii="Times New Roman" w:hAnsi="Times New Roman" w:eastAsia="宋体" w:cs="Times New Roman"/>
          <w:bCs/>
          <w:iCs/>
          <w:color w:val="000000" w:themeColor="text1"/>
          <w:sz w:val="21"/>
          <w:szCs w:val="21"/>
          <w:highlight w:val="white"/>
        </w:rPr>
        <w:t xml:space="preserve">办运管〔2026〕162号</w:t>
      </w:r>
      <w:r>
        <w:rPr>
          <w:rFonts w:hint="eastAsia" w:cs="Times New Roman"/>
          <w:bCs/>
          <w:iCs/>
          <w:color w:val="000000" w:themeColor="text1"/>
          <w:sz w:val="21"/>
          <w:szCs w:val="21"/>
          <w:highlight w:val="white"/>
          <w:lang w:eastAsia="zh-CN"/>
        </w:rPr>
        <w:t xml:space="preserve">）、</w:t>
      </w:r>
      <w:r>
        <w:rPr>
          <w:rFonts w:hint="eastAsia" w:ascii="Times New Roman" w:hAnsi="Times New Roman" w:eastAsia="宋体" w:cs="Times New Roman"/>
          <w:bCs/>
          <w:iCs/>
          <w:color w:val="000000" w:themeColor="text1"/>
          <w:sz w:val="21"/>
          <w:szCs w:val="21"/>
          <w:highlight w:val="white"/>
        </w:rPr>
        <w:t xml:space="preserve">《老旧水库改造提升技术指南》（办运管〔</w:t>
      </w:r>
      <w:r>
        <w:rPr>
          <w:rFonts w:ascii="Times New Roman" w:hAnsi="Times New Roman" w:eastAsia="宋体" w:cs="Times New Roman"/>
          <w:bCs/>
          <w:iCs/>
          <w:color w:val="000000" w:themeColor="text1"/>
          <w:sz w:val="21"/>
          <w:szCs w:val="21"/>
          <w:highlight w:val="white"/>
        </w:rPr>
        <w:t xml:space="preserve">2026〕157号</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eastAsia="zh-CN"/>
        </w:rPr>
        <w:t xml:space="preserve">、</w:t>
      </w:r>
      <w:r>
        <w:rPr>
          <w:rFonts w:hint="eastAsia" w:cs="Times New Roman"/>
          <w:bCs/>
          <w:iCs/>
          <w:color w:val="000000" w:themeColor="text1"/>
          <w:sz w:val="21"/>
          <w:szCs w:val="21"/>
          <w:highlight w:val="white"/>
          <w:lang w:val="en-US" w:eastAsia="zh-CN"/>
        </w:rPr>
        <w:t xml:space="preserve">省水利厅转发水利部办公厅关于印发</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val="en-US" w:eastAsia="zh-CN"/>
        </w:rPr>
        <w:t xml:space="preserve">老旧水库改造提升技术指南</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val="en-US" w:eastAsia="zh-CN"/>
        </w:rPr>
        <w:t xml:space="preserve">的通知（苏水运管</w:t>
      </w:r>
      <w:r>
        <w:rPr>
          <w:rFonts w:hint="eastAsia" w:ascii="Times New Roman" w:hAnsi="Times New Roman" w:eastAsia="宋体" w:cs="Times New Roman"/>
          <w:bCs/>
          <w:iCs/>
          <w:color w:val="000000" w:themeColor="text1"/>
          <w:sz w:val="21"/>
          <w:szCs w:val="21"/>
          <w:highlight w:val="white"/>
        </w:rPr>
        <w:t xml:space="preserve">〔</w:t>
      </w:r>
      <w:r>
        <w:rPr>
          <w:rFonts w:ascii="Times New Roman" w:hAnsi="Times New Roman" w:eastAsia="宋体" w:cs="Times New Roman"/>
          <w:bCs/>
          <w:iCs/>
          <w:color w:val="000000" w:themeColor="text1"/>
          <w:sz w:val="21"/>
          <w:szCs w:val="21"/>
          <w:highlight w:val="white"/>
        </w:rPr>
        <w:t xml:space="preserve">2026〕</w:t>
      </w:r>
      <w:r>
        <w:rPr>
          <w:rFonts w:hint="eastAsia" w:cs="Times New Roman"/>
          <w:bCs/>
          <w:iCs/>
          <w:color w:val="000000" w:themeColor="text1"/>
          <w:sz w:val="21"/>
          <w:szCs w:val="21"/>
          <w:highlight w:val="white"/>
          <w:lang w:val="en-US" w:eastAsia="zh-CN"/>
        </w:rPr>
        <w:t xml:space="preserve">6号）</w:t>
      </w:r>
      <w:r>
        <w:rPr>
          <w:color w:val="000000" w:themeColor="text1"/>
          <w:sz w:val="21"/>
          <w:szCs w:val="21"/>
          <w:highlight w:val="white"/>
        </w:rPr>
      </w:r>
      <w:r/>
    </w:p>
    <w:p>
      <w:pPr>
        <w:numPr>
          <w:ilvl w:val="0"/>
          <w:numId w:val="10"/>
        </w:numPr>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服务要求</w:t>
      </w:r>
      <w:r>
        <w:rPr>
          <w:color w:val="000000" w:themeColor="text1"/>
          <w:sz w:val="21"/>
          <w:szCs w:val="21"/>
          <w:highlight w:val="white"/>
        </w:rPr>
      </w:r>
      <w:r/>
    </w:p>
    <w:p>
      <w:pPr>
        <w:pStyle w:val="853"/>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根据</w:t>
      </w:r>
      <w:r>
        <w:rPr>
          <w:rFonts w:hint="eastAsia" w:cs="Times New Roman"/>
          <w:bCs/>
          <w:iCs/>
          <w:color w:val="000000" w:themeColor="text1"/>
          <w:sz w:val="21"/>
          <w:szCs w:val="21"/>
          <w:highlight w:val="white"/>
          <w:lang w:val="en-US" w:eastAsia="zh-CN"/>
        </w:rPr>
        <w:t xml:space="preserve">发改委和水利部</w:t>
      </w:r>
      <w:r>
        <w:rPr>
          <w:rFonts w:hint="eastAsia" w:ascii="Times New Roman" w:hAnsi="Times New Roman" w:eastAsia="宋体" w:cs="Times New Roman"/>
          <w:bCs/>
          <w:iCs/>
          <w:color w:val="000000" w:themeColor="text1"/>
          <w:sz w:val="21"/>
          <w:szCs w:val="21"/>
          <w:highlight w:val="white"/>
        </w:rPr>
        <w:t xml:space="preserve">《老旧水库改造提升项目建设管理办法》</w:t>
      </w:r>
      <w:r>
        <w:rPr>
          <w:rFonts w:hint="eastAsia" w:cs="Times New Roman"/>
          <w:bCs/>
          <w:iCs/>
          <w:color w:val="000000" w:themeColor="text1"/>
          <w:sz w:val="21"/>
          <w:szCs w:val="21"/>
          <w:highlight w:val="white"/>
          <w:lang w:eastAsia="zh-CN"/>
        </w:rPr>
        <w:t xml:space="preserve">（</w:t>
      </w:r>
      <w:r>
        <w:rPr>
          <w:rFonts w:hint="eastAsia" w:ascii="Times New Roman" w:hAnsi="Times New Roman" w:eastAsia="宋体" w:cs="Times New Roman"/>
          <w:bCs/>
          <w:iCs/>
          <w:color w:val="000000" w:themeColor="text1"/>
          <w:sz w:val="21"/>
          <w:szCs w:val="21"/>
          <w:highlight w:val="white"/>
        </w:rPr>
        <w:t xml:space="preserve">办运管〔2026〕162号</w:t>
      </w:r>
      <w:r>
        <w:rPr>
          <w:rFonts w:hint="eastAsia" w:cs="Times New Roman"/>
          <w:bCs/>
          <w:iCs/>
          <w:color w:val="000000" w:themeColor="text1"/>
          <w:sz w:val="21"/>
          <w:szCs w:val="21"/>
          <w:highlight w:val="white"/>
          <w:lang w:eastAsia="zh-CN"/>
        </w:rPr>
        <w:t xml:space="preserve">）</w:t>
      </w:r>
      <w:r>
        <w:rPr>
          <w:rFonts w:hint="eastAsia" w:ascii="Times New Roman" w:hAnsi="Times New Roman" w:eastAsia="宋体" w:cs="Times New Roman"/>
          <w:bCs/>
          <w:iCs/>
          <w:color w:val="000000" w:themeColor="text1"/>
          <w:sz w:val="21"/>
          <w:szCs w:val="21"/>
          <w:highlight w:val="white"/>
        </w:rPr>
        <w:t xml:space="preserve">、《老旧水库改造提升技术指南》（办运管〔</w:t>
      </w:r>
      <w:r>
        <w:rPr>
          <w:rFonts w:ascii="Times New Roman" w:hAnsi="Times New Roman" w:eastAsia="宋体" w:cs="Times New Roman"/>
          <w:bCs/>
          <w:iCs/>
          <w:color w:val="000000" w:themeColor="text1"/>
          <w:sz w:val="21"/>
          <w:szCs w:val="21"/>
          <w:highlight w:val="white"/>
        </w:rPr>
        <w:t xml:space="preserve">2026〕157号</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eastAsia="zh-CN"/>
        </w:rPr>
        <w:t xml:space="preserve">、</w:t>
      </w:r>
      <w:r>
        <w:rPr>
          <w:rFonts w:hint="eastAsia" w:cs="Times New Roman"/>
          <w:bCs/>
          <w:iCs/>
          <w:color w:val="000000" w:themeColor="text1"/>
          <w:sz w:val="21"/>
          <w:szCs w:val="21"/>
          <w:highlight w:val="white"/>
          <w:lang w:val="en-US" w:eastAsia="zh-CN"/>
        </w:rPr>
        <w:t xml:space="preserve">省水利厅转发水利部办公厅关于印发</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val="en-US" w:eastAsia="zh-CN"/>
        </w:rPr>
        <w:t xml:space="preserve">老旧水库改造提升技术指南</w:t>
      </w:r>
      <w:r>
        <w:rPr>
          <w:rFonts w:hint="eastAsia" w:ascii="Times New Roman" w:hAnsi="Times New Roman" w:eastAsia="宋体" w:cs="Times New Roman"/>
          <w:bCs/>
          <w:iCs/>
          <w:color w:val="000000" w:themeColor="text1"/>
          <w:sz w:val="21"/>
          <w:szCs w:val="21"/>
          <w:highlight w:val="white"/>
        </w:rPr>
        <w:t xml:space="preserve">》</w:t>
      </w:r>
      <w:r>
        <w:rPr>
          <w:rFonts w:hint="eastAsia" w:cs="Times New Roman"/>
          <w:bCs/>
          <w:iCs/>
          <w:color w:val="000000" w:themeColor="text1"/>
          <w:sz w:val="21"/>
          <w:szCs w:val="21"/>
          <w:highlight w:val="white"/>
          <w:lang w:val="en-US" w:eastAsia="zh-CN"/>
        </w:rPr>
        <w:t xml:space="preserve">的通知（苏水运管</w:t>
      </w:r>
      <w:r>
        <w:rPr>
          <w:rFonts w:hint="eastAsia" w:ascii="Times New Roman" w:hAnsi="Times New Roman" w:eastAsia="宋体" w:cs="Times New Roman"/>
          <w:bCs/>
          <w:iCs/>
          <w:color w:val="000000" w:themeColor="text1"/>
          <w:sz w:val="21"/>
          <w:szCs w:val="21"/>
          <w:highlight w:val="white"/>
        </w:rPr>
        <w:t xml:space="preserve">〔</w:t>
      </w:r>
      <w:r>
        <w:rPr>
          <w:rFonts w:ascii="Times New Roman" w:hAnsi="Times New Roman" w:eastAsia="宋体" w:cs="Times New Roman"/>
          <w:bCs/>
          <w:iCs/>
          <w:color w:val="000000" w:themeColor="text1"/>
          <w:sz w:val="21"/>
          <w:szCs w:val="21"/>
          <w:highlight w:val="white"/>
        </w:rPr>
        <w:t xml:space="preserve">2026〕</w:t>
      </w:r>
      <w:r>
        <w:rPr>
          <w:rFonts w:hint="eastAsia" w:cs="Times New Roman"/>
          <w:bCs/>
          <w:iCs/>
          <w:color w:val="000000" w:themeColor="text1"/>
          <w:sz w:val="21"/>
          <w:szCs w:val="21"/>
          <w:highlight w:val="white"/>
          <w:lang w:val="en-US" w:eastAsia="zh-CN"/>
        </w:rPr>
        <w:t xml:space="preserve">6号）</w:t>
      </w:r>
      <w:r>
        <w:rPr>
          <w:rFonts w:hint="eastAsia" w:ascii="Times New Roman" w:hAnsi="Times New Roman" w:eastAsia="宋体" w:cs="Times New Roman"/>
          <w:bCs/>
          <w:iCs/>
          <w:color w:val="000000" w:themeColor="text1"/>
          <w:sz w:val="21"/>
          <w:szCs w:val="21"/>
          <w:highlight w:val="white"/>
        </w:rPr>
        <w:t xml:space="preserve">的要求</w:t>
      </w:r>
      <w:r>
        <w:rPr>
          <w:rFonts w:hint="eastAsia" w:ascii="Times New Roman" w:hAnsi="Times New Roman" w:eastAsia="宋体" w:cs="Times New Roman"/>
          <w:bCs/>
          <w:iCs/>
          <w:color w:val="000000" w:themeColor="text1"/>
          <w:sz w:val="21"/>
          <w:szCs w:val="21"/>
          <w:highlight w:val="white"/>
        </w:rPr>
        <w:t xml:space="preserve">，开展</w:t>
      </w:r>
      <w:r>
        <w:rPr>
          <w:rFonts w:ascii="Times New Roman" w:hAnsi="Times New Roman" w:eastAsia="宋体" w:cs="Times New Roman"/>
          <w:bCs/>
          <w:iCs/>
          <w:color w:val="000000" w:themeColor="text1"/>
          <w:sz w:val="21"/>
          <w:szCs w:val="21"/>
          <w:highlight w:val="white"/>
        </w:rPr>
        <w:t xml:space="preserve">3</w:t>
      </w:r>
      <w:r>
        <w:rPr>
          <w:rFonts w:hint="eastAsia" w:cs="Times New Roman"/>
          <w:bCs/>
          <w:iCs/>
          <w:color w:val="000000" w:themeColor="text1"/>
          <w:sz w:val="21"/>
          <w:szCs w:val="21"/>
          <w:highlight w:val="white"/>
          <w:lang w:val="en-US" w:eastAsia="zh-CN"/>
        </w:rPr>
        <w:t xml:space="preserve">7</w:t>
      </w:r>
      <w:r>
        <w:rPr>
          <w:rFonts w:hint="eastAsia" w:ascii="Times New Roman" w:hAnsi="Times New Roman" w:eastAsia="宋体" w:cs="Times New Roman"/>
          <w:bCs/>
          <w:iCs/>
          <w:color w:val="000000" w:themeColor="text1"/>
          <w:sz w:val="21"/>
          <w:szCs w:val="21"/>
          <w:highlight w:val="white"/>
        </w:rPr>
        <w:t xml:space="preserve">座改造提升评估报告的编制工作。</w:t>
      </w:r>
      <w:r>
        <w:rPr>
          <w:color w:val="000000" w:themeColor="text1"/>
          <w:sz w:val="21"/>
          <w:szCs w:val="21"/>
          <w:highlight w:val="white"/>
        </w:rPr>
      </w:r>
      <w:r/>
    </w:p>
    <w:p>
      <w:pPr>
        <w:ind w:firstLine="480"/>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为科学评判老旧水库在极端暴雨洪水条件下的风险状况，依据《指南》开展水库的分析评估工作，对水库失事后果、设计洪水、洪水标准、防洪能力、大坝安全等进行系统复核，科学评估确定风险等级，“一库一策”提出分类处置及改造提升措施建议。</w:t>
      </w:r>
      <w:r>
        <w:rPr>
          <w:color w:val="000000" w:themeColor="text1"/>
          <w:sz w:val="21"/>
          <w:szCs w:val="21"/>
          <w:highlight w:val="white"/>
        </w:rPr>
      </w:r>
      <w:r/>
    </w:p>
    <w:p>
      <w:pPr>
        <w:numPr>
          <w:ilvl w:val="0"/>
          <w:numId w:val="10"/>
        </w:numPr>
        <w:jc w:val="left"/>
        <w:spacing w:line="360" w:lineRule="auto"/>
        <w:rPr>
          <w:rFonts w:ascii="Times New Roman" w:hAnsi="Times New Roman" w:eastAsia="宋体" w:cs="Times New Roman"/>
          <w:bCs/>
          <w:iCs/>
          <w:color w:val="000000" w:themeColor="text1"/>
          <w:sz w:val="21"/>
          <w:szCs w:val="21"/>
          <w:highlight w:val="white"/>
        </w:rPr>
      </w:pPr>
      <w:r>
        <w:rPr>
          <w:rFonts w:hint="eastAsia" w:ascii="Times New Roman" w:hAnsi="Times New Roman" w:eastAsia="宋体" w:cs="Times New Roman"/>
          <w:bCs/>
          <w:iCs/>
          <w:color w:val="000000" w:themeColor="text1"/>
          <w:sz w:val="21"/>
          <w:szCs w:val="21"/>
          <w:highlight w:val="white"/>
        </w:rPr>
        <w:t xml:space="preserve">成果资料</w:t>
      </w:r>
      <w:r>
        <w:rPr>
          <w:color w:val="000000" w:themeColor="text1"/>
          <w:sz w:val="21"/>
          <w:szCs w:val="21"/>
          <w:highlight w:val="white"/>
        </w:rPr>
      </w:r>
      <w:r/>
    </w:p>
    <w:p>
      <w:pPr>
        <w:ind w:firstLine="480"/>
        <w:spacing w:line="360" w:lineRule="auto"/>
        <w:rPr>
          <w:rFonts w:ascii="Times New Roman" w:hAnsi="Times New Roman" w:eastAsia="宋体" w:cs="Times New Roman"/>
          <w:color w:val="000000" w:themeColor="text1"/>
          <w:sz w:val="21"/>
          <w:szCs w:val="21"/>
          <w:highlight w:val="white"/>
        </w:rPr>
      </w:pPr>
      <w:r>
        <w:rPr>
          <w:rFonts w:hint="eastAsia" w:cs="Times New Roman"/>
          <w:color w:val="000000" w:themeColor="text1"/>
          <w:sz w:val="21"/>
          <w:szCs w:val="21"/>
          <w:highlight w:val="white"/>
          <w:lang w:val="en-US" w:eastAsia="zh-CN"/>
        </w:rPr>
        <w:t xml:space="preserve">逐库形成</w:t>
      </w:r>
      <w:r>
        <w:rPr>
          <w:rFonts w:hint="eastAsia" w:ascii="Times New Roman" w:hAnsi="Times New Roman" w:eastAsia="宋体" w:cs="Times New Roman"/>
          <w:color w:val="000000" w:themeColor="text1"/>
          <w:sz w:val="21"/>
          <w:szCs w:val="21"/>
          <w:highlight w:val="white"/>
        </w:rPr>
        <w:t xml:space="preserve">《老旧水库改造提升评估报告》；</w:t>
      </w:r>
      <w:r>
        <w:rPr>
          <w:color w:val="000000" w:themeColor="text1"/>
          <w:sz w:val="21"/>
          <w:szCs w:val="21"/>
          <w:highlight w:val="white"/>
        </w:rPr>
      </w:r>
      <w:r/>
    </w:p>
    <w:p>
      <w:pPr>
        <w:numPr>
          <w:ilvl w:val="0"/>
          <w:numId w:val="10"/>
        </w:numPr>
        <w:jc w:val="left"/>
        <w:spacing w:line="360" w:lineRule="auto"/>
        <w:rPr>
          <w:rFonts w:ascii="Times New Roman" w:hAnsi="Times New Roman" w:eastAsia="宋体" w:cs="Times New Roman"/>
          <w:bCs/>
          <w:iCs/>
          <w:color w:val="000000" w:themeColor="text1"/>
          <w:sz w:val="21"/>
          <w:szCs w:val="21"/>
          <w:highlight w:val="white"/>
        </w:rPr>
      </w:pPr>
      <w:r>
        <w:rPr>
          <w:color w:val="000000" w:themeColor="text1"/>
          <w:sz w:val="21"/>
          <w:szCs w:val="21"/>
          <w:highlight w:val="white"/>
        </w:rPr>
      </w:r>
      <w:bookmarkStart w:id="183" w:name="OLE_LINK17"/>
      <w:r>
        <w:rPr>
          <w:color w:val="000000" w:themeColor="text1"/>
          <w:sz w:val="21"/>
          <w:szCs w:val="21"/>
          <w:highlight w:val="white"/>
        </w:rPr>
      </w:r>
      <w:bookmarkStart w:id="184" w:name="OLE_LINK18"/>
      <w:r>
        <w:rPr>
          <w:rFonts w:hint="eastAsia" w:ascii="Times New Roman" w:hAnsi="Times New Roman" w:eastAsia="宋体" w:cs="Times New Roman"/>
          <w:bCs/>
          <w:iCs/>
          <w:color w:val="000000" w:themeColor="text1"/>
          <w:sz w:val="21"/>
          <w:szCs w:val="21"/>
          <w:highlight w:val="white"/>
        </w:rPr>
        <w:t xml:space="preserve">验收标准</w:t>
      </w:r>
      <w:r>
        <w:rPr>
          <w:color w:val="000000" w:themeColor="text1"/>
          <w:sz w:val="21"/>
          <w:szCs w:val="21"/>
          <w:highlight w:val="white"/>
        </w:rPr>
      </w:r>
      <w:r/>
    </w:p>
    <w:p>
      <w:pPr>
        <w:ind w:firstLine="480"/>
        <w:spacing w:line="360" w:lineRule="auto"/>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评估</w:t>
      </w:r>
      <w:r>
        <w:rPr>
          <w:rFonts w:hint="eastAsia" w:cs="Times New Roman"/>
          <w:color w:val="000000" w:themeColor="text1"/>
          <w:sz w:val="21"/>
          <w:szCs w:val="21"/>
          <w:highlight w:val="white"/>
          <w:lang w:val="en-US" w:eastAsia="zh-CN"/>
        </w:rPr>
        <w:t xml:space="preserve">成果通过流域管理机构、省级</w:t>
      </w:r>
      <w:r>
        <w:rPr>
          <w:rFonts w:hint="eastAsia" w:ascii="Times New Roman" w:hAnsi="Times New Roman" w:eastAsia="宋体" w:cs="Times New Roman"/>
          <w:color w:val="000000" w:themeColor="text1"/>
          <w:sz w:val="21"/>
          <w:szCs w:val="21"/>
          <w:highlight w:val="white"/>
        </w:rPr>
        <w:t xml:space="preserve">水行政主管部门</w:t>
      </w:r>
      <w:r>
        <w:rPr>
          <w:rFonts w:hint="eastAsia" w:cs="Times New Roman"/>
          <w:color w:val="000000" w:themeColor="text1"/>
          <w:sz w:val="21"/>
          <w:szCs w:val="21"/>
          <w:highlight w:val="white"/>
          <w:lang w:val="en-US" w:eastAsia="zh-CN"/>
        </w:rPr>
        <w:t xml:space="preserve">复核。</w:t>
      </w:r>
      <w:r>
        <w:rPr>
          <w:color w:val="000000" w:themeColor="text1"/>
          <w:sz w:val="21"/>
          <w:szCs w:val="21"/>
          <w:highlight w:val="white"/>
        </w:rPr>
      </w:r>
      <w:r/>
    </w:p>
    <w:p>
      <w:pPr>
        <w:pStyle w:val="853"/>
        <w:numPr>
          <w:ilvl w:val="0"/>
          <w:numId w:val="10"/>
        </w:numPr>
        <w:ind w:firstLine="0"/>
        <w:rPr>
          <w:rFonts w:hint="eastAsia" w:ascii="Times New Roman" w:hAnsi="Times New Roman"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服务期限：</w:t>
      </w:r>
      <w:r>
        <w:rPr>
          <w:color w:val="000000" w:themeColor="text1"/>
          <w:sz w:val="21"/>
          <w:szCs w:val="21"/>
          <w:highlight w:val="white"/>
        </w:rPr>
      </w:r>
      <w:r/>
    </w:p>
    <w:p>
      <w:pPr>
        <w:pStyle w:val="853"/>
        <w:numPr>
          <w:ilvl w:val="-1"/>
          <w:numId w:val="0"/>
        </w:numPr>
        <w:ind w:firstLine="480"/>
        <w:rPr>
          <w:rFonts w:hint="default" w:ascii="Times New Roman" w:hAnsi="Times New Roman" w:eastAsia="宋体" w:cs="Times New Roman"/>
          <w:color w:val="000000" w:themeColor="text1"/>
          <w:sz w:val="21"/>
          <w:szCs w:val="21"/>
          <w:highlight w:val="white"/>
          <w:u w:val="none"/>
        </w:rPr>
      </w:pPr>
      <w:r>
        <w:rPr>
          <w:rFonts w:hint="eastAsia" w:cs="Times New Roman"/>
          <w:color w:val="000000" w:themeColor="text1"/>
          <w:sz w:val="21"/>
          <w:szCs w:val="21"/>
          <w:highlight w:val="white"/>
          <w:u w:val="none"/>
          <w:lang w:val="en-US" w:eastAsia="zh-CN"/>
        </w:rPr>
        <w:t xml:space="preserve">总工期90日历天，</w:t>
      </w:r>
      <w:r>
        <w:rPr>
          <w:rFonts w:hint="eastAsia" w:ascii="Times New Roman" w:hAnsi="Times New Roman" w:eastAsia="宋体" w:cs="Times New Roman"/>
          <w:color w:val="000000" w:themeColor="text1"/>
          <w:sz w:val="21"/>
          <w:szCs w:val="21"/>
          <w:highlight w:val="white"/>
          <w:u w:val="none"/>
        </w:rPr>
        <w:t xml:space="preserve">自合同签订之日起</w:t>
      </w:r>
      <w:r>
        <w:rPr>
          <w:rFonts w:hint="eastAsia" w:cs="Times New Roman"/>
          <w:color w:val="000000" w:themeColor="text1"/>
          <w:sz w:val="21"/>
          <w:szCs w:val="21"/>
          <w:highlight w:val="white"/>
          <w:u w:val="none"/>
          <w:lang w:val="en-US" w:eastAsia="zh-CN"/>
        </w:rPr>
        <w:t xml:space="preserve">90日历天内。</w:t>
      </w:r>
      <w:bookmarkEnd w:id="183"/>
      <w:r>
        <w:rPr>
          <w:color w:val="000000" w:themeColor="text1"/>
          <w:sz w:val="21"/>
          <w:szCs w:val="21"/>
          <w:highlight w:val="white"/>
        </w:rPr>
      </w:r>
      <w:bookmarkEnd w:id="184"/>
      <w:r>
        <w:rPr>
          <w:color w:val="000000" w:themeColor="text1"/>
          <w:sz w:val="21"/>
          <w:szCs w:val="21"/>
          <w:highlight w:val="white"/>
        </w:rPr>
      </w:r>
      <w:r/>
    </w:p>
    <w:p>
      <w:pPr>
        <w:contextualSpacing/>
        <w:spacing w:line="360" w:lineRule="auto"/>
        <w:rPr>
          <w:rFonts w:ascii="Times New Roman" w:hAnsi="Times New Roman" w:eastAsia="宋体" w:cs="Times New Roman"/>
          <w:color w:val="000000" w:themeColor="text1"/>
          <w:sz w:val="21"/>
          <w:szCs w:val="21"/>
          <w:highlight w:val="white"/>
        </w:rPr>
      </w:pPr>
      <w:r>
        <w:rPr>
          <w:rFonts w:hint="eastAsia" w:cs="Times New Roman"/>
          <w:color w:val="000000" w:themeColor="text1"/>
          <w:sz w:val="21"/>
          <w:szCs w:val="21"/>
          <w:highlight w:val="white"/>
          <w:lang w:val="en-US" w:eastAsia="zh-CN"/>
        </w:rPr>
        <w:t xml:space="preserve">7</w:t>
      </w:r>
      <w:r>
        <w:rPr>
          <w:rFonts w:hint="eastAsia" w:ascii="Times New Roman" w:hAnsi="Times New Roman" w:eastAsia="宋体" w:cs="Times New Roman"/>
          <w:color w:val="000000" w:themeColor="text1"/>
          <w:sz w:val="21"/>
          <w:szCs w:val="21"/>
          <w:highlight w:val="white"/>
        </w:rPr>
        <w:t xml:space="preserve">.其他要求</w:t>
      </w:r>
      <w:r>
        <w:rPr>
          <w:color w:val="000000" w:themeColor="text1"/>
          <w:sz w:val="21"/>
          <w:szCs w:val="21"/>
          <w:highlight w:val="white"/>
        </w:rPr>
      </w:r>
      <w:r/>
    </w:p>
    <w:p>
      <w:pPr>
        <w:ind w:firstLine="480"/>
        <w:spacing w:line="360" w:lineRule="auto"/>
        <w:rPr>
          <w:rFonts w:ascii="宋体" w:hAnsi="宋体" w:eastAsia="宋体" w:cs="Times New Roman"/>
          <w:color w:val="000000" w:themeColor="text1"/>
          <w:sz w:val="21"/>
          <w:szCs w:val="21"/>
          <w:highlight w:val="white"/>
        </w:rPr>
      </w:pPr>
      <w:r>
        <w:rPr>
          <w:rFonts w:hint="eastAsia" w:ascii="Times New Roman" w:hAnsi="Times New Roman" w:eastAsia="宋体" w:cs="Times New Roman"/>
          <w:color w:val="000000" w:themeColor="text1"/>
          <w:sz w:val="21"/>
          <w:szCs w:val="21"/>
          <w:highlight w:val="white"/>
        </w:rPr>
        <w:t xml:space="preserve">在项目实施或服务过程中发生的人员事故等一切责任均由成交供应商负责，采购人不承担任何法律及经济责任。</w:t>
      </w:r>
      <w:r>
        <w:rPr>
          <w:color w:val="000000" w:themeColor="text1"/>
          <w:sz w:val="21"/>
          <w:szCs w:val="21"/>
          <w:highlight w:val="white"/>
        </w:rPr>
      </w:r>
      <w:r/>
    </w:p>
    <w:p>
      <w:pPr>
        <w:jc w:val="left"/>
        <w:spacing w:line="360" w:lineRule="auto"/>
        <w:rPr>
          <w:rFonts w:ascii="Times New Roman" w:hAnsi="Times New Roman" w:eastAsia="宋体" w:cs="Times New Roman"/>
          <w:b/>
          <w:iCs/>
          <w:color w:val="000000" w:themeColor="text1"/>
          <w:sz w:val="21"/>
          <w:szCs w:val="21"/>
          <w:highlight w:val="white"/>
        </w:rPr>
      </w:pPr>
      <w:r>
        <w:rPr>
          <w:rFonts w:hint="eastAsia" w:ascii="Times New Roman" w:hAnsi="Times New Roman" w:eastAsia="宋体" w:cs="Times New Roman"/>
          <w:b/>
          <w:iCs/>
          <w:color w:val="000000" w:themeColor="text1"/>
          <w:sz w:val="21"/>
          <w:szCs w:val="21"/>
          <w:highlight w:val="white"/>
        </w:rPr>
        <w:t xml:space="preserve">四、其他</w:t>
      </w:r>
      <w:r>
        <w:rPr>
          <w:color w:val="000000" w:themeColor="text1"/>
          <w:sz w:val="21"/>
          <w:szCs w:val="21"/>
          <w:highlight w:val="white"/>
        </w:rPr>
      </w:r>
      <w:r/>
    </w:p>
    <w:p>
      <w:pPr>
        <w:ind w:firstLine="482"/>
        <w:jc w:val="left"/>
        <w:spacing w:line="360" w:lineRule="auto"/>
        <w:rPr>
          <w:rFonts w:ascii="Times New Roman" w:hAnsi="Times New Roman" w:eastAsia="宋体" w:cs="Times New Roman"/>
          <w:b/>
          <w:iCs/>
          <w:color w:val="000000" w:themeColor="text1"/>
          <w:sz w:val="21"/>
          <w:szCs w:val="21"/>
          <w:highlight w:val="white"/>
        </w:rPr>
      </w:pPr>
      <w:r>
        <w:rPr>
          <w:rFonts w:hint="eastAsia" w:ascii="Times New Roman" w:hAnsi="Times New Roman" w:eastAsia="宋体" w:cs="Times New Roman"/>
          <w:b/>
          <w:iCs/>
          <w:color w:val="000000" w:themeColor="text1"/>
          <w:sz w:val="21"/>
          <w:szCs w:val="21"/>
          <w:highlight w:val="white"/>
        </w:rPr>
        <w:t xml:space="preserve">成交供应商须在合同签订后3天内向采购人提供与投标所报电子文件一致的纸质投标书3份，并按要求签字盖章。</w:t>
      </w:r>
      <w:r>
        <w:rPr>
          <w:color w:val="000000" w:themeColor="text1"/>
          <w:sz w:val="21"/>
          <w:szCs w:val="21"/>
          <w:highlight w:val="white"/>
        </w:rPr>
      </w:r>
      <w:r/>
    </w:p>
    <w:p>
      <w:pPr>
        <w:pStyle w:val="1149"/>
        <w:jc w:val="both"/>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3"/>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4"/>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5"/>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56"/>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rPr>
          <w:highlight w:val="white"/>
        </w:rPr>
      </w:r>
      <w:r/>
    </w:p>
    <w:p>
      <w:pPr>
        <w:pStyle w:val="860"/>
        <w:ind w:left="0"/>
        <w:rPr>
          <w:rFonts w:hint="eastAsia"/>
          <w:highlight w:val="white"/>
        </w:rPr>
      </w:pPr>
      <w:r>
        <w:rPr>
          <w:rFonts w:hint="eastAsia"/>
          <w:highlight w:val="white"/>
        </w:rPr>
      </w:r>
      <w:r>
        <w:rPr>
          <w:highlight w:val="white"/>
        </w:rPr>
      </w:r>
      <w:r/>
    </w:p>
    <w:p>
      <w:pPr>
        <w:pStyle w:val="1149"/>
        <w:rPr>
          <w:bCs/>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第五章  评审方法与评审标</w:t>
      </w:r>
      <w:r>
        <w:rPr>
          <w:rFonts w:hint="eastAsia"/>
          <w:bCs/>
          <w:color w:val="000000" w:themeColor="text1"/>
          <w:highlight w:val="white"/>
          <w14:textFill>
            <w14:solidFill>
              <w14:schemeClr w14:val="tx1"/>
            </w14:solidFill>
          </w14:textFill>
        </w:rPr>
        <w:t xml:space="preserve">准</w:t>
      </w:r>
      <w:r>
        <w:rPr>
          <w:highlight w:val="white"/>
        </w:rPr>
      </w:r>
      <w:r/>
    </w:p>
    <w:p>
      <w:pPr>
        <w:ind w:firstLine="422"/>
        <w:jc w:val="left"/>
        <w:spacing w:before="120" w:after="120"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一、评标方法</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采用综合评分法的，评标结果按评审后得分由高到低顺序排列。评审得分相同的，按照最后报价由低到高的顺序推荐。评审得分且最后报价相同的，按照技术指标优劣顺序推荐。</w:t>
      </w:r>
      <w:r>
        <w:rPr>
          <w:highlight w:val="white"/>
        </w:rPr>
      </w:r>
      <w:r/>
    </w:p>
    <w:p>
      <w:pPr>
        <w:ind w:firstLine="422"/>
        <w:jc w:val="left"/>
        <w:spacing w:before="120" w:after="120"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二、政府采购政策功能落实</w:t>
      </w:r>
      <w:r>
        <w:rPr>
          <w:highlight w:val="white"/>
        </w:rPr>
      </w:r>
      <w:r/>
    </w:p>
    <w:p>
      <w:pPr>
        <w:pStyle w:val="1126"/>
        <w:ind w:firstLine="420"/>
        <w:spacing w:before="0" w:after="0"/>
        <w:rPr>
          <w:rFonts w:hint="eastAsia" w:ascii="宋体" w:hAnsi="宋体" w:cs="宋体"/>
          <w:bCs/>
          <w:color w:val="000000" w:themeColor="text1"/>
          <w:sz w:val="21"/>
          <w:szCs w:val="21"/>
          <w:highlight w:val="white"/>
          <w14:textFill>
            <w14:solidFill>
              <w14:schemeClr w14:val="tx1"/>
            </w14:solidFill>
          </w14:textFill>
        </w:rPr>
      </w:pPr>
      <w:r>
        <w:rPr>
          <w:rFonts w:hint="eastAsia" w:ascii="宋体" w:hAnsi="宋体" w:cs="宋体"/>
          <w:bCs/>
          <w:color w:val="000000" w:themeColor="text1"/>
          <w:sz w:val="21"/>
          <w:szCs w:val="21"/>
          <w:highlight w:val="white"/>
          <w14:textFill>
            <w14:solidFill>
              <w14:schemeClr w14:val="tx1"/>
            </w14:solidFill>
          </w14:textFill>
        </w:rPr>
        <w:t xml:space="preserve">依照《政府采购促进中小企业发展管理办法》的规定：</w:t>
      </w:r>
      <w:r>
        <w:rPr>
          <w:highlight w:val="white"/>
        </w:rPr>
      </w:r>
      <w:r/>
    </w:p>
    <w:p>
      <w:pPr>
        <w:pStyle w:val="1126"/>
        <w:ind w:firstLine="422"/>
        <w:spacing w:before="0" w:after="0"/>
        <w:rPr>
          <w:rFonts w:hint="eastAsia" w:ascii="宋体" w:hAnsi="宋体" w:cs="宋体"/>
          <w:b/>
          <w:bCs w:val="0"/>
          <w:color w:val="000000" w:themeColor="text1"/>
          <w:sz w:val="21"/>
          <w:szCs w:val="21"/>
          <w:highlight w:val="white"/>
          <w14:textFill>
            <w14:solidFill>
              <w14:schemeClr w14:val="tx1"/>
            </w14:solidFill>
          </w14:textFill>
        </w:rPr>
      </w:pPr>
      <w:r>
        <w:rPr>
          <w:rFonts w:hint="eastAsia" w:ascii="宋体" w:hAnsi="宋体" w:cs="宋体"/>
          <w:b/>
          <w:bCs w:val="0"/>
          <w:color w:val="000000" w:themeColor="text1"/>
          <w:sz w:val="21"/>
          <w:szCs w:val="21"/>
          <w:highlight w:val="white"/>
          <w14:textFill>
            <w14:solidFill>
              <w14:schemeClr w14:val="tx1"/>
            </w14:solidFill>
          </w14:textFill>
        </w:rPr>
        <w:t xml:space="preserve">(一）未预留份额专门面向中小企业采购的采购项目或分包，对符合条件的小</w:t>
      </w:r>
      <w:r>
        <w:rPr>
          <w:rFonts w:hint="eastAsia" w:ascii="宋体" w:hAnsi="宋体" w:cs="宋体"/>
          <w:b/>
          <w:bCs w:val="0"/>
          <w:color w:val="000000" w:themeColor="text1"/>
          <w:sz w:val="21"/>
          <w:szCs w:val="21"/>
          <w:highlight w:val="white"/>
          <w:lang w:eastAsia="zh-CN"/>
          <w14:textFill>
            <w14:solidFill>
              <w14:schemeClr w14:val="tx1"/>
            </w14:solidFill>
          </w14:textFill>
        </w:rPr>
        <w:t xml:space="preserve">、</w:t>
      </w:r>
      <w:r>
        <w:rPr>
          <w:rFonts w:hint="eastAsia" w:ascii="宋体" w:hAnsi="宋体" w:cs="宋体"/>
          <w:b/>
          <w:bCs w:val="0"/>
          <w:color w:val="000000" w:themeColor="text1"/>
          <w:sz w:val="21"/>
          <w:szCs w:val="21"/>
          <w:highlight w:val="white"/>
          <w14:textFill>
            <w14:solidFill>
              <w14:schemeClr w14:val="tx1"/>
            </w14:solidFill>
          </w14:textFill>
        </w:rPr>
        <w:t xml:space="preserve">微型企业、监狱和戒毒企业价格或残疾人福利单位所制造生产的货物或提供的服务进行价格扣除，具体如下：</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1、小</w:t>
      </w:r>
      <w:r>
        <w:rPr>
          <w:rFonts w:hint="eastAsia" w:ascii="宋体" w:hAnsi="宋体" w:cs="宋体"/>
          <w:bCs/>
          <w:color w:val="000000" w:themeColor="text1"/>
          <w:szCs w:val="21"/>
          <w:highlight w:val="white"/>
          <w:lang w:eastAsia="zh-CN"/>
          <w14:textFill>
            <w14:solidFill>
              <w14:schemeClr w14:val="tx1"/>
            </w14:solidFill>
          </w14:textFill>
        </w:rPr>
        <w:t xml:space="preserve">、</w:t>
      </w:r>
      <w:r>
        <w:rPr>
          <w:rFonts w:hint="eastAsia" w:ascii="宋体" w:hAnsi="宋体" w:cs="宋体"/>
          <w:bCs/>
          <w:color w:val="000000" w:themeColor="text1"/>
          <w:szCs w:val="21"/>
          <w:highlight w:val="white"/>
          <w14:textFill>
            <w14:solidFill>
              <w14:schemeClr w14:val="tx1"/>
            </w14:solidFill>
          </w14:textFill>
        </w:rPr>
        <w:t xml:space="preserve">微型企业价格扣除</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（1）本项目对小型和微型企业产品给予20%的扣除价格，用扣除后的价格参与评审。</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（2）供应商需按照采购文件的要求提供相应的《小微企业声明函》。</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（3）企业标准请参照《关于印发中小企业划型标准规定的通知》（工信部联企业[2011]300号）文件规定自行填写。</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2、残疾人福利单位价格扣除</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（1）本项目对残疾人福利性单位视同小型、微型企业，给予20%的价格扣除，用扣除后的价格参与评审。</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（2）残疾人福利单位需按照采购文件的要求提供《残疾人福利性单位声明函》。</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（3）残疾人福利单位标准请参照《关于促进残疾人就业政府采购政策的通知》（财库〔2017〕141号）。</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3、监狱和戒毒企业价格扣除</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（1）本项目对监狱和戒毒企业（简称监狱企业）视同小型、微型企业，给予20%的价格扣除，用扣除后的价格参与评审。</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（3）监狱企业标准请参照《关于政府采购支持监狱企业发展有关问题的通知》（财库[2014]68号）。</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4、残疾人福利单位、监狱企业属于小型、微型企业的，不重复享受政策。</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white"/>
        </w:rPr>
      </w:r>
      <w:r/>
    </w:p>
    <w:p>
      <w:pPr>
        <w:ind w:firstLine="422"/>
        <w:jc w:val="left"/>
        <w:spacing w:before="120" w:after="120"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6、联合体各方均为小型、微型企业（残疾人福利单位、监狱企业）的，联合体享受20%价格扣除，用扣除后的价格参与评审。</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、采购本国产品的支持政策</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.3供应商需按照招标文件的要求提供《关于符合本国产品标准的声明函》（以下简称《声明函》），如不提供将不享受本国产品价格评审优惠。</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pStyle w:val="865"/>
        <w:spacing w:line="360" w:lineRule="auto"/>
        <w:rPr>
          <w:rFonts w:hint="eastAsia" w:ascii="宋体" w:hAnsi="宋体" w:cs="宋体"/>
          <w:b w:val="0"/>
          <w:bCs/>
          <w:color w:val="000000" w:themeColor="text1"/>
          <w:sz w:val="21"/>
          <w:szCs w:val="21"/>
          <w:highlight w:val="white"/>
          <w14:textFill>
            <w14:solidFill>
              <w14:schemeClr w14:val="tx1"/>
            </w14:solidFill>
          </w14:textFill>
        </w:rPr>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7</w:t>
      </w:r>
      <w:r>
        <w:rPr>
          <w:rFonts w:hint="eastAsia" w:ascii="宋体" w:hAnsi="宋体" w:cs="宋体"/>
          <w:b w:val="0"/>
          <w:bCs/>
          <w:color w:val="000000" w:themeColor="text1"/>
          <w:sz w:val="21"/>
          <w:szCs w:val="21"/>
          <w:highlight w:val="whit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pStyle w:val="1126"/>
        <w:ind w:firstLine="211"/>
        <w:spacing w:before="0" w:after="0"/>
        <w:rPr>
          <w:rFonts w:hint="eastAsia" w:ascii="宋体" w:hAnsi="宋体" w:cs="宋体"/>
          <w:b/>
          <w:bCs w:val="0"/>
          <w:color w:val="000000" w:themeColor="text1"/>
          <w:sz w:val="21"/>
          <w:szCs w:val="21"/>
          <w:highlight w:val="white"/>
          <w14:textFill>
            <w14:solidFill>
              <w14:schemeClr w14:val="tx1"/>
            </w14:solidFill>
          </w14:textFill>
        </w:rPr>
      </w:pPr>
      <w:r>
        <w:rPr>
          <w:rFonts w:hint="eastAsia" w:ascii="宋体" w:hAnsi="宋体" w:cs="宋体"/>
          <w:b/>
          <w:bCs w:val="0"/>
          <w:color w:val="000000" w:themeColor="text1"/>
          <w:sz w:val="21"/>
          <w:szCs w:val="21"/>
          <w:highlight w:val="white"/>
          <w14:textFill>
            <w14:solidFill>
              <w14:schemeClr w14:val="tx1"/>
            </w14:solidFill>
          </w14:textFill>
        </w:rPr>
      </w:r>
      <w:r>
        <w:rPr>
          <w:highlight w:val="white"/>
        </w:rPr>
      </w:r>
      <w:r/>
    </w:p>
    <w:p>
      <w:pPr>
        <w:pStyle w:val="1126"/>
        <w:ind w:firstLine="211"/>
        <w:spacing w:before="0" w:after="0"/>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bCs w:val="0"/>
          <w:color w:val="000000" w:themeColor="text1"/>
          <w:sz w:val="21"/>
          <w:szCs w:val="21"/>
          <w:highlight w:val="white"/>
          <w14:textFill>
            <w14:solidFill>
              <w14:schemeClr w14:val="tx1"/>
            </w14:solidFill>
          </w14:textFill>
        </w:rPr>
        <w:t xml:space="preserve">（二）</w:t>
      </w:r>
      <w:r>
        <w:rPr>
          <w:rFonts w:hint="eastAsia" w:ascii="宋体" w:hAnsi="宋体" w:cs="宋体"/>
          <w:b/>
          <w:bCs w:val="0"/>
          <w:color w:val="000000" w:themeColor="text1"/>
          <w:sz w:val="21"/>
          <w:szCs w:val="21"/>
          <w:highlight w:val="white"/>
          <w:lang w:val="en-US" w:eastAsia="zh-CN"/>
          <w14:textFill>
            <w14:solidFill>
              <w14:schemeClr w14:val="tx1"/>
            </w14:solidFill>
          </w14:textFill>
        </w:rPr>
        <w:t xml:space="preserve">本项目</w:t>
      </w:r>
      <w:r>
        <w:rPr>
          <w:rFonts w:hint="eastAsia" w:ascii="宋体" w:hAnsi="宋体" w:cs="宋体"/>
          <w:b/>
          <w:bCs w:val="0"/>
          <w:color w:val="000000" w:themeColor="text1"/>
          <w:sz w:val="21"/>
          <w:szCs w:val="21"/>
          <w:highlight w:val="white"/>
          <w14:textFill>
            <w14:solidFill>
              <w14:schemeClr w14:val="tx1"/>
            </w14:solidFill>
          </w14:textFill>
        </w:rPr>
        <w:t xml:space="preserve">专门面向中小企业采购的，不再执行价格评审优惠的扶持政策。</w:t>
      </w:r>
      <w:r>
        <w:rPr>
          <w:highlight w:val="white"/>
        </w:rPr>
      </w:r>
      <w:r/>
    </w:p>
    <w:p>
      <w:pPr>
        <w:ind w:firstLine="422"/>
        <w:jc w:val="left"/>
        <w:spacing w:before="120" w:after="120"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r>
      <w:r>
        <w:rPr>
          <w:highlight w:val="white"/>
        </w:rPr>
      </w:r>
      <w:r/>
    </w:p>
    <w:p>
      <w:pPr>
        <w:jc w:val="left"/>
        <w:spacing w:before="120" w:after="120"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r>
      <w:r>
        <w:rPr>
          <w:highlight w:val="white"/>
        </w:rPr>
      </w:r>
      <w:r/>
    </w:p>
    <w:p>
      <w:pPr>
        <w:pStyle w:val="853"/>
        <w:rPr>
          <w:rFonts w:hint="eastAsia"/>
          <w:highlight w:val="white"/>
        </w:rPr>
      </w:pPr>
      <w:r>
        <w:rPr>
          <w:rFonts w:hint="eastAsia"/>
          <w:highlight w:val="white"/>
        </w:rPr>
      </w:r>
      <w:r>
        <w:rPr>
          <w:highlight w:val="white"/>
        </w:rPr>
      </w:r>
      <w:r/>
    </w:p>
    <w:p>
      <w:pPr>
        <w:ind w:firstLine="422"/>
        <w:jc w:val="left"/>
        <w:spacing w:before="120" w:after="120"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三、评审方法与评审标准</w:t>
      </w:r>
      <w:r>
        <w:rPr>
          <w:highlight w:val="white"/>
        </w:rPr>
      </w:r>
      <w:r/>
    </w:p>
    <w:tbl>
      <w:tblPr>
        <w:tblStyle w:val="852"/>
        <w:tblW w:w="8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18"/>
        <w:gridCol w:w="5992"/>
      </w:tblGrid>
      <w:tr>
        <w:trPr>
          <w:jc w:val="center"/>
          <w:trHeight w:val="557"/>
          <w:tblHeader/>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240" w:lineRule="auto"/>
              <w:widowControl/>
              <w:rPr>
                <w:rFonts w:hint="eastAsia" w:ascii="宋体" w:hAnsi="宋体"/>
                <w:b/>
                <w:color w:val="000000" w:themeColor="text1"/>
                <w:szCs w:val="21"/>
                <w:highlight w:val="white"/>
                <w14:textFill>
                  <w14:solidFill>
                    <w14:schemeClr w14:val="tx1"/>
                  </w14:solidFill>
                </w14:textFill>
              </w:rPr>
            </w:pPr>
            <w:r>
              <w:rPr>
                <w:rFonts w:hint="eastAsia" w:ascii="宋体" w:hAnsi="宋体"/>
                <w:b/>
                <w:bCs/>
                <w:color w:val="000000" w:themeColor="text1"/>
                <w:szCs w:val="21"/>
                <w:highlight w:val="white"/>
                <w14:textFill>
                  <w14:solidFill>
                    <w14:schemeClr w14:val="tx1"/>
                  </w14:solidFill>
                </w14:textFill>
              </w:rPr>
              <w:t xml:space="preserve">项目</w:t>
            </w:r>
            <w:r>
              <w:rPr>
                <w:highlight w:val="white"/>
              </w:rPr>
            </w:r>
            <w:r/>
          </w:p>
        </w:tc>
        <w:tc>
          <w:tcPr>
            <w:gridSpan w:val="2"/>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jc w:val="center"/>
              <w:spacing w:line="240" w:lineRule="auto"/>
              <w:rPr>
                <w:rFonts w:hint="eastAsia" w:ascii="宋体" w:hAnsi="宋体"/>
                <w:b/>
                <w:color w:val="000000" w:themeColor="text1"/>
                <w:szCs w:val="21"/>
                <w:highlight w:val="white"/>
                <w14:textFill>
                  <w14:solidFill>
                    <w14:schemeClr w14:val="tx1"/>
                  </w14:solidFill>
                </w14:textFill>
              </w:rPr>
            </w:pPr>
            <w:r>
              <w:rPr>
                <w:rFonts w:hint="eastAsia" w:ascii="宋体" w:hAnsi="宋体"/>
                <w:b/>
                <w:bCs/>
                <w:color w:val="000000" w:themeColor="text1"/>
                <w:szCs w:val="21"/>
                <w:highlight w:val="white"/>
                <w14:textFill>
                  <w14:solidFill>
                    <w14:schemeClr w14:val="tx1"/>
                  </w14:solidFill>
                </w14:textFill>
              </w:rPr>
              <w:t xml:space="preserve">评分标准</w:t>
            </w:r>
            <w:r>
              <w:rPr>
                <w:highlight w:val="white"/>
              </w:rPr>
            </w:r>
            <w:r/>
          </w:p>
        </w:tc>
      </w:tr>
      <w:tr>
        <w:trPr>
          <w:jc w:val="center"/>
          <w:trHeight w:val="41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价格</w:t>
            </w:r>
            <w:r>
              <w:rPr>
                <w:highlight w:val="white"/>
              </w:rPr>
            </w:r>
            <w:r/>
          </w:p>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rFonts w:hint="eastAsia" w:ascii="宋体" w:hAnsi="宋体" w:cs="宋体"/>
                <w:color w:val="000000" w:themeColor="text1"/>
                <w:szCs w:val="21"/>
                <w:highlight w:val="white"/>
                <w:lang w:val="en-US" w:eastAsia="zh-CN"/>
                <w14:textFill>
                  <w14:solidFill>
                    <w14:schemeClr w14:val="tx1"/>
                  </w14:solidFill>
                </w14:textFill>
              </w:rPr>
              <w:t xml:space="preserve">0</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tc>
        <w:tc>
          <w:tcPr>
            <w:gridSpan w:val="2"/>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spacing w:line="240" w:lineRule="auto"/>
              <w:rPr>
                <w:rFonts w:hint="eastAsia" w:ascii="宋体" w:hAnsi="宋体" w:cs="方正楷体_GB2312"/>
                <w:color w:val="000000" w:themeColor="text1"/>
                <w:szCs w:val="2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以满足谈判文件要求的最低报价为评标基准价，得满分1</w:t>
            </w:r>
            <w:r>
              <w:rPr>
                <w:rFonts w:hint="eastAsia"/>
                <w:color w:val="000000" w:themeColor="text1"/>
                <w:highlight w:val="white"/>
                <w:lang w:val="en-US" w:eastAsia="zh-CN"/>
                <w14:textFill>
                  <w14:solidFill>
                    <w14:schemeClr w14:val="tx1"/>
                  </w14:solidFill>
                </w14:textFill>
              </w:rPr>
              <w:t xml:space="preserve">0</w:t>
            </w:r>
            <w:r>
              <w:rPr>
                <w:rFonts w:hint="eastAsia"/>
                <w:color w:val="000000" w:themeColor="text1"/>
                <w:highlight w:val="white"/>
                <w14:textFill>
                  <w14:solidFill>
                    <w14:schemeClr w14:val="tx1"/>
                  </w14:solidFill>
                </w14:textFill>
              </w:rPr>
              <w:t xml:space="preserve">分，其他谈判报价得分=（评标基准价/其他谈判报价）×1</w:t>
            </w:r>
            <w:r>
              <w:rPr>
                <w:rFonts w:hint="eastAsia"/>
                <w:color w:val="000000" w:themeColor="text1"/>
                <w:highlight w:val="white"/>
                <w:lang w:val="en-US" w:eastAsia="zh-CN"/>
                <w14:textFill>
                  <w14:solidFill>
                    <w14:schemeClr w14:val="tx1"/>
                  </w14:solidFill>
                </w14:textFill>
              </w:rPr>
              <w:t xml:space="preserve">0</w:t>
            </w:r>
            <w:r>
              <w:rPr>
                <w:rFonts w:hint="eastAsia"/>
                <w:color w:val="000000" w:themeColor="text1"/>
                <w:highlight w:val="white"/>
                <w14:textFill>
                  <w14:solidFill>
                    <w14:schemeClr w14:val="tx1"/>
                  </w14:solidFill>
                </w14:textFill>
              </w:rPr>
              <w:t xml:space="preserve">×100%，小数点保留两位。</w:t>
            </w:r>
            <w:r>
              <w:rPr>
                <w:highlight w:val="white"/>
              </w:rPr>
            </w:r>
            <w:r/>
          </w:p>
        </w:tc>
      </w:tr>
      <w:tr>
        <w:trPr>
          <w:jc w:val="center"/>
          <w:trHeight w:val="1699"/>
        </w:trPr>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服务方案</w:t>
            </w:r>
            <w:r>
              <w:rPr>
                <w:highlight w:val="white"/>
              </w:rPr>
            </w:r>
            <w:r/>
          </w:p>
          <w:p>
            <w:pPr>
              <w:ind w:firstLine="2"/>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w:t>
            </w:r>
            <w:r>
              <w:rPr>
                <w:rFonts w:hint="eastAsia" w:ascii="宋体" w:hAnsi="宋体"/>
                <w:color w:val="000000" w:themeColor="text1"/>
                <w:szCs w:val="21"/>
                <w:highlight w:val="white"/>
                <w:lang w:val="en-US" w:eastAsia="zh-CN"/>
                <w14:textFill>
                  <w14:solidFill>
                    <w14:schemeClr w14:val="tx1"/>
                  </w14:solidFill>
                </w14:textFill>
              </w:rPr>
              <w:t xml:space="preserve">6</w:t>
            </w:r>
            <w:r>
              <w:rPr>
                <w:rFonts w:hint="eastAsia" w:ascii="宋体" w:hAnsi="宋体"/>
                <w:color w:val="000000" w:themeColor="text1"/>
                <w:szCs w:val="21"/>
                <w:highlight w:val="white"/>
                <w14:textFill>
                  <w14:solidFill>
                    <w14:schemeClr w14:val="tx1"/>
                  </w14:solidFill>
                </w14:textFill>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t xml:space="preserve">项目的理解情况</w:t>
            </w:r>
            <w:r>
              <w:rPr>
                <w:highlight w:val="white"/>
              </w:rPr>
            </w:r>
            <w:r/>
          </w:p>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12</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5992" w:type="dxa"/>
            <w:textDirection w:val="lrTb"/>
            <w:noWrap w:val="false"/>
          </w:tcPr>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评标委员会根据供应商对项目的理解情况进行评分：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1)投标人对项目的编制背景，理解认识非常深刻、准确，对项目基本情况非常清楚、针对性强能够满足采购需求的得1</w:t>
            </w:r>
            <w:r>
              <w:rPr>
                <w:rFonts w:hint="eastAsia"/>
                <w:color w:val="000000" w:themeColor="text1"/>
                <w:highlight w:val="white"/>
                <w:lang w:val="en-US" w:eastAsia="zh-CN"/>
                <w14:textFill>
                  <w14:solidFill>
                    <w14:schemeClr w14:val="tx1"/>
                  </w14:solidFill>
                </w14:textFill>
              </w:rPr>
              <w:t xml:space="preserve">2</w:t>
            </w:r>
            <w:r>
              <w:rPr>
                <w:rFonts w:hint="eastAsia"/>
                <w:color w:val="000000" w:themeColor="text1"/>
                <w:highlight w:val="white"/>
                <w14:textFill>
                  <w14:solidFill>
                    <w14:schemeClr w14:val="tx1"/>
                  </w14:solidFill>
                </w14:textFill>
              </w:rPr>
              <w:t xml:space="preserve">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2)投标人对项目的编制背景，理解认识基本准确，对项目基本情况较清楚，得</w:t>
            </w:r>
            <w:r>
              <w:rPr>
                <w:rFonts w:hint="eastAsia"/>
                <w:color w:val="000000" w:themeColor="text1"/>
                <w:highlight w:val="white"/>
                <w:lang w:val="en-US" w:eastAsia="zh-CN"/>
                <w14:textFill>
                  <w14:solidFill>
                    <w14:schemeClr w14:val="tx1"/>
                  </w14:solidFill>
                </w14:textFill>
              </w:rPr>
              <w:t xml:space="preserve">8</w:t>
            </w:r>
            <w:r>
              <w:rPr>
                <w:rFonts w:hint="eastAsia"/>
                <w:color w:val="000000" w:themeColor="text1"/>
                <w:highlight w:val="white"/>
                <w14:textFill>
                  <w14:solidFill>
                    <w14:schemeClr w14:val="tx1"/>
                  </w14:solidFill>
                </w14:textFill>
              </w:rPr>
              <w:t xml:space="preserve">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3)投标人对项目的编制背景，理解认识有偏差，对项目基本情况不清楚，得4分；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4)投标人对项目的编制背景，理解认识有较大偏差，对项目基本情况不完整、不可行，得1分；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5）不提供的不得分。</w:t>
            </w:r>
            <w:r>
              <w:rPr>
                <w:highlight w:val="white"/>
              </w:rPr>
            </w:r>
            <w:r/>
          </w:p>
        </w:tc>
      </w:tr>
      <w:tr>
        <w:trPr>
          <w:jc w:val="center"/>
          <w:trHeight w:val="1699"/>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t xml:space="preserve">项目的重点和难点分析及应对措施</w:t>
            </w: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12</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评标委员会根据供应商对项目的重点和难点分析及应对措施进行评分：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1)结合项目基本情况，对项目的重点、难点分析全面，准确合理，提出的应对措施具体有效，能够满足采购需求的得1</w:t>
            </w:r>
            <w:r>
              <w:rPr>
                <w:rFonts w:hint="eastAsia"/>
                <w:color w:val="000000" w:themeColor="text1"/>
                <w:highlight w:val="white"/>
                <w:lang w:val="en-US" w:eastAsia="zh-CN"/>
                <w14:textFill>
                  <w14:solidFill>
                    <w14:schemeClr w14:val="tx1"/>
                  </w14:solidFill>
                </w14:textFill>
              </w:rPr>
              <w:t xml:space="preserve">2</w:t>
            </w:r>
            <w:r>
              <w:rPr>
                <w:rFonts w:hint="eastAsia"/>
                <w:color w:val="000000" w:themeColor="text1"/>
                <w:highlight w:val="white"/>
                <w14:textFill>
                  <w14:solidFill>
                    <w14:schemeClr w14:val="tx1"/>
                  </w14:solidFill>
                </w14:textFill>
              </w:rPr>
              <w:t xml:space="preserve">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2)结合项目基本情况，对项目的重点、难点分析基本合理，提出的应对措施基本有效，得</w:t>
            </w:r>
            <w:r>
              <w:rPr>
                <w:rFonts w:hint="eastAsia"/>
                <w:color w:val="000000" w:themeColor="text1"/>
                <w:highlight w:val="white"/>
                <w:lang w:val="en-US" w:eastAsia="zh-CN"/>
                <w14:textFill>
                  <w14:solidFill>
                    <w14:schemeClr w14:val="tx1"/>
                  </w14:solidFill>
                </w14:textFill>
              </w:rPr>
              <w:t xml:space="preserve">8</w:t>
            </w:r>
            <w:r>
              <w:rPr>
                <w:rFonts w:hint="eastAsia"/>
                <w:color w:val="000000" w:themeColor="text1"/>
                <w:highlight w:val="white"/>
                <w14:textFill>
                  <w14:solidFill>
                    <w14:schemeClr w14:val="tx1"/>
                  </w14:solidFill>
                </w14:textFill>
              </w:rPr>
              <w:t xml:space="preserve">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3)结合项目基本情况，对项目的重点、难点分析一般，提出的应对措施一般，得4分；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4）结合项目基本情况，对项目的重点、难点分析不合理，提出的应对措施不合理，得1分；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5)不提供不得分。</w:t>
            </w:r>
            <w:r>
              <w:rPr>
                <w:highlight w:val="white"/>
              </w:rPr>
            </w:r>
            <w:r/>
          </w:p>
        </w:tc>
      </w:tr>
      <w:tr>
        <w:trPr>
          <w:jc w:val="center"/>
          <w:trHeight w:val="1699"/>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项目的进度安排及进度保证措施</w:t>
            </w:r>
            <w:bookmarkStart w:id="185" w:name="OLE_LINK25"/>
            <w:r>
              <w:rPr>
                <w:rFonts w:hint="eastAsia" w:ascii="宋体" w:hAnsi="宋体" w:cs="宋体"/>
                <w:color w:val="000000" w:themeColor="text1"/>
                <w:szCs w:val="21"/>
                <w:highlight w:val="white"/>
                <w14:textFill>
                  <w14:solidFill>
                    <w14:schemeClr w14:val="tx1"/>
                  </w14:solidFill>
                </w14:textFill>
              </w:rPr>
              <w:t xml:space="preserve">（10分）</w:t>
            </w:r>
            <w:bookmarkEnd w:id="185"/>
            <w:r>
              <w:rPr>
                <w:highlight w:val="white"/>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评标委员会根据供应商对项目的进度安排及进度保证措施进行评分：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1)进度安排进度计划详实可靠、进度安排合理，进度保证措施具体、可行的，得10分； </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2)进度安排比较科学合理，进度保证措施可行的，得7分； </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3)进度安排科学较为合理，进度保证措施尚可的，得4分；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4）进度安排和进度保证措施阐述简单、不完整的得1分；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5)不提供不得分。</w:t>
            </w:r>
            <w:r>
              <w:rPr>
                <w:highlight w:val="white"/>
              </w:rPr>
            </w:r>
            <w:r/>
          </w:p>
        </w:tc>
      </w:tr>
      <w:tr>
        <w:trPr>
          <w:jc w:val="center"/>
          <w:trHeight w:val="1699"/>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项目质量保证措施</w:t>
            </w:r>
            <w:r>
              <w:rPr>
                <w:highlight w:val="white"/>
              </w:rPr>
            </w:r>
            <w:r/>
          </w:p>
          <w:p>
            <w:pPr>
              <w:jc w:val="center"/>
              <w:spacing w:line="240" w:lineRule="auto"/>
              <w:rPr>
                <w:color w:val="000000" w:themeColor="text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评标委员会根据供应商对项目的质量保证措施进行评分：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1）质量控制科学合理、措施得当，质量保证措施可靠的得10分；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2）质量控制合理、措施得当，质量保证措施比较符合采购特点的得7分；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3）质量控制较为合理、措施一般，质量保证措施较为完善的得4分；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4）质量保证措施阐述简单、不完整的得1分；</w:t>
            </w:r>
            <w:r>
              <w:rPr>
                <w:highlight w:val="white"/>
              </w:rPr>
            </w:r>
            <w:r/>
          </w:p>
          <w:p>
            <w:pPr>
              <w:spacing w:line="24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5)不提供不得分。</w:t>
            </w:r>
            <w:r>
              <w:rPr>
                <w:highlight w:val="white"/>
              </w:rPr>
            </w:r>
            <w:r/>
          </w:p>
        </w:tc>
      </w:tr>
      <w:tr>
        <w:trPr>
          <w:jc w:val="center"/>
          <w:trHeight w:val="282"/>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t xml:space="preserve">项目的安全保证措施</w:t>
            </w:r>
            <w:r>
              <w:rPr>
                <w:highlight w:val="white"/>
              </w:rPr>
            </w:r>
            <w:r/>
          </w:p>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（6分）</w:t>
            </w:r>
            <w:r>
              <w:rPr>
                <w:highlight w:val="white"/>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评标委员会根据供应商对项目的安全保证措施进行评分：</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1)安全保证措施详实可靠、具体、可行的，得6分； </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2)安全保证措施不够完整、基本可行的，得4分； </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3)安全保证措施不完整、不可行的，得2分；</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4)不提供不得分。</w:t>
            </w:r>
            <w:r>
              <w:rPr>
                <w:highlight w:val="white"/>
              </w:rPr>
            </w:r>
            <w:r/>
          </w:p>
        </w:tc>
      </w:tr>
      <w:tr>
        <w:trPr>
          <w:jc w:val="center"/>
          <w:trHeight w:val="282"/>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t xml:space="preserve">项目的后续服务方案</w:t>
            </w:r>
            <w:r>
              <w:rPr>
                <w:highlight w:val="white"/>
              </w:rPr>
            </w:r>
            <w:r/>
          </w:p>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6</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5992" w:type="dxa"/>
            <w:vAlign w:val="center"/>
            <w:textDirection w:val="lrTb"/>
            <w:noWrap w:val="false"/>
          </w:tcPr>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评标委员会根据供应商提供的后续服务方案进行综合评审：</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1）后续服务方案详细可行，服务体系完善的得</w:t>
            </w:r>
            <w:r>
              <w:rPr>
                <w:rFonts w:hint="eastAsia" w:ascii="宋体" w:hAnsi="宋体" w:cs="宋体"/>
                <w:color w:val="000000" w:themeColor="text1"/>
                <w:szCs w:val="21"/>
                <w:highlight w:val="white"/>
                <w:lang w:val="en-US" w:eastAsia="zh-CN"/>
                <w14:textFill>
                  <w14:solidFill>
                    <w14:schemeClr w14:val="tx1"/>
                  </w14:solidFill>
                </w14:textFill>
              </w:rPr>
              <w:t xml:space="preserve">6</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2）后续服务方案较详细可行，服务体系一般的得</w:t>
            </w:r>
            <w:r>
              <w:rPr>
                <w:rFonts w:hint="eastAsia" w:ascii="宋体" w:hAnsi="宋体" w:cs="宋体"/>
                <w:color w:val="000000" w:themeColor="text1"/>
                <w:szCs w:val="21"/>
                <w:highlight w:val="white"/>
                <w:lang w:val="en-US" w:eastAsia="zh-CN"/>
                <w14:textFill>
                  <w14:solidFill>
                    <w14:schemeClr w14:val="tx1"/>
                  </w14:solidFill>
                </w14:textFill>
              </w:rPr>
              <w:t xml:space="preserve">4</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3）后续服务方案不完整，服务体系简单的得分</w:t>
            </w:r>
            <w:r>
              <w:rPr>
                <w:rFonts w:hint="eastAsia" w:ascii="宋体" w:hAnsi="宋体" w:cs="宋体"/>
                <w:color w:val="000000" w:themeColor="text1"/>
                <w:szCs w:val="21"/>
                <w:highlight w:val="white"/>
                <w:lang w:val="en-US" w:eastAsia="zh-CN"/>
                <w14:textFill>
                  <w14:solidFill>
                    <w14:schemeClr w14:val="tx1"/>
                  </w14:solidFill>
                </w14:textFill>
              </w:rPr>
              <w:t xml:space="preserve">2</w:t>
            </w:r>
            <w:r>
              <w:rPr>
                <w:rFonts w:hint="eastAsia" w:ascii="宋体" w:hAnsi="宋体" w:cs="宋体"/>
                <w:color w:val="000000" w:themeColor="text1"/>
                <w:szCs w:val="21"/>
                <w:highlight w:val="white"/>
                <w14:textFill>
                  <w14:solidFill>
                    <w14:schemeClr w14:val="tx1"/>
                  </w14:solidFill>
                </w14:textFill>
              </w:rPr>
              <w:t xml:space="preserve">分；</w:t>
            </w:r>
            <w:r>
              <w:rPr>
                <w:highlight w:val="white"/>
              </w:rPr>
            </w:r>
            <w:r/>
          </w:p>
          <w:p>
            <w:pP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4）未提供不得分。</w:t>
            </w:r>
            <w:r>
              <w:rPr>
                <w:highlight w:val="white"/>
              </w:rPr>
            </w:r>
            <w:r/>
          </w:p>
        </w:tc>
      </w:tr>
      <w:tr>
        <w:trPr>
          <w:jc w:val="center"/>
          <w:trHeight w:val="1001"/>
        </w:trPr>
        <w:tc>
          <w:tcPr>
            <w:tcBorders>
              <w:left w:val="single" w:color="auto" w:sz="4" w:space="0"/>
              <w:right w:val="single" w:color="auto" w:sz="4" w:space="0"/>
            </w:tcBorders>
            <w:tcW w:w="1271" w:type="dxa"/>
            <w:vAlign w:val="center"/>
            <w:vMerge w:val="restart"/>
            <w:textDirection w:val="lrTb"/>
            <w:noWrap w:val="false"/>
          </w:tcPr>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资源配置</w:t>
            </w:r>
            <w:r>
              <w:rPr>
                <w:highlight w:val="white"/>
              </w:rPr>
            </w:r>
            <w:r/>
          </w:p>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hint="eastAsia" w:ascii="宋体" w:hAnsi="宋体"/>
                <w:color w:val="000000" w:themeColor="text1"/>
                <w:szCs w:val="21"/>
                <w:highlight w:val="white"/>
                <w:lang w:val="en-US" w:eastAsia="zh-CN"/>
                <w14:textFill>
                  <w14:solidFill>
                    <w14:schemeClr w14:val="tx1"/>
                  </w14:solidFill>
                </w14:textFill>
              </w:rPr>
              <w:t xml:space="preserve">19</w:t>
            </w:r>
            <w:r>
              <w:rPr>
                <w:rFonts w:hint="eastAsia" w:ascii="宋体" w:hAnsi="宋体"/>
                <w:color w:val="000000" w:themeColor="text1"/>
                <w:szCs w:val="21"/>
                <w:highlight w:val="white"/>
                <w14:textFill>
                  <w14:solidFill>
                    <w14:schemeClr w14:val="tx1"/>
                  </w14:solidFill>
                </w14:textFill>
              </w:rPr>
              <w:t xml:space="preserve">分）</w:t>
            </w:r>
            <w:r>
              <w:rPr>
                <w:highlight w:val="white"/>
              </w:rPr>
            </w:r>
            <w:r/>
          </w:p>
        </w:tc>
        <w:tc>
          <w:tcPr>
            <w:gridSpan w:val="2"/>
            <w:tcBorders>
              <w:top w:val="single" w:color="auto" w:sz="4" w:space="0"/>
              <w:left w:val="single" w:color="auto" w:sz="4" w:space="0"/>
              <w:right w:val="single" w:color="auto" w:sz="4" w:space="0"/>
            </w:tcBorders>
            <w:tcW w:w="7410" w:type="dxa"/>
            <w:textDirection w:val="lrTb"/>
            <w:noWrap w:val="false"/>
          </w:tcPr>
          <w:p>
            <w:pPr>
              <w:pStyle w:val="1172"/>
              <w:ind w:firstLine="0"/>
              <w:spacing w:line="240" w:lineRule="auto"/>
              <w:rPr>
                <w:rFonts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w:t>
            </w:r>
            <w:r>
              <w:rPr>
                <w:rFonts w:hint="eastAsia" w:ascii="宋体" w:hAnsi="宋体" w:cs="宋体"/>
                <w:color w:val="000000" w:themeColor="text1"/>
                <w:szCs w:val="21"/>
                <w:highlight w:val="white"/>
                <w:lang w:val="en-US"/>
                <w14:textFill>
                  <w14:solidFill>
                    <w14:schemeClr w14:val="tx1"/>
                  </w14:solidFill>
                </w14:textFill>
              </w:rPr>
              <w:t xml:space="preserve">负责人（</w:t>
            </w:r>
            <w:r>
              <w:rPr>
                <w:rFonts w:hint="eastAsia" w:ascii="宋体" w:hAnsi="宋体" w:cs="宋体"/>
                <w:color w:val="000000" w:themeColor="text1"/>
                <w:szCs w:val="21"/>
                <w:highlight w:val="white"/>
                <w:lang w:val="en-US" w:eastAsia="zh-CN"/>
                <w14:textFill>
                  <w14:solidFill>
                    <w14:schemeClr w14:val="tx1"/>
                  </w14:solidFill>
                </w14:textFill>
              </w:rPr>
              <w:t xml:space="preserve">7</w:t>
            </w:r>
            <w:r>
              <w:rPr>
                <w:rFonts w:hint="eastAsia" w:ascii="宋体" w:hAnsi="宋体" w:cs="宋体"/>
                <w:color w:val="000000" w:themeColor="text1"/>
                <w:szCs w:val="21"/>
                <w:highlight w:val="white"/>
                <w:lang w:val="en-US"/>
                <w14:textFill>
                  <w14:solidFill>
                    <w14:schemeClr w14:val="tx1"/>
                  </w14:solidFill>
                </w14:textFill>
              </w:rPr>
              <w:t xml:space="preserve">分）</w:t>
            </w:r>
            <w:r>
              <w:rPr>
                <w:highlight w:val="white"/>
              </w:rPr>
            </w:r>
            <w:r/>
          </w:p>
          <w:p>
            <w:pPr>
              <w:pStyle w:val="1172"/>
              <w:ind w:firstLine="0"/>
              <w:spacing w:line="240" w:lineRule="auto"/>
              <w:rPr>
                <w:rFonts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项目负责人具有注册土木工程师（水利水电工程）证书的</w:t>
            </w:r>
            <w:r>
              <w:rPr>
                <w:rFonts w:hint="eastAsia" w:ascii="宋体" w:hAnsi="宋体" w:cs="宋体"/>
                <w:color w:val="000000" w:themeColor="text1"/>
                <w:szCs w:val="21"/>
                <w:highlight w:val="white"/>
                <w14:textFill>
                  <w14:solidFill>
                    <w14:schemeClr w14:val="tx1"/>
                  </w14:solidFill>
                </w14:textFill>
              </w:rPr>
              <w:t xml:space="preserve">得</w:t>
            </w:r>
            <w:r>
              <w:rPr>
                <w:rFonts w:hint="eastAsia" w:cs="宋体"/>
                <w:color w:val="000000" w:themeColor="text1"/>
                <w:szCs w:val="21"/>
                <w:highlight w:val="white"/>
                <w:lang w:val="en-US" w:eastAsia="zh-CN"/>
                <w14:textFill>
                  <w14:solidFill>
                    <w14:schemeClr w14:val="tx1"/>
                  </w14:solidFill>
                </w14:textFill>
              </w:rPr>
              <w:t xml:space="preserve">2</w:t>
            </w:r>
            <w:r>
              <w:rPr>
                <w:rFonts w:hint="eastAsia" w:ascii="宋体" w:hAnsi="宋体" w:cs="宋体"/>
                <w:color w:val="000000" w:themeColor="text1"/>
                <w:szCs w:val="21"/>
                <w:highlight w:val="white"/>
                <w14:textFill>
                  <w14:solidFill>
                    <w14:schemeClr w14:val="tx1"/>
                  </w14:solidFill>
                </w14:textFill>
              </w:rPr>
              <w:t xml:space="preserve">分</w:t>
            </w:r>
            <w:r>
              <w:rPr>
                <w:rFonts w:ascii="宋体" w:hAnsi="宋体" w:cs="宋体"/>
                <w:color w:val="000000" w:themeColor="text1"/>
                <w:szCs w:val="21"/>
                <w:highlight w:val="white"/>
                <w14:textFill>
                  <w14:solidFill>
                    <w14:schemeClr w14:val="tx1"/>
                  </w14:solidFill>
                </w14:textFill>
              </w:rPr>
              <w:t xml:space="preserve">；具有</w:t>
            </w:r>
            <w:r>
              <w:rPr>
                <w:rFonts w:hint="eastAsia" w:ascii="宋体" w:hAnsi="宋体" w:cs="宋体"/>
                <w:color w:val="000000" w:themeColor="text1"/>
                <w:szCs w:val="21"/>
                <w:highlight w:val="white"/>
                <w:lang w:val="en-US" w:eastAsia="zh-CN"/>
                <w14:textFill>
                  <w14:solidFill>
                    <w14:schemeClr w14:val="tx1"/>
                  </w14:solidFill>
                </w14:textFill>
              </w:rPr>
              <w:t xml:space="preserve">水利工程高级工程师及以上技术职称</w:t>
            </w:r>
            <w:r>
              <w:rPr>
                <w:rFonts w:ascii="宋体" w:hAnsi="宋体" w:cs="宋体"/>
                <w:color w:val="000000" w:themeColor="text1"/>
                <w:szCs w:val="21"/>
                <w:highlight w:val="white"/>
                <w14:textFill>
                  <w14:solidFill>
                    <w14:schemeClr w14:val="tx1"/>
                  </w14:solidFill>
                </w14:textFill>
              </w:rPr>
              <w:t xml:space="preserve">的得</w:t>
            </w:r>
            <w:r>
              <w:rPr>
                <w:rFonts w:hint="eastAsia" w:cs="宋体"/>
                <w:color w:val="000000" w:themeColor="text1"/>
                <w:szCs w:val="21"/>
                <w:highlight w:val="white"/>
                <w:lang w:val="en-US"/>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分</w:t>
            </w:r>
            <w:r>
              <w:rPr>
                <w:rFonts w:hint="eastAsia" w:cs="宋体"/>
                <w:color w:val="000000" w:themeColor="text1"/>
                <w:szCs w:val="21"/>
                <w:highlight w:val="white"/>
                <w14:textFill>
                  <w14:solidFill>
                    <w14:schemeClr w14:val="tx1"/>
                  </w14:solidFill>
                </w14:textFill>
              </w:rPr>
              <w:t xml:space="preserve">，</w:t>
            </w:r>
            <w:r>
              <w:rPr>
                <w:rFonts w:hint="eastAsia" w:cs="宋体"/>
                <w:color w:val="000000" w:themeColor="text1"/>
                <w:szCs w:val="21"/>
                <w:highlight w:val="white"/>
                <w:lang w:val="en-US" w:eastAsia="zh-CN"/>
                <w14:textFill>
                  <w14:solidFill>
                    <w14:schemeClr w14:val="tx1"/>
                  </w14:solidFill>
                </w14:textFill>
              </w:rPr>
              <w:t xml:space="preserve">具有</w:t>
            </w:r>
            <w:r>
              <w:rPr>
                <w:rFonts w:hint="eastAsia" w:ascii="宋体" w:hAnsi="宋体" w:cs="宋体"/>
                <w:color w:val="000000" w:themeColor="text1"/>
                <w:szCs w:val="21"/>
                <w:highlight w:val="white"/>
                <w:lang w:val="en-US" w:eastAsia="zh-CN"/>
                <w14:textFill>
                  <w14:solidFill>
                    <w14:schemeClr w14:val="tx1"/>
                  </w14:solidFill>
                </w14:textFill>
              </w:rPr>
              <w:t xml:space="preserve">水利工程工程师技术职称</w:t>
            </w:r>
            <w:r>
              <w:rPr>
                <w:rFonts w:ascii="宋体" w:hAnsi="宋体" w:cs="宋体"/>
                <w:color w:val="000000" w:themeColor="text1"/>
                <w:szCs w:val="21"/>
                <w:highlight w:val="white"/>
                <w14:textFill>
                  <w14:solidFill>
                    <w14:schemeClr w14:val="tx1"/>
                  </w14:solidFill>
                </w14:textFill>
              </w:rPr>
              <w:t xml:space="preserve">的得</w:t>
            </w:r>
            <w:r>
              <w:rPr>
                <w:rFonts w:hint="eastAsia" w:cs="宋体"/>
                <w:color w:val="000000" w:themeColor="text1"/>
                <w:szCs w:val="21"/>
                <w:highlight w:val="white"/>
                <w:lang w:val="en-US"/>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分</w:t>
            </w:r>
            <w:r>
              <w:rPr>
                <w:rFonts w:hint="eastAsia" w:cs="宋体"/>
                <w:color w:val="000000" w:themeColor="text1"/>
                <w:szCs w:val="21"/>
                <w:highlight w:val="white"/>
                <w14:textFill>
                  <w14:solidFill>
                    <w14:schemeClr w14:val="tx1"/>
                  </w14:solidFill>
                </w14:textFill>
              </w:rPr>
              <w:t xml:space="preserve">，满分</w:t>
            </w:r>
            <w:r>
              <w:rPr>
                <w:rFonts w:hint="eastAsia" w:cs="宋体"/>
                <w:color w:val="000000" w:themeColor="text1"/>
                <w:szCs w:val="21"/>
                <w:highlight w:val="white"/>
                <w:lang w:val="en-US" w:eastAsia="zh-CN"/>
                <w14:textFill>
                  <w14:solidFill>
                    <w14:schemeClr w14:val="tx1"/>
                  </w14:solidFill>
                </w14:textFill>
              </w:rPr>
              <w:t xml:space="preserve">4</w:t>
            </w:r>
            <w:r>
              <w:rPr>
                <w:rFonts w:hint="eastAsia" w:cs="宋体"/>
                <w:color w:val="000000" w:themeColor="text1"/>
                <w:szCs w:val="21"/>
                <w:highlight w:val="white"/>
                <w:lang w:val="en-US"/>
                <w14:textFill>
                  <w14:solidFill>
                    <w14:schemeClr w14:val="tx1"/>
                  </w14:solidFill>
                </w14:textFill>
              </w:rPr>
              <w:t xml:space="preserve">分。</w:t>
            </w:r>
            <w:r>
              <w:rPr>
                <w:highlight w:val="white"/>
              </w:rPr>
            </w:r>
            <w:r/>
          </w:p>
          <w:p>
            <w:pPr>
              <w:pStyle w:val="1172"/>
              <w:ind w:firstLine="0"/>
              <w:spacing w:line="240" w:lineRule="auto"/>
              <w:rPr>
                <w:rFonts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近5年（20</w:t>
            </w:r>
            <w:r>
              <w:rPr>
                <w:rFonts w:hint="eastAsia" w:ascii="宋体" w:hAnsi="宋体" w:cs="宋体"/>
                <w:color w:val="000000" w:themeColor="text1"/>
                <w:szCs w:val="21"/>
                <w:highlight w:val="white"/>
                <w:lang w:val="en-US"/>
                <w14:textFill>
                  <w14:solidFill>
                    <w14:schemeClr w14:val="tx1"/>
                  </w14:solidFill>
                </w14:textFill>
              </w:rPr>
              <w:t xml:space="preserve">21</w:t>
            </w:r>
            <w:r>
              <w:rPr>
                <w:rFonts w:ascii="宋体" w:hAnsi="宋体" w:cs="宋体"/>
                <w:color w:val="000000" w:themeColor="text1"/>
                <w:szCs w:val="21"/>
                <w:highlight w:val="white"/>
                <w14:textFill>
                  <w14:solidFill>
                    <w14:schemeClr w14:val="tx1"/>
                  </w14:solidFill>
                </w14:textFill>
              </w:rPr>
              <w:t xml:space="preserve">年</w:t>
            </w:r>
            <w:r>
              <w:rPr>
                <w:rFonts w:hint="eastAsia" w:ascii="宋体" w:hAnsi="宋体" w:cs="宋体"/>
                <w:color w:val="000000" w:themeColor="text1"/>
                <w:szCs w:val="21"/>
                <w:highlight w:val="white"/>
                <w:lang w:val="en-US"/>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月1日以来、时间以合同签订时间为准）以项目负责人身份承担</w:t>
            </w:r>
            <w:r>
              <w:rPr>
                <w:rFonts w:hint="eastAsia" w:ascii="宋体" w:hAnsi="宋体" w:cs="宋体"/>
                <w:color w:val="000000" w:themeColor="text1"/>
                <w:szCs w:val="21"/>
                <w:highlight w:val="white"/>
                <w:lang w:val="en-US" w:eastAsia="zh-CN"/>
                <w14:textFill>
                  <w14:solidFill>
                    <w14:schemeClr w14:val="tx1"/>
                  </w14:solidFill>
                </w14:textFill>
              </w:rPr>
              <w:t xml:space="preserve">过</w:t>
            </w:r>
            <w:r>
              <w:rPr>
                <w:rFonts w:hint="eastAsia" w:ascii="宋体" w:hAnsi="宋体" w:cs="宋体"/>
                <w:color w:val="000000" w:themeColor="text1"/>
                <w:szCs w:val="21"/>
                <w:highlight w:val="white"/>
                <w14:textFill>
                  <w14:solidFill>
                    <w14:schemeClr w14:val="tx1"/>
                  </w14:solidFill>
                </w14:textFill>
              </w:rPr>
              <w:t xml:space="preserve">类似</w:t>
            </w:r>
            <w:r>
              <w:rPr>
                <w:rFonts w:ascii="宋体" w:hAnsi="宋体" w:cs="宋体"/>
                <w:color w:val="000000" w:themeColor="text1"/>
                <w:szCs w:val="21"/>
                <w:highlight w:val="white"/>
                <w14:textFill>
                  <w14:solidFill>
                    <w14:schemeClr w14:val="tx1"/>
                  </w14:solidFill>
                </w14:textFill>
              </w:rPr>
              <w:t xml:space="preserve">服务业绩</w:t>
            </w:r>
            <w:r>
              <w:rPr>
                <w:rFonts w:hint="eastAsia" w:ascii="宋体" w:hAnsi="宋体" w:cs="宋体"/>
                <w:color w:val="000000" w:themeColor="text1"/>
                <w:szCs w:val="21"/>
                <w:highlight w:val="white"/>
                <w:lang w:eastAsia="zh-CN"/>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包括但不限于水库大坝安全鉴定、水库大坝风险评估、水库大坝应急预案）的</w:t>
            </w:r>
            <w:r>
              <w:rPr>
                <w:rFonts w:ascii="宋体" w:hAnsi="宋体" w:cs="宋体"/>
                <w:color w:val="000000" w:themeColor="text1"/>
                <w:szCs w:val="21"/>
                <w:highlight w:val="white"/>
                <w14:textFill>
                  <w14:solidFill>
                    <w14:schemeClr w14:val="tx1"/>
                  </w14:solidFill>
                </w14:textFill>
              </w:rPr>
              <w:t xml:space="preserve">，有1项得</w:t>
            </w:r>
            <w:r>
              <w:rPr>
                <w:rFonts w:hint="eastAsia" w:cs="宋体"/>
                <w:color w:val="000000" w:themeColor="text1"/>
                <w:szCs w:val="21"/>
                <w:highlight w:val="white"/>
                <w:lang w:val="en-US"/>
                <w14:textFill>
                  <w14:solidFill>
                    <w14:schemeClr w14:val="tx1"/>
                  </w14:solidFill>
                </w14:textFill>
              </w:rPr>
              <w:t xml:space="preserve">3</w:t>
            </w:r>
            <w:r>
              <w:rPr>
                <w:rFonts w:ascii="宋体" w:hAnsi="宋体" w:cs="宋体"/>
                <w:color w:val="000000" w:themeColor="text1"/>
                <w:szCs w:val="21"/>
                <w:highlight w:val="white"/>
                <w14:textFill>
                  <w14:solidFill>
                    <w14:schemeClr w14:val="tx1"/>
                  </w14:solidFill>
                </w14:textFill>
              </w:rPr>
              <w:t xml:space="preserve">分，</w:t>
            </w:r>
            <w:r>
              <w:rPr>
                <w:rFonts w:hint="eastAsia" w:cs="宋体"/>
                <w:color w:val="000000" w:themeColor="text1"/>
                <w:szCs w:val="21"/>
                <w:highlight w:val="white"/>
                <w14:textFill>
                  <w14:solidFill>
                    <w14:schemeClr w14:val="tx1"/>
                  </w14:solidFill>
                </w14:textFill>
              </w:rPr>
              <w:t xml:space="preserve">满分</w:t>
            </w:r>
            <w:r>
              <w:rPr>
                <w:rFonts w:hint="eastAsia" w:cs="宋体"/>
                <w:color w:val="000000" w:themeColor="text1"/>
                <w:szCs w:val="21"/>
                <w:highlight w:val="white"/>
                <w:lang w:val="en-US"/>
                <w14:textFill>
                  <w14:solidFill>
                    <w14:schemeClr w14:val="tx1"/>
                  </w14:solidFill>
                </w14:textFill>
              </w:rPr>
              <w:t xml:space="preserve">3</w:t>
            </w:r>
            <w:r>
              <w:rPr>
                <w:rFonts w:ascii="宋体" w:hAnsi="宋体" w:cs="宋体"/>
                <w:color w:val="000000" w:themeColor="text1"/>
                <w:szCs w:val="21"/>
                <w:highlight w:val="white"/>
                <w14:textFill>
                  <w14:solidFill>
                    <w14:schemeClr w14:val="tx1"/>
                  </w14:solidFill>
                </w14:textFill>
              </w:rPr>
              <w:t xml:space="preserve">分。</w:t>
            </w:r>
            <w:r>
              <w:rPr>
                <w:highlight w:val="white"/>
              </w:rPr>
            </w:r>
            <w:r/>
          </w:p>
          <w:p>
            <w:pPr>
              <w:spacing w:line="24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提供证书、业绩</w:t>
            </w:r>
            <w:r>
              <w:rPr>
                <w:rFonts w:hint="eastAsia" w:ascii="宋体" w:hAnsi="宋体" w:cs="宋体"/>
                <w:b/>
                <w:bCs/>
                <w:color w:val="000000" w:themeColor="text1"/>
                <w:szCs w:val="21"/>
                <w:highlight w:val="white"/>
                <w:lang w:val="en-US" w:eastAsia="zh-CN"/>
                <w14:textFill>
                  <w14:solidFill>
                    <w14:schemeClr w14:val="tx1"/>
                  </w14:solidFill>
                </w14:textFill>
              </w:rPr>
              <w:t xml:space="preserve">合同</w:t>
            </w:r>
            <w:r>
              <w:rPr>
                <w:rFonts w:hint="eastAsia" w:ascii="宋体" w:hAnsi="宋体" w:cs="宋体"/>
                <w:b/>
                <w:bCs/>
                <w:color w:val="000000" w:themeColor="text1"/>
                <w:szCs w:val="21"/>
                <w:highlight w:val="white"/>
                <w14:textFill>
                  <w14:solidFill>
                    <w14:schemeClr w14:val="tx1"/>
                  </w14:solidFill>
                </w14:textFill>
              </w:rPr>
              <w:t xml:space="preserve">及供应商</w:t>
            </w:r>
            <w:r>
              <w:rPr>
                <w:rFonts w:ascii="宋体" w:hAnsi="宋体" w:cs="宋体"/>
                <w:b/>
                <w:bCs/>
                <w:color w:val="000000" w:themeColor="text1"/>
                <w:szCs w:val="21"/>
                <w:highlight w:val="white"/>
                <w14:textFill>
                  <w14:solidFill>
                    <w14:schemeClr w14:val="tx1"/>
                  </w14:solidFill>
                </w14:textFill>
              </w:rPr>
              <w:t xml:space="preserve">为其缴纳的</w:t>
            </w:r>
            <w:r>
              <w:rPr>
                <w:rFonts w:hint="eastAsia" w:ascii="宋体" w:hAnsi="宋体" w:cs="宋体"/>
                <w:b/>
                <w:bCs/>
                <w:color w:val="000000" w:themeColor="text1"/>
                <w:szCs w:val="21"/>
                <w:highlight w:val="white"/>
                <w14:textFill>
                  <w14:solidFill>
                    <w14:schemeClr w14:val="tx1"/>
                  </w14:solidFill>
                </w14:textFill>
              </w:rPr>
              <w:t xml:space="preserve">近三个月内任意一个月</w:t>
            </w:r>
            <w:r>
              <w:rPr>
                <w:rFonts w:ascii="宋体" w:hAnsi="宋体" w:cs="宋体"/>
                <w:b/>
                <w:bCs/>
                <w:color w:val="000000" w:themeColor="text1"/>
                <w:szCs w:val="21"/>
                <w:highlight w:val="white"/>
                <w14:textFill>
                  <w14:solidFill>
                    <w14:schemeClr w14:val="tx1"/>
                  </w14:solidFill>
                </w14:textFill>
              </w:rPr>
              <w:t xml:space="preserve">养老保险证明</w:t>
            </w:r>
            <w:r>
              <w:rPr>
                <w:rFonts w:hint="eastAsia" w:ascii="宋体" w:hAnsi="宋体" w:cs="宋体"/>
                <w:b/>
                <w:bCs/>
                <w:color w:val="000000" w:themeColor="text1"/>
                <w:szCs w:val="21"/>
                <w:highlight w:val="white"/>
                <w14:textFill>
                  <w14:solidFill>
                    <w14:schemeClr w14:val="tx1"/>
                  </w14:solidFill>
                </w14:textFill>
              </w:rPr>
              <w:t xml:space="preserve">，复印件加盖供应商公章。</w:t>
            </w:r>
            <w:r>
              <w:rPr>
                <w:highlight w:val="white"/>
              </w:rPr>
            </w:r>
            <w:r/>
          </w:p>
          <w:p>
            <w:pPr>
              <w:spacing w:line="240" w:lineRule="auto"/>
              <w:rPr>
                <w:rFonts w:hint="eastAsia" w:ascii="宋体" w:hAnsi="宋体" w:cs="宋体"/>
                <w:b/>
                <w:bCs/>
                <w:color w:val="000000" w:themeColor="text1"/>
                <w:szCs w:val="21"/>
                <w:highlight w:val="white"/>
                <w14:textFill>
                  <w14:solidFill>
                    <w14:schemeClr w14:val="tx1"/>
                  </w14:solidFill>
                </w14:textFill>
              </w:rPr>
            </w:pPr>
            <w:r>
              <w:rPr>
                <w:rFonts w:ascii="宋体" w:hAnsi="宋体" w:cs="宋体"/>
                <w:b/>
                <w:bCs/>
                <w:color w:val="000000" w:themeColor="text1"/>
                <w:szCs w:val="21"/>
                <w:highlight w:val="white"/>
                <w14:textFill>
                  <w14:solidFill>
                    <w14:schemeClr w14:val="tx1"/>
                  </w14:solidFill>
                </w14:textFill>
              </w:rPr>
              <w:t xml:space="preserve">注：如</w:t>
            </w:r>
            <w:r>
              <w:rPr>
                <w:rFonts w:hint="eastAsia" w:ascii="宋体" w:hAnsi="宋体" w:cs="宋体"/>
                <w:b/>
                <w:bCs/>
                <w:color w:val="000000" w:themeColor="text1"/>
                <w:szCs w:val="21"/>
                <w:highlight w:val="white"/>
                <w14:textFill>
                  <w14:solidFill>
                    <w14:schemeClr w14:val="tx1"/>
                  </w14:solidFill>
                </w14:textFill>
              </w:rPr>
              <w:t xml:space="preserve">业绩</w:t>
            </w:r>
            <w:r>
              <w:rPr>
                <w:rFonts w:ascii="宋体" w:hAnsi="宋体" w:cs="宋体"/>
                <w:b/>
                <w:bCs/>
                <w:color w:val="000000" w:themeColor="text1"/>
                <w:szCs w:val="21"/>
                <w:highlight w:val="white"/>
                <w14:textFill>
                  <w14:solidFill>
                    <w14:schemeClr w14:val="tx1"/>
                  </w14:solidFill>
                </w14:textFill>
              </w:rPr>
              <w:t xml:space="preserve">证明材料中未能反映该人员姓名、任职情况的，还应附有业绩项目发包人（或发包人的主管部门）出具相应证明予以明确，否则该人员的该项业绩不予认可。</w:t>
            </w:r>
            <w:r>
              <w:rPr>
                <w:highlight w:val="white"/>
              </w:rPr>
            </w:r>
            <w:r/>
          </w:p>
        </w:tc>
      </w:tr>
      <w:tr>
        <w:trPr>
          <w:jc w:val="center"/>
          <w:trHeight w:val="2439"/>
        </w:trPr>
        <w:tc>
          <w:tcPr>
            <w:tcBorders>
              <w:left w:val="single" w:color="auto" w:sz="4" w:space="0"/>
              <w:right w:val="single" w:color="auto" w:sz="4" w:space="0"/>
            </w:tcBorders>
            <w:tcW w:w="1271" w:type="dxa"/>
            <w:vAlign w:val="center"/>
            <w:vMerge w:val="continue"/>
            <w:textDirection w:val="lrTb"/>
            <w:noWrap w:val="false"/>
          </w:tcPr>
          <w:p>
            <w:pPr>
              <w:jc w:val="center"/>
              <w:spacing w:line="24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gridSpan w:val="2"/>
            <w:tcBorders>
              <w:top w:val="single" w:color="auto" w:sz="4" w:space="0"/>
              <w:left w:val="single" w:color="auto" w:sz="4" w:space="0"/>
              <w:right w:val="single" w:color="auto" w:sz="4" w:space="0"/>
            </w:tcBorders>
            <w:tcW w:w="7410" w:type="dxa"/>
            <w:textDirection w:val="lrTb"/>
            <w:noWrap w:val="false"/>
          </w:tcPr>
          <w:p>
            <w:pPr>
              <w:pStyle w:val="1172"/>
              <w:ind w:firstLine="0"/>
              <w:spacing w:line="240" w:lineRule="auto"/>
              <w:rPr>
                <w:rFonts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t xml:space="preserve">项目组成员</w:t>
            </w:r>
            <w:r>
              <w:rPr>
                <w:rFonts w:hint="eastAsia" w:ascii="宋体" w:hAnsi="宋体" w:cs="宋体"/>
                <w:color w:val="000000" w:themeColor="text1"/>
                <w:szCs w:val="21"/>
                <w:highlight w:val="white"/>
                <w14:textFill>
                  <w14:solidFill>
                    <w14:schemeClr w14:val="tx1"/>
                  </w14:solidFill>
                </w14:textFill>
              </w:rPr>
              <w:t xml:space="preserve">（12分）</w:t>
            </w:r>
            <w:r>
              <w:rPr>
                <w:highlight w:val="white"/>
              </w:rPr>
            </w:r>
            <w:r/>
          </w:p>
          <w:p>
            <w:pPr>
              <w:pStyle w:val="1172"/>
              <w:ind w:firstLine="0"/>
              <w:spacing w:line="240" w:lineRule="auto"/>
              <w:rPr>
                <w:rFonts w:hint="default" w:ascii="宋体" w:hAnsi="宋体" w:cs="宋体" w:eastAsiaTheme="minorEastAsia"/>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拟投入本项目的成员</w:t>
            </w:r>
            <w:r>
              <w:rPr>
                <w:rFonts w:hint="eastAsia" w:ascii="宋体" w:hAnsi="宋体" w:cs="宋体"/>
                <w:color w:val="000000" w:themeColor="text1"/>
                <w:szCs w:val="21"/>
                <w:highlight w:val="white"/>
                <w14:textFill>
                  <w14:solidFill>
                    <w14:schemeClr w14:val="tx1"/>
                  </w14:solidFill>
                </w14:textFill>
              </w:rPr>
              <w:t xml:space="preserve">（项目负责人除外）</w:t>
            </w:r>
            <w:r>
              <w:rPr>
                <w:rFonts w:ascii="宋体" w:hAnsi="宋体" w:cs="宋体"/>
                <w:color w:val="000000" w:themeColor="text1"/>
                <w:szCs w:val="21"/>
                <w:highlight w:val="white"/>
                <w14:textFill>
                  <w14:solidFill>
                    <w14:schemeClr w14:val="tx1"/>
                  </w14:solidFill>
                </w14:textFill>
              </w:rPr>
              <w:t xml:space="preserve">具有</w:t>
            </w:r>
            <w:r>
              <w:rPr>
                <w:rFonts w:ascii="宋体" w:hAnsi="宋体" w:cs="宋体"/>
                <w:color w:val="000000" w:themeColor="text1"/>
                <w:szCs w:val="21"/>
                <w:highlight w:val="white"/>
                <w:u w:val="single"/>
                <w14:textFill>
                  <w14:solidFill>
                    <w14:schemeClr w14:val="tx1"/>
                  </w14:solidFill>
                </w14:textFill>
              </w:rPr>
              <w:t xml:space="preserve">注册土木工程师（</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水工结构</w:t>
            </w:r>
            <w:r>
              <w:rPr>
                <w:rFonts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证书</w:t>
            </w:r>
            <w:r>
              <w:rPr>
                <w:rFonts w:hint="eastAsia" w:ascii="宋体" w:hAnsi="宋体" w:cs="宋体"/>
                <w:color w:val="000000" w:themeColor="text1"/>
                <w:szCs w:val="21"/>
                <w:highlight w:val="white"/>
                <w:u w:val="none"/>
                <w:lang w:val="en-US" w:eastAsia="zh-CN"/>
                <w14:textFill>
                  <w14:solidFill>
                    <w14:schemeClr w14:val="tx1"/>
                  </w14:solidFill>
                </w14:textFill>
              </w:rPr>
              <w:t xml:space="preserve">同时具备</w:t>
            </w:r>
            <w:r>
              <w:rPr>
                <w:rFonts w:hint="eastAsia" w:ascii="宋体" w:hAnsi="宋体" w:cs="宋体"/>
                <w:color w:val="000000" w:themeColor="text1"/>
                <w:szCs w:val="21"/>
                <w:highlight w:val="white"/>
                <w:lang w:val="en-US" w:eastAsia="zh-CN"/>
                <w14:textFill>
                  <w14:solidFill>
                    <w14:schemeClr w14:val="tx1"/>
                  </w14:solidFill>
                </w14:textFill>
              </w:rPr>
              <w:t xml:space="preserve">水利工程中级工程师技术职称</w:t>
            </w:r>
            <w:r>
              <w:rPr>
                <w:rFonts w:ascii="宋体" w:hAnsi="宋体" w:cs="宋体"/>
                <w:color w:val="000000" w:themeColor="text1"/>
                <w:szCs w:val="21"/>
                <w:highlight w:val="white"/>
                <w14:textFill>
                  <w14:solidFill>
                    <w14:schemeClr w14:val="tx1"/>
                  </w14:solidFill>
                </w14:textFill>
              </w:rPr>
              <w:t xml:space="preserve">的</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lang w:eastAsia="zh-CN"/>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同时具备水利工程高级工程师及以上技术职称，</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本项最多得4分，限评2人。</w:t>
            </w:r>
            <w:r>
              <w:rPr>
                <w:highlight w:val="white"/>
              </w:rPr>
            </w:r>
            <w:r/>
          </w:p>
          <w:p>
            <w:pPr>
              <w:pStyle w:val="1172"/>
              <w:ind w:firstLine="0"/>
              <w:spacing w:line="240" w:lineRule="auto"/>
              <w:rPr>
                <w:rFonts w:hint="default" w:ascii="宋体" w:hAnsi="宋体" w:cs="宋体" w:eastAsiaTheme="minorEastAsia"/>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拟投入本项目的成员</w:t>
            </w:r>
            <w:r>
              <w:rPr>
                <w:rFonts w:hint="eastAsia" w:ascii="宋体" w:hAnsi="宋体" w:cs="宋体"/>
                <w:color w:val="000000" w:themeColor="text1"/>
                <w:szCs w:val="21"/>
                <w:highlight w:val="white"/>
                <w14:textFill>
                  <w14:solidFill>
                    <w14:schemeClr w14:val="tx1"/>
                  </w14:solidFill>
                </w14:textFill>
              </w:rPr>
              <w:t xml:space="preserve">（项目负责人除外）</w:t>
            </w:r>
            <w:r>
              <w:rPr>
                <w:rFonts w:hint="eastAsia" w:ascii="宋体" w:hAnsi="宋体" w:cs="宋体"/>
                <w:color w:val="000000" w:themeColor="text1"/>
                <w:szCs w:val="21"/>
                <w:highlight w:val="white"/>
                <w:lang w:val="en-US" w:eastAsia="zh-CN"/>
                <w14:textFill>
                  <w14:solidFill>
                    <w14:schemeClr w14:val="tx1"/>
                  </w14:solidFill>
                </w14:textFill>
              </w:rPr>
              <w:t xml:space="preserve">具有</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咨询工程师（水利水电）证书</w:t>
            </w:r>
            <w:r>
              <w:rPr>
                <w:rFonts w:hint="eastAsia" w:ascii="宋体" w:hAnsi="宋体" w:cs="宋体"/>
                <w:color w:val="000000" w:themeColor="text1"/>
                <w:szCs w:val="21"/>
                <w:highlight w:val="white"/>
                <w:u w:val="none"/>
                <w:lang w:val="en-US" w:eastAsia="zh-CN"/>
                <w14:textFill>
                  <w14:solidFill>
                    <w14:schemeClr w14:val="tx1"/>
                  </w14:solidFill>
                </w14:textFill>
              </w:rPr>
              <w:t xml:space="preserve">同时具备</w:t>
            </w:r>
            <w:r>
              <w:rPr>
                <w:rFonts w:hint="eastAsia" w:ascii="宋体" w:hAnsi="宋体" w:cs="宋体"/>
                <w:color w:val="000000" w:themeColor="text1"/>
                <w:szCs w:val="21"/>
                <w:highlight w:val="white"/>
                <w:lang w:val="en-US" w:eastAsia="zh-CN"/>
                <w14:textFill>
                  <w14:solidFill>
                    <w14:schemeClr w14:val="tx1"/>
                  </w14:solidFill>
                </w14:textFill>
              </w:rPr>
              <w:t xml:space="preserve">水利工程中级工程师技术职称</w:t>
            </w:r>
            <w:r>
              <w:rPr>
                <w:rFonts w:ascii="宋体" w:hAnsi="宋体" w:cs="宋体"/>
                <w:color w:val="000000" w:themeColor="text1"/>
                <w:szCs w:val="21"/>
                <w:highlight w:val="white"/>
                <w14:textFill>
                  <w14:solidFill>
                    <w14:schemeClr w14:val="tx1"/>
                  </w14:solidFill>
                </w14:textFill>
              </w:rPr>
              <w:t xml:space="preserve">的</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lang w:eastAsia="zh-CN"/>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同时具备水利工程高级工程师及以上技术职称，</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本项最多得4分，限评2人。</w:t>
            </w:r>
            <w:r>
              <w:rPr>
                <w:highlight w:val="white"/>
              </w:rPr>
            </w:r>
            <w:r/>
          </w:p>
          <w:p>
            <w:pPr>
              <w:pStyle w:val="1172"/>
              <w:ind w:firstLine="0"/>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lang w:val="en-US" w:eastAsia="zh-CN"/>
                <w14:textFill>
                  <w14:solidFill>
                    <w14:schemeClr w14:val="tx1"/>
                  </w14:solidFill>
                </w14:textFill>
              </w:rPr>
              <w:t xml:space="preserve">3</w:t>
            </w:r>
            <w:r>
              <w:rPr>
                <w:rFonts w:hint="eastAsia" w:ascii="宋体" w:hAnsi="宋体" w:cs="宋体"/>
                <w:color w:val="000000" w:themeColor="text1"/>
                <w:szCs w:val="21"/>
                <w:highlight w:val="white"/>
                <w14:textFill>
                  <w14:solidFill>
                    <w14:schemeClr w14:val="tx1"/>
                  </w14:solidFill>
                </w14:textFill>
              </w:rPr>
              <w:t xml:space="preserve">、</w:t>
            </w:r>
            <w:r>
              <w:rPr>
                <w:rFonts w:ascii="宋体" w:hAnsi="宋体" w:cs="宋体"/>
                <w:color w:val="000000" w:themeColor="text1"/>
                <w:szCs w:val="21"/>
                <w:highlight w:val="white"/>
                <w14:textFill>
                  <w14:solidFill>
                    <w14:schemeClr w14:val="tx1"/>
                  </w14:solidFill>
                </w14:textFill>
              </w:rPr>
              <w:t xml:space="preserve">拟投入本项目的成员</w:t>
            </w:r>
            <w:r>
              <w:rPr>
                <w:rFonts w:hint="eastAsia" w:ascii="宋体" w:hAnsi="宋体" w:cs="宋体"/>
                <w:color w:val="000000" w:themeColor="text1"/>
                <w:szCs w:val="21"/>
                <w:highlight w:val="white"/>
                <w14:textFill>
                  <w14:solidFill>
                    <w14:schemeClr w14:val="tx1"/>
                  </w14:solidFill>
                </w14:textFill>
              </w:rPr>
              <w:t xml:space="preserve">（项目负责人除外）</w:t>
            </w:r>
            <w:r>
              <w:rPr>
                <w:rFonts w:ascii="宋体" w:hAnsi="宋体" w:cs="宋体"/>
                <w:color w:val="000000" w:themeColor="text1"/>
                <w:szCs w:val="21"/>
                <w:highlight w:val="white"/>
                <w14:textFill>
                  <w14:solidFill>
                    <w14:schemeClr w14:val="tx1"/>
                  </w14:solidFill>
                </w14:textFill>
              </w:rPr>
              <w:t xml:space="preserve">具有</w:t>
            </w:r>
            <w:r>
              <w:rPr>
                <w:rFonts w:hint="eastAsia" w:ascii="宋体" w:hAnsi="宋体" w:cs="宋体"/>
                <w:color w:val="000000" w:themeColor="text1"/>
                <w:szCs w:val="21"/>
                <w:highlight w:val="white"/>
                <w:u w:val="single"/>
                <w:lang w:val="en-US" w:eastAsia="zh-CN"/>
                <w14:textFill>
                  <w14:solidFill>
                    <w14:schemeClr w14:val="tx1"/>
                  </w14:solidFill>
                </w14:textFill>
              </w:rPr>
              <w:t xml:space="preserve">注册测绘师证书</w:t>
            </w:r>
            <w:r>
              <w:rPr>
                <w:rFonts w:ascii="宋体" w:hAnsi="宋体" w:cs="宋体"/>
                <w:color w:val="000000" w:themeColor="text1"/>
                <w:szCs w:val="21"/>
                <w:highlight w:val="white"/>
                <w14:textFill>
                  <w14:solidFill>
                    <w14:schemeClr w14:val="tx1"/>
                  </w14:solidFill>
                </w14:textFill>
              </w:rPr>
              <w:t xml:space="preserve">的</w:t>
            </w:r>
            <w:r>
              <w:rPr>
                <w:rFonts w:hint="eastAsia" w:ascii="宋体" w:hAnsi="宋体" w:cs="宋体"/>
                <w:color w:val="000000" w:themeColor="text1"/>
                <w:szCs w:val="21"/>
                <w:highlight w:val="white"/>
                <w:u w:val="none"/>
                <w:lang w:val="en-US" w:eastAsia="zh-CN"/>
                <w14:textFill>
                  <w14:solidFill>
                    <w14:schemeClr w14:val="tx1"/>
                  </w14:solidFill>
                </w14:textFill>
              </w:rPr>
              <w:t xml:space="preserve">同时具备</w:t>
            </w:r>
            <w:r>
              <w:rPr>
                <w:rFonts w:hint="eastAsia" w:ascii="宋体" w:hAnsi="宋体" w:cs="宋体"/>
                <w:color w:val="000000" w:themeColor="text1"/>
                <w:szCs w:val="21"/>
                <w:highlight w:val="white"/>
                <w:lang w:val="en-US" w:eastAsia="zh-CN"/>
                <w14:textFill>
                  <w14:solidFill>
                    <w14:schemeClr w14:val="tx1"/>
                  </w14:solidFill>
                </w14:textFill>
              </w:rPr>
              <w:t xml:space="preserve">水利工程中级工程师技术职称</w:t>
            </w:r>
            <w:r>
              <w:rPr>
                <w:rFonts w:ascii="宋体" w:hAnsi="宋体" w:cs="宋体"/>
                <w:color w:val="000000" w:themeColor="text1"/>
                <w:szCs w:val="21"/>
                <w:highlight w:val="white"/>
                <w14:textFill>
                  <w14:solidFill>
                    <w14:schemeClr w14:val="tx1"/>
                  </w14:solidFill>
                </w14:textFill>
              </w:rPr>
              <w:t xml:space="preserve">的</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1</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lang w:eastAsia="zh-CN"/>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同时具备水利工程高级工程师及以上技术职称，</w:t>
            </w:r>
            <w:r>
              <w:rPr>
                <w:rFonts w:hint="eastAsia" w:ascii="宋体" w:hAnsi="宋体" w:cs="宋体"/>
                <w:color w:val="000000" w:themeColor="text1"/>
                <w:szCs w:val="21"/>
                <w:highlight w:val="white"/>
                <w14:textFill>
                  <w14:solidFill>
                    <w14:schemeClr w14:val="tx1"/>
                  </w14:solidFill>
                </w14:textFill>
              </w:rPr>
              <w:t xml:space="preserve">有一个</w:t>
            </w:r>
            <w:r>
              <w:rPr>
                <w:rFonts w:ascii="宋体" w:hAnsi="宋体" w:cs="宋体"/>
                <w:color w:val="000000" w:themeColor="text1"/>
                <w:szCs w:val="21"/>
                <w:highlight w:val="white"/>
                <w14:textFill>
                  <w14:solidFill>
                    <w14:schemeClr w14:val="tx1"/>
                  </w14:solidFill>
                </w14:textFill>
              </w:rPr>
              <w:t xml:space="preserve">得</w:t>
            </w:r>
            <w:r>
              <w:rPr>
                <w:rFonts w:hint="eastAsia" w:ascii="宋体" w:hAnsi="宋体" w:cs="宋体"/>
                <w:color w:val="000000" w:themeColor="text1"/>
                <w:szCs w:val="21"/>
                <w:highlight w:val="white"/>
                <w:lang w:val="en-US" w:eastAsia="zh-CN"/>
                <w14:textFill>
                  <w14:solidFill>
                    <w14:schemeClr w14:val="tx1"/>
                  </w14:solidFill>
                </w14:textFill>
              </w:rPr>
              <w:t xml:space="preserve">2</w:t>
            </w:r>
            <w:r>
              <w:rPr>
                <w:rFonts w:ascii="宋体" w:hAnsi="宋体" w:cs="宋体"/>
                <w:color w:val="000000" w:themeColor="text1"/>
                <w:szCs w:val="21"/>
                <w:highlight w:val="white"/>
                <w14:textFill>
                  <w14:solidFill>
                    <w14:schemeClr w14:val="tx1"/>
                  </w14:solidFill>
                </w14:textFill>
              </w:rPr>
              <w:t xml:space="preserve">分</w:t>
            </w:r>
            <w:r>
              <w:rPr>
                <w:rFonts w:hint="eastAsia" w:ascii="宋体" w:hAnsi="宋体" w:cs="宋体"/>
                <w:color w:val="000000" w:themeColor="text1"/>
                <w:szCs w:val="21"/>
                <w:highlight w:val="white"/>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本项最多得4分，限评2人。</w:t>
            </w:r>
            <w:r>
              <w:rPr>
                <w:highlight w:val="white"/>
              </w:rPr>
            </w:r>
            <w:r/>
          </w:p>
          <w:p>
            <w:pPr>
              <w:pStyle w:val="1172"/>
              <w:ind w:firstLine="0"/>
              <w:spacing w:line="240" w:lineRule="auto"/>
              <w:rPr>
                <w:rFonts w:hint="default"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val="en-US" w:eastAsia="zh-CN"/>
                <w14:textFill>
                  <w14:solidFill>
                    <w14:schemeClr w14:val="tx1"/>
                  </w14:solidFill>
                </w14:textFill>
              </w:rPr>
              <w:t xml:space="preserve">同一人拥有多本资格证书，仅按一个评分项记分；</w:t>
            </w:r>
            <w:r>
              <w:rPr>
                <w:highlight w:val="white"/>
              </w:rPr>
            </w:r>
            <w:r/>
          </w:p>
          <w:p>
            <w:pPr>
              <w:pStyle w:val="1172"/>
              <w:ind w:firstLine="0"/>
              <w:spacing w:line="240" w:lineRule="auto"/>
              <w:rPr>
                <w:rFonts w:hint="eastAsia" w:ascii="宋体" w:hAnsi="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提供</w:t>
            </w:r>
            <w:r>
              <w:rPr>
                <w:rFonts w:ascii="宋体" w:hAnsi="宋体" w:cs="宋体"/>
                <w:b/>
                <w:bCs/>
                <w:color w:val="000000" w:themeColor="text1"/>
                <w:szCs w:val="21"/>
                <w:highlight w:val="white"/>
                <w14:textFill>
                  <w14:solidFill>
                    <w14:schemeClr w14:val="tx1"/>
                  </w14:solidFill>
                </w14:textFill>
              </w:rPr>
              <w:t xml:space="preserve">以上人员证书及供应商为其缴纳的近三个月内任意一个月养老保险证明，复印件加盖供应商公章。</w:t>
            </w:r>
            <w:r>
              <w:rPr>
                <w:highlight w:val="white"/>
              </w:rPr>
            </w:r>
            <w:r/>
          </w:p>
        </w:tc>
      </w:tr>
      <w:tr>
        <w:trPr>
          <w:jc w:val="center"/>
          <w:trHeight w:val="670"/>
        </w:trPr>
        <w:tc>
          <w:tcPr>
            <w:tcBorders>
              <w:left w:val="single" w:color="auto" w:sz="4" w:space="0"/>
              <w:right w:val="single" w:color="auto" w:sz="4" w:space="0"/>
            </w:tcBorders>
            <w:tcW w:w="1271"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业绩</w:t>
            </w:r>
            <w:r>
              <w:rPr>
                <w:highlight w:val="white"/>
              </w:rPr>
            </w:r>
            <w:r/>
          </w:p>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（15分）</w:t>
            </w:r>
            <w:r>
              <w:rPr>
                <w:highlight w:val="white"/>
              </w:rPr>
            </w:r>
            <w:r/>
          </w:p>
        </w:tc>
        <w:tc>
          <w:tcPr>
            <w:gridSpan w:val="2"/>
            <w:tcBorders>
              <w:top w:val="single" w:color="auto" w:sz="4" w:space="0"/>
              <w:left w:val="single" w:color="auto" w:sz="4" w:space="0"/>
              <w:right w:val="single" w:color="auto" w:sz="4" w:space="0"/>
            </w:tcBorders>
            <w:tcW w:w="7410" w:type="dxa"/>
            <w:vAlign w:val="center"/>
            <w:textDirection w:val="lrTb"/>
            <w:noWrap w:val="false"/>
          </w:tcPr>
          <w:p>
            <w:pPr>
              <w:spacing w:line="240" w:lineRule="auto"/>
              <w:rPr>
                <w:rFonts w:hint="eastAsia" w:ascii="宋体" w:hAnsi="宋体"/>
                <w:b/>
                <w:b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供应商近5年（2021年1月1日至今）有过类似</w:t>
            </w:r>
            <w:r>
              <w:rPr>
                <w:rFonts w:ascii="宋体" w:hAnsi="宋体" w:cs="宋体"/>
                <w:color w:val="000000" w:themeColor="text1"/>
                <w:szCs w:val="21"/>
                <w:highlight w:val="white"/>
                <w14:textFill>
                  <w14:solidFill>
                    <w14:schemeClr w14:val="tx1"/>
                  </w14:solidFill>
                </w14:textFill>
              </w:rPr>
              <w:t xml:space="preserve">服务业绩</w:t>
            </w:r>
            <w:r>
              <w:rPr>
                <w:rFonts w:hint="eastAsia" w:ascii="宋体" w:hAnsi="宋体" w:cs="宋体"/>
                <w:color w:val="000000" w:themeColor="text1"/>
                <w:szCs w:val="21"/>
                <w:highlight w:val="white"/>
                <w:lang w:eastAsia="zh-CN"/>
                <w14:textFill>
                  <w14:solidFill>
                    <w14:schemeClr w14:val="tx1"/>
                  </w14:solidFill>
                </w14:textFill>
              </w:rPr>
              <w:t xml:space="preserve">（</w:t>
            </w:r>
            <w:r>
              <w:rPr>
                <w:rFonts w:hint="eastAsia" w:ascii="宋体" w:hAnsi="宋体" w:cs="宋体"/>
                <w:color w:val="000000" w:themeColor="text1"/>
                <w:szCs w:val="21"/>
                <w:highlight w:val="white"/>
                <w:lang w:val="en-US" w:eastAsia="zh-CN"/>
                <w14:textFill>
                  <w14:solidFill>
                    <w14:schemeClr w14:val="tx1"/>
                  </w14:solidFill>
                </w14:textFill>
              </w:rPr>
              <w:t xml:space="preserve">包括但不限于水库大坝安全鉴定、水库大坝风险评估、水库大坝应急预案）的</w:t>
            </w:r>
            <w:r>
              <w:rPr>
                <w:rFonts w:hint="eastAsia" w:ascii="宋体" w:hAnsi="宋体" w:cs="宋体"/>
                <w:color w:val="000000" w:themeColor="text1"/>
                <w:szCs w:val="21"/>
                <w:highlight w:val="white"/>
                <w14:textFill>
                  <w14:solidFill>
                    <w14:schemeClr w14:val="tx1"/>
                  </w14:solidFill>
                </w14:textFill>
              </w:rPr>
              <w:t xml:space="preserve">，有一个得3分，</w:t>
            </w:r>
            <w:r>
              <w:rPr>
                <w:rFonts w:hint="eastAsia" w:cs="宋体"/>
                <w:color w:val="000000" w:themeColor="text1"/>
                <w:szCs w:val="21"/>
                <w:highlight w:val="white"/>
                <w14:textFill>
                  <w14:solidFill>
                    <w14:schemeClr w14:val="tx1"/>
                  </w14:solidFill>
                </w14:textFill>
              </w:rPr>
              <w:t xml:space="preserve">满分</w:t>
            </w:r>
            <w:r>
              <w:rPr>
                <w:rFonts w:hint="eastAsia" w:ascii="宋体" w:hAnsi="宋体" w:cs="宋体"/>
                <w:color w:val="000000" w:themeColor="text1"/>
                <w:szCs w:val="21"/>
                <w:highlight w:val="white"/>
                <w14:textFill>
                  <w14:solidFill>
                    <w14:schemeClr w14:val="tx1"/>
                  </w14:solidFill>
                </w14:textFill>
              </w:rPr>
              <w:t xml:space="preserve">15分。</w:t>
            </w:r>
            <w:r>
              <w:rPr>
                <w:rFonts w:hint="eastAsia" w:ascii="宋体" w:hAnsi="宋体" w:cs="宋体"/>
                <w:b/>
                <w:bCs/>
                <w:color w:val="000000" w:themeColor="text1"/>
                <w:szCs w:val="21"/>
                <w:highlight w:val="white"/>
                <w14:textFill>
                  <w14:solidFill>
                    <w14:schemeClr w14:val="tx1"/>
                  </w14:solidFill>
                </w14:textFill>
              </w:rPr>
              <w:t xml:space="preserve">（以合同签订时间为准，提供合同复印件加盖公章）</w:t>
            </w:r>
            <w:r>
              <w:rPr>
                <w:highlight w:val="white"/>
              </w:rPr>
            </w:r>
            <w:r/>
          </w:p>
        </w:tc>
      </w:tr>
      <w:tr>
        <w:trPr>
          <w:jc w:val="center"/>
          <w:trHeight w:val="525"/>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24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合计</w:t>
            </w:r>
            <w:r>
              <w:rPr>
                <w:highlight w:val="white"/>
              </w:rPr>
            </w:r>
            <w:r/>
          </w:p>
        </w:tc>
        <w:tc>
          <w:tcPr>
            <w:gridSpan w:val="2"/>
            <w:tcBorders>
              <w:top w:val="single" w:color="auto" w:sz="4" w:space="0"/>
              <w:left w:val="single" w:color="auto" w:sz="4" w:space="0"/>
              <w:bottom w:val="single" w:color="auto" w:sz="4" w:space="0"/>
              <w:right w:val="single" w:color="auto" w:sz="4" w:space="0"/>
            </w:tcBorders>
            <w:tcW w:w="7410" w:type="dxa"/>
            <w:vAlign w:val="center"/>
            <w:textDirection w:val="lrTb"/>
            <w:noWrap w:val="false"/>
          </w:tcPr>
          <w:p>
            <w:pPr>
              <w:jc w:val="center"/>
              <w:spacing w:line="24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100分</w:t>
            </w:r>
            <w:r>
              <w:rPr>
                <w:highlight w:val="white"/>
              </w:rPr>
            </w:r>
            <w:r/>
          </w:p>
        </w:tc>
      </w:tr>
    </w:tbl>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ind w:firstLine="420"/>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注：评标委员会认为供应商的报价明显低于其他通过符合性审查供应商的报价，有可能影响服务（产品）质量或者不能诚信履约的，评标委员会有权要求其在评标现场合理的时间内提供书面说明，必要时提交相关证明材料；供应商不能证明其报价合理性的，评标委员会将其作为无效投标处理。</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四、本次采购执行财政部发布《关于推动解决政府采购异常低价问题的通知》财库〔2026〕2号）的文件要求。</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（一）政府采购评审中出现下列情形之一的，评审委员会应当启动异常低价投标（响应）审查程序：</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1.投标(响应)报价低于全部通过符合性审查供应商投标(响应)报价平均值50%的，即投标(响应)报价〈全部通过符合性审查供应商投标(响应)报价平均值X50%；</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2.投标(响应)报价低于通过符合性审查的次低报价供应商投标(响应)报价50%的，即投标(响应)报价〈通过符合性审查的次低报价供应商投标(响应)报价X50%；</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3.投标(响应)报价低于采购项目最高限价</w:t>
      </w:r>
      <w:r>
        <w:rPr>
          <w:rFonts w:hint="eastAsia" w:ascii="宋体" w:hAnsi="宋体" w:cs="宋体"/>
          <w:b/>
          <w:bCs/>
          <w:color w:val="000000" w:themeColor="text1"/>
          <w:szCs w:val="21"/>
          <w:highlight w:val="white"/>
          <w:lang w:val="en-US" w:eastAsia="zh-CN"/>
          <w14:textFill>
            <w14:solidFill>
              <w14:schemeClr w14:val="tx1"/>
            </w14:solidFill>
          </w14:textFill>
        </w:rPr>
        <w:t xml:space="preserve">65</w:t>
      </w:r>
      <w:r>
        <w:rPr>
          <w:rFonts w:hint="eastAsia" w:ascii="宋体" w:hAnsi="宋体" w:cs="宋体"/>
          <w:b/>
          <w:bCs/>
          <w:color w:val="000000" w:themeColor="text1"/>
          <w:szCs w:val="21"/>
          <w:highlight w:val="white"/>
          <w14:textFill>
            <w14:solidFill>
              <w14:schemeClr w14:val="tx1"/>
            </w14:solidFill>
          </w14:textFill>
        </w:rPr>
        <w:t xml:space="preserve">%的，即投标(响应)报价&lt;采购项目最高限价X</w:t>
      </w:r>
      <w:r>
        <w:rPr>
          <w:rFonts w:hint="eastAsia" w:ascii="宋体" w:hAnsi="宋体" w:cs="宋体"/>
          <w:b/>
          <w:bCs/>
          <w:color w:val="000000" w:themeColor="text1"/>
          <w:szCs w:val="21"/>
          <w:highlight w:val="white"/>
          <w:lang w:val="en-US" w:eastAsia="zh-CN"/>
          <w14:textFill>
            <w14:solidFill>
              <w14:schemeClr w14:val="tx1"/>
            </w14:solidFill>
          </w14:textFill>
        </w:rPr>
        <w:t xml:space="preserve">6</w:t>
      </w:r>
      <w:r>
        <w:rPr>
          <w:rFonts w:hint="eastAsia" w:ascii="宋体" w:hAnsi="宋体" w:cs="宋体"/>
          <w:b/>
          <w:bCs/>
          <w:color w:val="000000" w:themeColor="text1"/>
          <w:szCs w:val="21"/>
          <w:highlight w:val="white"/>
          <w14:textFill>
            <w14:solidFill>
              <w14:schemeClr w14:val="tx1"/>
            </w14:solidFill>
          </w14:textFill>
        </w:rPr>
        <w:t xml:space="preserve">5%；</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4.评审委员会基于专业判断，认为供应商报价过低，有可能影响产品质量或者不能诚信履约的其他情形。</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highlight w:val="white"/>
        </w:rPr>
      </w:r>
      <w:r/>
    </w:p>
    <w:p>
      <w:pPr>
        <w:ind w:firstLine="420"/>
        <w:spacing w:line="360" w:lineRule="auto"/>
        <w:rPr>
          <w:rFonts w:hint="eastAsia" w:ascii="宋体" w:hAnsi="宋体" w:cs="宋体"/>
          <w:b/>
          <w:bCs/>
          <w:color w:val="000000" w:themeColor="text1"/>
          <w:szCs w:val="21"/>
          <w:highlight w:val="white"/>
          <w14:textFill>
            <w14:solidFill>
              <w14:schemeClr w14:val="tx1"/>
            </w14:solidFill>
          </w14:textFill>
        </w:rPr>
        <w:sectPr>
          <w:headerReference w:type="default" r:id="rId11"/>
          <w:headerReference w:type="first" r:id="rId12"/>
          <w:footerReference w:type="even" r:id="rId15"/>
          <w:footerReference w:type="first" r:id="rId16"/>
          <w:footnotePr/>
          <w:endnotePr/>
          <w:type w:val="nextPage"/>
          <w:pgSz w:w="11906" w:h="16838" w:orient="portrait"/>
          <w:pgMar w:top="1418" w:right="1588" w:bottom="1691" w:left="1365" w:header="851" w:footer="907" w:gutter="0"/>
          <w:cols w:num="1" w:sep="0" w:space="720" w:equalWidth="1"/>
          <w:docGrid w:linePitch="360"/>
          <w:titlePg/>
        </w:sectPr>
      </w:pPr>
      <w:r>
        <w:rPr>
          <w:rFonts w:hint="eastAsia" w:ascii="宋体" w:hAnsi="宋体" w:cs="宋体"/>
          <w:b/>
          <w:bCs/>
          <w:color w:val="000000" w:themeColor="text1"/>
          <w:szCs w:val="21"/>
          <w:highlight w:val="white"/>
          <w14:textFill>
            <w14:solidFill>
              <w14:schemeClr w14:val="tx1"/>
            </w14:solidFill>
          </w14:textFill>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80"/>
      <w:r/>
      <w:bookmarkEnd w:id="181"/>
      <w:r/>
      <w:bookmarkEnd w:id="182"/>
      <w:r>
        <w:rPr>
          <w:highlight w:val="white"/>
        </w:rPr>
      </w:r>
      <w:r/>
    </w:p>
    <w:p>
      <w:pPr>
        <w:pStyle w:val="1149"/>
        <w:rPr>
          <w:color w:val="000000" w:themeColor="text1"/>
          <w:sz w:val="28"/>
          <w:szCs w:val="28"/>
          <w:highlight w:val="white"/>
          <w14:textFill>
            <w14:solidFill>
              <w14:schemeClr w14:val="tx1"/>
            </w14:solidFill>
          </w14:textFill>
        </w:rPr>
      </w:pPr>
      <w:r>
        <w:rPr>
          <w:highlight w:val="white"/>
        </w:rPr>
      </w:r>
      <w:bookmarkStart w:id="186" w:name="_Toc26554094"/>
      <w:r>
        <w:rPr>
          <w:highlight w:val="white"/>
        </w:rPr>
      </w:r>
      <w:bookmarkStart w:id="187" w:name="_Toc120614282"/>
      <w:r>
        <w:rPr>
          <w:highlight w:val="white"/>
        </w:rPr>
      </w:r>
      <w:bookmarkStart w:id="188" w:name="_Toc49090576"/>
      <w:r>
        <w:rPr>
          <w:rFonts w:hint="eastAsia"/>
          <w:color w:val="000000" w:themeColor="text1"/>
          <w:sz w:val="21"/>
          <w:szCs w:val="21"/>
          <w:highlight w:val="white"/>
          <w14:textFill>
            <w14:solidFill>
              <w14:schemeClr w14:val="tx1"/>
            </w14:solidFill>
          </w14:textFill>
        </w:rPr>
        <w:t xml:space="preserve"> </w:t>
      </w:r>
      <w:bookmarkStart w:id="189" w:name="_Toc13605"/>
      <w:r>
        <w:rPr>
          <w:rFonts w:hint="eastAsia"/>
          <w:color w:val="000000" w:themeColor="text1"/>
          <w:sz w:val="28"/>
          <w:szCs w:val="28"/>
          <w:highlight w:val="white"/>
          <w14:textFill>
            <w14:solidFill>
              <w14:schemeClr w14:val="tx1"/>
            </w14:solidFill>
          </w14:textFill>
        </w:rPr>
        <w:t xml:space="preserve">第六章 竞争性磋商响应文件格式</w:t>
      </w:r>
      <w:bookmarkEnd w:id="189"/>
      <w:r>
        <w:rPr>
          <w:highlight w:val="white"/>
        </w:rPr>
      </w:r>
      <w:r/>
    </w:p>
    <w:p>
      <w:pPr>
        <w:jc w:val="center"/>
        <w:spacing w:line="360" w:lineRule="auto"/>
        <w:rPr>
          <w:rFonts w:hint="eastAsia" w:ascii="宋体" w:hAnsi="宋体" w:cs="宋体"/>
          <w:b/>
          <w:color w:val="000000" w:themeColor="text1"/>
          <w:sz w:val="22"/>
          <w:highlight w:val="white"/>
          <w14:textFill>
            <w14:solidFill>
              <w14:schemeClr w14:val="tx1"/>
            </w14:solidFill>
          </w14:textFill>
        </w:rPr>
      </w:pPr>
      <w:r>
        <w:rPr>
          <w:rFonts w:hint="eastAsia" w:ascii="宋体" w:hAnsi="宋体" w:cs="宋体"/>
          <w:b/>
          <w:color w:val="000000" w:themeColor="text1"/>
          <w:sz w:val="22"/>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sz w:val="72"/>
          <w:szCs w:val="72"/>
          <w:highlight w:val="white"/>
          <w14:textFill>
            <w14:solidFill>
              <w14:schemeClr w14:val="tx1"/>
            </w14:solidFill>
          </w14:textFill>
        </w:rPr>
      </w:pPr>
      <w:r>
        <w:rPr>
          <w:rFonts w:hint="eastAsia" w:ascii="宋体" w:hAnsi="宋体" w:cs="宋体"/>
          <w:b/>
          <w:bCs/>
          <w:color w:val="000000" w:themeColor="text1"/>
          <w:sz w:val="72"/>
          <w:szCs w:val="72"/>
          <w:highlight w:val="white"/>
          <w14:textFill>
            <w14:solidFill>
              <w14:schemeClr w14:val="tx1"/>
            </w14:solidFill>
          </w14:textFill>
        </w:rPr>
        <w:t xml:space="preserve">竞争性磋商响应文件</w:t>
      </w:r>
      <w:r>
        <w:rPr>
          <w:highlight w:val="white"/>
        </w:rPr>
      </w:r>
      <w:r/>
    </w:p>
    <w:p>
      <w:pPr>
        <w:jc w:val="left"/>
        <w:spacing w:line="360" w:lineRule="auto"/>
        <w:rPr>
          <w:rFonts w:hint="eastAsia" w:ascii="宋体" w:hAnsi="宋体" w:cs="宋体"/>
          <w:b/>
          <w:color w:val="000000" w:themeColor="text1"/>
          <w:sz w:val="72"/>
          <w:szCs w:val="21"/>
          <w:highlight w:val="white"/>
          <w14:textFill>
            <w14:solidFill>
              <w14:schemeClr w14:val="tx1"/>
            </w14:solidFill>
          </w14:textFill>
        </w:rPr>
      </w:pPr>
      <w:r>
        <w:rPr>
          <w:rFonts w:hint="eastAsia" w:ascii="宋体" w:hAnsi="宋体" w:cs="宋体"/>
          <w:b/>
          <w:color w:val="000000" w:themeColor="text1"/>
          <w:sz w:val="72"/>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szCs w:val="21"/>
          <w:highlight w:val="white"/>
          <w14:textFill>
            <w14:solidFill>
              <w14:schemeClr w14:val="tx1"/>
            </w14:solidFill>
          </w14:textFill>
        </w:rPr>
      </w:pPr>
      <w:r>
        <w:rPr>
          <w:rFonts w:hint="eastAsia" w:ascii="宋体" w:hAnsi="宋体" w:cs="宋体"/>
          <w:b/>
          <w:color w:val="000000" w:themeColor="text1"/>
          <w:sz w:val="36"/>
          <w:szCs w:val="21"/>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r>
      <w:r>
        <w:rPr>
          <w:highlight w:val="white"/>
        </w:rPr>
      </w:r>
      <w:r/>
    </w:p>
    <w:p>
      <w:pPr>
        <w:jc w:val="left"/>
        <w:spacing w:line="360" w:lineRule="auto"/>
        <w:rPr>
          <w:rFonts w:hint="eastAsia" w:ascii="宋体" w:hAnsi="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r>
      <w:r>
        <w:rPr>
          <w:highlight w:val="white"/>
        </w:rPr>
      </w:r>
      <w:r/>
    </w:p>
    <w:p>
      <w:pPr>
        <w:ind w:firstLine="1084"/>
        <w:jc w:val="left"/>
        <w:spacing w:line="360" w:lineRule="auto"/>
        <w:rPr>
          <w:rFonts w:hint="eastAsia" w:ascii="宋体" w:hAnsi="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项 目 名 称：</w:t>
      </w:r>
      <w:r>
        <w:rPr>
          <w:rFonts w:hint="eastAsia" w:ascii="宋体" w:hAnsi="宋体" w:cs="宋体"/>
          <w:b/>
          <w:color w:val="000000" w:themeColor="text1"/>
          <w:sz w:val="36"/>
          <w:highlight w:val="white"/>
          <w:u w:val="single"/>
          <w14:textFill>
            <w14:solidFill>
              <w14:schemeClr w14:val="tx1"/>
            </w14:solidFill>
          </w14:textFill>
        </w:rPr>
        <w:t xml:space="preserve">                   </w:t>
      </w:r>
      <w:r>
        <w:rPr>
          <w:highlight w:val="white"/>
        </w:rPr>
      </w:r>
      <w:r/>
    </w:p>
    <w:p>
      <w:pPr>
        <w:ind w:firstLine="1084"/>
        <w:jc w:val="left"/>
        <w:spacing w:line="360" w:lineRule="auto"/>
        <w:rPr>
          <w:rFonts w:hint="eastAsia" w:ascii="宋体" w:hAnsi="宋体" w:cs="宋体"/>
          <w:b/>
          <w:color w:val="000000" w:themeColor="text1"/>
          <w:sz w:val="36"/>
          <w:highlight w:val="white"/>
          <w:u w:val="singl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项 目 编 号：</w:t>
      </w:r>
      <w:r>
        <w:rPr>
          <w:rFonts w:hint="eastAsia" w:ascii="宋体" w:hAnsi="宋体" w:cs="宋体"/>
          <w:b/>
          <w:color w:val="000000" w:themeColor="text1"/>
          <w:sz w:val="36"/>
          <w:highlight w:val="white"/>
          <w:u w:val="single"/>
          <w14:textFill>
            <w14:solidFill>
              <w14:schemeClr w14:val="tx1"/>
            </w14:solidFill>
          </w14:textFill>
        </w:rPr>
        <w:t xml:space="preserve">                   </w:t>
      </w:r>
      <w:r>
        <w:rPr>
          <w:highlight w:val="white"/>
        </w:rPr>
      </w:r>
      <w:r/>
    </w:p>
    <w:p>
      <w:pPr>
        <w:jc w:val="left"/>
        <w:spacing w:line="360" w:lineRule="auto"/>
        <w:rPr>
          <w:rFonts w:hint="eastAsia" w:ascii="宋体" w:hAnsi="宋体" w:cs="宋体"/>
          <w:b/>
          <w:color w:val="000000" w:themeColor="text1"/>
          <w:sz w:val="36"/>
          <w:highlight w:val="white"/>
          <w:u w:val="singl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      磋商供应商名称 ：</w:t>
      </w:r>
      <w:r>
        <w:rPr>
          <w:rFonts w:hint="eastAsia" w:ascii="宋体" w:hAnsi="宋体" w:cs="宋体"/>
          <w:b/>
          <w:color w:val="000000" w:themeColor="text1"/>
          <w:sz w:val="36"/>
          <w:highlight w:val="white"/>
          <w:u w:val="single"/>
          <w14:textFill>
            <w14:solidFill>
              <w14:schemeClr w14:val="tx1"/>
            </w14:solidFill>
          </w14:textFill>
        </w:rPr>
        <w:t xml:space="preserve">               </w:t>
      </w:r>
      <w:r>
        <w:rPr>
          <w:highlight w:val="white"/>
        </w:rPr>
      </w:r>
      <w:r/>
    </w:p>
    <w:p>
      <w:pPr>
        <w:jc w:val="left"/>
        <w:spacing w:line="360" w:lineRule="auto"/>
        <w:rPr>
          <w:rFonts w:hint="eastAsia" w:ascii="宋体" w:hAnsi="宋体" w:cs="宋体"/>
          <w:b/>
          <w:color w:val="000000" w:themeColor="text1"/>
          <w:sz w:val="36"/>
          <w:highlight w:val="white"/>
          <w:u w:val="singl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      日      期 ：</w:t>
      </w:r>
      <w:r>
        <w:rPr>
          <w:rFonts w:hint="eastAsia" w:ascii="宋体" w:hAnsi="宋体" w:cs="宋体"/>
          <w:b/>
          <w:color w:val="000000" w:themeColor="text1"/>
          <w:sz w:val="36"/>
          <w:highlight w:val="white"/>
          <w:u w:val="single"/>
          <w14:textFill>
            <w14:solidFill>
              <w14:schemeClr w14:val="tx1"/>
            </w14:solidFill>
          </w14:textFill>
        </w:rPr>
        <w:t xml:space="preserve">                   </w:t>
      </w:r>
      <w:r>
        <w:rPr>
          <w:highlight w:val="white"/>
        </w:rPr>
      </w:r>
      <w:r/>
    </w:p>
    <w:p>
      <w:pPr>
        <w:ind w:firstLine="1084"/>
        <w:jc w:val="left"/>
        <w:spacing w:line="360" w:lineRule="auto"/>
        <w:rPr>
          <w:rFonts w:hint="eastAsia" w:ascii="宋体" w:hAnsi="宋体" w:cs="宋体"/>
          <w:b/>
          <w:color w:val="000000" w:themeColor="text1"/>
          <w:sz w:val="36"/>
          <w:highlight w:val="white"/>
          <w14:textFill>
            <w14:solidFill>
              <w14:schemeClr w14:val="tx1"/>
            </w14:solidFill>
          </w14:textFill>
        </w:rPr>
      </w:pPr>
      <w:r>
        <w:rPr>
          <w:rFonts w:hint="eastAsia" w:ascii="宋体" w:hAnsi="宋体" w:cs="宋体"/>
          <w:b/>
          <w:color w:val="000000" w:themeColor="text1"/>
          <w:sz w:val="36"/>
          <w:highlight w:val="white"/>
          <w14:textFill>
            <w14:solidFill>
              <w14:schemeClr w14:val="tx1"/>
            </w14:solidFill>
          </w14:textFill>
        </w:rPr>
        <w:t xml:space="preserve">供  应  商：</w:t>
      </w:r>
      <w:r>
        <w:rPr>
          <w:rFonts w:hint="eastAsia" w:ascii="宋体" w:hAnsi="宋体" w:cs="宋体"/>
          <w:b/>
          <w:color w:val="000000" w:themeColor="text1"/>
          <w:sz w:val="36"/>
          <w:highlight w:val="white"/>
          <w:u w:val="single"/>
          <w14:textFill>
            <w14:solidFill>
              <w14:schemeClr w14:val="tx1"/>
            </w14:solidFill>
          </w14:textFill>
        </w:rPr>
        <w:t xml:space="preserve">         </w:t>
      </w:r>
      <w:r>
        <w:rPr>
          <w:rFonts w:hint="eastAsia" w:ascii="宋体" w:hAnsi="宋体" w:cs="宋体"/>
          <w:b/>
          <w:color w:val="000000" w:themeColor="text1"/>
          <w:sz w:val="36"/>
          <w:highlight w:val="white"/>
          <w14:textFill>
            <w14:solidFill>
              <w14:schemeClr w14:val="tx1"/>
            </w14:solidFill>
          </w14:textFill>
        </w:rPr>
        <w:t xml:space="preserve">（电子签章）</w:t>
      </w:r>
      <w:r>
        <w:rPr>
          <w:highlight w:val="white"/>
        </w:rPr>
      </w:r>
      <w:r/>
    </w:p>
    <w:p>
      <w:pPr>
        <w:jc w:val="center"/>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t xml:space="preserve">磋商主要文件目录</w:t>
      </w:r>
      <w:r>
        <w:rPr>
          <w:highlight w:val="white"/>
        </w:rPr>
      </w:r>
      <w:r/>
    </w:p>
    <w:p>
      <w:pPr>
        <w:jc w:val="left"/>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一、资格审查响应对照表</w:t>
      </w:r>
      <w:r>
        <w:rPr>
          <w:highlight w:val="white"/>
        </w:rPr>
      </w:r>
      <w:r/>
    </w:p>
    <w:p>
      <w:pPr>
        <w:ind w:left="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二、符合性审查响应对照表</w:t>
      </w:r>
      <w:r>
        <w:rPr>
          <w:highlight w:val="white"/>
        </w:rPr>
      </w:r>
      <w:r/>
    </w:p>
    <w:p>
      <w:pPr>
        <w:ind w:left="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三、非实质性响应对照表</w:t>
      </w:r>
      <w:r>
        <w:rPr>
          <w:highlight w:val="white"/>
        </w:rPr>
      </w:r>
      <w:r/>
    </w:p>
    <w:p>
      <w:pPr>
        <w:ind w:firstLine="480"/>
        <w:jc w:val="left"/>
        <w:spacing w:line="360" w:lineRule="auto"/>
        <w:rPr>
          <w:rFonts w:hint="eastAsia"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四</w:t>
      </w:r>
      <w:r>
        <w:rPr>
          <w:rFonts w:hint="eastAsia" w:ascii="宋体" w:hAnsi="宋体" w:cs="宋体"/>
          <w:b/>
          <w:bCs/>
          <w:color w:val="000000" w:themeColor="text1"/>
          <w:sz w:val="24"/>
          <w:highlight w:val="white"/>
          <w14:textFill>
            <w14:solidFill>
              <w14:schemeClr w14:val="tx1"/>
            </w14:solidFill>
          </w14:textFill>
        </w:rPr>
        <w:t xml:space="preserve">、</w:t>
      </w:r>
      <w:r>
        <w:rPr>
          <w:rFonts w:hint="eastAsia" w:ascii="宋体" w:hAnsi="宋体" w:cs="宋体"/>
          <w:i/>
          <w:color w:val="000000" w:themeColor="text1"/>
          <w:sz w:val="24"/>
          <w:highlight w:val="white"/>
          <w:u w:val="single"/>
          <w14:textFill>
            <w14:solidFill>
              <w14:schemeClr w14:val="tx1"/>
            </w14:solidFill>
          </w14:textFill>
        </w:rPr>
        <w:t xml:space="preserve">磋商响应报价表</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五、</w:t>
      </w:r>
      <w:r>
        <w:rPr>
          <w:rFonts w:hint="eastAsia" w:ascii="宋体" w:hAnsi="宋体" w:cs="宋体"/>
          <w:color w:val="000000" w:themeColor="text1"/>
          <w:sz w:val="24"/>
          <w:szCs w:val="24"/>
          <w:highlight w:val="white"/>
          <w14:textFill>
            <w14:solidFill>
              <w14:schemeClr w14:val="tx1"/>
            </w14:solidFill>
          </w14:textFill>
        </w:rPr>
        <w:t xml:space="preserve">技术参数响应及偏离表</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六</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商务条款响应及偏离表</w:t>
      </w:r>
      <w:r>
        <w:rPr>
          <w:highlight w:val="white"/>
        </w:rPr>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七、其他 （供应商认为有必要提供的声明和文件，如有自拟并自行添加）</w:t>
      </w:r>
      <w:r>
        <w:rPr>
          <w:highlight w:val="white"/>
        </w:rPr>
      </w:r>
      <w:r/>
    </w:p>
    <w:p>
      <w:pPr>
        <w:ind w:firstLine="480"/>
        <w:spacing w:line="440" w:lineRule="exact"/>
        <w:rPr>
          <w:rFonts w:hint="eastAsia" w:ascii="宋体" w:hAnsi="宋体" w:cs="宋体"/>
          <w:color w:val="000000" w:themeColor="text1"/>
          <w:sz w:val="24"/>
          <w:szCs w:val="21"/>
          <w:highlight w:val="white"/>
          <w14:textFill>
            <w14:solidFill>
              <w14:schemeClr w14:val="tx1"/>
            </w14:solidFill>
          </w14:textFill>
        </w:rPr>
      </w:pPr>
      <w:r>
        <w:rPr>
          <w:rFonts w:hint="eastAsia" w:ascii="宋体" w:hAnsi="宋体" w:cs="宋体"/>
          <w:color w:val="000000" w:themeColor="text1"/>
          <w:sz w:val="24"/>
          <w:szCs w:val="21"/>
          <w:highlight w:val="white"/>
          <w14:textFill>
            <w14:solidFill>
              <w14:schemeClr w14:val="tx1"/>
            </w14:solidFill>
          </w14:textFill>
        </w:rPr>
      </w:r>
      <w:r>
        <w:rPr>
          <w:highlight w:val="white"/>
        </w:rPr>
      </w:r>
      <w:r/>
    </w:p>
    <w:p>
      <w:pPr>
        <w:ind w:firstLine="480"/>
        <w:spacing w:line="440" w:lineRule="exact"/>
        <w:rPr>
          <w:rFonts w:hint="eastAsia" w:ascii="宋体" w:hAnsi="宋体" w:cs="宋体"/>
          <w:color w:val="000000" w:themeColor="text1"/>
          <w:sz w:val="24"/>
          <w:szCs w:val="21"/>
          <w:highlight w:val="white"/>
          <w14:textFill>
            <w14:solidFill>
              <w14:schemeClr w14:val="tx1"/>
            </w14:solidFill>
          </w14:textFill>
        </w:rPr>
      </w:pPr>
      <w:r>
        <w:rPr>
          <w:rFonts w:hint="eastAsia" w:ascii="宋体" w:hAnsi="宋体" w:cs="宋体"/>
          <w:color w:val="000000" w:themeColor="text1"/>
          <w:sz w:val="24"/>
          <w:szCs w:val="21"/>
          <w:highlight w:val="white"/>
          <w14:textFill>
            <w14:solidFill>
              <w14:schemeClr w14:val="tx1"/>
            </w14:solidFill>
          </w14:textFill>
        </w:rPr>
      </w:r>
      <w:r>
        <w:rPr>
          <w:highlight w:val="white"/>
        </w:rPr>
      </w:r>
      <w:r/>
    </w:p>
    <w:p>
      <w:pPr>
        <w:ind w:firstLine="480"/>
        <w:spacing w:line="440" w:lineRule="exact"/>
        <w:rPr>
          <w:rFonts w:hint="eastAsia" w:ascii="宋体" w:hAnsi="宋体" w:cs="宋体"/>
          <w:color w:val="000000" w:themeColor="text1"/>
          <w:sz w:val="24"/>
          <w:szCs w:val="21"/>
          <w:highlight w:val="white"/>
          <w14:textFill>
            <w14:solidFill>
              <w14:schemeClr w14:val="tx1"/>
            </w14:solidFill>
          </w14:textFill>
        </w:rPr>
      </w:pPr>
      <w:r>
        <w:rPr>
          <w:rFonts w:hint="eastAsia" w:ascii="宋体" w:hAnsi="宋体" w:cs="宋体"/>
          <w:color w:val="000000" w:themeColor="text1"/>
          <w:sz w:val="24"/>
          <w:szCs w:val="21"/>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pStyle w:val="884"/>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r>
      <w:r>
        <w:rPr>
          <w:highlight w:val="white"/>
        </w:rPr>
      </w:r>
      <w:r/>
    </w:p>
    <w:p>
      <w:pPr>
        <w:jc w:val="center"/>
        <w:spacing w:line="360" w:lineRule="auto"/>
        <w:rPr>
          <w:rFonts w:hint="eastAsia" w:ascii="宋体" w:hAnsi="宋体" w:cs="宋体"/>
          <w:b/>
          <w:color w:val="000000" w:themeColor="text1"/>
          <w:sz w:val="32"/>
          <w:szCs w:val="32"/>
          <w:highlight w:val="white"/>
          <w14:textFill>
            <w14:solidFill>
              <w14:schemeClr w14:val="tx1"/>
            </w14:solidFill>
          </w14:textFill>
        </w:rPr>
      </w:pPr>
      <w:r>
        <w:rPr>
          <w:rFonts w:hint="eastAsia" w:ascii="宋体" w:hAnsi="宋体" w:cs="宋体"/>
          <w:b/>
          <w:color w:val="000000" w:themeColor="text1"/>
          <w:sz w:val="32"/>
          <w:szCs w:val="32"/>
          <w:highlight w:val="white"/>
          <w14:textFill>
            <w14:solidFill>
              <w14:schemeClr w14:val="tx1"/>
            </w14:solidFill>
          </w14:textFill>
        </w:rPr>
        <w:t xml:space="preserve">一、资格审查响应对照表</w:t>
      </w:r>
      <w:r>
        <w:rPr>
          <w:highlight w:val="white"/>
        </w:rPr>
      </w:r>
      <w:r/>
    </w:p>
    <w:tbl>
      <w:tblPr>
        <w:tblStyle w:val="852"/>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6563"/>
        <w:gridCol w:w="1145"/>
      </w:tblGrid>
      <w:tr>
        <w:trPr>
          <w:trHeight w:val="647"/>
        </w:trPr>
        <w:tc>
          <w:tcPr>
            <w:tcW w:w="645" w:type="dxa"/>
            <w:vAlign w:val="center"/>
            <w:textDirection w:val="lrTb"/>
            <w:noWrap w:val="false"/>
          </w:tcPr>
          <w:p>
            <w:pPr>
              <w:jc w:val="center"/>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序号</w:t>
            </w:r>
            <w:r>
              <w:rPr>
                <w:highlight w:val="white"/>
              </w:rPr>
            </w:r>
            <w:r/>
          </w:p>
        </w:tc>
        <w:tc>
          <w:tcPr>
            <w:tcW w:w="6563" w:type="dxa"/>
            <w:vAlign w:val="center"/>
            <w:textDirection w:val="lrTb"/>
            <w:noWrap w:val="false"/>
          </w:tcPr>
          <w:p>
            <w:pPr>
              <w:jc w:val="left"/>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资格审查响应内容</w:t>
            </w:r>
            <w:r>
              <w:rPr>
                <w:highlight w:val="white"/>
              </w:rPr>
            </w:r>
            <w:r/>
          </w:p>
        </w:tc>
        <w:tc>
          <w:tcPr>
            <w:tcW w:w="1145" w:type="dxa"/>
            <w:vAlign w:val="center"/>
            <w:textDirection w:val="lrTb"/>
            <w:noWrap w:val="false"/>
          </w:tcPr>
          <w:p>
            <w:pPr>
              <w:jc w:val="left"/>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是否响应</w:t>
            </w:r>
            <w:r>
              <w:rPr>
                <w:highlight w:val="white"/>
              </w:rPr>
            </w:r>
            <w:r/>
          </w:p>
          <w:p>
            <w:pPr>
              <w:jc w:val="left"/>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（填是或者否）</w:t>
            </w:r>
            <w:r>
              <w:rPr>
                <w:highlight w:val="white"/>
              </w:rPr>
            </w:r>
            <w:r/>
          </w:p>
        </w:tc>
      </w:tr>
      <w:tr>
        <w:trPr>
          <w:trHeight w:val="335"/>
        </w:trPr>
        <w:tc>
          <w:tcPr>
            <w:gridSpan w:val="3"/>
            <w:tcW w:w="8353" w:type="dxa"/>
            <w:vAlign w:val="center"/>
            <w:textDirection w:val="lrTb"/>
            <w:noWrap w:val="false"/>
          </w:tcPr>
          <w:p>
            <w:pPr>
              <w:jc w:val="left"/>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通用资格条件</w:t>
            </w:r>
            <w:r>
              <w:rPr>
                <w:highlight w:val="white"/>
              </w:rPr>
            </w:r>
            <w:r/>
          </w:p>
        </w:tc>
      </w:tr>
      <w:tr>
        <w:trPr>
          <w:trHeight w:val="761"/>
        </w:trPr>
        <w:tc>
          <w:tcPr>
            <w:tcW w:w="645" w:type="dxa"/>
            <w:vAlign w:val="center"/>
            <w:textDirection w:val="lrTb"/>
            <w:noWrap w:val="false"/>
          </w:tcPr>
          <w:p>
            <w:pPr>
              <w:jc w:val="center"/>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法人或者其他组织的营业执照等证明文件，自然人的身份证明</w:t>
            </w:r>
            <w:r>
              <w:rPr>
                <w:highlight w:val="white"/>
              </w:rPr>
            </w:r>
            <w:r/>
          </w:p>
        </w:tc>
        <w:tc>
          <w:tcPr>
            <w:tcW w:w="1145" w:type="dxa"/>
            <w:vAlign w:val="center"/>
            <w:textDirection w:val="lrTb"/>
            <w:noWrap w:val="false"/>
          </w:tcPr>
          <w:p>
            <w:pPr>
              <w:jc w:val="left"/>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r>
            <w:r>
              <w:rPr>
                <w:highlight w:val="white"/>
              </w:rPr>
            </w:r>
            <w:r/>
          </w:p>
        </w:tc>
      </w:tr>
      <w:tr>
        <w:trPr>
          <w:trHeight w:val="90"/>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依法缴纳税收和社会保障资金的相关材料（提供提交响应文件截止时间前一年内至少一个月在本单位依法缴纳税收及缴纳社会保障资金的证明材料。供应商依法享受缓缴、免缴税收、社会保障资金的提供证明材料。新成立企业距响应截止日不足30日的，可不提供，以新办企业营业执照发放日期为准）</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85"/>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上一年度的财务状况报告（成立不满一年不需提供）</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624"/>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具备履行合同所必需的设备和专业技术能力的证明材料</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780"/>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参加本次政府采购活动前3年内在经营活动中没有重大违法记录的书面声明</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780"/>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93"/>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7</w:t>
            </w:r>
            <w:r>
              <w:rPr>
                <w:highlight w:val="white"/>
              </w:rPr>
            </w:r>
            <w:r/>
          </w:p>
        </w:tc>
        <w:tc>
          <w:tcPr>
            <w:tcW w:w="6563" w:type="dxa"/>
            <w:vAlign w:val="center"/>
            <w:textDirection w:val="lrTb"/>
            <w:noWrap w:val="false"/>
          </w:tcPr>
          <w:p>
            <w:pPr>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供应商信用承诺函</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553"/>
        </w:trPr>
        <w:tc>
          <w:tcPr>
            <w:gridSpan w:val="3"/>
            <w:tcW w:w="8353"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落实政府采购政策需满足的资格要求</w:t>
            </w:r>
            <w:r>
              <w:rPr>
                <w:highlight w:val="white"/>
              </w:rPr>
            </w:r>
            <w:r/>
          </w:p>
        </w:tc>
      </w:tr>
      <w:tr>
        <w:trPr>
          <w:trHeight w:val="506"/>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highlight w:val="white"/>
              </w:rPr>
            </w:r>
            <w:r/>
          </w:p>
        </w:tc>
        <w:tc>
          <w:tcPr>
            <w:tcW w:w="6563" w:type="dxa"/>
            <w:vAlign w:val="center"/>
            <w:textDirection w:val="lrTb"/>
            <w:noWrap w:val="false"/>
          </w:tcPr>
          <w:p>
            <w:pPr>
              <w:numPr>
                <w:ilvl w:val="-1"/>
                <w:numId w:val="0"/>
              </w:numPr>
              <w:ind w:firstLine="420"/>
              <w:jc w:val="left"/>
              <w:spacing w:line="360" w:lineRule="auto"/>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根据《政府采购促进中小企业发展管理办法》的规定，本项目专门面向中小企业采购，投标人投标时须提供《中小企业声明函》，《中小企业声明函》不符合要求或未提供的，投标文件无效。</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408"/>
        </w:trPr>
        <w:tc>
          <w:tcPr>
            <w:gridSpan w:val="3"/>
            <w:tcW w:w="8353"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iCs/>
                <w:color w:val="000000" w:themeColor="text1"/>
                <w:szCs w:val="21"/>
                <w:highlight w:val="white"/>
                <w14:textFill>
                  <w14:solidFill>
                    <w14:schemeClr w14:val="tx1"/>
                  </w14:solidFill>
                </w14:textFill>
              </w:rPr>
              <w:t xml:space="preserve">本项目的特定资格要求：</w:t>
            </w:r>
            <w:r>
              <w:rPr>
                <w:highlight w:val="white"/>
              </w:rPr>
            </w:r>
            <w:r/>
          </w:p>
        </w:tc>
      </w:tr>
      <w:tr>
        <w:trPr>
          <w:trHeight w:val="696"/>
        </w:trPr>
        <w:tc>
          <w:tcPr>
            <w:tcW w:w="645"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highlight w:val="white"/>
              </w:rPr>
            </w:r>
            <w:r/>
          </w:p>
        </w:tc>
        <w:tc>
          <w:tcPr>
            <w:tcW w:w="6563" w:type="dxa"/>
            <w:vAlign w:val="center"/>
            <w:textDirection w:val="lrTb"/>
            <w:noWrap w:val="false"/>
          </w:tcPr>
          <w:p>
            <w:pPr>
              <w:ind w:firstLine="420"/>
              <w:rPr>
                <w:rFonts w:hint="eastAsia" w:ascii="宋体" w:hAnsi="宋体" w:cs="宋体"/>
                <w:iCs/>
                <w:color w:val="000000" w:themeColor="text1"/>
                <w:szCs w:val="21"/>
                <w:highlight w:val="white"/>
                <w14:textFill>
                  <w14:solidFill>
                    <w14:schemeClr w14:val="tx1"/>
                  </w14:solidFill>
                </w14:textFill>
              </w:rPr>
            </w:pPr>
            <w:r>
              <w:rPr>
                <w:rFonts w:hint="eastAsia" w:ascii="宋体" w:hAnsi="宋体" w:cs="宋体"/>
                <w:i/>
                <w:iCs/>
                <w:color w:val="000000" w:themeColor="text1"/>
                <w:szCs w:val="21"/>
                <w:highlight w:val="white"/>
                <w:u w:val="single"/>
                <w14:textFill>
                  <w14:solidFill>
                    <w14:schemeClr w14:val="tx1"/>
                  </w14:solidFill>
                </w14:textFill>
              </w:rPr>
              <w:t xml:space="preserve">供应商具备工程设计综合甲级资质；或</w:t>
            </w:r>
            <w:bookmarkStart w:id="190" w:name="OLE_LINK31"/>
            <w:r>
              <w:rPr>
                <w:rFonts w:hint="eastAsia" w:ascii="宋体" w:hAnsi="宋体" w:cs="宋体"/>
                <w:i/>
                <w:iCs/>
                <w:color w:val="000000" w:themeColor="text1"/>
                <w:szCs w:val="21"/>
                <w:highlight w:val="white"/>
                <w:u w:val="single"/>
                <w14:textFill>
                  <w14:solidFill>
                    <w14:schemeClr w14:val="tx1"/>
                  </w14:solidFill>
                </w14:textFill>
              </w:rPr>
              <w:t xml:space="preserve">水利行业乙级及以上资质</w:t>
            </w:r>
            <w:bookmarkEnd w:id="190"/>
            <w:r>
              <w:rPr>
                <w:rFonts w:hint="eastAsia" w:ascii="宋体" w:hAnsi="宋体" w:cs="宋体"/>
                <w:i/>
                <w:iCs/>
                <w:color w:val="000000" w:themeColor="text1"/>
                <w:szCs w:val="21"/>
                <w:highlight w:val="white"/>
                <w:u w:val="single"/>
                <w14:textFill>
                  <w14:solidFill>
                    <w14:schemeClr w14:val="tx1"/>
                  </w14:solidFill>
                </w14:textFill>
              </w:rPr>
              <w:t xml:space="preserve">；或水利行业（水库枢纽）专业</w:t>
            </w:r>
            <w:r>
              <w:rPr>
                <w:rFonts w:hint="eastAsia" w:ascii="宋体" w:hAnsi="宋体" w:cs="宋体"/>
                <w:i/>
                <w:iCs/>
                <w:color w:val="000000" w:themeColor="text1"/>
                <w:szCs w:val="21"/>
                <w:highlight w:val="white"/>
                <w:u w:val="single"/>
                <w:lang w:val="en-US" w:eastAsia="zh-CN"/>
                <w14:textFill>
                  <w14:solidFill>
                    <w14:schemeClr w14:val="tx1"/>
                  </w14:solidFill>
                </w14:textFill>
              </w:rPr>
              <w:t xml:space="preserve">乙</w:t>
            </w:r>
            <w:r>
              <w:rPr>
                <w:rFonts w:hint="eastAsia" w:ascii="宋体" w:hAnsi="宋体" w:cs="宋体"/>
                <w:i/>
                <w:iCs/>
                <w:color w:val="000000" w:themeColor="text1"/>
                <w:szCs w:val="21"/>
                <w:highlight w:val="white"/>
                <w:u w:val="single"/>
                <w14:textFill>
                  <w14:solidFill>
                    <w14:schemeClr w14:val="tx1"/>
                  </w14:solidFill>
                </w14:textFill>
              </w:rPr>
              <w:t xml:space="preserve">级</w:t>
            </w:r>
            <w:bookmarkStart w:id="191" w:name="OLE_LINK29"/>
            <w:r>
              <w:rPr>
                <w:rFonts w:hint="eastAsia" w:ascii="宋体" w:hAnsi="宋体" w:cs="宋体"/>
                <w:i/>
                <w:iCs/>
                <w:color w:val="000000" w:themeColor="text1"/>
                <w:szCs w:val="21"/>
                <w:highlight w:val="white"/>
                <w:u w:val="single"/>
                <w14:textFill>
                  <w14:solidFill>
                    <w14:schemeClr w14:val="tx1"/>
                  </w14:solidFill>
                </w14:textFill>
              </w:rPr>
              <w:t xml:space="preserve">及</w:t>
            </w:r>
            <w:bookmarkEnd w:id="191"/>
            <w:r>
              <w:rPr>
                <w:rFonts w:hint="eastAsia" w:ascii="宋体" w:hAnsi="宋体" w:cs="宋体"/>
                <w:i/>
                <w:iCs/>
                <w:color w:val="000000" w:themeColor="text1"/>
                <w:szCs w:val="21"/>
                <w:highlight w:val="white"/>
                <w:u w:val="single"/>
                <w14:textFill>
                  <w14:solidFill>
                    <w14:schemeClr w14:val="tx1"/>
                  </w14:solidFill>
                </w14:textFill>
              </w:rPr>
              <w:t xml:space="preserve">以上资质</w:t>
            </w:r>
            <w:r>
              <w:rPr>
                <w:highlight w:val="white"/>
              </w:rPr>
            </w:r>
            <w:r/>
          </w:p>
        </w:tc>
        <w:tc>
          <w:tcPr>
            <w:tcW w:w="1145"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bl>
    <w:p>
      <w:pPr>
        <w:pStyle w:val="884"/>
        <w:ind w:firstLine="0"/>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pStyle w:val="884"/>
        <w:ind w:firstLine="0"/>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pStyle w:val="884"/>
        <w:ind w:firstLine="0"/>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left"/>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具备履行合同所必需的设备和专业技术能力的书面声明</w:t>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主要设备有：</w:t>
      </w:r>
      <w:r>
        <w:rPr>
          <w:rFonts w:hint="eastAsia" w:ascii="宋体" w:hAnsi="宋体" w:cs="宋体"/>
          <w:bCs/>
          <w:color w:val="000000" w:themeColor="text1"/>
          <w:szCs w:val="21"/>
          <w:highlight w:val="white"/>
          <w:u w:val="singl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w:t>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r>
      <w:r>
        <w:rPr>
          <w:highlight w:val="white"/>
        </w:rPr>
      </w:r>
      <w:r/>
    </w:p>
    <w:p>
      <w:pPr>
        <w:ind w:firstLine="492"/>
        <w:jc w:val="left"/>
        <w:spacing w:line="360" w:lineRule="auto"/>
        <w:rPr>
          <w:rFonts w:hint="eastAsia"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主要专业技术能力有：</w:t>
      </w:r>
      <w:r>
        <w:rPr>
          <w:rFonts w:hint="eastAsia" w:ascii="宋体" w:hAnsi="宋体" w:cs="宋体"/>
          <w:bCs/>
          <w:color w:val="000000" w:themeColor="text1"/>
          <w:szCs w:val="21"/>
          <w:highlight w:val="white"/>
          <w:u w:val="singl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w:t>
      </w:r>
      <w:r>
        <w:rPr>
          <w:highlight w:val="white"/>
        </w:rPr>
      </w:r>
      <w:r/>
    </w:p>
    <w:p>
      <w:pPr>
        <w:pStyle w:val="884"/>
        <w:rPr>
          <w:rFonts w:hint="eastAsia" w:ascii="宋体" w:hAnsi="宋体" w:cs="宋体"/>
          <w:b/>
          <w:bCs/>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highlight w:val="white"/>
          <w14:textFill>
            <w14:solidFill>
              <w14:schemeClr w14:val="tx1"/>
            </w14:solidFill>
          </w14:textFill>
        </w:rPr>
      </w:r>
      <w:bookmarkEnd w:id="178"/>
      <w:r/>
      <w:bookmarkEnd w:id="179"/>
      <w:r/>
      <w:bookmarkEnd w:id="186"/>
      <w:r/>
      <w:bookmarkEnd w:id="187"/>
      <w:r/>
      <w:bookmarkEnd w:id="188"/>
      <w:r>
        <w:rPr>
          <w:highlight w:val="white"/>
        </w:rPr>
      </w:r>
      <w:r/>
    </w:p>
    <w:p>
      <w:pPr>
        <w:jc w:val="left"/>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参加本次政府采购活动前 3 年内在经营活动中没有重大违法记录的书面声明</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声  明</w:t>
      </w:r>
      <w:r>
        <w:rPr>
          <w:highlight w:val="white"/>
        </w:rPr>
      </w:r>
      <w:r/>
    </w:p>
    <w:p>
      <w:pPr>
        <w:jc w:val="left"/>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    </w:t>
      </w:r>
      <w:r>
        <w:rPr>
          <w:rFonts w:hint="eastAsia" w:ascii="宋体" w:hAnsi="宋体" w:cs="宋体"/>
          <w:bCs/>
          <w:color w:val="000000" w:themeColor="text1"/>
          <w:highlight w:val="whit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rPr>
          <w:highlight w:val="white"/>
        </w:rPr>
      </w:r>
      <w:r/>
    </w:p>
    <w:p>
      <w:pPr>
        <w:jc w:val="left"/>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                               供应商名称（公章）：</w:t>
      </w:r>
      <w:r>
        <w:rPr>
          <w:highlight w:val="white"/>
        </w:rPr>
      </w:r>
      <w:r/>
    </w:p>
    <w:p>
      <w:pPr>
        <w:jc w:val="left"/>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                               法定代表人签章：</w:t>
      </w:r>
      <w:r>
        <w:rPr>
          <w:rFonts w:hint="eastAsia" w:ascii="宋体" w:hAnsi="宋体" w:cs="宋体"/>
          <w:bCs/>
          <w:color w:val="000000" w:themeColor="text1"/>
          <w:highlight w:val="white"/>
          <w:u w:val="single"/>
          <w14:textFill>
            <w14:solidFill>
              <w14:schemeClr w14:val="tx1"/>
            </w14:solidFill>
          </w14:textFill>
        </w:rPr>
        <w:t xml:space="preserve">_______________________</w:t>
      </w:r>
      <w:r>
        <w:rPr>
          <w:highlight w:val="white"/>
        </w:rPr>
      </w:r>
      <w:r/>
    </w:p>
    <w:p>
      <w:pPr>
        <w:jc w:val="left"/>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                               日期：</w:t>
      </w:r>
      <w:r>
        <w:rPr>
          <w:rFonts w:hint="eastAsia" w:ascii="宋体" w:hAnsi="宋体" w:cs="宋体"/>
          <w:bCs/>
          <w:color w:val="000000" w:themeColor="text1"/>
          <w:highlight w:val="white"/>
          <w:u w:val="single"/>
          <w14:textFill>
            <w14:solidFill>
              <w14:schemeClr w14:val="tx1"/>
            </w14:solidFill>
          </w14:textFill>
        </w:rPr>
        <w:t xml:space="preserve">______</w:t>
      </w:r>
      <w:r>
        <w:rPr>
          <w:rFonts w:hint="eastAsia" w:ascii="宋体" w:hAnsi="宋体" w:cs="宋体"/>
          <w:bCs/>
          <w:color w:val="000000" w:themeColor="text1"/>
          <w:highlight w:val="white"/>
          <w14:textFill>
            <w14:solidFill>
              <w14:schemeClr w14:val="tx1"/>
            </w14:solidFill>
          </w14:textFill>
        </w:rPr>
        <w:t xml:space="preserve">年</w:t>
      </w:r>
      <w:r>
        <w:rPr>
          <w:rFonts w:hint="eastAsia" w:ascii="宋体" w:hAnsi="宋体" w:cs="宋体"/>
          <w:bCs/>
          <w:color w:val="000000" w:themeColor="text1"/>
          <w:highlight w:val="white"/>
          <w:u w:val="single"/>
          <w14:textFill>
            <w14:solidFill>
              <w14:schemeClr w14:val="tx1"/>
            </w14:solidFill>
          </w14:textFill>
        </w:rPr>
        <w:t xml:space="preserve">    </w:t>
      </w:r>
      <w:r>
        <w:rPr>
          <w:rFonts w:hint="eastAsia" w:ascii="宋体" w:hAnsi="宋体" w:cs="宋体"/>
          <w:bCs/>
          <w:color w:val="000000" w:themeColor="text1"/>
          <w:highlight w:val="white"/>
          <w14:textFill>
            <w14:solidFill>
              <w14:schemeClr w14:val="tx1"/>
            </w14:solidFill>
          </w14:textFill>
        </w:rPr>
        <w:t xml:space="preserve">月</w:t>
      </w:r>
      <w:r>
        <w:rPr>
          <w:rFonts w:hint="eastAsia" w:ascii="宋体" w:hAnsi="宋体" w:cs="宋体"/>
          <w:bCs/>
          <w:color w:val="000000" w:themeColor="text1"/>
          <w:highlight w:val="white"/>
          <w:u w:val="single"/>
          <w14:textFill>
            <w14:solidFill>
              <w14:schemeClr w14:val="tx1"/>
            </w14:solidFill>
          </w14:textFill>
        </w:rPr>
        <w:t xml:space="preserve">    </w:t>
      </w:r>
      <w:r>
        <w:rPr>
          <w:rFonts w:hint="eastAsia" w:ascii="宋体" w:hAnsi="宋体" w:cs="宋体"/>
          <w:bCs/>
          <w:color w:val="000000" w:themeColor="text1"/>
          <w:highlight w:val="white"/>
          <w14:textFill>
            <w14:solidFill>
              <w14:schemeClr w14:val="tx1"/>
            </w14:solidFill>
          </w14:textFill>
        </w:rPr>
        <w:t xml:space="preserve">日</w:t>
      </w:r>
      <w:r>
        <w:rPr>
          <w:highlight w:val="white"/>
        </w:rPr>
      </w:r>
      <w:r/>
    </w:p>
    <w:p>
      <w:pPr>
        <w:jc w:val="left"/>
        <w:spacing w:line="360" w:lineRule="auto"/>
        <w:rPr>
          <w:rFonts w:hint="eastAsia" w:ascii="宋体" w:hAnsi="宋体" w:cs="宋体"/>
          <w:b/>
          <w:bCs/>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 xml:space="preserve">供应商信用承诺书</w:t>
      </w:r>
      <w:r>
        <w:rPr>
          <w:highlight w:val="white"/>
        </w:rPr>
      </w:r>
      <w:r/>
    </w:p>
    <w:p>
      <w:pPr>
        <w:jc w:val="left"/>
        <w:spacing w:line="360" w:lineRule="auto"/>
        <w:rPr>
          <w:rFonts w:hint="eastAsia" w:ascii="宋体" w:hAnsi="宋体" w:cs="宋体"/>
          <w:color w:val="000000" w:themeColor="text1"/>
          <w:szCs w:val="32"/>
          <w:highlight w:val="white"/>
          <w14:textFill>
            <w14:solidFill>
              <w14:schemeClr w14:val="tx1"/>
            </w14:solidFill>
          </w14:textFill>
        </w:rPr>
      </w:pPr>
      <w:r>
        <w:rPr>
          <w:rFonts w:hint="eastAsia" w:ascii="宋体" w:hAnsi="宋体" w:cs="宋体"/>
          <w:color w:val="000000" w:themeColor="text1"/>
          <w:szCs w:val="32"/>
          <w:highlight w:val="white"/>
          <w14:textFill>
            <w14:solidFill>
              <w14:schemeClr w14:val="tx1"/>
            </w14:solidFill>
          </w14:textFill>
        </w:rPr>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承诺主体名称：</w:t>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统一社会信用代码：</w:t>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四、自觉接受行政管理部门、行业组织、社会公众、新闻舆论的监督；</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六、提出政府采购质疑和投诉坚持依法依规、诚实信用原则，在全国范围12个月内没有三次以上查无实据的政府采购投诉；</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七、严格遵守信用信息公示相关规定，向社会公示信用信息；</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八、在“信用中国”和“中国政府采购网”网站中无违法违规、较重或严重失信记录；</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十、本承诺书自签订之日起生效。</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（注：法定代表人或负责人、主体名称发生变更的应当重新做出承诺。）</w:t>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承诺单位（签章）：           </w:t>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法定代表人（负责人）：</w:t>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年    月    日</w:t>
      </w:r>
      <w:r>
        <w:rPr>
          <w:highlight w:val="white"/>
        </w:rPr>
      </w:r>
      <w:r/>
    </w:p>
    <w:p>
      <w:pPr>
        <w:jc w:val="left"/>
        <w:spacing w:line="360" w:lineRule="auto"/>
        <w:rPr>
          <w:rFonts w:hint="eastAsia" w:ascii="宋体" w:hAnsi="宋体" w:cs="宋体"/>
          <w:b/>
          <w:bCs/>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磋商响应函</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致：扬州市建卫工程建设监理有限责任公司</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根据贵方的</w:t>
      </w:r>
      <w:r>
        <w:rPr>
          <w:rFonts w:hint="eastAsia" w:ascii="宋体" w:hAnsi="宋体" w:cs="宋体"/>
          <w:color w:val="000000" w:themeColor="text1"/>
          <w:sz w:val="21"/>
          <w:szCs w:val="21"/>
          <w:highlight w:val="white"/>
          <w:u w:val="single"/>
          <w14:textFill>
            <w14:solidFill>
              <w14:schemeClr w14:val="tx1"/>
            </w14:solidFill>
          </w14:textFill>
        </w:rPr>
        <w:t xml:space="preserve">       </w:t>
      </w:r>
      <w:r>
        <w:rPr>
          <w:rFonts w:hint="eastAsia" w:ascii="宋体" w:hAnsi="宋体" w:cs="宋体"/>
          <w:color w:val="000000" w:themeColor="text1"/>
          <w:sz w:val="21"/>
          <w:szCs w:val="21"/>
          <w:highlight w:val="white"/>
          <w14:textFill>
            <w14:solidFill>
              <w14:schemeClr w14:val="tx1"/>
            </w14:solidFill>
          </w14:textFill>
        </w:rPr>
        <w:t xml:space="preserve">号磋商文件，正式授权下述签字人_________ （姓名和职务）代表我方______________（供应商的名称），全权处理本次项目磋商采购的有关事宜。</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据此函，__________（签字人）兹宣布同意如下：</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1.按磋商文件规定的各项要求，向买方提供所需服务。</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2.我们已详细审核全部磋商文件及其有效补充文件，我们知道必须放弃提出含糊不清或误解问题的权利。</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3.我们同意从规定的响应文件接收截止时间起遵循本响应文件，并在规定的磋商有效期期满之前均具有约束力。</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4.同意向贵方提供贵方可能另外要求的与磋商采购有关的任何证据或资料，并保证我方已提供和将要提供的文件是真实的、准确的。</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5.一旦我方成交，我方将根据磋商文件的规定，严格履行合同的责任和义务，并保证在磋商文件规定的时间完成项目，交付买方验收、使用。</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6.遵守磋商文件中要求的收费项目和标准。</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7.与本磋商采购有关的正式通讯地址为：</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地 址：                         邮 编：</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电 话：                         传 真：</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供应商开户行：                  账 户： </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法定代表人姓名（签章）：         联系电话：</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供应商名称（公章）：            </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日 期：________年____月____日</w:t>
      </w:r>
      <w:r>
        <w:rPr>
          <w:highlight w:val="white"/>
        </w:rPr>
      </w:r>
      <w:r/>
    </w:p>
    <w:p>
      <w:pPr>
        <w:pStyle w:val="1124"/>
        <w:ind w:firstLine="422"/>
        <w:jc w:val="center"/>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br w:type="page" w:clear="all"/>
      </w:r>
      <w:r>
        <w:rPr>
          <w:rFonts w:hint="eastAsia" w:ascii="宋体" w:hAnsi="宋体" w:cs="宋体"/>
          <w:b/>
          <w:color w:val="000000" w:themeColor="text1"/>
          <w:sz w:val="21"/>
          <w:szCs w:val="21"/>
          <w:highlight w:val="white"/>
          <w14:textFill>
            <w14:solidFill>
              <w14:schemeClr w14:val="tx1"/>
            </w14:solidFill>
          </w14:textFill>
        </w:rPr>
        <w:t xml:space="preserve">法人授权书</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本授权书声明：________________（供应商名称）授权________________（被授权人的姓名）为我方就（项目编号）号的合法代理人，以本公司名义全权处理一切与该项目采购有关的事务。</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本授权书于______年____月____日起生效，特此声明。</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被授权人姓名：_____________________</w:t>
      </w:r>
      <w:r>
        <w:rPr>
          <w:rFonts w:hint="eastAsia" w:ascii="宋体" w:hAnsi="宋体" w:cs="宋体"/>
          <w:color w:val="000000" w:themeColor="text1"/>
          <w:sz w:val="21"/>
          <w:szCs w:val="21"/>
          <w:highlight w:val="white"/>
          <w:u w:val="single"/>
          <w14:textFill>
            <w14:solidFill>
              <w14:schemeClr w14:val="tx1"/>
            </w14:solidFill>
          </w14:textFill>
        </w:rPr>
        <w:t xml:space="preserve">         </w:t>
      </w:r>
      <w:r>
        <w:rPr>
          <w:rFonts w:hint="eastAsia" w:ascii="宋体" w:hAnsi="宋体" w:cs="宋体"/>
          <w:color w:val="000000" w:themeColor="text1"/>
          <w:sz w:val="21"/>
          <w:szCs w:val="21"/>
          <w:highlight w:val="white"/>
          <w14:textFill>
            <w14:solidFill>
              <w14:schemeClr w14:val="tx1"/>
            </w14:solidFill>
          </w14:textFill>
        </w:rPr>
        <w:t xml:space="preserve">__     </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u w:val="singl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联系电话（手机）：</w:t>
      </w:r>
      <w:r>
        <w:rPr>
          <w:rFonts w:hint="eastAsia" w:ascii="宋体" w:hAnsi="宋体" w:cs="宋体"/>
          <w:color w:val="000000" w:themeColor="text1"/>
          <w:sz w:val="21"/>
          <w:szCs w:val="21"/>
          <w:highlight w:val="white"/>
          <w:u w:val="single"/>
          <w14:textFill>
            <w14:solidFill>
              <w14:schemeClr w14:val="tx1"/>
            </w14:solidFill>
          </w14:textFill>
        </w:rPr>
        <w:t xml:space="preserve">                             </w:t>
      </w:r>
      <w:r>
        <w:rPr>
          <w:highlight w:val="white"/>
        </w:rPr>
      </w:r>
      <w:r/>
    </w:p>
    <w:p>
      <w:pPr>
        <w:pStyle w:val="1124"/>
        <w:ind w:firstLine="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    单位名称：____________________________________</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u w:val="singl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单位地址：</w:t>
      </w:r>
      <w:r>
        <w:rPr>
          <w:rFonts w:hint="eastAsia" w:ascii="宋体" w:hAnsi="宋体" w:cs="宋体"/>
          <w:color w:val="000000" w:themeColor="text1"/>
          <w:sz w:val="21"/>
          <w:szCs w:val="21"/>
          <w:highlight w:val="white"/>
          <w:u w:val="single"/>
          <w14:textFill>
            <w14:solidFill>
              <w14:schemeClr w14:val="tx1"/>
            </w14:solidFill>
          </w14:textFill>
        </w:rPr>
        <w:t xml:space="preserve">                                       </w:t>
      </w:r>
      <w:r>
        <w:rPr>
          <w:highlight w:val="white"/>
        </w:rPr>
      </w:r>
      <w:r/>
    </w:p>
    <w:p>
      <w:pPr>
        <w:pStyle w:val="1124"/>
        <w:ind w:firstLine="420"/>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日期：</w:t>
      </w:r>
      <w:r>
        <w:rPr>
          <w:rFonts w:hint="eastAsia" w:ascii="宋体" w:hAnsi="宋体" w:cs="宋体"/>
          <w:color w:val="000000" w:themeColor="text1"/>
          <w:sz w:val="21"/>
          <w:szCs w:val="21"/>
          <w:highlight w:val="white"/>
          <w:u w:val="single"/>
          <w14:textFill>
            <w14:solidFill>
              <w14:schemeClr w14:val="tx1"/>
            </w14:solidFill>
          </w14:textFill>
        </w:rPr>
        <w:t xml:space="preserve">                                         </w:t>
      </w:r>
      <w:r>
        <w:rPr>
          <w:rFonts w:hint="eastAsia" w:ascii="宋体" w:hAnsi="宋体" w:cs="宋体"/>
          <w:color w:val="000000" w:themeColor="text1"/>
          <w:sz w:val="21"/>
          <w:szCs w:val="21"/>
          <w:highlight w:val="white"/>
          <w14:textFill>
            <w14:solidFill>
              <w14:schemeClr w14:val="tx1"/>
            </w14:solidFill>
          </w14:textFill>
        </w:rPr>
        <w:t xml:space="preserve"> </w:t>
      </w:r>
      <w:r>
        <w:rPr>
          <w:highlight w:val="white"/>
        </w:rPr>
      </w:r>
      <w:r/>
    </w:p>
    <w:p>
      <w:pPr>
        <w:jc w:val="left"/>
        <w:spacing w:line="36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r>
      <w:r>
        <w:rPr>
          <w:highlight w:val="white"/>
        </w:rPr>
      </w:r>
      <w:r/>
    </w:p>
    <w:p>
      <w:pPr>
        <w:ind w:firstLine="420"/>
        <w:jc w:val="left"/>
        <w:spacing w:line="360" w:lineRule="auto"/>
        <w:rPr>
          <w:rFonts w:hint="eastAsia" w:ascii="宋体" w:hAnsi="宋体" w:cs="宋体"/>
          <w:bCs/>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themeColor="text1"/>
          <w:highlight w:val="white"/>
          <w14:textFill>
            <w14:solidFill>
              <w14:schemeClr w14:val="tx1"/>
            </w14:solidFill>
          </w14:textFill>
        </w:rPr>
        <w:t xml:space="preserve">被授权人身份证复印件</w:t>
      </w:r>
      <w:r>
        <w:rPr>
          <w:highlight w:val="white"/>
        </w:rPr>
      </w:r>
      <w:r/>
    </w:p>
    <w:p>
      <w:pPr>
        <w:numPr>
          <w:ilvl w:val="0"/>
          <w:numId w:val="2"/>
        </w:numPr>
        <w:jc w:val="center"/>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符合性审查响应对照表</w:t>
      </w:r>
      <w:r>
        <w:rPr>
          <w:highlight w:val="white"/>
        </w:rPr>
      </w:r>
      <w:r/>
    </w:p>
    <w:tbl>
      <w:tblPr>
        <w:tblStyle w:val="852"/>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序号</w:t>
            </w:r>
            <w:r>
              <w:rPr>
                <w:highlight w:val="white"/>
              </w:rPr>
            </w:r>
            <w:r/>
          </w:p>
        </w:tc>
        <w:tc>
          <w:tcPr>
            <w:tcW w:w="4792"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符合性审查响应内容</w:t>
            </w:r>
            <w:r>
              <w:rPr>
                <w:highlight w:val="white"/>
              </w:rPr>
            </w:r>
            <w:r/>
          </w:p>
        </w:tc>
        <w:tc>
          <w:tcPr>
            <w:tcW w:w="2006"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是否响应</w:t>
            </w:r>
            <w:r>
              <w:rPr>
                <w:highlight w:val="white"/>
              </w:rPr>
            </w:r>
            <w:r/>
          </w:p>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（填是或者否）</w:t>
            </w:r>
            <w:r>
              <w:rPr>
                <w:highlight w:val="white"/>
              </w:rPr>
            </w:r>
            <w:r/>
          </w:p>
        </w:tc>
        <w:tc>
          <w:tcPr>
            <w:tcW w:w="1348"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响应情况</w:t>
            </w:r>
            <w:r>
              <w:rPr>
                <w:highlight w:val="white"/>
              </w:rPr>
            </w:r>
            <w:r/>
          </w:p>
        </w:tc>
      </w:tr>
      <w:tr>
        <w:trPr>
          <w:trHeight w:val="585"/>
        </w:trPr>
        <w:tc>
          <w:tcPr>
            <w:tcW w:w="646"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1</w:t>
            </w:r>
            <w:r>
              <w:rPr>
                <w:highlight w:val="white"/>
              </w:rPr>
            </w:r>
            <w:r/>
          </w:p>
        </w:tc>
        <w:tc>
          <w:tcPr>
            <w:tcW w:w="479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t xml:space="preserve">采购需求中必须满足的实质性要求（即加斜体下划线内容，每条详细列出）</w:t>
            </w:r>
            <w:r>
              <w:rPr>
                <w:highlight w:val="white"/>
              </w:rPr>
            </w:r>
            <w:r/>
          </w:p>
        </w:tc>
        <w:tc>
          <w:tcPr>
            <w:tcW w:w="2006"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r>
            <w:r>
              <w:rPr>
                <w:highlight w:val="white"/>
              </w:rPr>
            </w:r>
            <w:r/>
          </w:p>
        </w:tc>
        <w:tc>
          <w:tcPr>
            <w:tcW w:w="1348"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r>
            <w:r>
              <w:rPr>
                <w:highlight w:val="white"/>
              </w:rPr>
            </w:r>
            <w:r/>
          </w:p>
        </w:tc>
      </w:tr>
      <w:tr>
        <w:trPr>
          <w:trHeight w:val="585"/>
        </w:trPr>
        <w:tc>
          <w:tcPr>
            <w:tcW w:w="64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2</w:t>
            </w:r>
            <w:r>
              <w:rPr>
                <w:highlight w:val="white"/>
              </w:rPr>
            </w:r>
            <w:r/>
          </w:p>
        </w:tc>
        <w:tc>
          <w:tcPr>
            <w:tcW w:w="479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t xml:space="preserve">……</w:t>
            </w:r>
            <w:r>
              <w:rPr>
                <w:highlight w:val="white"/>
              </w:rPr>
            </w:r>
            <w:r/>
          </w:p>
        </w:tc>
        <w:tc>
          <w:tcPr>
            <w:tcW w:w="200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34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r>
        <w:trPr>
          <w:trHeight w:val="585"/>
        </w:trPr>
        <w:tc>
          <w:tcPr>
            <w:tcW w:w="64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3</w:t>
            </w:r>
            <w:r>
              <w:rPr>
                <w:highlight w:val="white"/>
              </w:rPr>
            </w:r>
            <w:r/>
          </w:p>
        </w:tc>
        <w:tc>
          <w:tcPr>
            <w:tcW w:w="479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r>
            <w:r>
              <w:rPr>
                <w:highlight w:val="white"/>
              </w:rPr>
            </w:r>
            <w:r/>
          </w:p>
        </w:tc>
        <w:tc>
          <w:tcPr>
            <w:tcW w:w="200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34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r>
        <w:trPr>
          <w:trHeight w:val="417"/>
        </w:trPr>
        <w:tc>
          <w:tcPr>
            <w:tcW w:w="64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4</w:t>
            </w:r>
            <w:r>
              <w:rPr>
                <w:highlight w:val="white"/>
              </w:rPr>
            </w:r>
            <w:r/>
          </w:p>
        </w:tc>
        <w:tc>
          <w:tcPr>
            <w:tcW w:w="479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r>
            <w:r>
              <w:rPr>
                <w:highlight w:val="white"/>
              </w:rPr>
            </w:r>
            <w:r/>
          </w:p>
        </w:tc>
        <w:tc>
          <w:tcPr>
            <w:tcW w:w="200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34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r>
        <w:trPr>
          <w:trHeight w:val="780"/>
        </w:trPr>
        <w:tc>
          <w:tcPr>
            <w:tcW w:w="64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5</w:t>
            </w:r>
            <w:r>
              <w:rPr>
                <w:highlight w:val="white"/>
              </w:rPr>
            </w:r>
            <w:r/>
          </w:p>
        </w:tc>
        <w:tc>
          <w:tcPr>
            <w:tcW w:w="479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r>
            <w:r>
              <w:rPr>
                <w:highlight w:val="white"/>
              </w:rPr>
            </w:r>
            <w:r/>
          </w:p>
        </w:tc>
        <w:tc>
          <w:tcPr>
            <w:tcW w:w="200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34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bl>
    <w:p>
      <w:pPr>
        <w:contextualSpacing/>
        <w:jc w:val="left"/>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r>
      <w:r>
        <w:rPr>
          <w:highlight w:val="white"/>
        </w:rPr>
      </w:r>
      <w:r/>
    </w:p>
    <w:p>
      <w:pPr>
        <w:numPr>
          <w:ilvl w:val="0"/>
          <w:numId w:val="2"/>
        </w:numPr>
        <w:jc w:val="left"/>
        <w:spacing w:line="360" w:lineRule="auto"/>
        <w:rPr>
          <w:rFonts w:hint="eastAsia" w:ascii="宋体" w:hAnsi="宋体" w:cs="宋体"/>
          <w:b/>
          <w:color w:val="000000" w:themeColor="text1"/>
          <w:sz w:val="32"/>
          <w:szCs w:val="32"/>
          <w:highlight w:val="white"/>
          <w14:textFill>
            <w14:solidFill>
              <w14:schemeClr w14:val="tx1"/>
            </w14:solidFill>
          </w14:textFill>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themeColor="text1"/>
          <w:sz w:val="32"/>
          <w:szCs w:val="32"/>
          <w:highlight w:val="white"/>
          <w14:textFill>
            <w14:solidFill>
              <w14:schemeClr w14:val="tx1"/>
            </w14:solidFill>
          </w14:textFill>
        </w:rPr>
      </w:r>
      <w:r>
        <w:rPr>
          <w:highlight w:val="white"/>
        </w:rPr>
      </w:r>
      <w:r/>
    </w:p>
    <w:p>
      <w:pPr>
        <w:numPr>
          <w:ilvl w:val="0"/>
          <w:numId w:val="2"/>
        </w:numPr>
        <w:jc w:val="center"/>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非实质性响应对照表</w:t>
      </w:r>
      <w:r>
        <w:rPr>
          <w:highlight w:val="white"/>
        </w:rPr>
      </w:r>
      <w:r/>
    </w:p>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r>
      <w:r>
        <w:rPr>
          <w:highlight w:val="white"/>
        </w:rPr>
      </w:r>
      <w:r/>
    </w:p>
    <w:tbl>
      <w:tblPr>
        <w:tblStyle w:val="852"/>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序号</w:t>
            </w:r>
            <w:r>
              <w:rPr>
                <w:highlight w:val="white"/>
              </w:rPr>
            </w:r>
            <w:r/>
          </w:p>
        </w:tc>
        <w:tc>
          <w:tcPr>
            <w:tcW w:w="4572"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非实质性响应内容</w:t>
            </w:r>
            <w:r>
              <w:rPr>
                <w:highlight w:val="white"/>
              </w:rPr>
            </w:r>
            <w:r/>
          </w:p>
        </w:tc>
        <w:tc>
          <w:tcPr>
            <w:tcW w:w="1968"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是否响应</w:t>
            </w:r>
            <w:r>
              <w:rPr>
                <w:highlight w:val="white"/>
              </w:rPr>
            </w:r>
            <w:r/>
          </w:p>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（填是或者否）</w:t>
            </w:r>
            <w:r>
              <w:rPr>
                <w:highlight w:val="white"/>
              </w:rPr>
            </w:r>
            <w:r/>
          </w:p>
        </w:tc>
        <w:tc>
          <w:tcPr>
            <w:tcW w:w="1491"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t xml:space="preserve">响应情况</w:t>
            </w:r>
            <w:r>
              <w:rPr>
                <w:highlight w:val="white"/>
              </w:rPr>
            </w:r>
            <w:r/>
          </w:p>
        </w:tc>
      </w:tr>
      <w:tr>
        <w:trPr>
          <w:trHeight w:val="585"/>
        </w:trPr>
        <w:tc>
          <w:tcPr>
            <w:tcW w:w="646" w:type="dxa"/>
            <w:vAlign w:val="center"/>
            <w:textDirection w:val="lrTb"/>
            <w:noWrap w:val="false"/>
          </w:tcPr>
          <w:p>
            <w:pPr>
              <w:jc w:val="left"/>
              <w:spacing w:line="360" w:lineRule="auto"/>
              <w:rPr>
                <w:rFonts w:hint="eastAsia" w:ascii="宋体" w:hAnsi="宋体" w:cs="宋体"/>
                <w:bCs/>
                <w:color w:val="000000" w:themeColor="text1"/>
                <w:sz w:val="21"/>
                <w:szCs w:val="21"/>
                <w:highlight w:val="white"/>
                <w14:textFill>
                  <w14:solidFill>
                    <w14:schemeClr w14:val="tx1"/>
                  </w14:solidFill>
                </w14:textFill>
              </w:rPr>
            </w:pPr>
            <w:r>
              <w:rPr>
                <w:rFonts w:hint="eastAsia" w:ascii="宋体" w:hAnsi="宋体" w:cs="宋体"/>
                <w:bCs/>
                <w:color w:val="000000" w:themeColor="text1"/>
                <w:sz w:val="21"/>
                <w:szCs w:val="21"/>
                <w:highlight w:val="white"/>
                <w14:textFill>
                  <w14:solidFill>
                    <w14:schemeClr w14:val="tx1"/>
                  </w14:solidFill>
                </w14:textFill>
              </w:rPr>
              <w:t xml:space="preserve">1</w:t>
            </w:r>
            <w:r>
              <w:rPr>
                <w:highlight w:val="white"/>
              </w:rPr>
            </w:r>
            <w:r/>
          </w:p>
        </w:tc>
        <w:tc>
          <w:tcPr>
            <w:tcW w:w="4572" w:type="dxa"/>
            <w:vAlign w:val="center"/>
            <w:textDirection w:val="lrTb"/>
            <w:noWrap w:val="false"/>
          </w:tcPr>
          <w:p>
            <w:pPr>
              <w:jc w:val="left"/>
              <w:spacing w:line="360" w:lineRule="auto"/>
              <w:rPr>
                <w:rFonts w:hint="eastAsia" w:ascii="宋体" w:hAnsi="宋体" w:cs="宋体"/>
                <w:bCs/>
                <w:iCs/>
                <w:color w:val="000000" w:themeColor="text1"/>
                <w:sz w:val="21"/>
                <w:szCs w:val="21"/>
                <w:highlight w:val="white"/>
                <w14:textFill>
                  <w14:solidFill>
                    <w14:schemeClr w14:val="tx1"/>
                  </w14:solidFill>
                </w14:textFill>
              </w:rPr>
            </w:pPr>
            <w:r>
              <w:rPr>
                <w:rFonts w:hint="eastAsia" w:ascii="宋体" w:hAnsi="宋体" w:cs="宋体"/>
                <w:bCs/>
                <w:iCs/>
                <w:color w:val="000000" w:themeColor="text1"/>
                <w:sz w:val="21"/>
                <w:szCs w:val="21"/>
                <w:highlight w:val="white"/>
                <w14:textFill>
                  <w14:solidFill>
                    <w14:schemeClr w14:val="tx1"/>
                  </w14:solidFill>
                </w14:textFill>
              </w:rPr>
            </w:r>
            <w:r>
              <w:rPr>
                <w:highlight w:val="white"/>
              </w:rPr>
            </w:r>
            <w:r/>
          </w:p>
        </w:tc>
        <w:tc>
          <w:tcPr>
            <w:tcW w:w="1968"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r>
            <w:r>
              <w:rPr>
                <w:highlight w:val="white"/>
              </w:rPr>
            </w:r>
            <w:r/>
          </w:p>
        </w:tc>
        <w:tc>
          <w:tcPr>
            <w:tcW w:w="1491" w:type="dxa"/>
            <w:vAlign w:val="center"/>
            <w:textDirection w:val="lrTb"/>
            <w:noWrap w:val="false"/>
          </w:tcPr>
          <w:p>
            <w:pPr>
              <w:jc w:val="left"/>
              <w:spacing w:line="360" w:lineRule="auto"/>
              <w:rPr>
                <w:rFonts w:hint="eastAsia" w:ascii="宋体" w:hAnsi="宋体" w:cs="宋体"/>
                <w:b/>
                <w:color w:val="000000" w:themeColor="text1"/>
                <w:sz w:val="21"/>
                <w:szCs w:val="21"/>
                <w:highlight w:val="white"/>
                <w14:textFill>
                  <w14:solidFill>
                    <w14:schemeClr w14:val="tx1"/>
                  </w14:solidFill>
                </w14:textFill>
              </w:rPr>
            </w:pPr>
            <w:r>
              <w:rPr>
                <w:rFonts w:hint="eastAsia" w:ascii="宋体" w:hAnsi="宋体" w:cs="宋体"/>
                <w:b/>
                <w:color w:val="000000" w:themeColor="text1"/>
                <w:sz w:val="21"/>
                <w:szCs w:val="21"/>
                <w:highlight w:val="white"/>
                <w14:textFill>
                  <w14:solidFill>
                    <w14:schemeClr w14:val="tx1"/>
                  </w14:solidFill>
                </w14:textFill>
              </w:rPr>
            </w:r>
            <w:r>
              <w:rPr>
                <w:highlight w:val="white"/>
              </w:rPr>
            </w:r>
            <w:r/>
          </w:p>
        </w:tc>
      </w:tr>
      <w:tr>
        <w:trPr>
          <w:trHeight w:val="585"/>
        </w:trPr>
        <w:tc>
          <w:tcPr>
            <w:tcW w:w="646" w:type="dxa"/>
            <w:vAlign w:val="center"/>
            <w:textDirection w:val="lrTb"/>
            <w:noWrap w:val="false"/>
          </w:tcPr>
          <w:p>
            <w:pPr>
              <w:jc w:val="left"/>
              <w:spacing w:line="360" w:lineRule="auto"/>
              <w:rPr>
                <w:rFonts w:hint="eastAsia" w:ascii="宋体" w:hAnsi="宋体" w:cs="宋体"/>
                <w:bCs/>
                <w:color w:val="000000" w:themeColor="text1"/>
                <w:sz w:val="21"/>
                <w:szCs w:val="21"/>
                <w:highlight w:val="white"/>
                <w14:textFill>
                  <w14:solidFill>
                    <w14:schemeClr w14:val="tx1"/>
                  </w14:solidFill>
                </w14:textFill>
              </w:rPr>
            </w:pPr>
            <w:r>
              <w:rPr>
                <w:rFonts w:hint="eastAsia" w:ascii="宋体" w:hAnsi="宋体" w:cs="宋体"/>
                <w:bCs/>
                <w:color w:val="000000" w:themeColor="text1"/>
                <w:sz w:val="21"/>
                <w:szCs w:val="21"/>
                <w:highlight w:val="white"/>
                <w14:textFill>
                  <w14:solidFill>
                    <w14:schemeClr w14:val="tx1"/>
                  </w14:solidFill>
                </w14:textFill>
              </w:rPr>
              <w:t xml:space="preserve">2</w:t>
            </w:r>
            <w:r>
              <w:rPr>
                <w:highlight w:val="white"/>
              </w:rPr>
            </w:r>
            <w:r/>
          </w:p>
        </w:tc>
        <w:tc>
          <w:tcPr>
            <w:tcW w:w="4572" w:type="dxa"/>
            <w:vAlign w:val="center"/>
            <w:textDirection w:val="lrTb"/>
            <w:noWrap w:val="false"/>
          </w:tcPr>
          <w:p>
            <w:pPr>
              <w:jc w:val="left"/>
              <w:spacing w:line="360" w:lineRule="auto"/>
              <w:rPr>
                <w:rFonts w:hint="eastAsia" w:ascii="宋体" w:hAnsi="宋体" w:cs="宋体"/>
                <w:bCs/>
                <w:iCs/>
                <w:color w:val="000000" w:themeColor="text1"/>
                <w:sz w:val="21"/>
                <w:szCs w:val="21"/>
                <w:highlight w:val="white"/>
                <w14:textFill>
                  <w14:solidFill>
                    <w14:schemeClr w14:val="tx1"/>
                  </w14:solidFill>
                </w14:textFill>
              </w:rPr>
            </w:pPr>
            <w:r>
              <w:rPr>
                <w:rFonts w:hint="eastAsia" w:ascii="宋体" w:hAnsi="宋体" w:cs="宋体"/>
                <w:bCs/>
                <w:iCs/>
                <w:color w:val="000000" w:themeColor="text1"/>
                <w:sz w:val="21"/>
                <w:szCs w:val="21"/>
                <w:highlight w:val="white"/>
                <w14:textFill>
                  <w14:solidFill>
                    <w14:schemeClr w14:val="tx1"/>
                  </w14:solidFill>
                </w14:textFill>
              </w:rPr>
              <w:t xml:space="preserve">......</w:t>
            </w:r>
            <w:r>
              <w:rPr>
                <w:highlight w:val="white"/>
              </w:rPr>
            </w:r>
            <w:r/>
          </w:p>
        </w:tc>
        <w:tc>
          <w:tcPr>
            <w:tcW w:w="196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491"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r>
        <w:trPr>
          <w:trHeight w:val="780"/>
        </w:trPr>
        <w:tc>
          <w:tcPr>
            <w:tcW w:w="646"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3</w:t>
            </w:r>
            <w:r>
              <w:rPr>
                <w:highlight w:val="white"/>
              </w:rPr>
            </w:r>
            <w:r/>
          </w:p>
        </w:tc>
        <w:tc>
          <w:tcPr>
            <w:tcW w:w="4572" w:type="dxa"/>
            <w:vAlign w:val="center"/>
            <w:textDirection w:val="lrTb"/>
            <w:noWrap w:val="false"/>
          </w:tcPr>
          <w:p>
            <w:pPr>
              <w:jc w:val="left"/>
              <w:spacing w:line="360" w:lineRule="auto"/>
              <w:rPr>
                <w:rFonts w:hint="eastAsia" w:ascii="宋体" w:hAnsi="宋体" w:cs="宋体"/>
                <w:iCs/>
                <w:color w:val="000000" w:themeColor="text1"/>
                <w:sz w:val="21"/>
                <w:szCs w:val="21"/>
                <w:highlight w:val="white"/>
                <w14:textFill>
                  <w14:solidFill>
                    <w14:schemeClr w14:val="tx1"/>
                  </w14:solidFill>
                </w14:textFill>
              </w:rPr>
            </w:pPr>
            <w:r>
              <w:rPr>
                <w:rFonts w:hint="eastAsia" w:ascii="宋体" w:hAnsi="宋体" w:cs="宋体"/>
                <w:iCs/>
                <w:color w:val="000000" w:themeColor="text1"/>
                <w:sz w:val="21"/>
                <w:szCs w:val="21"/>
                <w:highlight w:val="white"/>
                <w14:textFill>
                  <w14:solidFill>
                    <w14:schemeClr w14:val="tx1"/>
                  </w14:solidFill>
                </w14:textFill>
              </w:rPr>
            </w:r>
            <w:r>
              <w:rPr>
                <w:highlight w:val="white"/>
              </w:rPr>
            </w:r>
            <w:r/>
          </w:p>
        </w:tc>
        <w:tc>
          <w:tcPr>
            <w:tcW w:w="1968"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c>
          <w:tcPr>
            <w:tcW w:w="1491" w:type="dxa"/>
            <w:vAlign w:val="center"/>
            <w:textDirection w:val="lrTb"/>
            <w:noWrap w:val="false"/>
          </w:tcPr>
          <w:p>
            <w:pPr>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r>
            <w:r>
              <w:rPr>
                <w:highlight w:val="white"/>
              </w:rPr>
            </w:r>
            <w:r/>
          </w:p>
        </w:tc>
      </w:tr>
    </w:tbl>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pStyle w:val="853"/>
        <w:rPr>
          <w:rFonts w:hint="eastAsia"/>
          <w:highlight w:val="white"/>
        </w:rPr>
      </w:pPr>
      <w:r>
        <w:rPr>
          <w:highlight w:val="white"/>
        </w:rPr>
      </w:r>
      <w:bookmarkStart w:id="205" w:name="_GoBack"/>
      <w:r>
        <w:rPr>
          <w:highlight w:val="white"/>
        </w:rPr>
      </w:r>
      <w:bookmarkEnd w:id="205"/>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before="312" w:after="312"/>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中小企业声明函（服务）</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white"/>
          <w:u w:val="single"/>
          <w14:textFill>
            <w14:solidFill>
              <w14:schemeClr w14:val="tx1"/>
            </w14:solidFill>
          </w14:textFill>
        </w:rPr>
        <w:t xml:space="preserve">（单位名称）</w:t>
      </w:r>
      <w:r>
        <w:rPr>
          <w:rFonts w:hint="eastAsia" w:ascii="宋体" w:hAnsi="宋体" w:cs="宋体"/>
          <w:color w:val="000000" w:themeColor="text1"/>
          <w:highlight w:val="white"/>
          <w14:textFill>
            <w14:solidFill>
              <w14:schemeClr w14:val="tx1"/>
            </w14:solidFill>
          </w14:textFill>
        </w:rPr>
        <w:t xml:space="preserve">的</w:t>
      </w:r>
      <w:r>
        <w:rPr>
          <w:rFonts w:hint="eastAsia" w:ascii="宋体" w:hAnsi="宋体" w:cs="宋体"/>
          <w:color w:val="000000" w:themeColor="text1"/>
          <w:highlight w:val="white"/>
          <w:u w:val="single"/>
          <w14:textFill>
            <w14:solidFill>
              <w14:schemeClr w14:val="tx1"/>
            </w14:solidFill>
          </w14:textFill>
        </w:rPr>
        <w:t xml:space="preserve">（项目名称）</w:t>
      </w:r>
      <w:r>
        <w:rPr>
          <w:rFonts w:hint="eastAsia" w:ascii="宋体" w:hAnsi="宋体" w:cs="宋体"/>
          <w:color w:val="000000" w:themeColor="text1"/>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 </w:t>
      </w:r>
      <w:r>
        <w:rPr>
          <w:rFonts w:hint="eastAsia" w:ascii="宋体" w:hAnsi="宋体" w:cs="宋体"/>
          <w:color w:val="000000" w:themeColor="text1"/>
          <w:highlight w:val="white"/>
          <w:u w:val="single"/>
          <w14:textFill>
            <w14:solidFill>
              <w14:schemeClr w14:val="tx1"/>
            </w14:solidFill>
          </w14:textFill>
        </w:rPr>
        <w:t xml:space="preserve">（标的名称） </w:t>
      </w:r>
      <w:r>
        <w:rPr>
          <w:rFonts w:hint="eastAsia" w:ascii="宋体" w:hAnsi="宋体" w:cs="宋体"/>
          <w:color w:val="000000" w:themeColor="text1"/>
          <w:highlight w:val="white"/>
          <w14:textFill>
            <w14:solidFill>
              <w14:schemeClr w14:val="tx1"/>
            </w14:solidFill>
          </w14:textFill>
        </w:rPr>
        <w:t xml:space="preserve">，属于</w:t>
      </w:r>
      <w:r>
        <w:rPr>
          <w:rFonts w:hint="eastAsia" w:ascii="宋体" w:hAnsi="宋体" w:cs="宋体"/>
          <w:b/>
          <w:bCs/>
          <w:color w:val="000000" w:themeColor="text1"/>
          <w:szCs w:val="21"/>
          <w:highlight w:val="white"/>
          <w14:textFill>
            <w14:solidFill>
              <w14:schemeClr w14:val="tx1"/>
            </w14:solidFill>
          </w14:textFill>
        </w:rPr>
        <w:t xml:space="preserve">（其他未列明行业）</w:t>
      </w:r>
      <w:r>
        <w:rPr>
          <w:rFonts w:hint="eastAsia" w:ascii="宋体" w:hAnsi="宋体" w:cs="宋体"/>
          <w:b/>
          <w:bCs/>
          <w:color w:val="000000" w:themeColor="text1"/>
          <w:szCs w:val="21"/>
          <w:highlight w:val="white"/>
          <w:u w:val="single"/>
          <w14:textFill>
            <w14:solidFill>
              <w14:schemeClr w14:val="tx1"/>
            </w14:solidFill>
          </w14:textFill>
        </w:rPr>
        <w:t xml:space="preserve">行业</w:t>
      </w:r>
      <w:r>
        <w:rPr>
          <w:rFonts w:hint="eastAsia" w:ascii="宋体" w:hAnsi="宋体" w:cs="宋体"/>
          <w:color w:val="000000" w:themeColor="text1"/>
          <w:szCs w:val="21"/>
          <w:highlight w:val="white"/>
          <w:u w:val="single"/>
          <w14:textFill>
            <w14:solidFill>
              <w14:schemeClr w14:val="tx1"/>
            </w14:solidFill>
          </w14:textFill>
        </w:rPr>
        <w:t xml:space="preserve">（不得对行业类别修改）</w:t>
      </w:r>
      <w:r>
        <w:rPr>
          <w:rFonts w:hint="eastAsia" w:ascii="宋体" w:hAnsi="宋体" w:cs="宋体"/>
          <w:color w:val="000000" w:themeColor="text1"/>
          <w:szCs w:val="21"/>
          <w:highlight w:val="white"/>
          <w14:textFill>
            <w14:solidFill>
              <w14:schemeClr w14:val="tx1"/>
            </w14:solidFill>
          </w14:textFill>
        </w:rPr>
        <w:t xml:space="preserve">；制造商为</w:t>
      </w:r>
      <w:r>
        <w:rPr>
          <w:rFonts w:hint="eastAsia" w:ascii="宋体" w:hAnsi="宋体" w:cs="宋体"/>
          <w:color w:val="000000" w:themeColor="text1"/>
          <w:szCs w:val="21"/>
          <w:highlight w:val="white"/>
          <w:u w:val="single"/>
          <w14:textFill>
            <w14:solidFill>
              <w14:schemeClr w14:val="tx1"/>
            </w14:solidFill>
          </w14:textFill>
        </w:rPr>
        <w:t xml:space="preserve">（企业名称）</w:t>
      </w:r>
      <w:r>
        <w:rPr>
          <w:rFonts w:hint="eastAsia" w:ascii="宋体" w:hAnsi="宋体" w:cs="宋体"/>
          <w:color w:val="000000" w:themeColor="text1"/>
          <w:szCs w:val="21"/>
          <w:highlight w:val="white"/>
          <w14:textFill>
            <w14:solidFill>
              <w14:schemeClr w14:val="tx1"/>
            </w14:solidFill>
          </w14:textFill>
        </w:rPr>
        <w:t xml:space="preserve">，从业人员人，营业收入为万元，资产总额为万元</w:t>
      </w:r>
      <w:r>
        <w:rPr>
          <w:highlight w:val="white"/>
        </w:rPr>
        <w:fldChar w:fldCharType="begin"/>
      </w:r>
      <w:r>
        <w:rPr>
          <w:highlight w:val="white"/>
        </w:rPr>
        <w:instrText xml:space="preserve"> HYPERLINK \l "br1" </w:instrText>
      </w:r>
      <w:r>
        <w:rPr>
          <w:highlight w:val="white"/>
        </w:rPr>
        <w:fldChar w:fldCharType="separate"/>
      </w:r>
      <w:r>
        <w:rPr>
          <w:rFonts w:hint="eastAsia" w:ascii="宋体" w:hAnsi="宋体" w:cs="宋体"/>
          <w:color w:val="000000" w:themeColor="text1"/>
          <w:spacing w:val="-1"/>
          <w:szCs w:val="21"/>
          <w:highlight w:val="white"/>
          <w:vertAlign w:val="superscript"/>
          <w14:textFill>
            <w14:solidFill>
              <w14:schemeClr w14:val="tx1"/>
            </w14:solidFill>
          </w14:textFill>
        </w:rPr>
        <w:t xml:space="preserve">1</w:t>
      </w:r>
      <w:r>
        <w:rPr>
          <w:rFonts w:hint="eastAsia" w:ascii="宋体" w:hAnsi="宋体" w:cs="宋体"/>
          <w:color w:val="000000" w:themeColor="text1"/>
          <w:spacing w:val="-1"/>
          <w:szCs w:val="21"/>
          <w:highlight w:val="white"/>
          <w:vertAlign w:val="superscript"/>
          <w14:textFill>
            <w14:solidFill>
              <w14:schemeClr w14:val="tx1"/>
            </w14:solidFill>
          </w14:textFill>
        </w:rPr>
        <w:fldChar w:fldCharType="end"/>
      </w:r>
      <w:r>
        <w:rPr>
          <w:rFonts w:hint="eastAsia" w:ascii="宋体" w:hAnsi="宋体" w:cs="宋体"/>
          <w:color w:val="000000" w:themeColor="text1"/>
          <w:szCs w:val="21"/>
          <w:highlight w:val="white"/>
          <w14:textFill>
            <w14:solidFill>
              <w14:schemeClr w14:val="tx1"/>
            </w14:solidFill>
          </w14:textFill>
        </w:rPr>
        <w:t xml:space="preserve">，属于</w:t>
      </w:r>
      <w:r>
        <w:rPr>
          <w:rFonts w:hint="eastAsia" w:ascii="宋体" w:hAnsi="宋体" w:cs="宋体"/>
          <w:color w:val="000000" w:themeColor="text1"/>
          <w:szCs w:val="21"/>
          <w:highlight w:val="white"/>
          <w:u w:val="single"/>
          <w14:textFill>
            <w14:solidFill>
              <w14:schemeClr w14:val="tx1"/>
            </w14:solidFill>
          </w14:textFill>
        </w:rPr>
        <w:t xml:space="preserve">（中型企业、小型企业、微型企业）；</w:t>
      </w:r>
      <w:r>
        <w:rPr>
          <w:highlight w:val="white"/>
        </w:rPr>
      </w:r>
      <w:r/>
    </w:p>
    <w:p>
      <w:pPr>
        <w:ind w:firstLine="420"/>
        <w:jc w:val="left"/>
        <w:spacing w:line="360" w:lineRule="auto"/>
        <w:rPr>
          <w:rFonts w:hint="eastAsia" w:ascii="宋体" w:hAnsi="宋体" w:cs="宋体"/>
          <w:color w:val="000000" w:themeColor="text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 </w:t>
      </w:r>
      <w:r>
        <w:rPr>
          <w:rFonts w:hint="eastAsia" w:ascii="宋体" w:hAnsi="宋体" w:cs="宋体"/>
          <w:color w:val="000000" w:themeColor="text1"/>
          <w:szCs w:val="21"/>
          <w:highlight w:val="white"/>
          <w:u w:val="single"/>
          <w14:textFill>
            <w14:solidFill>
              <w14:schemeClr w14:val="tx1"/>
            </w14:solidFill>
          </w14:textFill>
        </w:rPr>
        <w:t xml:space="preserve">（标的名称） </w:t>
      </w:r>
      <w:r>
        <w:rPr>
          <w:rFonts w:hint="eastAsia" w:ascii="宋体" w:hAnsi="宋体" w:cs="宋体"/>
          <w:color w:val="000000" w:themeColor="text1"/>
          <w:szCs w:val="21"/>
          <w:highlight w:val="white"/>
          <w14:textFill>
            <w14:solidFill>
              <w14:schemeClr w14:val="tx1"/>
            </w14:solidFill>
          </w14:textFill>
        </w:rPr>
        <w:t xml:space="preserve">，属于</w:t>
      </w:r>
      <w:r>
        <w:rPr>
          <w:rFonts w:hint="eastAsia" w:ascii="宋体" w:hAnsi="宋体" w:cs="宋体"/>
          <w:b/>
          <w:bCs/>
          <w:color w:val="000000" w:themeColor="text1"/>
          <w:szCs w:val="21"/>
          <w:highlight w:val="white"/>
          <w14:textFill>
            <w14:solidFill>
              <w14:schemeClr w14:val="tx1"/>
            </w14:solidFill>
          </w14:textFill>
        </w:rPr>
        <w:t xml:space="preserve">（其他未列明行业）</w:t>
      </w:r>
      <w:r>
        <w:rPr>
          <w:rFonts w:hint="eastAsia" w:ascii="宋体" w:hAnsi="宋体" w:cs="宋体"/>
          <w:b/>
          <w:bCs/>
          <w:color w:val="000000" w:themeColor="text1"/>
          <w:szCs w:val="21"/>
          <w:highlight w:val="white"/>
          <w:u w:val="single"/>
          <w14:textFill>
            <w14:solidFill>
              <w14:schemeClr w14:val="tx1"/>
            </w14:solidFill>
          </w14:textFill>
        </w:rPr>
        <w:t xml:space="preserve">行业</w:t>
      </w:r>
      <w:r>
        <w:rPr>
          <w:rFonts w:hint="eastAsia" w:ascii="宋体" w:hAnsi="宋体" w:cs="宋体"/>
          <w:color w:val="000000" w:themeColor="text1"/>
          <w:highlight w:val="white"/>
          <w:u w:val="single"/>
          <w14:textFill>
            <w14:solidFill>
              <w14:schemeClr w14:val="tx1"/>
            </w14:solidFill>
          </w14:textFill>
        </w:rPr>
        <w:t xml:space="preserve">（不得对行业类别修改）；</w:t>
      </w:r>
      <w:r>
        <w:rPr>
          <w:rFonts w:hint="eastAsia" w:ascii="宋体" w:hAnsi="宋体" w:cs="宋体"/>
          <w:color w:val="000000" w:themeColor="text1"/>
          <w:highlight w:val="white"/>
          <w14:textFill>
            <w14:solidFill>
              <w14:schemeClr w14:val="tx1"/>
            </w14:solidFill>
          </w14:textFill>
        </w:rPr>
        <w:t xml:space="preserve">制造商为</w:t>
      </w:r>
      <w:r>
        <w:rPr>
          <w:rFonts w:hint="eastAsia" w:ascii="宋体" w:hAnsi="宋体" w:cs="宋体"/>
          <w:color w:val="000000" w:themeColor="text1"/>
          <w:highlight w:val="white"/>
          <w:u w:val="single"/>
          <w14:textFill>
            <w14:solidFill>
              <w14:schemeClr w14:val="tx1"/>
            </w14:solidFill>
          </w14:textFill>
        </w:rPr>
        <w:t xml:space="preserve">（企业名称）</w:t>
      </w:r>
      <w:r>
        <w:rPr>
          <w:rFonts w:hint="eastAsia" w:ascii="宋体" w:hAnsi="宋体" w:cs="宋体"/>
          <w:color w:val="000000" w:themeColor="text1"/>
          <w:highlight w:val="white"/>
          <w14:textFill>
            <w14:solidFill>
              <w14:schemeClr w14:val="tx1"/>
            </w14:solidFill>
          </w14:textFill>
        </w:rPr>
        <w:t xml:space="preserve">，从业人员人，营业收入为万元，资产总额为万元，属于</w:t>
      </w:r>
      <w:r>
        <w:rPr>
          <w:rFonts w:hint="eastAsia" w:ascii="宋体" w:hAnsi="宋体" w:cs="宋体"/>
          <w:color w:val="000000" w:themeColor="text1"/>
          <w:highlight w:val="white"/>
          <w:u w:val="single"/>
          <w14:textFill>
            <w14:solidFill>
              <w14:schemeClr w14:val="tx1"/>
            </w14:solidFill>
          </w14:textFill>
        </w:rPr>
        <w:t xml:space="preserve">（中型企业、小型企业、微型企业）；</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以上企业，不属于大企业的分支机构，不存在控股股东为大企业的情形，也不存在与大企业的负责人为同一人的情形。</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本企业对上述声明内容的真实性负责。如有虚假，将依法承担相应责任。</w:t>
      </w:r>
      <w:r>
        <w:rPr>
          <w:highlight w:val="white"/>
        </w:rPr>
      </w:r>
      <w:r/>
    </w:p>
    <w:p>
      <w:pPr>
        <w:jc w:val="left"/>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 </w:t>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注：1、从业人员（不仅指在职职工）、营业收入、资产总额填报上一年度数据，无上一年度数据的新成立企业可不填报。</w:t>
      </w:r>
      <w:r>
        <w:rPr>
          <w:highlight w:val="white"/>
        </w:rPr>
      </w:r>
      <w:r/>
    </w:p>
    <w:p>
      <w:pPr>
        <w:ind w:firstLine="420"/>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2、供应商如不提供此声明函，价格将不做相应扣除。</w:t>
      </w:r>
      <w:r>
        <w:rPr>
          <w:highlight w:val="white"/>
        </w:rPr>
      </w:r>
      <w:r/>
    </w:p>
    <w:p>
      <w:pP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    3、企业声明函请完整填写，中标后将公示。</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5、中小企业不得属于大企业的分支机构，不得存在控股股东为大企业的情形，不得存在与大企业的负责人为同一人的情形。</w:t>
      </w:r>
      <w:r>
        <w:rPr>
          <w:highlight w:val="white"/>
        </w:rPr>
      </w:r>
      <w:r/>
    </w:p>
    <w:p>
      <w:pPr>
        <w:ind w:firstLine="4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highlight w:val="white"/>
        </w:rPr>
      </w:r>
      <w:r/>
    </w:p>
    <w:p>
      <w:pPr>
        <w:ind w:firstLine="46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企业名称（盖章）：</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                                                      日 期：</w:t>
      </w:r>
      <w:r>
        <w:rPr>
          <w:highlight w:val="white"/>
        </w:rPr>
      </w:r>
      <w:r/>
    </w:p>
    <w:p>
      <w:pPr>
        <w:ind w:left="420" w:firstLine="420"/>
        <w:spacing w:after="12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rPr>
          <w:highlight w:val="white"/>
        </w:rPr>
      </w:r>
      <w:r/>
    </w:p>
    <w:p>
      <w:pPr>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r>
      <w:r>
        <w:rPr>
          <w:highlight w:val="white"/>
        </w:rPr>
      </w:r>
      <w:r/>
    </w:p>
    <w:p>
      <w:pPr>
        <w:jc w:val="center"/>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中小微企业划型标准</w:t>
      </w:r>
      <w:r>
        <w:rPr>
          <w:highlight w:val="white"/>
        </w:rPr>
      </w:r>
      <w:r/>
    </w:p>
    <w:p>
      <w:pPr>
        <w:ind w:firstLine="420"/>
        <w:jc w:val="left"/>
        <w:spacing w:before="300" w:beforeAutospacing="1" w:after="452"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w:t>
      </w:r>
      <w:r>
        <w:rPr>
          <w:rFonts w:hint="eastAsia" w:ascii="宋体" w:hAnsi="宋体" w:cs="宋体"/>
          <w:b/>
          <w:bCs/>
          <w:color w:val="000000" w:themeColor="text1"/>
          <w:szCs w:val="21"/>
          <w:highlight w:val="white"/>
          <w14:textFill>
            <w14:solidFill>
              <w14:schemeClr w14:val="tx1"/>
            </w14:solidFill>
          </w14:textFill>
        </w:rPr>
        <w:t xml:space="preserve">中小微企业划型标准如下：</w:t>
      </w:r>
      <w:r>
        <w:rPr>
          <w:highlight w:val="white"/>
        </w:rPr>
      </w:r>
      <w:r/>
    </w:p>
    <w:tbl>
      <w:tblPr>
        <w:tblStyle w:val="852"/>
        <w:tblW w:w="8219"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322"/>
        <w:gridCol w:w="1590"/>
        <w:gridCol w:w="1080"/>
        <w:gridCol w:w="1292"/>
        <w:gridCol w:w="1563"/>
        <w:gridCol w:w="1372"/>
      </w:tblGrid>
      <w:tr>
        <w:trPr>
          <w:tblCellSpacing w:w="15" w:type="dxa"/>
          <w:trHeight w:val="251"/>
        </w:trPr>
        <w:tc>
          <w:tcPr>
            <w:tcMar>
              <w:left w:w="105" w:type="dxa"/>
              <w:top w:w="0" w:type="dxa"/>
              <w:right w:w="105" w:type="dxa"/>
              <w:bottom w:w="0" w:type="dxa"/>
            </w:tcMar>
            <w:tcW w:w="1277" w:type="dxa"/>
            <w:vAlign w:val="center"/>
            <w:textDirection w:val="lrTb"/>
            <w:noWrap w:val="false"/>
          </w:tcPr>
          <w:p>
            <w:pPr>
              <w:jc w:val="left"/>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行业名称</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指标名称</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计量单位</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中型</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小型</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微型</w:t>
            </w:r>
            <w:r>
              <w:rPr>
                <w:highlight w:val="white"/>
              </w:rPr>
            </w:r>
            <w:r/>
          </w:p>
        </w:tc>
      </w:tr>
      <w:tr>
        <w:trPr>
          <w:tblCellSpacing w:w="15" w:type="dxa"/>
          <w:trHeight w:val="198"/>
        </w:trPr>
        <w:tc>
          <w:tcPr>
            <w:tcMar>
              <w:left w:w="105" w:type="dxa"/>
              <w:top w:w="0" w:type="dxa"/>
              <w:right w:w="105" w:type="dxa"/>
              <w:bottom w:w="0" w:type="dxa"/>
            </w:tcMar>
            <w:tcW w:w="127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农、林、牧、渔</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500≤Y＜20000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50≤Y＜500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Y＜50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工业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300≤X＜1000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20≤X＜300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X＜20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2000≤Y＜40000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300≤Y＜2000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Y＜300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建筑业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6000≤Y＜80000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300≤Y＜6000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Y＜300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资产总额（Z）</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5000≤Z＜80000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300≤Z＜5000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Z＜300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批发业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20≤X＜200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5≤X＜20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X＜5</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5000≤Y＜40000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1000≤Y＜5000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零售业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50≤X＜300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10≤X＜50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500≤Y＜20000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100≤Y＜500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交通运输业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300≤X＜1000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20≤X＜300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X＜20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3000≤Y＜30000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200≤Y＜3000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Y＜200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仓储业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100≤X＜200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X＜20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1000≤Y＜30000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100≤Y＜1000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邮政业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300≤X＜1000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20≤X＜300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X＜20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2000≤Y＜30000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100≤Y＜2000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住宿业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533" w:type="dxa"/>
            <w:vAlign w:val="center"/>
            <w:textDirection w:val="lrTb"/>
            <w:noWrap w:val="false"/>
          </w:tcPr>
          <w:p>
            <w:pPr>
              <w:ind w:firstLine="420"/>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2000≤Y＜10000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100≤Y＜2000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餐饮业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2000≤Y＜10000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100≤Y＜2000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信息传输业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100≤X＜2000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1000≤Y＜100000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100≤Y＜1000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软件和信息技术服务业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1000≤Y＜10000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50≤Y＜1000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Y＜50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房地产开发经营</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1000≤Y＜200000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100≤X＜1000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资产总额（Z）</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5000≤Z＜10000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2000≤Y＜5000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Y＜2000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物业管理</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300≤X＜1000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营业收入（Y）</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1000≤Y＜5000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500≤Y＜1000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Y＜500</w:t>
            </w:r>
            <w:r>
              <w:rPr>
                <w:highlight w:val="white"/>
              </w:rPr>
            </w:r>
            <w:r/>
          </w:p>
        </w:tc>
      </w:tr>
      <w:tr>
        <w:trPr>
          <w:tblCellSpacing w:w="15" w:type="dxa"/>
          <w:trHeight w:val="198"/>
        </w:trPr>
        <w:tc>
          <w:tcPr>
            <w:tcMar>
              <w:left w:w="105" w:type="dxa"/>
              <w:top w:w="0" w:type="dxa"/>
              <w:right w:w="105" w:type="dxa"/>
              <w:bottom w:w="0" w:type="dxa"/>
            </w:tcMar>
            <w:tcW w:w="1277" w:type="dxa"/>
            <w:vAlign w:val="center"/>
            <w:vMerge w:val="restart"/>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租赁和商务服务业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r>
        <w:trPr>
          <w:tblCellSpacing w:w="15" w:type="dxa"/>
          <w:trHeight w:val="198"/>
        </w:trPr>
        <w:tc>
          <w:tcPr>
            <w:tcW w:w="1277" w:type="dxa"/>
            <w:vAlign w:val="center"/>
            <w:vMerge w:val="continue"/>
            <w:textDirection w:val="lrTb"/>
            <w:noWrap w:val="false"/>
          </w:tcPr>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资产总额（Z）</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万元</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8000≤Z＜120000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100≤Z＜8000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Y＜100</w:t>
            </w:r>
            <w:r>
              <w:rPr>
                <w:highlight w:val="white"/>
              </w:rPr>
            </w:r>
            <w:r/>
          </w:p>
        </w:tc>
      </w:tr>
      <w:tr>
        <w:trPr>
          <w:tblCellSpacing w:w="15" w:type="dxa"/>
          <w:trHeight w:val="198"/>
        </w:trPr>
        <w:tc>
          <w:tcPr>
            <w:tcMar>
              <w:left w:w="105" w:type="dxa"/>
              <w:top w:w="0" w:type="dxa"/>
              <w:right w:w="105" w:type="dxa"/>
              <w:bottom w:w="0" w:type="dxa"/>
            </w:tcMar>
            <w:tcW w:w="127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其他未列明行业</w:t>
            </w:r>
            <w:r>
              <w:rPr>
                <w:highlight w:val="white"/>
              </w:rPr>
            </w:r>
            <w:r/>
          </w:p>
        </w:tc>
        <w:tc>
          <w:tcPr>
            <w:tcMar>
              <w:left w:w="105" w:type="dxa"/>
              <w:top w:w="0" w:type="dxa"/>
              <w:right w:w="105" w:type="dxa"/>
              <w:bottom w:w="0" w:type="dxa"/>
            </w:tcMar>
            <w:tcW w:w="156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从业人员（X）</w:t>
            </w:r>
            <w:r>
              <w:rPr>
                <w:highlight w:val="white"/>
              </w:rPr>
            </w:r>
            <w:r/>
          </w:p>
        </w:tc>
        <w:tc>
          <w:tcPr>
            <w:tcMar>
              <w:left w:w="105" w:type="dxa"/>
              <w:top w:w="0" w:type="dxa"/>
              <w:right w:w="105" w:type="dxa"/>
              <w:bottom w:w="0" w:type="dxa"/>
            </w:tcMar>
            <w:tcW w:w="1050"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人</w:t>
            </w:r>
            <w:r>
              <w:rPr>
                <w:highlight w:val="white"/>
              </w:rPr>
            </w:r>
            <w:r/>
          </w:p>
        </w:tc>
        <w:tc>
          <w:tcPr>
            <w:tcMar>
              <w:left w:w="105" w:type="dxa"/>
              <w:top w:w="0" w:type="dxa"/>
              <w:right w:w="105" w:type="dxa"/>
              <w:bottom w:w="0" w:type="dxa"/>
            </w:tcMar>
            <w:tcW w:w="1262"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100≤X＜300</w:t>
            </w:r>
            <w:r>
              <w:rPr>
                <w:highlight w:val="white"/>
              </w:rPr>
            </w:r>
            <w:r/>
          </w:p>
        </w:tc>
        <w:tc>
          <w:tcPr>
            <w:tcMar>
              <w:left w:w="105" w:type="dxa"/>
              <w:top w:w="0" w:type="dxa"/>
              <w:right w:w="105" w:type="dxa"/>
              <w:bottom w:w="0" w:type="dxa"/>
            </w:tcMar>
            <w:tcW w:w="1533"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10≤X＜100</w:t>
            </w:r>
            <w:r>
              <w:rPr>
                <w:highlight w:val="white"/>
              </w:rPr>
            </w:r>
            <w:r/>
          </w:p>
        </w:tc>
        <w:tc>
          <w:tcPr>
            <w:tcMar>
              <w:left w:w="105" w:type="dxa"/>
              <w:top w:w="0" w:type="dxa"/>
              <w:right w:w="105" w:type="dxa"/>
              <w:bottom w:w="0" w:type="dxa"/>
            </w:tcMar>
            <w:tcW w:w="1327" w:type="dxa"/>
            <w:vAlign w:val="center"/>
            <w:textDirection w:val="lrTb"/>
            <w:noWrap w:val="false"/>
          </w:tcPr>
          <w:p>
            <w:pPr>
              <w:jc w:val="center"/>
              <w:spacing w:before="100" w:beforeAutospacing="1" w:after="150" w:afterAutospacing="1" w:line="360" w:lineRule="auto"/>
              <w:widowControl/>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X＜10</w:t>
            </w:r>
            <w:r>
              <w:rPr>
                <w:highlight w:val="white"/>
              </w:rPr>
            </w:r>
            <w:r/>
          </w:p>
        </w:tc>
      </w:tr>
    </w:tbl>
    <w:p>
      <w:pPr>
        <w:ind w:firstLine="810"/>
        <w:jc w:val="left"/>
        <w:spacing w:before="300" w:beforeAutospacing="1" w:after="452" w:afterAutospacing="1" w:line="360" w:lineRule="auto"/>
        <w:widowControl/>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rPr>
          <w:highlight w:val="white"/>
        </w:rPr>
      </w:r>
      <w:r/>
    </w:p>
    <w:p>
      <w:pPr>
        <w:jc w:val="center"/>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pStyle w:val="8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b/>
          <w:bCs/>
          <w:color w:val="000000" w:themeColor="text1"/>
          <w:highlight w:val="white"/>
          <w14:textFill>
            <w14:solidFill>
              <w14:schemeClr w14:val="tx1"/>
            </w14:solidFill>
          </w14:textFill>
        </w:rPr>
        <w:t xml:space="preserve">残疾人福利性单位声明函</w:t>
      </w:r>
      <w:r>
        <w:rPr>
          <w:highlight w:val="white"/>
        </w:rPr>
      </w:r>
      <w:r/>
    </w:p>
    <w:p>
      <w:pPr>
        <w:ind w:firstLine="624"/>
        <w:jc w:val="left"/>
        <w:spacing w:line="360" w:lineRule="auto"/>
        <w:rPr>
          <w:rFonts w:hint="eastAsia" w:ascii="宋体" w:hAnsi="宋体" w:cs="宋体"/>
          <w:color w:val="000000" w:themeColor="text1"/>
          <w:spacing w:val="6"/>
          <w:sz w:val="30"/>
          <w:szCs w:val="30"/>
          <w:highlight w:val="white"/>
          <w14:textFill>
            <w14:solidFill>
              <w14:schemeClr w14:val="tx1"/>
            </w14:solidFill>
          </w14:textFill>
        </w:rPr>
      </w:pPr>
      <w:r>
        <w:rPr>
          <w:rFonts w:hint="eastAsia" w:ascii="宋体" w:hAnsi="宋体" w:cs="宋体"/>
          <w:color w:val="000000" w:themeColor="text1"/>
          <w:spacing w:val="6"/>
          <w:sz w:val="30"/>
          <w:szCs w:val="30"/>
          <w:highlight w:val="white"/>
          <w14:textFill>
            <w14:solidFill>
              <w14:schemeClr w14:val="tx1"/>
            </w14:solidFill>
          </w14:textFill>
        </w:rPr>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圆整（￥：     ）。</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本单位对上述声明的真实性负责。如有虚假，将依法承担相应责任。</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（备注：1、供应商如不提供此声明函，价格将不做相应扣除。2、成交人为残疾人福利单位的，此声明函将随成交结果同时公告，接受社会监督）</w:t>
      </w:r>
      <w:r>
        <w:rPr>
          <w:highlight w:val="white"/>
        </w:rPr>
      </w:r>
      <w:r/>
    </w:p>
    <w:p>
      <w:pPr>
        <w:ind w:firstLine="444"/>
        <w:jc w:val="left"/>
        <w:spacing w:line="360" w:lineRule="auto"/>
        <w:rPr>
          <w:rFonts w:hint="eastAsia" w:ascii="宋体" w:hAnsi="宋体" w:cs="宋体"/>
          <w:color w:val="000000" w:themeColor="text1"/>
          <w:spacing w:val="6"/>
          <w:szCs w:val="21"/>
          <w:highlight w:val="white"/>
          <w14:textFill>
            <w14:solidFill>
              <w14:schemeClr w14:val="tx1"/>
            </w14:solidFill>
          </w14:textFill>
        </w:rPr>
      </w:pPr>
      <w:r>
        <w:rPr>
          <w:rFonts w:hint="eastAsia" w:ascii="宋体" w:hAnsi="宋体" w:cs="宋体"/>
          <w:color w:val="000000" w:themeColor="text1"/>
          <w:spacing w:val="6"/>
          <w:szCs w:val="21"/>
          <w:highlight w:val="white"/>
          <w14:textFill>
            <w14:solidFill>
              <w14:schemeClr w14:val="tx1"/>
            </w14:solidFill>
          </w14:textFill>
        </w:rPr>
      </w:r>
      <w:r>
        <w:rPr>
          <w:highlight w:val="white"/>
        </w:rPr>
      </w:r>
      <w:r/>
    </w:p>
    <w:p>
      <w:pPr>
        <w:ind w:right="1560" w:firstLine="444"/>
        <w:jc w:val="left"/>
        <w:spacing w:line="360" w:lineRule="auto"/>
        <w:tabs>
          <w:tab w:val="left" w:pos="486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pacing w:val="6"/>
          <w:szCs w:val="21"/>
          <w:highlight w:val="whit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               供应商全称（盖章）：</w:t>
      </w:r>
      <w:r>
        <w:rPr>
          <w:highlight w:val="white"/>
        </w:rPr>
      </w:r>
      <w:r/>
    </w:p>
    <w:p>
      <w:pPr>
        <w:ind w:right="1560" w:firstLine="420"/>
        <w:jc w:val="left"/>
        <w:spacing w:line="360" w:lineRule="auto"/>
        <w:tabs>
          <w:tab w:val="left" w:pos="4860" w:leader="none"/>
        </w:tabs>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日  期：</w:t>
      </w:r>
      <w:r>
        <w:rPr>
          <w:highlight w:val="white"/>
        </w:rPr>
      </w:r>
      <w:r/>
    </w:p>
    <w:p>
      <w:pPr>
        <w:jc w:val="left"/>
        <w:spacing w:line="360" w:lineRule="auto"/>
        <w:widowControl/>
        <w:rPr>
          <w:rFonts w:hint="eastAsia" w:ascii="宋体" w:hAnsi="宋体" w:cs="宋体"/>
          <w:b/>
          <w:bCs/>
          <w:color w:val="000000" w:themeColor="text1"/>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br w:type="page" w:clear="all"/>
      </w:r>
      <w:r>
        <w:rPr>
          <w:highlight w:val="white"/>
        </w:rPr>
      </w:r>
      <w:r/>
    </w:p>
    <w:p>
      <w:pPr>
        <w:jc w:val="left"/>
        <w:spacing w:line="360" w:lineRule="auto"/>
        <w:rPr>
          <w:rFonts w:hint="eastAsia" w:ascii="宋体" w:hAnsi="宋体" w:cs="宋体"/>
          <w:b/>
          <w:bCs/>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highlight w:val="white"/>
          <w14:textFill>
            <w14:solidFill>
              <w14:schemeClr w14:val="tx1"/>
            </w14:solidFill>
          </w14:textFill>
        </w:rPr>
      </w:r>
      <w:r>
        <w:rPr>
          <w:highlight w:val="white"/>
        </w:rPr>
      </w:r>
      <w:r/>
    </w:p>
    <w:p>
      <w:pPr>
        <w:jc w:val="center"/>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t xml:space="preserve">四、磋商响应报价表</w:t>
      </w:r>
      <w:r>
        <w:rPr>
          <w:highlight w:val="white"/>
        </w:rPr>
      </w:r>
      <w:r/>
    </w:p>
    <w:p>
      <w:pPr>
        <w:pStyle w:val="1165"/>
        <w:jc w:val="left"/>
        <w:spacing w:line="360" w:lineRule="auto"/>
        <w:rPr>
          <w:rFonts w:hint="eastAsia" w:ascii="宋体" w:hAnsi="宋体" w:cs="宋体"/>
          <w:color w:val="000000" w:themeColor="text1"/>
          <w:sz w:val="21"/>
          <w:szCs w:val="21"/>
          <w:highlight w:val="white"/>
          <w14:textFill>
            <w14:solidFill>
              <w14:schemeClr w14:val="tx1"/>
            </w14:solidFill>
          </w14:textFill>
        </w:rPr>
      </w:pPr>
      <w:r>
        <w:rPr>
          <w:rFonts w:hint="eastAsia" w:ascii="宋体" w:hAnsi="宋体" w:cs="宋体"/>
          <w:color w:val="000000" w:themeColor="text1"/>
          <w:sz w:val="21"/>
          <w:szCs w:val="21"/>
          <w:highlight w:val="white"/>
          <w14:textFill>
            <w14:solidFill>
              <w14:schemeClr w14:val="tx1"/>
            </w14:solidFill>
          </w14:textFill>
        </w:rPr>
        <w:t xml:space="preserve">项目名称： </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项目编号：                                           分包号：  </w:t>
      </w:r>
      <w:r>
        <w:rPr>
          <w:highlight w:val="white"/>
        </w:rPr>
      </w:r>
      <w:r/>
    </w:p>
    <w:tbl>
      <w:tblPr>
        <w:tblStyle w:val="85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7204"/>
      </w:tblGrid>
      <w:tr>
        <w:trPr>
          <w:cantSplit/>
          <w:trHeight w:val="1849"/>
        </w:trPr>
        <w:tc>
          <w:tcPr>
            <w:tcW w:w="1118"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名称</w:t>
            </w:r>
            <w:r>
              <w:rPr>
                <w:highlight w:val="white"/>
              </w:rPr>
            </w:r>
            <w:r/>
          </w:p>
        </w:tc>
        <w:tc>
          <w:tcPr>
            <w:tcW w:w="7404"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第一次报价</w:t>
            </w:r>
            <w:r>
              <w:rPr>
                <w:highlight w:val="white"/>
              </w:rPr>
            </w:r>
            <w:r/>
          </w:p>
        </w:tc>
      </w:tr>
      <w:tr>
        <w:trPr>
          <w:cantSplit/>
          <w:trHeight w:val="1800"/>
        </w:trPr>
        <w:tc>
          <w:tcPr>
            <w:tcW w:w="1118"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报价</w:t>
            </w:r>
            <w:r>
              <w:rPr>
                <w:highlight w:val="white"/>
              </w:rPr>
            </w:r>
            <w:r/>
          </w:p>
        </w:tc>
        <w:tc>
          <w:tcPr>
            <w:tcW w:w="7404" w:type="dxa"/>
            <w:vAlign w:val="center"/>
            <w:textDirection w:val="lrTb"/>
            <w:noWrap w:val="false"/>
          </w:tcPr>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大写：</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小写：            %</w:t>
            </w:r>
            <w:r>
              <w:rPr>
                <w:highlight w:val="white"/>
              </w:rPr>
            </w:r>
            <w:r/>
          </w:p>
        </w:tc>
      </w:tr>
      <w:tr>
        <w:trPr>
          <w:cantSplit/>
          <w:trHeight w:val="1849"/>
        </w:trPr>
        <w:tc>
          <w:tcPr>
            <w:tcW w:w="1118"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备注</w:t>
            </w:r>
            <w:r>
              <w:rPr>
                <w:highlight w:val="white"/>
              </w:rPr>
            </w:r>
            <w:r/>
          </w:p>
        </w:tc>
        <w:tc>
          <w:tcPr>
            <w:tcW w:w="7404" w:type="dxa"/>
            <w:vAlign w:val="center"/>
            <w:textDirection w:val="lrTb"/>
            <w:noWrap w:val="false"/>
          </w:tcPr>
          <w:p>
            <w:pPr>
              <w:jc w:val="cente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bl>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备注：该表报价非本次磋商中的最后报价。</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由于苏采云系统设置，本项目所有响应报价名称均为“优惠率”。</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highlight w:val="white"/>
        </w:rPr>
      </w:r>
      <w:bookmarkStart w:id="192" w:name="_Toc27059"/>
      <w:r>
        <w:rPr>
          <w:highlight w:val="white"/>
        </w:rPr>
      </w:r>
      <w:bookmarkStart w:id="193" w:name="_Toc109304978"/>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法定代表人或者授权代表（签字或盖章）：                    </w:t>
      </w:r>
      <w:r>
        <w:rPr>
          <w:highlight w:val="white"/>
        </w:rPr>
      </w:r>
      <w:r/>
    </w:p>
    <w:p>
      <w:pPr>
        <w:spacing w:line="360" w:lineRule="auto"/>
        <w:rPr>
          <w:rFonts w:hint="eastAsia" w:ascii="宋体" w:hAnsi="宋体" w:cs="宋体"/>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磋商供应商全称（盖章）：</w:t>
      </w:r>
      <w:r>
        <w:rPr>
          <w:rFonts w:hint="eastAsia" w:ascii="宋体" w:hAnsi="宋体" w:cs="宋体"/>
          <w:color w:val="000000" w:themeColor="text1"/>
          <w:szCs w:val="21"/>
          <w:highlight w:val="white"/>
          <w:u w:val="single"/>
          <w14:textFill>
            <w14:solidFill>
              <w14:schemeClr w14:val="tx1"/>
            </w14:solidFill>
          </w14:textFill>
        </w:rPr>
        <w:t xml:space="preserve">                         </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                                               日期：    年   月    日</w:t>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color w:val="000000" w:themeColor="text1"/>
          <w:highlight w:val="white"/>
          <w:lang w:eastAsia="zh-CN"/>
          <w14:textFill>
            <w14:solidFill>
              <w14:schemeClr w14:val="tx1"/>
            </w14:solidFill>
          </w14:textFill>
        </w:rPr>
      </w:r>
      <w:r>
        <w:rPr>
          <w:highlight w:val="white"/>
        </w:rPr>
      </w:r>
      <w:r/>
    </w:p>
    <w:p>
      <w:pPr>
        <w:jc w:val="center"/>
        <w:rPr>
          <w:rFonts w:hint="eastAsia" w:ascii="宋体" w:hAnsi="宋体" w:cs="宋体"/>
          <w:b/>
          <w:color w:val="000000" w:themeColor="text1"/>
          <w:sz w:val="32"/>
          <w:szCs w:val="32"/>
          <w:highlight w:val="white"/>
          <w14:textFill>
            <w14:solidFill>
              <w14:schemeClr w14:val="tx1"/>
            </w14:solidFill>
          </w14:textFill>
        </w:rPr>
      </w:pPr>
      <w:r>
        <w:rPr>
          <w:rFonts w:hint="eastAsia" w:ascii="宋体" w:hAnsi="宋体" w:cs="宋体"/>
          <w:b/>
          <w:color w:val="000000" w:themeColor="text1"/>
          <w:sz w:val="32"/>
          <w:szCs w:val="32"/>
          <w:highlight w:val="white"/>
          <w14:textFill>
            <w14:solidFill>
              <w14:schemeClr w14:val="tx1"/>
            </w14:solidFill>
          </w14:textFill>
        </w:rPr>
        <w:t xml:space="preserve">五、分项报价表（服务类）</w:t>
      </w:r>
      <w:r>
        <w:rPr>
          <w:highlight w:val="white"/>
        </w:rPr>
      </w:r>
      <w:r/>
    </w:p>
    <w:tbl>
      <w:tblPr>
        <w:tblStyle w:val="852"/>
        <w:tblW w:w="84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83"/>
        <w:gridCol w:w="1187"/>
        <w:gridCol w:w="1200"/>
        <w:gridCol w:w="861"/>
        <w:gridCol w:w="1121"/>
        <w:gridCol w:w="1508"/>
        <w:gridCol w:w="1676"/>
      </w:tblGrid>
      <w:tr>
        <w:trPr>
          <w:cantSplit/>
          <w:trHeight w:val="899"/>
        </w:trPr>
        <w:tc>
          <w:tcPr>
            <w:tcW w:w="883" w:type="dxa"/>
            <w:vAlign w:val="center"/>
            <w:vMerge w:val="restart"/>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序号</w:t>
            </w:r>
            <w:r>
              <w:rPr>
                <w:highlight w:val="white"/>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w:t>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w:t>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4</w:t>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5</w:t>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6</w:t>
            </w:r>
            <w:r>
              <w:rPr>
                <w:highlight w:val="white"/>
              </w:rPr>
            </w:r>
            <w:r/>
          </w:p>
        </w:tc>
      </w:tr>
      <w:tr>
        <w:trPr>
          <w:cantSplit/>
          <w:trHeight w:val="1026"/>
        </w:trPr>
        <w:tc>
          <w:tcPr>
            <w:tcW w:w="883" w:type="dxa"/>
            <w:vAlign w:val="center"/>
            <w:vMerge w:val="continue"/>
            <w:textDirection w:val="lrTb"/>
            <w:noWrap w:val="false"/>
          </w:tcPr>
          <w:p>
            <w:pPr>
              <w:jc w:val="center"/>
              <w:spacing w:line="0" w:lineRule="atLeas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分项服务名称</w:t>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交付期</w:t>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分项单位</w:t>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数量</w:t>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分项</w:t>
            </w:r>
            <w:r>
              <w:rPr>
                <w:highlight w:val="white"/>
              </w:rPr>
            </w:r>
            <w:r/>
          </w:p>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单价</w:t>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分项</w:t>
            </w:r>
            <w:r>
              <w:rPr>
                <w:highlight w:val="white"/>
              </w:rPr>
            </w:r>
            <w:r/>
          </w:p>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总价</w:t>
            </w:r>
            <w:r>
              <w:rPr>
                <w:highlight w:val="white"/>
              </w:rPr>
            </w:r>
            <w:r/>
          </w:p>
        </w:tc>
      </w:tr>
      <w:tr>
        <w:trPr>
          <w:cantSplit/>
          <w:trHeight w:val="1078"/>
        </w:trPr>
        <w:tc>
          <w:tcPr>
            <w:tcW w:w="883"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w:t>
            </w:r>
            <w:r>
              <w:rPr>
                <w:highlight w:val="white"/>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r>
      <w:tr>
        <w:trPr>
          <w:cantSplit/>
          <w:trHeight w:val="1078"/>
        </w:trPr>
        <w:tc>
          <w:tcPr>
            <w:tcW w:w="883"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r>
              <w:rPr>
                <w:highlight w:val="white"/>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r>
      <w:tr>
        <w:trPr>
          <w:cantSplit/>
          <w:trHeight w:val="1078"/>
        </w:trPr>
        <w:tc>
          <w:tcPr>
            <w:tcW w:w="883"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w:t>
            </w:r>
            <w:r>
              <w:rPr>
                <w:highlight w:val="white"/>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r>
      <w:tr>
        <w:trPr>
          <w:cantSplit/>
          <w:trHeight w:val="1078"/>
        </w:trPr>
        <w:tc>
          <w:tcPr>
            <w:tcW w:w="883"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highlight w:val="white"/>
              </w:rPr>
            </w:r>
            <w:r/>
          </w:p>
        </w:tc>
        <w:tc>
          <w:tcPr>
            <w:tcW w:w="1187"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highlight w:val="white"/>
              </w:rPr>
            </w:r>
            <w:r/>
          </w:p>
        </w:tc>
        <w:tc>
          <w:tcPr>
            <w:tcW w:w="120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86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121"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508"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c>
          <w:tcPr>
            <w:tcW w:w="1676"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r>
      <w:tr>
        <w:trPr>
          <w:cantSplit/>
          <w:trHeight w:val="823"/>
        </w:trPr>
        <w:tc>
          <w:tcPr>
            <w:gridSpan w:val="6"/>
            <w:tcW w:w="6760" w:type="dxa"/>
            <w:vAlign w:val="center"/>
            <w:textDirection w:val="lrTb"/>
            <w:noWrap w:val="false"/>
          </w:tcPr>
          <w:p>
            <w:pPr>
              <w:jc w:val="cente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总报价（人民币：元）</w:t>
            </w:r>
            <w:r>
              <w:rPr>
                <w:highlight w:val="white"/>
              </w:rPr>
            </w:r>
            <w:r/>
          </w:p>
        </w:tc>
        <w:tc>
          <w:tcPr>
            <w:tcW w:w="1676" w:type="dxa"/>
            <w:textDirection w:val="lrTb"/>
            <w:noWrap w:val="false"/>
          </w:tcPr>
          <w:p>
            <w:pPr>
              <w:spacing w:line="0" w:lineRule="atLeas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tc>
      </w:tr>
    </w:tbl>
    <w:p>
      <w:pPr>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highlight w:val="white"/>
        </w:rPr>
      </w:r>
      <w:r/>
    </w:p>
    <w:p>
      <w:pPr>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p>
      <w:pPr>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rFonts w:hint="eastAsia" w:ascii="宋体" w:hAnsi="宋体" w:eastAsia="宋体" w:cs="宋体"/>
          <w:bCs w:val="0"/>
          <w:color w:val="000000" w:themeColor="text1"/>
          <w:highlight w:val="white"/>
          <w:lang w:eastAsia="zh-CN"/>
          <w14:textFill>
            <w14:solidFill>
              <w14:schemeClr w14:val="tx1"/>
            </w14:solidFill>
          </w14:textFill>
        </w:rPr>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rFonts w:hint="eastAsia" w:ascii="宋体" w:hAnsi="宋体" w:eastAsia="宋体" w:cs="宋体"/>
          <w:bCs w:val="0"/>
          <w:color w:val="000000" w:themeColor="text1"/>
          <w:highlight w:val="white"/>
          <w:lang w:eastAsia="zh-CN"/>
          <w14:textFill>
            <w14:solidFill>
              <w14:schemeClr w14:val="tx1"/>
            </w14:solidFill>
          </w14:textFill>
        </w:rPr>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rFonts w:hint="eastAsia" w:ascii="宋体" w:hAnsi="宋体" w:eastAsia="宋体" w:cs="宋体"/>
          <w:bCs w:val="0"/>
          <w:color w:val="000000" w:themeColor="text1"/>
          <w:highlight w:val="white"/>
          <w:lang w:eastAsia="zh-CN"/>
          <w14:textFill>
            <w14:solidFill>
              <w14:schemeClr w14:val="tx1"/>
            </w14:solidFill>
          </w14:textFill>
        </w:rPr>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rFonts w:hint="eastAsia" w:ascii="宋体" w:hAnsi="宋体" w:eastAsia="宋体" w:cs="宋体"/>
          <w:bCs w:val="0"/>
          <w:color w:val="000000" w:themeColor="text1"/>
          <w:highlight w:val="white"/>
          <w:lang w:eastAsia="zh-CN"/>
          <w14:textFill>
            <w14:solidFill>
              <w14:schemeClr w14:val="tx1"/>
            </w14:solidFill>
          </w14:textFill>
        </w:rPr>
      </w:r>
      <w:bookmarkEnd w:id="192"/>
      <w:r/>
      <w:bookmarkEnd w:id="193"/>
      <w:r>
        <w:rPr>
          <w:highlight w:val="white"/>
        </w:rPr>
      </w:r>
      <w:r/>
    </w:p>
    <w:p>
      <w:pPr>
        <w:pStyle w:val="104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eastAsia="zh-CN"/>
          <w14:textFill>
            <w14:solidFill>
              <w14:schemeClr w14:val="tx1"/>
            </w14:solidFill>
          </w14:textFill>
        </w:rPr>
      </w:r>
      <w:r>
        <w:rPr>
          <w:highlight w:val="white"/>
        </w:rPr>
      </w:r>
      <w:r/>
    </w:p>
    <w:p>
      <w:pPr>
        <w:pStyle w:val="104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eastAsia="zh-CN"/>
          <w14:textFill>
            <w14:solidFill>
              <w14:schemeClr w14:val="tx1"/>
            </w14:solidFill>
          </w14:textFill>
        </w:rPr>
      </w:r>
      <w:r>
        <w:rPr>
          <w:highlight w:val="white"/>
        </w:rPr>
      </w:r>
      <w:r/>
    </w:p>
    <w:p>
      <w:pPr>
        <w:pStyle w:val="104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eastAsia="zh-CN"/>
          <w14:textFill>
            <w14:solidFill>
              <w14:schemeClr w14:val="tx1"/>
            </w14:solidFill>
          </w14:textFill>
        </w:rPr>
      </w:r>
      <w:r>
        <w:rPr>
          <w:highlight w:val="white"/>
        </w:rPr>
      </w:r>
      <w:r/>
    </w:p>
    <w:p>
      <w:pPr>
        <w:pStyle w:val="104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eastAsia="zh-CN"/>
          <w14:textFill>
            <w14:solidFill>
              <w14:schemeClr w14:val="tx1"/>
            </w14:solidFill>
          </w14:textFill>
        </w:rPr>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rFonts w:hint="eastAsia" w:ascii="宋体" w:hAnsi="宋体" w:eastAsia="宋体" w:cs="宋体"/>
          <w:bCs w:val="0"/>
          <w:color w:val="000000" w:themeColor="text1"/>
          <w:highlight w:val="white"/>
          <w:lang w:eastAsia="zh-CN"/>
          <w14:textFill>
            <w14:solidFill>
              <w14:schemeClr w14:val="tx1"/>
            </w14:solidFill>
          </w14:textFill>
        </w:rPr>
        <w:t xml:space="preserve">六、技术参数响应及偏离表</w:t>
      </w:r>
      <w:r>
        <w:rPr>
          <w:highlight w:val="white"/>
        </w:rPr>
      </w:r>
      <w:r/>
    </w:p>
    <w:p>
      <w:pPr>
        <w:pStyle w:val="1040"/>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eastAsia="zh-CN"/>
          <w14:textFill>
            <w14:solidFill>
              <w14:schemeClr w14:val="tx1"/>
            </w14:solidFill>
          </w14:textFill>
        </w:rPr>
      </w:r>
      <w:r>
        <w:rPr>
          <w:highlight w:val="white"/>
        </w:rPr>
      </w:r>
      <w:r/>
    </w:p>
    <w:tbl>
      <w:tblPr>
        <w:tblStyle w:val="852"/>
        <w:tblW w:w="883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序号</w:t>
            </w:r>
            <w:r>
              <w:rPr>
                <w:highlight w:val="white"/>
              </w:rPr>
            </w:r>
            <w:r/>
          </w:p>
        </w:tc>
        <w:tc>
          <w:tcPr>
            <w:tcW w:w="2409"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采购要求</w:t>
            </w:r>
            <w:r>
              <w:rPr>
                <w:highlight w:val="white"/>
              </w:rPr>
            </w:r>
            <w:r/>
          </w:p>
        </w:tc>
        <w:tc>
          <w:tcPr>
            <w:tcW w:w="2284"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磋商响应</w:t>
            </w:r>
            <w:r>
              <w:rPr>
                <w:highlight w:val="white"/>
              </w:rPr>
            </w:r>
            <w:r/>
          </w:p>
        </w:tc>
        <w:tc>
          <w:tcPr>
            <w:tcW w:w="2016"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超出、符合或偏离</w:t>
            </w:r>
            <w:r>
              <w:rPr>
                <w:highlight w:val="white"/>
              </w:rPr>
            </w:r>
            <w:r/>
          </w:p>
        </w:tc>
        <w:tc>
          <w:tcPr>
            <w:tcW w:w="1137" w:type="dxa"/>
            <w:vAlign w:val="center"/>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证明材料</w:t>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cantSplit/>
          <w:trHeight w:val="640"/>
        </w:trPr>
        <w:tc>
          <w:tcPr>
            <w:tcW w:w="9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409"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284"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016"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1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bl>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rPr>
          <w:highlight w:val="white"/>
        </w:rPr>
      </w:r>
      <w:r/>
    </w:p>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注：1、按照基本技术要求详细填列。</w:t>
      </w:r>
      <w:r>
        <w:rPr>
          <w:highlight w:val="white"/>
        </w:rPr>
      </w:r>
      <w:r/>
    </w:p>
    <w:p>
      <w:pPr>
        <w:ind w:firstLine="420"/>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2、行数不够，可自行添加。</w:t>
      </w:r>
      <w:r>
        <w:rPr>
          <w:highlight w:val="white"/>
        </w:rPr>
      </w:r>
      <w:r/>
    </w:p>
    <w:p>
      <w:pPr>
        <w:pStyle w:val="1039"/>
        <w:spacing w:before="0" w:after="0" w:line="360" w:lineRule="auto"/>
        <w:rPr>
          <w:rFonts w:hint="eastAsia" w:ascii="宋体" w:hAnsi="宋体" w:eastAsia="宋体" w:cs="宋体"/>
          <w:bCs w:val="0"/>
          <w:color w:val="000000" w:themeColor="text1"/>
          <w:highlight w:val="white"/>
          <w14:textFill>
            <w14:solidFill>
              <w14:schemeClr w14:val="tx1"/>
            </w14:solidFill>
          </w14:textFill>
        </w:rPr>
      </w:pPr>
      <w:r>
        <w:rPr>
          <w:highlight w:val="white"/>
        </w:rPr>
      </w:r>
      <w:bookmarkStart w:id="194" w:name="_Hlt26955054"/>
      <w:r>
        <w:rPr>
          <w:highlight w:val="white"/>
        </w:rPr>
      </w:r>
      <w:bookmarkEnd w:id="194"/>
      <w:r>
        <w:rPr>
          <w:highlight w:val="white"/>
        </w:rPr>
      </w:r>
      <w:bookmarkStart w:id="195" w:name="_Toc109304979"/>
      <w:r>
        <w:rPr>
          <w:rFonts w:hint="eastAsia" w:ascii="宋体" w:hAnsi="宋体" w:eastAsia="宋体" w:cs="宋体"/>
          <w:bCs w:val="0"/>
          <w:color w:val="000000" w:themeColor="text1"/>
          <w:highlight w:val="white"/>
          <w:lang w:eastAsia="zh-CN"/>
          <w14:textFill>
            <w14:solidFill>
              <w14:schemeClr w14:val="tx1"/>
            </w14:solidFill>
          </w14:textFill>
        </w:rPr>
        <w:br w:type="page" w:clear="all"/>
      </w:r>
      <w:bookmarkStart w:id="196" w:name="_Toc5248"/>
      <w:r>
        <w:rPr>
          <w:rFonts w:hint="eastAsia" w:ascii="宋体" w:hAnsi="宋体" w:eastAsia="宋体" w:cs="宋体"/>
          <w:bCs w:val="0"/>
          <w:color w:val="000000" w:themeColor="text1"/>
          <w:highlight w:val="white"/>
          <w:lang w:eastAsia="zh-CN"/>
          <w14:textFill>
            <w14:solidFill>
              <w14:schemeClr w14:val="tx1"/>
            </w14:solidFill>
          </w14:textFill>
        </w:rPr>
        <w:t xml:space="preserve">七、商务条款响应及偏离表</w:t>
      </w:r>
      <w:bookmarkEnd w:id="195"/>
      <w:r>
        <w:rPr>
          <w:highlight w:val="white"/>
        </w:rPr>
      </w:r>
      <w:bookmarkEnd w:id="196"/>
      <w:r>
        <w:rPr>
          <w:highlight w:val="white"/>
        </w:rPr>
      </w:r>
      <w:r/>
    </w:p>
    <w:tbl>
      <w:tblPr>
        <w:tblStyle w:val="852"/>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highlight w:val="white"/>
              </w:rPr>
            </w:r>
            <w:bookmarkStart w:id="197" w:name="_Hlt26671343"/>
            <w:r>
              <w:rPr>
                <w:highlight w:val="white"/>
              </w:rPr>
            </w:r>
            <w:bookmarkEnd w:id="197"/>
            <w:r>
              <w:rPr>
                <w:highlight w:val="white"/>
              </w:rPr>
            </w:r>
            <w:bookmarkStart w:id="198" w:name="_Hlt24879081"/>
            <w:r>
              <w:rPr>
                <w:highlight w:val="white"/>
              </w:rPr>
            </w:r>
            <w:bookmarkEnd w:id="198"/>
            <w:r>
              <w:rPr>
                <w:highlight w:val="white"/>
              </w:rPr>
            </w:r>
            <w:bookmarkStart w:id="199" w:name="_Hlt26782999"/>
            <w:r>
              <w:rPr>
                <w:highlight w:val="white"/>
              </w:rPr>
            </w:r>
            <w:bookmarkEnd w:id="199"/>
            <w:r>
              <w:rPr>
                <w:highlight w:val="white"/>
              </w:rPr>
            </w:r>
            <w:bookmarkStart w:id="200" w:name="_Hlt26955056"/>
            <w:r>
              <w:rPr>
                <w:highlight w:val="white"/>
              </w:rPr>
            </w:r>
            <w:bookmarkEnd w:id="200"/>
            <w:r>
              <w:rPr>
                <w:highlight w:val="white"/>
              </w:rPr>
            </w:r>
            <w:bookmarkStart w:id="201" w:name="_Hlt26671372"/>
            <w:r>
              <w:rPr>
                <w:highlight w:val="white"/>
              </w:rPr>
            </w:r>
            <w:bookmarkEnd w:id="201"/>
            <w:r>
              <w:rPr>
                <w:highlight w:val="white"/>
              </w:rPr>
            </w:r>
            <w:bookmarkStart w:id="202" w:name="_Hlt26609391"/>
            <w:r>
              <w:rPr>
                <w:highlight w:val="white"/>
              </w:rPr>
            </w:r>
            <w:bookmarkEnd w:id="202"/>
            <w:r>
              <w:rPr>
                <w:highlight w:val="white"/>
              </w:rPr>
            </w:r>
            <w:bookmarkStart w:id="203" w:name="_Hlt26580838"/>
            <w:r>
              <w:rPr>
                <w:highlight w:val="white"/>
              </w:rPr>
            </w:r>
            <w:bookmarkEnd w:id="203"/>
            <w:r>
              <w:rPr>
                <w:highlight w:val="white"/>
              </w:rPr>
            </w:r>
            <w:bookmarkStart w:id="204" w:name="_Hlt26955064"/>
            <w:r>
              <w:rPr>
                <w:highlight w:val="white"/>
              </w:rPr>
            </w:r>
            <w:bookmarkEnd w:id="204"/>
            <w:r>
              <w:rPr>
                <w:rFonts w:hint="eastAsia" w:ascii="宋体" w:hAnsi="宋体" w:cs="宋体"/>
                <w:color w:val="000000" w:themeColor="text1"/>
                <w:szCs w:val="21"/>
                <w:highlight w:val="white"/>
                <w14:textFill>
                  <w14:solidFill>
                    <w14:schemeClr w14:val="tx1"/>
                  </w14:solidFill>
                </w14:textFill>
              </w:rPr>
              <w:t xml:space="preserve">项目</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采购文件要求</w:t>
            </w:r>
            <w:r>
              <w:rPr>
                <w:highlight w:val="white"/>
              </w:rPr>
            </w:r>
            <w:r/>
          </w:p>
        </w:tc>
        <w:tc>
          <w:tcPr>
            <w:tcW w:w="18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是否响应</w:t>
            </w:r>
            <w:r>
              <w:rPr>
                <w:highlight w:val="white"/>
              </w:rPr>
            </w:r>
            <w:r/>
          </w:p>
        </w:tc>
        <w:tc>
          <w:tcPr>
            <w:tcW w:w="2563"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供应商的承诺或说明</w:t>
            </w:r>
            <w:r>
              <w:rPr>
                <w:highlight w:val="white"/>
              </w:rPr>
            </w:r>
            <w:r/>
          </w:p>
        </w:tc>
      </w:tr>
      <w:tr>
        <w:trPr>
          <w:trHeight w:val="540"/>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服务时间</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37"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563"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440"/>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服务方式</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37"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563"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460"/>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服务地点</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37"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563" w:type="dxa"/>
            <w:textDirection w:val="lrTb"/>
            <w:noWrap w:val="false"/>
          </w:tcPr>
          <w:p>
            <w:pPr>
              <w:ind w:left="43"/>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rHeight w:val="402"/>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付款方式</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18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563"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r>
        <w:trPr/>
        <w:tc>
          <w:tcPr>
            <w:tcW w:w="1638"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其他</w:t>
            </w:r>
            <w:r>
              <w:rPr>
                <w:highlight w:val="white"/>
              </w:rPr>
            </w:r>
            <w:r/>
          </w:p>
        </w:tc>
        <w:tc>
          <w:tcPr>
            <w:tcW w:w="2502"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w:t>
            </w:r>
            <w:r>
              <w:rPr>
                <w:highlight w:val="white"/>
              </w:rPr>
            </w:r>
            <w:r/>
          </w:p>
        </w:tc>
        <w:tc>
          <w:tcPr>
            <w:tcW w:w="1837"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c>
          <w:tcPr>
            <w:tcW w:w="2563" w:type="dxa"/>
            <w:textDirection w:val="lrTb"/>
            <w:noWrap w:val="false"/>
          </w:tcPr>
          <w:p>
            <w:pPr>
              <w:jc w:val="left"/>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r>
            <w:r>
              <w:rPr>
                <w:highlight w:val="white"/>
              </w:rPr>
            </w:r>
            <w:r/>
          </w:p>
        </w:tc>
      </w:tr>
    </w:tbl>
    <w:p>
      <w:pPr>
        <w:jc w:val="left"/>
        <w:spacing w:line="360" w:lineRule="auto"/>
        <w:widowControl/>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br w:type="page" w:clear="all"/>
      </w:r>
      <w:r>
        <w:rPr>
          <w:highlight w:val="white"/>
        </w:rPr>
      </w:r>
      <w:r/>
    </w:p>
    <w:p>
      <w:pPr>
        <w:jc w:val="center"/>
        <w:spacing w:line="36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主要标的信息（成交后将公示）</w:t>
      </w:r>
      <w:r>
        <w:rPr>
          <w:highlight w:val="white"/>
        </w:rPr>
      </w:r>
      <w:r/>
    </w:p>
    <w:p>
      <w:pPr>
        <w:jc w:val="left"/>
        <w:spacing w:line="36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供应商全称：</w:t>
      </w:r>
      <w:r>
        <w:rPr>
          <w:highlight w:val="white"/>
        </w:rPr>
      </w:r>
      <w:r/>
    </w:p>
    <w:tbl>
      <w:tblPr>
        <w:tblStyle w:val="8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货物类</w:t>
            </w:r>
            <w:r>
              <w:rPr>
                <w:highlight w:val="white"/>
              </w:rPr>
            </w:r>
            <w:r/>
          </w:p>
        </w:tc>
        <w:tc>
          <w:tcPr>
            <w:tcW w:w="3780" w:type="dxa"/>
            <w:textDirection w:val="lrTb"/>
            <w:noWrap w:val="false"/>
          </w:tcPr>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服务类</w:t>
            </w:r>
            <w:r>
              <w:rPr>
                <w:highlight w:val="white"/>
              </w:rPr>
            </w:r>
            <w:r/>
          </w:p>
        </w:tc>
      </w:tr>
      <w:tr>
        <w:trPr>
          <w:trHeight w:val="3810"/>
        </w:trPr>
        <w:tc>
          <w:tcPr>
            <w:tcW w:w="3901" w:type="dxa"/>
            <w:textDirection w:val="lrTb"/>
            <w:noWrap w:val="false"/>
          </w:tcPr>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名称：</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品牌（如有）：</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规格型号：</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数量：</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单价：</w:t>
            </w:r>
            <w:r>
              <w:rPr>
                <w:highlight w:val="white"/>
              </w:rPr>
            </w:r>
            <w:r/>
          </w:p>
        </w:tc>
        <w:tc>
          <w:tcPr>
            <w:tcW w:w="3780" w:type="dxa"/>
            <w:textDirection w:val="lrTb"/>
            <w:noWrap w:val="false"/>
          </w:tcPr>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名称：</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服务范围：</w:t>
            </w:r>
            <w:r>
              <w:rPr>
                <w:highlight w:val="white"/>
              </w:rPr>
            </w:r>
            <w:r/>
          </w:p>
          <w:p>
            <w:pPr>
              <w:jc w:val="left"/>
              <w:spacing w:line="360" w:lineRule="auto"/>
              <w:rPr>
                <w:rFonts w:hint="eastAsia" w:ascii="宋体" w:hAnsi="宋体" w:cs="宋体"/>
                <w:color w:val="000000" w:themeColor="text1"/>
                <w:highlight w:val="white"/>
                <w:u w:val="singl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服务要求：</w:t>
            </w:r>
            <w:r>
              <w:rPr>
                <w:highlight w:val="white"/>
              </w:rPr>
            </w:r>
            <w:r/>
          </w:p>
          <w:p>
            <w:pPr>
              <w:jc w:val="left"/>
              <w:spacing w:line="360" w:lineRule="auto"/>
              <w:rPr>
                <w:rFonts w:hint="eastAsia" w:ascii="宋体" w:hAnsi="宋体" w:cs="宋体"/>
                <w:color w:val="000000" w:themeColor="text1"/>
                <w:highlight w:val="white"/>
                <w:u w:val="singl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服务时间：</w:t>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服务标准：</w:t>
            </w:r>
            <w:r>
              <w:rPr>
                <w:highlight w:val="white"/>
              </w:rPr>
            </w:r>
            <w:r/>
          </w:p>
        </w:tc>
      </w:tr>
    </w:tbl>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br w:type="page" w:clear="all"/>
      </w:r>
      <w:r>
        <w:rPr>
          <w:highlight w:val="white"/>
        </w:rPr>
      </w:r>
      <w:r/>
    </w:p>
    <w:p>
      <w:pPr>
        <w:ind w:firstLine="211"/>
        <w:jc w:val="center"/>
        <w:spacing w:line="36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联合体协议（如有）</w:t>
      </w:r>
      <w:r>
        <w:rPr>
          <w:highlight w:val="white"/>
        </w:rPr>
      </w:r>
      <w:r/>
    </w:p>
    <w:p>
      <w:pPr>
        <w:ind w:firstLine="211"/>
        <w:jc w:val="left"/>
        <w:spacing w:line="36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r>
      <w:r>
        <w:rPr>
          <w:highlight w:val="white"/>
        </w:rPr>
      </w:r>
      <w:r/>
    </w:p>
    <w:p>
      <w:pPr>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（联合体中各供应商全称）在此达成以下协议：</w:t>
      </w:r>
      <w:r>
        <w:rPr>
          <w:highlight w:val="white"/>
        </w:rPr>
      </w:r>
      <w:r/>
    </w:p>
    <w:p>
      <w:pPr>
        <w:ind w:firstLine="645"/>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1、我们自愿组成联合体，参加扬州市建卫工程建设监理有限责任公司组织的采购编号为xxxx服务项目的政府采购活动。</w:t>
      </w:r>
      <w:r>
        <w:rPr>
          <w:highlight w:val="white"/>
        </w:rPr>
      </w:r>
      <w:r/>
    </w:p>
    <w:p>
      <w:pPr>
        <w:ind w:firstLine="645"/>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white"/>
        </w:rPr>
      </w:r>
      <w:r/>
    </w:p>
    <w:p>
      <w:pPr>
        <w:ind w:firstLine="645"/>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highlight w:val="white"/>
          <w14:textFill>
            <w14:solidFill>
              <w14:schemeClr w14:val="tx1"/>
            </w14:solidFill>
          </w14:textFill>
        </w:rPr>
        <w:t xml:space="preserve"> </w:t>
      </w:r>
      <w:r>
        <w:rPr>
          <w:highlight w:val="white"/>
        </w:rPr>
      </w:r>
      <w:r/>
    </w:p>
    <w:p>
      <w:pPr>
        <w:ind w:firstLine="4620"/>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所有供应商全称：</w:t>
      </w:r>
      <w:r>
        <w:rPr>
          <w:highlight w:val="white"/>
        </w:rPr>
      </w:r>
      <w:r/>
    </w:p>
    <w:p>
      <w:pPr>
        <w:ind w:firstLine="645"/>
        <w:jc w:val="left"/>
        <w:spacing w:line="36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                                      法定代表人：  </w:t>
      </w:r>
      <w:r>
        <w:rPr>
          <w:highlight w:val="white"/>
        </w:rPr>
      </w:r>
      <w:r/>
    </w:p>
    <w:p>
      <w:pPr>
        <w:ind w:firstLine="4620"/>
        <w:jc w:val="left"/>
        <w:spacing w:line="360" w:lineRule="auto"/>
        <w:rPr>
          <w:rFonts w:hint="eastAsia" w:ascii="宋体" w:hAnsi="宋体" w:cs="宋体"/>
          <w:color w:val="000000" w:themeColor="text1"/>
          <w:highlight w:val="whit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highlight w:val="white"/>
          <w14:textFill>
            <w14:solidFill>
              <w14:schemeClr w14:val="tx1"/>
            </w14:solidFill>
          </w14:textFill>
        </w:rPr>
        <w:t xml:space="preserve">日期：</w:t>
      </w:r>
      <w:r>
        <w:rPr>
          <w:highlight w:val="white"/>
        </w:rPr>
      </w:r>
      <w:r/>
    </w:p>
    <w:p>
      <w:pPr>
        <w:ind w:left="3570"/>
        <w:jc w:val="left"/>
        <w:spacing w:line="360" w:lineRule="auto"/>
        <w:rPr>
          <w:rFonts w:hint="eastAsia" w:ascii="宋体" w:hAnsi="宋体" w:cs="宋体"/>
          <w:b/>
          <w:bCs/>
          <w:color w:val="000000" w:themeColor="text1"/>
          <w:sz w:val="32"/>
          <w:szCs w:val="32"/>
          <w:highlight w:val="white"/>
          <w14:textFill>
            <w14:solidFill>
              <w14:schemeClr w14:val="tx1"/>
            </w14:solidFill>
          </w14:textFill>
        </w:rPr>
      </w:pPr>
      <w:r>
        <w:rPr>
          <w:rFonts w:hint="eastAsia" w:ascii="宋体" w:hAnsi="宋体" w:cs="宋体"/>
          <w:b/>
          <w:bCs/>
          <w:color w:val="000000" w:themeColor="text1"/>
          <w:sz w:val="32"/>
          <w:szCs w:val="32"/>
          <w:highlight w:val="white"/>
          <w14:textFill>
            <w14:solidFill>
              <w14:schemeClr w14:val="tx1"/>
            </w14:solidFill>
          </w14:textFill>
        </w:rPr>
        <w:t xml:space="preserve">八、其他</w:t>
      </w:r>
      <w:r>
        <w:rPr>
          <w:highlight w:val="white"/>
        </w:rPr>
      </w:r>
      <w:r/>
    </w:p>
    <w:p>
      <w:pPr>
        <w:ind w:right="-2"/>
        <w:jc w:val="center"/>
        <w:spacing w:line="360" w:lineRule="auto"/>
        <w:rPr>
          <w:rFonts w:hint="eastAsia" w:ascii="宋体" w:hAnsi="宋体" w:cs="宋体"/>
          <w:b/>
          <w:color w:val="000000" w:themeColor="text1"/>
          <w:sz w:val="32"/>
          <w:szCs w:val="32"/>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szCs w:val="32"/>
          <w:highlight w:val="white"/>
          <w14:textFill>
            <w14:solidFill>
              <w14:schemeClr w14:val="tx1"/>
            </w14:solidFill>
          </w14:textFill>
        </w:rPr>
        <w:t xml:space="preserve">拟投入人员一览表</w:t>
      </w:r>
      <w:r>
        <w:rPr>
          <w:highlight w:val="white"/>
        </w:rPr>
      </w:r>
      <w:r/>
    </w:p>
    <w:p>
      <w:pPr>
        <w:spacing w:line="360" w:lineRule="auto"/>
        <w:rPr>
          <w:rFonts w:hint="eastAsia" w:ascii="宋体" w:hAnsi="宋体" w:cs="宋体"/>
          <w:b/>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white"/>
          <w14:textFill>
            <w14:solidFill>
              <w14:schemeClr w14:val="tx1"/>
            </w14:solidFill>
          </w14:textFill>
        </w:rPr>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供应商全称：</w:t>
      </w:r>
      <w:r>
        <w:rPr>
          <w:rFonts w:hint="eastAsia" w:ascii="宋体" w:hAnsi="宋体" w:cs="宋体"/>
          <w:color w:val="000000" w:themeColor="text1"/>
          <w:szCs w:val="21"/>
          <w:highlight w:val="white"/>
          <w14:textFill>
            <w14:solidFill>
              <w14:schemeClr w14:val="tx1"/>
            </w14:solidFill>
          </w14:textFill>
        </w:rPr>
        <w:t xml:space="preserve">（加盖CA电子公章）： </w:t>
      </w:r>
      <w:r>
        <w:rPr>
          <w:highlight w:val="white"/>
        </w:rPr>
      </w:r>
      <w:r/>
    </w:p>
    <w:p>
      <w:pP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项目名称：</w:t>
      </w:r>
      <w:r>
        <w:rPr>
          <w:highlight w:val="white"/>
        </w:rPr>
      </w:r>
      <w:r/>
    </w:p>
    <w:tbl>
      <w:tblPr>
        <w:tblStyle w:val="85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145"/>
        <w:gridCol w:w="1145"/>
        <w:gridCol w:w="1145"/>
        <w:gridCol w:w="1145"/>
        <w:gridCol w:w="1145"/>
        <w:gridCol w:w="1145"/>
        <w:gridCol w:w="1145"/>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序号</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岗位</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姓 名</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性别</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学历</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出生年月</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专业</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备注</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c>
          <w:tcPr>
            <w:tcMar>
              <w:left w:w="108" w:type="dxa"/>
              <w:top w:w="0" w:type="dxa"/>
              <w:right w:w="108" w:type="dxa"/>
              <w:bottom w:w="0" w:type="dxa"/>
            </w:tcMar>
            <w:tcW w:w="1169" w:type="dxa"/>
            <w:vAlign w:val="center"/>
            <w:textDirection w:val="lrTb"/>
            <w:noWrap w:val="false"/>
          </w:tcPr>
          <w:p>
            <w:pPr>
              <w:ind w:right="-2"/>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tc>
      </w:tr>
    </w:tbl>
    <w:p>
      <w:pP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p>
      <w:pPr>
        <w:jc w:val="right"/>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w:t>
      </w:r>
      <w:r>
        <w:rPr>
          <w:highlight w:val="white"/>
        </w:rPr>
      </w:r>
      <w:r/>
    </w:p>
    <w:p>
      <w:pPr>
        <w:jc w:val="right"/>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r>
      <w:r>
        <w:rPr>
          <w:highlight w:val="white"/>
        </w:rPr>
      </w:r>
      <w:r/>
    </w:p>
    <w:p>
      <w:pPr>
        <w:jc w:val="right"/>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r>
      <w:r>
        <w:rPr>
          <w:highlight w:val="white"/>
        </w:rPr>
      </w:r>
      <w:r/>
    </w:p>
    <w:p>
      <w:pPr>
        <w:jc w:val="center"/>
        <w:spacing w:line="360" w:lineRule="auto"/>
        <w:rPr>
          <w:rFonts w:hint="eastAsia" w:ascii="宋体" w:hAnsi="宋体" w:cs="宋体"/>
          <w:color w:val="000000" w:themeColor="text1"/>
          <w:szCs w:val="2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14:textFill>
            <w14:solidFill>
              <w14:schemeClr w14:val="tx1"/>
            </w14:solidFill>
          </w14:textFill>
        </w:rPr>
        <w:t xml:space="preserve">                                               日期：  年  月  日</w:t>
      </w:r>
      <w:r>
        <w:rPr>
          <w:highlight w:val="white"/>
        </w:rPr>
      </w:r>
      <w:r/>
    </w:p>
    <w:p>
      <w:pPr>
        <w:jc w:val="center"/>
        <w:rPr>
          <w:rFonts w:hint="eastAsia" w:ascii="宋体" w:hAnsi="宋体" w:cs="宋体"/>
          <w:b/>
          <w:color w:val="000000" w:themeColor="text1"/>
          <w:sz w:val="32"/>
          <w:szCs w:val="32"/>
          <w:highlight w:val="white"/>
          <w14:textFill>
            <w14:solidFill>
              <w14:schemeClr w14:val="tx1"/>
            </w14:solidFill>
          </w14:textFill>
        </w:rPr>
      </w:pPr>
      <w:r>
        <w:rPr>
          <w:rFonts w:hint="eastAsia" w:ascii="宋体" w:hAnsi="宋体" w:cs="宋体"/>
          <w:b/>
          <w:color w:val="000000" w:themeColor="text1"/>
          <w:sz w:val="32"/>
          <w:szCs w:val="32"/>
          <w:highlight w:val="white"/>
          <w14:textFill>
            <w14:solidFill>
              <w14:schemeClr w14:val="tx1"/>
            </w14:solidFill>
          </w14:textFill>
        </w:rPr>
      </w:r>
      <w:r>
        <w:rPr>
          <w:highlight w:val="white"/>
        </w:rPr>
      </w:r>
      <w:r/>
    </w:p>
    <w:sectPr>
      <w:footnotePr/>
      <w:endnotePr/>
      <w:type w:val="nextPage"/>
      <w:pgSz w:w="11906" w:h="16838" w:orient="portrait"/>
      <w:pgMar w:top="1418" w:right="1588" w:bottom="1691"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方正仿宋_GB2312">
    <w:panose1 w:val="020B0503020202020204"/>
  </w:font>
  <w:font w:name="Verdana">
    <w:panose1 w:val="020B0604030504040204"/>
  </w:font>
  <w:font w:name="幼圆">
    <w:panose1 w:val="02010509060101010101"/>
  </w:font>
  <w:font w:name="黑体">
    <w:panose1 w:val="02010609060101010101"/>
  </w:font>
  <w:font w:name="Courier New">
    <w:panose1 w:val="02070309020205020404"/>
  </w:font>
  <w:font w:name="Calibri">
    <w:panose1 w:val="020F0502020204030204"/>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fldChar w:fldCharType="begin"/>
    </w:r>
    <w:r>
      <w:instrText xml:space="preserve"> PAGE   \* MERGEFORMAT </w:instrText>
    </w:r>
    <w:r>
      <w:fldChar w:fldCharType="separate"/>
    </w:r>
    <w:r>
      <w:rPr>
        <w:lang w:val="zh-CN"/>
      </w:rPr>
      <w:t xml:space="preserve">3</w:t>
    </w:r>
    <w:r>
      <w:fldChar w:fldCharType="end"/>
    </w:r>
    <w:r/>
  </w:p>
  <w:p>
    <w:pPr>
      <w:pStyle w:val="10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rPr>
        <w:lang w:eastAsia="zh-CN"/>
      </w:rPr>
    </w:pPr>
    <w:r>
      <w:rPr>
        <w:rFonts w:hint="eastAsia"/>
        <w:lang w:eastAsia="zh-CN"/>
      </w:rPr>
      <w:t xml:space="preserve">30</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2"/>
      </w:rPr>
      <w:framePr w:wrap="around" w:vAnchor="text" w:hAnchor="margin" w:xAlign="center" w:y="1"/>
    </w:pPr>
    <w:r>
      <w:fldChar w:fldCharType="begin"/>
    </w:r>
    <w:r>
      <w:rPr>
        <w:rStyle w:val="1112"/>
      </w:rPr>
      <w:instrText xml:space="preserve">PAGE  </w:instrText>
    </w:r>
    <w:r>
      <w:fldChar w:fldCharType="separate"/>
    </w:r>
    <w:r>
      <w:rPr>
        <w:rStyle w:val="1112"/>
      </w:rPr>
      <w:t xml:space="preserve">1</w:t>
    </w:r>
    <w:r>
      <w:fldChar w:fldCharType="end"/>
    </w:r>
    <w:r/>
  </w:p>
  <w:p>
    <w:pPr>
      <w:pStyle w:val="10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fldChar w:fldCharType="begin"/>
    </w:r>
    <w:r>
      <w:instrText xml:space="preserve"> PAGE   \* MERGEFORMAT </w:instrText>
    </w:r>
    <w:r>
      <w:fldChar w:fldCharType="separate"/>
    </w:r>
    <w:r>
      <w:rPr>
        <w:rFonts w:hint="eastAsia"/>
      </w:rPr>
      <w:t xml:space="preserve">３０</w:t>
    </w:r>
    <w:r>
      <w:fldChar w:fldCharType="end"/>
    </w:r>
    <w:r/>
  </w:p>
  <w:p>
    <w:pPr>
      <w:pStyle w:val="10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hint="eastAsia" w:ascii="宋体" w:hAnsi="宋体"/>
        <w:szCs w:val="22"/>
        <w:lang w:eastAsia="zh-CN"/>
      </w:rPr>
    </w:pPr>
    <w:r>
      <w:rPr>
        <w:rFonts w:ascii="宋体" w:hAnsi="宋体"/>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fldChar w:fldCharType="begin"/>
    </w:r>
    <w:r>
      <w:instrText xml:space="preserve"> PAGE   \* MERGEFORMAT </w:instrText>
    </w:r>
    <w:r>
      <w:fldChar w:fldCharType="separate"/>
    </w:r>
    <w:r>
      <w:rPr>
        <w:lang w:val="zh-CN"/>
      </w:rPr>
      <w:t xml:space="preserve">1</w:t>
    </w:r>
    <w:r>
      <w:fldChar w:fldCharType="end"/>
    </w:r>
    <w:r/>
  </w:p>
  <w:p>
    <w:pPr>
      <w:pStyle w:val="10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upperLetter"/>
      <w:pStyle w:val="11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6"/>
  </w:num>
  <w:num w:numId="8">
    <w:abstractNumId w:val="7"/>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851"/>
    <w:link w:val="842"/>
    <w:uiPriority w:val="9"/>
    <w:rPr>
      <w:rFonts w:ascii="Arial" w:hAnsi="Arial" w:eastAsia="Arial" w:cs="Arial"/>
      <w:sz w:val="40"/>
      <w:szCs w:val="40"/>
    </w:rPr>
  </w:style>
  <w:style w:type="character" w:styleId="805">
    <w:name w:val="Heading 2 Char"/>
    <w:basedOn w:val="851"/>
    <w:link w:val="843"/>
    <w:uiPriority w:val="9"/>
    <w:rPr>
      <w:rFonts w:ascii="Arial" w:hAnsi="Arial" w:eastAsia="Arial" w:cs="Arial"/>
      <w:sz w:val="34"/>
    </w:rPr>
  </w:style>
  <w:style w:type="character" w:styleId="806">
    <w:name w:val="Heading 3 Char"/>
    <w:basedOn w:val="851"/>
    <w:link w:val="844"/>
    <w:uiPriority w:val="9"/>
    <w:rPr>
      <w:rFonts w:ascii="Arial" w:hAnsi="Arial" w:eastAsia="Arial" w:cs="Arial"/>
      <w:sz w:val="30"/>
      <w:szCs w:val="30"/>
    </w:rPr>
  </w:style>
  <w:style w:type="character" w:styleId="807">
    <w:name w:val="Heading 4 Char"/>
    <w:basedOn w:val="851"/>
    <w:link w:val="845"/>
    <w:uiPriority w:val="9"/>
    <w:rPr>
      <w:rFonts w:ascii="Arial" w:hAnsi="Arial" w:eastAsia="Arial" w:cs="Arial"/>
      <w:b/>
      <w:bCs/>
      <w:sz w:val="26"/>
      <w:szCs w:val="26"/>
    </w:rPr>
  </w:style>
  <w:style w:type="character" w:styleId="808">
    <w:name w:val="Heading 5 Char"/>
    <w:basedOn w:val="851"/>
    <w:link w:val="846"/>
    <w:uiPriority w:val="9"/>
    <w:rPr>
      <w:rFonts w:ascii="Arial" w:hAnsi="Arial" w:eastAsia="Arial" w:cs="Arial"/>
      <w:b/>
      <w:bCs/>
      <w:sz w:val="24"/>
      <w:szCs w:val="24"/>
    </w:rPr>
  </w:style>
  <w:style w:type="character" w:styleId="809">
    <w:name w:val="Heading 6 Char"/>
    <w:basedOn w:val="851"/>
    <w:link w:val="847"/>
    <w:uiPriority w:val="9"/>
    <w:rPr>
      <w:rFonts w:ascii="Arial" w:hAnsi="Arial" w:eastAsia="Arial" w:cs="Arial"/>
      <w:b/>
      <w:bCs/>
      <w:sz w:val="22"/>
      <w:szCs w:val="22"/>
    </w:rPr>
  </w:style>
  <w:style w:type="character" w:styleId="810">
    <w:name w:val="Heading 7 Char"/>
    <w:basedOn w:val="851"/>
    <w:link w:val="848"/>
    <w:uiPriority w:val="9"/>
    <w:rPr>
      <w:rFonts w:ascii="Arial" w:hAnsi="Arial" w:eastAsia="Arial" w:cs="Arial"/>
      <w:b/>
      <w:bCs/>
      <w:i/>
      <w:iCs/>
      <w:sz w:val="22"/>
      <w:szCs w:val="22"/>
    </w:rPr>
  </w:style>
  <w:style w:type="character" w:styleId="811">
    <w:name w:val="Heading 8 Char"/>
    <w:basedOn w:val="851"/>
    <w:link w:val="849"/>
    <w:uiPriority w:val="9"/>
    <w:rPr>
      <w:rFonts w:ascii="Arial" w:hAnsi="Arial" w:eastAsia="Arial" w:cs="Arial"/>
      <w:i/>
      <w:iCs/>
      <w:sz w:val="22"/>
      <w:szCs w:val="22"/>
    </w:rPr>
  </w:style>
  <w:style w:type="character" w:styleId="812">
    <w:name w:val="Heading 9 Char"/>
    <w:basedOn w:val="851"/>
    <w:link w:val="850"/>
    <w:uiPriority w:val="9"/>
    <w:rPr>
      <w:rFonts w:ascii="Arial" w:hAnsi="Arial" w:eastAsia="Arial" w:cs="Arial"/>
      <w:i/>
      <w:iCs/>
      <w:sz w:val="21"/>
      <w:szCs w:val="21"/>
    </w:rPr>
  </w:style>
  <w:style w:type="character" w:styleId="813">
    <w:name w:val="Title Char"/>
    <w:basedOn w:val="851"/>
    <w:link w:val="882"/>
    <w:uiPriority w:val="10"/>
    <w:rPr>
      <w:sz w:val="48"/>
      <w:szCs w:val="48"/>
    </w:rPr>
  </w:style>
  <w:style w:type="character" w:styleId="814">
    <w:name w:val="Subtitle Char"/>
    <w:basedOn w:val="851"/>
    <w:link w:val="876"/>
    <w:uiPriority w:val="11"/>
    <w:rPr>
      <w:sz w:val="24"/>
      <w:szCs w:val="24"/>
    </w:rPr>
  </w:style>
  <w:style w:type="character" w:styleId="815">
    <w:name w:val="Quote Char"/>
    <w:link w:val="903"/>
    <w:uiPriority w:val="29"/>
    <w:rPr>
      <w:i/>
    </w:rPr>
  </w:style>
  <w:style w:type="character" w:styleId="816">
    <w:name w:val="Intense Quote Char"/>
    <w:link w:val="905"/>
    <w:uiPriority w:val="30"/>
    <w:rPr>
      <w:i/>
    </w:rPr>
  </w:style>
  <w:style w:type="character" w:styleId="817">
    <w:name w:val="Header Char"/>
    <w:basedOn w:val="851"/>
    <w:link w:val="873"/>
    <w:uiPriority w:val="99"/>
  </w:style>
  <w:style w:type="character" w:styleId="818">
    <w:name w:val="Caption Char"/>
    <w:basedOn w:val="862"/>
    <w:link w:val="872"/>
    <w:uiPriority w:val="99"/>
  </w:style>
  <w:style w:type="table" w:styleId="81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8">
    <w:name w:val="Footnote Text Char"/>
    <w:link w:val="877"/>
    <w:uiPriority w:val="99"/>
    <w:rPr>
      <w:sz w:val="18"/>
    </w:rPr>
  </w:style>
  <w:style w:type="character" w:styleId="839">
    <w:name w:val="Endnote Text Char"/>
    <w:link w:val="871"/>
    <w:uiPriority w:val="99"/>
    <w:rPr>
      <w:sz w:val="20"/>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0"/>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891"/>
    <w:uiPriority w:val="9"/>
    <w:unhideWhenUsed/>
    <w:qFormat/>
    <w:pPr>
      <w:keepLines/>
      <w:keepNext/>
      <w:spacing w:before="360" w:after="200"/>
      <w:outlineLvl w:val="1"/>
    </w:pPr>
    <w:rPr>
      <w:rFonts w:ascii="Arial" w:hAnsi="Arial" w:eastAsia="Arial" w:cs="Arial"/>
      <w:b/>
      <w:sz w:val="34"/>
    </w:rPr>
  </w:style>
  <w:style w:type="paragraph" w:styleId="844">
    <w:name w:val="Heading 3"/>
    <w:basedOn w:val="841"/>
    <w:next w:val="841"/>
    <w:link w:val="892"/>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893"/>
    <w:uiPriority w:val="9"/>
    <w:unhideWhenUsed/>
    <w:qFormat/>
    <w:pPr>
      <w:keepLines/>
      <w:keepNext/>
      <w:spacing w:before="320" w:after="200"/>
      <w:outlineLvl w:val="3"/>
    </w:pPr>
    <w:rPr>
      <w:rFonts w:ascii="Arial" w:hAnsi="Arial" w:eastAsia="Arial" w:cs="Arial"/>
      <w:b/>
      <w:bCs/>
      <w:sz w:val="26"/>
      <w:szCs w:val="26"/>
    </w:rPr>
  </w:style>
  <w:style w:type="paragraph" w:styleId="846">
    <w:name w:val="Heading 5"/>
    <w:basedOn w:val="841"/>
    <w:next w:val="841"/>
    <w:link w:val="894"/>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95"/>
    <w:uiPriority w:val="9"/>
    <w:unhideWhenUsed/>
    <w:qFormat/>
    <w:pPr>
      <w:keepLines/>
      <w:keepNext/>
      <w:spacing w:before="320" w:after="200"/>
      <w:outlineLvl w:val="5"/>
    </w:pPr>
    <w:rPr>
      <w:rFonts w:ascii="Arial" w:hAnsi="Arial" w:eastAsia="Arial" w:cs="Arial"/>
      <w:b/>
      <w:bCs/>
      <w:sz w:val="22"/>
    </w:rPr>
  </w:style>
  <w:style w:type="paragraph" w:styleId="848">
    <w:name w:val="Heading 7"/>
    <w:basedOn w:val="841"/>
    <w:next w:val="841"/>
    <w:link w:val="896"/>
    <w:uiPriority w:val="9"/>
    <w:unhideWhenUsed/>
    <w:qFormat/>
    <w:pPr>
      <w:keepLines/>
      <w:keepNext/>
      <w:spacing w:before="320" w:after="200"/>
      <w:outlineLvl w:val="6"/>
    </w:pPr>
    <w:rPr>
      <w:rFonts w:ascii="Arial" w:hAnsi="Arial" w:eastAsia="Arial" w:cs="Arial"/>
      <w:b/>
      <w:bCs/>
      <w:i/>
      <w:iCs/>
      <w:sz w:val="22"/>
    </w:rPr>
  </w:style>
  <w:style w:type="paragraph" w:styleId="849">
    <w:name w:val="Heading 8"/>
    <w:basedOn w:val="841"/>
    <w:next w:val="841"/>
    <w:link w:val="897"/>
    <w:uiPriority w:val="9"/>
    <w:unhideWhenUsed/>
    <w:qFormat/>
    <w:pPr>
      <w:keepLines/>
      <w:keepNext/>
      <w:spacing w:before="320" w:after="200"/>
      <w:outlineLvl w:val="7"/>
    </w:pPr>
    <w:rPr>
      <w:rFonts w:ascii="Arial" w:hAnsi="Arial" w:eastAsia="Arial" w:cs="Arial"/>
      <w:i/>
      <w:iCs/>
      <w:sz w:val="22"/>
    </w:rPr>
  </w:style>
  <w:style w:type="paragraph" w:styleId="850">
    <w:name w:val="Heading 9"/>
    <w:basedOn w:val="841"/>
    <w:next w:val="841"/>
    <w:link w:val="898"/>
    <w:uiPriority w:val="9"/>
    <w:unhideWhenUsed/>
    <w:qFormat/>
    <w:pPr>
      <w:keepLines/>
      <w:keepNext/>
      <w:spacing w:before="320" w:after="200"/>
      <w:outlineLvl w:val="8"/>
    </w:pPr>
    <w:rPr>
      <w:rFonts w:ascii="Arial" w:hAnsi="Arial" w:eastAsia="Arial" w:cs="Arial"/>
      <w:i/>
      <w:iCs/>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正文（缩进）"/>
    <w:basedOn w:val="841"/>
    <w:next w:val="854"/>
    <w:uiPriority w:val="99"/>
    <w:qFormat/>
    <w:pPr>
      <w:ind w:firstLine="480"/>
      <w:spacing w:line="360" w:lineRule="auto"/>
    </w:pPr>
    <w:rPr>
      <w:sz w:val="24"/>
    </w:rPr>
  </w:style>
  <w:style w:type="paragraph" w:styleId="854" w:customStyle="1">
    <w:name w:val="Char Char Char Char Char Char Char Char Char"/>
    <w:next w:val="855"/>
    <w:uiPriority w:val="0"/>
    <w:qFormat/>
    <w:pPr>
      <w:ind w:left="360" w:firstLine="5784"/>
      <w:jc w:val="both"/>
      <w:widowControl w:val="off"/>
    </w:pPr>
    <w:rPr>
      <w:rFonts w:ascii="Times New Roman" w:hAnsi="Times New Roman" w:eastAsia="宋体" w:cs="Times New Roman"/>
      <w:sz w:val="21"/>
      <w:szCs w:val="22"/>
      <w:lang w:val="en-US" w:eastAsia="zh-CN" w:bidi="ar-SA"/>
    </w:rPr>
  </w:style>
  <w:style w:type="paragraph" w:styleId="855" w:customStyle="1">
    <w:name w:val="正文文本 21"/>
    <w:basedOn w:val="841"/>
    <w:next w:val="856"/>
    <w:link w:val="1053"/>
    <w:uiPriority w:val="0"/>
    <w:qFormat/>
    <w:pPr>
      <w:jc w:val="center"/>
      <w:widowControl/>
    </w:pPr>
    <w:rPr>
      <w:rFonts w:ascii="方正楷体_GB2312" w:eastAsia="方正楷体_GB2312"/>
      <w:sz w:val="28"/>
      <w:szCs w:val="28"/>
      <w:lang w:eastAsia="en-US"/>
    </w:rPr>
  </w:style>
  <w:style w:type="paragraph" w:styleId="856" w:customStyle="1">
    <w:name w:val="默认段落字体 Para Char Char Char Char Char Char Char"/>
    <w:next w:val="857"/>
    <w:uiPriority w:val="0"/>
    <w:qFormat/>
    <w:pPr>
      <w:ind w:firstLine="200"/>
      <w:jc w:val="both"/>
      <w:widowControl w:val="off"/>
    </w:pPr>
    <w:rPr>
      <w:rFonts w:ascii="Times New Roman" w:hAnsi="Times New Roman" w:eastAsia="宋体" w:cs="Arial"/>
      <w:sz w:val="21"/>
      <w:szCs w:val="22"/>
      <w:lang w:val="en-US" w:eastAsia="zh-CN" w:bidi="ar-SA"/>
    </w:rPr>
  </w:style>
  <w:style w:type="paragraph" w:styleId="857" w:customStyle="1">
    <w:name w:val="样式 首行缩进:  2 字符"/>
    <w:next w:val="858"/>
    <w:uiPriority w:val="0"/>
    <w:qFormat/>
    <w:pPr>
      <w:ind w:left="480" w:firstLine="5856"/>
      <w:jc w:val="both"/>
      <w:spacing w:line="360" w:lineRule="auto"/>
      <w:widowControl w:val="off"/>
    </w:pPr>
    <w:rPr>
      <w:rFonts w:ascii="Times New Roman" w:hAnsi="Times New Roman" w:eastAsia="宋体" w:cs="Times New Roman"/>
      <w:sz w:val="21"/>
      <w:szCs w:val="22"/>
      <w:lang w:val="en-US" w:eastAsia="zh-CN" w:bidi="ar-SA"/>
    </w:rPr>
  </w:style>
  <w:style w:type="paragraph" w:styleId="858" w:customStyle="1">
    <w:name w:val="样式 段后: 0.25 行"/>
    <w:next w:val="859"/>
    <w:uiPriority w:val="0"/>
    <w:qFormat/>
    <w:pPr>
      <w:ind w:left="420" w:firstLine="5796"/>
      <w:jc w:val="both"/>
      <w:spacing w:line="300" w:lineRule="auto"/>
      <w:widowControl/>
    </w:pPr>
    <w:rPr>
      <w:rFonts w:ascii="Times New Roman" w:hAnsi="Times New Roman" w:eastAsia="宋体" w:cs="Times New Roman"/>
      <w:sz w:val="21"/>
      <w:szCs w:val="22"/>
      <w:lang w:val="en-US" w:eastAsia="zh-CN" w:bidi="ar-SA"/>
    </w:rPr>
  </w:style>
  <w:style w:type="paragraph" w:styleId="859" w:customStyle="1">
    <w:name w:val="正文 New New New New New New New New New New New New New New"/>
    <w:next w:val="860"/>
    <w:uiPriority w:val="0"/>
    <w:qFormat/>
    <w:pPr>
      <w:ind w:firstLine="2048"/>
      <w:jc w:val="both"/>
      <w:widowControl w:val="off"/>
    </w:pPr>
    <w:rPr>
      <w:rFonts w:ascii="Calibri" w:hAnsi="Calibri" w:eastAsia="宋体" w:cs="Times New Roman"/>
      <w:lang w:val="en-US" w:eastAsia="zh-CN" w:bidi="ar-SA"/>
    </w:rPr>
  </w:style>
  <w:style w:type="paragraph" w:styleId="860">
    <w:name w:val="toc 9"/>
    <w:basedOn w:val="841"/>
    <w:next w:val="841"/>
    <w:uiPriority w:val="39"/>
    <w:unhideWhenUsed/>
    <w:qFormat/>
    <w:pPr>
      <w:ind w:left="2268"/>
      <w:spacing w:after="57"/>
    </w:pPr>
  </w:style>
  <w:style w:type="paragraph" w:styleId="861">
    <w:name w:val="toc 7"/>
    <w:basedOn w:val="841"/>
    <w:next w:val="841"/>
    <w:uiPriority w:val="39"/>
    <w:unhideWhenUsed/>
    <w:qFormat/>
    <w:pPr>
      <w:ind w:left="1701"/>
      <w:spacing w:after="57"/>
    </w:pPr>
  </w:style>
  <w:style w:type="paragraph" w:styleId="862">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3">
    <w:name w:val="annotation text"/>
    <w:basedOn w:val="841"/>
    <w:link w:val="1166"/>
    <w:uiPriority w:val="99"/>
    <w:unhideWhenUsed/>
    <w:qFormat/>
    <w:pPr>
      <w:jc w:val="left"/>
    </w:pPr>
  </w:style>
  <w:style w:type="paragraph" w:styleId="864">
    <w:name w:val="Body Text"/>
    <w:basedOn w:val="841"/>
    <w:link w:val="1168"/>
    <w:uiPriority w:val="0"/>
    <w:qFormat/>
    <w:pPr>
      <w:spacing w:after="120"/>
    </w:pPr>
    <w:rPr>
      <w:rFonts w:asciiTheme="minorHAnsi" w:hAnsiTheme="minorHAnsi" w:eastAsiaTheme="minorEastAsia" w:cstheme="minorBidi"/>
      <w:szCs w:val="24"/>
    </w:rPr>
  </w:style>
  <w:style w:type="paragraph" w:styleId="865">
    <w:name w:val="Body Text Indent"/>
    <w:basedOn w:val="841"/>
    <w:next w:val="866"/>
    <w:uiPriority w:val="99"/>
    <w:unhideWhenUsed/>
    <w:qFormat/>
    <w:pPr>
      <w:ind w:firstLine="540"/>
      <w:spacing w:line="400" w:lineRule="exact"/>
    </w:pPr>
    <w:rPr>
      <w:sz w:val="24"/>
    </w:rPr>
  </w:style>
  <w:style w:type="paragraph" w:styleId="866">
    <w:name w:val="envelope return"/>
    <w:basedOn w:val="841"/>
    <w:uiPriority w:val="0"/>
    <w:qFormat/>
    <w:rPr>
      <w:rFonts w:ascii="Arial" w:hAnsi="Arial"/>
    </w:rPr>
  </w:style>
  <w:style w:type="paragraph" w:styleId="867">
    <w:name w:val="toc 5"/>
    <w:basedOn w:val="841"/>
    <w:next w:val="841"/>
    <w:uiPriority w:val="39"/>
    <w:unhideWhenUsed/>
    <w:qFormat/>
    <w:pPr>
      <w:ind w:left="1134"/>
      <w:spacing w:after="57"/>
    </w:pPr>
  </w:style>
  <w:style w:type="paragraph" w:styleId="868">
    <w:name w:val="toc 3"/>
    <w:basedOn w:val="841"/>
    <w:next w:val="841"/>
    <w:uiPriority w:val="39"/>
    <w:unhideWhenUsed/>
    <w:qFormat/>
    <w:pPr>
      <w:ind w:left="567"/>
      <w:spacing w:after="57"/>
    </w:pPr>
  </w:style>
  <w:style w:type="paragraph" w:styleId="869">
    <w:name w:val="Plain Text"/>
    <w:basedOn w:val="841"/>
    <w:uiPriority w:val="99"/>
    <w:unhideWhenUsed/>
    <w:qFormat/>
    <w:rPr>
      <w:rFonts w:ascii="宋体" w:hAnsi="Courier New"/>
      <w:sz w:val="20"/>
      <w:szCs w:val="20"/>
    </w:rPr>
  </w:style>
  <w:style w:type="paragraph" w:styleId="870">
    <w:name w:val="toc 8"/>
    <w:basedOn w:val="841"/>
    <w:next w:val="841"/>
    <w:uiPriority w:val="39"/>
    <w:unhideWhenUsed/>
    <w:qFormat/>
    <w:pPr>
      <w:ind w:left="1984"/>
      <w:spacing w:after="57"/>
    </w:pPr>
  </w:style>
  <w:style w:type="paragraph" w:styleId="871">
    <w:name w:val="endnote text"/>
    <w:basedOn w:val="841"/>
    <w:link w:val="1036"/>
    <w:uiPriority w:val="99"/>
    <w:semiHidden/>
    <w:unhideWhenUsed/>
    <w:qFormat/>
    <w:rPr>
      <w:sz w:val="20"/>
    </w:rPr>
  </w:style>
  <w:style w:type="paragraph" w:styleId="872">
    <w:name w:val="Footer"/>
    <w:basedOn w:val="841"/>
    <w:link w:val="909"/>
    <w:uiPriority w:val="99"/>
    <w:unhideWhenUsed/>
    <w:qFormat/>
    <w:pPr>
      <w:tabs>
        <w:tab w:val="center" w:pos="7143" w:leader="none"/>
        <w:tab w:val="right" w:pos="14287" w:leader="none"/>
      </w:tabs>
    </w:pPr>
  </w:style>
  <w:style w:type="paragraph" w:styleId="873">
    <w:name w:val="Header"/>
    <w:basedOn w:val="841"/>
    <w:link w:val="907"/>
    <w:uiPriority w:val="99"/>
    <w:unhideWhenUsed/>
    <w:qFormat/>
    <w:pPr>
      <w:tabs>
        <w:tab w:val="center" w:pos="7143" w:leader="none"/>
        <w:tab w:val="right" w:pos="14287" w:leader="none"/>
      </w:tabs>
    </w:pPr>
  </w:style>
  <w:style w:type="paragraph" w:styleId="874">
    <w:name w:val="toc 1"/>
    <w:basedOn w:val="841"/>
    <w:next w:val="841"/>
    <w:uiPriority w:val="39"/>
    <w:unhideWhenUsed/>
    <w:qFormat/>
    <w:pPr>
      <w:spacing w:after="57"/>
    </w:pPr>
  </w:style>
  <w:style w:type="paragraph" w:styleId="875">
    <w:name w:val="toc 4"/>
    <w:basedOn w:val="841"/>
    <w:next w:val="841"/>
    <w:uiPriority w:val="39"/>
    <w:unhideWhenUsed/>
    <w:qFormat/>
    <w:pPr>
      <w:ind w:left="850"/>
      <w:spacing w:after="57"/>
    </w:pPr>
  </w:style>
  <w:style w:type="paragraph" w:styleId="876">
    <w:name w:val="Subtitle"/>
    <w:basedOn w:val="841"/>
    <w:next w:val="841"/>
    <w:link w:val="902"/>
    <w:uiPriority w:val="11"/>
    <w:qFormat/>
    <w:pPr>
      <w:spacing w:before="200" w:after="200"/>
    </w:pPr>
    <w:rPr>
      <w:sz w:val="24"/>
      <w:szCs w:val="24"/>
    </w:rPr>
  </w:style>
  <w:style w:type="paragraph" w:styleId="877">
    <w:name w:val="footnote text"/>
    <w:basedOn w:val="841"/>
    <w:link w:val="1035"/>
    <w:uiPriority w:val="99"/>
    <w:semiHidden/>
    <w:unhideWhenUsed/>
    <w:qFormat/>
    <w:pPr>
      <w:spacing w:after="40"/>
    </w:pPr>
    <w:rPr>
      <w:sz w:val="18"/>
    </w:rPr>
  </w:style>
  <w:style w:type="paragraph" w:styleId="878">
    <w:name w:val="toc 6"/>
    <w:basedOn w:val="841"/>
    <w:next w:val="841"/>
    <w:uiPriority w:val="39"/>
    <w:unhideWhenUsed/>
    <w:qFormat/>
    <w:pPr>
      <w:ind w:left="1417"/>
      <w:spacing w:after="57"/>
    </w:pPr>
  </w:style>
  <w:style w:type="paragraph" w:styleId="879">
    <w:name w:val="table of figures"/>
    <w:basedOn w:val="841"/>
    <w:next w:val="841"/>
    <w:uiPriority w:val="99"/>
    <w:unhideWhenUsed/>
    <w:qFormat/>
  </w:style>
  <w:style w:type="paragraph" w:styleId="880">
    <w:name w:val="toc 2"/>
    <w:basedOn w:val="841"/>
    <w:next w:val="841"/>
    <w:uiPriority w:val="39"/>
    <w:unhideWhenUsed/>
    <w:qFormat/>
    <w:pPr>
      <w:ind w:left="283"/>
      <w:spacing w:after="57"/>
    </w:pPr>
  </w:style>
  <w:style w:type="paragraph" w:styleId="881">
    <w:name w:val="Normal (Web)"/>
    <w:basedOn w:val="841"/>
    <w:uiPriority w:val="99"/>
    <w:semiHidden/>
    <w:unhideWhenUsed/>
    <w:qFormat/>
    <w:rPr>
      <w:sz w:val="24"/>
      <w:szCs w:val="24"/>
    </w:rPr>
  </w:style>
  <w:style w:type="paragraph" w:styleId="882">
    <w:name w:val="Title"/>
    <w:basedOn w:val="841"/>
    <w:next w:val="841"/>
    <w:link w:val="901"/>
    <w:uiPriority w:val="10"/>
    <w:qFormat/>
    <w:pPr>
      <w:contextualSpacing/>
      <w:spacing w:before="300" w:after="200"/>
    </w:pPr>
    <w:rPr>
      <w:sz w:val="48"/>
      <w:szCs w:val="48"/>
    </w:rPr>
  </w:style>
  <w:style w:type="paragraph" w:styleId="883">
    <w:name w:val="annotation subject"/>
    <w:basedOn w:val="863"/>
    <w:next w:val="863"/>
    <w:link w:val="1167"/>
    <w:uiPriority w:val="99"/>
    <w:semiHidden/>
    <w:unhideWhenUsed/>
    <w:qFormat/>
    <w:rPr>
      <w:b/>
      <w:bCs/>
    </w:rPr>
  </w:style>
  <w:style w:type="paragraph" w:styleId="884">
    <w:name w:val="Body Text First Indent 2"/>
    <w:basedOn w:val="865"/>
    <w:uiPriority w:val="0"/>
    <w:qFormat/>
    <w:pPr>
      <w:ind w:firstLine="420"/>
      <w:spacing w:before="100" w:beforeAutospacing="1"/>
    </w:pPr>
    <w:rPr>
      <w:sz w:val="20"/>
      <w:szCs w:val="21"/>
    </w:r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annotation reference"/>
    <w:basedOn w:val="851"/>
    <w:uiPriority w:val="99"/>
    <w:semiHidden/>
    <w:unhideWhenUsed/>
    <w:qFormat/>
    <w:rPr>
      <w:sz w:val="21"/>
      <w:szCs w:val="21"/>
    </w:rPr>
  </w:style>
  <w:style w:type="character" w:styleId="889">
    <w:name w:val="footnote reference"/>
    <w:uiPriority w:val="99"/>
    <w:unhideWhenUsed/>
    <w:qFormat/>
    <w:rPr>
      <w:vertAlign w:val="superscript"/>
    </w:rPr>
  </w:style>
  <w:style w:type="character" w:styleId="890" w:customStyle="1">
    <w:name w:val="标题 1 字符"/>
    <w:link w:val="842"/>
    <w:uiPriority w:val="9"/>
    <w:qFormat/>
    <w:rPr>
      <w:rFonts w:ascii="Arial" w:hAnsi="Arial" w:eastAsia="Arial" w:cs="Arial"/>
      <w:sz w:val="40"/>
      <w:szCs w:val="40"/>
    </w:rPr>
  </w:style>
  <w:style w:type="character" w:styleId="891" w:customStyle="1">
    <w:name w:val="标题 2 字符"/>
    <w:link w:val="843"/>
    <w:uiPriority w:val="9"/>
    <w:qFormat/>
    <w:rPr>
      <w:rFonts w:ascii="Arial" w:hAnsi="Arial" w:eastAsia="Arial" w:cs="Arial"/>
      <w:b/>
      <w:sz w:val="34"/>
      <w:szCs w:val="22"/>
    </w:rPr>
  </w:style>
  <w:style w:type="character" w:styleId="892" w:customStyle="1">
    <w:name w:val="标题 3 字符"/>
    <w:link w:val="844"/>
    <w:uiPriority w:val="9"/>
    <w:qFormat/>
    <w:rPr>
      <w:rFonts w:ascii="Arial" w:hAnsi="Arial" w:eastAsia="Arial" w:cs="Arial"/>
      <w:sz w:val="30"/>
      <w:szCs w:val="30"/>
    </w:rPr>
  </w:style>
  <w:style w:type="character" w:styleId="893" w:customStyle="1">
    <w:name w:val="标题 4 字符"/>
    <w:link w:val="845"/>
    <w:uiPriority w:val="9"/>
    <w:qFormat/>
    <w:rPr>
      <w:rFonts w:ascii="Arial" w:hAnsi="Arial" w:eastAsia="Arial" w:cs="Arial"/>
      <w:b/>
      <w:bCs/>
      <w:sz w:val="26"/>
      <w:szCs w:val="26"/>
    </w:rPr>
  </w:style>
  <w:style w:type="character" w:styleId="894" w:customStyle="1">
    <w:name w:val="标题 5 字符"/>
    <w:link w:val="846"/>
    <w:uiPriority w:val="9"/>
    <w:qFormat/>
    <w:rPr>
      <w:rFonts w:ascii="Arial" w:hAnsi="Arial" w:eastAsia="Arial" w:cs="Arial"/>
      <w:b/>
      <w:bCs/>
      <w:sz w:val="24"/>
      <w:szCs w:val="24"/>
    </w:rPr>
  </w:style>
  <w:style w:type="character" w:styleId="895" w:customStyle="1">
    <w:name w:val="标题 6 字符"/>
    <w:link w:val="847"/>
    <w:uiPriority w:val="9"/>
    <w:qFormat/>
    <w:rPr>
      <w:rFonts w:ascii="Arial" w:hAnsi="Arial" w:eastAsia="Arial" w:cs="Arial"/>
      <w:b/>
      <w:bCs/>
      <w:sz w:val="22"/>
      <w:szCs w:val="22"/>
    </w:rPr>
  </w:style>
  <w:style w:type="character" w:styleId="896" w:customStyle="1">
    <w:name w:val="标题 7 字符"/>
    <w:link w:val="848"/>
    <w:uiPriority w:val="9"/>
    <w:qFormat/>
    <w:rPr>
      <w:rFonts w:ascii="Arial" w:hAnsi="Arial" w:eastAsia="Arial" w:cs="Arial"/>
      <w:b/>
      <w:bCs/>
      <w:i/>
      <w:iCs/>
      <w:sz w:val="22"/>
      <w:szCs w:val="22"/>
    </w:rPr>
  </w:style>
  <w:style w:type="character" w:styleId="897" w:customStyle="1">
    <w:name w:val="标题 8 字符"/>
    <w:link w:val="849"/>
    <w:uiPriority w:val="9"/>
    <w:qFormat/>
    <w:rPr>
      <w:rFonts w:ascii="Arial" w:hAnsi="Arial" w:eastAsia="Arial" w:cs="Arial"/>
      <w:i/>
      <w:iCs/>
      <w:sz w:val="22"/>
      <w:szCs w:val="22"/>
    </w:rPr>
  </w:style>
  <w:style w:type="character" w:styleId="898" w:customStyle="1">
    <w:name w:val="标题 9 字符"/>
    <w:link w:val="850"/>
    <w:uiPriority w:val="9"/>
    <w:qFormat/>
    <w:rPr>
      <w:rFonts w:ascii="Arial" w:hAnsi="Arial" w:eastAsia="Arial" w:cs="Arial"/>
      <w:i/>
      <w:iCs/>
      <w:sz w:val="21"/>
      <w:szCs w:val="21"/>
    </w:rPr>
  </w:style>
  <w:style w:type="paragraph" w:styleId="899">
    <w:name w:val="List Paragraph"/>
    <w:basedOn w:val="841"/>
    <w:uiPriority w:val="34"/>
    <w:qFormat/>
    <w:pPr>
      <w:contextualSpacing/>
      <w:ind w:left="720"/>
    </w:pPr>
  </w:style>
  <w:style w:type="paragraph" w:styleId="900">
    <w:name w:val="No Spacing"/>
    <w:uiPriority w:val="1"/>
    <w:qFormat/>
    <w:rPr>
      <w:rFonts w:ascii="Times New Roman" w:hAnsi="Times New Roman" w:eastAsia="宋体" w:cs="Times New Roman"/>
      <w:lang w:val="en-US" w:eastAsia="zh-CN" w:bidi="ar-SA"/>
    </w:rPr>
  </w:style>
  <w:style w:type="character" w:styleId="901" w:customStyle="1">
    <w:name w:val="标题 字符"/>
    <w:link w:val="882"/>
    <w:uiPriority w:val="10"/>
    <w:qFormat/>
    <w:rPr>
      <w:sz w:val="48"/>
      <w:szCs w:val="48"/>
    </w:rPr>
  </w:style>
  <w:style w:type="character" w:styleId="902" w:customStyle="1">
    <w:name w:val="副标题 字符"/>
    <w:link w:val="876"/>
    <w:uiPriority w:val="11"/>
    <w:qFormat/>
    <w:rPr>
      <w:sz w:val="24"/>
      <w:szCs w:val="24"/>
    </w:rPr>
  </w:style>
  <w:style w:type="paragraph" w:styleId="903">
    <w:name w:val="Quote"/>
    <w:basedOn w:val="841"/>
    <w:next w:val="841"/>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41"/>
    <w:next w:val="84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页眉 字符"/>
    <w:link w:val="873"/>
    <w:uiPriority w:val="99"/>
    <w:qFormat/>
  </w:style>
  <w:style w:type="character" w:styleId="908" w:customStyle="1">
    <w:name w:val="Footer Char"/>
    <w:uiPriority w:val="99"/>
    <w:qFormat/>
  </w:style>
  <w:style w:type="character" w:styleId="909" w:customStyle="1">
    <w:name w:val="页脚 字符"/>
    <w:link w:val="872"/>
    <w:uiPriority w:val="99"/>
    <w:qFormat/>
  </w:style>
  <w:style w:type="table" w:styleId="9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脚注文本 字符"/>
    <w:link w:val="877"/>
    <w:uiPriority w:val="99"/>
    <w:qFormat/>
    <w:rPr>
      <w:sz w:val="18"/>
    </w:rPr>
  </w:style>
  <w:style w:type="character" w:styleId="1036" w:customStyle="1">
    <w:name w:val="尾注文本 字符"/>
    <w:link w:val="871"/>
    <w:uiPriority w:val="99"/>
    <w:qFormat/>
    <w:rPr>
      <w:sz w:val="20"/>
    </w:rPr>
  </w:style>
  <w:style w:type="paragraph" w:styleId="1037" w:customStyle="1">
    <w:name w:val="TOC 标题1"/>
    <w:uiPriority w:val="39"/>
    <w:unhideWhenUsed/>
    <w:qFormat/>
    <w:rPr>
      <w:rFonts w:ascii="Times New Roman" w:hAnsi="Times New Roman" w:eastAsia="宋体" w:cs="Times New Roman"/>
      <w:lang w:val="en-US" w:eastAsia="zh-CN" w:bidi="ar-SA"/>
    </w:rPr>
  </w:style>
  <w:style w:type="paragraph" w:styleId="1038" w:customStyle="1">
    <w:name w:val="标题 11"/>
    <w:basedOn w:val="841"/>
    <w:next w:val="841"/>
    <w:link w:val="1054"/>
    <w:uiPriority w:val="0"/>
    <w:qFormat/>
    <w:pPr>
      <w:jc w:val="center"/>
      <w:keepNext/>
      <w:outlineLvl w:val="0"/>
    </w:pPr>
    <w:rPr>
      <w:rFonts w:ascii="方正楷体_GB2312" w:eastAsia="方正楷体_GB2312"/>
      <w:sz w:val="28"/>
      <w:szCs w:val="28"/>
      <w:lang w:eastAsia="en-US"/>
    </w:rPr>
  </w:style>
  <w:style w:type="paragraph" w:styleId="1039" w:customStyle="1">
    <w:name w:val="标题 21"/>
    <w:basedOn w:val="841"/>
    <w:next w:val="1040"/>
    <w:link w:val="105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0" w:customStyle="1">
    <w:name w:val="正文缩进1"/>
    <w:basedOn w:val="841"/>
    <w:link w:val="1056"/>
    <w:uiPriority w:val="0"/>
    <w:qFormat/>
    <w:pPr>
      <w:ind w:firstLine="420"/>
    </w:pPr>
    <w:rPr>
      <w:sz w:val="20"/>
      <w:szCs w:val="21"/>
      <w:lang w:eastAsia="en-US"/>
    </w:rPr>
  </w:style>
  <w:style w:type="paragraph" w:styleId="1041" w:customStyle="1">
    <w:name w:val="标题 31"/>
    <w:basedOn w:val="841"/>
    <w:next w:val="841"/>
    <w:link w:val="1057"/>
    <w:uiPriority w:val="0"/>
    <w:qFormat/>
    <w:pPr>
      <w:keepLines/>
      <w:keepNext/>
      <w:spacing w:before="260" w:after="260" w:line="416" w:lineRule="auto"/>
      <w:outlineLvl w:val="2"/>
    </w:pPr>
    <w:rPr>
      <w:b/>
      <w:bCs/>
      <w:sz w:val="32"/>
      <w:szCs w:val="32"/>
      <w:lang w:eastAsia="en-US"/>
    </w:rPr>
  </w:style>
  <w:style w:type="paragraph" w:styleId="1042" w:customStyle="1">
    <w:name w:val="标题 41"/>
    <w:basedOn w:val="841"/>
    <w:next w:val="841"/>
    <w:link w:val="1058"/>
    <w:uiPriority w:val="0"/>
    <w:qFormat/>
    <w:pPr>
      <w:keepLines/>
      <w:keepNext/>
      <w:spacing w:before="280" w:after="290" w:line="376" w:lineRule="auto"/>
      <w:outlineLvl w:val="3"/>
    </w:pPr>
    <w:rPr>
      <w:rFonts w:ascii="Arial" w:hAnsi="Arial" w:eastAsia="黑体"/>
      <w:b/>
      <w:bCs/>
      <w:sz w:val="28"/>
      <w:szCs w:val="28"/>
      <w:lang w:eastAsia="en-US"/>
    </w:rPr>
  </w:style>
  <w:style w:type="paragraph" w:styleId="1043" w:customStyle="1">
    <w:name w:val="标题 51"/>
    <w:basedOn w:val="841"/>
    <w:next w:val="1040"/>
    <w:link w:val="1059"/>
    <w:uiPriority w:val="0"/>
    <w:qFormat/>
    <w:pPr>
      <w:keepNext/>
      <w:outlineLvl w:val="4"/>
    </w:pPr>
    <w:rPr>
      <w:rFonts w:ascii="宋体"/>
      <w:color w:val="000000"/>
      <w:sz w:val="28"/>
      <w:szCs w:val="28"/>
      <w:lang w:eastAsia="en-US"/>
    </w:rPr>
  </w:style>
  <w:style w:type="paragraph" w:styleId="1044" w:customStyle="1">
    <w:name w:val="标题 61"/>
    <w:basedOn w:val="841"/>
    <w:next w:val="841"/>
    <w:link w:val="106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45" w:customStyle="1">
    <w:name w:val="标题 71"/>
    <w:basedOn w:val="841"/>
    <w:next w:val="841"/>
    <w:link w:val="1061"/>
    <w:uiPriority w:val="0"/>
    <w:qFormat/>
    <w:pPr>
      <w:numPr>
        <w:ilvl w:val="6"/>
        <w:numId w:val="1"/>
      </w:numPr>
      <w:keepLines/>
      <w:keepNext/>
      <w:spacing w:before="240" w:after="64" w:line="320" w:lineRule="auto"/>
      <w:outlineLvl w:val="6"/>
    </w:pPr>
    <w:rPr>
      <w:b/>
      <w:bCs/>
      <w:sz w:val="24"/>
      <w:szCs w:val="24"/>
      <w:lang w:eastAsia="en-US"/>
    </w:rPr>
  </w:style>
  <w:style w:type="paragraph" w:styleId="1046" w:customStyle="1">
    <w:name w:val="标题 81"/>
    <w:basedOn w:val="841"/>
    <w:next w:val="841"/>
    <w:link w:val="106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47" w:customStyle="1">
    <w:name w:val="标题 91"/>
    <w:basedOn w:val="841"/>
    <w:next w:val="841"/>
    <w:link w:val="1063"/>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8" w:customStyle="1">
    <w:name w:val="默认段落字体1"/>
    <w:uiPriority w:val="1"/>
    <w:unhideWhenUsed/>
    <w:qFormat/>
  </w:style>
  <w:style w:type="table" w:styleId="1049"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1050" w:customStyle="1">
    <w:name w:val="正文文本11"/>
    <w:basedOn w:val="841"/>
    <w:next w:val="1051"/>
    <w:link w:val="1052"/>
    <w:uiPriority w:val="0"/>
    <w:qFormat/>
    <w:rPr>
      <w:rFonts w:ascii="方正楷体_GB2312" w:hAnsi="Arial" w:eastAsia="方正楷体_GB2312"/>
      <w:sz w:val="28"/>
      <w:szCs w:val="28"/>
    </w:rPr>
  </w:style>
  <w:style w:type="paragraph" w:styleId="1051" w:customStyle="1">
    <w:name w:val="正文文本 211"/>
    <w:basedOn w:val="841"/>
    <w:uiPriority w:val="0"/>
    <w:qFormat/>
    <w:pPr>
      <w:spacing w:after="120" w:line="480" w:lineRule="auto"/>
    </w:pPr>
  </w:style>
  <w:style w:type="character" w:styleId="1052" w:customStyle="1">
    <w:name w:val="正文文本 Char"/>
    <w:link w:val="1050"/>
    <w:uiPriority w:val="0"/>
    <w:qFormat/>
    <w:rPr>
      <w:rFonts w:ascii="方正楷体_GB2312" w:hAnsi="Arial" w:eastAsia="方正楷体_GB2312" w:cs="Times New Roman"/>
      <w:sz w:val="28"/>
      <w:szCs w:val="28"/>
    </w:rPr>
  </w:style>
  <w:style w:type="character" w:styleId="1053" w:customStyle="1">
    <w:name w:val="正文文本 2 Char"/>
    <w:link w:val="855"/>
    <w:uiPriority w:val="0"/>
    <w:qFormat/>
    <w:rPr>
      <w:rFonts w:ascii="方正楷体_GB2312" w:hAnsi="Times New Roman" w:eastAsia="方正楷体_GB2312" w:cs="Times New Roman"/>
      <w:sz w:val="28"/>
      <w:szCs w:val="28"/>
    </w:rPr>
  </w:style>
  <w:style w:type="character" w:styleId="1054" w:customStyle="1">
    <w:name w:val="标题 1 Char"/>
    <w:link w:val="1038"/>
    <w:uiPriority w:val="0"/>
    <w:qFormat/>
    <w:rPr>
      <w:rFonts w:ascii="方正楷体_GB2312" w:hAnsi="Times New Roman" w:eastAsia="方正楷体_GB2312" w:cs="Times New Roman"/>
      <w:sz w:val="28"/>
      <w:szCs w:val="28"/>
    </w:rPr>
  </w:style>
  <w:style w:type="character" w:styleId="1055" w:customStyle="1">
    <w:name w:val="标题 2 Char"/>
    <w:link w:val="1039"/>
    <w:uiPriority w:val="0"/>
    <w:qFormat/>
    <w:rPr>
      <w:rFonts w:ascii="Arial" w:hAnsi="Arial" w:eastAsia="幼圆" w:cs="Arial"/>
      <w:b/>
      <w:bCs/>
      <w:sz w:val="44"/>
      <w:szCs w:val="44"/>
    </w:rPr>
  </w:style>
  <w:style w:type="character" w:styleId="1056" w:customStyle="1">
    <w:name w:val="正文缩进 Char"/>
    <w:link w:val="1040"/>
    <w:uiPriority w:val="0"/>
    <w:qFormat/>
    <w:rPr>
      <w:szCs w:val="21"/>
    </w:rPr>
  </w:style>
  <w:style w:type="character" w:styleId="1057" w:customStyle="1">
    <w:name w:val="标题 3 Char"/>
    <w:link w:val="1041"/>
    <w:uiPriority w:val="0"/>
    <w:qFormat/>
    <w:rPr>
      <w:rFonts w:ascii="Times New Roman" w:hAnsi="Times New Roman" w:eastAsia="宋体" w:cs="Times New Roman"/>
      <w:b/>
      <w:bCs/>
      <w:sz w:val="32"/>
      <w:szCs w:val="32"/>
    </w:rPr>
  </w:style>
  <w:style w:type="character" w:styleId="1058" w:customStyle="1">
    <w:name w:val="标题 4 Char"/>
    <w:link w:val="1042"/>
    <w:uiPriority w:val="0"/>
    <w:qFormat/>
    <w:rPr>
      <w:rFonts w:ascii="Arial" w:hAnsi="Arial" w:eastAsia="黑体" w:cs="Arial"/>
      <w:b/>
      <w:bCs/>
      <w:sz w:val="28"/>
      <w:szCs w:val="28"/>
    </w:rPr>
  </w:style>
  <w:style w:type="character" w:styleId="1059" w:customStyle="1">
    <w:name w:val="标题 5 Char"/>
    <w:link w:val="1043"/>
    <w:uiPriority w:val="0"/>
    <w:qFormat/>
    <w:rPr>
      <w:rFonts w:ascii="宋体" w:hAnsi="Times New Roman" w:eastAsia="宋体" w:cs="Times New Roman"/>
      <w:color w:val="000000"/>
      <w:sz w:val="28"/>
      <w:szCs w:val="28"/>
    </w:rPr>
  </w:style>
  <w:style w:type="character" w:styleId="1060" w:customStyle="1">
    <w:name w:val="标题 6 Char"/>
    <w:link w:val="1044"/>
    <w:uiPriority w:val="0"/>
    <w:qFormat/>
    <w:rPr>
      <w:rFonts w:ascii="Arial" w:hAnsi="Arial" w:eastAsia="黑体" w:cs="Times New Roman"/>
      <w:b/>
      <w:bCs/>
      <w:sz w:val="24"/>
      <w:szCs w:val="24"/>
    </w:rPr>
  </w:style>
  <w:style w:type="character" w:styleId="1061" w:customStyle="1">
    <w:name w:val="标题 7 Char"/>
    <w:link w:val="1045"/>
    <w:uiPriority w:val="0"/>
    <w:qFormat/>
    <w:rPr>
      <w:rFonts w:ascii="Times New Roman" w:hAnsi="Times New Roman" w:eastAsia="宋体" w:cs="Times New Roman"/>
      <w:b/>
      <w:bCs/>
      <w:sz w:val="24"/>
      <w:szCs w:val="24"/>
    </w:rPr>
  </w:style>
  <w:style w:type="character" w:styleId="1062" w:customStyle="1">
    <w:name w:val="标题 8 Char"/>
    <w:link w:val="1046"/>
    <w:uiPriority w:val="0"/>
    <w:qFormat/>
    <w:rPr>
      <w:rFonts w:ascii="Arial" w:hAnsi="Arial" w:eastAsia="黑体" w:cs="Times New Roman"/>
      <w:sz w:val="24"/>
      <w:szCs w:val="24"/>
    </w:rPr>
  </w:style>
  <w:style w:type="character" w:styleId="1063" w:customStyle="1">
    <w:name w:val="标题 9 Char"/>
    <w:link w:val="1047"/>
    <w:uiPriority w:val="0"/>
    <w:qFormat/>
    <w:rPr>
      <w:rFonts w:ascii="Arial" w:hAnsi="Arial" w:eastAsia="黑体" w:cs="Times New Roman"/>
      <w:szCs w:val="21"/>
    </w:rPr>
  </w:style>
  <w:style w:type="paragraph" w:styleId="1064" w:customStyle="1">
    <w:name w:val="列表 31"/>
    <w:basedOn w:val="841"/>
    <w:uiPriority w:val="0"/>
    <w:qFormat/>
    <w:pPr>
      <w:ind w:left="100" w:hanging="200"/>
    </w:pPr>
    <w:rPr>
      <w:szCs w:val="21"/>
    </w:rPr>
  </w:style>
  <w:style w:type="paragraph" w:styleId="1065" w:customStyle="1">
    <w:name w:val="目录 71"/>
    <w:basedOn w:val="841"/>
    <w:next w:val="841"/>
    <w:uiPriority w:val="0"/>
    <w:semiHidden/>
    <w:qFormat/>
    <w:pPr>
      <w:ind w:left="1260"/>
      <w:jc w:val="left"/>
    </w:pPr>
    <w:rPr>
      <w:szCs w:val="21"/>
    </w:rPr>
  </w:style>
  <w:style w:type="paragraph" w:styleId="1066" w:customStyle="1">
    <w:name w:val="文档结构图1"/>
    <w:basedOn w:val="841"/>
    <w:link w:val="1067"/>
    <w:uiPriority w:val="0"/>
    <w:semiHidden/>
    <w:qFormat/>
    <w:pPr>
      <w:shd w:val="clear" w:color="auto" w:fill="000080"/>
    </w:pPr>
    <w:rPr>
      <w:sz w:val="20"/>
      <w:szCs w:val="21"/>
      <w:lang w:eastAsia="en-US"/>
    </w:rPr>
  </w:style>
  <w:style w:type="character" w:styleId="1067" w:customStyle="1">
    <w:name w:val="文档结构图 Char"/>
    <w:link w:val="1066"/>
    <w:uiPriority w:val="0"/>
    <w:semiHidden/>
    <w:qFormat/>
    <w:rPr>
      <w:rFonts w:ascii="Times New Roman" w:hAnsi="Times New Roman" w:eastAsia="宋体" w:cs="Times New Roman"/>
      <w:szCs w:val="21"/>
      <w:shd w:val="clear" w:color="auto" w:fill="000080"/>
    </w:rPr>
  </w:style>
  <w:style w:type="paragraph" w:styleId="1068" w:customStyle="1">
    <w:name w:val="批注文字1"/>
    <w:basedOn w:val="841"/>
    <w:link w:val="1069"/>
    <w:uiPriority w:val="99"/>
    <w:unhideWhenUsed/>
    <w:qFormat/>
    <w:pPr>
      <w:jc w:val="left"/>
    </w:pPr>
  </w:style>
  <w:style w:type="character" w:styleId="1069" w:customStyle="1">
    <w:name w:val="批注文字 Char"/>
    <w:link w:val="1068"/>
    <w:uiPriority w:val="99"/>
    <w:semiHidden/>
    <w:qFormat/>
  </w:style>
  <w:style w:type="paragraph" w:styleId="1070" w:customStyle="1">
    <w:name w:val="正文文本 31"/>
    <w:basedOn w:val="841"/>
    <w:link w:val="1071"/>
    <w:uiPriority w:val="0"/>
    <w:qFormat/>
    <w:rPr>
      <w:rFonts w:ascii="方正仿宋_GB2312" w:hAnsi="Arial" w:eastAsia="方正仿宋_GB2312"/>
      <w:sz w:val="32"/>
      <w:szCs w:val="32"/>
      <w:lang w:eastAsia="en-US"/>
    </w:rPr>
  </w:style>
  <w:style w:type="character" w:styleId="1071" w:customStyle="1">
    <w:name w:val="正文文本 3 Char"/>
    <w:link w:val="1070"/>
    <w:uiPriority w:val="0"/>
    <w:qFormat/>
    <w:rPr>
      <w:rFonts w:ascii="方正仿宋_GB2312" w:hAnsi="Arial" w:eastAsia="方正仿宋_GB2312" w:cs="Times New Roman"/>
      <w:sz w:val="32"/>
      <w:szCs w:val="32"/>
    </w:rPr>
  </w:style>
  <w:style w:type="paragraph" w:styleId="1072" w:customStyle="1">
    <w:name w:val="正文文本缩进1"/>
    <w:basedOn w:val="841"/>
    <w:next w:val="1073"/>
    <w:link w:val="1074"/>
    <w:uiPriority w:val="99"/>
    <w:unhideWhenUsed/>
    <w:qFormat/>
    <w:pPr>
      <w:ind w:left="420"/>
      <w:spacing w:after="120"/>
    </w:pPr>
  </w:style>
  <w:style w:type="paragraph" w:styleId="1073" w:customStyle="1">
    <w:name w:val="寄信人地址1"/>
    <w:basedOn w:val="841"/>
    <w:uiPriority w:val="0"/>
    <w:qFormat/>
    <w:rPr>
      <w:rFonts w:ascii="Arial" w:hAnsi="Arial"/>
    </w:rPr>
  </w:style>
  <w:style w:type="character" w:styleId="1074" w:customStyle="1">
    <w:name w:val="正文文本缩进 Char"/>
    <w:link w:val="1072"/>
    <w:uiPriority w:val="99"/>
    <w:semiHidden/>
    <w:qFormat/>
  </w:style>
  <w:style w:type="paragraph" w:styleId="1075" w:customStyle="1">
    <w:name w:val="列表 21"/>
    <w:basedOn w:val="841"/>
    <w:uiPriority w:val="0"/>
    <w:qFormat/>
    <w:pPr>
      <w:ind w:left="100" w:hanging="200"/>
    </w:pPr>
    <w:rPr>
      <w:szCs w:val="21"/>
    </w:rPr>
  </w:style>
  <w:style w:type="paragraph" w:styleId="1076" w:customStyle="1">
    <w:name w:val="列表项目符号 21"/>
    <w:basedOn w:val="841"/>
    <w:uiPriority w:val="99"/>
    <w:unhideWhenUsed/>
    <w:qFormat/>
    <w:pPr>
      <w:numPr>
        <w:ilvl w:val="0"/>
        <w:numId w:val="2"/>
      </w:numPr>
    </w:pPr>
  </w:style>
  <w:style w:type="paragraph" w:styleId="1077" w:customStyle="1">
    <w:name w:val="目录 51"/>
    <w:basedOn w:val="841"/>
    <w:next w:val="841"/>
    <w:uiPriority w:val="0"/>
    <w:semiHidden/>
    <w:qFormat/>
    <w:pPr>
      <w:ind w:left="840"/>
      <w:jc w:val="left"/>
    </w:pPr>
    <w:rPr>
      <w:szCs w:val="21"/>
    </w:rPr>
  </w:style>
  <w:style w:type="paragraph" w:styleId="1078" w:customStyle="1">
    <w:name w:val="目录 31"/>
    <w:basedOn w:val="841"/>
    <w:next w:val="841"/>
    <w:uiPriority w:val="0"/>
    <w:semiHidden/>
    <w:qFormat/>
    <w:pPr>
      <w:ind w:left="420"/>
      <w:jc w:val="left"/>
    </w:pPr>
    <w:rPr>
      <w:i/>
      <w:iCs/>
      <w:szCs w:val="24"/>
    </w:rPr>
  </w:style>
  <w:style w:type="paragraph" w:styleId="1079" w:customStyle="1">
    <w:name w:val="纯文本11"/>
    <w:basedOn w:val="841"/>
    <w:link w:val="1080"/>
    <w:uiPriority w:val="0"/>
    <w:qFormat/>
    <w:rPr>
      <w:rFonts w:ascii="宋体" w:hAnsi="Courier New"/>
      <w:sz w:val="20"/>
      <w:szCs w:val="21"/>
      <w:lang w:eastAsia="en-US"/>
    </w:rPr>
  </w:style>
  <w:style w:type="character" w:styleId="1080" w:customStyle="1">
    <w:name w:val="纯文本 Char"/>
    <w:link w:val="1079"/>
    <w:uiPriority w:val="0"/>
    <w:qFormat/>
    <w:rPr>
      <w:rFonts w:ascii="宋体" w:hAnsi="Courier New" w:eastAsia="宋体" w:cs="Courier New"/>
      <w:szCs w:val="21"/>
    </w:rPr>
  </w:style>
  <w:style w:type="paragraph" w:styleId="1081" w:customStyle="1">
    <w:name w:val="目录 81"/>
    <w:basedOn w:val="841"/>
    <w:next w:val="841"/>
    <w:uiPriority w:val="0"/>
    <w:semiHidden/>
    <w:qFormat/>
    <w:pPr>
      <w:ind w:left="1470"/>
      <w:jc w:val="left"/>
    </w:pPr>
    <w:rPr>
      <w:szCs w:val="21"/>
    </w:rPr>
  </w:style>
  <w:style w:type="paragraph" w:styleId="1082" w:customStyle="1">
    <w:name w:val="日期1"/>
    <w:basedOn w:val="841"/>
    <w:next w:val="841"/>
    <w:link w:val="1083"/>
    <w:uiPriority w:val="0"/>
    <w:qFormat/>
    <w:rPr>
      <w:sz w:val="24"/>
      <w:szCs w:val="24"/>
      <w:lang w:eastAsia="en-US"/>
    </w:rPr>
  </w:style>
  <w:style w:type="character" w:styleId="1083" w:customStyle="1">
    <w:name w:val="日期 Char"/>
    <w:link w:val="1082"/>
    <w:uiPriority w:val="0"/>
    <w:qFormat/>
    <w:rPr>
      <w:rFonts w:ascii="Times New Roman" w:hAnsi="Times New Roman" w:eastAsia="宋体" w:cs="Times New Roman"/>
      <w:sz w:val="24"/>
      <w:szCs w:val="24"/>
    </w:rPr>
  </w:style>
  <w:style w:type="paragraph" w:styleId="1084" w:customStyle="1">
    <w:name w:val="正文文本缩进 21"/>
    <w:basedOn w:val="841"/>
    <w:link w:val="1085"/>
    <w:uiPriority w:val="0"/>
    <w:qFormat/>
    <w:pPr>
      <w:ind w:left="630" w:firstLine="645"/>
    </w:pPr>
    <w:rPr>
      <w:rFonts w:ascii="Arial" w:hAnsi="Arial" w:eastAsia="方正仿宋_GB2312"/>
      <w:sz w:val="32"/>
      <w:szCs w:val="32"/>
      <w:lang w:eastAsia="en-US"/>
    </w:rPr>
  </w:style>
  <w:style w:type="character" w:styleId="1085" w:customStyle="1">
    <w:name w:val="正文文本缩进 2 Char"/>
    <w:link w:val="1084"/>
    <w:uiPriority w:val="0"/>
    <w:qFormat/>
    <w:rPr>
      <w:rFonts w:ascii="Arial" w:hAnsi="Arial" w:eastAsia="方正仿宋_GB2312" w:cs="Arial"/>
      <w:sz w:val="32"/>
      <w:szCs w:val="32"/>
    </w:rPr>
  </w:style>
  <w:style w:type="paragraph" w:styleId="1086" w:customStyle="1">
    <w:name w:val="批注框文本1"/>
    <w:basedOn w:val="841"/>
    <w:link w:val="1087"/>
    <w:uiPriority w:val="0"/>
    <w:semiHidden/>
    <w:qFormat/>
    <w:rPr>
      <w:sz w:val="18"/>
      <w:szCs w:val="18"/>
      <w:lang w:eastAsia="en-US"/>
    </w:rPr>
  </w:style>
  <w:style w:type="character" w:styleId="1087" w:customStyle="1">
    <w:name w:val="批注框文本 Char"/>
    <w:link w:val="1086"/>
    <w:uiPriority w:val="0"/>
    <w:semiHidden/>
    <w:qFormat/>
    <w:rPr>
      <w:rFonts w:ascii="Times New Roman" w:hAnsi="Times New Roman" w:eastAsia="宋体" w:cs="Times New Roman"/>
      <w:sz w:val="18"/>
      <w:szCs w:val="18"/>
    </w:rPr>
  </w:style>
  <w:style w:type="paragraph" w:styleId="1088" w:customStyle="1">
    <w:name w:val="页脚1"/>
    <w:basedOn w:val="841"/>
    <w:link w:val="1089"/>
    <w:uiPriority w:val="99"/>
    <w:qFormat/>
    <w:pPr>
      <w:jc w:val="left"/>
      <w:tabs>
        <w:tab w:val="center" w:pos="4153" w:leader="none"/>
        <w:tab w:val="right" w:pos="8306" w:leader="none"/>
      </w:tabs>
    </w:pPr>
    <w:rPr>
      <w:sz w:val="18"/>
      <w:szCs w:val="18"/>
      <w:lang w:eastAsia="en-US"/>
    </w:rPr>
  </w:style>
  <w:style w:type="character" w:styleId="1089" w:customStyle="1">
    <w:name w:val="页脚 Char"/>
    <w:link w:val="1088"/>
    <w:uiPriority w:val="99"/>
    <w:qFormat/>
    <w:rPr>
      <w:rFonts w:ascii="Times New Roman" w:hAnsi="Times New Roman" w:eastAsia="宋体" w:cs="Times New Roman"/>
      <w:sz w:val="18"/>
      <w:szCs w:val="18"/>
    </w:rPr>
  </w:style>
  <w:style w:type="paragraph" w:styleId="1090" w:customStyle="1">
    <w:name w:val="页眉1"/>
    <w:basedOn w:val="841"/>
    <w:link w:val="1091"/>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91" w:customStyle="1">
    <w:name w:val="页眉 Char"/>
    <w:link w:val="1090"/>
    <w:uiPriority w:val="99"/>
    <w:qFormat/>
    <w:rPr>
      <w:rFonts w:ascii="Times New Roman" w:hAnsi="Times New Roman" w:eastAsia="宋体" w:cs="Times New Roman"/>
      <w:sz w:val="18"/>
      <w:szCs w:val="18"/>
    </w:rPr>
  </w:style>
  <w:style w:type="paragraph" w:styleId="1092" w:customStyle="1">
    <w:name w:val="目录 1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1093" w:customStyle="1">
    <w:name w:val="目录 41"/>
    <w:basedOn w:val="841"/>
    <w:next w:val="841"/>
    <w:uiPriority w:val="0"/>
    <w:semiHidden/>
    <w:qFormat/>
    <w:pPr>
      <w:ind w:left="630"/>
      <w:jc w:val="left"/>
    </w:pPr>
    <w:rPr>
      <w:szCs w:val="21"/>
    </w:rPr>
  </w:style>
  <w:style w:type="paragraph" w:styleId="1094" w:customStyle="1">
    <w:name w:val="列表1"/>
    <w:basedOn w:val="841"/>
    <w:uiPriority w:val="0"/>
    <w:qFormat/>
    <w:pPr>
      <w:ind w:left="200" w:hanging="200"/>
    </w:pPr>
    <w:rPr>
      <w:szCs w:val="21"/>
    </w:rPr>
  </w:style>
  <w:style w:type="paragraph" w:styleId="1095" w:customStyle="1">
    <w:name w:val="脚注文本1"/>
    <w:basedOn w:val="841"/>
    <w:uiPriority w:val="99"/>
    <w:unhideWhenUsed/>
    <w:qFormat/>
    <w:pPr>
      <w:jc w:val="left"/>
    </w:pPr>
    <w:rPr>
      <w:sz w:val="18"/>
      <w:szCs w:val="18"/>
    </w:rPr>
  </w:style>
  <w:style w:type="paragraph" w:styleId="1096" w:customStyle="1">
    <w:name w:val="目录 61"/>
    <w:basedOn w:val="841"/>
    <w:next w:val="841"/>
    <w:uiPriority w:val="0"/>
    <w:semiHidden/>
    <w:qFormat/>
    <w:pPr>
      <w:ind w:left="1050"/>
      <w:jc w:val="left"/>
    </w:pPr>
    <w:rPr>
      <w:szCs w:val="21"/>
    </w:rPr>
  </w:style>
  <w:style w:type="paragraph" w:styleId="1097" w:customStyle="1">
    <w:name w:val="正文文本缩进 31"/>
    <w:basedOn w:val="841"/>
    <w:link w:val="1098"/>
    <w:uiPriority w:val="0"/>
    <w:qFormat/>
    <w:pPr>
      <w:ind w:left="645" w:firstLine="645"/>
    </w:pPr>
    <w:rPr>
      <w:rFonts w:ascii="Arial" w:hAnsi="Arial" w:eastAsia="方正仿宋_GB2312"/>
      <w:color w:val="ffff00"/>
      <w:sz w:val="32"/>
      <w:szCs w:val="32"/>
      <w:lang w:eastAsia="en-US"/>
    </w:rPr>
  </w:style>
  <w:style w:type="character" w:styleId="1098" w:customStyle="1">
    <w:name w:val="正文文本缩进 3 Char"/>
    <w:link w:val="1097"/>
    <w:uiPriority w:val="0"/>
    <w:qFormat/>
    <w:rPr>
      <w:rFonts w:ascii="Arial" w:hAnsi="Arial" w:eastAsia="方正仿宋_GB2312" w:cs="Arial"/>
      <w:color w:val="ffff00"/>
      <w:sz w:val="32"/>
      <w:szCs w:val="32"/>
    </w:rPr>
  </w:style>
  <w:style w:type="paragraph" w:styleId="1099" w:customStyle="1">
    <w:name w:val="图表目录1"/>
    <w:basedOn w:val="841"/>
    <w:next w:val="841"/>
    <w:uiPriority w:val="0"/>
    <w:semiHidden/>
    <w:qFormat/>
    <w:pPr>
      <w:ind w:left="840" w:hanging="420"/>
    </w:pPr>
    <w:rPr>
      <w:szCs w:val="21"/>
    </w:rPr>
  </w:style>
  <w:style w:type="paragraph" w:styleId="1100" w:customStyle="1">
    <w:name w:val="目录 21"/>
    <w:basedOn w:val="841"/>
    <w:next w:val="841"/>
    <w:uiPriority w:val="0"/>
    <w:semiHidden/>
    <w:qFormat/>
    <w:pPr>
      <w:ind w:left="210"/>
      <w:jc w:val="left"/>
    </w:pPr>
    <w:rPr>
      <w:smallCaps/>
      <w:szCs w:val="24"/>
    </w:rPr>
  </w:style>
  <w:style w:type="paragraph" w:styleId="1101" w:customStyle="1">
    <w:name w:val="目录 91"/>
    <w:basedOn w:val="841"/>
    <w:next w:val="841"/>
    <w:uiPriority w:val="0"/>
    <w:semiHidden/>
    <w:qFormat/>
    <w:pPr>
      <w:ind w:left="1680"/>
      <w:jc w:val="left"/>
    </w:pPr>
    <w:rPr>
      <w:szCs w:val="21"/>
    </w:rPr>
  </w:style>
  <w:style w:type="paragraph" w:styleId="1102" w:customStyle="1">
    <w:name w:val="普通(网站)1"/>
    <w:basedOn w:val="841"/>
    <w:uiPriority w:val="99"/>
    <w:qFormat/>
    <w:pPr>
      <w:jc w:val="left"/>
      <w:spacing w:before="100" w:beforeAutospacing="1" w:after="100" w:afterAutospacing="1"/>
      <w:widowControl/>
    </w:pPr>
    <w:rPr>
      <w:rFonts w:ascii="宋体" w:hAnsi="宋体" w:cs="宋体"/>
      <w:sz w:val="24"/>
      <w:szCs w:val="24"/>
    </w:rPr>
  </w:style>
  <w:style w:type="paragraph" w:styleId="1103" w:customStyle="1">
    <w:name w:val="索引 11"/>
    <w:basedOn w:val="841"/>
    <w:next w:val="841"/>
    <w:uiPriority w:val="0"/>
    <w:semiHidden/>
    <w:qFormat/>
    <w:pPr>
      <w:spacing w:line="240" w:lineRule="atLeast"/>
    </w:pPr>
    <w:rPr>
      <w:b/>
      <w:bCs/>
      <w:szCs w:val="21"/>
    </w:rPr>
  </w:style>
  <w:style w:type="paragraph" w:styleId="1104" w:customStyle="1">
    <w:name w:val="批注主题1"/>
    <w:basedOn w:val="1068"/>
    <w:next w:val="1068"/>
    <w:link w:val="1105"/>
    <w:uiPriority w:val="0"/>
    <w:semiHidden/>
    <w:qFormat/>
    <w:rPr>
      <w:b/>
      <w:bCs/>
      <w:sz w:val="20"/>
      <w:szCs w:val="21"/>
      <w:lang w:eastAsia="en-US"/>
    </w:rPr>
  </w:style>
  <w:style w:type="character" w:styleId="1105" w:customStyle="1">
    <w:name w:val="批注主题 Char"/>
    <w:link w:val="1104"/>
    <w:uiPriority w:val="0"/>
    <w:semiHidden/>
    <w:qFormat/>
    <w:rPr>
      <w:rFonts w:ascii="Times New Roman" w:hAnsi="Times New Roman" w:eastAsia="宋体" w:cs="Times New Roman"/>
      <w:b/>
      <w:bCs/>
      <w:szCs w:val="21"/>
    </w:rPr>
  </w:style>
  <w:style w:type="paragraph" w:styleId="1106" w:customStyle="1">
    <w:name w:val="正文首行缩进1"/>
    <w:basedOn w:val="841"/>
    <w:link w:val="1107"/>
    <w:uiPriority w:val="0"/>
    <w:qFormat/>
    <w:pPr>
      <w:ind w:firstLine="200"/>
      <w:spacing w:line="360" w:lineRule="auto"/>
    </w:pPr>
    <w:rPr>
      <w:rFonts w:ascii="方正仿宋_GB2312" w:eastAsia="方正仿宋_GB2312"/>
      <w:sz w:val="30"/>
      <w:szCs w:val="30"/>
      <w:lang w:eastAsia="en-US"/>
    </w:rPr>
  </w:style>
  <w:style w:type="character" w:styleId="1107" w:customStyle="1">
    <w:name w:val="正文首行缩进 Char"/>
    <w:link w:val="1106"/>
    <w:uiPriority w:val="0"/>
    <w:qFormat/>
    <w:rPr>
      <w:rFonts w:ascii="方正仿宋_GB2312" w:hAnsi="Times New Roman" w:eastAsia="方正仿宋_GB2312" w:cs="Times New Roman"/>
      <w:sz w:val="30"/>
      <w:szCs w:val="30"/>
    </w:rPr>
  </w:style>
  <w:style w:type="paragraph" w:styleId="1108" w:customStyle="1">
    <w:name w:val="正文首行缩进 21"/>
    <w:basedOn w:val="1072"/>
    <w:next w:val="841"/>
    <w:link w:val="1109"/>
    <w:uiPriority w:val="0"/>
    <w:qFormat/>
    <w:pPr>
      <w:ind w:left="0" w:firstLine="420"/>
      <w:spacing w:after="0" w:line="360" w:lineRule="auto"/>
    </w:pPr>
    <w:rPr>
      <w:rFonts w:ascii="宋体" w:hAnsi="宋体"/>
      <w:sz w:val="20"/>
      <w:szCs w:val="20"/>
      <w:lang w:eastAsia="en-US"/>
    </w:rPr>
  </w:style>
  <w:style w:type="character" w:styleId="1109" w:customStyle="1">
    <w:name w:val="正文首行缩进 2 Char"/>
    <w:link w:val="1108"/>
    <w:uiPriority w:val="0"/>
    <w:qFormat/>
    <w:rPr>
      <w:rFonts w:ascii="宋体" w:hAnsi="宋体" w:eastAsia="宋体" w:cs="Times New Roman"/>
      <w:szCs w:val="20"/>
    </w:rPr>
  </w:style>
  <w:style w:type="table" w:styleId="1110" w:customStyle="1">
    <w:name w:val="网格型1"/>
    <w:basedOn w:val="1049"/>
    <w:uiPriority w:val="0"/>
    <w:qFormat/>
    <w:pPr>
      <w:jc w:val="both"/>
      <w:widowControl w:val="off"/>
    </w:pPr>
    <w:rPr>
      <w:rFonts w:ascii="Times New Roman" w:hAnsi="Times New Roman"/>
      <w:sz w:val="20"/>
      <w:szCs w:val="20"/>
    </w:rPr>
    <w:tblPr/>
  </w:style>
  <w:style w:type="character" w:styleId="1111" w:customStyle="1">
    <w:name w:val="要点1"/>
    <w:uiPriority w:val="22"/>
    <w:qFormat/>
    <w:rPr>
      <w:b/>
      <w:bCs/>
    </w:rPr>
  </w:style>
  <w:style w:type="character" w:styleId="1112" w:customStyle="1">
    <w:name w:val="页码1"/>
    <w:uiPriority w:val="0"/>
    <w:qFormat/>
  </w:style>
  <w:style w:type="character" w:styleId="1113" w:customStyle="1">
    <w:name w:val="已访问的超链接1"/>
    <w:uiPriority w:val="0"/>
    <w:qFormat/>
    <w:rPr>
      <w:color w:val="800080"/>
      <w:u w:val="single"/>
    </w:rPr>
  </w:style>
  <w:style w:type="character" w:styleId="1114" w:customStyle="1">
    <w:name w:val="超链接1"/>
    <w:uiPriority w:val="0"/>
    <w:qFormat/>
    <w:rPr>
      <w:color w:val="0000ff"/>
      <w:u w:val="single"/>
    </w:rPr>
  </w:style>
  <w:style w:type="character" w:styleId="1115" w:customStyle="1">
    <w:name w:val="批注引用1"/>
    <w:uiPriority w:val="0"/>
    <w:semiHidden/>
    <w:qFormat/>
    <w:rPr>
      <w:sz w:val="21"/>
      <w:szCs w:val="21"/>
    </w:rPr>
  </w:style>
  <w:style w:type="character" w:styleId="1116" w:customStyle="1">
    <w:name w:val="font5 Char"/>
    <w:uiPriority w:val="0"/>
    <w:qFormat/>
    <w:rPr>
      <w:rFonts w:ascii="宋体" w:hAnsi="宋体" w:eastAsia="宋体"/>
      <w:sz w:val="28"/>
      <w:szCs w:val="28"/>
      <w:lang w:val="en-US" w:eastAsia="zh-CN" w:bidi="ar-SA"/>
    </w:rPr>
  </w:style>
  <w:style w:type="character" w:styleId="1117" w:customStyle="1">
    <w:name w:val="二级目录 Char"/>
    <w:link w:val="1118"/>
    <w:uiPriority w:val="0"/>
    <w:qFormat/>
    <w:rPr>
      <w:b/>
      <w:sz w:val="30"/>
      <w:szCs w:val="28"/>
    </w:rPr>
  </w:style>
  <w:style w:type="paragraph" w:styleId="1118" w:customStyle="1">
    <w:name w:val="二级目录"/>
    <w:next w:val="841"/>
    <w:link w:val="111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19" w:customStyle="1">
    <w:name w:val="列出段落 Char"/>
    <w:link w:val="1120"/>
    <w:uiPriority w:val="0"/>
    <w:qFormat/>
    <w:rPr>
      <w:rFonts w:ascii="Calibri" w:hAnsi="Calibri"/>
      <w:sz w:val="24"/>
      <w:szCs w:val="24"/>
      <w:lang w:eastAsia="en-US" w:bidi="en-US"/>
    </w:rPr>
  </w:style>
  <w:style w:type="paragraph" w:styleId="1120" w:customStyle="1">
    <w:name w:val="列出段落1"/>
    <w:basedOn w:val="841"/>
    <w:link w:val="1119"/>
    <w:uiPriority w:val="0"/>
    <w:qFormat/>
    <w:pPr>
      <w:contextualSpacing/>
      <w:ind w:left="720"/>
      <w:jc w:val="left"/>
      <w:widowControl/>
    </w:pPr>
    <w:rPr>
      <w:rFonts w:ascii="Calibri" w:hAnsi="Calibri"/>
      <w:sz w:val="24"/>
      <w:szCs w:val="24"/>
      <w:lang w:eastAsia="en-US" w:bidi="en-US"/>
    </w:rPr>
  </w:style>
  <w:style w:type="paragraph" w:styleId="1121" w:customStyle="1">
    <w:name w:val="Body Text(ch)"/>
    <w:basedOn w:val="841"/>
    <w:next w:val="1050"/>
    <w:uiPriority w:val="0"/>
    <w:qFormat/>
    <w:pPr>
      <w:spacing w:after="120"/>
    </w:pPr>
    <w:rPr>
      <w:rFonts w:ascii="宋体" w:hAnsi="Arial"/>
      <w:bCs/>
      <w:iCs/>
      <w:szCs w:val="24"/>
    </w:rPr>
  </w:style>
  <w:style w:type="paragraph" w:styleId="1122" w:customStyle="1">
    <w:name w:val="xl27"/>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6"/>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w:basedOn w:val="841"/>
    <w:uiPriority w:val="0"/>
    <w:qFormat/>
    <w:pPr>
      <w:ind w:firstLine="200"/>
      <w:tabs>
        <w:tab w:val="left" w:pos="360" w:leader="none"/>
      </w:tabs>
    </w:pPr>
    <w:rPr>
      <w:sz w:val="28"/>
      <w:szCs w:val="30"/>
    </w:rPr>
  </w:style>
  <w:style w:type="paragraph" w:styleId="1125" w:customStyle="1">
    <w:name w:val="Char1"/>
    <w:basedOn w:val="1066"/>
    <w:uiPriority w:val="0"/>
    <w:qFormat/>
    <w:rPr>
      <w:rFonts w:ascii="Tahoma" w:hAnsi="Tahoma"/>
      <w:sz w:val="24"/>
      <w:szCs w:val="24"/>
    </w:rPr>
  </w:style>
  <w:style w:type="paragraph" w:styleId="1126"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1127" w:customStyle="1">
    <w:name w:val="table_lines"/>
    <w:basedOn w:val="841"/>
    <w:uiPriority w:val="0"/>
    <w:qFormat/>
    <w:pPr>
      <w:jc w:val="left"/>
      <w:widowControl/>
    </w:pPr>
    <w:rPr>
      <w:sz w:val="20"/>
      <w:szCs w:val="20"/>
      <w:lang w:val="de-DE" w:eastAsia="de-DE"/>
    </w:rPr>
  </w:style>
  <w:style w:type="paragraph" w:styleId="1128"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129"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Char Char Char Char"/>
    <w:basedOn w:val="1066"/>
    <w:uiPriority w:val="0"/>
    <w:qFormat/>
    <w:pPr>
      <w:spacing w:line="360" w:lineRule="auto"/>
    </w:pPr>
    <w:rPr>
      <w:rFonts w:ascii="Tahoma" w:hAnsi="Tahoma"/>
      <w:sz w:val="24"/>
      <w:szCs w:val="24"/>
    </w:rPr>
  </w:style>
  <w:style w:type="paragraph" w:styleId="1131" w:customStyle="1">
    <w:name w:val="列出段落"/>
    <w:basedOn w:val="841"/>
    <w:uiPriority w:val="0"/>
    <w:qFormat/>
    <w:pPr>
      <w:contextualSpacing/>
      <w:ind w:left="720"/>
      <w:jc w:val="left"/>
      <w:widowControl/>
    </w:pPr>
    <w:rPr>
      <w:rFonts w:ascii="Calibri" w:hAnsi="Calibri"/>
      <w:sz w:val="24"/>
      <w:szCs w:val="24"/>
      <w:lang w:eastAsia="en-US" w:bidi="en-US"/>
    </w:rPr>
  </w:style>
  <w:style w:type="paragraph" w:styleId="1132" w:customStyle="1">
    <w:name w:val="4"/>
    <w:basedOn w:val="841"/>
    <w:next w:val="1097"/>
    <w:uiPriority w:val="0"/>
    <w:qFormat/>
    <w:pPr>
      <w:ind w:firstLine="420"/>
      <w:spacing w:line="360" w:lineRule="auto"/>
    </w:pPr>
    <w:rPr>
      <w:color w:val="ff0000"/>
      <w:sz w:val="24"/>
      <w:szCs w:val="24"/>
    </w:rPr>
  </w:style>
  <w:style w:type="paragraph" w:styleId="1133"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w:basedOn w:val="841"/>
    <w:uiPriority w:val="0"/>
    <w:qFormat/>
    <w:pPr>
      <w:spacing w:line="360" w:lineRule="auto"/>
    </w:pPr>
    <w:rPr>
      <w:sz w:val="24"/>
      <w:szCs w:val="20"/>
    </w:rPr>
  </w:style>
  <w:style w:type="paragraph" w:styleId="1135" w:customStyle="1">
    <w:name w:val="样式1"/>
    <w:basedOn w:val="841"/>
    <w:uiPriority w:val="0"/>
    <w:qFormat/>
    <w:pPr>
      <w:numPr>
        <w:ilvl w:val="0"/>
        <w:numId w:val="4"/>
      </w:numPr>
    </w:pPr>
    <w:rPr>
      <w:rFonts w:ascii="宋体" w:hAnsi="宋体"/>
      <w:szCs w:val="21"/>
    </w:rPr>
  </w:style>
  <w:style w:type="paragraph" w:styleId="1136"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139"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1140" w:customStyle="1">
    <w:name w:val="xl24"/>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8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1143" w:customStyle="1">
    <w:name w:val="xl28"/>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1145"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1066"/>
    <w:uiPriority w:val="0"/>
    <w:qFormat/>
    <w:pPr>
      <w:spacing w:line="360" w:lineRule="auto"/>
    </w:pPr>
    <w:rPr>
      <w:rFonts w:ascii="Tahoma" w:hAnsi="Tahoma"/>
      <w:sz w:val="24"/>
      <w:szCs w:val="24"/>
    </w:rPr>
  </w:style>
  <w:style w:type="paragraph" w:styleId="1147" w:customStyle="1">
    <w:name w:val="table_1stline"/>
    <w:basedOn w:val="841"/>
    <w:uiPriority w:val="0"/>
    <w:qFormat/>
    <w:pPr>
      <w:jc w:val="left"/>
      <w:spacing w:before="120"/>
      <w:widowControl/>
    </w:pPr>
    <w:rPr>
      <w:bCs/>
      <w:sz w:val="20"/>
      <w:szCs w:val="20"/>
      <w:lang w:val="de-DE" w:eastAsia="de-DE"/>
    </w:rPr>
  </w:style>
  <w:style w:type="paragraph" w:styleId="1148"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0" w:customStyle="1">
    <w:name w:val="修订1"/>
    <w:uiPriority w:val="99"/>
    <w:semiHidden/>
    <w:qFormat/>
    <w:rPr>
      <w:rFonts w:ascii="Times New Roman" w:hAnsi="Times New Roman" w:eastAsia="宋体" w:cs="Times New Roman"/>
      <w:sz w:val="21"/>
      <w:szCs w:val="21"/>
      <w:lang w:val="en-US" w:eastAsia="zh-CN" w:bidi="ar-SA"/>
    </w:rPr>
  </w:style>
  <w:style w:type="paragraph" w:styleId="115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52" w:customStyle="1">
    <w:name w:val="正文1"/>
    <w:basedOn w:val="1153"/>
    <w:next w:val="841"/>
    <w:uiPriority w:val="0"/>
    <w:qFormat/>
    <w:pPr>
      <w:jc w:val="left"/>
      <w:spacing w:line="360" w:lineRule="atLeast"/>
    </w:pPr>
    <w:rPr>
      <w:rFonts w:ascii="宋体" w:hAnsi="Calibri"/>
      <w:sz w:val="24"/>
      <w:szCs w:val="20"/>
    </w:rPr>
  </w:style>
  <w:style w:type="paragraph" w:styleId="1153" w:customStyle="1">
    <w:name w:val="正文11"/>
    <w:next w:val="1108"/>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文本1"/>
    <w:basedOn w:val="1152"/>
    <w:next w:val="1155"/>
    <w:uiPriority w:val="0"/>
    <w:qFormat/>
    <w:pPr>
      <w:spacing w:after="120"/>
    </w:pPr>
    <w:rPr>
      <w:lang w:eastAsia="en-US"/>
    </w:rPr>
  </w:style>
  <w:style w:type="paragraph" w:styleId="1155" w:customStyle="1">
    <w:name w:val="一级条标题"/>
    <w:basedOn w:val="1156"/>
    <w:next w:val="11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6" w:customStyle="1">
    <w:name w:val="章标题"/>
    <w:next w:val="84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57" w:customStyle="1">
    <w:name w:val="段"/>
    <w:basedOn w:val="1152"/>
    <w:next w:val="841"/>
    <w:uiPriority w:val="0"/>
    <w:qFormat/>
    <w:pPr>
      <w:ind w:firstLine="200"/>
      <w:widowControl/>
    </w:pPr>
    <w:rPr>
      <w:sz w:val="20"/>
    </w:rPr>
  </w:style>
  <w:style w:type="paragraph" w:styleId="1158" w:customStyle="1">
    <w:name w:val="纯文本1"/>
    <w:basedOn w:val="841"/>
    <w:uiPriority w:val="0"/>
    <w:qFormat/>
    <w:rPr>
      <w:rFonts w:ascii="宋体" w:hAnsi="Courier New" w:eastAsia="方正楷体_GB2312"/>
      <w:sz w:val="28"/>
      <w:szCs w:val="20"/>
    </w:rPr>
  </w:style>
  <w:style w:type="paragraph" w:styleId="1159" w:customStyle="1">
    <w:name w:val="Table Paragraph"/>
    <w:basedOn w:val="841"/>
    <w:uiPriority w:val="1"/>
    <w:qFormat/>
    <w:pPr>
      <w:jc w:val="left"/>
      <w:spacing w:line="360" w:lineRule="auto"/>
    </w:pPr>
    <w:rPr>
      <w:sz w:val="24"/>
    </w:rPr>
  </w:style>
  <w:style w:type="paragraph" w:styleId="1160" w:customStyle="1">
    <w:name w:val="Default"/>
    <w:uiPriority w:val="0"/>
    <w:qFormat/>
    <w:pPr>
      <w:widowControl w:val="off"/>
    </w:pPr>
    <w:rPr>
      <w:rFonts w:ascii="宋体" w:hAnsi="宋体" w:eastAsia="宋体" w:cs="Times New Roman"/>
      <w:color w:val="000000"/>
      <w:sz w:val="24"/>
      <w:szCs w:val="22"/>
      <w:lang w:val="en-US" w:eastAsia="zh-CN" w:bidi="ar-SA"/>
    </w:rPr>
  </w:style>
  <w:style w:type="table" w:styleId="1161" w:customStyle="1">
    <w:name w:val="Table Normal"/>
    <w:uiPriority w:val="2"/>
    <w:qFormat/>
    <w:tblPr>
      <w:tblCellMar>
        <w:left w:w="0" w:type="dxa"/>
        <w:top w:w="0" w:type="dxa"/>
        <w:right w:w="0" w:type="dxa"/>
        <w:bottom w:w="0" w:type="dxa"/>
      </w:tblCellMar>
    </w:tblPr>
  </w:style>
  <w:style w:type="paragraph" w:styleId="1162" w:customStyle="1">
    <w:name w:val="条题"/>
    <w:basedOn w:val="841"/>
    <w:uiPriority w:val="0"/>
    <w:qFormat/>
    <w:pPr>
      <w:numPr>
        <w:ilvl w:val="0"/>
        <w:numId w:val="5"/>
      </w:numPr>
      <w:ind w:right="480"/>
      <w:spacing w:line="420" w:lineRule="exact"/>
      <w:tabs>
        <w:tab w:val="left" w:pos="1080" w:leader="none"/>
      </w:tabs>
    </w:pPr>
    <w:rPr>
      <w:sz w:val="24"/>
      <w:szCs w:val="24"/>
    </w:rPr>
  </w:style>
  <w:style w:type="paragraph" w:styleId="1163" w:customStyle="1">
    <w:name w:val="文档结构图11"/>
    <w:basedOn w:val="841"/>
    <w:next w:val="1164"/>
    <w:uiPriority w:val="0"/>
    <w:semiHidden/>
    <w:qFormat/>
    <w:pPr>
      <w:shd w:val="clear" w:color="auto" w:fill="000080"/>
    </w:pPr>
    <w:rPr>
      <w:lang w:eastAsia="en-US"/>
    </w:rPr>
  </w:style>
  <w:style w:type="paragraph" w:styleId="1164" w:customStyle="1">
    <w:name w:val="文本块1"/>
    <w:basedOn w:val="841"/>
    <w:uiPriority w:val="0"/>
    <w:qFormat/>
    <w:pPr>
      <w:ind w:left="1440" w:right="700"/>
    </w:pPr>
  </w:style>
  <w:style w:type="paragraph" w:styleId="1165" w:customStyle="1">
    <w:name w:val="日期11"/>
    <w:basedOn w:val="841"/>
    <w:next w:val="841"/>
    <w:uiPriority w:val="0"/>
    <w:qFormat/>
    <w:rPr>
      <w:sz w:val="24"/>
      <w:szCs w:val="20"/>
    </w:rPr>
  </w:style>
  <w:style w:type="character" w:styleId="1166" w:customStyle="1">
    <w:name w:val="批注文字 字符"/>
    <w:basedOn w:val="851"/>
    <w:link w:val="863"/>
    <w:uiPriority w:val="99"/>
    <w:qFormat/>
    <w:rPr>
      <w:sz w:val="21"/>
      <w:szCs w:val="22"/>
    </w:rPr>
  </w:style>
  <w:style w:type="character" w:styleId="1167" w:customStyle="1">
    <w:name w:val="批注主题 字符"/>
    <w:basedOn w:val="1166"/>
    <w:link w:val="883"/>
    <w:uiPriority w:val="99"/>
    <w:semiHidden/>
    <w:qFormat/>
    <w:rPr>
      <w:b/>
      <w:bCs/>
      <w:sz w:val="21"/>
      <w:szCs w:val="22"/>
    </w:rPr>
  </w:style>
  <w:style w:type="character" w:styleId="1168" w:customStyle="1">
    <w:name w:val="正文文本 字符"/>
    <w:basedOn w:val="851"/>
    <w:link w:val="864"/>
    <w:uiPriority w:val="0"/>
    <w:qFormat/>
    <w:rPr>
      <w:rFonts w:asciiTheme="minorHAnsi" w:hAnsiTheme="minorHAnsi" w:eastAsiaTheme="minorEastAsia" w:cstheme="minorBidi"/>
      <w:sz w:val="21"/>
      <w:szCs w:val="24"/>
    </w:rPr>
  </w:style>
  <w:style w:type="paragraph" w:styleId="1169" w:customStyle="1">
    <w:name w:val="TOC 标题2"/>
    <w:basedOn w:val="842"/>
    <w:next w:val="841"/>
    <w:uiPriority w:val="39"/>
    <w:unhideWhenUsed/>
    <w:qFormat/>
    <w:pPr>
      <w:jc w:val="left"/>
      <w:spacing w:before="240" w:after="0" w:line="259" w:lineRule="auto"/>
      <w:widowControl/>
      <w:outlineLvl w:val="9"/>
    </w:pPr>
    <w:rPr>
      <w:rFonts w:asciiTheme="majorHAnsi" w:hAnsiTheme="majorHAnsi" w:eastAsiaTheme="majorEastAsia" w:cstheme="majorBidi"/>
      <w:color w:val="376092" w:themeColor="accent1" w:themeShade="BF"/>
      <w:sz w:val="32"/>
      <w:szCs w:val="32"/>
    </w:rPr>
  </w:style>
  <w:style w:type="paragraph" w:styleId="1170" w:customStyle="1">
    <w:name w:val="TOC 标题3"/>
    <w:basedOn w:val="842"/>
    <w:next w:val="841"/>
    <w:uiPriority w:val="39"/>
    <w:unhideWhenUsed/>
    <w:qFormat/>
    <w:pPr>
      <w:jc w:val="left"/>
      <w:spacing w:before="240" w:after="0" w:line="259" w:lineRule="auto"/>
      <w:widowControl/>
      <w:outlineLvl w:val="9"/>
    </w:pPr>
    <w:rPr>
      <w:rFonts w:asciiTheme="majorHAnsi" w:hAnsiTheme="majorHAnsi" w:eastAsiaTheme="majorEastAsia" w:cstheme="majorBidi"/>
      <w:color w:val="376092" w:themeColor="accent1" w:themeShade="BF"/>
      <w:sz w:val="32"/>
      <w:szCs w:val="32"/>
    </w:rPr>
  </w:style>
  <w:style w:type="paragraph" w:styleId="1171"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172" w:customStyle="1">
    <w:name w:val="首行缩进"/>
    <w:basedOn w:val="841"/>
    <w:uiPriority w:val="0"/>
    <w:qFormat/>
    <w:pPr>
      <w:ind w:firstLine="480"/>
    </w:pPr>
    <w:rPr>
      <w:lang w:val="zh-CN"/>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C5A8C49-A28D-42D5-8781-090EFE559C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倪冯海</cp:lastModifiedBy>
  <cp:revision>14</cp:revision>
  <dcterms:created xsi:type="dcterms:W3CDTF">2025-06-27T05:30:00Z</dcterms:created>
  <dcterms:modified xsi:type="dcterms:W3CDTF">2026-10-27T02:26:35Z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eyJoZGlkIjoiZmJlYmNiNzEwZDAzMDA0MjEzMTUwNWJkMjg1YTJkNDgiLCJ1c2VySWQiOiIyMzQ5MDIwNTIifQ==</vt:lpwstr>
  </property>
  <property fmtid="{D5CDD505-2E9C-101B-9397-08002B2CF9AE}" pid="3" name="KSOProductBuildVer">
    <vt:lpwstr>2052-12.1.0.29161</vt:lpwstr>
  </property>
  <property fmtid="{D5CDD505-2E9C-101B-9397-08002B2CF9AE}" pid="4" name="ICV">
    <vt:lpwstr>8EF22969C33F4DABA79117FBE2F03A35_13</vt:lpwstr>
  </property>
</Properties>
</file>