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20"/>
        <w:ind w:firstLine="0"/>
        <w:rPr>
          <w:rFonts w:hint="eastAsia" w:eastAsia="黑体"/>
          <w:b/>
          <w:bCs/>
          <w:color w:val="000000"/>
          <w:sz w:val="84"/>
          <w:highlight w:val="none"/>
        </w:rPr>
      </w:pPr>
      <w:r>
        <w:rPr>
          <w:rFonts w:hint="eastAsia" w:eastAsia="黑体"/>
          <w:b/>
          <w:bCs/>
          <w:color w:val="000000"/>
          <w:sz w:val="84"/>
          <w:highlight w:val="none"/>
        </w:rPr>
      </w:r>
      <w:r/>
    </w:p>
    <w:p>
      <w:pPr>
        <w:pStyle w:val="1420"/>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1420"/>
        <w:ind w:firstLine="0"/>
        <w:jc w:val="center"/>
        <w:rPr>
          <w:rFonts w:hint="eastAsia"/>
          <w:b/>
          <w:bCs/>
          <w:color w:val="000000"/>
          <w:sz w:val="32"/>
          <w:szCs w:val="32"/>
          <w:highlight w:val="none"/>
        </w:rPr>
      </w:pPr>
      <w:r>
        <w:rPr>
          <w:rFonts w:hint="eastAsia"/>
          <w:b/>
          <w:bCs/>
          <w:color w:val="000000"/>
          <w:sz w:val="32"/>
          <w:szCs w:val="32"/>
          <w:highlight w:val="none"/>
        </w:rPr>
      </w:r>
      <w:r/>
    </w:p>
    <w:p>
      <w:pPr>
        <w:pStyle w:val="1420"/>
        <w:ind w:firstLine="0"/>
        <w:jc w:val="center"/>
        <w:rPr>
          <w:rFonts w:hint="eastAsia"/>
          <w:b/>
          <w:bCs/>
          <w:color w:val="000000"/>
          <w:sz w:val="32"/>
          <w:szCs w:val="32"/>
          <w:highlight w:val="none"/>
        </w:rPr>
      </w:pPr>
      <w:r>
        <w:rPr>
          <w:rFonts w:hint="eastAsia"/>
          <w:b/>
          <w:bCs/>
          <w:color w:val="000000"/>
          <w:sz w:val="32"/>
          <w:szCs w:val="32"/>
          <w:highlight w:val="none"/>
        </w:rPr>
      </w:r>
      <w:r/>
    </w:p>
    <w:p>
      <w:pPr>
        <w:pStyle w:val="1420"/>
        <w:ind w:firstLine="0"/>
        <w:jc w:val="center"/>
        <w:rPr>
          <w:rFonts w:hint="eastAsia"/>
          <w:b/>
          <w:bCs/>
          <w:color w:val="000000"/>
          <w:sz w:val="32"/>
          <w:szCs w:val="32"/>
          <w:highlight w:val="none"/>
        </w:rPr>
      </w:pPr>
      <w:r>
        <w:rPr>
          <w:rFonts w:hint="eastAsia"/>
          <w:b/>
          <w:bCs/>
          <w:color w:val="000000"/>
          <w:sz w:val="32"/>
          <w:szCs w:val="32"/>
          <w:highlight w:val="none"/>
        </w:rPr>
        <w:t xml:space="preserve">项目名称：镇江市县域医共体设备更新项目（扬中市县域采购）</w:t>
      </w:r>
      <w:r>
        <w:rPr>
          <w:rFonts w:hint="eastAsia"/>
          <w:b/>
          <w:bCs/>
          <w:color w:val="000000"/>
          <w:sz w:val="32"/>
          <w:szCs w:val="32"/>
          <w:highlight w:val="none"/>
        </w:rPr>
      </w:r>
      <w:r/>
    </w:p>
    <w:p>
      <w:pPr>
        <w:pStyle w:val="1316"/>
        <w:jc w:val="center"/>
        <w:rPr>
          <w:rFonts w:hint="eastAsia" w:eastAsia="宋体"/>
          <w:b/>
          <w:color w:val="000000"/>
          <w:sz w:val="32"/>
          <w:szCs w:val="32"/>
          <w:highlight w:val="none"/>
          <w:lang w:eastAsia="zh-CN"/>
        </w:rPr>
      </w:pPr>
      <w:r>
        <w:rPr>
          <w:rFonts w:hint="eastAsia"/>
          <w:b/>
          <w:bCs/>
          <w:color w:val="000000"/>
          <w:sz w:val="32"/>
          <w:szCs w:val="32"/>
          <w:highlight w:val="none"/>
        </w:rPr>
        <w:t xml:space="preserve">项目编号：</w:t>
      </w:r>
      <w:r>
        <w:rPr>
          <w:rFonts w:hint="eastAsia"/>
          <w:b/>
          <w:bCs/>
          <w:color w:val="000000"/>
          <w:sz w:val="32"/>
          <w:szCs w:val="32"/>
          <w:highlight w:val="none"/>
          <w:lang w:eastAsia="zh-CN"/>
        </w:rPr>
        <w:t xml:space="preserve">JSZC-321182-JJGS-G2026-0018</w:t>
      </w:r>
      <w:r>
        <w:rPr>
          <w:rFonts w:hint="eastAsia" w:eastAsia="宋体"/>
          <w:b/>
          <w:color w:val="000000"/>
          <w:sz w:val="32"/>
          <w:szCs w:val="32"/>
          <w:highlight w:val="none"/>
          <w:lang w:eastAsia="zh-CN"/>
        </w:rPr>
      </w:r>
      <w:r/>
    </w:p>
    <w:p>
      <w:pPr>
        <w:pStyle w:val="1316"/>
        <w:jc w:val="center"/>
        <w:rPr>
          <w:rFonts w:hint="eastAsia"/>
          <w:b/>
          <w:color w:val="000000"/>
          <w:sz w:val="32"/>
          <w:szCs w:val="32"/>
          <w:highlight w:val="none"/>
        </w:rPr>
      </w:pPr>
      <w:r>
        <w:rPr>
          <w:rFonts w:hint="eastAsia"/>
          <w:b/>
          <w:color w:val="000000"/>
          <w:sz w:val="32"/>
          <w:szCs w:val="32"/>
          <w:highlight w:val="none"/>
        </w:rPr>
      </w:r>
      <w:r/>
    </w:p>
    <w:p>
      <w:pPr>
        <w:pStyle w:val="1316"/>
        <w:jc w:val="center"/>
        <w:rPr>
          <w:rFonts w:hint="eastAsia"/>
          <w:b/>
          <w:color w:val="000000"/>
          <w:sz w:val="32"/>
          <w:szCs w:val="32"/>
          <w:highlight w:val="none"/>
        </w:rPr>
      </w:pPr>
      <w:r>
        <w:rPr>
          <w:rFonts w:hint="eastAsia"/>
          <w:b/>
          <w:color w:val="000000"/>
          <w:sz w:val="32"/>
          <w:szCs w:val="32"/>
          <w:highlight w:val="none"/>
        </w:rPr>
        <w:t xml:space="preserve">（全流程电子化－货物类项目，适用苏采云系统）</w:t>
      </w:r>
      <w:r>
        <w:rPr>
          <w:rFonts w:hint="eastAsia"/>
          <w:b/>
          <w:color w:val="000000"/>
          <w:sz w:val="32"/>
          <w:szCs w:val="32"/>
          <w:highlight w:val="none"/>
        </w:rPr>
      </w:r>
      <w:r/>
    </w:p>
    <w:p>
      <w:pPr>
        <w:pStyle w:val="1420"/>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420"/>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420"/>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420"/>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420"/>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316"/>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t xml:space="preserve">江苏金居工程项目管理有限公司</w:t>
      </w:r>
      <w:r>
        <w:rPr>
          <w:rFonts w:hint="eastAsia" w:ascii="Arial" w:hAnsi="Arial"/>
          <w:b/>
          <w:bCs/>
          <w:color w:val="000000"/>
          <w:sz w:val="32"/>
          <w:szCs w:val="32"/>
          <w:highlight w:val="none"/>
        </w:rPr>
      </w:r>
      <w:r/>
    </w:p>
    <w:p>
      <w:pPr>
        <w:pStyle w:val="1316"/>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t xml:space="preserve">2026年</w:t>
      </w:r>
      <w:r>
        <w:rPr>
          <w:rFonts w:hint="eastAsia" w:ascii="Arial" w:hAnsi="Arial"/>
          <w:b/>
          <w:bCs/>
          <w:color w:val="000000"/>
          <w:sz w:val="32"/>
          <w:szCs w:val="32"/>
          <w:highlight w:val="none"/>
          <w:lang w:val="en-US" w:eastAsia="zh-CN"/>
        </w:rPr>
        <w:t xml:space="preserve">9</w:t>
      </w:r>
      <w:r>
        <w:rPr>
          <w:rFonts w:hint="eastAsia" w:ascii="Arial" w:hAnsi="Arial"/>
          <w:b/>
          <w:bCs/>
          <w:color w:val="000000"/>
          <w:sz w:val="32"/>
          <w:szCs w:val="32"/>
          <w:highlight w:val="none"/>
        </w:rPr>
        <w:t xml:space="preserve">月</w:t>
      </w:r>
      <w:r>
        <w:rPr>
          <w:rFonts w:hint="eastAsia" w:ascii="Arial" w:hAnsi="Arial"/>
          <w:b/>
          <w:bCs/>
          <w:color w:val="000000"/>
          <w:sz w:val="32"/>
          <w:szCs w:val="32"/>
          <w:highlight w:val="none"/>
          <w:lang w:val="en-US" w:eastAsia="zh-CN"/>
        </w:rPr>
        <w:t xml:space="preserve">2</w:t>
      </w:r>
      <w:r>
        <w:rPr>
          <w:rFonts w:hint="eastAsia" w:ascii="Arial" w:hAnsi="Arial"/>
          <w:b/>
          <w:bCs/>
          <w:color w:val="000000"/>
          <w:sz w:val="32"/>
          <w:szCs w:val="32"/>
          <w:highlight w:val="none"/>
          <w:lang w:val="en-US" w:eastAsia="zh-CN"/>
        </w:rPr>
        <w:t xml:space="preserve">9</w:t>
      </w:r>
      <w:r>
        <w:rPr>
          <w:rFonts w:hint="eastAsia" w:ascii="Arial" w:hAnsi="Arial"/>
          <w:b/>
          <w:bCs/>
          <w:color w:val="000000"/>
          <w:sz w:val="32"/>
          <w:szCs w:val="32"/>
          <w:highlight w:val="none"/>
        </w:rPr>
        <w:t xml:space="preserve">日</w:t>
      </w:r>
      <w:r>
        <w:rPr>
          <w:rFonts w:hint="eastAsia" w:ascii="Arial" w:hAnsi="Arial"/>
          <w:b/>
          <w:bCs/>
          <w:color w:val="000000"/>
          <w:sz w:val="32"/>
          <w:szCs w:val="32"/>
          <w:highlight w:val="none"/>
        </w:rPr>
      </w:r>
      <w:r/>
    </w:p>
    <w:p>
      <w:pPr>
        <w:pStyle w:val="1420"/>
        <w:ind w:firstLine="0"/>
        <w:rPr>
          <w:rFonts w:hint="eastAsia"/>
          <w:color w:val="000000"/>
          <w:highlight w:val="none"/>
          <w:u w:val="single"/>
        </w:rPr>
      </w:pPr>
      <w:r>
        <w:rPr>
          <w:rFonts w:hint="eastAsia"/>
          <w:color w:val="000000"/>
          <w:highlight w:val="none"/>
        </w:rPr>
        <w:t xml:space="preserve">                        </w:t>
      </w:r>
      <w:r>
        <w:rPr>
          <w:rFonts w:hint="eastAsia"/>
          <w:color w:val="000000"/>
          <w:highlight w:val="none"/>
          <w:u w:val="single"/>
        </w:rPr>
      </w:r>
      <w:r/>
    </w:p>
    <w:p>
      <w:pPr>
        <w:pStyle w:val="1420"/>
        <w:ind w:firstLine="0"/>
        <w:jc w:val="center"/>
        <w:rPr>
          <w:rFonts w:hint="eastAsia"/>
          <w:color w:val="000000"/>
          <w:highlight w:val="none"/>
        </w:rPr>
      </w:pPr>
      <w:r>
        <w:rPr>
          <w:rFonts w:hint="eastAsia"/>
          <w:color w:val="000000"/>
          <w:highlight w:val="none"/>
        </w:rPr>
      </w:r>
      <w:r/>
    </w:p>
    <w:p>
      <w:pPr>
        <w:pStyle w:val="1316"/>
        <w:jc w:val="center"/>
        <w:spacing w:line="480" w:lineRule="auto"/>
        <w:rPr>
          <w:rFonts w:hint="eastAsia" w:ascii="黑体" w:hAnsi="Arial" w:eastAsia="黑体"/>
          <w:b/>
          <w:color w:val="000000"/>
          <w:sz w:val="44"/>
          <w:highlight w:val="none"/>
        </w:rPr>
        <w:outlineLvl w:val="0"/>
      </w:pPr>
      <w:r>
        <w:rPr>
          <w:color w:val="000000"/>
          <w:highlight w:val="none"/>
        </w:rPr>
        <w:br w:type="page" w:clear="all"/>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1316"/>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1316"/>
        <w:numPr>
          <w:ilvl w:val="0"/>
          <w:numId w:val="4"/>
        </w:numPr>
        <w:spacing w:line="480" w:lineRule="auto"/>
        <w:tabs>
          <w:tab w:val="left" w:pos="1440"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   </w:t>
      </w:r>
      <w:r>
        <w:rPr>
          <w:rFonts w:hint="eastAsia" w:ascii="黑体" w:hAnsi="Showcard Gothic" w:eastAsia="黑体"/>
          <w:color w:val="000000"/>
          <w:sz w:val="32"/>
          <w:highlight w:val="none"/>
        </w:rPr>
      </w:r>
      <w:r/>
    </w:p>
    <w:p>
      <w:pPr>
        <w:pStyle w:val="1316"/>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     </w:t>
      </w:r>
      <w:r>
        <w:rPr>
          <w:rFonts w:hint="eastAsia" w:ascii="黑体" w:hAnsi="Showcard Gothic" w:eastAsia="黑体"/>
          <w:color w:val="000000"/>
          <w:sz w:val="36"/>
          <w:highlight w:val="none"/>
        </w:rPr>
      </w:r>
      <w:r/>
    </w:p>
    <w:p>
      <w:pPr>
        <w:pStyle w:val="1316"/>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 </w:t>
      </w:r>
      <w:r>
        <w:rPr>
          <w:rFonts w:hint="eastAsia" w:ascii="黑体" w:hAnsi="Showcard Gothic" w:eastAsia="黑体"/>
          <w:color w:val="000000"/>
          <w:sz w:val="36"/>
          <w:highlight w:val="none"/>
        </w:rPr>
      </w:r>
      <w:r/>
    </w:p>
    <w:p>
      <w:pPr>
        <w:pStyle w:val="1316"/>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招标需求</w:t>
      </w:r>
      <w:r>
        <w:rPr>
          <w:rFonts w:hint="eastAsia" w:ascii="黑体" w:hAnsi="Showcard Gothic" w:eastAsia="黑体"/>
          <w:color w:val="000000"/>
          <w:sz w:val="36"/>
          <w:highlight w:val="none"/>
        </w:rPr>
        <w:t xml:space="preserve">…………………………………… </w:t>
      </w:r>
      <w:r>
        <w:rPr>
          <w:rFonts w:hint="eastAsia" w:ascii="黑体" w:hAnsi="Showcard Gothic" w:eastAsia="黑体"/>
          <w:color w:val="000000"/>
          <w:sz w:val="36"/>
          <w:highlight w:val="none"/>
        </w:rPr>
      </w:r>
      <w:r/>
    </w:p>
    <w:p>
      <w:pPr>
        <w:pStyle w:val="1316"/>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 </w:t>
      </w:r>
      <w:r>
        <w:rPr>
          <w:rFonts w:hint="eastAsia" w:ascii="黑体" w:hAnsi="Showcard Gothic" w:eastAsia="黑体"/>
          <w:color w:val="000000"/>
          <w:sz w:val="36"/>
          <w:highlight w:val="none"/>
        </w:rPr>
      </w:r>
      <w:r/>
    </w:p>
    <w:p>
      <w:pPr>
        <w:pStyle w:val="1316"/>
        <w:numPr>
          <w:ilvl w:val="0"/>
          <w:numId w:val="4"/>
        </w:numPr>
        <w:spacing w:line="480" w:lineRule="auto"/>
        <w:tabs>
          <w:tab w:val="left" w:pos="1440" w:leader="none"/>
        </w:tabs>
        <w:rPr>
          <w:rFonts w:hint="eastAsia"/>
          <w:color w:val="000000"/>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 </w:t>
      </w: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6"/>
        <w:rPr>
          <w:rFonts w:hint="eastAsia"/>
          <w:color w:val="000000"/>
          <w:highlight w:val="none"/>
        </w:rPr>
      </w:pPr>
      <w:r>
        <w:rPr>
          <w:rFonts w:hint="eastAsia"/>
          <w:color w:val="000000"/>
          <w:highlight w:val="none"/>
        </w:rPr>
      </w:r>
      <w:r/>
    </w:p>
    <w:p>
      <w:pPr>
        <w:pStyle w:val="1317"/>
        <w:spacing w:before="120" w:after="120" w:line="440" w:lineRule="exact"/>
        <w:rPr>
          <w:rFonts w:hint="eastAsia" w:ascii="黑体" w:eastAsia="黑体"/>
          <w:bCs/>
          <w:color w:val="000000"/>
          <w:sz w:val="32"/>
          <w:szCs w:val="32"/>
          <w:highlight w:val="none"/>
        </w:rPr>
      </w:pPr>
      <w:r>
        <w:rPr>
          <w:rFonts w:hint="eastAsia" w:ascii="黑体" w:eastAsia="黑体"/>
          <w:color w:val="000000"/>
          <w:sz w:val="32"/>
          <w:szCs w:val="32"/>
          <w:highlight w:val="none"/>
        </w:rPr>
        <w:t xml:space="preserve">第一章  </w:t>
      </w:r>
      <w:bookmarkEnd w:id="0"/>
      <w:r>
        <w:rPr>
          <w:rFonts w:hint="eastAsia" w:ascii="黑体" w:eastAsia="黑体"/>
          <w:color w:val="000000"/>
          <w:sz w:val="32"/>
          <w:szCs w:val="32"/>
          <w:highlight w:val="none"/>
        </w:rPr>
        <w:t xml:space="preserve">投标邀请</w:t>
      </w:r>
      <w:r>
        <w:rPr>
          <w:rFonts w:hint="eastAsia" w:ascii="黑体" w:eastAsia="黑体"/>
          <w:bCs/>
          <w:color w:val="000000"/>
          <w:sz w:val="32"/>
          <w:szCs w:val="32"/>
          <w:highlight w:val="none"/>
        </w:rPr>
      </w:r>
      <w:r/>
    </w:p>
    <w:p>
      <w:pPr>
        <w:pStyle w:val="13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受扬中市卫生健康委员会的委托，就[镇江市县域医共体设备更新项目（扬中市县域采购）]([</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eastAsia="zh-CN"/>
        </w:rPr>
        <w:t xml:space="preserve">JSZC-321182-JJGS-G2026-0018</w:t>
      </w:r>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t xml:space="preserve">]）项目进行公开招标，欢迎符合条件的投标人投标。</w:t>
      </w:r>
      <w:r>
        <w:rPr>
          <w:rFonts w:ascii="宋体" w:hAnsi="宋体"/>
          <w:color w:val="000000"/>
          <w:sz w:val="24"/>
          <w:szCs w:val="24"/>
          <w:highlight w:val="none"/>
        </w:rPr>
      </w:r>
      <w:r/>
    </w:p>
    <w:p>
      <w:pPr>
        <w:pStyle w:val="1316"/>
        <w:ind w:firstLine="480"/>
        <w:spacing w:line="44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1316"/>
        <w:ind w:firstLine="480"/>
        <w:spacing w:line="44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镇江市县域医共体设备更新项目（扬中市县域采购）</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“江苏政府采购网”http://jszfcg.jscz.gov.cn/jszc/login自行免费下载</w:t>
      </w:r>
      <w:r>
        <w:rPr>
          <w:rFonts w:hint="eastAsia" w:ascii="宋体" w:hAnsi="宋体"/>
          <w:color w:val="000000"/>
          <w:sz w:val="24"/>
          <w:szCs w:val="24"/>
          <w:highlight w:val="none"/>
        </w:rPr>
        <w:t xml:space="preserve">招标文件，</w:t>
      </w:r>
      <w:r>
        <w:rPr>
          <w:rFonts w:hint="eastAsia" w:ascii="宋体" w:hAnsi="宋体"/>
          <w:b/>
          <w:bCs/>
          <w:color w:val="0000ff"/>
          <w:sz w:val="24"/>
          <w:szCs w:val="24"/>
          <w:highlight w:val="none"/>
        </w:rPr>
        <w:t xml:space="preserve">并于</w:t>
      </w:r>
      <w:r>
        <w:rPr>
          <w:rFonts w:hint="eastAsia" w:ascii="宋体" w:hAnsi="宋体"/>
          <w:b/>
          <w:bCs/>
          <w:color w:val="0000ff"/>
          <w:sz w:val="24"/>
          <w:szCs w:val="24"/>
          <w:highlight w:val="none"/>
          <w:u w:val="single"/>
        </w:rPr>
        <w:t xml:space="preserve">2026年</w:t>
      </w:r>
      <w:r>
        <w:rPr>
          <w:rFonts w:hint="eastAsia" w:ascii="宋体" w:hAnsi="宋体"/>
          <w:b/>
          <w:bCs/>
          <w:color w:val="0000ff"/>
          <w:sz w:val="24"/>
          <w:szCs w:val="24"/>
          <w:highlight w:val="none"/>
          <w:u w:val="single"/>
          <w:lang w:val="en-US" w:eastAsia="zh-CN"/>
        </w:rPr>
        <w:t xml:space="preserve">1</w:t>
      </w:r>
      <w:r>
        <w:rPr>
          <w:rFonts w:hint="eastAsia" w:ascii="宋体" w:hAnsi="宋体"/>
          <w:b/>
          <w:bCs/>
          <w:color w:val="0000ff"/>
          <w:sz w:val="24"/>
          <w:szCs w:val="24"/>
          <w:highlight w:val="none"/>
          <w:u w:val="single"/>
          <w:lang w:val="en-US" w:eastAsia="zh-CN"/>
        </w:rPr>
        <w:t xml:space="preserve">0</w:t>
      </w:r>
      <w:r>
        <w:rPr>
          <w:rFonts w:hint="eastAsia" w:ascii="宋体" w:hAnsi="宋体"/>
          <w:b/>
          <w:bCs/>
          <w:color w:val="0000ff"/>
          <w:sz w:val="24"/>
          <w:szCs w:val="24"/>
          <w:highlight w:val="none"/>
          <w:u w:val="single"/>
        </w:rPr>
        <w:t xml:space="preserve">月</w:t>
      </w:r>
      <w:r>
        <w:rPr>
          <w:rFonts w:hint="eastAsia" w:ascii="宋体" w:hAnsi="宋体"/>
          <w:b/>
          <w:bCs/>
          <w:color w:val="0000ff"/>
          <w:sz w:val="24"/>
          <w:szCs w:val="24"/>
          <w:highlight w:val="none"/>
          <w:u w:val="single"/>
          <w:lang w:val="en-US" w:eastAsia="zh-CN"/>
        </w:rPr>
        <w:t xml:space="preserve">2</w:t>
      </w:r>
      <w:r>
        <w:rPr>
          <w:rFonts w:hint="eastAsia" w:ascii="宋体" w:hAnsi="宋体"/>
          <w:b/>
          <w:bCs/>
          <w:color w:val="0000ff"/>
          <w:sz w:val="24"/>
          <w:szCs w:val="24"/>
          <w:highlight w:val="none"/>
          <w:u w:val="single"/>
          <w:lang w:val="en-US" w:eastAsia="zh-CN"/>
        </w:rPr>
        <w:t xml:space="preserve">0</w:t>
      </w:r>
      <w:r>
        <w:rPr>
          <w:rFonts w:hint="eastAsia" w:ascii="宋体" w:hAnsi="宋体"/>
          <w:b/>
          <w:bCs/>
          <w:color w:val="0000ff"/>
          <w:sz w:val="24"/>
          <w:szCs w:val="24"/>
          <w:highlight w:val="none"/>
          <w:u w:val="single"/>
        </w:rPr>
        <w:t xml:space="preserve">日9点30分（</w:t>
      </w:r>
      <w:r>
        <w:rPr>
          <w:rFonts w:hint="eastAsia" w:ascii="宋体" w:hAnsi="宋体"/>
          <w:b/>
          <w:bCs/>
          <w:color w:val="0000ff"/>
          <w:sz w:val="24"/>
          <w:szCs w:val="24"/>
          <w:highlight w:val="none"/>
        </w:rPr>
        <w:t xml:space="preserve">北京时间）前递交投标</w:t>
      </w:r>
      <w:r>
        <w:rPr>
          <w:rFonts w:ascii="宋体" w:hAnsi="宋体"/>
          <w:b/>
          <w:bCs/>
          <w:color w:val="0000ff"/>
          <w:sz w:val="24"/>
          <w:szCs w:val="24"/>
          <w:highlight w:val="none"/>
        </w:rPr>
        <w:t xml:space="preserve">文件</w:t>
      </w:r>
      <w:r>
        <w:rPr>
          <w:rFonts w:hint="eastAsia" w:ascii="宋体" w:hAnsi="宋体"/>
          <w:b/>
          <w:bCs/>
          <w:color w:val="0000ff"/>
          <w:sz w:val="24"/>
          <w:szCs w:val="24"/>
          <w:highlight w:val="none"/>
        </w:rPr>
        <w:t xml:space="preserve">。</w:t>
      </w:r>
      <w:r>
        <w:rPr>
          <w:rFonts w:ascii="宋体" w:hAnsi="宋体"/>
          <w:color w:val="000000"/>
          <w:sz w:val="24"/>
          <w:szCs w:val="24"/>
          <w:highlight w:val="none"/>
        </w:rPr>
      </w:r>
      <w:r/>
    </w:p>
    <w:p>
      <w:pPr>
        <w:pStyle w:val="1319"/>
        <w:ind w:firstLine="373"/>
        <w:spacing w:before="120" w:after="120" w:line="440" w:lineRule="exact"/>
        <w:rPr>
          <w:color w:val="000000"/>
          <w:sz w:val="24"/>
          <w:szCs w:val="24"/>
          <w:highlight w:val="none"/>
        </w:rPr>
      </w:pPr>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color w:val="000000"/>
          <w:sz w:val="24"/>
          <w:szCs w:val="24"/>
          <w:highlight w:val="none"/>
        </w:rPr>
        <w:t xml:space="preserve">一、项目基本情况</w:t>
      </w:r>
      <w:bookmarkEnd w:id="6"/>
      <w:r/>
      <w:bookmarkEnd w:id="7"/>
      <w:r/>
      <w:bookmarkEnd w:id="8"/>
      <w:r/>
      <w:bookmarkEnd w:id="9"/>
      <w:r/>
      <w:bookmarkEnd w:id="10"/>
      <w:r>
        <w:rPr>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bookmarkEnd w:id="11"/>
      <w:r/>
      <w:bookmarkStart w:id="12" w:name="_Toc28359003"/>
      <w:r/>
      <w:bookmarkStart w:id="13" w:name="_Toc35393791"/>
      <w:r/>
      <w:bookmarkStart w:id="14" w:name="_Toc38985264"/>
      <w:r/>
      <w:bookmarkStart w:id="15" w:name="_Toc28359080"/>
      <w:r/>
      <w:bookmarkStart w:id="16" w:name="_Toc35393622"/>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JSZC-321182-JJGS-G2026-0018</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3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2.项目名称：镇江市县域医共体设备更新项目（扬中市县域采购）；</w:t>
      </w:r>
      <w:r>
        <w:rPr>
          <w:rFonts w:ascii="宋体" w:hAnsi="宋体"/>
          <w:color w:val="000000"/>
          <w:sz w:val="24"/>
          <w:szCs w:val="24"/>
          <w:highlight w:val="none"/>
        </w:rPr>
      </w:r>
      <w:r/>
    </w:p>
    <w:p>
      <w:pPr>
        <w:pStyle w:val="1316"/>
        <w:ind w:firstLine="480"/>
        <w:spacing w:line="44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3.预算金额：共计237万元；一标段60万元；二标段20万元；三标段25万元；四标段10万元；五标段50万元；六标段20万元；七标段5万元；八标段6万元；九标段5万元；十标段36万元。</w:t>
      </w:r>
      <w:r>
        <w:rPr>
          <w:rFonts w:ascii="宋体" w:hAnsi="宋体"/>
          <w:b w:val="0"/>
          <w:bCs w:val="0"/>
          <w:color w:val="000000"/>
          <w:sz w:val="24"/>
          <w:szCs w:val="24"/>
          <w:highlight w:val="none"/>
        </w:rPr>
      </w:r>
      <w:r/>
    </w:p>
    <w:p>
      <w:pPr>
        <w:pStyle w:val="1316"/>
        <w:ind w:firstLine="480"/>
        <w:spacing w:line="440" w:lineRule="exact"/>
        <w:rPr>
          <w:rFonts w:ascii="宋体" w:hAnsi="宋体"/>
          <w:b/>
          <w:bCs/>
          <w:color w:val="000000"/>
          <w:sz w:val="24"/>
          <w:szCs w:val="24"/>
          <w:highlight w:val="none"/>
        </w:rPr>
      </w:pPr>
      <w:r>
        <w:rPr>
          <w:rFonts w:hint="eastAsia" w:ascii="宋体" w:hAnsi="宋体"/>
          <w:b w:val="0"/>
          <w:bCs w:val="0"/>
          <w:color w:val="000000"/>
          <w:sz w:val="24"/>
          <w:szCs w:val="24"/>
          <w:highlight w:val="none"/>
        </w:rPr>
        <w:t xml:space="preserve">4.</w:t>
      </w:r>
      <w:r>
        <w:rPr>
          <w:rFonts w:hint="eastAsia" w:ascii="宋体" w:hAnsi="宋体"/>
          <w:b/>
          <w:bCs/>
          <w:color w:val="000000"/>
          <w:sz w:val="24"/>
          <w:szCs w:val="24"/>
          <w:highlight w:val="none"/>
        </w:rPr>
        <w:t xml:space="preserve">本项目</w:t>
      </w:r>
      <w:r>
        <w:rPr>
          <w:rFonts w:hint="eastAsia" w:ascii="宋体" w:hAnsi="宋体"/>
          <w:b/>
          <w:bCs/>
          <w:color w:val="000000"/>
          <w:sz w:val="24"/>
          <w:szCs w:val="24"/>
          <w:highlight w:val="none"/>
          <w:u w:val="single"/>
        </w:rPr>
        <w:t xml:space="preserve"> 设定 </w:t>
      </w:r>
      <w:r>
        <w:rPr>
          <w:rFonts w:hint="eastAsia" w:ascii="宋体" w:hAnsi="宋体"/>
          <w:b/>
          <w:bCs/>
          <w:color w:val="000000"/>
          <w:sz w:val="24"/>
          <w:szCs w:val="24"/>
          <w:highlight w:val="none"/>
        </w:rPr>
        <w:t xml:space="preserve">最高限价，最高限价为一标段58.4万元；二标段18万元；三标段19万元；四标段9.8万元；五标段50万元；六标段19万元；七标段4万元；八标段5.8万元；九标段4.46万元；十标段35万元。共计223.46万元。</w:t>
      </w:r>
      <w:r>
        <w:rPr>
          <w:rFonts w:ascii="宋体" w:hAnsi="宋体"/>
          <w:b/>
          <w:bCs/>
          <w:color w:val="000000"/>
          <w:sz w:val="24"/>
          <w:szCs w:val="24"/>
          <w:highlight w:val="none"/>
        </w:rPr>
      </w:r>
      <w:r/>
    </w:p>
    <w:p>
      <w:pPr>
        <w:pStyle w:val="1316"/>
        <w:numPr>
          <w:ilvl w:val="0"/>
          <w:numId w:val="5"/>
        </w:numPr>
        <w:ind w:firstLine="480"/>
        <w:spacing w:line="440" w:lineRule="exact"/>
        <w:tabs>
          <w:tab w:val="left" w:pos="312" w:leader="none"/>
        </w:tabs>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需求（简介）： 镇江市县域医共体设备更新项目（扬中市县域采购），</w:t>
      </w:r>
      <w:r>
        <w:rPr>
          <w:rFonts w:hint="eastAsia" w:ascii="宋体" w:hAnsi="宋体" w:cs="宋体"/>
          <w:b w:val="0"/>
          <w:bCs w:val="0"/>
          <w:color w:val="000000"/>
          <w:sz w:val="24"/>
          <w:szCs w:val="24"/>
          <w:highlight w:val="none"/>
        </w:rPr>
        <w:t xml:space="preserve">详细内容见本招标文件第四章</w:t>
      </w:r>
      <w:r>
        <w:rPr>
          <w:rFonts w:hint="eastAsia" w:ascii="宋体" w:hAnsi="宋体"/>
          <w:b w:val="0"/>
          <w:bCs w:val="0"/>
          <w:color w:val="000000"/>
          <w:sz w:val="24"/>
          <w:szCs w:val="24"/>
          <w:highlight w:val="none"/>
        </w:rPr>
        <w:t xml:space="preserve">，其中</w:t>
      </w:r>
      <w:r>
        <w:rPr>
          <w:rFonts w:hint="eastAsia" w:ascii="宋体" w:hAnsi="宋体"/>
          <w:b w:val="0"/>
          <w:bCs w:val="0"/>
          <w:color w:val="000000"/>
          <w:sz w:val="24"/>
          <w:szCs w:val="24"/>
          <w:highlight w:val="none"/>
        </w:rPr>
      </w:r>
      <w:r/>
    </w:p>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一标段：扬中市中医院麻醉机1台及八桥中心卫生院麻醉呼吸机1台采购，共2台；</w:t>
      </w:r>
      <w:r>
        <w:rPr>
          <w:rFonts w:hint="eastAsia" w:ascii="宋体" w:hAnsi="宋体" w:cs="宋体"/>
          <w:b/>
          <w:bCs/>
          <w:color w:val="000000"/>
          <w:sz w:val="24"/>
          <w:szCs w:val="24"/>
          <w:highlight w:val="none"/>
        </w:rPr>
      </w:r>
      <w:r/>
    </w:p>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二标段：扬中市中医院碎石机1台采购；</w:t>
      </w:r>
      <w:r>
        <w:rPr>
          <w:rFonts w:hint="eastAsia" w:ascii="宋体" w:hAnsi="宋体" w:cs="宋体"/>
          <w:b/>
          <w:bCs/>
          <w:color w:val="000000"/>
          <w:sz w:val="24"/>
          <w:szCs w:val="24"/>
          <w:highlight w:val="none"/>
        </w:rPr>
      </w:r>
      <w:r/>
    </w:p>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三标段：扬中市中医院监护仪1台采购；</w:t>
      </w:r>
      <w:r>
        <w:rPr>
          <w:rFonts w:hint="eastAsia" w:ascii="宋体" w:hAnsi="宋体" w:cs="宋体"/>
          <w:b/>
          <w:bCs/>
          <w:color w:val="000000"/>
          <w:sz w:val="24"/>
          <w:szCs w:val="24"/>
          <w:highlight w:val="none"/>
        </w:rPr>
      </w:r>
      <w:r/>
    </w:p>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四标段：扬中市中医院除颤仪1台采购；</w:t>
      </w:r>
      <w:r>
        <w:rPr>
          <w:rFonts w:hint="eastAsia" w:ascii="宋体" w:hAnsi="宋体" w:cs="宋体"/>
          <w:b/>
          <w:bCs/>
          <w:color w:val="000000"/>
          <w:sz w:val="24"/>
          <w:szCs w:val="24"/>
          <w:highlight w:val="none"/>
        </w:rPr>
      </w:r>
      <w:r/>
    </w:p>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五标段：扬中市中医院口腔CT1台采购；</w:t>
      </w:r>
      <w:r>
        <w:rPr>
          <w:rFonts w:hint="eastAsia" w:ascii="宋体" w:hAnsi="宋体" w:cs="宋体"/>
          <w:b/>
          <w:bCs/>
          <w:color w:val="000000"/>
          <w:sz w:val="24"/>
          <w:szCs w:val="24"/>
          <w:highlight w:val="none"/>
        </w:rPr>
      </w:r>
      <w:r/>
    </w:p>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六标段：三茅街道社区卫生服务中心麻醉机1台采购；</w:t>
      </w:r>
      <w:r>
        <w:rPr>
          <w:rFonts w:hint="eastAsia" w:ascii="宋体" w:hAnsi="宋体" w:cs="宋体"/>
          <w:b/>
          <w:bCs/>
          <w:color w:val="000000"/>
          <w:sz w:val="24"/>
          <w:szCs w:val="24"/>
          <w:highlight w:val="none"/>
        </w:rPr>
      </w:r>
      <w:r/>
    </w:p>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七标段：三茅街道社区卫生服务中心心电图机1台采购；</w:t>
      </w:r>
      <w:r>
        <w:rPr>
          <w:rFonts w:hint="eastAsia" w:ascii="宋体" w:hAnsi="宋体" w:cs="宋体"/>
          <w:b/>
          <w:bCs/>
          <w:color w:val="000000"/>
          <w:sz w:val="24"/>
          <w:szCs w:val="24"/>
          <w:highlight w:val="none"/>
        </w:rPr>
      </w:r>
      <w:r/>
    </w:p>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八标段：三茅街道社区卫生服务中心手术室监护仪1台采购；</w:t>
      </w:r>
      <w:r>
        <w:rPr>
          <w:rFonts w:hint="eastAsia" w:ascii="宋体" w:hAnsi="宋体" w:cs="宋体"/>
          <w:b/>
          <w:bCs/>
          <w:color w:val="000000"/>
          <w:sz w:val="24"/>
          <w:szCs w:val="24"/>
          <w:highlight w:val="none"/>
        </w:rPr>
      </w:r>
      <w:r/>
    </w:p>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九标段：三茅街道社区卫生服务中心多功能心脏除颤仪1台采购；</w:t>
      </w:r>
      <w:r>
        <w:rPr>
          <w:rFonts w:hint="eastAsia" w:ascii="宋体" w:hAnsi="宋体" w:cs="宋体"/>
          <w:b/>
          <w:bCs/>
          <w:color w:val="000000"/>
          <w:sz w:val="24"/>
          <w:szCs w:val="24"/>
          <w:highlight w:val="none"/>
        </w:rPr>
      </w:r>
      <w:r/>
    </w:p>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十标段：西来桥镇卫生院彩色超声诊断系统1台采购；</w:t>
      </w:r>
      <w:r>
        <w:rPr>
          <w:rFonts w:hint="eastAsia" w:ascii="宋体" w:hAnsi="宋体" w:cs="宋体"/>
          <w:b/>
          <w:bCs/>
          <w:color w:val="000000"/>
          <w:sz w:val="24"/>
          <w:szCs w:val="24"/>
          <w:highlight w:val="none"/>
        </w:rPr>
      </w:r>
      <w:r/>
    </w:p>
    <w:p>
      <w:pPr>
        <w:pStyle w:val="1316"/>
        <w:numPr>
          <w:ilvl w:val="0"/>
          <w:numId w:val="5"/>
        </w:numPr>
        <w:ind w:firstLine="482"/>
        <w:spacing w:line="440" w:lineRule="exact"/>
        <w:tabs>
          <w:tab w:val="left" w:pos="312"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合同履行期限：</w:t>
      </w:r>
      <w:r>
        <w:rPr>
          <w:rFonts w:hint="eastAsia" w:ascii="宋体" w:hAnsi="宋体"/>
          <w:b/>
          <w:bCs/>
          <w:color w:val="000000"/>
          <w:sz w:val="24"/>
          <w:szCs w:val="24"/>
          <w:highlight w:val="none"/>
        </w:rPr>
      </w:r>
      <w:r/>
    </w:p>
    <w:p>
      <w:pPr>
        <w:pStyle w:val="1316"/>
        <w:ind w:firstLine="480"/>
        <w:spacing w:line="44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一~四标段：合同签订后20日历日内完成供货、安装调试并投入试运行；</w:t>
      </w:r>
      <w:r>
        <w:rPr>
          <w:rFonts w:hint="eastAsia" w:ascii="宋体" w:hAnsi="宋体"/>
          <w:b w:val="0"/>
          <w:bCs w:val="0"/>
          <w:color w:val="000000"/>
          <w:sz w:val="24"/>
          <w:szCs w:val="24"/>
          <w:highlight w:val="none"/>
        </w:rPr>
      </w:r>
      <w:r/>
    </w:p>
    <w:p>
      <w:pPr>
        <w:pStyle w:val="1316"/>
        <w:ind w:firstLine="480"/>
        <w:spacing w:line="44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五标段：合同签订后60日历日内完成防护改造、供货、安装调试并投入试运行；</w:t>
      </w:r>
      <w:r>
        <w:rPr>
          <w:rFonts w:hint="eastAsia" w:ascii="宋体" w:hAnsi="宋体"/>
          <w:b w:val="0"/>
          <w:bCs w:val="0"/>
          <w:color w:val="000000"/>
          <w:sz w:val="24"/>
          <w:szCs w:val="24"/>
          <w:highlight w:val="none"/>
        </w:rPr>
      </w:r>
      <w:r/>
    </w:p>
    <w:p>
      <w:pPr>
        <w:pStyle w:val="1316"/>
        <w:ind w:firstLine="480"/>
        <w:spacing w:line="44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六~十标段：合同签订后20日历日内完成供货、安装调试并投入试运行；</w:t>
      </w:r>
      <w:r>
        <w:rPr>
          <w:rFonts w:ascii="宋体" w:hAnsi="宋体"/>
          <w:b w:val="0"/>
          <w:bCs w:val="0"/>
          <w:color w:val="000000"/>
          <w:sz w:val="24"/>
          <w:szCs w:val="24"/>
          <w:highlight w:val="none"/>
        </w:rPr>
      </w:r>
      <w:r/>
    </w:p>
    <w:p>
      <w:pPr>
        <w:pStyle w:val="1316"/>
        <w:ind w:firstLine="482"/>
        <w:spacing w:line="440" w:lineRule="exact"/>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rPr>
        <w:t xml:space="preserve">7. 标段划分：本次招标共分十个标段，投标人可以同时投十个标段，可兼投兼中，开、评标顺序为：一标段→二标段→三标段→四标段→五标段→六标段→七标段→八标段→九标段→十标段（以此类推）</w:t>
      </w:r>
      <w:r>
        <w:rPr>
          <w:rFonts w:hint="eastAsia" w:ascii="宋体" w:hAnsi="宋体"/>
          <w:b/>
          <w:bCs/>
          <w:color w:val="000000"/>
          <w:sz w:val="24"/>
          <w:szCs w:val="24"/>
          <w:highlight w:val="none"/>
          <w:lang w:eastAsia="zh-CN"/>
        </w:rPr>
        <w:t xml:space="preserve">；</w:t>
      </w:r>
      <w:r>
        <w:rPr>
          <w:rFonts w:hint="eastAsia" w:ascii="宋体" w:hAnsi="宋体" w:eastAsia="宋体"/>
          <w:b/>
          <w:bCs/>
          <w:color w:val="000000"/>
          <w:sz w:val="24"/>
          <w:szCs w:val="24"/>
          <w:highlight w:val="none"/>
          <w:lang w:eastAsia="zh-CN"/>
        </w:rPr>
      </w:r>
      <w:r>
        <w:rPr>
          <w:rFonts w:ascii="SimSun" w:hAnsi="SimSun" w:eastAsia="SimSun" w:cs="SimSun"/>
          <w:b/>
          <w:color w:val="000000"/>
          <w:sz w:val="24"/>
        </w:rPr>
        <w:t xml:space="preserve">（招标文件中一标段对应系统里的采购包1，以此类推）</w:t>
      </w:r>
      <w:r>
        <w:rPr>
          <w:rFonts w:hint="eastAsia" w:ascii="宋体" w:hAnsi="宋体" w:eastAsia="宋体"/>
          <w:b/>
          <w:bCs/>
          <w:color w:val="000000"/>
          <w:sz w:val="24"/>
          <w:szCs w:val="24"/>
          <w:highlight w:val="none"/>
          <w:lang w:eastAsia="zh-CN"/>
        </w:rPr>
      </w:r>
      <w:r/>
    </w:p>
    <w:p>
      <w:pPr>
        <w:pStyle w:val="1316"/>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8.本项目是否仅面向中小微企业：是□  否☑</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319"/>
        <w:ind w:firstLine="373"/>
        <w:spacing w:before="120" w:after="120" w:line="440" w:lineRule="exact"/>
        <w:rPr>
          <w:color w:val="000000"/>
          <w:sz w:val="24"/>
          <w:szCs w:val="24"/>
          <w:highlight w:val="none"/>
        </w:rPr>
      </w:pPr>
      <w:r>
        <w:rPr>
          <w:rFonts w:hint="eastAsia"/>
          <w:color w:val="000000"/>
          <w:sz w:val="24"/>
          <w:szCs w:val="24"/>
          <w:highlight w:val="none"/>
        </w:rPr>
        <w:t xml:space="preserve">二、申请人的资格要求</w:t>
      </w:r>
      <w:bookmarkEnd w:id="12"/>
      <w:r/>
      <w:bookmarkEnd w:id="13"/>
      <w:r/>
      <w:bookmarkEnd w:id="14"/>
      <w:r/>
      <w:bookmarkEnd w:id="15"/>
      <w:r/>
      <w:bookmarkEnd w:id="16"/>
      <w:r>
        <w:rPr>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bookmarkStart w:id="17" w:name="_Toc28359081"/>
      <w:r/>
      <w:bookmarkStart w:id="18" w:name="_Toc35393792"/>
      <w:r/>
      <w:bookmarkStart w:id="19" w:name="_Toc35393623"/>
      <w:r/>
      <w:bookmarkStart w:id="20" w:name="_Toc28359004"/>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13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1316"/>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w:t>
      </w:r>
      <w:r>
        <w:rPr>
          <w:rFonts w:hint="eastAsia" w:ascii="宋体" w:hAnsi="宋体"/>
          <w:color w:val="000000"/>
          <w:sz w:val="24"/>
          <w:szCs w:val="28"/>
          <w:highlight w:val="none"/>
        </w:rPr>
        <w:t xml:space="preserve">【提供2025年度财务报告（成立不满一年的提供至少一个月财务报告），或银行出具的资信证明，或财政部门认可的政府专业担保机构出具的投标担保函】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316"/>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C.具有履行合同所必需的设备和专业技术能力{提供投标单位相关信息一览表（见投标文件格式）</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316"/>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D.提供参加本次政府</w:t>
      </w:r>
      <w:r>
        <w:rPr>
          <w:rFonts w:hint="eastAsia" w:ascii="宋体" w:hAnsi="宋体"/>
          <w:bCs/>
          <w:color w:val="000000"/>
          <w:sz w:val="24"/>
          <w:szCs w:val="24"/>
          <w:highlight w:val="none"/>
        </w:rPr>
        <w:t xml:space="preserve">采购</w:t>
      </w:r>
      <w:r>
        <w:rPr>
          <w:rFonts w:hint="eastAsia" w:ascii="宋体" w:hAnsi="宋体"/>
          <w:color w:val="000000"/>
          <w:sz w:val="24"/>
          <w:szCs w:val="24"/>
          <w:highlight w:val="none"/>
        </w:rPr>
        <w:t xml:space="preserve">活动前三年内，在经营活动中没有重大违法记录的承诺函（见投标函第7条）；</w:t>
      </w:r>
      <w:r>
        <w:rPr>
          <w:rFonts w:ascii="宋体" w:hAnsi="宋体"/>
          <w:color w:val="000000"/>
          <w:sz w:val="24"/>
          <w:szCs w:val="24"/>
          <w:highlight w:val="none"/>
        </w:rPr>
      </w:r>
      <w:r/>
    </w:p>
    <w:p>
      <w:pPr>
        <w:pStyle w:val="1316"/>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olor w:val="000000"/>
          <w:sz w:val="24"/>
          <w:szCs w:val="24"/>
          <w:highlight w:val="none"/>
        </w:rPr>
      </w:r>
      <w:r/>
    </w:p>
    <w:p>
      <w:pPr>
        <w:pStyle w:val="1316"/>
        <w:ind w:firstLine="56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注：①按</w:t>
      </w:r>
      <w:r>
        <w:rPr>
          <w:rFonts w:ascii="宋体" w:hAnsi="宋体"/>
          <w:b/>
          <w:bCs/>
          <w:color w:val="000000"/>
          <w:sz w:val="24"/>
          <w:szCs w:val="24"/>
          <w:highlight w:val="none"/>
        </w:rPr>
        <w:t xml:space="preserve">扬财购〔</w:t>
      </w:r>
      <w:r>
        <w:rPr>
          <w:rFonts w:hint="eastAsia" w:ascii="宋体" w:hAnsi="宋体"/>
          <w:b/>
          <w:bCs/>
          <w:color w:val="000000"/>
          <w:sz w:val="24"/>
          <w:szCs w:val="24"/>
          <w:highlight w:val="none"/>
        </w:rPr>
        <w:t xml:space="preserve">2022</w:t>
      </w:r>
      <w:r>
        <w:rPr>
          <w:rFonts w:ascii="宋体" w:hAnsi="宋体"/>
          <w:b/>
          <w:bCs/>
          <w:color w:val="000000"/>
          <w:sz w:val="24"/>
          <w:szCs w:val="24"/>
          <w:highlight w:val="none"/>
        </w:rPr>
        <w:t xml:space="preserve">〕1</w:t>
      </w:r>
      <w:r>
        <w:rPr>
          <w:rFonts w:hint="eastAsia" w:ascii="宋体" w:hAnsi="宋体"/>
          <w:b/>
          <w:bCs/>
          <w:color w:val="000000"/>
          <w:sz w:val="24"/>
          <w:szCs w:val="24"/>
          <w:highlight w:val="none"/>
        </w:rPr>
        <w:t xml:space="preserve">7</w:t>
      </w:r>
      <w:r>
        <w:rPr>
          <w:rFonts w:ascii="宋体" w:hAnsi="宋体"/>
          <w:b/>
          <w:bCs/>
          <w:color w:val="000000"/>
          <w:sz w:val="24"/>
          <w:szCs w:val="24"/>
          <w:highlight w:val="none"/>
        </w:rPr>
        <w:t xml:space="preserve">号《关于进一步降低政府</w:t>
      </w:r>
      <w:r>
        <w:rPr>
          <w:rFonts w:hint="eastAsia" w:ascii="宋体" w:hAnsi="宋体"/>
          <w:b/>
          <w:bCs/>
          <w:color w:val="000000"/>
          <w:sz w:val="24"/>
          <w:szCs w:val="24"/>
          <w:highlight w:val="none"/>
        </w:rPr>
        <w:t xml:space="preserve">采购</w:t>
      </w:r>
      <w:r>
        <w:rPr>
          <w:rFonts w:ascii="宋体" w:hAnsi="宋体"/>
          <w:b/>
          <w:bCs/>
          <w:color w:val="000000"/>
          <w:sz w:val="24"/>
          <w:szCs w:val="24"/>
          <w:highlight w:val="none"/>
        </w:rPr>
        <w:t xml:space="preserve">活动成本减轻政府</w:t>
      </w:r>
      <w:r>
        <w:rPr>
          <w:rFonts w:hint="eastAsia" w:ascii="宋体" w:hAnsi="宋体"/>
          <w:b/>
          <w:bCs/>
          <w:color w:val="000000"/>
          <w:sz w:val="24"/>
          <w:szCs w:val="24"/>
          <w:highlight w:val="none"/>
        </w:rPr>
        <w:t xml:space="preserve">采购投标人</w:t>
      </w:r>
      <w:r>
        <w:rPr>
          <w:rFonts w:ascii="宋体" w:hAnsi="宋体"/>
          <w:b/>
          <w:bCs/>
          <w:color w:val="000000"/>
          <w:sz w:val="24"/>
          <w:szCs w:val="24"/>
          <w:highlight w:val="none"/>
        </w:rPr>
        <w:t xml:space="preserve">负担的通知》</w:t>
      </w:r>
      <w:r>
        <w:rPr>
          <w:rFonts w:hint="eastAsia" w:ascii="宋体" w:hAnsi="宋体"/>
          <w:b/>
          <w:bCs/>
          <w:color w:val="000000"/>
          <w:sz w:val="24"/>
          <w:szCs w:val="24"/>
          <w:highlight w:val="none"/>
        </w:rPr>
        <w:t xml:space="preserve">本项目</w:t>
      </w:r>
      <w:r>
        <w:rPr>
          <w:rFonts w:ascii="宋体" w:hAnsi="宋体"/>
          <w:b/>
          <w:bCs/>
          <w:color w:val="000000"/>
          <w:sz w:val="24"/>
          <w:szCs w:val="24"/>
          <w:highlight w:val="none"/>
        </w:rPr>
        <w:t xml:space="preserve">申请人的资格条件采取</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信用承诺制</w:t>
      </w:r>
      <w:r>
        <w:rPr>
          <w:rFonts w:hint="eastAsia" w:ascii="宋体" w:hAnsi="宋体"/>
          <w:b/>
          <w:bCs/>
          <w:color w:val="000000"/>
          <w:sz w:val="24"/>
          <w:szCs w:val="24"/>
          <w:highlight w:val="none"/>
        </w:rPr>
        <w:t xml:space="preserve">”，资格要求</w:t>
      </w:r>
      <w:r>
        <w:rPr>
          <w:rFonts w:ascii="宋体" w:hAnsi="宋体"/>
          <w:b/>
          <w:bCs/>
          <w:color w:val="000000"/>
          <w:sz w:val="24"/>
          <w:szCs w:val="24"/>
          <w:highlight w:val="none"/>
        </w:rPr>
        <w:t xml:space="preserve">第</w:t>
      </w:r>
      <w:r>
        <w:rPr>
          <w:rFonts w:hint="eastAsia" w:ascii="宋体" w:hAnsi="宋体"/>
          <w:b/>
          <w:bCs/>
          <w:color w:val="000000"/>
          <w:sz w:val="24"/>
          <w:szCs w:val="24"/>
          <w:highlight w:val="none"/>
        </w:rPr>
        <w:t xml:space="preserve">B</w:t>
      </w:r>
      <w:r>
        <w:rPr>
          <w:rFonts w:ascii="宋体" w:hAnsi="宋体"/>
          <w:b/>
          <w:bCs/>
          <w:color w:val="000000"/>
          <w:sz w:val="24"/>
          <w:szCs w:val="24"/>
          <w:highlight w:val="none"/>
        </w:rPr>
        <w:t xml:space="preserve">至第</w:t>
      </w:r>
      <w:r>
        <w:rPr>
          <w:rFonts w:hint="eastAsia" w:ascii="宋体" w:hAnsi="宋体"/>
          <w:b/>
          <w:bCs/>
          <w:color w:val="000000"/>
          <w:sz w:val="24"/>
          <w:szCs w:val="24"/>
          <w:highlight w:val="none"/>
        </w:rPr>
        <w:t xml:space="preserve">E</w:t>
      </w:r>
      <w:r>
        <w:rPr>
          <w:rFonts w:ascii="宋体" w:hAnsi="宋体"/>
          <w:b/>
          <w:bCs/>
          <w:color w:val="000000"/>
          <w:sz w:val="24"/>
          <w:szCs w:val="24"/>
          <w:highlight w:val="none"/>
        </w:rPr>
        <w:t xml:space="preserve">项，</w:t>
      </w:r>
      <w:r>
        <w:rPr>
          <w:rFonts w:hint="eastAsia" w:ascii="宋体" w:hAnsi="宋体"/>
          <w:b/>
          <w:bCs/>
          <w:color w:val="000000"/>
          <w:sz w:val="24"/>
          <w:szCs w:val="24"/>
          <w:highlight w:val="none"/>
        </w:rPr>
        <w:t xml:space="preserve">投标人</w:t>
      </w:r>
      <w:r>
        <w:rPr>
          <w:rFonts w:ascii="宋体" w:hAnsi="宋体"/>
          <w:b/>
          <w:bCs/>
          <w:color w:val="000000"/>
          <w:sz w:val="24"/>
          <w:szCs w:val="24"/>
          <w:highlight w:val="none"/>
        </w:rPr>
        <w:t xml:space="preserve">可选择提供资格承诺函</w:t>
      </w:r>
      <w:r>
        <w:rPr>
          <w:rFonts w:hint="eastAsia" w:ascii="宋体" w:hAnsi="宋体"/>
          <w:b/>
          <w:bCs/>
          <w:color w:val="000000"/>
          <w:sz w:val="24"/>
          <w:szCs w:val="24"/>
          <w:highlight w:val="none"/>
        </w:rPr>
        <w:t xml:space="preserve">（见投标文件格式）</w:t>
      </w:r>
      <w:r>
        <w:rPr>
          <w:rFonts w:ascii="宋体" w:hAnsi="宋体"/>
          <w:b/>
          <w:bCs/>
          <w:color w:val="000000"/>
          <w:sz w:val="24"/>
          <w:szCs w:val="24"/>
          <w:highlight w:val="none"/>
        </w:rPr>
        <w:t xml:space="preserve">，在</w:t>
      </w:r>
      <w:r>
        <w:rPr>
          <w:rFonts w:hint="eastAsia" w:ascii="宋体" w:hAnsi="宋体"/>
          <w:b/>
          <w:bCs/>
          <w:color w:val="000000"/>
          <w:sz w:val="24"/>
          <w:szCs w:val="24"/>
          <w:highlight w:val="none"/>
        </w:rPr>
        <w:t xml:space="preserve">投标</w:t>
      </w:r>
      <w:r>
        <w:rPr>
          <w:rFonts w:ascii="宋体" w:hAnsi="宋体"/>
          <w:b/>
          <w:bCs/>
          <w:color w:val="000000"/>
          <w:sz w:val="24"/>
          <w:szCs w:val="24"/>
          <w:highlight w:val="none"/>
        </w:rPr>
        <w:t xml:space="preserve">文件中无需再提供与</w:t>
      </w:r>
      <w:r>
        <w:rPr>
          <w:rFonts w:hint="eastAsia" w:ascii="宋体" w:hAnsi="宋体"/>
          <w:b/>
          <w:bCs/>
          <w:color w:val="000000"/>
          <w:sz w:val="24"/>
          <w:szCs w:val="24"/>
          <w:highlight w:val="none"/>
        </w:rPr>
        <w:t xml:space="preserve">第B至第E项</w:t>
      </w:r>
      <w:r>
        <w:rPr>
          <w:rFonts w:ascii="宋体" w:hAnsi="宋体"/>
          <w:b/>
          <w:bCs/>
          <w:color w:val="000000"/>
          <w:sz w:val="24"/>
          <w:szCs w:val="24"/>
          <w:highlight w:val="none"/>
        </w:rPr>
        <w:t xml:space="preserve">相关的证明材料即可参加活动。</w:t>
      </w:r>
      <w:r>
        <w:rPr>
          <w:rFonts w:ascii="宋体" w:hAnsi="宋体"/>
          <w:b/>
          <w:bCs/>
          <w:color w:val="000000"/>
          <w:sz w:val="24"/>
          <w:szCs w:val="24"/>
          <w:highlight w:val="none"/>
        </w:rPr>
      </w:r>
      <w:r/>
    </w:p>
    <w:p>
      <w:pPr>
        <w:pStyle w:val="1316"/>
        <w:ind w:firstLine="56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②投标人可自行选择是否提供承诺函，若不提供承诺函的，应按招标文件要求提供相应的证明材料。</w:t>
      </w:r>
      <w:r>
        <w:rPr>
          <w:rFonts w:hint="eastAsia" w:ascii="宋体" w:hAnsi="宋体"/>
          <w:b/>
          <w:bCs/>
          <w:color w:val="000000"/>
          <w:sz w:val="24"/>
          <w:szCs w:val="24"/>
          <w:highlight w:val="none"/>
        </w:rPr>
      </w:r>
      <w:r/>
    </w:p>
    <w:p>
      <w:pPr>
        <w:pStyle w:val="1316"/>
        <w:ind w:firstLine="56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③投标人</w:t>
      </w:r>
      <w:r>
        <w:rPr>
          <w:rFonts w:ascii="宋体" w:hAnsi="宋体"/>
          <w:b/>
          <w:bCs/>
          <w:color w:val="000000"/>
          <w:sz w:val="24"/>
          <w:szCs w:val="24"/>
          <w:highlight w:val="none"/>
        </w:rPr>
        <w:t xml:space="preserve">应当</w:t>
      </w:r>
      <w:r>
        <w:rPr>
          <w:rFonts w:hint="eastAsia" w:ascii="宋体" w:hAnsi="宋体"/>
          <w:b/>
          <w:bCs/>
          <w:color w:val="000000"/>
          <w:sz w:val="24"/>
          <w:szCs w:val="24"/>
          <w:highlight w:val="none"/>
        </w:rPr>
        <w:t xml:space="preserve">遵循诚实</w:t>
      </w:r>
      <w:r>
        <w:rPr>
          <w:rFonts w:ascii="宋体" w:hAnsi="宋体"/>
          <w:b/>
          <w:bCs/>
          <w:color w:val="000000"/>
          <w:sz w:val="24"/>
          <w:szCs w:val="24"/>
          <w:highlight w:val="none"/>
        </w:rPr>
        <w:t xml:space="preserve">信用原则，不得作虚假承诺。</w:t>
      </w:r>
      <w:r>
        <w:rPr>
          <w:rFonts w:hint="eastAsia" w:ascii="宋体" w:hAnsi="宋体"/>
          <w:b/>
          <w:bCs/>
          <w:color w:val="000000"/>
          <w:sz w:val="24"/>
          <w:szCs w:val="24"/>
          <w:highlight w:val="none"/>
        </w:rPr>
        <w:t xml:space="preserve">投标人</w:t>
      </w:r>
      <w:r>
        <w:rPr>
          <w:rFonts w:ascii="宋体" w:hAnsi="宋体"/>
          <w:b/>
          <w:bCs/>
          <w:color w:val="000000"/>
          <w:sz w:val="24"/>
          <w:szCs w:val="24"/>
          <w:highlight w:val="none"/>
        </w:rPr>
        <w:t xml:space="preserve">承诺不实的，属于提供虚假材料谋取中标、成交，应承担相应的法律责任。</w:t>
      </w:r>
      <w:r>
        <w:rPr>
          <w:rFonts w:ascii="宋体" w:hAnsi="宋体"/>
          <w:b/>
          <w:bCs/>
          <w:color w:val="000000"/>
          <w:sz w:val="24"/>
          <w:szCs w:val="24"/>
          <w:highlight w:val="none"/>
        </w:rPr>
      </w:r>
      <w:r/>
    </w:p>
    <w:p>
      <w:pPr>
        <w:pStyle w:val="1316"/>
        <w:ind w:firstLine="480"/>
        <w:spacing w:line="44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3.落实政府</w:t>
      </w:r>
      <w:r>
        <w:rPr>
          <w:rFonts w:hint="eastAsia" w:ascii="宋体" w:hAnsi="宋体"/>
          <w:bCs/>
          <w:color w:val="000000"/>
          <w:sz w:val="24"/>
          <w:szCs w:val="24"/>
          <w:highlight w:val="none"/>
        </w:rPr>
        <w:t xml:space="preserve">采购</w:t>
      </w:r>
      <w:r>
        <w:rPr>
          <w:rFonts w:hint="eastAsia" w:ascii="宋体" w:hAnsi="宋体"/>
          <w:color w:val="000000"/>
          <w:sz w:val="24"/>
          <w:szCs w:val="24"/>
          <w:highlight w:val="none"/>
        </w:rPr>
        <w:t xml:space="preserve">政策需满足的资格要求：</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①无；</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②依据工业和信息化部等四部委制定的《中小企业划型标准规定》，本项目对应的中小企业划分标准所属行业为工业。</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不接受 </w:t>
      </w:r>
      <w:r>
        <w:rPr>
          <w:rFonts w:hint="eastAsia" w:ascii="宋体" w:hAnsi="宋体"/>
          <w:color w:val="000000"/>
          <w:sz w:val="24"/>
          <w:szCs w:val="24"/>
          <w:highlight w:val="none"/>
        </w:rPr>
        <w:t xml:space="preserve">联合体投标。</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以下①-②两项中的任意一项：</w:t>
      </w:r>
      <w:r>
        <w:rPr>
          <w:rFonts w:hint="eastAsia" w:ascii="宋体" w:hAnsi="宋体"/>
          <w:color w:val="000000"/>
          <w:sz w:val="24"/>
          <w:szCs w:val="24"/>
          <w:highlight w:val="none"/>
        </w:rPr>
      </w:r>
      <w:r/>
    </w:p>
    <w:p>
      <w:pPr>
        <w:pStyle w:val="1316"/>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①供应商为所投产品制造商，提供具有有效期内的《医疗器械生产许可证》；</w:t>
      </w:r>
      <w:r>
        <w:rPr>
          <w:rFonts w:hint="eastAsia" w:ascii="宋体" w:hAnsi="宋体"/>
          <w:b/>
          <w:bCs/>
          <w:color w:val="000000"/>
          <w:sz w:val="24"/>
          <w:szCs w:val="24"/>
          <w:highlight w:val="none"/>
        </w:rPr>
      </w:r>
      <w:r/>
    </w:p>
    <w:p>
      <w:pPr>
        <w:pStyle w:val="1316"/>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②供应商为所投产品经销商，提供具有有效期内的《医疗器械经营备案凭证》或《医疗器械经营许可证》。</w:t>
      </w:r>
      <w:r>
        <w:rPr>
          <w:rFonts w:hint="eastAsia" w:ascii="宋体" w:hAnsi="宋体"/>
          <w:b/>
          <w:bCs/>
          <w:color w:val="000000"/>
          <w:sz w:val="24"/>
          <w:szCs w:val="24"/>
          <w:highlight w:val="none"/>
        </w:rPr>
      </w:r>
      <w:r/>
    </w:p>
    <w:p>
      <w:pPr>
        <w:pStyle w:val="1316"/>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③投标人所投产品具备有效的《医疗器械注册证》。</w:t>
      </w:r>
      <w:r>
        <w:rPr>
          <w:rFonts w:hint="eastAsia" w:ascii="宋体" w:hAnsi="宋体"/>
          <w:b/>
          <w:bCs/>
          <w:color w:val="000000"/>
          <w:sz w:val="24"/>
          <w:szCs w:val="24"/>
          <w:highlight w:val="none"/>
        </w:rPr>
      </w:r>
      <w:r/>
    </w:p>
    <w:p>
      <w:pPr>
        <w:pStyle w:val="1316"/>
        <w:ind w:firstLine="482"/>
        <w:spacing w:line="440" w:lineRule="exact"/>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rPr>
        <w:t xml:space="preserve">④本项目不接受进口产品（进口产品是指通过中国海关报关验放进入中国境内且产自关境外的产品）</w:t>
      </w:r>
      <w:r>
        <w:rPr>
          <w:rFonts w:hint="eastAsia" w:ascii="宋体" w:hAnsi="宋体"/>
          <w:b/>
          <w:bCs/>
          <w:color w:val="000000"/>
          <w:sz w:val="24"/>
          <w:szCs w:val="24"/>
          <w:highlight w:val="none"/>
          <w:lang w:eastAsia="zh-CN"/>
        </w:rPr>
        <w:t xml:space="preserve">。</w:t>
      </w:r>
      <w:r>
        <w:rPr>
          <w:rFonts w:hint="eastAsia" w:ascii="宋体" w:hAnsi="宋体" w:eastAsia="宋体"/>
          <w:b/>
          <w:bCs/>
          <w:color w:val="000000"/>
          <w:sz w:val="24"/>
          <w:szCs w:val="24"/>
          <w:highlight w:val="none"/>
          <w:lang w:eastAsia="zh-CN"/>
        </w:rPr>
      </w:r>
      <w:r/>
    </w:p>
    <w:p>
      <w:pPr>
        <w:pStyle w:val="1316"/>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⑤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函，格式自拟）。</w:t>
      </w:r>
      <w:r>
        <w:rPr>
          <w:rFonts w:hint="eastAsia" w:ascii="宋体" w:hAnsi="宋体"/>
          <w:b/>
          <w:bCs/>
          <w:color w:val="000000"/>
          <w:sz w:val="24"/>
          <w:szCs w:val="24"/>
          <w:highlight w:val="none"/>
        </w:rPr>
      </w:r>
      <w:r/>
    </w:p>
    <w:p>
      <w:pPr>
        <w:pStyle w:val="1319"/>
        <w:ind w:firstLine="373"/>
        <w:keepLines w:val="0"/>
        <w:keepNext w:val="0"/>
        <w:spacing w:before="120" w:after="120" w:line="440" w:lineRule="exact"/>
        <w:rPr>
          <w:color w:val="000000"/>
          <w:sz w:val="24"/>
          <w:szCs w:val="24"/>
          <w:highlight w:val="none"/>
        </w:rPr>
      </w:pPr>
      <w:r>
        <w:rPr>
          <w:rFonts w:hint="eastAsia"/>
          <w:color w:val="000000"/>
          <w:sz w:val="24"/>
          <w:szCs w:val="24"/>
          <w:highlight w:val="none"/>
        </w:rPr>
        <w:t xml:space="preserve">三、获取招标文件</w:t>
      </w:r>
      <w:bookmarkEnd w:id="17"/>
      <w:r/>
      <w:bookmarkEnd w:id="18"/>
      <w:r/>
      <w:bookmarkEnd w:id="19"/>
      <w:r/>
      <w:bookmarkEnd w:id="20"/>
      <w:r/>
      <w:bookmarkEnd w:id="21"/>
      <w:r>
        <w:rPr>
          <w:color w:val="000000"/>
          <w:sz w:val="24"/>
          <w:szCs w:val="24"/>
          <w:highlight w:val="none"/>
        </w:rPr>
      </w:r>
      <w:r/>
    </w:p>
    <w:p>
      <w:pPr>
        <w:pStyle w:val="1316"/>
        <w:ind w:firstLine="540"/>
        <w:spacing w:line="440" w:lineRule="exact"/>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1.时间：自招标文件公告发布之日起至提交投标文件截止时间之日止。</w:t>
      </w:r>
      <w:r>
        <w:rPr>
          <w:rFonts w:ascii="宋体" w:hAnsi="宋体" w:cs="宋体"/>
          <w:color w:val="000000"/>
          <w:sz w:val="24"/>
          <w:szCs w:val="24"/>
          <w:highlight w:val="none"/>
        </w:rPr>
      </w:r>
      <w:r/>
    </w:p>
    <w:p>
      <w:pPr>
        <w:pStyle w:val="1316"/>
        <w:ind w:firstLine="540"/>
        <w:spacing w:line="44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w:t>
      </w:r>
      <w:r>
        <w:rPr>
          <w:rFonts w:hint="eastAsia" w:ascii="宋体" w:hAnsi="宋体"/>
          <w:bCs/>
          <w:color w:val="000000"/>
          <w:sz w:val="24"/>
          <w:szCs w:val="24"/>
          <w:highlight w:val="none"/>
        </w:rPr>
        <w:t xml:space="preserve">采购</w:t>
      </w:r>
      <w:r>
        <w:rPr>
          <w:rFonts w:hint="eastAsia" w:ascii="宋体" w:hAnsi="宋体" w:cs="宋体"/>
          <w:color w:val="000000"/>
          <w:sz w:val="24"/>
          <w:szCs w:val="24"/>
          <w:highlight w:val="none"/>
        </w:rPr>
        <w:t xml:space="preserve">网”自行免费下载招标文件。</w:t>
      </w:r>
      <w:r>
        <w:rPr>
          <w:rFonts w:ascii="宋体" w:hAnsi="宋体" w:cs="宋体"/>
          <w:color w:val="000000"/>
          <w:sz w:val="24"/>
          <w:szCs w:val="24"/>
          <w:highlight w:val="none"/>
          <w:u w:val="single"/>
        </w:rPr>
      </w:r>
      <w:r/>
    </w:p>
    <w:p>
      <w:pPr>
        <w:pStyle w:val="1316"/>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（1）登录http://jszfcg.jscz.gov.cn/jszc/login;或进入扬中政府</w:t>
      </w:r>
      <w:r>
        <w:rPr>
          <w:rFonts w:hint="eastAsia" w:ascii="宋体" w:hAnsi="宋体"/>
          <w:bCs/>
          <w:color w:val="000000"/>
          <w:sz w:val="24"/>
          <w:szCs w:val="24"/>
          <w:highlight w:val="none"/>
        </w:rPr>
        <w:t xml:space="preserve">采购</w:t>
      </w:r>
      <w:r>
        <w:rPr>
          <w:rFonts w:hint="eastAsia" w:ascii="宋体" w:hAnsi="宋体" w:cs="宋体"/>
          <w:color w:val="000000"/>
          <w:sz w:val="24"/>
          <w:szCs w:val="24"/>
          <w:highlight w:val="none"/>
        </w:rPr>
        <w:t xml:space="preserve">网（http://www.yzzfcg.cn/）首页点击“苏采云”进入系统。</w:t>
      </w:r>
      <w:r>
        <w:rPr>
          <w:rFonts w:hint="eastAsia" w:ascii="宋体" w:hAnsi="宋体" w:cs="宋体"/>
          <w:color w:val="000000"/>
          <w:sz w:val="24"/>
          <w:szCs w:val="24"/>
          <w:highlight w:val="none"/>
        </w:rPr>
      </w:r>
      <w:r/>
    </w:p>
    <w:p>
      <w:pPr>
        <w:pStyle w:val="1316"/>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（2）“苏采云”系统用户注册--获取“CA数字证书”--CA绑定与登录--网上报名--下载招标文件(后缀名为.kedt)。</w:t>
      </w:r>
      <w:r>
        <w:rPr>
          <w:rFonts w:hint="eastAsia" w:ascii="宋体" w:hAnsi="宋体" w:cs="宋体"/>
          <w:color w:val="000000"/>
          <w:sz w:val="24"/>
          <w:szCs w:val="24"/>
          <w:highlight w:val="none"/>
        </w:rPr>
      </w:r>
      <w:r/>
    </w:p>
    <w:p>
      <w:pPr>
        <w:pStyle w:val="1316"/>
        <w:ind w:firstLine="56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rPr>
          <w:rFonts w:ascii="宋体" w:hAnsi="宋体" w:cs="宋体"/>
          <w:color w:val="000000"/>
          <w:sz w:val="24"/>
          <w:szCs w:val="24"/>
          <w:highlight w:val="none"/>
        </w:rPr>
      </w:r>
      <w:r/>
    </w:p>
    <w:p>
      <w:pPr>
        <w:pStyle w:val="1316"/>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投标人需办理CA锁，（“苏采云”系统目前仅支持意源CA、方正签章，CA数字证书及电子签章办理指南详见本公告附件）。客户端工具及投标人操作手册扬中政府</w:t>
      </w:r>
      <w:r>
        <w:rPr>
          <w:rFonts w:hint="eastAsia" w:ascii="宋体" w:hAnsi="宋体"/>
          <w:bCs/>
          <w:color w:val="000000"/>
          <w:sz w:val="24"/>
          <w:szCs w:val="24"/>
          <w:highlight w:val="none"/>
        </w:rPr>
        <w:t xml:space="preserve">采购</w:t>
      </w:r>
      <w:r>
        <w:rPr>
          <w:rFonts w:hint="eastAsia" w:ascii="宋体" w:hAnsi="宋体" w:cs="宋体"/>
          <w:color w:val="000000"/>
          <w:sz w:val="24"/>
          <w:szCs w:val="24"/>
          <w:highlight w:val="none"/>
        </w:rPr>
        <w:t xml:space="preserve">（http://www.yzzfcg.cn/）首页“资料下载”，进行下载《江苏省政府</w:t>
      </w:r>
      <w:r>
        <w:rPr>
          <w:rFonts w:hint="eastAsia" w:ascii="宋体" w:hAnsi="宋体"/>
          <w:bCs/>
          <w:color w:val="000000"/>
          <w:sz w:val="24"/>
          <w:szCs w:val="24"/>
          <w:highlight w:val="none"/>
        </w:rPr>
        <w:t xml:space="preserve">采购</w:t>
      </w:r>
      <w:r>
        <w:rPr>
          <w:rFonts w:hint="eastAsia" w:ascii="宋体" w:hAnsi="宋体" w:cs="宋体"/>
          <w:color w:val="000000"/>
          <w:sz w:val="24"/>
          <w:szCs w:val="24"/>
          <w:highlight w:val="none"/>
        </w:rPr>
        <w:t xml:space="preserve">交易系统（苏采云）投标人操作手册及政府</w:t>
      </w:r>
      <w:r>
        <w:rPr>
          <w:rFonts w:hint="eastAsia" w:ascii="宋体" w:hAnsi="宋体"/>
          <w:bCs/>
          <w:color w:val="000000"/>
          <w:sz w:val="24"/>
          <w:szCs w:val="24"/>
          <w:highlight w:val="none"/>
        </w:rPr>
        <w:t xml:space="preserve">采购</w:t>
      </w:r>
      <w:r>
        <w:rPr>
          <w:rFonts w:hint="eastAsia" w:ascii="宋体" w:hAnsi="宋体" w:cs="宋体"/>
          <w:color w:val="000000"/>
          <w:sz w:val="24"/>
          <w:szCs w:val="24"/>
          <w:highlight w:val="none"/>
        </w:rPr>
        <w:t xml:space="preserve">客户端》。</w:t>
      </w:r>
      <w:r>
        <w:rPr>
          <w:rFonts w:ascii="宋体" w:hAnsi="宋体" w:cs="宋体"/>
          <w:color w:val="000000"/>
          <w:sz w:val="24"/>
          <w:szCs w:val="24"/>
          <w:highlight w:val="none"/>
        </w:rPr>
      </w:r>
      <w:r/>
    </w:p>
    <w:p>
      <w:pPr>
        <w:pStyle w:val="1316"/>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4.招标文件(后缀名为“. kedt”)、投标人操作手册及政府</w:t>
      </w:r>
      <w:r>
        <w:rPr>
          <w:rFonts w:hint="eastAsia" w:ascii="宋体" w:hAnsi="宋体"/>
          <w:bCs/>
          <w:color w:val="000000"/>
          <w:sz w:val="24"/>
          <w:szCs w:val="24"/>
          <w:highlight w:val="none"/>
        </w:rPr>
        <w:t xml:space="preserve">采购</w:t>
      </w:r>
      <w:r>
        <w:rPr>
          <w:rFonts w:hint="eastAsia" w:ascii="宋体" w:hAnsi="宋体" w:cs="宋体"/>
          <w:color w:val="000000"/>
          <w:sz w:val="24"/>
          <w:szCs w:val="24"/>
          <w:highlight w:val="none"/>
        </w:rPr>
        <w:t xml:space="preserve">客户端工具可通过“苏采云”系统--已报名项目--报名详情页面内相应链接进行下载；投标人操作手册及政府</w:t>
      </w:r>
      <w:r>
        <w:rPr>
          <w:rFonts w:hint="eastAsia" w:ascii="宋体" w:hAnsi="宋体"/>
          <w:bCs/>
          <w:color w:val="000000"/>
          <w:sz w:val="24"/>
          <w:szCs w:val="24"/>
          <w:highlight w:val="none"/>
        </w:rPr>
        <w:t xml:space="preserve">采购</w:t>
      </w:r>
      <w:r>
        <w:rPr>
          <w:rFonts w:hint="eastAsia" w:ascii="宋体" w:hAnsi="宋体" w:cs="宋体"/>
          <w:color w:val="000000"/>
          <w:sz w:val="24"/>
          <w:szCs w:val="24"/>
          <w:highlight w:val="none"/>
        </w:rPr>
        <w:t xml:space="preserve">客户端工具也可通过扬中政府</w:t>
      </w:r>
      <w:r>
        <w:rPr>
          <w:rFonts w:hint="eastAsia" w:ascii="宋体" w:hAnsi="宋体"/>
          <w:bCs/>
          <w:color w:val="000000"/>
          <w:sz w:val="24"/>
          <w:szCs w:val="24"/>
          <w:highlight w:val="none"/>
        </w:rPr>
        <w:t xml:space="preserve">采购</w:t>
      </w:r>
      <w:r>
        <w:rPr>
          <w:rFonts w:hint="eastAsia" w:ascii="宋体" w:hAnsi="宋体" w:cs="宋体"/>
          <w:color w:val="000000"/>
          <w:sz w:val="24"/>
          <w:szCs w:val="24"/>
          <w:highlight w:val="none"/>
        </w:rPr>
        <w:t xml:space="preserve">网（http://www.yzzfcg.cn/）首页“资料下载”--点击进入《江苏省政府</w:t>
      </w:r>
      <w:r>
        <w:rPr>
          <w:rFonts w:hint="eastAsia" w:ascii="宋体" w:hAnsi="宋体"/>
          <w:bCs/>
          <w:color w:val="000000"/>
          <w:sz w:val="24"/>
          <w:szCs w:val="24"/>
          <w:highlight w:val="none"/>
        </w:rPr>
        <w:t xml:space="preserve">采购</w:t>
      </w:r>
      <w:r>
        <w:rPr>
          <w:rFonts w:hint="eastAsia" w:ascii="宋体" w:hAnsi="宋体" w:cs="宋体"/>
          <w:color w:val="000000"/>
          <w:sz w:val="24"/>
          <w:szCs w:val="24"/>
          <w:highlight w:val="none"/>
        </w:rPr>
        <w:t xml:space="preserve">交易系统（苏采云）投标人操作手册及政府</w:t>
      </w:r>
      <w:r>
        <w:rPr>
          <w:rFonts w:hint="eastAsia" w:ascii="宋体" w:hAnsi="宋体"/>
          <w:bCs/>
          <w:color w:val="000000"/>
          <w:sz w:val="24"/>
          <w:szCs w:val="24"/>
          <w:highlight w:val="none"/>
        </w:rPr>
        <w:t xml:space="preserve">采购</w:t>
      </w:r>
      <w:r>
        <w:rPr>
          <w:rFonts w:hint="eastAsia" w:ascii="宋体" w:hAnsi="宋体" w:cs="宋体"/>
          <w:color w:val="000000"/>
          <w:sz w:val="24"/>
          <w:szCs w:val="24"/>
          <w:highlight w:val="none"/>
        </w:rPr>
        <w:t xml:space="preserve">客户端》进行下载。</w:t>
      </w:r>
      <w:r>
        <w:rPr>
          <w:rFonts w:ascii="宋体" w:hAnsi="宋体" w:cs="宋体"/>
          <w:color w:val="000000"/>
          <w:sz w:val="24"/>
          <w:szCs w:val="24"/>
          <w:highlight w:val="none"/>
        </w:rPr>
      </w:r>
      <w:r/>
    </w:p>
    <w:p>
      <w:pPr>
        <w:pStyle w:val="1316"/>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rPr>
          <w:rFonts w:ascii="宋体" w:hAnsi="宋体" w:cs="宋体"/>
          <w:color w:val="000000"/>
          <w:sz w:val="24"/>
          <w:szCs w:val="24"/>
          <w:highlight w:val="none"/>
        </w:rPr>
      </w:r>
      <w:r/>
    </w:p>
    <w:p>
      <w:pPr>
        <w:pStyle w:val="1316"/>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rPr>
          <w:rFonts w:ascii="宋体" w:hAnsi="宋体" w:cs="宋体"/>
          <w:color w:val="000000"/>
          <w:sz w:val="24"/>
          <w:szCs w:val="24"/>
          <w:highlight w:val="none"/>
        </w:rPr>
      </w:r>
      <w:r/>
    </w:p>
    <w:p>
      <w:pPr>
        <w:pStyle w:val="1319"/>
        <w:ind w:firstLine="373"/>
        <w:spacing w:before="120" w:after="120" w:line="440" w:lineRule="exact"/>
        <w:rPr>
          <w:color w:val="000000"/>
          <w:sz w:val="24"/>
          <w:szCs w:val="24"/>
          <w:highlight w:val="none"/>
        </w:rPr>
      </w:pPr>
      <w:r>
        <w:rPr>
          <w:rFonts w:hint="eastAsia"/>
          <w:color w:val="000000"/>
          <w:sz w:val="24"/>
          <w:szCs w:val="24"/>
          <w:highlight w:val="none"/>
        </w:rPr>
        <w:t xml:space="preserve">四、提交投标文件</w:t>
      </w:r>
      <w:bookmarkEnd w:id="22"/>
      <w:r/>
      <w:bookmarkEnd w:id="23"/>
      <w:r>
        <w:rPr>
          <w:rFonts w:hint="eastAsia"/>
          <w:color w:val="000000"/>
          <w:sz w:val="24"/>
          <w:szCs w:val="24"/>
          <w:highlight w:val="none"/>
        </w:rPr>
        <w:t xml:space="preserve">截止时间、开标时间和地点</w:t>
      </w:r>
      <w:bookmarkEnd w:id="24"/>
      <w:r/>
      <w:bookmarkEnd w:id="25"/>
      <w:r/>
      <w:bookmarkEnd w:id="26"/>
      <w:r>
        <w:rPr>
          <w:color w:val="000000"/>
          <w:sz w:val="24"/>
          <w:szCs w:val="24"/>
          <w:highlight w:val="none"/>
        </w:rPr>
      </w:r>
      <w:r/>
    </w:p>
    <w:p>
      <w:pPr>
        <w:pStyle w:val="1316"/>
        <w:ind w:firstLine="480"/>
        <w:spacing w:line="440" w:lineRule="exact"/>
        <w:rPr>
          <w:rFonts w:ascii="宋体" w:hAnsi="宋体"/>
          <w:bCs/>
          <w:color w:val="0000ff"/>
          <w:sz w:val="24"/>
          <w:szCs w:val="24"/>
          <w:highlight w:val="none"/>
          <w:u w:val="single"/>
        </w:rPr>
      </w:pPr>
      <w:r>
        <w:rPr>
          <w:rFonts w:hint="eastAsia" w:ascii="宋体" w:hAnsi="宋体"/>
          <w:bCs/>
          <w:color w:val="0000ff"/>
          <w:sz w:val="24"/>
          <w:szCs w:val="24"/>
          <w:highlight w:val="none"/>
          <w:u w:val="single"/>
        </w:rPr>
        <w:t xml:space="preserve">1. </w:t>
      </w:r>
      <w:r>
        <w:rPr>
          <w:rFonts w:hint="eastAsia" w:ascii="宋体" w:hAnsi="宋体"/>
          <w:b/>
          <w:color w:val="0000ff"/>
          <w:sz w:val="24"/>
          <w:szCs w:val="24"/>
          <w:highlight w:val="none"/>
          <w:u w:val="single"/>
        </w:rPr>
        <w:t xml:space="preserve">2026年</w:t>
      </w:r>
      <w:r>
        <w:rPr>
          <w:rFonts w:hint="eastAsia" w:ascii="宋体" w:hAnsi="宋体"/>
          <w:b/>
          <w:color w:val="0000ff"/>
          <w:sz w:val="24"/>
          <w:szCs w:val="24"/>
          <w:highlight w:val="none"/>
          <w:u w:val="single"/>
          <w:lang w:val="en-US" w:eastAsia="zh-CN"/>
        </w:rPr>
        <w:t xml:space="preserve">1</w:t>
      </w:r>
      <w:r>
        <w:rPr>
          <w:rFonts w:hint="eastAsia" w:ascii="宋体" w:hAnsi="宋体"/>
          <w:b/>
          <w:color w:val="0000ff"/>
          <w:sz w:val="24"/>
          <w:szCs w:val="24"/>
          <w:highlight w:val="none"/>
          <w:u w:val="single"/>
          <w:lang w:val="en-US" w:eastAsia="zh-CN"/>
        </w:rPr>
        <w:t xml:space="preserve">0</w:t>
      </w:r>
      <w:r>
        <w:rPr>
          <w:rFonts w:hint="eastAsia" w:ascii="宋体" w:hAnsi="宋体"/>
          <w:b/>
          <w:color w:val="0000ff"/>
          <w:sz w:val="24"/>
          <w:szCs w:val="24"/>
          <w:highlight w:val="none"/>
          <w:u w:val="single"/>
        </w:rPr>
        <w:t xml:space="preserve"> 月 </w:t>
      </w:r>
      <w:r>
        <w:rPr>
          <w:rFonts w:hint="eastAsia" w:ascii="宋体" w:hAnsi="宋体"/>
          <w:b/>
          <w:color w:val="0000ff"/>
          <w:sz w:val="24"/>
          <w:szCs w:val="24"/>
          <w:highlight w:val="none"/>
          <w:u w:val="single"/>
          <w:lang w:val="en-US" w:eastAsia="zh-CN"/>
        </w:rPr>
        <w:t xml:space="preserve">2</w:t>
      </w:r>
      <w:r>
        <w:rPr>
          <w:rFonts w:hint="eastAsia" w:ascii="宋体" w:hAnsi="宋体"/>
          <w:b/>
          <w:color w:val="0000ff"/>
          <w:sz w:val="24"/>
          <w:szCs w:val="24"/>
          <w:highlight w:val="none"/>
          <w:u w:val="single"/>
          <w:lang w:val="en-US" w:eastAsia="zh-CN"/>
        </w:rPr>
        <w:t xml:space="preserve">0</w:t>
      </w:r>
      <w:r>
        <w:rPr>
          <w:rFonts w:hint="eastAsia" w:ascii="宋体" w:hAnsi="宋体"/>
          <w:b/>
          <w:color w:val="0000ff"/>
          <w:sz w:val="24"/>
          <w:szCs w:val="24"/>
          <w:highlight w:val="none"/>
          <w:u w:val="single"/>
        </w:rPr>
        <w:t xml:space="preserve">日9点30分</w:t>
      </w:r>
      <w:r>
        <w:rPr>
          <w:rFonts w:hint="eastAsia" w:ascii="宋体" w:hAnsi="宋体"/>
          <w:b/>
          <w:color w:val="0000ff"/>
          <w:sz w:val="24"/>
          <w:szCs w:val="24"/>
          <w:highlight w:val="none"/>
        </w:rPr>
        <w:t xml:space="preserve">（北京时间）。</w:t>
      </w:r>
      <w:r>
        <w:rPr>
          <w:rFonts w:ascii="宋体" w:hAnsi="宋体"/>
          <w:bCs/>
          <w:color w:val="0000ff"/>
          <w:sz w:val="24"/>
          <w:szCs w:val="24"/>
          <w:highlight w:val="none"/>
          <w:u w:val="singl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w:t>
      </w:r>
      <w:r>
        <w:rPr>
          <w:rFonts w:hint="eastAsia" w:ascii="宋体" w:hAnsi="宋体"/>
          <w:bCs/>
          <w:color w:val="000000"/>
          <w:sz w:val="24"/>
          <w:szCs w:val="24"/>
          <w:highlight w:val="none"/>
        </w:rPr>
        <w:t xml:space="preserve">采购</w:t>
      </w:r>
      <w:r>
        <w:rPr>
          <w:rFonts w:hint="eastAsia" w:ascii="宋体" w:hAnsi="宋体"/>
          <w:color w:val="000000"/>
          <w:sz w:val="24"/>
          <w:szCs w:val="24"/>
          <w:highlight w:val="none"/>
        </w:rPr>
        <w:t xml:space="preserve">交易系统网上开标大厅。</w:t>
      </w:r>
      <w:r>
        <w:rPr>
          <w:rFonts w:hint="eastAsia" w:ascii="宋体" w:hAnsi="宋体"/>
          <w:color w:val="000000"/>
          <w:sz w:val="24"/>
          <w:szCs w:val="24"/>
          <w:highlight w:val="none"/>
        </w:rPr>
      </w:r>
      <w:r/>
    </w:p>
    <w:p>
      <w:pPr>
        <w:pStyle w:val="1316"/>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highlight w:val="none"/>
        </w:rPr>
      </w:r>
      <w:r/>
    </w:p>
    <w:p>
      <w:pPr>
        <w:pStyle w:val="1316"/>
        <w:ind w:firstLine="56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4.不见面交易相关要求和说明如下：</w:t>
      </w:r>
      <w:r>
        <w:rPr>
          <w:rFonts w:ascii="宋体" w:hAnsi="宋体" w:cs="宋体"/>
          <w:color w:val="000000"/>
          <w:sz w:val="24"/>
          <w:szCs w:val="24"/>
          <w:highlight w:val="none"/>
        </w:rPr>
      </w:r>
      <w:r/>
    </w:p>
    <w:p>
      <w:pPr>
        <w:pStyle w:val="1316"/>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（1）不见面开标项目的时间均以国家授时中心发布的时间为准；</w:t>
      </w:r>
      <w:r>
        <w:rPr>
          <w:rFonts w:ascii="宋体" w:hAnsi="宋体" w:cs="宋体"/>
          <w:color w:val="000000"/>
          <w:sz w:val="24"/>
          <w:szCs w:val="24"/>
          <w:highlight w:val="none"/>
        </w:rPr>
      </w:r>
      <w:r/>
    </w:p>
    <w:p>
      <w:pPr>
        <w:pStyle w:val="1316"/>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（2）开标当日，投标人不必抵达开标现场，仅需在任意地点通过“苏采云”系统（网址：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w:t>
      </w:r>
      <w:r>
        <w:rPr>
          <w:rFonts w:hint="eastAsia" w:ascii="宋体" w:hAnsi="宋体"/>
          <w:bCs/>
          <w:color w:val="000000"/>
          <w:sz w:val="24"/>
          <w:szCs w:val="24"/>
          <w:highlight w:val="none"/>
        </w:rPr>
        <w:t xml:space="preserve">采购</w:t>
      </w:r>
      <w:r>
        <w:rPr>
          <w:rFonts w:hint="eastAsia" w:ascii="宋体" w:hAnsi="宋体" w:cs="宋体"/>
          <w:color w:val="000000"/>
          <w:sz w:val="24"/>
          <w:szCs w:val="24"/>
          <w:highlight w:val="none"/>
        </w:rPr>
        <w:t xml:space="preserve">网（http://www.yzzfcg.cn/）首页点击“苏采云”进入系统“开标大厅”参与开标过程；</w:t>
      </w:r>
      <w:r>
        <w:rPr>
          <w:rFonts w:hint="eastAsia" w:ascii="宋体" w:hAnsi="宋体" w:cs="宋体"/>
          <w:color w:val="000000"/>
          <w:sz w:val="24"/>
          <w:szCs w:val="24"/>
          <w:highlight w:val="none"/>
        </w:rPr>
        <w:fldChar w:fldCharType="end"/>
      </w:r>
      <w:r>
        <w:rPr>
          <w:rFonts w:ascii="宋体" w:hAnsi="宋体" w:cs="宋体"/>
          <w:color w:val="000000"/>
          <w:sz w:val="24"/>
          <w:szCs w:val="24"/>
          <w:highlight w:val="none"/>
        </w:rPr>
      </w:r>
      <w:r/>
    </w:p>
    <w:p>
      <w:pPr>
        <w:pStyle w:val="1316"/>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ascii="宋体" w:hAnsi="宋体" w:cs="宋体"/>
          <w:color w:val="000000"/>
          <w:sz w:val="24"/>
          <w:szCs w:val="24"/>
          <w:highlight w:val="none"/>
        </w:rPr>
      </w:r>
      <w:r/>
    </w:p>
    <w:p>
      <w:pPr>
        <w:pStyle w:val="1316"/>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（4）投标文件递交截止时间后，</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人或代理机构将在系统内公布投标人名单然后通过开标会议区发出投标文件解密的指令，投标人在各自地点按规定时间自行实施远程解密，投标人</w:t>
      </w:r>
      <w:r>
        <w:rPr>
          <w:rFonts w:hint="eastAsia" w:ascii="宋体" w:hAnsi="宋体" w:cs="宋体"/>
          <w:color w:val="000000"/>
          <w:sz w:val="24"/>
          <w:szCs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ascii="宋体" w:hAnsi="宋体" w:cs="宋体"/>
          <w:color w:val="000000"/>
          <w:sz w:val="24"/>
          <w:szCs w:val="24"/>
          <w:highlight w:val="none"/>
        </w:rPr>
      </w:r>
      <w:r/>
    </w:p>
    <w:p>
      <w:pPr>
        <w:pStyle w:val="1316"/>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（5）因投标人自身软硬件配备不齐全或发生故障等问题而导致在交互过程中出现不稳定或中断等情况的，由投标人自身承担一切后果。</w:t>
      </w:r>
      <w:r>
        <w:rPr>
          <w:rFonts w:hint="eastAsia" w:ascii="宋体" w:hAnsi="宋体" w:cs="宋体"/>
          <w:color w:val="000000"/>
          <w:sz w:val="24"/>
          <w:szCs w:val="24"/>
          <w:highlight w:val="none"/>
        </w:rPr>
      </w:r>
      <w:r/>
    </w:p>
    <w:p>
      <w:pPr>
        <w:pStyle w:val="1319"/>
        <w:ind w:firstLine="373"/>
        <w:spacing w:before="120" w:after="120" w:line="440" w:lineRule="exact"/>
        <w:rPr>
          <w:color w:val="000000"/>
          <w:sz w:val="24"/>
          <w:szCs w:val="24"/>
          <w:highlight w:val="none"/>
        </w:rPr>
      </w:pPr>
      <w:r/>
      <w:bookmarkStart w:id="27" w:name="_Toc35393794"/>
      <w:r/>
      <w:bookmarkStart w:id="28" w:name="_Toc38985267"/>
      <w:r/>
      <w:bookmarkStart w:id="29" w:name="_Toc35393625"/>
      <w:r/>
      <w:bookmarkStart w:id="30" w:name="_Toc28359084"/>
      <w:r/>
      <w:bookmarkStart w:id="31" w:name="_Toc28359007"/>
      <w:r>
        <w:rPr>
          <w:rFonts w:hint="eastAsia"/>
          <w:color w:val="000000"/>
          <w:sz w:val="24"/>
          <w:szCs w:val="24"/>
          <w:highlight w:val="none"/>
        </w:rPr>
        <w:t xml:space="preserve">五、公告期限</w:t>
      </w:r>
      <w:bookmarkEnd w:id="27"/>
      <w:r/>
      <w:bookmarkEnd w:id="28"/>
      <w:r/>
      <w:bookmarkEnd w:id="29"/>
      <w:r/>
      <w:bookmarkEnd w:id="30"/>
      <w:r/>
      <w:bookmarkEnd w:id="31"/>
      <w:r>
        <w:rPr>
          <w:color w:val="000000"/>
          <w:sz w:val="24"/>
          <w:szCs w:val="24"/>
          <w:highlight w:val="none"/>
        </w:rPr>
      </w:r>
      <w:r/>
    </w:p>
    <w:p>
      <w:pPr>
        <w:pStyle w:val="1316"/>
        <w:ind w:firstLine="480"/>
        <w:spacing w:line="440" w:lineRule="exact"/>
        <w:rPr>
          <w:rFonts w:ascii="宋体" w:hAnsi="宋体" w:cs="宋体"/>
          <w:color w:val="000000"/>
          <w:sz w:val="24"/>
          <w:szCs w:val="24"/>
          <w:highlight w:val="none"/>
        </w:rPr>
      </w:pPr>
      <w:r/>
      <w:bookmarkStart w:id="32" w:name="_Toc35393626"/>
      <w:r/>
      <w:bookmarkStart w:id="33" w:name="_Toc38985268"/>
      <w:r/>
      <w:bookmarkStart w:id="34" w:name="_Toc35393795"/>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1319"/>
        <w:ind w:firstLine="373"/>
        <w:keepLines w:val="0"/>
        <w:keepNext w:val="0"/>
        <w:spacing w:before="120" w:after="120" w:line="440" w:lineRule="exact"/>
        <w:rPr>
          <w:color w:val="000000"/>
          <w:sz w:val="24"/>
          <w:szCs w:val="24"/>
          <w:highlight w:val="none"/>
        </w:rPr>
      </w:pPr>
      <w:r>
        <w:rPr>
          <w:rFonts w:hint="eastAsia"/>
          <w:color w:val="000000"/>
          <w:sz w:val="24"/>
          <w:szCs w:val="24"/>
          <w:highlight w:val="none"/>
        </w:rPr>
        <w:t xml:space="preserve">六、其他补充事宜</w:t>
      </w:r>
      <w:bookmarkEnd w:id="32"/>
      <w:r/>
      <w:bookmarkEnd w:id="33"/>
      <w:r/>
      <w:bookmarkEnd w:id="34"/>
      <w:r>
        <w:rPr>
          <w:color w:val="000000"/>
          <w:sz w:val="24"/>
          <w:szCs w:val="24"/>
          <w:highlight w:val="none"/>
        </w:rPr>
      </w:r>
      <w:r/>
    </w:p>
    <w:p>
      <w:pPr>
        <w:pStyle w:val="1316"/>
        <w:ind w:firstLine="480"/>
        <w:spacing w:line="440" w:lineRule="exact"/>
        <w:rPr>
          <w:rFonts w:hint="eastAsia" w:ascii="宋体" w:hAnsi="宋体" w:cs="宋体"/>
          <w:color w:val="000000"/>
          <w:sz w:val="24"/>
          <w:szCs w:val="24"/>
          <w:highlight w:val="none"/>
        </w:rPr>
      </w:pPr>
      <w:r/>
      <w:bookmarkStart w:id="35" w:name="_Toc38985269"/>
      <w:r/>
      <w:bookmarkStart w:id="36" w:name="_Toc28359085"/>
      <w:r/>
      <w:bookmarkStart w:id="37" w:name="_Toc28359008"/>
      <w:r/>
      <w:bookmarkStart w:id="38" w:name="_Toc35393796"/>
      <w:r/>
      <w:bookmarkStart w:id="39" w:name="_Toc35393627"/>
      <w:r>
        <w:rPr>
          <w:rFonts w:hint="eastAsia" w:ascii="宋体" w:hAnsi="宋体" w:cs="宋体"/>
          <w:color w:val="000000"/>
          <w:sz w:val="24"/>
          <w:szCs w:val="24"/>
          <w:highlight w:val="none"/>
        </w:rPr>
        <w:t xml:space="preserve">1.现场勘察：</w:t>
      </w:r>
      <w:r>
        <w:rPr>
          <w:rFonts w:hint="eastAsia" w:ascii="宋体" w:hAnsi="宋体" w:cs="宋体"/>
          <w:color w:val="000000"/>
          <w:sz w:val="24"/>
          <w:szCs w:val="24"/>
          <w:highlight w:val="none"/>
        </w:rPr>
      </w:r>
      <w:r/>
    </w:p>
    <w:p>
      <w:pPr>
        <w:pStyle w:val="131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人不组织现场踏勘，投标人可自行组织对现场及其周围环境进行踏勘，以便投标人自行查明或核实有关编制响应文件和签订合同所必需的资料。</w:t>
      </w:r>
      <w:r>
        <w:rPr>
          <w:rFonts w:hint="eastAsia" w:ascii="宋体" w:hAnsi="宋体" w:cs="宋体"/>
          <w:color w:val="000000"/>
          <w:sz w:val="24"/>
          <w:szCs w:val="24"/>
          <w:highlight w:val="none"/>
        </w:rPr>
      </w:r>
      <w:r/>
    </w:p>
    <w:p>
      <w:pPr>
        <w:pStyle w:val="131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（2）现场踏勘期间，投标人承担自身的费用、责任和风险。如果发生人身伤亡、财物或其他损失，除国家法律法规有规定的之外，</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人均不负责。</w:t>
      </w:r>
      <w:r>
        <w:rPr>
          <w:rFonts w:hint="eastAsia" w:ascii="宋体" w:hAnsi="宋体" w:cs="宋体"/>
          <w:color w:val="000000"/>
          <w:sz w:val="24"/>
          <w:szCs w:val="24"/>
          <w:highlight w:val="none"/>
        </w:rPr>
      </w:r>
      <w:r/>
    </w:p>
    <w:p>
      <w:pPr>
        <w:pStyle w:val="131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2.本项目需要落实的政府</w:t>
      </w:r>
      <w:r>
        <w:rPr>
          <w:rFonts w:hint="eastAsia" w:ascii="宋体" w:hAnsi="宋体"/>
          <w:bCs/>
          <w:color w:val="000000"/>
          <w:sz w:val="24"/>
          <w:szCs w:val="24"/>
          <w:highlight w:val="none"/>
        </w:rPr>
        <w:t xml:space="preserve">采购</w:t>
      </w:r>
      <w:r>
        <w:rPr>
          <w:rFonts w:hint="eastAsia" w:ascii="宋体" w:hAnsi="宋体" w:cs="宋体"/>
          <w:color w:val="000000"/>
          <w:sz w:val="24"/>
          <w:szCs w:val="24"/>
          <w:highlight w:val="none"/>
        </w:rPr>
        <w:t xml:space="preserve">政策：</w:t>
      </w:r>
      <w:r>
        <w:rPr>
          <w:rFonts w:hint="eastAsia" w:ascii="宋体" w:hAnsi="宋体" w:cs="宋体"/>
          <w:color w:val="000000"/>
          <w:sz w:val="24"/>
          <w:szCs w:val="24"/>
          <w:highlight w:val="none"/>
          <w:lang w:val="zh-CN"/>
        </w:rPr>
        <w:t xml:space="preserve">财政部、工业和信息化部关于印发《政府</w:t>
      </w:r>
      <w:r>
        <w:rPr>
          <w:rFonts w:hint="eastAsia" w:ascii="宋体" w:hAnsi="宋体"/>
          <w:bCs/>
          <w:color w:val="000000"/>
          <w:sz w:val="24"/>
          <w:szCs w:val="24"/>
          <w:highlight w:val="none"/>
        </w:rPr>
        <w:t xml:space="preserve">采购</w:t>
      </w:r>
      <w:r>
        <w:rPr>
          <w:rFonts w:hint="eastAsia" w:ascii="宋体" w:hAnsi="宋体" w:cs="宋体"/>
          <w:color w:val="000000"/>
          <w:sz w:val="24"/>
          <w:szCs w:val="24"/>
          <w:highlight w:val="none"/>
          <w:lang w:val="zh-CN"/>
        </w:rPr>
        <w:t xml:space="preserve">促进中小企业发展管理办法》的通知（财库〔2020〕46号</w:t>
      </w:r>
      <w:r>
        <w:rPr>
          <w:rFonts w:hint="eastAsia" w:ascii="宋体" w:hAnsi="宋体" w:cs="宋体"/>
          <w:color w:val="000000"/>
          <w:sz w:val="24"/>
          <w:szCs w:val="24"/>
          <w:highlight w:val="none"/>
        </w:rPr>
        <w:t xml:space="preserve">)、《关于进一步加大政府</w:t>
      </w:r>
      <w:r>
        <w:rPr>
          <w:rFonts w:hint="eastAsia" w:ascii="宋体" w:hAnsi="宋体"/>
          <w:bCs/>
          <w:color w:val="000000"/>
          <w:sz w:val="24"/>
          <w:szCs w:val="24"/>
          <w:highlight w:val="none"/>
        </w:rPr>
        <w:t xml:space="preserve">采购</w:t>
      </w:r>
      <w:r>
        <w:rPr>
          <w:rFonts w:hint="eastAsia" w:ascii="宋体" w:hAnsi="宋体" w:cs="宋体"/>
          <w:color w:val="000000"/>
          <w:sz w:val="24"/>
          <w:szCs w:val="24"/>
          <w:highlight w:val="none"/>
        </w:rPr>
        <w:t xml:space="preserve">支持中小企业力度的通知》（</w:t>
      </w:r>
      <w:r>
        <w:rPr>
          <w:rFonts w:hint="eastAsia" w:ascii="宋体" w:hAnsi="宋体" w:cs="宋体"/>
          <w:color w:val="000000"/>
          <w:sz w:val="24"/>
          <w:szCs w:val="24"/>
          <w:highlight w:val="none"/>
          <w:lang w:val="zh-CN"/>
        </w:rPr>
        <w:t xml:space="preserve">财库〔2023〕19号</w:t>
      </w:r>
      <w:r>
        <w:rPr>
          <w:rFonts w:hint="eastAsia" w:ascii="宋体" w:hAnsi="宋体" w:cs="宋体"/>
          <w:color w:val="000000"/>
          <w:sz w:val="24"/>
          <w:szCs w:val="24"/>
          <w:highlight w:val="none"/>
        </w:rPr>
        <w:t xml:space="preserve">）、残疾人福利性单位政策、监狱企业发展政策（具体表述详见文件）。</w:t>
      </w:r>
      <w:r>
        <w:rPr>
          <w:rFonts w:hint="eastAsia" w:ascii="宋体" w:hAnsi="宋体" w:cs="宋体"/>
          <w:color w:val="000000"/>
          <w:sz w:val="24"/>
          <w:szCs w:val="24"/>
          <w:highlight w:val="none"/>
        </w:rPr>
      </w:r>
      <w:r/>
    </w:p>
    <w:p>
      <w:pPr>
        <w:pStyle w:val="1319"/>
        <w:numPr>
          <w:ilvl w:val="0"/>
          <w:numId w:val="6"/>
        </w:numPr>
        <w:ind w:firstLine="373"/>
        <w:spacing w:before="120" w:after="120" w:line="440" w:lineRule="exact"/>
        <w:rPr>
          <w:rFonts w:hint="eastAsia"/>
          <w:color w:val="000000"/>
          <w:sz w:val="24"/>
          <w:szCs w:val="24"/>
          <w:highlight w:val="none"/>
        </w:rPr>
      </w:pPr>
      <w:r>
        <w:rPr>
          <w:rFonts w:hint="eastAsia"/>
          <w:color w:val="000000"/>
          <w:sz w:val="24"/>
          <w:szCs w:val="24"/>
          <w:highlight w:val="none"/>
        </w:rPr>
        <w:t xml:space="preserve">本次招标联系方式</w:t>
      </w:r>
      <w:bookmarkEnd w:id="35"/>
      <w:r/>
      <w:bookmarkEnd w:id="36"/>
      <w:r/>
      <w:bookmarkEnd w:id="37"/>
      <w:r/>
      <w:bookmarkEnd w:id="38"/>
      <w:r/>
      <w:bookmarkEnd w:id="39"/>
      <w:r>
        <w:rPr>
          <w:rFonts w:hint="eastAsia"/>
          <w:color w:val="000000"/>
          <w:sz w:val="24"/>
          <w:szCs w:val="24"/>
          <w:highlight w:val="none"/>
        </w:rPr>
      </w:r>
      <w:r/>
    </w:p>
    <w:p>
      <w:pPr>
        <w:pStyle w:val="131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1.招标人信息</w:t>
      </w:r>
      <w:r>
        <w:rPr>
          <w:rFonts w:hint="eastAsia" w:ascii="宋体" w:hAnsi="宋体" w:cs="宋体"/>
          <w:color w:val="000000"/>
          <w:sz w:val="24"/>
          <w:szCs w:val="24"/>
          <w:highlight w:val="none"/>
        </w:rPr>
      </w:r>
      <w:r/>
    </w:p>
    <w:p>
      <w:pPr>
        <w:pStyle w:val="1316"/>
        <w:ind w:firstLine="480"/>
        <w:jc w:val="left"/>
        <w:spacing w:line="440" w:lineRule="exact"/>
        <w:rPr>
          <w:rFonts w:hint="eastAsia" w:ascii="宋体" w:hAnsi="宋体" w:cs="宋体"/>
          <w:color w:val="000000"/>
          <w:sz w:val="24"/>
          <w:szCs w:val="24"/>
          <w:highlight w:val="none"/>
        </w:rPr>
      </w:pPr>
      <w:r/>
      <w:bookmarkStart w:id="40" w:name="_Toc28359009"/>
      <w:r/>
      <w:bookmarkStart w:id="41" w:name="_Toc28359086"/>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 扬中市卫生健康委员会</w:t>
      </w:r>
      <w:r>
        <w:rPr>
          <w:rFonts w:hint="eastAsia" w:ascii="宋体" w:hAnsi="宋体" w:cs="宋体"/>
          <w:color w:val="000000"/>
          <w:sz w:val="24"/>
          <w:szCs w:val="24"/>
          <w:highlight w:val="none"/>
        </w:rPr>
      </w:r>
      <w:r/>
    </w:p>
    <w:p>
      <w:pPr>
        <w:pStyle w:val="1316"/>
        <w:ind w:firstLine="480"/>
        <w:jc w:val="left"/>
        <w:spacing w:line="44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镇江市扬中市扬子西路86号</w:t>
      </w:r>
      <w:r>
        <w:rPr>
          <w:rFonts w:hint="eastAsia" w:ascii="宋体" w:hAnsi="宋体" w:cs="宋体"/>
          <w:color w:val="000000"/>
          <w:sz w:val="24"/>
          <w:szCs w:val="24"/>
          <w:highlight w:val="none"/>
          <w:u w:val="single"/>
        </w:rPr>
      </w:r>
      <w:r/>
    </w:p>
    <w:p>
      <w:pPr>
        <w:pStyle w:val="1316"/>
        <w:ind w:firstLine="48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 高一轩 </w:t>
      </w:r>
      <w:r>
        <w:rPr>
          <w:rFonts w:ascii="宋体" w:hAnsi="宋体" w:cs="宋体"/>
          <w:color w:val="000000"/>
          <w:sz w:val="24"/>
          <w:szCs w:val="24"/>
          <w:highlight w:val="none"/>
        </w:rPr>
      </w:r>
      <w:r/>
    </w:p>
    <w:p>
      <w:pPr>
        <w:pStyle w:val="1316"/>
        <w:ind w:firstLine="48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0511-88323409 </w:t>
      </w:r>
      <w:r>
        <w:rPr>
          <w:rFonts w:ascii="宋体" w:hAnsi="宋体" w:cs="宋体"/>
          <w:color w:val="000000"/>
          <w:sz w:val="24"/>
          <w:szCs w:val="24"/>
          <w:highlight w:val="none"/>
        </w:rPr>
      </w:r>
      <w:r/>
    </w:p>
    <w:p>
      <w:pPr>
        <w:pStyle w:val="1316"/>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2.代理机构信息</w:t>
      </w:r>
      <w:r>
        <w:rPr>
          <w:rFonts w:hint="eastAsia" w:ascii="宋体" w:hAnsi="宋体" w:cs="宋体"/>
          <w:color w:val="000000"/>
          <w:sz w:val="24"/>
          <w:szCs w:val="24"/>
          <w:highlight w:val="none"/>
        </w:rPr>
      </w:r>
      <w:r/>
    </w:p>
    <w:p>
      <w:pPr>
        <w:pStyle w:val="1316"/>
        <w:ind w:firstLine="480"/>
        <w:spacing w:line="440" w:lineRule="exact"/>
        <w:rPr>
          <w:rFonts w:hint="eastAsia" w:ascii="宋体" w:hAnsi="宋体" w:cs="宋体"/>
          <w:color w:val="000000"/>
          <w:sz w:val="24"/>
          <w:szCs w:val="24"/>
          <w:highlight w:val="none"/>
          <w:u w:val="single"/>
        </w:rPr>
        <w:outlineLvl w:val="2"/>
      </w:pPr>
      <w:r/>
      <w:bookmarkEnd w:id="40"/>
      <w:r/>
      <w:bookmarkEnd w:id="41"/>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江苏金居工程项目管理有限公司</w:t>
      </w:r>
      <w:r>
        <w:rPr>
          <w:rFonts w:hint="eastAsia" w:ascii="宋体" w:hAnsi="宋体" w:cs="宋体"/>
          <w:color w:val="000000"/>
          <w:sz w:val="24"/>
          <w:szCs w:val="24"/>
          <w:highlight w:val="none"/>
          <w:u w:val="single"/>
        </w:rPr>
      </w:r>
      <w:r/>
    </w:p>
    <w:p>
      <w:pPr>
        <w:pStyle w:val="1316"/>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扬中市中电大道688号浩云湾27幢04室</w:t>
      </w:r>
      <w:r>
        <w:rPr>
          <w:rFonts w:hint="eastAsia" w:ascii="宋体" w:hAnsi="宋体"/>
          <w:color w:val="000000"/>
          <w:sz w:val="24"/>
          <w:szCs w:val="24"/>
          <w:highlight w:val="none"/>
          <w:u w:val="single"/>
        </w:rPr>
      </w:r>
      <w:r/>
    </w:p>
    <w:p>
      <w:pPr>
        <w:pStyle w:val="13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张梦雅</w:t>
      </w:r>
      <w:r>
        <w:rPr>
          <w:rFonts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w:t>
      </w:r>
      <w:bookmarkStart w:id="42" w:name="_Toc28359087"/>
      <w:r/>
      <w:bookmarkStart w:id="43" w:name="_Toc28359010"/>
      <w:r>
        <w:rPr>
          <w:rFonts w:hint="eastAsia" w:ascii="宋体" w:hAnsi="宋体"/>
          <w:color w:val="000000"/>
          <w:sz w:val="24"/>
          <w:szCs w:val="24"/>
          <w:highlight w:val="none"/>
          <w:u w:val="single"/>
        </w:rPr>
        <w:t xml:space="preserve">19814712528</w:t>
      </w:r>
      <w:r>
        <w:rPr>
          <w:rFonts w:hint="eastAsia" w:ascii="宋体" w:hAnsi="宋体"/>
          <w:color w:val="000000"/>
          <w:sz w:val="24"/>
          <w:szCs w:val="24"/>
          <w:highlight w:val="none"/>
        </w:rPr>
      </w:r>
      <w:r/>
    </w:p>
    <w:p>
      <w:pPr>
        <w:pStyle w:val="1319"/>
        <w:ind w:firstLine="373"/>
        <w:spacing w:before="120" w:after="120" w:line="440" w:lineRule="exact"/>
        <w:rPr>
          <w:color w:val="000000"/>
          <w:sz w:val="24"/>
          <w:szCs w:val="24"/>
          <w:highlight w:val="none"/>
        </w:rPr>
      </w:pPr>
      <w:r/>
      <w:bookmarkEnd w:id="42"/>
      <w:r/>
      <w:bookmarkEnd w:id="43"/>
      <w:r>
        <w:rPr>
          <w:rFonts w:hint="eastAsia"/>
          <w:color w:val="000000"/>
          <w:sz w:val="24"/>
          <w:szCs w:val="24"/>
          <w:highlight w:val="none"/>
        </w:rPr>
        <w:t xml:space="preserve">八、其他</w:t>
      </w:r>
      <w:r>
        <w:rPr>
          <w:color w:val="000000"/>
          <w:sz w:val="24"/>
          <w:szCs w:val="24"/>
          <w:highlight w:val="none"/>
        </w:rPr>
      </w:r>
      <w:r/>
    </w:p>
    <w:p>
      <w:pPr>
        <w:pStyle w:val="1316"/>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 有关本次招标的事项若存在变动或修改，敬请及时关注“江苏政府采购网”、“扬中政府采购网”发布的更正公告。</w:t>
      </w:r>
      <w:r>
        <w:rPr>
          <w:rFonts w:hint="eastAsia" w:ascii="宋体" w:hAnsi="宋体"/>
          <w:bCs/>
          <w:color w:val="000000"/>
          <w:sz w:val="24"/>
          <w:szCs w:val="24"/>
          <w:highlight w:val="none"/>
        </w:rPr>
      </w:r>
      <w:r/>
    </w:p>
    <w:p>
      <w:pPr>
        <w:pStyle w:val="1316"/>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本次招标不收取投标保证金。</w:t>
      </w:r>
      <w:r>
        <w:rPr>
          <w:rFonts w:hint="eastAsia" w:ascii="宋体" w:hAnsi="宋体"/>
          <w:bCs/>
          <w:color w:val="000000"/>
          <w:sz w:val="24"/>
          <w:szCs w:val="24"/>
          <w:highlight w:val="none"/>
        </w:rPr>
      </w:r>
      <w:r/>
    </w:p>
    <w:p>
      <w:pPr>
        <w:pStyle w:val="1316"/>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316"/>
        <w:ind w:right="839"/>
        <w:jc w:val="center"/>
        <w:spacing w:before="120" w:after="120" w:line="440" w:lineRule="exact"/>
        <w:rPr>
          <w:rFonts w:hint="eastAsia" w:ascii="黑体" w:eastAsia="黑体"/>
          <w:b/>
          <w:bCs/>
          <w:color w:val="000000"/>
          <w:highlight w:val="none"/>
        </w:rPr>
      </w:pPr>
      <w:r>
        <w:rPr>
          <w:rFonts w:ascii="宋体" w:hAnsi="宋体"/>
          <w:color w:val="000000"/>
          <w:sz w:val="24"/>
          <w:szCs w:val="24"/>
          <w:highlight w:val="none"/>
        </w:rPr>
        <w:br w:type="page" w:clear="all"/>
      </w:r>
      <w:bookmarkStart w:id="44" w:name="_Toc120614211"/>
      <w:r>
        <w:rPr>
          <w:rFonts w:hint="eastAsia" w:ascii="黑体" w:eastAsia="黑体"/>
          <w:color w:val="000000"/>
          <w:sz w:val="32"/>
          <w:szCs w:val="32"/>
          <w:highlight w:val="none"/>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513029202"/>
      <w:r/>
      <w:bookmarkStart w:id="48" w:name="_Toc120614213"/>
      <w:r>
        <w:rPr>
          <w:rFonts w:hint="eastAsia" w:ascii="黑体" w:eastAsia="黑体"/>
          <w:color w:val="000000"/>
          <w:sz w:val="32"/>
          <w:szCs w:val="32"/>
          <w:highlight w:val="none"/>
        </w:rPr>
        <w:t xml:space="preserve">投标人须知</w:t>
      </w:r>
      <w:bookmarkEnd w:id="45"/>
      <w:r/>
      <w:bookmarkEnd w:id="46"/>
      <w:r/>
      <w:bookmarkEnd w:id="47"/>
      <w:r/>
      <w:bookmarkEnd w:id="48"/>
      <w:r>
        <w:rPr>
          <w:rFonts w:hint="eastAsia" w:ascii="黑体" w:eastAsia="黑体"/>
          <w:b/>
          <w:bCs/>
          <w:color w:val="000000"/>
          <w:highlight w:val="none"/>
        </w:rPr>
      </w:r>
      <w:r/>
    </w:p>
    <w:p>
      <w:pPr>
        <w:pStyle w:val="1319"/>
        <w:ind w:firstLine="373"/>
        <w:spacing w:before="120" w:after="120" w:line="440" w:lineRule="exact"/>
        <w:rPr>
          <w:rFonts w:hint="eastAsia"/>
          <w:color w:val="000000"/>
          <w:sz w:val="24"/>
          <w:szCs w:val="24"/>
          <w:highlight w:val="none"/>
        </w:rPr>
      </w:pPr>
      <w:r/>
      <w:bookmarkStart w:id="49" w:name="_Toc16938519"/>
      <w:r/>
      <w:bookmarkStart w:id="50" w:name="_Toc513029203"/>
      <w:r/>
      <w:bookmarkStart w:id="51" w:name="_Toc120614214"/>
      <w:r/>
      <w:bookmarkStart w:id="52" w:name="_Toc20823275"/>
      <w:r>
        <w:rPr>
          <w:rFonts w:hint="eastAsia"/>
          <w:color w:val="000000"/>
          <w:sz w:val="24"/>
          <w:szCs w:val="24"/>
          <w:highlight w:val="none"/>
        </w:rPr>
        <w:t xml:space="preserve">一、总则</w:t>
      </w:r>
      <w:bookmarkEnd w:id="49"/>
      <w:r/>
      <w:bookmarkEnd w:id="50"/>
      <w:r/>
      <w:bookmarkEnd w:id="51"/>
      <w:r/>
      <w:bookmarkEnd w:id="52"/>
      <w:r>
        <w:rPr>
          <w:rFonts w:hint="eastAsia"/>
          <w:color w:val="000000"/>
          <w:sz w:val="24"/>
          <w:szCs w:val="24"/>
          <w:highlight w:val="none"/>
        </w:rPr>
      </w:r>
      <w:r/>
    </w:p>
    <w:p>
      <w:pPr>
        <w:pStyle w:val="1320"/>
        <w:ind w:firstLine="360"/>
        <w:spacing w:before="0" w:after="0" w:line="440" w:lineRule="exact"/>
        <w:rPr>
          <w:rFonts w:hint="eastAsia"/>
          <w:b w:val="0"/>
          <w:bCs w:val="0"/>
          <w:color w:val="000000"/>
          <w:sz w:val="24"/>
          <w:szCs w:val="24"/>
          <w:highlight w:val="none"/>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color w:val="000000"/>
          <w:sz w:val="24"/>
          <w:szCs w:val="24"/>
          <w:highlight w:val="none"/>
        </w:rPr>
        <w:t xml:space="preserve">1</w:t>
      </w:r>
      <w:bookmarkEnd w:id="54"/>
      <w:r>
        <w:rPr>
          <w:rFonts w:hint="eastAsia"/>
          <w:b w:val="0"/>
          <w:bCs w:val="0"/>
          <w:color w:val="000000"/>
          <w:sz w:val="24"/>
          <w:szCs w:val="24"/>
          <w:highlight w:val="none"/>
        </w:rPr>
        <w:t xml:space="preserve">、招标方式</w:t>
      </w:r>
      <w:bookmarkEnd w:id="55"/>
      <w:r/>
      <w:bookmarkEnd w:id="56"/>
      <w:r/>
      <w:bookmarkEnd w:id="57"/>
      <w:r>
        <w:rPr>
          <w:rFonts w:hint="eastAsia"/>
          <w:b w:val="0"/>
          <w:bCs w:val="0"/>
          <w:color w:val="000000"/>
          <w:sz w:val="24"/>
          <w:szCs w:val="24"/>
          <w:highlight w:val="none"/>
        </w:rPr>
      </w:r>
      <w:r/>
    </w:p>
    <w:p>
      <w:pPr>
        <w:pStyle w:val="1316"/>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hint="eastAsia" w:ascii="宋体" w:hAnsi="宋体"/>
          <w:color w:val="000000"/>
          <w:sz w:val="24"/>
          <w:highlight w:val="none"/>
        </w:rPr>
      </w:r>
      <w:r/>
    </w:p>
    <w:p>
      <w:pPr>
        <w:pStyle w:val="1320"/>
        <w:ind w:firstLine="360"/>
        <w:spacing w:before="0" w:after="0" w:line="440" w:lineRule="exact"/>
        <w:rPr>
          <w:rFonts w:hint="eastAsia"/>
          <w:b w:val="0"/>
          <w:bCs w:val="0"/>
          <w:color w:val="000000"/>
          <w:sz w:val="24"/>
          <w:szCs w:val="24"/>
          <w:highlight w:val="none"/>
        </w:rPr>
      </w:pPr>
      <w:r/>
      <w:bookmarkStart w:id="58" w:name="_Toc20823277"/>
      <w:r/>
      <w:bookmarkStart w:id="59" w:name="_Toc513029205"/>
      <w:r/>
      <w:bookmarkStart w:id="60" w:name="_Toc16938521"/>
      <w:r>
        <w:rPr>
          <w:rFonts w:hint="eastAsia"/>
          <w:b w:val="0"/>
          <w:bCs w:val="0"/>
          <w:color w:val="000000"/>
          <w:sz w:val="24"/>
          <w:szCs w:val="24"/>
          <w:highlight w:val="none"/>
        </w:rPr>
        <w:t xml:space="preserve">2、合格的投标人</w:t>
      </w:r>
      <w:bookmarkEnd w:id="58"/>
      <w:r/>
      <w:bookmarkEnd w:id="59"/>
      <w:r/>
      <w:bookmarkEnd w:id="60"/>
      <w:r>
        <w:rPr>
          <w:rFonts w:hint="eastAsia"/>
          <w:b w:val="0"/>
          <w:bCs w:val="0"/>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2.1满足招标公告中投标人的资格要求的规定。</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1320"/>
        <w:ind w:firstLine="360"/>
        <w:spacing w:before="0" w:after="0" w:line="440" w:lineRule="exact"/>
        <w:rPr>
          <w:b w:val="0"/>
          <w:bCs w:val="0"/>
          <w:color w:val="000000"/>
          <w:sz w:val="24"/>
          <w:szCs w:val="24"/>
          <w:highlight w:val="none"/>
        </w:rPr>
      </w:pPr>
      <w:r/>
      <w:bookmarkStart w:id="61" w:name="_Toc20823278"/>
      <w:r/>
      <w:bookmarkStart w:id="62" w:name="_Toc16938522"/>
      <w:r/>
      <w:bookmarkStart w:id="63" w:name="_Toc513029206"/>
      <w:r>
        <w:rPr>
          <w:rFonts w:hint="eastAsia"/>
          <w:b w:val="0"/>
          <w:bCs w:val="0"/>
          <w:color w:val="000000"/>
          <w:sz w:val="24"/>
          <w:szCs w:val="24"/>
          <w:highlight w:val="none"/>
        </w:rPr>
        <w:t xml:space="preserve">3、适用法律</w:t>
      </w:r>
      <w:bookmarkEnd w:id="61"/>
      <w:r/>
      <w:bookmarkEnd w:id="62"/>
      <w:r/>
      <w:bookmarkEnd w:id="63"/>
      <w:r>
        <w:rPr>
          <w:rFonts w:hint="eastAsia"/>
          <w:b w:val="0"/>
          <w:bCs w:val="0"/>
          <w:color w:val="000000"/>
          <w:sz w:val="24"/>
          <w:szCs w:val="24"/>
          <w:highlight w:val="none"/>
        </w:rPr>
        <w:t xml:space="preserve">及政策功能</w:t>
      </w:r>
      <w:r>
        <w:rPr>
          <w:b w:val="0"/>
          <w:bCs w:val="0"/>
          <w:color w:val="000000"/>
          <w:sz w:val="24"/>
          <w:szCs w:val="24"/>
          <w:highlight w:val="none"/>
        </w:rPr>
      </w:r>
      <w:r/>
    </w:p>
    <w:p>
      <w:pPr>
        <w:pStyle w:val="1316"/>
        <w:ind w:firstLine="420"/>
        <w:spacing w:line="440" w:lineRule="exact"/>
        <w:rPr>
          <w:rFonts w:ascii="宋体" w:hAnsi="宋体"/>
          <w:color w:val="000000"/>
          <w:sz w:val="24"/>
          <w:highlight w:val="none"/>
        </w:rPr>
      </w:pPr>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活动中视同中小企业。</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活动中，投标人提供的货物、工程或者服务符合下列情形的，享受中小企业扶持政策：</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3.1.2.1在货物项目中，货物由中小企业制造，即货物由中小企业生产且使用该中小企业商号或者注册商标；</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3.1.2.2在工程项目中，工程由中小企业承建，即工程施工单位为中小企业；</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在货物项目中，投标人提供的货物既有中小企业制造货物，也有大型企业制造货物的，不享受中小企业扶持政策。</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促进中小企业发展管理办法》要求，对于未预留份额专门面向中小企业的政府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货物或服务项目，以及预留份额政府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货物或服务项目中的非预留部分标项，对小型和微型企业的投标报价给予</w:t>
      </w:r>
      <w:bookmarkStart w:id="64" w:name="_Hlk132637972"/>
      <w:r>
        <w:rPr>
          <w:rFonts w:hint="eastAsia" w:ascii="宋体" w:hAnsi="宋体"/>
          <w:color w:val="000000"/>
          <w:sz w:val="24"/>
          <w:highlight w:val="none"/>
        </w:rPr>
        <w:t xml:space="preserve">10%-20%</w:t>
      </w:r>
      <w:bookmarkEnd w:id="64"/>
      <w:r>
        <w:rPr>
          <w:rFonts w:hint="eastAsia" w:ascii="宋体" w:hAnsi="宋体"/>
          <w:color w:val="000000"/>
          <w:sz w:val="24"/>
          <w:highlight w:val="none"/>
        </w:rPr>
        <w:t xml:space="preserve">的扣除，</w:t>
      </w:r>
      <w:bookmarkStart w:id="65" w:name="_Hlk132637893"/>
      <w:r>
        <w:rPr>
          <w:rFonts w:hint="eastAsia" w:ascii="宋体" w:hAnsi="宋体"/>
          <w:color w:val="000000"/>
          <w:sz w:val="24"/>
          <w:highlight w:val="none"/>
        </w:rPr>
        <w:t xml:space="preserve">用扣除后的价格参与评审</w:t>
      </w:r>
      <w:bookmarkEnd w:id="65"/>
      <w:r>
        <w:rPr>
          <w:rFonts w:hint="eastAsia" w:ascii="宋体" w:hAnsi="宋体"/>
          <w:color w:val="000000"/>
          <w:sz w:val="24"/>
          <w:highlight w:val="none"/>
        </w:rPr>
        <w:t xml:space="preserve">。接受大中型企业与小微企业组成联合体或者允许大中型企业向一家或者多家小微企业分包的政府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货物或服务项目，对</w:t>
      </w:r>
      <w:r>
        <w:rPr>
          <w:rFonts w:hint="eastAsia" w:ascii="宋体" w:hAnsi="宋体"/>
          <w:color w:val="000000"/>
          <w:sz w:val="24"/>
          <w:highlight w:val="none"/>
        </w:rPr>
        <w:t xml:space="preserve">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000000"/>
          <w:sz w:val="24"/>
          <w:szCs w:val="24"/>
          <w:highlight w:val="none"/>
          <w:lang w:val="zh-CN"/>
        </w:rPr>
        <w:t xml:space="preserve">〔</w:t>
      </w:r>
      <w:r>
        <w:rPr>
          <w:rFonts w:hint="eastAsia" w:ascii="宋体" w:hAnsi="宋体"/>
          <w:color w:val="000000"/>
          <w:sz w:val="24"/>
          <w:highlight w:val="none"/>
        </w:rPr>
        <w:t xml:space="preserve">2011〕300号）。</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 司法部关于政府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合同的，小微企业不得将合同分包给大中型企业，中型企业不得将合同分包给大型企业。</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3.2强制信息安全产品</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执行机制的通知》（财库〔2019〕9号）的规定，对政府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节能产品、环境标志产品实施品目清单管理。投标人所投产品属于品目清单范围的，依据国家确定的认证机构出具的、处于有效期之内的节能产品、环境标志产品认证证书，对获得证书的产品实施政府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优先或强制。</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商品包装政府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 《快递包装政府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需求标准（试行）》的通知》</w:t>
      </w:r>
      <w:bookmarkStart w:id="66" w:name="_Hlk132634610"/>
      <w:r>
        <w:rPr>
          <w:rFonts w:hint="eastAsia" w:ascii="宋体" w:hAnsi="宋体"/>
          <w:color w:val="000000"/>
          <w:sz w:val="24"/>
          <w:highlight w:val="none"/>
        </w:rPr>
        <w:t xml:space="preserve">（财办库〔2020〕123号）</w:t>
      </w:r>
      <w:bookmarkEnd w:id="66"/>
      <w:r>
        <w:rPr>
          <w:rFonts w:hint="eastAsia" w:ascii="宋体" w:hAnsi="宋体"/>
          <w:color w:val="000000"/>
          <w:sz w:val="24"/>
          <w:highlight w:val="none"/>
        </w:rPr>
        <w:t xml:space="preserve">规定的包装需求标准。</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管理的装修、修缮等项目，鼓励参考财政部办公厅 住房和城乡建设部办公厅 工业和信息化部办公厅关于印发《政府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支持绿色建材促进建筑品质提升政策项目实施指南》的通知（财办库〔2023〕52号）规定的需求标准。</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3.3.4招标人数据中心相关设备、运维服务，按照《绿色数据中心政府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需求标准（试行）》实施相关活动。</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3.4 根据国家扶持中小企业的有关政策，采购项目中标人在履约过程中如遇到资金困难，凭政府采购合同在相关金融机构办理授信申请，相关事宜详见江苏政府采购网站“政采贷”栏目。</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3.5.1招标人优先被认定为重点推广应用、首台（套）重大装备、重点领域首版次软件的自主创新产品。</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3.7招标人数据中心相关设备、运维服务，按照《绿色数据中心政府需求标准（试行）》实施相关活动。</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3.8根据国家扶持中小企业的有关政策，组织方负责代理的项目中标（成交）企业，在履约过程中如遇到资金困难，凭中标（成交）通知书在相关金融机构办理授信申请，相关事宜请查阅“镇江市公共资源交易服务平台---政府”网站。</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3.9本项目实施本国产品标准及相关政策【《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（1）本项目对采购本国产品给予政策支持，具体内容见招标文件“评标方法及评标标准”。</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3.10本次招标及由本次产生的合同受中华人民共和国法律制约和保护。</w:t>
      </w:r>
      <w:r>
        <w:rPr>
          <w:rFonts w:hint="eastAsia" w:ascii="宋体" w:hAnsi="宋体"/>
          <w:color w:val="000000"/>
          <w:sz w:val="24"/>
          <w:highlight w:val="none"/>
        </w:rPr>
      </w:r>
      <w:r/>
    </w:p>
    <w:p>
      <w:pPr>
        <w:pStyle w:val="1316"/>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3.11投标人一旦领取了本招标文件并参加投标，即被认为接受了本招标文件的规定和约束。</w:t>
      </w:r>
      <w:r>
        <w:rPr>
          <w:rFonts w:hint="eastAsia" w:ascii="宋体" w:hAnsi="宋体"/>
          <w:color w:val="000000"/>
          <w:sz w:val="24"/>
          <w:highlight w:val="none"/>
        </w:rPr>
      </w:r>
      <w:r/>
    </w:p>
    <w:p>
      <w:pPr>
        <w:pStyle w:val="1320"/>
        <w:ind w:firstLine="480"/>
        <w:spacing w:before="0" w:after="0" w:line="440" w:lineRule="exact"/>
        <w:rPr>
          <w:rFonts w:hint="eastAsia"/>
          <w:b w:val="0"/>
          <w:bCs w:val="0"/>
          <w:color w:val="000000"/>
          <w:sz w:val="24"/>
          <w:szCs w:val="24"/>
          <w:highlight w:val="none"/>
        </w:rPr>
      </w:pPr>
      <w:r/>
      <w:bookmarkStart w:id="67" w:name="_Toc20823279"/>
      <w:r/>
      <w:bookmarkStart w:id="68" w:name="_Toc462564067"/>
      <w:r/>
      <w:bookmarkStart w:id="69" w:name="_Toc513029207"/>
      <w:r/>
      <w:bookmarkStart w:id="70" w:name="_Toc16938523"/>
      <w:r>
        <w:rPr>
          <w:rFonts w:hint="eastAsia"/>
          <w:b w:val="0"/>
          <w:bCs w:val="0"/>
          <w:color w:val="000000"/>
          <w:sz w:val="24"/>
          <w:szCs w:val="24"/>
          <w:highlight w:val="none"/>
        </w:rPr>
        <w:t xml:space="preserve">4、投标费用</w:t>
      </w:r>
      <w:bookmarkEnd w:id="67"/>
      <w:r/>
      <w:bookmarkEnd w:id="68"/>
      <w:r/>
      <w:bookmarkEnd w:id="69"/>
      <w:r/>
      <w:bookmarkEnd w:id="70"/>
      <w:r>
        <w:rPr>
          <w:rFonts w:hint="eastAsia"/>
          <w:b w:val="0"/>
          <w:bCs w:val="0"/>
          <w:color w:val="000000"/>
          <w:sz w:val="24"/>
          <w:szCs w:val="24"/>
          <w:highlight w:val="none"/>
        </w:rPr>
      </w:r>
      <w:r/>
    </w:p>
    <w:p>
      <w:pPr>
        <w:pStyle w:val="1316"/>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r>
        <w:rPr>
          <w:rFonts w:hint="eastAsia" w:ascii="宋体" w:hAnsi="宋体"/>
          <w:color w:val="000000"/>
          <w:sz w:val="24"/>
          <w:szCs w:val="24"/>
          <w:highlight w:val="none"/>
        </w:rPr>
        <w:t xml:space="preserve">江苏金居工程项目管理有限公司</w:t>
      </w:r>
      <w:r>
        <w:rPr>
          <w:rFonts w:hint="eastAsia" w:ascii="宋体" w:hAnsi="宋体"/>
          <w:color w:val="000000"/>
          <w:sz w:val="24"/>
          <w:highlight w:val="none"/>
        </w:rPr>
        <w:t xml:space="preserve">在任何情况下均无义务和责任承担这些费用。</w:t>
      </w:r>
      <w:r>
        <w:rPr>
          <w:rFonts w:hint="eastAsia" w:ascii="宋体" w:hAnsi="宋体"/>
          <w:color w:val="000000"/>
          <w:sz w:val="24"/>
          <w:highlight w:val="none"/>
        </w:rPr>
      </w:r>
      <w:r/>
    </w:p>
    <w:p>
      <w:pPr>
        <w:pStyle w:val="1316"/>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4.2本次招标不收取标书工本费。</w:t>
      </w:r>
      <w:r>
        <w:rPr>
          <w:rFonts w:hint="eastAsia" w:ascii="宋体" w:hAnsi="宋体"/>
          <w:color w:val="000000"/>
          <w:sz w:val="24"/>
          <w:highlight w:val="none"/>
        </w:rPr>
      </w:r>
      <w:r/>
    </w:p>
    <w:p>
      <w:pPr>
        <w:pStyle w:val="13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4.3招标代理费收费标准：</w:t>
      </w:r>
      <w:r>
        <w:rPr>
          <w:rFonts w:hint="eastAsia" w:ascii="宋体" w:hAnsi="宋体"/>
          <w:color w:val="000000"/>
          <w:sz w:val="24"/>
          <w:szCs w:val="24"/>
          <w:highlight w:val="none"/>
          <w:u w:val="single"/>
        </w:rPr>
        <w:t xml:space="preserve">招标代理费参照采购预算的0.5%计取，共计壹万壹仟捌佰伍拾元（￥11850.00），其中一标段3000元；二标段1000元；三标段1250元；四标段500元；五标段2500元；六标段1000元；七标段250元；八标段300元；九标段250元；十标段1800元</w:t>
      </w:r>
      <w:r>
        <w:rPr>
          <w:rFonts w:hint="eastAsia" w:ascii="confusion" w:hAnsi="confusion" w:cs="confusion"/>
          <w:color w:val="000000"/>
          <w:highlight w:val="none"/>
          <w:shd w:val="clear" w:color="auto" w:fill="ffffff"/>
        </w:rPr>
        <w:t xml:space="preserve">。</w:t>
      </w:r>
      <w:r>
        <w:rPr>
          <w:rFonts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4.4招标代理费收取方式：由中标人支付。本项目代理服务费已纳入项目成本测算，中标人投标报价时应综合考虑，招标人不再另行承担。</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由中标人领取中标通知书时一次性付清；中标人如果未按规定缴纳上述费用，招标人或代理机构保留诉讼的权利。中标人需要开代理费发票的，需由中标人缴纳费用后，代理机构将发票开具给中标人。</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4.5 本次采购代理服务费在成交供应商领取成交通知书时结算。</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付款账户如下：</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单位名称：江苏金居工程项目管理有限公司</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统一代码：91321182567838330L</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营业地址：扬中市三茅街道浩云湾27幢04室</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账号：10333001040629988</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开户银行：中国农业银行扬中市支行</w:t>
      </w:r>
      <w:r>
        <w:rPr>
          <w:rFonts w:hint="eastAsia" w:ascii="宋体" w:hAnsi="宋体"/>
          <w:color w:val="000000"/>
          <w:sz w:val="24"/>
          <w:szCs w:val="24"/>
          <w:highlight w:val="none"/>
        </w:rPr>
      </w:r>
      <w:r/>
    </w:p>
    <w:p>
      <w:pPr>
        <w:pStyle w:val="1320"/>
        <w:ind w:firstLine="562"/>
        <w:spacing w:before="0" w:after="0" w:line="440" w:lineRule="exact"/>
        <w:rPr>
          <w:rFonts w:hint="eastAsia" w:ascii="黑体" w:hAnsi="宋体"/>
          <w:b w:val="0"/>
          <w:bCs w:val="0"/>
          <w:color w:val="000000"/>
          <w:sz w:val="24"/>
          <w:szCs w:val="24"/>
          <w:highlight w:val="none"/>
        </w:rPr>
      </w:pPr>
      <w:r>
        <w:rPr>
          <w:rFonts w:hint="eastAsia" w:ascii="宋体" w:hAnsi="宋体"/>
          <w:color w:val="000000"/>
          <w:szCs w:val="24"/>
          <w:highlight w:val="none"/>
        </w:rPr>
        <w:t xml:space="preserve">5、</w:t>
      </w:r>
      <w:r>
        <w:rPr>
          <w:rFonts w:hint="eastAsia" w:ascii="黑体" w:hAnsi="宋体"/>
          <w:b w:val="0"/>
          <w:bCs w:val="0"/>
          <w:color w:val="000000"/>
          <w:sz w:val="24"/>
          <w:szCs w:val="24"/>
          <w:highlight w:val="none"/>
        </w:rPr>
        <w:t xml:space="preserve">招标文件的约束力</w:t>
      </w:r>
      <w:r>
        <w:rPr>
          <w:rFonts w:hint="eastAsia" w:ascii="黑体" w:hAnsi="宋体"/>
          <w:b w:val="0"/>
          <w:bCs w:val="0"/>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投标人一旦参加本项目活动，即被认为接受了本招标文件的规定和约束。</w:t>
      </w:r>
      <w:r>
        <w:rPr>
          <w:rFonts w:hint="eastAsia" w:ascii="宋体" w:hAnsi="宋体"/>
          <w:color w:val="000000"/>
          <w:sz w:val="24"/>
          <w:szCs w:val="24"/>
          <w:highlight w:val="none"/>
        </w:rPr>
      </w:r>
      <w:r/>
    </w:p>
    <w:p>
      <w:pPr>
        <w:pStyle w:val="1319"/>
        <w:ind w:firstLine="281"/>
        <w:spacing w:before="120" w:after="120" w:line="440" w:lineRule="exact"/>
        <w:rPr>
          <w:rFonts w:hint="eastAsia"/>
          <w:color w:val="000000"/>
          <w:sz w:val="28"/>
          <w:szCs w:val="28"/>
          <w:highlight w:val="none"/>
        </w:rPr>
      </w:pPr>
      <w:r/>
      <w:bookmarkStart w:id="71" w:name="_Toc513029209"/>
      <w:r/>
      <w:bookmarkStart w:id="72" w:name="_Toc20823281"/>
      <w:r/>
      <w:bookmarkStart w:id="73" w:name="_Toc120614215"/>
      <w:r/>
      <w:bookmarkStart w:id="74" w:name="_Toc16938525"/>
      <w:r>
        <w:rPr>
          <w:rFonts w:hint="eastAsia"/>
          <w:color w:val="000000"/>
          <w:sz w:val="28"/>
          <w:szCs w:val="28"/>
          <w:highlight w:val="none"/>
        </w:rPr>
        <w:t xml:space="preserve">二、招标文件</w:t>
      </w:r>
      <w:bookmarkEnd w:id="71"/>
      <w:r/>
      <w:bookmarkEnd w:id="72"/>
      <w:r/>
      <w:bookmarkEnd w:id="73"/>
      <w:r/>
      <w:bookmarkEnd w:id="74"/>
      <w:r>
        <w:rPr>
          <w:rFonts w:hint="eastAsia"/>
          <w:color w:val="000000"/>
          <w:sz w:val="28"/>
          <w:szCs w:val="28"/>
          <w:highlight w:val="none"/>
        </w:rPr>
      </w:r>
      <w:r/>
    </w:p>
    <w:p>
      <w:pPr>
        <w:pStyle w:val="1320"/>
        <w:ind w:firstLine="360"/>
        <w:spacing w:before="0" w:after="0" w:line="440" w:lineRule="exact"/>
        <w:rPr>
          <w:rFonts w:hint="eastAsia"/>
          <w:b w:val="0"/>
          <w:bCs w:val="0"/>
          <w:color w:val="000000"/>
          <w:sz w:val="24"/>
          <w:szCs w:val="24"/>
          <w:highlight w:val="none"/>
        </w:rPr>
      </w:pPr>
      <w:r/>
      <w:bookmarkStart w:id="75" w:name="_Toc20823282"/>
      <w:r/>
      <w:bookmarkStart w:id="76" w:name="_Toc16938526"/>
      <w:r/>
      <w:bookmarkStart w:id="77" w:name="_Toc513029210"/>
      <w:r>
        <w:rPr>
          <w:rFonts w:hint="eastAsia"/>
          <w:b w:val="0"/>
          <w:bCs w:val="0"/>
          <w:color w:val="000000"/>
          <w:sz w:val="24"/>
          <w:szCs w:val="24"/>
          <w:highlight w:val="none"/>
        </w:rPr>
        <w:t xml:space="preserve">6、招标文件构成</w:t>
      </w:r>
      <w:bookmarkEnd w:id="75"/>
      <w:r/>
      <w:bookmarkEnd w:id="76"/>
      <w:r/>
      <w:bookmarkEnd w:id="77"/>
      <w:r>
        <w:rPr>
          <w:rFonts w:hint="eastAsia"/>
          <w:b w:val="0"/>
          <w:bCs w:val="0"/>
          <w:color w:val="000000"/>
          <w:sz w:val="24"/>
          <w:szCs w:val="24"/>
          <w:highlight w:val="none"/>
        </w:rPr>
      </w:r>
      <w:r/>
    </w:p>
    <w:p>
      <w:pPr>
        <w:pStyle w:val="1316"/>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rFonts w:hint="eastAsia" w:ascii="宋体" w:hAnsi="宋体"/>
          <w:color w:val="000000"/>
          <w:sz w:val="24"/>
          <w:highlight w:val="none"/>
        </w:rPr>
      </w:r>
      <w:r/>
    </w:p>
    <w:p>
      <w:pPr>
        <w:pStyle w:val="1316"/>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1316"/>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1316"/>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1316"/>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（4）招标需求</w:t>
      </w:r>
      <w:r>
        <w:rPr>
          <w:rFonts w:hint="eastAsia" w:ascii="宋体" w:hAnsi="宋体"/>
          <w:color w:val="000000"/>
          <w:sz w:val="24"/>
          <w:szCs w:val="24"/>
          <w:highlight w:val="none"/>
        </w:rPr>
      </w:r>
      <w:r/>
    </w:p>
    <w:p>
      <w:pPr>
        <w:pStyle w:val="1316"/>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1316"/>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请仔细检查招标文件是否齐全，如有缺漏请立即与代理机构联系解决。</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1320"/>
        <w:ind w:firstLine="480"/>
        <w:spacing w:before="0" w:after="0" w:line="440" w:lineRule="exact"/>
        <w:rPr>
          <w:b w:val="0"/>
          <w:bCs w:val="0"/>
          <w:color w:val="000000"/>
          <w:sz w:val="24"/>
          <w:szCs w:val="24"/>
          <w:highlight w:val="none"/>
        </w:rPr>
      </w:pPr>
      <w:r/>
      <w:bookmarkStart w:id="78" w:name="_Toc462564070"/>
      <w:r/>
      <w:bookmarkStart w:id="79" w:name="_Toc16938527"/>
      <w:r/>
      <w:bookmarkStart w:id="80" w:name="_Toc20823283"/>
      <w:r/>
      <w:bookmarkStart w:id="81" w:name="_Toc513029211"/>
      <w:r>
        <w:rPr>
          <w:rFonts w:hint="eastAsia"/>
          <w:b w:val="0"/>
          <w:bCs w:val="0"/>
          <w:color w:val="000000"/>
          <w:sz w:val="24"/>
          <w:szCs w:val="24"/>
          <w:highlight w:val="none"/>
        </w:rPr>
        <w:t xml:space="preserve">7、招标文件的澄清</w:t>
      </w:r>
      <w:bookmarkEnd w:id="78"/>
      <w:r/>
      <w:bookmarkEnd w:id="79"/>
      <w:r/>
      <w:bookmarkEnd w:id="80"/>
      <w:r/>
      <w:bookmarkEnd w:id="81"/>
      <w:r>
        <w:rPr>
          <w:b w:val="0"/>
          <w:bCs w:val="0"/>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highlight w:val="none"/>
        </w:rPr>
        <w:t xml:space="preserve">按招标公告中的通讯地址，以书面形式通知招标人或代理机构。</w:t>
      </w:r>
      <w:r>
        <w:rPr>
          <w:rFonts w:hint="eastAsia" w:ascii="宋体" w:hAnsi="宋体"/>
          <w:color w:val="000000"/>
          <w:sz w:val="24"/>
          <w:szCs w:val="24"/>
          <w:highlight w:val="none"/>
        </w:rPr>
      </w:r>
      <w:r/>
    </w:p>
    <w:p>
      <w:pPr>
        <w:pStyle w:val="1320"/>
        <w:ind w:firstLine="480"/>
        <w:spacing w:before="0" w:after="0" w:line="440" w:lineRule="exact"/>
        <w:rPr>
          <w:rFonts w:hint="eastAsia"/>
          <w:b w:val="0"/>
          <w:bCs w:val="0"/>
          <w:color w:val="000000"/>
          <w:sz w:val="24"/>
          <w:szCs w:val="24"/>
          <w:highlight w:val="none"/>
        </w:rPr>
      </w:pPr>
      <w:r/>
      <w:bookmarkStart w:id="82" w:name="_Toc20823284"/>
      <w:r/>
      <w:bookmarkStart w:id="83" w:name="_Toc513029212"/>
      <w:r/>
      <w:bookmarkStart w:id="84" w:name="_Toc462564071"/>
      <w:r/>
      <w:bookmarkStart w:id="85" w:name="_Toc16938528"/>
      <w:r>
        <w:rPr>
          <w:rFonts w:hint="eastAsia"/>
          <w:b w:val="0"/>
          <w:bCs w:val="0"/>
          <w:color w:val="000000"/>
          <w:sz w:val="24"/>
          <w:szCs w:val="24"/>
          <w:highlight w:val="none"/>
        </w:rPr>
        <w:t xml:space="preserve">8、招标文件的澄清和修改</w:t>
      </w:r>
      <w:bookmarkEnd w:id="82"/>
      <w:r/>
      <w:bookmarkEnd w:id="83"/>
      <w:r/>
      <w:bookmarkEnd w:id="84"/>
      <w:r/>
      <w:bookmarkEnd w:id="85"/>
      <w:r>
        <w:rPr>
          <w:rFonts w:hint="eastAsia"/>
          <w:b w:val="0"/>
          <w:bCs w:val="0"/>
          <w:color w:val="000000"/>
          <w:sz w:val="24"/>
          <w:szCs w:val="24"/>
          <w:highlight w:val="none"/>
        </w:rPr>
      </w:r>
      <w:r/>
    </w:p>
    <w:p>
      <w:pPr>
        <w:pStyle w:val="1316"/>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8.1 任何要求对招标文件进行澄清的潜在投标人，应及时联系项目联系人。</w:t>
      </w:r>
      <w:r>
        <w:rPr>
          <w:rFonts w:ascii="宋体" w:hAnsi="宋体"/>
          <w:bCs/>
          <w:color w:val="000000"/>
          <w:sz w:val="24"/>
          <w:highlight w:val="none"/>
        </w:rPr>
      </w:r>
      <w:r/>
    </w:p>
    <w:p>
      <w:pPr>
        <w:pStyle w:val="1316"/>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8.2 按照权责相一致原则，投标人提出的对于招标文件主要商务、技术指标的相关澄清、修改要求，由</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人负责答复并视情况作出澄清或修改的决定。</w:t>
      </w:r>
      <w:r>
        <w:rPr>
          <w:rFonts w:ascii="宋体" w:hAnsi="宋体"/>
          <w:bCs/>
          <w:color w:val="000000"/>
          <w:sz w:val="24"/>
          <w:highlight w:val="none"/>
        </w:rPr>
      </w:r>
      <w:r/>
    </w:p>
    <w:p>
      <w:pPr>
        <w:pStyle w:val="1316"/>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8.3 </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可以对已发出的招标文件、资格预审文件、投标邀请书进行必要的澄清或者修改，但不改变标的和资格要求。澄清或者修改将在“江苏政府网”、“扬中政府网”上发布澄清公告，澄清或者修改的内容为招标文件、资格预审文件、投标邀请书的组成部分。</w:t>
      </w:r>
      <w:r>
        <w:rPr>
          <w:rFonts w:ascii="宋体" w:hAnsi="宋体"/>
          <w:bCs/>
          <w:color w:val="000000"/>
          <w:sz w:val="24"/>
          <w:highlight w:val="none"/>
        </w:rPr>
      </w:r>
      <w:r/>
    </w:p>
    <w:p>
      <w:pPr>
        <w:pStyle w:val="1316"/>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8.4 澄清或者修改的内容可能影响投标文件编制的，</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人或者代理机构将在提交截止时间至少15日前，在系统中以书面形式通知所有已获取招标文件的潜在投标人；不足15日的，</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人或者代理机构将顺延提交投标文件的截止时间。投标人应及时自行登录系统查看相应内容。</w:t>
      </w:r>
      <w:r>
        <w:rPr>
          <w:rFonts w:ascii="宋体" w:hAnsi="宋体"/>
          <w:bCs/>
          <w:color w:val="000000"/>
          <w:sz w:val="24"/>
          <w:highlight w:val="none"/>
        </w:rPr>
      </w:r>
      <w:r/>
    </w:p>
    <w:p>
      <w:pPr>
        <w:pStyle w:val="1316"/>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8.5 如澄清或修改公告有重新发布招标文件的，投标人应下载最新发布的招标文件制作投标文件。</w:t>
      </w:r>
      <w:r>
        <w:rPr>
          <w:rFonts w:ascii="宋体" w:hAnsi="宋体"/>
          <w:bCs/>
          <w:color w:val="000000"/>
          <w:sz w:val="24"/>
          <w:highlight w:val="none"/>
        </w:rPr>
        <w:t xml:space="preserve">因投标人自身原因未能及时获取的</w:t>
      </w:r>
      <w:r>
        <w:rPr>
          <w:rFonts w:hint="eastAsia" w:ascii="宋体" w:hAnsi="宋体"/>
          <w:bCs/>
          <w:color w:val="000000"/>
          <w:sz w:val="24"/>
          <w:highlight w:val="none"/>
        </w:rPr>
        <w:t xml:space="preserve">，一切后果由投标人自行承担。</w:t>
      </w:r>
      <w:r>
        <w:rPr>
          <w:rFonts w:hint="eastAsia" w:ascii="宋体" w:hAnsi="宋体"/>
          <w:bCs/>
          <w:color w:val="000000"/>
          <w:sz w:val="24"/>
          <w:highlight w:val="none"/>
        </w:rPr>
      </w:r>
      <w:r/>
    </w:p>
    <w:p>
      <w:pPr>
        <w:pStyle w:val="1319"/>
        <w:ind w:firstLine="361"/>
        <w:spacing w:before="120" w:after="120" w:line="440" w:lineRule="exact"/>
        <w:rPr>
          <w:rFonts w:hint="eastAsia"/>
          <w:color w:val="000000"/>
          <w:sz w:val="24"/>
          <w:szCs w:val="24"/>
          <w:highlight w:val="none"/>
        </w:rPr>
      </w:pPr>
      <w:r/>
      <w:bookmarkStart w:id="86" w:name="_Toc120614216"/>
      <w:r/>
      <w:bookmarkStart w:id="87" w:name="_Toc16938529"/>
      <w:r/>
      <w:bookmarkStart w:id="88" w:name="_Toc20823285"/>
      <w:r/>
      <w:bookmarkStart w:id="89" w:name="_Toc513029213"/>
      <w:r/>
      <w:bookmarkStart w:id="90" w:name="_Toc462564072"/>
      <w:r>
        <w:rPr>
          <w:rFonts w:hint="eastAsia"/>
          <w:color w:val="000000"/>
          <w:sz w:val="24"/>
          <w:szCs w:val="24"/>
          <w:highlight w:val="none"/>
        </w:rPr>
        <w:t xml:space="preserve">三、投标文件的编制</w:t>
      </w:r>
      <w:bookmarkEnd w:id="86"/>
      <w:r/>
      <w:bookmarkEnd w:id="87"/>
      <w:r/>
      <w:bookmarkEnd w:id="88"/>
      <w:r/>
      <w:bookmarkEnd w:id="89"/>
      <w:r/>
      <w:bookmarkEnd w:id="90"/>
      <w:r>
        <w:rPr>
          <w:rFonts w:hint="eastAsia"/>
          <w:color w:val="000000"/>
          <w:sz w:val="24"/>
          <w:szCs w:val="24"/>
          <w:highlight w:val="none"/>
        </w:rPr>
      </w:r>
      <w:r/>
    </w:p>
    <w:p>
      <w:pPr>
        <w:pStyle w:val="1320"/>
        <w:ind w:firstLine="480"/>
        <w:spacing w:before="0" w:after="0" w:line="440" w:lineRule="exact"/>
        <w:rPr>
          <w:rFonts w:hint="eastAsia"/>
          <w:bCs w:val="0"/>
          <w:color w:val="000000"/>
          <w:sz w:val="24"/>
          <w:szCs w:val="24"/>
          <w:highlight w:val="none"/>
        </w:rPr>
      </w:pPr>
      <w:r/>
      <w:bookmarkStart w:id="91" w:name="_Toc20823286"/>
      <w:r/>
      <w:bookmarkStart w:id="92" w:name="_Toc16938530"/>
      <w:r/>
      <w:bookmarkStart w:id="93" w:name="_Toc513029214"/>
      <w:r/>
      <w:bookmarkStart w:id="94" w:name="_Toc462564073"/>
      <w:r>
        <w:rPr>
          <w:rFonts w:hint="eastAsia"/>
          <w:b w:val="0"/>
          <w:bCs w:val="0"/>
          <w:color w:val="000000"/>
          <w:sz w:val="24"/>
          <w:szCs w:val="24"/>
          <w:highlight w:val="none"/>
        </w:rPr>
        <w:t xml:space="preserve">9、投标文件的语言及度量衡单位</w:t>
      </w:r>
      <w:bookmarkEnd w:id="91"/>
      <w:r/>
      <w:bookmarkEnd w:id="92"/>
      <w:r/>
      <w:bookmarkEnd w:id="93"/>
      <w:r/>
      <w:bookmarkEnd w:id="94"/>
      <w:r>
        <w:rPr>
          <w:rFonts w:hint="eastAsia"/>
          <w:bCs w:val="0"/>
          <w:color w:val="000000"/>
          <w:sz w:val="24"/>
          <w:szCs w:val="24"/>
          <w:highlight w:val="none"/>
        </w:rPr>
      </w:r>
      <w:r/>
    </w:p>
    <w:p>
      <w:pPr>
        <w:pStyle w:val="1316"/>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投标人提交的投标文件以及投标人与招标人或代理机构就有关投标的所有来往通知、函件和文件均应使用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316"/>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1320"/>
        <w:ind w:firstLine="360"/>
        <w:spacing w:before="0" w:after="0" w:line="440" w:lineRule="exact"/>
        <w:rPr>
          <w:rFonts w:hint="eastAsia"/>
          <w:b w:val="0"/>
          <w:bCs w:val="0"/>
          <w:color w:val="000000"/>
          <w:sz w:val="24"/>
          <w:szCs w:val="24"/>
          <w:highlight w:val="none"/>
        </w:rPr>
      </w:pPr>
      <w:r/>
      <w:bookmarkStart w:id="95" w:name="_Toc16938531"/>
      <w:r/>
      <w:bookmarkStart w:id="96" w:name="_Toc20823287"/>
      <w:r/>
      <w:bookmarkStart w:id="97" w:name="_Toc513029215"/>
      <w:r/>
      <w:bookmarkStart w:id="98" w:name="_Toc462564074"/>
      <w:r>
        <w:rPr>
          <w:rFonts w:hint="eastAsia"/>
          <w:b w:val="0"/>
          <w:bCs w:val="0"/>
          <w:color w:val="000000"/>
          <w:sz w:val="24"/>
          <w:szCs w:val="24"/>
          <w:highlight w:val="none"/>
        </w:rPr>
        <w:t xml:space="preserve">10、投标文件构成</w:t>
      </w:r>
      <w:bookmarkEnd w:id="95"/>
      <w:r/>
      <w:bookmarkEnd w:id="96"/>
      <w:r/>
      <w:bookmarkEnd w:id="97"/>
      <w:r/>
      <w:bookmarkEnd w:id="98"/>
      <w:r>
        <w:rPr>
          <w:rFonts w:hint="eastAsia"/>
          <w:b w:val="0"/>
          <w:bCs w:val="0"/>
          <w:color w:val="000000"/>
          <w:sz w:val="24"/>
          <w:szCs w:val="24"/>
          <w:highlight w:val="none"/>
        </w:rPr>
      </w:r>
      <w:r/>
    </w:p>
    <w:p>
      <w:pPr>
        <w:pStyle w:val="1316"/>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highlight w:val="none"/>
        </w:rPr>
      </w:r>
      <w:r/>
    </w:p>
    <w:p>
      <w:pPr>
        <w:pStyle w:val="1316"/>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w:t>
      </w:r>
      <w:r>
        <w:rPr>
          <w:rFonts w:hint="eastAsia" w:ascii="宋体" w:hAnsi="宋体"/>
          <w:bCs/>
          <w:color w:val="000000"/>
          <w:sz w:val="24"/>
          <w:szCs w:val="24"/>
          <w:highlight w:val="none"/>
        </w:rPr>
        <w:t xml:space="preserve">“江苏政府采购网”、“扬中政府采购网”</w:t>
      </w:r>
      <w:r>
        <w:rPr>
          <w:rFonts w:hint="eastAsia" w:ascii="宋体" w:hAnsi="宋体"/>
          <w:color w:val="000000"/>
          <w:sz w:val="24"/>
          <w:highlight w:val="none"/>
        </w:rPr>
        <w:t xml:space="preserve">上发布的招标文件不一致，请以</w:t>
      </w:r>
      <w:r>
        <w:rPr>
          <w:rFonts w:hint="eastAsia" w:ascii="宋体" w:hAnsi="宋体"/>
          <w:bCs/>
          <w:color w:val="000000"/>
          <w:sz w:val="24"/>
          <w:szCs w:val="24"/>
          <w:highlight w:val="none"/>
        </w:rPr>
        <w:t xml:space="preserve">“江苏政府采购网”、“扬中政府采购网”</w:t>
      </w:r>
      <w:r>
        <w:rPr>
          <w:rFonts w:hint="eastAsia" w:ascii="宋体" w:hAnsi="宋体"/>
          <w:color w:val="000000"/>
          <w:sz w:val="24"/>
          <w:highlight w:val="none"/>
        </w:rPr>
        <w:t xml:space="preserve">上发布的招标文件为准。</w:t>
      </w:r>
      <w:r>
        <w:rPr>
          <w:rFonts w:hint="eastAsia" w:ascii="宋体" w:hAnsi="宋体"/>
          <w:color w:val="000000"/>
          <w:sz w:val="24"/>
          <w:highlight w:val="none"/>
        </w:rPr>
      </w:r>
      <w:r/>
    </w:p>
    <w:p>
      <w:pPr>
        <w:pStyle w:val="1320"/>
        <w:ind w:firstLine="360"/>
        <w:spacing w:before="0" w:after="0" w:line="440" w:lineRule="exact"/>
        <w:rPr>
          <w:rFonts w:hint="eastAsia"/>
          <w:b w:val="0"/>
          <w:bCs w:val="0"/>
          <w:color w:val="000000"/>
          <w:sz w:val="24"/>
          <w:szCs w:val="24"/>
          <w:highlight w:val="none"/>
        </w:rPr>
      </w:pPr>
      <w:r/>
      <w:bookmarkStart w:id="99" w:name="_Hlt26668975"/>
      <w:r/>
      <w:bookmarkEnd w:id="99"/>
      <w:r/>
      <w:bookmarkStart w:id="100" w:name="_Hlt26954838"/>
      <w:r/>
      <w:bookmarkEnd w:id="100"/>
      <w:r/>
      <w:bookmarkStart w:id="101" w:name="_Hlt26670360"/>
      <w:r/>
      <w:bookmarkEnd w:id="101"/>
      <w:r/>
      <w:bookmarkStart w:id="102" w:name="_Toc14577357"/>
      <w:r/>
      <w:bookmarkStart w:id="103" w:name="_Toc513029219"/>
      <w:r/>
      <w:bookmarkStart w:id="104" w:name="_Toc49090509"/>
      <w:r/>
      <w:bookmarkStart w:id="105" w:name="_Toc14577354"/>
      <w:r/>
      <w:bookmarkStart w:id="106" w:name="_Toc49090507"/>
      <w:r/>
      <w:bookmarkStart w:id="107" w:name="_Toc513029216"/>
      <w:r>
        <w:rPr>
          <w:rFonts w:hint="eastAsia"/>
          <w:b w:val="0"/>
          <w:bCs w:val="0"/>
          <w:color w:val="000000"/>
          <w:sz w:val="24"/>
          <w:szCs w:val="24"/>
          <w:highlight w:val="none"/>
        </w:rPr>
        <w:t xml:space="preserve">11、证明投标人及投标标的符合招标文件规定的文件</w:t>
      </w:r>
      <w:bookmarkEnd w:id="102"/>
      <w:r/>
      <w:bookmarkEnd w:id="103"/>
      <w:r/>
      <w:bookmarkEnd w:id="104"/>
      <w:r>
        <w:rPr>
          <w:rFonts w:hint="eastAsia"/>
          <w:b w:val="0"/>
          <w:bCs w:val="0"/>
          <w:color w:val="000000"/>
          <w:sz w:val="24"/>
          <w:szCs w:val="24"/>
          <w:highlight w:val="none"/>
        </w:rPr>
      </w:r>
      <w:r/>
    </w:p>
    <w:p>
      <w:pPr>
        <w:pStyle w:val="1316"/>
        <w:spacing w:line="440" w:lineRule="exact"/>
        <w:rPr>
          <w:rFonts w:hint="eastAsia" w:ascii="宋体" w:hAnsi="宋体"/>
          <w:color w:val="000000"/>
          <w:sz w:val="24"/>
          <w:szCs w:val="24"/>
          <w:highlight w:val="none"/>
        </w:rPr>
      </w:pPr>
      <w:r/>
      <w:bookmarkEnd w:id="105"/>
      <w:r/>
      <w:bookmarkEnd w:id="106"/>
      <w:r/>
      <w:bookmarkEnd w:id="107"/>
      <w:r/>
      <w:bookmarkStart w:id="108" w:name="_Toc14577355"/>
      <w:r/>
      <w:bookmarkStart w:id="109" w:name="_Toc49090508"/>
      <w:r>
        <w:rPr>
          <w:rFonts w:hint="eastAsia" w:ascii="宋体" w:hAnsi="宋体"/>
          <w:color w:val="000000"/>
          <w:sz w:val="24"/>
          <w:szCs w:val="24"/>
          <w:highlight w:val="none"/>
        </w:rPr>
        <w:t xml:space="preserve">    11.1 投标人应按照招标文件要求提交证明文件，证明其及投标标的符合招标文件规定。</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招标文件对证明文件无明确形式要求的，证明文件可以以文字资料、图纸和数据等形式提交。</w:t>
      </w:r>
      <w:r>
        <w:rPr>
          <w:rFonts w:hint="eastAsia" w:ascii="宋体" w:hAnsi="宋体"/>
          <w:color w:val="000000"/>
          <w:sz w:val="24"/>
          <w:szCs w:val="24"/>
          <w:highlight w:val="none"/>
        </w:rPr>
      </w:r>
      <w:r/>
    </w:p>
    <w:p>
      <w:pPr>
        <w:pStyle w:val="1320"/>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12、投标分项报价</w:t>
      </w:r>
      <w:bookmarkEnd w:id="108"/>
      <w:r/>
      <w:bookmarkStart w:id="110" w:name="_Hlt26670373"/>
      <w:r/>
      <w:bookmarkEnd w:id="110"/>
      <w:r>
        <w:rPr>
          <w:rFonts w:hint="eastAsia"/>
          <w:b w:val="0"/>
          <w:bCs w:val="0"/>
          <w:color w:val="000000"/>
          <w:sz w:val="24"/>
          <w:szCs w:val="24"/>
          <w:highlight w:val="none"/>
        </w:rPr>
        <w:t xml:space="preserve">表</w:t>
      </w:r>
      <w:bookmarkEnd w:id="109"/>
      <w:r>
        <w:rPr>
          <w:rFonts w:hint="eastAsia"/>
          <w:b w:val="0"/>
          <w:bCs w:val="0"/>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 投</w:t>
      </w:r>
      <w:bookmarkStart w:id="111" w:name="_Hlt26954840"/>
      <w:r/>
      <w:bookmarkEnd w:id="111"/>
      <w:r>
        <w:rPr>
          <w:rFonts w:hint="eastAsia" w:ascii="宋体" w:hAnsi="宋体"/>
          <w:color w:val="000000"/>
          <w:sz w:val="24"/>
          <w:szCs w:val="24"/>
          <w:highlight w:val="none"/>
        </w:rPr>
        <w:t xml:space="preserve">标人应按照招标文件规定格式填报投标分项报价表</w:t>
      </w:r>
      <w:bookmarkStart w:id="112" w:name="_Hlt26670399"/>
      <w:r/>
      <w:bookmarkEnd w:id="112"/>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投标货币。投标文件中的单价和总价无特殊规定的采用人民币报价，以元为单位标注。</w:t>
      </w:r>
      <w:r>
        <w:rPr>
          <w:rFonts w:hint="eastAsia" w:ascii="宋体" w:hAnsi="宋体"/>
          <w:color w:val="000000"/>
          <w:sz w:val="24"/>
          <w:szCs w:val="24"/>
          <w:highlight w:val="none"/>
        </w:rPr>
        <w:t xml:space="preserve">招标文件中另有规定的按规定执行。</w:t>
      </w:r>
      <w:r>
        <w:rPr>
          <w:rFonts w:hint="eastAsia" w:ascii="宋体" w:hAnsi="宋体"/>
          <w:bCs/>
          <w:color w:val="000000"/>
          <w:sz w:val="24"/>
          <w:szCs w:val="24"/>
          <w:highlight w:val="none"/>
        </w:rPr>
      </w:r>
      <w:r/>
    </w:p>
    <w:p>
      <w:pPr>
        <w:pStyle w:val="1320"/>
        <w:ind w:firstLine="360"/>
        <w:spacing w:before="0" w:after="0" w:line="440" w:lineRule="exact"/>
        <w:rPr>
          <w:rFonts w:hint="eastAsia"/>
          <w:b w:val="0"/>
          <w:bCs w:val="0"/>
          <w:color w:val="000000"/>
          <w:sz w:val="24"/>
          <w:szCs w:val="24"/>
          <w:highlight w:val="none"/>
        </w:rPr>
      </w:pPr>
      <w:r/>
      <w:bookmarkStart w:id="113" w:name="_Hlt26954842"/>
      <w:r/>
      <w:bookmarkEnd w:id="113"/>
      <w:r/>
      <w:bookmarkStart w:id="114" w:name="_Hlt26954848"/>
      <w:r/>
      <w:bookmarkEnd w:id="114"/>
      <w:r/>
      <w:bookmarkStart w:id="115" w:name="_Hlt26954846"/>
      <w:r/>
      <w:bookmarkEnd w:id="115"/>
      <w:r/>
      <w:bookmarkStart w:id="116" w:name="_Hlt26670482"/>
      <w:r/>
      <w:bookmarkEnd w:id="116"/>
      <w:r/>
      <w:bookmarkStart w:id="117" w:name="_Hlt26954844"/>
      <w:r/>
      <w:bookmarkEnd w:id="117"/>
      <w:r/>
      <w:bookmarkStart w:id="118" w:name="_Hlt26670425"/>
      <w:r/>
      <w:bookmarkEnd w:id="118"/>
      <w:r/>
      <w:bookmarkStart w:id="119" w:name="_Hlt26668983"/>
      <w:r/>
      <w:bookmarkEnd w:id="119"/>
      <w:r/>
      <w:bookmarkStart w:id="120" w:name="_Hlt26670486"/>
      <w:r/>
      <w:bookmarkEnd w:id="120"/>
      <w:r/>
      <w:bookmarkStart w:id="121" w:name="_Hlt26670403"/>
      <w:r/>
      <w:bookmarkEnd w:id="121"/>
      <w:r/>
      <w:bookmarkStart w:id="122" w:name="_Hlt26954731"/>
      <w:r/>
      <w:bookmarkEnd w:id="122"/>
      <w:r>
        <w:rPr>
          <w:rFonts w:hint="eastAsia"/>
          <w:b w:val="0"/>
          <w:bCs w:val="0"/>
          <w:color w:val="000000"/>
          <w:sz w:val="24"/>
          <w:szCs w:val="24"/>
          <w:highlight w:val="none"/>
        </w:rPr>
        <w:t xml:space="preserve">13、技术要求响应及偏离表、商务要求响应及偏离表</w:t>
      </w:r>
      <w:r>
        <w:rPr>
          <w:rFonts w:hint="eastAsia"/>
          <w:b w:val="0"/>
          <w:bCs w:val="0"/>
          <w:color w:val="000000"/>
          <w:sz w:val="24"/>
          <w:szCs w:val="24"/>
          <w:highlight w:val="none"/>
        </w:rPr>
      </w:r>
      <w:r/>
    </w:p>
    <w:p>
      <w:pPr>
        <w:pStyle w:val="1316"/>
        <w:ind w:firstLine="48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ascii="宋体" w:hAnsi="Arial" w:cs="宋体"/>
          <w:color w:val="000000"/>
          <w:sz w:val="24"/>
          <w:szCs w:val="24"/>
          <w:highlight w:val="none"/>
          <w:lang w:val="zh-CN"/>
        </w:rPr>
        <w:t xml:space="preserve"> </w:t>
      </w:r>
      <w:r>
        <w:rPr>
          <w:rFonts w:hint="eastAsia" w:ascii="宋体" w:hAnsi="Arial" w:cs="宋体"/>
          <w:color w:val="000000"/>
          <w:sz w:val="24"/>
          <w:szCs w:val="24"/>
          <w:highlight w:val="none"/>
          <w:lang w:val="zh-CN"/>
        </w:rPr>
        <w:t xml:space="preserve">投标人需对招标文件中的技术要求与商务要求逐项作出响应或偏离，并说明原因。</w:t>
      </w:r>
      <w:r>
        <w:rPr>
          <w:rFonts w:hint="eastAsia" w:ascii="宋体" w:hAnsi="Arial" w:cs="宋体"/>
          <w:color w:val="000000"/>
          <w:sz w:val="24"/>
          <w:szCs w:val="24"/>
          <w:highlight w:val="none"/>
          <w:lang w:val="zh-CN"/>
        </w:rPr>
      </w:r>
      <w:r/>
    </w:p>
    <w:p>
      <w:pPr>
        <w:pStyle w:val="1316"/>
        <w:ind w:firstLine="480"/>
        <w:spacing w:line="440" w:lineRule="exact"/>
        <w:tabs>
          <w:tab w:val="left" w:pos="1035" w:leader="none"/>
        </w:tabs>
        <w:rPr>
          <w:rFonts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 投标人可在投标文件中提供认为需要的其他技术文件或说明。</w:t>
      </w:r>
      <w:r>
        <w:rPr>
          <w:rFonts w:ascii="宋体" w:hAnsi="Arial" w:cs="宋体"/>
          <w:color w:val="000000"/>
          <w:sz w:val="24"/>
          <w:szCs w:val="24"/>
          <w:highlight w:val="none"/>
          <w:lang w:val="zh-CN"/>
        </w:rPr>
      </w:r>
      <w:r/>
    </w:p>
    <w:p>
      <w:pPr>
        <w:pStyle w:val="1320"/>
        <w:ind w:firstLine="360"/>
        <w:spacing w:before="0" w:after="0" w:line="440" w:lineRule="exact"/>
        <w:rPr>
          <w:rFonts w:hint="eastAsia"/>
          <w:b w:val="0"/>
          <w:bCs w:val="0"/>
          <w:color w:val="000000"/>
          <w:sz w:val="24"/>
          <w:szCs w:val="24"/>
          <w:highlight w:val="none"/>
        </w:rPr>
      </w:pPr>
      <w:r/>
      <w:bookmarkStart w:id="123" w:name="_Toc49090510"/>
      <w:r/>
      <w:bookmarkStart w:id="124" w:name="_Toc14577359"/>
      <w:r>
        <w:rPr>
          <w:rFonts w:hint="eastAsia"/>
          <w:b w:val="0"/>
          <w:bCs w:val="0"/>
          <w:color w:val="000000"/>
          <w:sz w:val="24"/>
          <w:szCs w:val="24"/>
          <w:highlight w:val="none"/>
        </w:rPr>
        <w:t xml:space="preserve">14、投标函和开标一览表</w:t>
      </w:r>
      <w:r>
        <w:rPr>
          <w:rFonts w:hint="eastAsia"/>
          <w:b w:val="0"/>
          <w:bCs w:val="0"/>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 投标人应按照招标文件中提供的格式完整、正确填写投标函、开标一览表。</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14.2</w:t>
      </w:r>
      <w:r>
        <w:rPr>
          <w:rFonts w:hint="eastAsia" w:ascii="宋体" w:hAnsi="宋体"/>
          <w:color w:val="000000"/>
          <w:sz w:val="24"/>
          <w:szCs w:val="24"/>
          <w:highlight w:val="none"/>
        </w:rPr>
        <w:t xml:space="preserve"> 对于采用货币报价的项目，</w:t>
      </w:r>
      <w:r>
        <w:rPr>
          <w:rFonts w:hint="eastAsia" w:ascii="宋体" w:hAnsi="宋体"/>
          <w:bCs/>
          <w:color w:val="000000"/>
          <w:sz w:val="24"/>
          <w:szCs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szCs w:val="24"/>
          <w:highlight w:val="none"/>
        </w:rPr>
        <w:t xml:space="preserve">，但评标时按开标一览表中价格为准</w:t>
      </w:r>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r>
      <w:r/>
    </w:p>
    <w:p>
      <w:pPr>
        <w:pStyle w:val="1320"/>
        <w:ind w:firstLine="360"/>
        <w:spacing w:before="0" w:after="0" w:line="440" w:lineRule="exact"/>
        <w:rPr>
          <w:rFonts w:hint="eastAsia"/>
          <w:b w:val="0"/>
          <w:bCs w:val="0"/>
          <w:color w:val="000000"/>
          <w:sz w:val="24"/>
          <w:szCs w:val="24"/>
          <w:highlight w:val="none"/>
        </w:rPr>
      </w:pPr>
      <w:r/>
      <w:bookmarkEnd w:id="123"/>
      <w:r/>
      <w:bookmarkEnd w:id="124"/>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b w:val="0"/>
          <w:bCs w:val="0"/>
          <w:color w:val="000000"/>
          <w:sz w:val="24"/>
          <w:szCs w:val="24"/>
          <w:highlight w:val="none"/>
        </w:rPr>
        <w:t xml:space="preserve">15、投标有效期</w:t>
      </w:r>
      <w:bookmarkEnd w:id="128"/>
      <w:r/>
      <w:bookmarkEnd w:id="129"/>
      <w:r>
        <w:rPr>
          <w:rFonts w:hint="eastAsia"/>
          <w:b w:val="0"/>
          <w:bCs w:val="0"/>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15.1</w:t>
      </w:r>
      <w:r>
        <w:rPr>
          <w:rFonts w:hint="eastAsia" w:ascii="宋体" w:hAnsi="宋体"/>
          <w:bCs/>
          <w:color w:val="000000"/>
          <w:sz w:val="24"/>
          <w:szCs w:val="24"/>
          <w:highlight w:val="none"/>
        </w:rPr>
        <w:t xml:space="preserve"> 投标有效期为</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人或代理机构规定的开标之日后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。投标有效期比规定短的将被视为未实质性响应招标</w:t>
      </w:r>
      <w:r>
        <w:rPr>
          <w:rFonts w:ascii="宋体" w:hAnsi="宋体"/>
          <w:bCs/>
          <w:color w:val="000000"/>
          <w:sz w:val="24"/>
          <w:szCs w:val="24"/>
          <w:highlight w:val="none"/>
        </w:rPr>
        <w:t xml:space="preserve">文件</w:t>
      </w:r>
      <w:r>
        <w:rPr>
          <w:rFonts w:hint="eastAsia" w:ascii="宋体" w:hAnsi="宋体"/>
          <w:bCs/>
          <w:color w:val="000000"/>
          <w:sz w:val="24"/>
          <w:szCs w:val="24"/>
          <w:highlight w:val="none"/>
        </w:rPr>
        <w:t xml:space="preserve">而予以拒绝。</w:t>
      </w:r>
      <w:r>
        <w:rPr>
          <w:rFonts w:hint="eastAsia" w:ascii="宋体" w:hAnsi="宋体"/>
          <w:bCs/>
          <w:color w:val="000000"/>
          <w:sz w:val="24"/>
          <w:szCs w:val="24"/>
          <w:highlight w:val="none"/>
        </w:rPr>
      </w:r>
      <w:r/>
    </w:p>
    <w:p>
      <w:pPr>
        <w:pStyle w:val="1320"/>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16、投标有效期的延长</w:t>
      </w:r>
      <w:r>
        <w:rPr>
          <w:rFonts w:hint="eastAsia"/>
          <w:b w:val="0"/>
          <w:bCs w:val="0"/>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16.1</w:t>
      </w:r>
      <w:r>
        <w:rPr>
          <w:rFonts w:hint="eastAsia" w:ascii="宋体" w:hAnsi="宋体"/>
          <w:bCs/>
          <w:color w:val="000000"/>
          <w:sz w:val="24"/>
          <w:szCs w:val="24"/>
          <w:highlight w:val="none"/>
        </w:rPr>
        <w:t xml:space="preserve"> 在特殊情况下，</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319"/>
        <w:ind w:firstLine="361"/>
        <w:spacing w:before="120" w:after="120" w:line="440" w:lineRule="exact"/>
        <w:rPr>
          <w:rFonts w:hint="eastAsia"/>
          <w:color w:val="000000"/>
          <w:sz w:val="24"/>
          <w:szCs w:val="24"/>
          <w:highlight w:val="none"/>
        </w:rPr>
      </w:pPr>
      <w:r/>
      <w:bookmarkStart w:id="130" w:name="_Hlt26954852"/>
      <w:r/>
      <w:bookmarkEnd w:id="130"/>
      <w:r/>
      <w:bookmarkStart w:id="131" w:name="_Hlt26954739"/>
      <w:r/>
      <w:bookmarkEnd w:id="131"/>
      <w:r/>
      <w:bookmarkStart w:id="132" w:name="_Toc20823296"/>
      <w:r/>
      <w:bookmarkStart w:id="133" w:name="_Toc120614217"/>
      <w:r/>
      <w:bookmarkStart w:id="134" w:name="_Toc513029224"/>
      <w:r/>
      <w:bookmarkStart w:id="135" w:name="_Toc16938540"/>
      <w:r>
        <w:rPr>
          <w:rFonts w:hint="eastAsia"/>
          <w:color w:val="000000"/>
          <w:sz w:val="24"/>
          <w:szCs w:val="24"/>
          <w:highlight w:val="none"/>
        </w:rPr>
        <w:t xml:space="preserve">四、投标文件的递交</w:t>
      </w:r>
      <w:bookmarkEnd w:id="132"/>
      <w:r/>
      <w:bookmarkEnd w:id="133"/>
      <w:r/>
      <w:bookmarkEnd w:id="134"/>
      <w:r/>
      <w:bookmarkEnd w:id="135"/>
      <w:r>
        <w:rPr>
          <w:rFonts w:hint="eastAsia"/>
          <w:color w:val="000000"/>
          <w:sz w:val="24"/>
          <w:szCs w:val="24"/>
          <w:highlight w:val="none"/>
        </w:rPr>
      </w:r>
      <w:r/>
    </w:p>
    <w:p>
      <w:pPr>
        <w:pStyle w:val="1320"/>
        <w:ind w:firstLine="480"/>
        <w:spacing w:before="0" w:after="0" w:line="440" w:lineRule="exact"/>
        <w:rPr>
          <w:rFonts w:hint="eastAsia" w:ascii="黑体"/>
          <w:b w:val="0"/>
          <w:bCs w:val="0"/>
          <w:color w:val="000000"/>
          <w:sz w:val="24"/>
          <w:szCs w:val="24"/>
          <w:highlight w:val="none"/>
        </w:rPr>
      </w:pPr>
      <w:r/>
      <w:bookmarkStart w:id="136" w:name="_Toc16938541"/>
      <w:r/>
      <w:bookmarkStart w:id="137" w:name="_Toc20823297"/>
      <w:r/>
      <w:bookmarkStart w:id="138" w:name="_Toc462564084"/>
      <w:r/>
      <w:bookmarkStart w:id="139" w:name="_Toc513029225"/>
      <w:r>
        <w:rPr>
          <w:rFonts w:hint="eastAsia"/>
          <w:b w:val="0"/>
          <w:bCs w:val="0"/>
          <w:color w:val="000000"/>
          <w:sz w:val="24"/>
          <w:szCs w:val="24"/>
          <w:highlight w:val="none"/>
        </w:rPr>
        <w:t xml:space="preserve">17、</w:t>
      </w:r>
      <w:r>
        <w:rPr>
          <w:rFonts w:hint="eastAsia" w:ascii="黑体"/>
          <w:b w:val="0"/>
          <w:bCs w:val="0"/>
          <w:color w:val="000000"/>
          <w:sz w:val="24"/>
          <w:szCs w:val="24"/>
          <w:highlight w:val="none"/>
        </w:rPr>
        <w:t xml:space="preserve">投标文件</w:t>
      </w:r>
      <w:bookmarkEnd w:id="136"/>
      <w:r/>
      <w:bookmarkEnd w:id="137"/>
      <w:r/>
      <w:bookmarkEnd w:id="138"/>
      <w:r/>
      <w:bookmarkEnd w:id="139"/>
      <w:r>
        <w:rPr>
          <w:rFonts w:hint="eastAsia" w:ascii="黑体"/>
          <w:b w:val="0"/>
          <w:bCs w:val="0"/>
          <w:color w:val="000000"/>
          <w:sz w:val="24"/>
          <w:szCs w:val="24"/>
          <w:highlight w:val="none"/>
        </w:rPr>
        <w:t xml:space="preserve">的递交</w:t>
      </w:r>
      <w:r>
        <w:rPr>
          <w:rFonts w:hint="eastAsia" w:ascii="黑体"/>
          <w:b w:val="0"/>
          <w:bCs w:val="0"/>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17.1</w:t>
      </w:r>
      <w:r>
        <w:rPr>
          <w:rFonts w:hint="eastAsia" w:ascii="宋体" w:hAnsi="宋体"/>
          <w:bCs/>
          <w:color w:val="000000"/>
          <w:sz w:val="24"/>
          <w:szCs w:val="24"/>
          <w:highlight w:val="none"/>
        </w:rPr>
        <w:t xml:space="preserve"> 电子投标文件的递交</w:t>
      </w:r>
      <w:r>
        <w:rPr>
          <w:rFonts w:hint="eastAsia" w:ascii="宋体" w:hAnsi="宋体"/>
          <w:bCs/>
          <w:color w:val="000000"/>
          <w:sz w:val="24"/>
          <w:szCs w:val="24"/>
          <w:highlight w:val="none"/>
        </w:rPr>
      </w:r>
      <w:r/>
    </w:p>
    <w:p>
      <w:pPr>
        <w:pStyle w:val="1438"/>
        <w:ind w:left="52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投标人应当按照《操作手册》规定，在投标截止时间前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并上传电子投</w:t>
      </w:r>
      <w:r>
        <w:rPr>
          <w:rFonts w:hint="eastAsia" w:ascii="宋体" w:hAnsi="宋体"/>
          <w:bCs/>
          <w:color w:val="000000"/>
          <w:sz w:val="24"/>
          <w:szCs w:val="24"/>
          <w:highlight w:val="none"/>
        </w:rPr>
      </w:r>
      <w:r/>
    </w:p>
    <w:p>
      <w:pPr>
        <w:pStyle w:val="1438"/>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标文件。</w:t>
      </w:r>
      <w:bookmarkStart w:id="140" w:name="_Toc20823298"/>
      <w:r/>
      <w:bookmarkStart w:id="141" w:name="_Toc16938542"/>
      <w:r/>
      <w:bookmarkStart w:id="142" w:name="_Toc513029226"/>
      <w:r>
        <w:rPr>
          <w:rFonts w:hint="eastAsia" w:ascii="宋体" w:hAnsi="宋体"/>
          <w:bCs/>
          <w:color w:val="000000"/>
          <w:sz w:val="24"/>
          <w:szCs w:val="24"/>
          <w:highlight w:val="none"/>
        </w:rPr>
      </w:r>
      <w:r/>
    </w:p>
    <w:p>
      <w:pPr>
        <w:pStyle w:val="1320"/>
        <w:ind w:firstLine="360"/>
        <w:spacing w:before="0" w:after="0" w:line="440" w:lineRule="exact"/>
        <w:rPr>
          <w:rFonts w:hint="eastAsia"/>
          <w:b w:val="0"/>
          <w:color w:val="000000"/>
          <w:sz w:val="24"/>
          <w:szCs w:val="24"/>
          <w:highlight w:val="none"/>
        </w:rPr>
      </w:pPr>
      <w:r>
        <w:rPr>
          <w:rFonts w:hint="eastAsia"/>
          <w:b w:val="0"/>
          <w:color w:val="000000"/>
          <w:sz w:val="24"/>
          <w:szCs w:val="24"/>
          <w:highlight w:val="none"/>
        </w:rPr>
        <w:t xml:space="preserve">18、投标截止</w:t>
      </w:r>
      <w:bookmarkEnd w:id="140"/>
      <w:r/>
      <w:bookmarkEnd w:id="141"/>
      <w:r/>
      <w:bookmarkEnd w:id="142"/>
      <w:r>
        <w:rPr>
          <w:rFonts w:hint="eastAsia"/>
          <w:b w:val="0"/>
          <w:color w:val="000000"/>
          <w:sz w:val="24"/>
          <w:szCs w:val="24"/>
          <w:highlight w:val="none"/>
        </w:rPr>
        <w:t xml:space="preserve">时间</w:t>
      </w:r>
      <w:r>
        <w:rPr>
          <w:rFonts w:hint="eastAsia"/>
          <w:b w:val="0"/>
          <w:color w:val="000000"/>
          <w:sz w:val="24"/>
          <w:szCs w:val="24"/>
          <w:highlight w:val="none"/>
        </w:rPr>
      </w:r>
      <w:r/>
    </w:p>
    <w:p>
      <w:pPr>
        <w:pStyle w:val="1316"/>
        <w:ind w:firstLine="480"/>
        <w:spacing w:line="440" w:lineRule="exact"/>
        <w:rPr>
          <w:rFonts w:hint="eastAsia" w:ascii="宋体" w:hAnsi="宋体"/>
          <w:bCs/>
          <w:i/>
          <w:color w:val="000000"/>
          <w:sz w:val="24"/>
          <w:szCs w:val="24"/>
          <w:highlight w:val="none"/>
          <w:u w:val="single"/>
        </w:rPr>
      </w:pPr>
      <w:r>
        <w:rPr>
          <w:rFonts w:hint="eastAsia" w:ascii="宋体" w:hAnsi="宋体"/>
          <w:i/>
          <w:color w:val="000000"/>
          <w:sz w:val="24"/>
          <w:szCs w:val="24"/>
          <w:highlight w:val="none"/>
          <w:u w:val="single"/>
        </w:rPr>
        <w:t xml:space="preserve">18.1</w:t>
      </w:r>
      <w:r>
        <w:rPr>
          <w:rFonts w:hint="eastAsia" w:ascii="宋体" w:hAnsi="宋体"/>
          <w:bCs/>
          <w:i/>
          <w:color w:val="000000"/>
          <w:sz w:val="24"/>
          <w:szCs w:val="24"/>
          <w:highlight w:val="none"/>
          <w:u w:val="single"/>
        </w:rPr>
        <w:t xml:space="preserve"> 投标人上传电子投标文件的时间不得迟于招标公告中规定的投标截止时间。</w:t>
      </w:r>
      <w:r>
        <w:rPr>
          <w:rFonts w:hint="eastAsia" w:ascii="宋体" w:hAnsi="宋体"/>
          <w:bCs/>
          <w:i/>
          <w:color w:val="000000"/>
          <w:sz w:val="24"/>
          <w:szCs w:val="24"/>
          <w:highlight w:val="none"/>
          <w:u w:val="singl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投标人应充分考虑到网络环境、网络带宽等风险因素，如因投标人自身原因造成的电子投标文件上传不成功的按照本招标文件第二章第26.1.2条 规定作无效投标处理。</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18.2</w:t>
      </w:r>
      <w:r>
        <w:rPr>
          <w:rFonts w:hint="eastAsia" w:ascii="宋体" w:hAnsi="宋体"/>
          <w:bCs/>
          <w:color w:val="000000"/>
          <w:sz w:val="24"/>
          <w:szCs w:val="24"/>
          <w:highlight w:val="none"/>
        </w:rPr>
        <w:t xml:space="preserve"> </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szCs w:val="24"/>
          <w:highlight w:val="none"/>
        </w:rPr>
      </w:r>
      <w:r/>
    </w:p>
    <w:p>
      <w:pPr>
        <w:pStyle w:val="1320"/>
        <w:ind w:firstLine="360"/>
        <w:spacing w:before="0" w:after="0" w:line="440" w:lineRule="exact"/>
        <w:rPr>
          <w:rFonts w:hint="eastAsia"/>
          <w:b w:val="0"/>
          <w:bCs w:val="0"/>
          <w:color w:val="000000"/>
          <w:sz w:val="24"/>
          <w:szCs w:val="24"/>
          <w:highlight w:val="none"/>
        </w:rPr>
      </w:pPr>
      <w:r/>
      <w:bookmarkStart w:id="143" w:name="_Toc513029227"/>
      <w:r/>
      <w:bookmarkStart w:id="144" w:name="_Toc16938543"/>
      <w:r/>
      <w:bookmarkStart w:id="145" w:name="_Toc20823299"/>
      <w:r>
        <w:rPr>
          <w:rFonts w:hint="eastAsia"/>
          <w:b w:val="0"/>
          <w:bCs w:val="0"/>
          <w:color w:val="000000"/>
          <w:sz w:val="24"/>
          <w:szCs w:val="24"/>
          <w:highlight w:val="none"/>
        </w:rPr>
        <w:t xml:space="preserve">19、投标文件</w:t>
      </w:r>
      <w:bookmarkEnd w:id="143"/>
      <w:r/>
      <w:bookmarkEnd w:id="144"/>
      <w:r/>
      <w:bookmarkEnd w:id="145"/>
      <w:r>
        <w:rPr>
          <w:rFonts w:hint="eastAsia"/>
          <w:b w:val="0"/>
          <w:bCs w:val="0"/>
          <w:color w:val="000000"/>
          <w:sz w:val="24"/>
          <w:szCs w:val="24"/>
          <w:highlight w:val="none"/>
        </w:rPr>
        <w:t xml:space="preserve">的拒收</w:t>
      </w:r>
      <w:r>
        <w:rPr>
          <w:rFonts w:hint="eastAsia"/>
          <w:b w:val="0"/>
          <w:bCs w:val="0"/>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19.1</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拒绝接收在其规定的投标截止时间后上传的任何投标文件。</w:t>
      </w:r>
      <w:r>
        <w:rPr>
          <w:rFonts w:hint="eastAsia" w:ascii="宋体" w:hAnsi="宋体"/>
          <w:bCs/>
          <w:color w:val="000000"/>
          <w:sz w:val="24"/>
          <w:szCs w:val="24"/>
          <w:highlight w:val="none"/>
        </w:rPr>
      </w:r>
      <w:r/>
    </w:p>
    <w:p>
      <w:pPr>
        <w:pStyle w:val="1320"/>
        <w:ind w:firstLine="360"/>
        <w:spacing w:before="0" w:after="0" w:line="440" w:lineRule="exact"/>
        <w:rPr>
          <w:rFonts w:hint="eastAsia"/>
          <w:b w:val="0"/>
          <w:bCs w:val="0"/>
          <w:color w:val="000000"/>
          <w:sz w:val="24"/>
          <w:szCs w:val="24"/>
          <w:highlight w:val="none"/>
        </w:rPr>
      </w:pPr>
      <w:r/>
      <w:bookmarkStart w:id="146" w:name="_Toc513029228"/>
      <w:r/>
      <w:bookmarkStart w:id="147" w:name="_Toc20823300"/>
      <w:r/>
      <w:bookmarkStart w:id="148" w:name="_Toc16938544"/>
      <w:r>
        <w:rPr>
          <w:rFonts w:hint="eastAsia"/>
          <w:b w:val="0"/>
          <w:bCs w:val="0"/>
          <w:color w:val="000000"/>
          <w:sz w:val="24"/>
          <w:szCs w:val="24"/>
          <w:highlight w:val="none"/>
        </w:rPr>
        <w:t xml:space="preserve">20、投标文件的撤回和修改</w:t>
      </w:r>
      <w:bookmarkEnd w:id="146"/>
      <w:r/>
      <w:bookmarkEnd w:id="147"/>
      <w:r/>
      <w:bookmarkEnd w:id="148"/>
      <w:r>
        <w:rPr>
          <w:rFonts w:hint="eastAsia"/>
          <w:b w:val="0"/>
          <w:bCs w:val="0"/>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 投标文件的撤回</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21.1.1 电子投标文件的撤回</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投标人可在投标截止时间前，撤回其电子投标文件，具体操作方法见《操作手册》。</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 投标文件的修改</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20.2.1投标人可在投标截止时间前，对其电子投标文件进行修改，具体操作方法见《操作手册》。</w:t>
      </w:r>
      <w:r>
        <w:rPr>
          <w:rFonts w:hint="eastAsia" w:ascii="宋体" w:hAnsi="宋体"/>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20.2.2</w:t>
      </w:r>
      <w:r>
        <w:rPr>
          <w:rFonts w:hint="eastAsia" w:ascii="宋体" w:hAnsi="宋体"/>
          <w:bCs/>
          <w:color w:val="000000"/>
          <w:sz w:val="24"/>
          <w:szCs w:val="24"/>
          <w:highlight w:val="none"/>
        </w:rPr>
        <w:t xml:space="preserve"> 在投标截止时间之后，投标人不得对其电子投标文件作任何修改。</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20.3</w:t>
      </w:r>
      <w:r>
        <w:rPr>
          <w:rFonts w:hint="eastAsia" w:ascii="宋体" w:hAnsi="宋体"/>
          <w:bCs/>
          <w:color w:val="000000"/>
          <w:sz w:val="24"/>
          <w:szCs w:val="24"/>
          <w:highlight w:val="none"/>
        </w:rPr>
        <w:t xml:space="preserve"> 在投标截止时间至招标文件中规定的投标有效期满之间的这段时间内，投标人不得撤回其投标。</w:t>
      </w:r>
      <w:r>
        <w:rPr>
          <w:rFonts w:hint="eastAsia" w:ascii="宋体" w:hAnsi="宋体"/>
          <w:bCs/>
          <w:color w:val="000000"/>
          <w:sz w:val="24"/>
          <w:szCs w:val="24"/>
          <w:highlight w:val="none"/>
        </w:rPr>
      </w:r>
      <w:r/>
    </w:p>
    <w:p>
      <w:pPr>
        <w:pStyle w:val="1319"/>
        <w:ind w:firstLine="361"/>
        <w:spacing w:before="120" w:after="120" w:line="440" w:lineRule="exact"/>
        <w:rPr>
          <w:rFonts w:hint="eastAsia"/>
          <w:color w:val="000000"/>
          <w:sz w:val="24"/>
          <w:szCs w:val="24"/>
          <w:highlight w:val="none"/>
        </w:rPr>
      </w:pPr>
      <w:r/>
      <w:bookmarkStart w:id="149" w:name="_Toc120614218"/>
      <w:r/>
      <w:bookmarkStart w:id="150" w:name="_Toc20823301"/>
      <w:r/>
      <w:bookmarkStart w:id="151" w:name="_Toc513029229"/>
      <w:r/>
      <w:bookmarkStart w:id="152" w:name="_Toc16938545"/>
      <w:r>
        <w:rPr>
          <w:rFonts w:hint="eastAsia"/>
          <w:color w:val="000000"/>
          <w:sz w:val="24"/>
          <w:szCs w:val="24"/>
          <w:highlight w:val="none"/>
        </w:rPr>
        <w:t xml:space="preserve">五、开标与评标</w:t>
      </w:r>
      <w:bookmarkEnd w:id="149"/>
      <w:r/>
      <w:bookmarkEnd w:id="150"/>
      <w:r/>
      <w:bookmarkEnd w:id="151"/>
      <w:r/>
      <w:bookmarkEnd w:id="152"/>
      <w:r>
        <w:rPr>
          <w:rFonts w:hint="eastAsia"/>
          <w:color w:val="000000"/>
          <w:sz w:val="24"/>
          <w:szCs w:val="24"/>
          <w:highlight w:val="none"/>
        </w:rPr>
      </w:r>
      <w:r/>
    </w:p>
    <w:p>
      <w:pPr>
        <w:pStyle w:val="1320"/>
        <w:ind w:firstLine="360"/>
        <w:spacing w:before="0" w:after="0" w:line="440" w:lineRule="exact"/>
        <w:rPr>
          <w:rFonts w:hint="eastAsia"/>
          <w:b w:val="0"/>
          <w:bCs w:val="0"/>
          <w:color w:val="000000"/>
          <w:sz w:val="24"/>
          <w:szCs w:val="24"/>
          <w:highlight w:val="none"/>
        </w:rPr>
      </w:pPr>
      <w:r/>
      <w:bookmarkStart w:id="153" w:name="_Toc513029230"/>
      <w:r/>
      <w:bookmarkStart w:id="154" w:name="_Toc20823302"/>
      <w:r/>
      <w:bookmarkStart w:id="155" w:name="_Toc16938546"/>
      <w:r>
        <w:rPr>
          <w:rFonts w:hint="eastAsia"/>
          <w:b w:val="0"/>
          <w:bCs w:val="0"/>
          <w:color w:val="000000"/>
          <w:sz w:val="24"/>
          <w:szCs w:val="24"/>
          <w:highlight w:val="none"/>
        </w:rPr>
        <w:t xml:space="preserve">21、开标</w:t>
      </w:r>
      <w:bookmarkEnd w:id="153"/>
      <w:r/>
      <w:bookmarkEnd w:id="154"/>
      <w:r/>
      <w:bookmarkEnd w:id="155"/>
      <w:r>
        <w:rPr>
          <w:rFonts w:hint="eastAsia"/>
          <w:b w:val="0"/>
          <w:bCs w:val="0"/>
          <w:color w:val="000000"/>
          <w:sz w:val="24"/>
          <w:szCs w:val="24"/>
          <w:highlight w:val="none"/>
        </w:rPr>
      </w:r>
      <w:r/>
    </w:p>
    <w:p>
      <w:pPr>
        <w:pStyle w:val="1316"/>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21.1</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代理机构</w:t>
      </w:r>
      <w:r>
        <w:rPr>
          <w:rFonts w:hint="eastAsia" w:ascii="宋体" w:hAnsi="宋体"/>
          <w:bCs/>
          <w:color w:val="000000"/>
          <w:sz w:val="24"/>
          <w:szCs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olor w:val="000000"/>
          <w:sz w:val="24"/>
          <w:szCs w:val="24"/>
          <w:highlight w:val="none"/>
        </w:rPr>
        <w:t xml:space="preserve">开标仪式由代理机构组织。苏采云系统将自动对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21.3投标人在开标过程中涉及的投标文件解密、开标结果确认等工作，应按照《操作手册》规定执行。</w:t>
      </w:r>
      <w:r>
        <w:rPr>
          <w:rFonts w:hint="eastAsia" w:ascii="宋体" w:hAnsi="宋体"/>
          <w:color w:val="000000"/>
          <w:sz w:val="24"/>
          <w:szCs w:val="24"/>
          <w:highlight w:val="none"/>
        </w:rPr>
      </w:r>
      <w:r/>
    </w:p>
    <w:p>
      <w:pPr>
        <w:pStyle w:val="13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rPr>
          <w:rFonts w:ascii="宋体" w:hAnsi="宋体"/>
          <w:color w:val="000000"/>
          <w:sz w:val="24"/>
          <w:szCs w:val="24"/>
          <w:highlight w:val="none"/>
        </w:rPr>
      </w:r>
      <w:r/>
    </w:p>
    <w:p>
      <w:pPr>
        <w:pStyle w:val="1320"/>
        <w:ind w:firstLine="360"/>
        <w:spacing w:before="0" w:after="0" w:line="440" w:lineRule="exact"/>
        <w:rPr>
          <w:rFonts w:hint="eastAsia"/>
          <w:b w:val="0"/>
          <w:bCs w:val="0"/>
          <w:color w:val="000000"/>
          <w:sz w:val="24"/>
          <w:szCs w:val="24"/>
          <w:highlight w:val="none"/>
        </w:rPr>
      </w:pPr>
      <w:r/>
      <w:bookmarkStart w:id="156" w:name="_Toc20823303"/>
      <w:r/>
      <w:bookmarkStart w:id="157" w:name="_Toc16938547"/>
      <w:r/>
      <w:bookmarkStart w:id="158" w:name="_Toc513029231"/>
      <w:r>
        <w:rPr>
          <w:rFonts w:hint="eastAsia"/>
          <w:b w:val="0"/>
          <w:bCs w:val="0"/>
          <w:color w:val="000000"/>
          <w:sz w:val="24"/>
          <w:szCs w:val="24"/>
          <w:highlight w:val="none"/>
        </w:rPr>
        <w:t xml:space="preserve">22、评标委员会</w:t>
      </w:r>
      <w:r>
        <w:rPr>
          <w:rFonts w:hint="eastAsia"/>
          <w:b w:val="0"/>
          <w:bCs w:val="0"/>
          <w:color w:val="000000"/>
          <w:sz w:val="24"/>
          <w:szCs w:val="24"/>
          <w:highlight w:val="none"/>
        </w:rPr>
      </w:r>
      <w:r/>
    </w:p>
    <w:p>
      <w:pPr>
        <w:pStyle w:val="1316"/>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开标后，代理机构将立即组织评标委员会（以下简称评委会）进行评标。</w:t>
      </w:r>
      <w:r>
        <w:rPr>
          <w:rFonts w:hint="eastAsia" w:ascii="宋体" w:hAnsi="宋体"/>
          <w:b/>
          <w:color w:val="000000"/>
          <w:sz w:val="24"/>
          <w:szCs w:val="24"/>
          <w:highlight w:val="none"/>
        </w:rPr>
      </w:r>
      <w:r/>
    </w:p>
    <w:p>
      <w:pPr>
        <w:pStyle w:val="1316"/>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人代表和有关技术、经济等方面的专家组成，且人员构成符合政府有关规定。</w:t>
      </w:r>
      <w:r>
        <w:rPr>
          <w:rFonts w:hint="eastAsia" w:ascii="宋体" w:hAnsi="宋体"/>
          <w:color w:val="000000"/>
          <w:sz w:val="24"/>
          <w:szCs w:val="24"/>
          <w:highlight w:val="none"/>
        </w:rPr>
      </w:r>
      <w:r/>
    </w:p>
    <w:p>
      <w:pPr>
        <w:pStyle w:val="1316"/>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22.3评委会独立工作，负责评审所有投标文件并确定中标候选人。</w:t>
      </w:r>
      <w:r>
        <w:rPr>
          <w:rFonts w:hint="eastAsia" w:ascii="宋体" w:hAnsi="宋体"/>
          <w:color w:val="000000"/>
          <w:sz w:val="24"/>
          <w:szCs w:val="24"/>
          <w:highlight w:val="none"/>
        </w:rPr>
      </w:r>
      <w:r/>
    </w:p>
    <w:p>
      <w:pPr>
        <w:pStyle w:val="1320"/>
        <w:ind w:firstLine="360"/>
        <w:spacing w:before="0" w:after="0" w:line="440" w:lineRule="exact"/>
        <w:rPr>
          <w:rFonts w:hint="eastAsia" w:ascii="黑体"/>
          <w:b w:val="0"/>
          <w:bCs w:val="0"/>
          <w:color w:val="000000"/>
          <w:sz w:val="24"/>
          <w:szCs w:val="24"/>
          <w:highlight w:val="none"/>
        </w:rPr>
      </w:pPr>
      <w:r>
        <w:rPr>
          <w:rFonts w:hint="eastAsia" w:ascii="黑体"/>
          <w:b w:val="0"/>
          <w:bCs w:val="0"/>
          <w:color w:val="000000"/>
          <w:sz w:val="24"/>
          <w:szCs w:val="24"/>
          <w:highlight w:val="none"/>
        </w:rPr>
        <w:t xml:space="preserve">23、评标过程的保密与公正</w:t>
      </w:r>
      <w:r>
        <w:rPr>
          <w:rFonts w:hint="eastAsia" w:ascii="黑体"/>
          <w:b w:val="0"/>
          <w:bCs w:val="0"/>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bookmarkEnd w:id="156"/>
      <w:r/>
      <w:bookmarkEnd w:id="157"/>
      <w:r/>
      <w:bookmarkEnd w:id="158"/>
      <w:r>
        <w:rPr>
          <w:rFonts w:hint="eastAsia" w:ascii="宋体" w:hAnsi="宋体"/>
          <w:color w:val="000000"/>
          <w:sz w:val="24"/>
          <w:szCs w:val="24"/>
          <w:highlight w:val="none"/>
        </w:rPr>
        <w:t xml:space="preserve">23.1</w:t>
      </w:r>
      <w:r>
        <w:rPr>
          <w:rFonts w:hint="eastAsia" w:ascii="宋体" w:hAnsi="宋体"/>
          <w:bCs/>
          <w:color w:val="000000"/>
          <w:sz w:val="24"/>
          <w:szCs w:val="24"/>
          <w:highlight w:val="none"/>
        </w:rPr>
        <w:t xml:space="preserve">凡是与审查、澄清、评价和比较投标的有关资料以及授标建议等，</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人、评委、</w:t>
      </w:r>
      <w:r>
        <w:rPr>
          <w:rFonts w:hint="eastAsia" w:ascii="宋体" w:hAnsi="宋体"/>
          <w:color w:val="000000"/>
          <w:sz w:val="24"/>
          <w:szCs w:val="24"/>
          <w:highlight w:val="none"/>
        </w:rPr>
        <w:t xml:space="preserve">代理机构</w:t>
      </w:r>
      <w:r>
        <w:rPr>
          <w:rFonts w:hint="eastAsia" w:ascii="宋体" w:hAnsi="宋体"/>
          <w:bCs/>
          <w:color w:val="000000"/>
          <w:sz w:val="24"/>
          <w:szCs w:val="24"/>
          <w:highlight w:val="none"/>
        </w:rPr>
        <w:t xml:space="preserve">均不得向投标人或与评标无关的其他人员透露。</w:t>
      </w:r>
      <w:r>
        <w:rPr>
          <w:rFonts w:hint="eastAsia" w:ascii="宋体" w:hAnsi="宋体"/>
          <w:bCs/>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23.2在评标过程中，投标人不得以任何行为影响评标过程，否则其投标文件将被作为无效投标文件。</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代理机构和评标委员会不向未中标的投标人解释未中标原因，也不公布评标过程中的相关细节。</w:t>
      </w:r>
      <w:r>
        <w:rPr>
          <w:rFonts w:hint="eastAsia" w:ascii="宋体" w:hAnsi="宋体"/>
          <w:color w:val="000000"/>
          <w:sz w:val="24"/>
          <w:szCs w:val="24"/>
          <w:highlight w:val="none"/>
        </w:rPr>
      </w:r>
      <w:r/>
    </w:p>
    <w:p>
      <w:pPr>
        <w:pStyle w:val="13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1320"/>
        <w:ind w:firstLine="360"/>
        <w:spacing w:before="0" w:after="0" w:line="440" w:lineRule="exact"/>
        <w:rPr>
          <w:rFonts w:hint="eastAsia"/>
          <w:b w:val="0"/>
          <w:bCs w:val="0"/>
          <w:color w:val="000000"/>
          <w:sz w:val="24"/>
          <w:szCs w:val="24"/>
          <w:highlight w:val="none"/>
        </w:rPr>
      </w:pPr>
      <w:r/>
      <w:bookmarkStart w:id="159" w:name="_Toc513029232"/>
      <w:r/>
      <w:bookmarkStart w:id="160" w:name="_Toc16938548"/>
      <w:r/>
      <w:bookmarkStart w:id="161" w:name="_Toc20823304"/>
      <w:r>
        <w:rPr>
          <w:rFonts w:hint="eastAsia"/>
          <w:b w:val="0"/>
          <w:bCs w:val="0"/>
          <w:color w:val="000000"/>
          <w:sz w:val="24"/>
          <w:szCs w:val="24"/>
          <w:highlight w:val="none"/>
        </w:rPr>
        <w:t xml:space="preserve">24、投标文件的澄清</w:t>
      </w:r>
      <w:bookmarkEnd w:id="159"/>
      <w:r/>
      <w:bookmarkEnd w:id="160"/>
      <w:r/>
      <w:bookmarkEnd w:id="161"/>
      <w:r>
        <w:rPr>
          <w:rFonts w:hint="eastAsia"/>
          <w:b w:val="0"/>
          <w:bCs w:val="0"/>
          <w:color w:val="000000"/>
          <w:sz w:val="24"/>
          <w:szCs w:val="24"/>
          <w:highlight w:val="none"/>
        </w:rPr>
      </w:r>
      <w:r/>
    </w:p>
    <w:p>
      <w:pPr>
        <w:pStyle w:val="1316"/>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13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w:t>
      </w:r>
      <w:r>
        <w:rPr>
          <w:rFonts w:hint="eastAsia" w:ascii="宋体" w:hAnsi="宋体"/>
          <w:color w:val="000000"/>
          <w:sz w:val="24"/>
          <w:szCs w:val="24"/>
          <w:highlight w:val="none"/>
          <w:lang w:val="en-US" w:eastAsia="zh-CN"/>
        </w:rPr>
        <w:t xml:space="preserve">作</w:t>
      </w:r>
      <w:r>
        <w:rPr>
          <w:rFonts w:ascii="宋体" w:hAnsi="宋体"/>
          <w:color w:val="000000"/>
          <w:sz w:val="24"/>
          <w:szCs w:val="24"/>
          <w:highlight w:val="none"/>
        </w:rPr>
        <w:t xml:space="preserve">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1316"/>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接到评委会澄清、说明和补正要求的投标人如未按规定</w:t>
      </w:r>
      <w:r>
        <w:rPr>
          <w:rFonts w:hint="eastAsia" w:ascii="宋体" w:hAnsi="宋体"/>
          <w:color w:val="000000"/>
          <w:sz w:val="24"/>
          <w:szCs w:val="24"/>
          <w:highlight w:val="none"/>
          <w:lang w:val="en-US" w:eastAsia="zh-CN"/>
        </w:rPr>
        <w:t xml:space="preserve">作</w:t>
      </w:r>
      <w:r>
        <w:rPr>
          <w:rFonts w:hint="eastAsia" w:ascii="宋体" w:hAnsi="宋体"/>
          <w:color w:val="000000"/>
          <w:sz w:val="24"/>
          <w:szCs w:val="24"/>
          <w:highlight w:val="none"/>
        </w:rPr>
        <w:t xml:space="preserve">出澄清、说明和补正，其风险由投标人自行承担。</w:t>
      </w:r>
      <w:r>
        <w:rPr>
          <w:rFonts w:hint="eastAsia" w:ascii="宋体" w:hAnsi="宋体"/>
          <w:color w:val="000000"/>
          <w:sz w:val="24"/>
          <w:szCs w:val="24"/>
          <w:highlight w:val="none"/>
        </w:rPr>
      </w:r>
      <w:r/>
    </w:p>
    <w:p>
      <w:pPr>
        <w:pStyle w:val="1320"/>
        <w:ind w:firstLine="360"/>
        <w:spacing w:before="0" w:after="0" w:line="440" w:lineRule="exact"/>
        <w:rPr>
          <w:rFonts w:hint="eastAsia"/>
          <w:b w:val="0"/>
          <w:bCs w:val="0"/>
          <w:color w:val="000000"/>
          <w:sz w:val="24"/>
          <w:szCs w:val="24"/>
          <w:highlight w:val="none"/>
        </w:rPr>
      </w:pPr>
      <w:r/>
      <w:bookmarkStart w:id="162" w:name="_Toc20823305"/>
      <w:r/>
      <w:bookmarkStart w:id="163" w:name="_Toc16938549"/>
      <w:r/>
      <w:bookmarkStart w:id="164" w:name="_Toc513029233"/>
      <w:r>
        <w:rPr>
          <w:rFonts w:hint="eastAsia"/>
          <w:b w:val="0"/>
          <w:bCs w:val="0"/>
          <w:color w:val="000000"/>
          <w:sz w:val="24"/>
          <w:szCs w:val="24"/>
          <w:highlight w:val="none"/>
        </w:rPr>
        <w:t xml:space="preserve">25、对投标文件的初审</w:t>
      </w:r>
      <w:bookmarkEnd w:id="162"/>
      <w:r/>
      <w:bookmarkEnd w:id="163"/>
      <w:r/>
      <w:bookmarkEnd w:id="164"/>
      <w:r>
        <w:rPr>
          <w:rFonts w:hint="eastAsia"/>
          <w:b w:val="0"/>
          <w:bCs w:val="0"/>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25.1</w:t>
      </w:r>
      <w:r>
        <w:rPr>
          <w:rFonts w:hint="eastAsia" w:ascii="宋体" w:hAnsi="宋体"/>
          <w:bCs/>
          <w:color w:val="000000"/>
          <w:sz w:val="24"/>
          <w:szCs w:val="24"/>
          <w:highlight w:val="none"/>
        </w:rPr>
        <w:t xml:space="preserve">投标文件初审分为资格审查和符合性审查。</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25.1.1 资格审查：依据法律法规和招标文件的规定，由</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人对投标文件中的资格证明文件进行审查。资格审查的结论，</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人以书面形式向评委会进行反馈。</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接受联合体的项目，两个以上的自然人、法人或者其他组织组成一个联合体，以一个投标人的身份共同参加政府活动的,联合体成员存在不良信用记录的，视同联合体存在不良信用记录。</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3 未通过资格审查或符合性审查的投标人，代理机构将在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w:t>
      </w:r>
      <w:r>
        <w:rPr>
          <w:rFonts w:ascii="宋体" w:hAnsi="宋体"/>
          <w:bCs/>
          <w:color w:val="000000"/>
          <w:sz w:val="24"/>
          <w:szCs w:val="24"/>
          <w:highlight w:val="none"/>
        </w:rPr>
        <w:t xml:space="preserve">评标结束后，</w:t>
      </w:r>
      <w:r>
        <w:rPr>
          <w:rFonts w:hint="eastAsia" w:ascii="宋体" w:hAnsi="宋体"/>
          <w:bCs/>
          <w:color w:val="000000"/>
          <w:sz w:val="24"/>
          <w:szCs w:val="24"/>
          <w:highlight w:val="none"/>
        </w:rPr>
        <w:t xml:space="preserve">代理机构</w:t>
      </w:r>
      <w:r>
        <w:rPr>
          <w:rFonts w:ascii="宋体" w:hAnsi="宋体"/>
          <w:bCs/>
          <w:color w:val="000000"/>
          <w:sz w:val="24"/>
          <w:szCs w:val="24"/>
          <w:highlight w:val="none"/>
        </w:rPr>
        <w:t xml:space="preserve">将不再告知未通过资格审查和</w:t>
      </w:r>
      <w:r>
        <w:rPr>
          <w:rFonts w:hint="eastAsia" w:ascii="宋体" w:hAnsi="宋体"/>
          <w:bCs/>
          <w:color w:val="000000"/>
          <w:sz w:val="24"/>
          <w:szCs w:val="24"/>
          <w:highlight w:val="none"/>
        </w:rPr>
        <w:t xml:space="preserve">符合性</w:t>
      </w:r>
      <w:r>
        <w:rPr>
          <w:rFonts w:ascii="宋体" w:hAnsi="宋体"/>
          <w:bCs/>
          <w:color w:val="000000"/>
          <w:sz w:val="24"/>
          <w:szCs w:val="24"/>
          <w:highlight w:val="none"/>
        </w:rPr>
        <w:t xml:space="preserve">审查的原因。</w:t>
      </w:r>
      <w:r>
        <w:rPr>
          <w:rFonts w:hint="eastAsia" w:ascii="宋体" w:hAnsi="宋体"/>
          <w:bCs/>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4"/>
          <w:highlight w:val="none"/>
        </w:rPr>
      </w:r>
      <w:r/>
    </w:p>
    <w:p>
      <w:pPr>
        <w:pStyle w:val="13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4</w:t>
      </w:r>
      <w:r>
        <w:rPr>
          <w:rFonts w:hint="eastAsia" w:ascii="宋体" w:hAnsi="宋体"/>
          <w:bCs/>
          <w:color w:val="000000"/>
          <w:sz w:val="24"/>
          <w:szCs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szCs w:val="24"/>
          <w:highlight w:val="none"/>
        </w:rPr>
      </w:r>
      <w:r/>
    </w:p>
    <w:p>
      <w:pPr>
        <w:pStyle w:val="1316"/>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（1）投标文件中开标一览表内容与投标文件中相应内容不一致的，以开标一览表为准。</w:t>
      </w:r>
      <w:r>
        <w:rPr>
          <w:rFonts w:ascii="宋体" w:hAnsi="宋体"/>
          <w:bCs/>
          <w:color w:val="000000"/>
          <w:sz w:val="24"/>
          <w:szCs w:val="24"/>
          <w:highlight w:val="none"/>
        </w:rPr>
      </w:r>
      <w:r/>
    </w:p>
    <w:p>
      <w:pPr>
        <w:pStyle w:val="1316"/>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（2）大写金额和小写金额不一致的，以大写金额为准。</w:t>
      </w:r>
      <w:r>
        <w:rPr>
          <w:rFonts w:ascii="宋体" w:hAnsi="宋体"/>
          <w:bCs/>
          <w:color w:val="000000"/>
          <w:sz w:val="24"/>
          <w:szCs w:val="24"/>
          <w:highlight w:val="none"/>
        </w:rPr>
      </w:r>
      <w:r/>
    </w:p>
    <w:p>
      <w:pPr>
        <w:pStyle w:val="1316"/>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（3）单价金额小数点或者百分比有明显错位的，以开标一览表的总价为准，并修改单价。</w:t>
      </w:r>
      <w:r>
        <w:rPr>
          <w:rFonts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（4）总价金额与按单价汇总金额不一致的，以单价金额计算结果为准。</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同时出现两种以上错误的，按照前款规定的顺序修正。</w:t>
      </w:r>
      <w:r>
        <w:rPr>
          <w:rFonts w:hint="eastAsia" w:ascii="宋体" w:hAnsi="宋体"/>
          <w:bCs/>
          <w:color w:val="000000"/>
          <w:sz w:val="24"/>
          <w:szCs w:val="24"/>
          <w:highlight w:val="none"/>
        </w:rPr>
      </w:r>
      <w:r/>
    </w:p>
    <w:p>
      <w:pPr>
        <w:pStyle w:val="1316"/>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评委会将按上述修正错误的方法调整投标文件中的投标报价，并</w:t>
      </w:r>
      <w:r>
        <w:rPr>
          <w:rFonts w:ascii="宋体" w:hAnsi="宋体"/>
          <w:bCs/>
          <w:color w:val="000000"/>
          <w:sz w:val="24"/>
          <w:szCs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告知</w:t>
      </w:r>
      <w:r>
        <w:rPr>
          <w:rFonts w:ascii="宋体" w:hAnsi="宋体"/>
          <w:bCs/>
          <w:color w:val="000000"/>
          <w:sz w:val="24"/>
          <w:szCs w:val="24"/>
          <w:highlight w:val="none"/>
        </w:rPr>
        <w:t xml:space="preserve">投标人，</w:t>
      </w:r>
      <w:r>
        <w:rPr>
          <w:rFonts w:hint="eastAsia" w:ascii="宋体" w:hAnsi="宋体"/>
          <w:bCs/>
          <w:color w:val="000000"/>
          <w:sz w:val="24"/>
          <w:szCs w:val="24"/>
          <w:highlight w:val="none"/>
        </w:rPr>
        <w:t xml:space="preserve">调整后的价格应对投标人具有约束力。如果投标人不接受修正后的价格，则其投标将被拒绝。</w:t>
      </w:r>
      <w:r>
        <w:rPr>
          <w:rFonts w:ascii="宋体" w:hAnsi="宋体"/>
          <w:bCs/>
          <w:color w:val="000000"/>
          <w:sz w:val="24"/>
          <w:szCs w:val="24"/>
          <w:highlight w:val="none"/>
        </w:rPr>
      </w:r>
      <w:r/>
    </w:p>
    <w:p>
      <w:pPr>
        <w:pStyle w:val="1316"/>
        <w:ind w:firstLine="420"/>
        <w:spacing w:line="440" w:lineRule="exact"/>
        <w:rPr>
          <w:rFonts w:hint="eastAsia" w:ascii="宋体" w:hAnsi="宋体"/>
          <w:b/>
          <w:bCs/>
          <w:color w:val="000000"/>
          <w:sz w:val="24"/>
          <w:szCs w:val="24"/>
          <w:highlight w:val="none"/>
        </w:rPr>
      </w:pPr>
      <w:r/>
      <w:bookmarkStart w:id="165" w:name="_Toc16938550"/>
      <w:r/>
      <w:bookmarkStart w:id="166" w:name="_Toc513029234"/>
      <w:r/>
      <w:bookmarkStart w:id="167" w:name="_Toc20823306"/>
      <w:r>
        <w:rPr>
          <w:rFonts w:hint="eastAsia" w:ascii="宋体" w:hAnsi="宋体"/>
          <w:b/>
          <w:bCs/>
          <w:color w:val="000000"/>
          <w:sz w:val="24"/>
          <w:szCs w:val="24"/>
          <w:highlight w:val="none"/>
        </w:rPr>
        <w:t xml:space="preserve">25.6投标人在开、评标全过程中应保持通信畅通，及时登录苏采云系统查阅</w:t>
      </w:r>
      <w:r>
        <w:rPr>
          <w:rFonts w:ascii="宋体" w:hAnsi="宋体"/>
          <w:b/>
          <w:bCs/>
          <w:color w:val="000000"/>
          <w:sz w:val="24"/>
          <w:szCs w:val="24"/>
          <w:highlight w:val="none"/>
        </w:rPr>
        <w:t xml:space="preserve">、答复相关</w:t>
      </w:r>
      <w:r>
        <w:rPr>
          <w:rFonts w:hint="eastAsia" w:ascii="宋体" w:hAnsi="宋体"/>
          <w:b/>
          <w:bCs/>
          <w:color w:val="000000"/>
          <w:sz w:val="24"/>
          <w:szCs w:val="24"/>
          <w:highlight w:val="none"/>
        </w:rPr>
        <w:t xml:space="preserve">信息</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并安排专人与代理机构及评标委员会联系。</w:t>
      </w:r>
      <w:r>
        <w:rPr>
          <w:rFonts w:hint="eastAsia" w:ascii="宋体" w:hAnsi="宋体"/>
          <w:b/>
          <w:bCs/>
          <w:color w:val="000000"/>
          <w:sz w:val="24"/>
          <w:szCs w:val="24"/>
          <w:highlight w:val="none"/>
        </w:rPr>
      </w:r>
      <w:r/>
    </w:p>
    <w:p>
      <w:pPr>
        <w:pStyle w:val="1320"/>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26、</w:t>
      </w:r>
      <w:bookmarkEnd w:id="165"/>
      <w:r/>
      <w:bookmarkEnd w:id="166"/>
      <w:r/>
      <w:bookmarkEnd w:id="167"/>
      <w:r>
        <w:rPr>
          <w:rFonts w:hint="eastAsia"/>
          <w:b w:val="0"/>
          <w:bCs w:val="0"/>
          <w:color w:val="000000"/>
          <w:sz w:val="24"/>
          <w:szCs w:val="24"/>
          <w:highlight w:val="none"/>
        </w:rPr>
        <w:t xml:space="preserve">无效投标条款和废标条款</w:t>
      </w:r>
      <w:r>
        <w:rPr>
          <w:rFonts w:hint="eastAsia"/>
          <w:b w:val="0"/>
          <w:bCs w:val="0"/>
          <w:color w:val="000000"/>
          <w:sz w:val="24"/>
          <w:szCs w:val="24"/>
          <w:highlight w:val="none"/>
        </w:rPr>
      </w:r>
      <w:r/>
    </w:p>
    <w:p>
      <w:pPr>
        <w:pStyle w:val="1316"/>
        <w:ind w:left="479"/>
        <w:spacing w:line="440" w:lineRule="exact"/>
        <w:rPr>
          <w:rFonts w:hint="eastAsia" w:ascii="宋体" w:hAnsi="宋体"/>
          <w:bCs/>
          <w:color w:val="000000"/>
          <w:sz w:val="24"/>
          <w:szCs w:val="24"/>
          <w:highlight w:val="none"/>
        </w:rPr>
      </w:pPr>
      <w:r/>
      <w:bookmarkStart w:id="168" w:name="_Toc513029235"/>
      <w:r/>
      <w:bookmarkStart w:id="169" w:name="_Toc20823307"/>
      <w:r/>
      <w:bookmarkStart w:id="170" w:name="_Toc16938551"/>
      <w:r>
        <w:rPr>
          <w:rFonts w:hint="eastAsia" w:ascii="宋体" w:hAnsi="宋体"/>
          <w:bCs/>
          <w:color w:val="000000"/>
          <w:sz w:val="24"/>
          <w:szCs w:val="24"/>
          <w:highlight w:val="none"/>
        </w:rPr>
        <w:t xml:space="preserve">26.1无效投标条款</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 投标人未按照招标文件要求上传电子投标文件的。</w:t>
      </w:r>
      <w:r>
        <w:rPr>
          <w:rFonts w:hint="eastAsia" w:ascii="宋体" w:hAnsi="宋体"/>
          <w:bCs/>
          <w:color w:val="000000"/>
          <w:sz w:val="24"/>
          <w:szCs w:val="24"/>
          <w:highlight w:val="none"/>
        </w:rPr>
      </w:r>
      <w:r/>
    </w:p>
    <w:p>
      <w:pPr>
        <w:pStyle w:val="1316"/>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26.1.3同一投标人提交两个（含两个）以上不同的投标报价的。</w:t>
      </w:r>
      <w:r>
        <w:rPr>
          <w:rFonts w:hint="eastAsia" w:ascii="宋体" w:hAnsi="宋体"/>
          <w:bCs/>
          <w:color w:val="000000"/>
          <w:sz w:val="24"/>
          <w:szCs w:val="24"/>
          <w:highlight w:val="none"/>
        </w:rPr>
      </w:r>
      <w:r/>
    </w:p>
    <w:p>
      <w:pPr>
        <w:pStyle w:val="1316"/>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26.1.4投标人不具备招标文件中规定资格要求的。</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26.1.5投标人的各标段报价超过了招标文件中规定的最高限价的。</w:t>
      </w:r>
      <w:r>
        <w:rPr>
          <w:rFonts w:hint="eastAsia" w:ascii="宋体" w:hAnsi="宋体"/>
          <w:bCs/>
          <w:color w:val="000000"/>
          <w:sz w:val="24"/>
          <w:szCs w:val="24"/>
          <w:highlight w:val="none"/>
        </w:rPr>
      </w:r>
      <w:r/>
    </w:p>
    <w:p>
      <w:pPr>
        <w:pStyle w:val="1316"/>
        <w:ind w:firstLine="48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26.1.6未通过符合性审查的。</w:t>
      </w:r>
      <w:r>
        <w:rPr>
          <w:rFonts w:hint="eastAsia" w:ascii="宋体" w:hAnsi="宋体"/>
          <w:bCs/>
          <w:i/>
          <w:color w:val="000000"/>
          <w:sz w:val="24"/>
          <w:szCs w:val="24"/>
          <w:highlight w:val="none"/>
          <w:u w:val="single"/>
        </w:rPr>
      </w:r>
      <w:r/>
    </w:p>
    <w:p>
      <w:pPr>
        <w:pStyle w:val="1316"/>
        <w:ind w:firstLine="36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 26.1.7不符合招标文件中规定的实质性要求和条件的（</w:t>
      </w:r>
      <w:r>
        <w:rPr>
          <w:rFonts w:hint="eastAsia" w:ascii="宋体" w:hAnsi="宋体"/>
          <w:bCs/>
          <w:i/>
          <w:color w:val="000000"/>
          <w:sz w:val="24"/>
          <w:szCs w:val="24"/>
          <w:highlight w:val="none"/>
          <w:u w:val="single"/>
        </w:rPr>
        <w:t xml:space="preserve">本招标文件中斜体且有下划线部分为实质性要求和条件）。</w:t>
      </w:r>
      <w:r>
        <w:rPr>
          <w:rFonts w:hint="eastAsia" w:ascii="宋体" w:hAnsi="宋体"/>
          <w:bCs/>
          <w:i/>
          <w:color w:val="000000"/>
          <w:sz w:val="24"/>
          <w:szCs w:val="24"/>
          <w:highlight w:val="none"/>
          <w:u w:val="singl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26.1.8 单位负责人为同一人或者存在直接控股、管理关系的不同供应商，参加同一合同项下的政府采购活动的。</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26.1.9投标人被 “信用中国”网站（www.creditchina.gov.cn）列入失信被执行人或重大税收违法案件当事人名单或政府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26.1.10投标文件含有人不能接受的附加条件的。</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26.1.12投标文件未按照招标文件要求加盖CA</w:t>
      </w:r>
      <w:r>
        <w:rPr>
          <w:rFonts w:ascii="宋体" w:hAnsi="宋体"/>
          <w:bCs/>
          <w:color w:val="000000"/>
          <w:sz w:val="24"/>
          <w:szCs w:val="24"/>
          <w:highlight w:val="none"/>
        </w:rPr>
        <w:t xml:space="preserve">电子公章的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26.1.13其他法律法规及本招标文件规定的属于无效投标的情形。</w:t>
      </w:r>
      <w:r>
        <w:rPr>
          <w:rFonts w:hint="eastAsia" w:ascii="宋体" w:hAnsi="宋体"/>
          <w:bCs/>
          <w:color w:val="000000"/>
          <w:sz w:val="24"/>
          <w:szCs w:val="24"/>
          <w:highlight w:val="none"/>
        </w:rPr>
      </w:r>
      <w:r/>
    </w:p>
    <w:p>
      <w:pPr>
        <w:pStyle w:val="1316"/>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26.2废标条款</w:t>
      </w:r>
      <w:r>
        <w:rPr>
          <w:rFonts w:hint="eastAsia" w:ascii="宋体" w:hAnsi="宋体"/>
          <w:bCs/>
          <w:color w:val="000000"/>
          <w:sz w:val="24"/>
          <w:szCs w:val="24"/>
          <w:highlight w:val="none"/>
        </w:rPr>
      </w:r>
      <w:r/>
    </w:p>
    <w:p>
      <w:pPr>
        <w:pStyle w:val="1316"/>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26.2.1符合专业条件的投标人或者对招标文件作实质响应的投标人不足三</w:t>
      </w:r>
      <w:r>
        <w:rPr>
          <w:rFonts w:hint="eastAsia" w:ascii="宋体" w:hAnsi="宋体"/>
          <w:bCs/>
          <w:color w:val="000000"/>
          <w:sz w:val="24"/>
          <w:szCs w:val="24"/>
          <w:highlight w:val="none"/>
        </w:rPr>
      </w:r>
      <w:r/>
    </w:p>
    <w:p>
      <w:pPr>
        <w:pStyle w:val="1316"/>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家的。</w:t>
      </w:r>
      <w:r>
        <w:rPr>
          <w:rFonts w:hint="eastAsia" w:ascii="宋体" w:hAnsi="宋体"/>
          <w:bCs/>
          <w:color w:val="000000"/>
          <w:sz w:val="24"/>
          <w:szCs w:val="24"/>
          <w:highlight w:val="none"/>
        </w:rPr>
      </w:r>
      <w:r/>
    </w:p>
    <w:p>
      <w:pPr>
        <w:pStyle w:val="1316"/>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26.2.2出现影响公正的违法、违规行为的。</w:t>
      </w:r>
      <w:r>
        <w:rPr>
          <w:rFonts w:hint="eastAsia" w:ascii="宋体" w:hAnsi="宋体"/>
          <w:bCs/>
          <w:color w:val="000000"/>
          <w:sz w:val="24"/>
          <w:szCs w:val="24"/>
          <w:highlight w:val="none"/>
        </w:rPr>
      </w:r>
      <w:r/>
    </w:p>
    <w:p>
      <w:pPr>
        <w:pStyle w:val="1316"/>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26.2.3因重大变故，任务取消的。</w:t>
      </w:r>
      <w:r>
        <w:rPr>
          <w:rFonts w:hint="eastAsia" w:ascii="宋体" w:hAnsi="宋体"/>
          <w:bCs/>
          <w:color w:val="000000"/>
          <w:sz w:val="24"/>
          <w:szCs w:val="24"/>
          <w:highlight w:val="none"/>
        </w:rPr>
      </w:r>
      <w:r/>
    </w:p>
    <w:p>
      <w:pPr>
        <w:pStyle w:val="1316"/>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26.2.4评标委员会认定招标文件存在歧义、重大缺陷导致评审工作无法进</w:t>
      </w:r>
      <w:r>
        <w:rPr>
          <w:rFonts w:hint="eastAsia" w:ascii="宋体" w:hAnsi="宋体"/>
          <w:bCs/>
          <w:color w:val="000000"/>
          <w:sz w:val="24"/>
          <w:szCs w:val="24"/>
          <w:highlight w:val="none"/>
        </w:rPr>
      </w:r>
      <w:r/>
    </w:p>
    <w:p>
      <w:pPr>
        <w:pStyle w:val="1316"/>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行。</w:t>
      </w:r>
      <w:r>
        <w:rPr>
          <w:rFonts w:ascii="宋体" w:hAnsi="宋体"/>
          <w:bCs/>
          <w:color w:val="000000"/>
          <w:sz w:val="24"/>
          <w:szCs w:val="24"/>
          <w:highlight w:val="none"/>
        </w:rPr>
      </w:r>
      <w:r/>
    </w:p>
    <w:p>
      <w:pPr>
        <w:pStyle w:val="1316"/>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26.2.5 因</w:t>
      </w:r>
      <w:r>
        <w:rPr>
          <w:rFonts w:hint="eastAsia" w:ascii="宋体" w:hAnsi="宋体"/>
          <w:color w:val="000000"/>
          <w:sz w:val="24"/>
          <w:szCs w:val="24"/>
          <w:highlight w:val="none"/>
        </w:rPr>
        <w:t xml:space="preserve">苏采云系统故障</w:t>
      </w:r>
      <w:r>
        <w:rPr>
          <w:rFonts w:ascii="宋体" w:hAnsi="宋体"/>
          <w:bCs/>
          <w:color w:val="000000"/>
          <w:sz w:val="24"/>
          <w:szCs w:val="24"/>
          <w:highlight w:val="none"/>
        </w:rPr>
        <w:t xml:space="preserve">原因造成开标不成功</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316"/>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 投标截止时间结束后参加投标的投标人不足三家的处理：</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26.3.1如出现投标截止时间结束后参加投标的投标人或者在评标期间对招标文件做出实质响应的投标人不足三家情况，按政府相关规定执行。</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26.4评审注意事项</w:t>
      </w:r>
      <w:r>
        <w:rPr>
          <w:rFonts w:hint="eastAsia" w:ascii="宋体" w:hAnsi="宋体"/>
          <w:bCs/>
          <w:color w:val="000000"/>
          <w:sz w:val="24"/>
          <w:szCs w:val="24"/>
          <w:highlight w:val="none"/>
        </w:rPr>
      </w:r>
      <w:r/>
    </w:p>
    <w:p>
      <w:pPr>
        <w:pStyle w:val="1316"/>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bCs/>
          <w:color w:val="000000"/>
          <w:sz w:val="24"/>
          <w:szCs w:val="24"/>
          <w:highlight w:val="none"/>
        </w:rPr>
      </w:r>
      <w:r/>
    </w:p>
    <w:p>
      <w:pPr>
        <w:pStyle w:val="1316"/>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评标委员会启动异常低价投标(响应)审查的情形和具体要求:</w:t>
      </w:r>
      <w:r>
        <w:rPr>
          <w:rFonts w:ascii="宋体" w:hAnsi="宋体"/>
          <w:bCs/>
          <w:color w:val="000000"/>
          <w:sz w:val="24"/>
          <w:szCs w:val="24"/>
          <w:highlight w:val="none"/>
        </w:rPr>
      </w:r>
      <w:r/>
    </w:p>
    <w:p>
      <w:pPr>
        <w:pStyle w:val="1316"/>
        <w:numPr>
          <w:ilvl w:val="0"/>
          <w:numId w:val="7"/>
        </w:numPr>
        <w:ind w:firstLine="482"/>
        <w:spacing w:line="440" w:lineRule="exact"/>
        <w:tabs>
          <w:tab w:val="left" w:pos="312" w:leader="none"/>
        </w:tabs>
        <w:rPr>
          <w:rFonts w:ascii="宋体" w:hAnsi="宋体"/>
          <w:b/>
          <w:bCs w:val="0"/>
          <w:color w:val="000000"/>
          <w:sz w:val="24"/>
          <w:szCs w:val="24"/>
          <w:highlight w:val="none"/>
        </w:rPr>
      </w:pPr>
      <w:r>
        <w:rPr>
          <w:rFonts w:ascii="宋体" w:hAnsi="宋体"/>
          <w:b/>
          <w:bCs w:val="0"/>
          <w:color w:val="000000"/>
          <w:sz w:val="24"/>
          <w:szCs w:val="24"/>
          <w:highlight w:val="none"/>
        </w:rPr>
        <w:t xml:space="preserve">政府采购评审中出现下列情形之一的，评审委员会应当启动异常低价投标（响应）审查程序： </w:t>
      </w:r>
      <w:r>
        <w:rPr>
          <w:rFonts w:ascii="宋体" w:hAnsi="宋体"/>
          <w:b/>
          <w:bCs w:val="0"/>
          <w:color w:val="000000"/>
          <w:sz w:val="24"/>
          <w:szCs w:val="24"/>
          <w:highlight w:val="none"/>
        </w:rPr>
      </w:r>
      <w:r/>
    </w:p>
    <w:p>
      <w:pPr>
        <w:pStyle w:val="1316"/>
        <w:ind w:firstLine="482"/>
        <w:spacing w:line="440" w:lineRule="exact"/>
        <w:rPr>
          <w:rFonts w:ascii="宋体" w:hAnsi="宋体"/>
          <w:b/>
          <w:bCs w:val="0"/>
          <w:color w:val="000000"/>
          <w:sz w:val="24"/>
          <w:szCs w:val="24"/>
          <w:highlight w:val="none"/>
        </w:rPr>
      </w:pPr>
      <w:r>
        <w:rPr>
          <w:rFonts w:ascii="宋体" w:hAnsi="宋体"/>
          <w:b/>
          <w:bCs w:val="0"/>
          <w:color w:val="000000"/>
          <w:sz w:val="24"/>
          <w:szCs w:val="24"/>
          <w:highlight w:val="none"/>
        </w:rPr>
        <w:t xml:space="preserve">（1）投标报价低于全部通过符合性审查供应商投标报价平均值65%的，即投标报价&lt;全部通过符合性审查供应商投标报价平均值×65%；</w:t>
      </w:r>
      <w:r>
        <w:rPr>
          <w:rFonts w:ascii="宋体" w:hAnsi="宋体"/>
          <w:b/>
          <w:bCs w:val="0"/>
          <w:color w:val="000000"/>
          <w:sz w:val="24"/>
          <w:szCs w:val="24"/>
          <w:highlight w:val="none"/>
        </w:rPr>
      </w:r>
      <w:r/>
    </w:p>
    <w:p>
      <w:pPr>
        <w:pStyle w:val="1316"/>
        <w:ind w:firstLine="482"/>
        <w:spacing w:line="440" w:lineRule="exact"/>
        <w:rPr>
          <w:rFonts w:ascii="宋体" w:hAnsi="宋体"/>
          <w:b/>
          <w:bCs w:val="0"/>
          <w:color w:val="000000"/>
          <w:sz w:val="24"/>
          <w:szCs w:val="24"/>
          <w:highlight w:val="none"/>
        </w:rPr>
      </w:pPr>
      <w:r>
        <w:rPr>
          <w:rFonts w:ascii="宋体" w:hAnsi="宋体"/>
          <w:b/>
          <w:bCs w:val="0"/>
          <w:color w:val="000000"/>
          <w:sz w:val="24"/>
          <w:szCs w:val="24"/>
          <w:highlight w:val="none"/>
        </w:rPr>
        <w:t xml:space="preserve">（2）投标报价低于通过符合性审查的次低报价供应商投标报价65%的，即投标报价&lt;通过符合性审查的次低报价供应商投标报价×65%；</w:t>
      </w:r>
      <w:r>
        <w:rPr>
          <w:rFonts w:ascii="宋体" w:hAnsi="宋体"/>
          <w:b/>
          <w:bCs w:val="0"/>
          <w:color w:val="000000"/>
          <w:sz w:val="24"/>
          <w:szCs w:val="24"/>
          <w:highlight w:val="none"/>
        </w:rPr>
      </w:r>
      <w:r/>
    </w:p>
    <w:p>
      <w:pPr>
        <w:pStyle w:val="1316"/>
        <w:ind w:firstLine="482"/>
        <w:spacing w:line="440" w:lineRule="exact"/>
        <w:rPr>
          <w:rFonts w:ascii="宋体" w:hAnsi="宋体"/>
          <w:b/>
          <w:bCs w:val="0"/>
          <w:color w:val="000000"/>
          <w:sz w:val="24"/>
          <w:szCs w:val="24"/>
          <w:highlight w:val="none"/>
        </w:rPr>
      </w:pPr>
      <w:r>
        <w:rPr>
          <w:rFonts w:ascii="宋体" w:hAnsi="宋体"/>
          <w:b/>
          <w:bCs w:val="0"/>
          <w:color w:val="000000"/>
          <w:sz w:val="24"/>
          <w:szCs w:val="24"/>
          <w:highlight w:val="none"/>
        </w:rPr>
        <w:t xml:space="preserve">（3）投标报价低于采购项目最高限价65%的，即投标报价&lt;采购项目最高限价×65%；</w:t>
      </w:r>
      <w:r>
        <w:rPr>
          <w:rFonts w:ascii="宋体" w:hAnsi="宋体"/>
          <w:b/>
          <w:bCs w:val="0"/>
          <w:color w:val="000000"/>
          <w:sz w:val="24"/>
          <w:szCs w:val="24"/>
          <w:highlight w:val="none"/>
        </w:rPr>
      </w:r>
      <w:r/>
    </w:p>
    <w:p>
      <w:pPr>
        <w:pStyle w:val="1316"/>
        <w:ind w:firstLine="482"/>
        <w:spacing w:line="440" w:lineRule="exact"/>
        <w:rPr>
          <w:rFonts w:ascii="宋体" w:hAnsi="宋体"/>
          <w:b/>
          <w:bCs w:val="0"/>
          <w:color w:val="000000"/>
          <w:sz w:val="24"/>
          <w:szCs w:val="24"/>
          <w:highlight w:val="none"/>
        </w:rPr>
      </w:pPr>
      <w:r>
        <w:rPr>
          <w:rFonts w:ascii="宋体" w:hAnsi="宋体"/>
          <w:b/>
          <w:bCs w:val="0"/>
          <w:color w:val="000000"/>
          <w:sz w:val="24"/>
          <w:szCs w:val="24"/>
          <w:highlight w:val="none"/>
        </w:rPr>
        <w:t xml:space="preserve">（4）评委会基于专业判断，认为供应商报价过低，有可能影响产品质量或者不能诚信履约的其他情形。</w:t>
      </w:r>
      <w:r>
        <w:rPr>
          <w:rFonts w:ascii="宋体" w:hAnsi="宋体"/>
          <w:b/>
          <w:bCs w:val="0"/>
          <w:color w:val="000000"/>
          <w:sz w:val="24"/>
          <w:szCs w:val="24"/>
          <w:highlight w:val="none"/>
        </w:rPr>
      </w:r>
      <w:r/>
    </w:p>
    <w:p>
      <w:pPr>
        <w:pStyle w:val="1316"/>
        <w:ind w:firstLine="482"/>
        <w:spacing w:line="440" w:lineRule="exact"/>
        <w:rPr>
          <w:rFonts w:ascii="宋体" w:hAnsi="宋体"/>
          <w:b/>
          <w:bCs w:val="0"/>
          <w:color w:val="000000"/>
          <w:sz w:val="24"/>
          <w:szCs w:val="24"/>
          <w:highlight w:val="none"/>
        </w:rPr>
      </w:pPr>
      <w:r>
        <w:rPr>
          <w:rFonts w:ascii="宋体" w:hAnsi="宋体"/>
          <w:b/>
          <w:bCs w:val="0"/>
          <w:color w:val="000000"/>
          <w:sz w:val="24"/>
          <w:szCs w:val="24"/>
          <w:highlight w:val="none"/>
        </w:rPr>
        <w:t xml:space="preserve">(二)启动异常低价投标(响应)审查后，评标委员会应当要求相关供应商在评标现场合理的时间内，提供项目具体成本测算等与报价合理性相关的书面说明及相关证明材料，对投标(响应)价格作出解释</w:t>
      </w:r>
      <w:r>
        <w:rPr>
          <w:rFonts w:hint="eastAsia" w:ascii="宋体" w:hAnsi="宋体"/>
          <w:b/>
          <w:bCs w:val="0"/>
          <w:color w:val="000000"/>
          <w:sz w:val="24"/>
          <w:szCs w:val="24"/>
          <w:highlight w:val="none"/>
        </w:rPr>
        <w:t xml:space="preserve">，包括但不限于原材料成本、人工成本、制造费用等，</w:t>
      </w:r>
      <w:r>
        <w:rPr>
          <w:rFonts w:ascii="宋体" w:hAnsi="宋体"/>
          <w:b/>
          <w:bCs w:val="0"/>
          <w:color w:val="000000"/>
          <w:sz w:val="24"/>
          <w:szCs w:val="24"/>
          <w:highlight w:val="none"/>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b/>
          <w:bCs w:val="0"/>
          <w:color w:val="000000"/>
          <w:sz w:val="24"/>
          <w:szCs w:val="24"/>
          <w:highlight w:val="none"/>
        </w:rPr>
      </w:r>
      <w:r/>
    </w:p>
    <w:p>
      <w:pPr>
        <w:pStyle w:val="1319"/>
        <w:ind w:firstLine="361"/>
        <w:spacing w:before="120" w:after="120" w:line="440" w:lineRule="exact"/>
        <w:rPr>
          <w:rFonts w:hint="eastAsia"/>
          <w:color w:val="000000"/>
          <w:sz w:val="24"/>
          <w:szCs w:val="24"/>
          <w:highlight w:val="none"/>
        </w:rPr>
      </w:pPr>
      <w:r/>
      <w:bookmarkStart w:id="171" w:name="_Toc120614219"/>
      <w:r>
        <w:rPr>
          <w:rFonts w:hint="eastAsia"/>
          <w:color w:val="000000"/>
          <w:sz w:val="24"/>
          <w:szCs w:val="24"/>
          <w:highlight w:val="none"/>
        </w:rPr>
        <w:t xml:space="preserve">六、</w:t>
      </w:r>
      <w:bookmarkEnd w:id="168"/>
      <w:r/>
      <w:bookmarkEnd w:id="169"/>
      <w:r/>
      <w:bookmarkEnd w:id="170"/>
      <w:r>
        <w:rPr>
          <w:rFonts w:hint="eastAsia"/>
          <w:color w:val="000000"/>
          <w:sz w:val="24"/>
          <w:szCs w:val="24"/>
          <w:highlight w:val="none"/>
        </w:rPr>
        <w:t xml:space="preserve">定标</w:t>
      </w:r>
      <w:bookmarkEnd w:id="171"/>
      <w:r>
        <w:rPr>
          <w:rFonts w:hint="eastAsia"/>
          <w:color w:val="000000"/>
          <w:sz w:val="24"/>
          <w:szCs w:val="24"/>
          <w:highlight w:val="none"/>
        </w:rPr>
      </w:r>
      <w:r/>
    </w:p>
    <w:p>
      <w:pPr>
        <w:pStyle w:val="1320"/>
        <w:ind w:firstLine="480"/>
        <w:spacing w:before="0" w:after="0" w:line="440" w:lineRule="exact"/>
        <w:rPr>
          <w:rFonts w:hint="eastAsia" w:ascii="黑体" w:hAnsi="宋体"/>
          <w:b w:val="0"/>
          <w:color w:val="000000"/>
          <w:sz w:val="24"/>
          <w:szCs w:val="24"/>
          <w:highlight w:val="none"/>
        </w:rPr>
      </w:pPr>
      <w:r/>
      <w:bookmarkStart w:id="172" w:name="_Toc513029238"/>
      <w:r/>
      <w:bookmarkStart w:id="173" w:name="_Toc20823310"/>
      <w:r/>
      <w:bookmarkStart w:id="174" w:name="_Toc16938554"/>
      <w:r>
        <w:rPr>
          <w:rFonts w:hint="eastAsia" w:ascii="黑体" w:hAnsi="宋体"/>
          <w:b w:val="0"/>
          <w:color w:val="000000"/>
          <w:sz w:val="24"/>
          <w:szCs w:val="24"/>
          <w:highlight w:val="none"/>
        </w:rPr>
        <w:t xml:space="preserve">27、</w:t>
      </w:r>
      <w:bookmarkEnd w:id="172"/>
      <w:r>
        <w:rPr>
          <w:rFonts w:hint="eastAsia" w:ascii="黑体" w:hAnsi="宋体"/>
          <w:b w:val="0"/>
          <w:color w:val="000000"/>
          <w:sz w:val="24"/>
          <w:szCs w:val="24"/>
          <w:highlight w:val="none"/>
        </w:rPr>
        <w:t xml:space="preserve">确定</w:t>
      </w:r>
      <w:bookmarkEnd w:id="173"/>
      <w:r/>
      <w:bookmarkEnd w:id="174"/>
      <w:r>
        <w:rPr>
          <w:rFonts w:hint="eastAsia" w:ascii="黑体" w:hAnsi="宋体"/>
          <w:b w:val="0"/>
          <w:color w:val="000000"/>
          <w:sz w:val="24"/>
          <w:szCs w:val="24"/>
          <w:highlight w:val="none"/>
        </w:rPr>
        <w:t xml:space="preserve">中标单位</w:t>
      </w:r>
      <w:r>
        <w:rPr>
          <w:rFonts w:hint="eastAsia" w:ascii="黑体" w:hAnsi="宋体"/>
          <w:b w:val="0"/>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27.1中标候选人的选取原则和数量见招标文件第五章规定。 </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27.2 </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人应根据评委会推荐的中标候选人确定中标人。</w:t>
      </w:r>
      <w:r>
        <w:rPr>
          <w:rFonts w:hint="eastAsia" w:ascii="宋体" w:hAnsi="宋体"/>
          <w:bCs/>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代理机构将在“江苏政府网”、“扬中政府网”发布中标公告，公告期限为1个工作日。</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若有充分证据证明，中标人出现下列情况之一的，一经查实，将被取消中标资格：</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人、代理机构行贿或者提供其他不正当利益的。</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人或者其他投标人恶意串通的。</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27.4.5采取不正当手段诋毁、排挤其他投标人的。</w:t>
      </w:r>
      <w:r>
        <w:rPr>
          <w:rFonts w:hint="eastAsia" w:ascii="宋体" w:hAnsi="宋体"/>
          <w:color w:val="000000"/>
          <w:sz w:val="24"/>
          <w:szCs w:val="24"/>
          <w:highlight w:val="none"/>
        </w:rPr>
      </w:r>
      <w:r/>
    </w:p>
    <w:p>
      <w:pPr>
        <w:pStyle w:val="1316"/>
        <w:ind w:firstLine="480"/>
        <w:spacing w:line="440" w:lineRule="exact"/>
        <w:rPr>
          <w:rFonts w:ascii="宋体" w:hAnsi="宋体"/>
          <w:color w:val="000000"/>
          <w:sz w:val="24"/>
          <w:szCs w:val="24"/>
          <w:highlight w:val="none"/>
        </w:rPr>
      </w:pPr>
      <w:r/>
      <w:bookmarkStart w:id="175"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13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13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13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13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1320"/>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28、质疑处理</w:t>
      </w:r>
      <w:bookmarkEnd w:id="175"/>
      <w:r>
        <w:rPr>
          <w:rFonts w:hint="eastAsia" w:ascii="黑体" w:hAnsi="宋体"/>
          <w:b w:val="0"/>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提出质疑的投标人应当是参与所质疑项目活动的投标人。潜在投标人依法获取其可质疑的文件的，可以对文件提出质疑。</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28.2投标人认为文件、过程和结果使自己的权益受到损害的，可以在知道或应知其权益受到损害之日起七个工作日内，以书面形式根据下述28.4条款的规定向代理机构或</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人提出质疑。上述应知其权益受到损害之日，是指：</w:t>
      </w:r>
      <w:r>
        <w:rPr>
          <w:rFonts w:hint="eastAsia" w:ascii="宋体" w:hAnsi="宋体"/>
          <w:color w:val="000000"/>
          <w:sz w:val="24"/>
          <w:szCs w:val="24"/>
          <w:highlight w:val="none"/>
        </w:rPr>
      </w:r>
      <w:r/>
    </w:p>
    <w:p>
      <w:pPr>
        <w:pStyle w:val="1316"/>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对可以质疑的文件提出质疑的，为收到文件之日或者文件公告期限届满之日；</w:t>
      </w:r>
      <w:r>
        <w:rPr>
          <w:rFonts w:hint="eastAsia" w:hAnsi="宋体" w:cs="宋体"/>
          <w:color w:val="000000"/>
          <w:sz w:val="24"/>
          <w:szCs w:val="24"/>
          <w:highlight w:val="none"/>
        </w:rPr>
      </w:r>
      <w:r/>
    </w:p>
    <w:p>
      <w:pPr>
        <w:pStyle w:val="1316"/>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对过程提出质疑的，为各程序环节结束之日；</w:t>
      </w:r>
      <w:r>
        <w:rPr>
          <w:rFonts w:hint="eastAsia" w:hAnsi="宋体" w:cs="宋体"/>
          <w:color w:val="000000"/>
          <w:sz w:val="24"/>
          <w:szCs w:val="24"/>
          <w:highlight w:val="none"/>
        </w:rPr>
      </w:r>
      <w:r/>
    </w:p>
    <w:p>
      <w:pPr>
        <w:pStyle w:val="1316"/>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1316"/>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投标人应当在法定质疑期内一次性提出针对同一程序环节的质疑。投标人如在法定期限内对同一程序环节提出多次质疑的，代理机构、</w:t>
      </w:r>
      <w:r>
        <w:rPr>
          <w:rFonts w:hint="eastAsia" w:ascii="宋体" w:hAnsi="宋体"/>
          <w:color w:val="000000"/>
          <w:sz w:val="24"/>
          <w:highlight w:val="none"/>
        </w:rPr>
        <w:t xml:space="preserve">招标</w:t>
      </w:r>
      <w:r>
        <w:rPr>
          <w:rFonts w:hAnsi="宋体" w:cs="宋体"/>
          <w:color w:val="000000"/>
          <w:sz w:val="24"/>
          <w:szCs w:val="24"/>
          <w:highlight w:val="none"/>
        </w:rPr>
        <w:t xml:space="preserve">人</w:t>
      </w:r>
      <w:r>
        <w:rPr>
          <w:rFonts w:hint="eastAsia" w:hAnsi="宋体" w:cs="宋体"/>
          <w:color w:val="000000"/>
          <w:sz w:val="24"/>
          <w:szCs w:val="24"/>
          <w:highlight w:val="none"/>
        </w:rPr>
        <w:t xml:space="preserve">将只对投标人第一次质疑作出答复。</w:t>
      </w:r>
      <w:r>
        <w:rPr>
          <w:rFonts w:hint="eastAsia" w:hAnsi="宋体" w:cs="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1316"/>
        <w:ind w:firstLine="480"/>
        <w:spacing w:line="44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28.4投标人（含潜在投标人）对</w:t>
      </w:r>
      <w:r>
        <w:rPr>
          <w:rFonts w:ascii="宋体" w:hAnsi="宋体"/>
          <w:color w:val="000000"/>
          <w:sz w:val="24"/>
          <w:szCs w:val="24"/>
          <w:highlight w:val="none"/>
        </w:rPr>
        <w:t xml:space="preserve">方式、</w:t>
      </w:r>
      <w:r>
        <w:rPr>
          <w:rFonts w:hint="eastAsia" w:ascii="宋体" w:hAnsi="宋体"/>
          <w:color w:val="000000"/>
          <w:sz w:val="24"/>
          <w:szCs w:val="24"/>
          <w:highlight w:val="none"/>
        </w:rPr>
        <w:t xml:space="preserve">招标文件中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w:t>
      </w:r>
      <w:r>
        <w:rPr>
          <w:rFonts w:hint="eastAsia" w:ascii="宋体" w:hAnsi="宋体"/>
          <w:color w:val="000000"/>
          <w:sz w:val="24"/>
          <w:highlight w:val="none"/>
        </w:rPr>
        <w:t xml:space="preserve">招标</w:t>
      </w:r>
      <w:r>
        <w:rPr>
          <w:rFonts w:ascii="宋体" w:hAnsi="宋体"/>
          <w:color w:val="000000"/>
          <w:sz w:val="24"/>
          <w:szCs w:val="24"/>
          <w:highlight w:val="none"/>
        </w:rPr>
        <w:t xml:space="preserve">人提出，由</w:t>
      </w:r>
      <w:r>
        <w:rPr>
          <w:rFonts w:hint="eastAsia" w:ascii="宋体" w:hAnsi="宋体"/>
          <w:color w:val="000000"/>
          <w:sz w:val="24"/>
          <w:highlight w:val="none"/>
        </w:rPr>
        <w:t xml:space="preserve">招标</w:t>
      </w:r>
      <w:r>
        <w:rPr>
          <w:rFonts w:ascii="宋体" w:hAnsi="宋体"/>
          <w:color w:val="000000"/>
          <w:sz w:val="24"/>
          <w:szCs w:val="24"/>
          <w:highlight w:val="none"/>
        </w:rPr>
        <w:t xml:space="preserve">人负责答复。</w:t>
      </w:r>
      <w:r>
        <w:rPr>
          <w:rFonts w:hint="eastAsia" w:ascii="宋体" w:hAnsi="宋体"/>
          <w:color w:val="000000"/>
          <w:sz w:val="24"/>
          <w:szCs w:val="24"/>
          <w:highlight w:val="none"/>
        </w:rPr>
        <w:t xml:space="preserve">投标人对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代理机构负责</w:t>
      </w:r>
      <w:r>
        <w:rPr>
          <w:rFonts w:ascii="宋体" w:hAnsi="宋体"/>
          <w:color w:val="000000"/>
          <w:sz w:val="24"/>
          <w:szCs w:val="24"/>
          <w:highlight w:val="none"/>
        </w:rPr>
        <w:t xml:space="preserve">答复。</w:t>
      </w:r>
      <w:r>
        <w:rPr>
          <w:rFonts w:hint="eastAsia" w:ascii="宋体" w:hAnsi="宋体"/>
          <w:b/>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代理机构及</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人只接收以纸质原件形式送达的质疑,建议投标人尽量通过邮寄方式提交质疑（</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人和代理机构不接受未填写快递运单的快件）。</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人质疑接收人及联系方式见招标文件第一章。</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内容不符合《政府质疑和投诉办法》第十二条规定的质疑。</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超出政府法定期限的质疑。</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 未参加投标活动的投标人或在投标活动中自身权益未受到损害的投标人所提出的质疑。</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28.5.5投标人组成联合体参加投标，联合体中任何一方或多方未按要求签字、盖章、加盖公章的质疑。</w:t>
      </w:r>
      <w:r>
        <w:rPr>
          <w:rFonts w:hint="eastAsia" w:ascii="宋体" w:hAnsi="宋体"/>
          <w:color w:val="000000"/>
          <w:sz w:val="24"/>
          <w:szCs w:val="24"/>
          <w:highlight w:val="none"/>
        </w:rPr>
      </w:r>
      <w:r/>
    </w:p>
    <w:p>
      <w:pPr>
        <w:pStyle w:val="1316"/>
        <w:ind w:firstLine="46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 投标人提出书面质疑必须有理、有据，不得捏造事实、提供虚假材料进行恶意质疑。否则，一经查实，</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人或代理机构有权依据政府的有关规定，报请政府监管部门对该投标人进行相应的行政处罚和记录该投标人的失信信息。</w:t>
      </w:r>
      <w:r>
        <w:rPr>
          <w:rFonts w:hint="eastAsia" w:ascii="宋体" w:hAnsi="宋体"/>
          <w:color w:val="000000"/>
          <w:sz w:val="24"/>
          <w:szCs w:val="24"/>
          <w:highlight w:val="none"/>
        </w:rPr>
      </w:r>
      <w:r/>
    </w:p>
    <w:p>
      <w:pPr>
        <w:pStyle w:val="1320"/>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29、中标通知书</w:t>
      </w:r>
      <w:r>
        <w:rPr>
          <w:rFonts w:hint="eastAsia" w:ascii="黑体" w:hAnsi="宋体"/>
          <w:b w:val="0"/>
          <w:color w:val="000000"/>
          <w:sz w:val="24"/>
          <w:szCs w:val="24"/>
          <w:highlight w:val="none"/>
        </w:rPr>
      </w:r>
      <w:r/>
    </w:p>
    <w:p>
      <w:pPr>
        <w:pStyle w:val="1316"/>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1316"/>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人和中标人均具有法律效力。中标通知书发出后，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人改变中标结果的，或者中标人放弃中标项目的，应当依法承担法律责任。</w:t>
      </w:r>
      <w:r>
        <w:rPr>
          <w:rFonts w:hint="eastAsia" w:ascii="宋体" w:hAnsi="宋体"/>
          <w:color w:val="000000"/>
          <w:sz w:val="24"/>
          <w:szCs w:val="24"/>
          <w:highlight w:val="none"/>
        </w:rPr>
      </w:r>
      <w:r/>
    </w:p>
    <w:p>
      <w:pPr>
        <w:pStyle w:val="1319"/>
        <w:ind w:firstLine="361"/>
        <w:spacing w:before="120" w:after="120" w:line="440" w:lineRule="exact"/>
        <w:rPr>
          <w:rFonts w:hint="eastAsia"/>
          <w:color w:val="000000"/>
          <w:sz w:val="24"/>
          <w:szCs w:val="24"/>
          <w:highlight w:val="none"/>
        </w:rPr>
      </w:pPr>
      <w:r/>
      <w:bookmarkStart w:id="176" w:name="_Toc120614220"/>
      <w:r/>
      <w:bookmarkStart w:id="177" w:name="_Toc20823308"/>
      <w:r/>
      <w:bookmarkStart w:id="178" w:name="_Toc16938552"/>
      <w:r/>
      <w:bookmarkStart w:id="179" w:name="_Toc513029236"/>
      <w:r>
        <w:rPr>
          <w:rFonts w:hint="eastAsia"/>
          <w:color w:val="000000"/>
          <w:sz w:val="24"/>
          <w:szCs w:val="24"/>
          <w:highlight w:val="none"/>
        </w:rPr>
        <w:t xml:space="preserve">七、授予合同</w:t>
      </w:r>
      <w:bookmarkEnd w:id="176"/>
      <w:r>
        <w:rPr>
          <w:rFonts w:hint="eastAsia"/>
          <w:color w:val="000000"/>
          <w:sz w:val="24"/>
          <w:szCs w:val="24"/>
          <w:highlight w:val="none"/>
        </w:rPr>
      </w:r>
      <w:r/>
    </w:p>
    <w:p>
      <w:pPr>
        <w:pStyle w:val="1320"/>
        <w:ind w:firstLine="480"/>
        <w:spacing w:before="0" w:after="0" w:line="440" w:lineRule="exact"/>
        <w:rPr>
          <w:rFonts w:hint="eastAsia" w:ascii="黑体" w:hAnsi="宋体"/>
          <w:b w:val="0"/>
          <w:color w:val="000000"/>
          <w:sz w:val="24"/>
          <w:szCs w:val="24"/>
          <w:highlight w:val="none"/>
        </w:rPr>
      </w:pPr>
      <w:r/>
      <w:bookmarkEnd w:id="177"/>
      <w:r/>
      <w:bookmarkEnd w:id="178"/>
      <w:r/>
      <w:bookmarkEnd w:id="179"/>
      <w:r/>
      <w:bookmarkStart w:id="180" w:name="_Toc513029237"/>
      <w:r/>
      <w:bookmarkStart w:id="181" w:name="_Toc20823309"/>
      <w:r/>
      <w:bookmarkStart w:id="182" w:name="_Toc16938553"/>
      <w:r>
        <w:rPr>
          <w:rFonts w:hint="eastAsia" w:ascii="黑体" w:hAnsi="宋体"/>
          <w:b w:val="0"/>
          <w:color w:val="000000"/>
          <w:sz w:val="24"/>
          <w:szCs w:val="24"/>
          <w:highlight w:val="none"/>
        </w:rPr>
        <w:t xml:space="preserve">30. 签订合同</w:t>
      </w:r>
      <w:r>
        <w:rPr>
          <w:rFonts w:hint="eastAsia" w:ascii="黑体" w:hAnsi="宋体"/>
          <w:b w:val="0"/>
          <w:color w:val="000000"/>
          <w:sz w:val="24"/>
          <w:szCs w:val="24"/>
          <w:highlight w:val="none"/>
        </w:rPr>
      </w:r>
      <w:r/>
    </w:p>
    <w:p>
      <w:pPr>
        <w:pStyle w:val="1316"/>
        <w:ind w:firstLine="60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.l中标人应当在中标通知书发出之日起十五日内，按照招标文件确定的事项与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人签订政府合同。</w:t>
      </w:r>
      <w:r>
        <w:rPr>
          <w:rFonts w:hint="eastAsia" w:ascii="宋体" w:hAnsi="宋体"/>
          <w:color w:val="000000"/>
          <w:sz w:val="24"/>
          <w:szCs w:val="24"/>
          <w:highlight w:val="none"/>
        </w:rPr>
      </w:r>
      <w:r/>
    </w:p>
    <w:p>
      <w:pPr>
        <w:pStyle w:val="1316"/>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1316"/>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w:t>
      </w:r>
      <w:r>
        <w:rPr>
          <w:rFonts w:hint="eastAsia" w:ascii="宋体" w:hAnsi="宋体"/>
          <w:i/>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人同意，中标人也不得采用分包的形式履行合同，否则</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人有权终止合同。转包或分包造成</w:t>
      </w:r>
      <w:r>
        <w:rPr>
          <w:rFonts w:hint="eastAsia" w:ascii="宋体" w:hAnsi="宋体"/>
          <w:color w:val="000000"/>
          <w:sz w:val="24"/>
          <w:szCs w:val="24"/>
          <w:highlight w:val="none"/>
          <w:lang w:eastAsia="zh-CN"/>
        </w:rPr>
        <w:t xml:space="preserve">招标</w:t>
      </w:r>
      <w:r>
        <w:rPr>
          <w:rFonts w:hint="eastAsia" w:ascii="宋体" w:hAnsi="宋体"/>
          <w:color w:val="000000"/>
          <w:sz w:val="24"/>
          <w:szCs w:val="24"/>
          <w:highlight w:val="none"/>
        </w:rPr>
        <w:t xml:space="preserve">人损失的，中标人应承担相应赔偿责任。</w:t>
      </w:r>
      <w:r>
        <w:rPr>
          <w:rFonts w:hint="eastAsia" w:ascii="宋体" w:hAnsi="宋体"/>
          <w:color w:val="000000"/>
          <w:sz w:val="24"/>
          <w:szCs w:val="24"/>
          <w:highlight w:val="none"/>
        </w:rPr>
      </w:r>
      <w:r/>
    </w:p>
    <w:p>
      <w:pPr>
        <w:pStyle w:val="1320"/>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31、服务（包含与服务相关的货物）的追加</w:t>
      </w:r>
      <w:r>
        <w:rPr>
          <w:rFonts w:hint="eastAsia" w:ascii="黑体" w:hAnsi="宋体"/>
          <w:b w:val="0"/>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31.1政府合同履行中，</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人需追加与合同标的相同的服务（包含与服务相关的货物），在不改变合同其他条款的前提下，可以与中标人协商签订补充合同，但所有补充合同的金额不超过原合同金额10%。</w:t>
      </w:r>
      <w:r>
        <w:rPr>
          <w:rFonts w:hint="eastAsia" w:ascii="宋体" w:hAnsi="宋体"/>
          <w:color w:val="000000"/>
          <w:sz w:val="24"/>
          <w:szCs w:val="24"/>
          <w:highlight w:val="none"/>
        </w:rPr>
      </w:r>
      <w:r/>
    </w:p>
    <w:p>
      <w:pPr>
        <w:pStyle w:val="1320"/>
        <w:ind w:firstLine="480"/>
        <w:spacing w:before="0" w:after="0" w:line="440" w:lineRule="exact"/>
        <w:rPr>
          <w:rFonts w:ascii="黑体" w:hAnsi="宋体"/>
          <w:b w:val="0"/>
          <w:color w:val="000000"/>
          <w:sz w:val="24"/>
          <w:szCs w:val="24"/>
          <w:highlight w:val="none"/>
        </w:rPr>
      </w:pPr>
      <w:r/>
      <w:bookmarkEnd w:id="180"/>
      <w:r/>
      <w:bookmarkEnd w:id="181"/>
      <w:r/>
      <w:bookmarkEnd w:id="182"/>
      <w:r/>
      <w:bookmarkStart w:id="183" w:name="_Toc16938558"/>
      <w:r/>
      <w:bookmarkStart w:id="184" w:name="_Toc479757207"/>
      <w:r/>
      <w:bookmarkStart w:id="185" w:name="_Toc120614221"/>
      <w:r/>
      <w:bookmarkStart w:id="186" w:name="_Toc513029242"/>
      <w:r/>
      <w:bookmarkStart w:id="187" w:name="_Toc20823314"/>
      <w:r>
        <w:rPr>
          <w:rFonts w:hint="eastAsia" w:ascii="黑体" w:hAnsi="宋体"/>
          <w:b w:val="0"/>
          <w:color w:val="000000"/>
          <w:sz w:val="24"/>
          <w:szCs w:val="24"/>
          <w:highlight w:val="none"/>
        </w:rPr>
        <w:t xml:space="preserve">32、政府履约资金扶持政策</w:t>
      </w:r>
      <w:r>
        <w:rPr>
          <w:rFonts w:ascii="黑体" w:hAnsi="宋体"/>
          <w:b w:val="0"/>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t xml:space="preserve">中标人可凭政府采购合同办理融资贷款，详情请查阅江苏政府采购网站“政采贷”栏目。</w:t>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p>
    <w:p>
      <w:pPr>
        <w:pStyle w:val="1317"/>
        <w:spacing w:before="120" w:after="120" w:line="440" w:lineRule="exact"/>
        <w:rPr>
          <w:rFonts w:hint="eastAsia" w:ascii="黑体" w:eastAsia="黑体"/>
          <w:bCs/>
          <w:color w:val="000000"/>
          <w:sz w:val="44"/>
          <w:highlight w:val="none"/>
        </w:rPr>
      </w:pPr>
      <w:r>
        <w:rPr>
          <w:rFonts w:hint="eastAsia" w:ascii="黑体" w:eastAsia="黑体"/>
          <w:bCs/>
          <w:color w:val="000000"/>
          <w:sz w:val="32"/>
          <w:szCs w:val="32"/>
          <w:highlight w:val="none"/>
        </w:rPr>
        <w:t xml:space="preserve">第三章  合同</w:t>
      </w:r>
      <w:bookmarkEnd w:id="183"/>
      <w:r/>
      <w:bookmarkEnd w:id="184"/>
      <w:r/>
      <w:bookmarkEnd w:id="185"/>
      <w:r/>
      <w:bookmarkEnd w:id="186"/>
      <w:r/>
      <w:bookmarkEnd w:id="187"/>
      <w:r>
        <w:rPr>
          <w:rFonts w:hint="eastAsia" w:ascii="黑体" w:eastAsia="黑体"/>
          <w:bCs/>
          <w:color w:val="000000"/>
          <w:sz w:val="32"/>
          <w:szCs w:val="32"/>
          <w:highlight w:val="none"/>
        </w:rPr>
        <w:t xml:space="preserve">文本</w:t>
      </w:r>
      <w:r>
        <w:rPr>
          <w:rFonts w:hint="eastAsia" w:ascii="黑体" w:eastAsia="黑体"/>
          <w:bCs/>
          <w:color w:val="000000"/>
          <w:sz w:val="44"/>
          <w:highlight w:val="none"/>
        </w:rPr>
      </w:r>
      <w:r/>
    </w:p>
    <w:p>
      <w:pPr>
        <w:pStyle w:val="1316"/>
        <w:ind w:firstLine="480"/>
        <w:spacing w:line="440" w:lineRule="exact"/>
        <w:rPr>
          <w:rFonts w:hint="eastAsia" w:ascii="宋体" w:hAnsi="宋体"/>
          <w:bCs/>
          <w:color w:val="000000"/>
          <w:sz w:val="24"/>
          <w:highlight w:val="none"/>
        </w:rPr>
      </w:pPr>
      <w:r/>
      <w:bookmarkStart w:id="188" w:name="_Toc513029243"/>
      <w:r/>
      <w:bookmarkStart w:id="189" w:name="_Toc20823315"/>
      <w:r/>
      <w:bookmarkStart w:id="190" w:name="_Toc16938559"/>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1440"/>
        <w:jc w:val="both"/>
        <w:spacing w:before="0" w:beforeAutospacing="0" w:after="0" w:afterAutospacing="0"/>
        <w:widowControl w:val="off"/>
        <w:rPr>
          <w:rFonts w:ascii="仿宋_GB2312" w:eastAsia="仿宋_GB2312" w:cs="仿宋_GB2312"/>
          <w:b/>
          <w:bCs/>
          <w:color w:val="000000"/>
          <w:position w:val="120"/>
          <w:highlight w:val="none"/>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440"/>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440"/>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316"/>
                            </w:pPr>
                            <w:r/>
                            <w:r/>
                          </w:p>
                        </w:txbxContent>
                      </wps:txbx>
                      <wps:bodyPr wrap="square" upright="1"/>
                    </wps:wsp>
                  </a:graphicData>
                </a:graphic>
              </wp:anchor>
            </w:drawing>
          </mc:Choice>
          <mc:Fallback>
            <w:pict>
              <v:shape id="shape 14" o:spid="_x0000_s14"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440"/>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440"/>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316"/>
                      </w:pPr>
                      <w:r/>
                      <w:r/>
                    </w:p>
                  </w:txbxContent>
                </v:textbox>
              </v:shape>
            </w:pict>
          </mc:Fallback>
        </mc:AlternateContent>
      </w:r>
      <w:r>
        <w:rPr>
          <w:rFonts w:hint="eastAsia" w:ascii="仿宋_GB2312" w:eastAsia="仿宋_GB2312" w:cs="仿宋_GB2312"/>
          <w:b/>
          <w:bCs/>
          <w:color w:val="000000"/>
          <w:position w:val="120"/>
          <w:highlight w:val="none"/>
        </w:rPr>
        <w:t xml:space="preserve">合同编号：YZCJJ2026-0xx</w:t>
      </w:r>
      <w:r>
        <w:rPr>
          <w:rFonts w:ascii="仿宋_GB2312" w:eastAsia="仿宋_GB2312" w:cs="仿宋_GB2312"/>
          <w:b/>
          <w:bCs/>
          <w:color w:val="000000"/>
          <w:position w:val="120"/>
          <w:highlight w:val="none"/>
        </w:rPr>
      </w:r>
      <w:r/>
    </w:p>
    <w:p>
      <w:pPr>
        <w:pStyle w:val="1440"/>
        <w:jc w:val="center"/>
        <w:spacing w:before="600" w:beforeAutospacing="0" w:after="120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扬中市政府采购合同</w:t>
      </w:r>
      <w:r>
        <w:rPr>
          <w:rFonts w:hint="eastAsia" w:ascii="黑体" w:eastAsia="黑体" w:cs="黑体"/>
          <w:b/>
          <w:bCs/>
          <w:color w:val="000000"/>
          <w:sz w:val="72"/>
          <w:szCs w:val="72"/>
          <w:highlight w:val="none"/>
          <w:lang w:bidi="ar"/>
        </w:rPr>
      </w:r>
      <w:r/>
    </w:p>
    <w:p>
      <w:pPr>
        <w:pStyle w:val="1440"/>
        <w:ind w:firstLine="960"/>
        <w:jc w:val="both"/>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rPr>
      </w:r>
      <w:r/>
    </w:p>
    <w:p>
      <w:pPr>
        <w:pStyle w:val="1440"/>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440"/>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招标人：</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440"/>
        <w:ind w:firstLine="960"/>
        <w:spacing w:before="0" w:beforeAutospacing="0" w:after="0" w:afterAutospacing="0" w:line="840" w:lineRule="auto"/>
        <w:widowControl w:val="off"/>
        <w:rPr>
          <w:rFonts w:hint="eastAsia" w:ascii="黑体" w:eastAsia="黑体" w:cs="黑体"/>
          <w:color w:val="000000"/>
          <w:sz w:val="32"/>
          <w:szCs w:val="32"/>
          <w:highlight w:val="none"/>
          <w:u w:val="single"/>
          <w:lang w:bidi="ar"/>
        </w:rPr>
      </w:pPr>
      <w:r>
        <w:rPr>
          <w:rFonts w:hint="eastAsia" w:ascii="黑体" w:eastAsia="黑体" w:cs="黑体"/>
          <w:color w:val="000000"/>
          <w:sz w:val="32"/>
          <w:szCs w:val="32"/>
          <w:highlight w:val="none"/>
          <w:lang w:bidi="ar"/>
        </w:rPr>
        <w:t xml:space="preserve">中标单位：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lang w:bidi="ar"/>
        </w:rPr>
      </w:r>
      <w:r/>
    </w:p>
    <w:p>
      <w:pPr>
        <w:pStyle w:val="1440"/>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t xml:space="preserve">江苏金居工程项目管理有限公司</w:t>
      </w:r>
      <w:r>
        <w:rPr>
          <w:rFonts w:hint="eastAsia" w:ascii="黑体" w:eastAsia="黑体" w:cs="黑体"/>
          <w:color w:val="000000"/>
          <w:sz w:val="32"/>
          <w:szCs w:val="32"/>
          <w:highlight w:val="none"/>
          <w:lang w:bidi="ar"/>
        </w:rPr>
      </w:r>
      <w:r/>
    </w:p>
    <w:p>
      <w:pPr>
        <w:pStyle w:val="1440"/>
        <w:jc w:val="center"/>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bidi="ar"/>
        </w:rPr>
        <w:t xml:space="preserve">二○二六年  月    日</w:t>
      </w:r>
      <w:r>
        <w:rPr>
          <w:b/>
          <w:bCs/>
          <w:color w:val="000000"/>
          <w:sz w:val="32"/>
          <w:szCs w:val="32"/>
          <w:highlight w:val="none"/>
        </w:rPr>
      </w:r>
      <w:r/>
    </w:p>
    <w:p>
      <w:pPr>
        <w:pStyle w:val="1331"/>
        <w:spacing w:line="440" w:lineRule="exact"/>
        <w:rPr>
          <w:rFonts w:hAnsi="宋体"/>
          <w:color w:val="000000"/>
          <w:sz w:val="24"/>
          <w:szCs w:val="24"/>
          <w:highlight w:val="none"/>
        </w:rPr>
      </w:pPr>
      <w:r>
        <w:rPr>
          <w:rFonts w:hAnsi="宋体"/>
          <w:color w:val="000000"/>
          <w:sz w:val="24"/>
          <w:szCs w:val="24"/>
          <w:highlight w:val="none"/>
        </w:rPr>
      </w:r>
      <w:r/>
    </w:p>
    <w:p>
      <w:pPr>
        <w:pStyle w:val="1331"/>
        <w:spacing w:line="440" w:lineRule="exact"/>
        <w:rPr>
          <w:rFonts w:hAnsi="宋体"/>
          <w:color w:val="000000"/>
          <w:sz w:val="24"/>
          <w:szCs w:val="24"/>
          <w:highlight w:val="none"/>
        </w:rPr>
      </w:pPr>
      <w:r>
        <w:rPr>
          <w:rFonts w:hAnsi="宋体"/>
          <w:color w:val="000000"/>
          <w:sz w:val="24"/>
          <w:szCs w:val="24"/>
          <w:highlight w:val="none"/>
        </w:rPr>
      </w:r>
      <w:r/>
    </w:p>
    <w:p>
      <w:pPr>
        <w:pStyle w:val="1331"/>
        <w:spacing w:line="440" w:lineRule="exact"/>
        <w:rPr>
          <w:rFonts w:hAnsi="宋体"/>
          <w:color w:val="000000"/>
          <w:sz w:val="24"/>
          <w:szCs w:val="24"/>
          <w:highlight w:val="none"/>
        </w:rPr>
      </w:pPr>
      <w:r>
        <w:rPr>
          <w:rFonts w:hAnsi="宋体"/>
          <w:color w:val="000000"/>
          <w:sz w:val="24"/>
          <w:szCs w:val="24"/>
          <w:highlight w:val="none"/>
        </w:rPr>
      </w:r>
      <w:r/>
    </w:p>
    <w:p>
      <w:pPr>
        <w:pStyle w:val="1331"/>
        <w:spacing w:line="440" w:lineRule="exact"/>
        <w:rPr>
          <w:rFonts w:hint="eastAsia" w:hAnsi="宋体"/>
          <w:color w:val="000000"/>
          <w:sz w:val="24"/>
          <w:szCs w:val="24"/>
          <w:highlight w:val="none"/>
        </w:rPr>
      </w:pPr>
      <w:r>
        <w:rPr>
          <w:rFonts w:hAnsi="宋体"/>
          <w:color w:val="000000"/>
          <w:sz w:val="24"/>
          <w:szCs w:val="24"/>
          <w:highlight w:val="none"/>
        </w:rPr>
        <w:t xml:space="preserve">项目名称：</w:t>
      </w:r>
      <w:r>
        <w:rPr>
          <w:rFonts w:hint="eastAsia" w:hAnsi="宋体"/>
          <w:color w:val="000000"/>
          <w:sz w:val="24"/>
          <w:szCs w:val="24"/>
          <w:highlight w:val="none"/>
        </w:rPr>
        <w:t xml:space="preserve">镇江市县域医共体设备更新项目（扬中市县域采购）（  标段）</w:t>
      </w:r>
      <w:r>
        <w:rPr>
          <w:rFonts w:hint="eastAsia" w:hAnsi="宋体"/>
          <w:color w:val="000000"/>
          <w:sz w:val="24"/>
          <w:szCs w:val="24"/>
          <w:highlight w:val="none"/>
        </w:rPr>
      </w:r>
      <w:r/>
    </w:p>
    <w:p>
      <w:pPr>
        <w:pStyle w:val="1331"/>
        <w:spacing w:line="440" w:lineRule="exact"/>
        <w:rPr>
          <w:rFonts w:hAnsi="宋体"/>
          <w:color w:val="000000"/>
          <w:sz w:val="24"/>
          <w:szCs w:val="24"/>
          <w:highlight w:val="none"/>
        </w:rPr>
      </w:pPr>
      <w:r>
        <w:rPr>
          <w:rFonts w:hAnsi="宋体"/>
          <w:color w:val="000000"/>
          <w:sz w:val="24"/>
          <w:szCs w:val="24"/>
          <w:highlight w:val="none"/>
        </w:rPr>
        <w:t xml:space="preserve">项目编号：</w:t>
      </w:r>
      <w:r>
        <w:rPr>
          <w:rFonts w:hint="eastAsia" w:hAnsi="宋体"/>
          <w:color w:val="000000"/>
          <w:sz w:val="24"/>
          <w:szCs w:val="24"/>
          <w:highlight w:val="none"/>
          <w:lang w:eastAsia="zh-CN"/>
        </w:rPr>
        <w:t xml:space="preserve">JSZC-321182-JJGS-G2026-0018</w:t>
      </w:r>
      <w:r>
        <w:rPr>
          <w:rFonts w:hint="eastAsia" w:hAnsi="宋体"/>
          <w:color w:val="000000"/>
          <w:sz w:val="24"/>
          <w:szCs w:val="24"/>
          <w:highlight w:val="none"/>
        </w:rPr>
        <w:t xml:space="preserve">    </w:t>
      </w:r>
      <w:r>
        <w:rPr>
          <w:rFonts w:hAnsi="宋体"/>
          <w:color w:val="000000"/>
          <w:sz w:val="24"/>
          <w:szCs w:val="24"/>
          <w:highlight w:val="none"/>
        </w:rPr>
      </w:r>
      <w:r/>
    </w:p>
    <w:p>
      <w:pPr>
        <w:pStyle w:val="1331"/>
        <w:spacing w:line="440" w:lineRule="exact"/>
        <w:rPr>
          <w:rFonts w:hAnsi="宋体"/>
          <w:color w:val="000000"/>
          <w:sz w:val="24"/>
          <w:szCs w:val="24"/>
          <w:highlight w:val="none"/>
          <w:u w:val="single"/>
        </w:rPr>
      </w:pPr>
      <w:r>
        <w:rPr>
          <w:rFonts w:hAnsi="宋体"/>
          <w:color w:val="000000"/>
          <w:sz w:val="24"/>
          <w:szCs w:val="24"/>
          <w:highlight w:val="none"/>
        </w:rPr>
        <w:t xml:space="preserve">甲方：（</w:t>
      </w:r>
      <w:r>
        <w:rPr>
          <w:rFonts w:hint="eastAsia" w:hAnsi="宋体"/>
          <w:color w:val="000000"/>
          <w:sz w:val="24"/>
          <w:szCs w:val="24"/>
          <w:highlight w:val="none"/>
        </w:rPr>
        <w:t xml:space="preserve">招标人</w:t>
      </w:r>
      <w:r>
        <w:rPr>
          <w:rFonts w:hAnsi="宋体"/>
          <w:color w:val="000000"/>
          <w:sz w:val="24"/>
          <w:szCs w:val="24"/>
          <w:highlight w:val="none"/>
        </w:rPr>
        <w:t xml:space="preserve">）</w:t>
      </w:r>
      <w:r>
        <w:rPr>
          <w:rFonts w:hint="eastAsia" w:hAnsi="宋体"/>
          <w:color w:val="000000"/>
          <w:sz w:val="24"/>
          <w:szCs w:val="24"/>
          <w:highlight w:val="none"/>
          <w:u w:val="single"/>
        </w:rPr>
        <w:t xml:space="preserve">   扬中市卫生健康委员会     </w:t>
      </w:r>
      <w:r>
        <w:rPr>
          <w:rFonts w:hAnsi="宋体"/>
          <w:color w:val="000000"/>
          <w:sz w:val="24"/>
          <w:szCs w:val="24"/>
          <w:highlight w:val="none"/>
          <w:u w:val="single"/>
        </w:rPr>
      </w:r>
      <w:r/>
    </w:p>
    <w:p>
      <w:pPr>
        <w:pStyle w:val="1331"/>
        <w:spacing w:line="440" w:lineRule="exact"/>
        <w:rPr>
          <w:rFonts w:hint="eastAsia" w:hAnsi="宋体"/>
          <w:color w:val="000000"/>
          <w:sz w:val="24"/>
          <w:szCs w:val="24"/>
          <w:highlight w:val="none"/>
          <w:u w:val="single"/>
        </w:rPr>
      </w:pPr>
      <w:r>
        <w:rPr>
          <w:rFonts w:hAnsi="宋体"/>
          <w:color w:val="000000"/>
          <w:sz w:val="24"/>
          <w:szCs w:val="24"/>
          <w:highlight w:val="none"/>
        </w:rPr>
        <w:t xml:space="preserve">乙方：（</w:t>
      </w:r>
      <w:r>
        <w:rPr>
          <w:rFonts w:hint="eastAsia" w:hAnsi="宋体"/>
          <w:color w:val="000000"/>
          <w:sz w:val="24"/>
          <w:szCs w:val="24"/>
          <w:highlight w:val="none"/>
        </w:rPr>
        <w:t xml:space="preserve">使用单位/医院</w:t>
      </w:r>
      <w:r>
        <w:rPr>
          <w:rFonts w:hAnsi="宋体"/>
          <w:color w:val="000000"/>
          <w:sz w:val="24"/>
          <w:szCs w:val="24"/>
          <w:highlight w:val="none"/>
        </w:rPr>
        <w:t xml:space="preserve">）</w:t>
      </w:r>
      <w:r>
        <w:rPr>
          <w:rFonts w:hint="eastAsia" w:hAnsi="宋体"/>
          <w:color w:val="000000"/>
          <w:sz w:val="24"/>
          <w:szCs w:val="24"/>
          <w:highlight w:val="none"/>
          <w:u w:val="single"/>
        </w:rPr>
        <w:t xml:space="preserve">                          </w:t>
      </w:r>
      <w:r>
        <w:rPr>
          <w:rFonts w:hint="eastAsia" w:hAnsi="宋体"/>
          <w:color w:val="000000"/>
          <w:sz w:val="24"/>
          <w:szCs w:val="24"/>
          <w:highlight w:val="none"/>
          <w:u w:val="single"/>
        </w:rPr>
      </w:r>
      <w:r/>
    </w:p>
    <w:p>
      <w:pPr>
        <w:pStyle w:val="1331"/>
        <w:spacing w:line="440" w:lineRule="exact"/>
        <w:rPr>
          <w:rFonts w:hAnsi="宋体"/>
          <w:color w:val="000000"/>
          <w:sz w:val="24"/>
          <w:szCs w:val="24"/>
          <w:highlight w:val="none"/>
          <w:u w:val="single"/>
        </w:rPr>
      </w:pPr>
      <w:r>
        <w:rPr>
          <w:rFonts w:hint="eastAsia" w:hAnsi="宋体"/>
          <w:color w:val="000000"/>
          <w:sz w:val="24"/>
          <w:szCs w:val="24"/>
          <w:highlight w:val="none"/>
        </w:rPr>
        <w:t xml:space="preserve">丙方：（中标单位）</w:t>
      </w:r>
      <w:r>
        <w:rPr>
          <w:rFonts w:hint="eastAsia" w:hAnsi="宋体"/>
          <w:color w:val="000000"/>
          <w:sz w:val="24"/>
          <w:szCs w:val="24"/>
          <w:highlight w:val="none"/>
          <w:u w:val="single"/>
        </w:rPr>
        <w:t xml:space="preserve">                          </w:t>
      </w:r>
      <w:r>
        <w:rPr>
          <w:rFonts w:hAnsi="宋体"/>
          <w:color w:val="000000"/>
          <w:sz w:val="24"/>
          <w:szCs w:val="24"/>
          <w:highlight w:val="none"/>
          <w:u w:val="single"/>
        </w:rPr>
      </w:r>
      <w:r/>
    </w:p>
    <w:p>
      <w:pPr>
        <w:pStyle w:val="1331"/>
        <w:spacing w:line="440" w:lineRule="exact"/>
        <w:rPr>
          <w:rFonts w:hint="eastAsia" w:hAnsi="宋体"/>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w:t>
      </w:r>
      <w:r>
        <w:rPr>
          <w:rFonts w:hint="eastAsia" w:hAnsi="宋体"/>
          <w:color w:val="000000"/>
          <w:sz w:val="24"/>
          <w:szCs w:val="24"/>
          <w:highlight w:val="none"/>
        </w:rPr>
        <w:t xml:space="preserve">、</w:t>
      </w:r>
      <w:r>
        <w:rPr>
          <w:rFonts w:hint="eastAsia" w:hAnsi="宋体" w:cs="Courier New"/>
          <w:bCs/>
          <w:color w:val="000000"/>
          <w:sz w:val="24"/>
          <w:szCs w:val="24"/>
          <w:highlight w:val="none"/>
        </w:rPr>
        <w:t xml:space="preserve">丙三</w:t>
      </w:r>
      <w:r>
        <w:rPr>
          <w:rFonts w:hAnsi="宋体"/>
          <w:color w:val="000000"/>
          <w:sz w:val="24"/>
          <w:szCs w:val="24"/>
          <w:highlight w:val="none"/>
        </w:rPr>
        <w:t xml:space="preserve">方根据</w:t>
      </w:r>
      <w:r>
        <w:rPr>
          <w:rFonts w:hint="eastAsia" w:hAnsi="宋体"/>
          <w:color w:val="000000"/>
          <w:sz w:val="24"/>
          <w:szCs w:val="24"/>
          <w:highlight w:val="none"/>
          <w:u w:val="single"/>
        </w:rPr>
        <w:t xml:space="preserve"> 镇江市县域医共体设备更新项目（扬中市县域采购）</w:t>
      </w:r>
      <w:r>
        <w:rPr>
          <w:rFonts w:hint="eastAsia" w:hAnsi="宋体"/>
          <w:color w:val="000000"/>
          <w:sz w:val="24"/>
          <w:szCs w:val="24"/>
          <w:highlight w:val="none"/>
        </w:rPr>
        <w:t xml:space="preserve">（项目编号：</w:t>
      </w:r>
      <w:r>
        <w:rPr>
          <w:rFonts w:hint="eastAsia" w:hAnsi="宋体"/>
          <w:color w:val="000000"/>
          <w:sz w:val="24"/>
          <w:szCs w:val="24"/>
          <w:highlight w:val="none"/>
          <w:lang w:eastAsia="zh-CN"/>
        </w:rPr>
        <w:t xml:space="preserve">JSZC-321182-JJGS-G2026-0018</w:t>
      </w:r>
      <w:r>
        <w:rPr>
          <w:rFonts w:hint="eastAsia" w:hAnsi="宋体"/>
          <w:color w:val="000000"/>
          <w:sz w:val="24"/>
          <w:szCs w:val="24"/>
          <w:highlight w:val="none"/>
        </w:rPr>
        <w:t xml:space="preserve">）</w:t>
      </w:r>
      <w:r>
        <w:rPr>
          <w:rFonts w:hAnsi="宋体"/>
          <w:color w:val="000000"/>
          <w:sz w:val="24"/>
          <w:szCs w:val="24"/>
          <w:highlight w:val="none"/>
        </w:rPr>
        <w:t xml:space="preserve">公开招标的结果，签署本合同。</w:t>
      </w:r>
      <w:r>
        <w:rPr>
          <w:rFonts w:hint="eastAsia" w:hAnsi="宋体"/>
          <w:color w:val="000000"/>
          <w:sz w:val="24"/>
          <w:szCs w:val="24"/>
          <w:highlight w:val="none"/>
        </w:rPr>
        <w:t xml:space="preserve">本项目由扬中市卫生健康委员会统一招标，最终由扬中市中医院、扬中市八桥中心卫生院、扬中市三茅街道社区卫生服务中心、扬中市西来桥镇卫生院付款，并录入各个医院的固定资产。</w:t>
      </w:r>
      <w:r>
        <w:rPr>
          <w:rFonts w:hint="eastAsia" w:hAnsi="宋体"/>
          <w:color w:val="000000"/>
          <w:sz w:val="24"/>
          <w:szCs w:val="24"/>
          <w:highlight w:val="none"/>
        </w:rPr>
      </w:r>
      <w:r/>
    </w:p>
    <w:p>
      <w:pPr>
        <w:pStyle w:val="1331"/>
        <w:spacing w:line="44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1331"/>
        <w:ind w:firstLine="480"/>
        <w:spacing w:line="440" w:lineRule="exact"/>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rPr>
        <w:t xml:space="preserve">镇江市县域医共体设备更新项目（扬中市县域采购）（  标段）；</w:t>
      </w:r>
      <w:r>
        <w:rPr>
          <w:rFonts w:hAnsi="宋体"/>
          <w:color w:val="000000"/>
          <w:sz w:val="24"/>
          <w:szCs w:val="24"/>
          <w:highlight w:val="none"/>
        </w:rPr>
      </w:r>
      <w:r/>
    </w:p>
    <w:p>
      <w:pPr>
        <w:pStyle w:val="1331"/>
        <w:ind w:firstLine="480"/>
        <w:spacing w:line="440" w:lineRule="exact"/>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标的质量：合格；</w:t>
      </w:r>
      <w:r>
        <w:rPr>
          <w:rFonts w:hint="eastAsia" w:hAnsi="宋体"/>
          <w:color w:val="000000"/>
          <w:sz w:val="24"/>
          <w:szCs w:val="24"/>
          <w:highlight w:val="none"/>
        </w:rPr>
      </w:r>
      <w:r/>
    </w:p>
    <w:p>
      <w:pPr>
        <w:pStyle w:val="133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1.3 标的数量（规模）：具体详见需求；</w:t>
      </w:r>
      <w:r>
        <w:rPr>
          <w:rFonts w:hint="eastAsia" w:hAnsi="宋体"/>
          <w:color w:val="000000"/>
          <w:sz w:val="24"/>
          <w:szCs w:val="24"/>
          <w:highlight w:val="none"/>
        </w:rPr>
      </w:r>
      <w:r/>
    </w:p>
    <w:p>
      <w:pPr>
        <w:pStyle w:val="133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1.4 履行时间（期限）：        ；</w:t>
      </w:r>
      <w:r>
        <w:rPr>
          <w:rFonts w:hint="eastAsia" w:hAnsi="宋体"/>
          <w:color w:val="000000"/>
          <w:sz w:val="24"/>
          <w:szCs w:val="24"/>
          <w:highlight w:val="none"/>
        </w:rPr>
      </w:r>
      <w:r/>
    </w:p>
    <w:p>
      <w:pPr>
        <w:pStyle w:val="1331"/>
        <w:ind w:firstLine="480"/>
        <w:spacing w:line="440" w:lineRule="exact"/>
        <w:rPr>
          <w:rFonts w:hAnsi="宋体"/>
          <w:color w:val="000000"/>
          <w:sz w:val="24"/>
          <w:szCs w:val="24"/>
          <w:highlight w:val="none"/>
        </w:rPr>
      </w:pPr>
      <w:r>
        <w:rPr>
          <w:rFonts w:hint="eastAsia" w:hAnsi="宋体"/>
          <w:color w:val="000000"/>
          <w:sz w:val="24"/>
          <w:szCs w:val="24"/>
          <w:highlight w:val="none"/>
        </w:rPr>
        <w:t xml:space="preserve">1.5 履行地点：扬中市；</w:t>
      </w:r>
      <w:r>
        <w:rPr>
          <w:rFonts w:hAnsi="宋体"/>
          <w:color w:val="000000"/>
          <w:sz w:val="24"/>
          <w:szCs w:val="24"/>
          <w:highlight w:val="none"/>
        </w:rPr>
      </w:r>
      <w:r/>
    </w:p>
    <w:p>
      <w:pPr>
        <w:pStyle w:val="1331"/>
        <w:ind w:firstLine="48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6质保期限：自设备验收之日起    年；</w:t>
      </w:r>
      <w:r>
        <w:rPr>
          <w:rFonts w:hAnsi="宋体"/>
          <w:color w:val="000000"/>
          <w:sz w:val="24"/>
          <w:szCs w:val="24"/>
          <w:highlight w:val="none"/>
        </w:rPr>
      </w:r>
      <w:r/>
    </w:p>
    <w:p>
      <w:pPr>
        <w:pStyle w:val="133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1.7履行方式：详见合同、招标文件、投标文件等。</w:t>
      </w:r>
      <w:r>
        <w:rPr>
          <w:rFonts w:hint="eastAsia" w:hAnsi="宋体"/>
          <w:color w:val="000000"/>
          <w:sz w:val="24"/>
          <w:szCs w:val="24"/>
          <w:highlight w:val="none"/>
        </w:rPr>
      </w:r>
      <w:r/>
    </w:p>
    <w:p>
      <w:pPr>
        <w:pStyle w:val="1331"/>
        <w:spacing w:line="44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1331"/>
        <w:spacing w:line="440" w:lineRule="exact"/>
        <w:rPr>
          <w:rFonts w:hAnsi="宋体"/>
          <w:color w:val="000000"/>
          <w:sz w:val="24"/>
          <w:szCs w:val="24"/>
          <w:highlight w:val="none"/>
        </w:rPr>
      </w:pPr>
      <w:r>
        <w:rPr>
          <w:rFonts w:hAnsi="宋体"/>
          <w:color w:val="000000"/>
          <w:sz w:val="24"/>
          <w:szCs w:val="24"/>
          <w:highlight w:val="none"/>
        </w:rPr>
        <w:t xml:space="preserve">    2.1 本合同金额为（大写）：___________元。</w:t>
      </w:r>
      <w:r>
        <w:rPr>
          <w:rFonts w:hAnsi="宋体"/>
          <w:color w:val="000000"/>
          <w:sz w:val="24"/>
          <w:szCs w:val="24"/>
          <w:highlight w:val="none"/>
        </w:rPr>
      </w:r>
      <w:r/>
    </w:p>
    <w:p>
      <w:pPr>
        <w:pStyle w:val="1331"/>
        <w:ind w:firstLine="480"/>
        <w:spacing w:line="440" w:lineRule="exact"/>
        <w:rPr>
          <w:rFonts w:hint="eastAsia" w:hAnsi="宋体"/>
          <w:color w:val="000000"/>
          <w:sz w:val="24"/>
          <w:szCs w:val="24"/>
          <w:highlight w:val="none"/>
          <w:lang w:val="zh-TW" w:eastAsia="zh-TW"/>
        </w:rPr>
      </w:pPr>
      <w:r>
        <w:rPr>
          <w:rFonts w:hint="eastAsia" w:hAnsi="宋体"/>
          <w:color w:val="000000"/>
          <w:sz w:val="24"/>
          <w:szCs w:val="24"/>
          <w:highlight w:val="none"/>
        </w:rPr>
        <w:t xml:space="preserve">2.2</w:t>
      </w:r>
      <w:r>
        <w:rPr>
          <w:rFonts w:hint="eastAsia" w:hAnsi="宋体"/>
          <w:color w:val="000000"/>
          <w:sz w:val="24"/>
          <w:szCs w:val="24"/>
          <w:highlight w:val="none"/>
          <w:lang w:val="zh-TW" w:eastAsia="zh-TW"/>
        </w:rPr>
        <w:t xml:space="preserve">报价应包括全部设备、辅助材料、备品、备件、调试、人工、运输、仓储、保险、运费、各种税费、劳保、专利技术、培训、技术支持及质保等一切费用、政策性文件规定及合同包含的所有风险、责任等各项应有费用。投标报价为最终报价，供应商不得再要求追加任何费用。同时，除非合同条款中另有规定，否则，供应商所报价格在合同实施期间不因市场变化因素而变动。</w:t>
      </w:r>
      <w:r>
        <w:rPr>
          <w:rFonts w:hint="eastAsia" w:hAnsi="宋体"/>
          <w:color w:val="000000"/>
          <w:sz w:val="24"/>
          <w:szCs w:val="24"/>
          <w:highlight w:val="none"/>
          <w:lang w:val="zh-TW" w:eastAsia="zh-TW"/>
        </w:rPr>
      </w:r>
      <w:r/>
    </w:p>
    <w:p>
      <w:pPr>
        <w:pStyle w:val="1316"/>
        <w:spacing w:line="440" w:lineRule="exact"/>
        <w:rPr>
          <w:rFonts w:hint="eastAsia" w:ascii="宋体" w:hAnsi="宋体" w:cs="Courier New"/>
          <w:color w:val="000000"/>
          <w:sz w:val="24"/>
          <w:szCs w:val="24"/>
          <w:highlight w:val="none"/>
        </w:rPr>
      </w:pPr>
      <w:r>
        <w:rPr>
          <w:rFonts w:hint="eastAsia" w:ascii="宋体" w:hAnsi="宋体" w:cs="Courier New"/>
          <w:b/>
          <w:color w:val="000000"/>
          <w:sz w:val="24"/>
          <w:szCs w:val="24"/>
          <w:highlight w:val="none"/>
        </w:rPr>
        <w:t xml:space="preserve">三、质量保证</w:t>
      </w:r>
      <w:r>
        <w:rPr>
          <w:rFonts w:hint="eastAsia" w:ascii="宋体" w:hAnsi="宋体" w:cs="Courier New"/>
          <w:color w:val="000000"/>
          <w:sz w:val="24"/>
          <w:szCs w:val="24"/>
          <w:highlight w:val="none"/>
        </w:rPr>
      </w:r>
      <w:r/>
    </w:p>
    <w:p>
      <w:pPr>
        <w:pStyle w:val="1331"/>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3.1丙方所提供的货物必须完全符合相关质量标准，经正确安装，正常使用和维护保养条件下，在其使用寿命周期内应具有预期的性能。</w:t>
      </w:r>
      <w:r>
        <w:rPr>
          <w:rFonts w:hint="eastAsia" w:hAnsi="宋体"/>
          <w:bCs/>
          <w:color w:val="000000"/>
          <w:sz w:val="24"/>
          <w:szCs w:val="24"/>
          <w:highlight w:val="none"/>
        </w:rPr>
      </w:r>
      <w:r/>
    </w:p>
    <w:p>
      <w:pPr>
        <w:pStyle w:val="1331"/>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3.2丙方在所供货物最终验收后提供</w:t>
      </w:r>
      <w:r>
        <w:rPr>
          <w:rFonts w:hint="eastAsia" w:hAnsi="宋体"/>
          <w:bCs/>
          <w:color w:val="000000"/>
          <w:sz w:val="24"/>
          <w:szCs w:val="24"/>
          <w:highlight w:val="none"/>
          <w:u w:val="single"/>
        </w:rPr>
        <w:t xml:space="preserve">   </w:t>
      </w:r>
      <w:r>
        <w:rPr>
          <w:rFonts w:hint="eastAsia" w:hAnsi="宋体"/>
          <w:bCs/>
          <w:color w:val="000000"/>
          <w:sz w:val="24"/>
          <w:szCs w:val="24"/>
          <w:highlight w:val="none"/>
        </w:rPr>
        <w:t xml:space="preserve">年的免费质量保证，在质量保证期内，丙方履行保修义务并免收材料和人工等一切费用，由于丙方原因产生的任何不足或故障，由丙方负责完善相关内容，丙方提供终身维修服务。</w:t>
      </w:r>
      <w:r>
        <w:rPr>
          <w:rFonts w:hint="eastAsia" w:hAnsi="宋体"/>
          <w:bCs/>
          <w:color w:val="000000"/>
          <w:sz w:val="24"/>
          <w:szCs w:val="24"/>
          <w:highlight w:val="none"/>
        </w:rPr>
      </w:r>
      <w:r/>
    </w:p>
    <w:p>
      <w:pPr>
        <w:pStyle w:val="1331"/>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3.3设备的质量保证期从设备安装调试后无质量问题能够正常使用，三方签订安装验收报告单后开始计算。</w:t>
      </w:r>
      <w:r>
        <w:rPr>
          <w:rFonts w:hint="eastAsia" w:hAnsi="宋体"/>
          <w:bCs/>
          <w:color w:val="000000"/>
          <w:sz w:val="24"/>
          <w:szCs w:val="24"/>
          <w:highlight w:val="none"/>
        </w:rPr>
      </w:r>
      <w:r/>
    </w:p>
    <w:p>
      <w:pPr>
        <w:pStyle w:val="1331"/>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3.4在设备整个使用期，丙方应确保设备正常使用。在接到甲方及</w:t>
      </w:r>
      <w:r>
        <w:rPr>
          <w:rFonts w:hint="eastAsia" w:hAnsi="宋体" w:cs="Courier New"/>
          <w:bCs/>
          <w:color w:val="000000"/>
          <w:sz w:val="24"/>
          <w:szCs w:val="24"/>
          <w:highlight w:val="none"/>
        </w:rPr>
        <w:t xml:space="preserve">乙方</w:t>
      </w:r>
      <w:r>
        <w:rPr>
          <w:rFonts w:hint="eastAsia" w:hAnsi="宋体"/>
          <w:bCs/>
          <w:color w:val="000000"/>
          <w:sz w:val="24"/>
          <w:szCs w:val="24"/>
          <w:highlight w:val="none"/>
        </w:rPr>
        <w:t xml:space="preserve">维修请求后，应及时派人到达现场实施维修排除故障，最长周期不得超过48小时。</w:t>
      </w:r>
      <w:r>
        <w:rPr>
          <w:rFonts w:hint="eastAsia" w:hAnsi="宋体"/>
          <w:bCs/>
          <w:color w:val="000000"/>
          <w:sz w:val="24"/>
          <w:szCs w:val="24"/>
          <w:highlight w:val="none"/>
        </w:rPr>
      </w:r>
      <w:r/>
    </w:p>
    <w:p>
      <w:pPr>
        <w:pStyle w:val="1331"/>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3.5丙方应对甲方及</w:t>
      </w:r>
      <w:r>
        <w:rPr>
          <w:rFonts w:hint="eastAsia" w:hAnsi="宋体" w:cs="Courier New"/>
          <w:bCs/>
          <w:color w:val="000000"/>
          <w:sz w:val="24"/>
          <w:szCs w:val="24"/>
          <w:highlight w:val="none"/>
        </w:rPr>
        <w:t xml:space="preserve">乙方</w:t>
      </w:r>
      <w:r>
        <w:rPr>
          <w:rFonts w:hint="eastAsia" w:hAnsi="宋体"/>
          <w:bCs/>
          <w:color w:val="000000"/>
          <w:sz w:val="24"/>
          <w:szCs w:val="24"/>
          <w:highlight w:val="none"/>
        </w:rPr>
        <w:t xml:space="preserve">操作人员提供免费操作和维修培训，要求能够对设备进行熟练的操作,能排除一般性故障,能够完成设备的日常维护和保养，并提供必要的操作手册和维修资料，培训期间的相关费用由丙方承担。</w:t>
      </w:r>
      <w:r>
        <w:rPr>
          <w:rFonts w:hint="eastAsia" w:hAnsi="宋体"/>
          <w:bCs/>
          <w:color w:val="000000"/>
          <w:sz w:val="24"/>
          <w:szCs w:val="24"/>
          <w:highlight w:val="none"/>
        </w:rPr>
      </w:r>
      <w:r/>
    </w:p>
    <w:p>
      <w:pPr>
        <w:pStyle w:val="1331"/>
        <w:spacing w:line="440" w:lineRule="exact"/>
        <w:rPr>
          <w:rFonts w:hAnsi="宋体"/>
          <w:b/>
          <w:color w:val="000000"/>
          <w:sz w:val="24"/>
          <w:szCs w:val="24"/>
          <w:highlight w:val="none"/>
        </w:rPr>
      </w:pPr>
      <w:r>
        <w:rPr>
          <w:rFonts w:hint="eastAsia" w:hAnsi="宋体"/>
          <w:b/>
          <w:color w:val="000000"/>
          <w:sz w:val="24"/>
          <w:szCs w:val="24"/>
          <w:highlight w:val="none"/>
        </w:rPr>
        <w:t xml:space="preserve">四、</w:t>
      </w:r>
      <w:r>
        <w:rPr>
          <w:rFonts w:hAnsi="宋体"/>
          <w:b/>
          <w:color w:val="000000"/>
          <w:sz w:val="24"/>
          <w:szCs w:val="24"/>
          <w:highlight w:val="none"/>
        </w:rPr>
        <w:t xml:space="preserve">技术资料</w:t>
      </w:r>
      <w:r>
        <w:rPr>
          <w:rFonts w:hAnsi="宋体"/>
          <w:b/>
          <w:color w:val="000000"/>
          <w:sz w:val="24"/>
          <w:szCs w:val="24"/>
          <w:highlight w:val="none"/>
        </w:rPr>
      </w:r>
      <w:r/>
    </w:p>
    <w:p>
      <w:pPr>
        <w:pStyle w:val="1316"/>
        <w:ind w:firstLine="480"/>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w:t>
      </w:r>
      <w:r>
        <w:rPr>
          <w:rFonts w:hint="eastAsia" w:hAnsi="宋体"/>
          <w:bCs/>
          <w:color w:val="000000"/>
          <w:sz w:val="24"/>
          <w:szCs w:val="24"/>
          <w:highlight w:val="none"/>
        </w:rPr>
        <w:t xml:space="preserve">丙方</w:t>
      </w:r>
      <w:r>
        <w:rPr>
          <w:rFonts w:hint="eastAsia" w:ascii="宋体" w:hAnsi="宋体" w:cs="Courier New"/>
          <w:color w:val="000000"/>
          <w:sz w:val="24"/>
          <w:szCs w:val="24"/>
          <w:highlight w:val="none"/>
        </w:rPr>
        <w:t xml:space="preserve">应按招标文件规定的时间向甲方及乙方提供与合同标的有关的技术资料，包括但不限于提供货物时必须提供设备的合格证、检测报告、原材料出厂证明以及使用及维修所需的全部技术资料。</w:t>
      </w:r>
      <w:r>
        <w:rPr>
          <w:rFonts w:hint="eastAsia" w:ascii="宋体" w:hAnsi="宋体" w:cs="Courier New"/>
          <w:color w:val="000000"/>
          <w:sz w:val="24"/>
          <w:szCs w:val="24"/>
          <w:highlight w:val="none"/>
        </w:rPr>
      </w:r>
      <w:r/>
    </w:p>
    <w:p>
      <w:pPr>
        <w:pStyle w:val="1316"/>
        <w:ind w:firstLine="480"/>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4.2 没有甲方及乙方双方事先书面同意，</w:t>
      </w:r>
      <w:r>
        <w:rPr>
          <w:rFonts w:hint="eastAsia" w:hAnsi="宋体"/>
          <w:bCs/>
          <w:color w:val="000000"/>
          <w:sz w:val="24"/>
          <w:szCs w:val="24"/>
          <w:highlight w:val="none"/>
        </w:rPr>
        <w:t xml:space="preserve">丙方</w:t>
      </w:r>
      <w:r>
        <w:rPr>
          <w:rFonts w:hint="eastAsia" w:ascii="宋体" w:hAnsi="宋体" w:cs="Courier New"/>
          <w:color w:val="000000"/>
          <w:sz w:val="24"/>
          <w:szCs w:val="24"/>
          <w:highlight w:val="none"/>
        </w:rPr>
        <w:t xml:space="preserve">不得将由甲方及乙方提供的有关合同或任何合同条文、规格、计划、图纸、样品或资料提供给与履行本合同无关的任何其他人。即使向履行本合同有关的人员提供，也应注意保密并限于履行合同的必需范围。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Courier New"/>
          <w:color w:val="000000"/>
          <w:sz w:val="24"/>
          <w:szCs w:val="24"/>
          <w:highlight w:val="none"/>
        </w:rPr>
      </w:r>
      <w:r/>
    </w:p>
    <w:p>
      <w:pPr>
        <w:pStyle w:val="1316"/>
        <w:ind w:firstLine="480"/>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4.3</w:t>
      </w:r>
      <w:r>
        <w:rPr>
          <w:rFonts w:hint="eastAsia" w:hAnsi="宋体"/>
          <w:bCs/>
          <w:color w:val="000000"/>
          <w:sz w:val="24"/>
          <w:szCs w:val="24"/>
          <w:highlight w:val="none"/>
        </w:rPr>
        <w:t xml:space="preserve">丙方</w:t>
      </w:r>
      <w:r>
        <w:rPr>
          <w:rFonts w:hint="eastAsia" w:ascii="宋体" w:hAnsi="宋体" w:cs="Courier New"/>
          <w:color w:val="000000"/>
          <w:sz w:val="24"/>
          <w:szCs w:val="24"/>
          <w:highlight w:val="none"/>
        </w:rPr>
        <w:t xml:space="preserve">提供销售的设备（包括零部件、附件、备品备件），必须符合中华人民共和国有关法律法规，符合本行业同类产品的一般标准。经甲乙</w:t>
      </w:r>
      <w:r>
        <w:rPr>
          <w:rFonts w:hint="eastAsia" w:hAnsi="宋体"/>
          <w:bCs/>
          <w:color w:val="000000"/>
          <w:sz w:val="24"/>
          <w:szCs w:val="24"/>
          <w:highlight w:val="none"/>
        </w:rPr>
        <w:t xml:space="preserve">及丙方</w:t>
      </w:r>
      <w:r>
        <w:rPr>
          <w:rFonts w:hint="eastAsia" w:ascii="宋体" w:hAnsi="宋体" w:cs="Courier New"/>
          <w:color w:val="000000"/>
          <w:sz w:val="24"/>
          <w:szCs w:val="24"/>
          <w:highlight w:val="none"/>
        </w:rPr>
        <w:t xml:space="preserve">三方认可修改的相关产品规格与标准同等有效。</w:t>
      </w:r>
      <w:r>
        <w:rPr>
          <w:rFonts w:hint="eastAsia" w:ascii="宋体" w:hAnsi="宋体" w:cs="Courier New"/>
          <w:color w:val="000000"/>
          <w:sz w:val="24"/>
          <w:szCs w:val="24"/>
          <w:highlight w:val="none"/>
        </w:rPr>
      </w:r>
      <w:r/>
    </w:p>
    <w:p>
      <w:pPr>
        <w:pStyle w:val="1316"/>
        <w:ind w:firstLine="480"/>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4.4甲方及乙方对设备规格型号有异议的应在收货后3日内以书面形式向供方提出，未提出视为认同。</w:t>
      </w:r>
      <w:r>
        <w:rPr>
          <w:rFonts w:hint="eastAsia" w:ascii="宋体" w:hAnsi="宋体" w:cs="Courier New"/>
          <w:color w:val="000000"/>
          <w:sz w:val="24"/>
          <w:szCs w:val="24"/>
          <w:highlight w:val="none"/>
        </w:rPr>
      </w:r>
      <w:r/>
    </w:p>
    <w:p>
      <w:pPr>
        <w:pStyle w:val="1331"/>
        <w:ind w:left="410" w:hanging="410"/>
        <w:spacing w:line="440" w:lineRule="exact"/>
        <w:rPr>
          <w:rFonts w:hAnsi="宋体"/>
          <w:b/>
          <w:color w:val="000000"/>
          <w:sz w:val="24"/>
          <w:szCs w:val="24"/>
          <w:highlight w:val="none"/>
        </w:rPr>
      </w:pPr>
      <w:r>
        <w:rPr>
          <w:rFonts w:hint="eastAsia" w:hAnsi="宋体"/>
          <w:b/>
          <w:color w:val="000000"/>
          <w:sz w:val="24"/>
          <w:szCs w:val="24"/>
          <w:highlight w:val="none"/>
        </w:rPr>
        <w:t xml:space="preserve">五</w:t>
      </w:r>
      <w:r>
        <w:rPr>
          <w:rFonts w:hAnsi="宋体"/>
          <w:b/>
          <w:color w:val="000000"/>
          <w:sz w:val="24"/>
          <w:szCs w:val="24"/>
          <w:highlight w:val="none"/>
        </w:rPr>
        <w:t xml:space="preserve">、知识产权</w:t>
      </w:r>
      <w:r>
        <w:rPr>
          <w:rFonts w:hint="eastAsia" w:hAnsi="宋体"/>
          <w:b/>
          <w:color w:val="000000"/>
          <w:sz w:val="24"/>
          <w:szCs w:val="24"/>
          <w:highlight w:val="none"/>
        </w:rPr>
        <w:t xml:space="preserve">、</w:t>
      </w:r>
      <w:r>
        <w:rPr>
          <w:rFonts w:hAnsi="宋体"/>
          <w:b/>
          <w:color w:val="000000"/>
          <w:sz w:val="24"/>
          <w:szCs w:val="24"/>
          <w:highlight w:val="none"/>
        </w:rPr>
        <w:t xml:space="preserve">产权担保</w:t>
      </w:r>
      <w:r>
        <w:rPr>
          <w:rFonts w:hAnsi="宋体"/>
          <w:b/>
          <w:color w:val="000000"/>
          <w:sz w:val="24"/>
          <w:szCs w:val="24"/>
          <w:highlight w:val="none"/>
        </w:rPr>
      </w:r>
      <w:r/>
    </w:p>
    <w:p>
      <w:pPr>
        <w:pStyle w:val="1316"/>
        <w:ind w:firstLine="480"/>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w:t>
      </w:r>
      <w:r>
        <w:rPr>
          <w:rFonts w:hint="eastAsia" w:hAnsi="宋体"/>
          <w:bCs/>
          <w:color w:val="000000"/>
          <w:sz w:val="24"/>
          <w:szCs w:val="24"/>
          <w:highlight w:val="none"/>
        </w:rPr>
        <w:t xml:space="preserve">丙方</w:t>
      </w:r>
      <w:r>
        <w:rPr>
          <w:rFonts w:hint="eastAsia" w:ascii="宋体" w:hAnsi="宋体" w:cs="Courier New"/>
          <w:color w:val="000000"/>
          <w:sz w:val="24"/>
          <w:szCs w:val="24"/>
          <w:highlight w:val="none"/>
        </w:rPr>
        <w:t xml:space="preserve">应保证甲方及乙方在使用、接受本合同标的或其任何一部分时不受第三方提出侵犯其专利权、版权、商标权和工业设计权等知识产权的起诉。一旦出现侵权，由</w:t>
      </w:r>
      <w:r>
        <w:rPr>
          <w:rFonts w:hint="eastAsia" w:hAnsi="宋体"/>
          <w:bCs/>
          <w:color w:val="000000"/>
          <w:sz w:val="24"/>
          <w:szCs w:val="24"/>
          <w:highlight w:val="none"/>
        </w:rPr>
        <w:t xml:space="preserve">丙方</w:t>
      </w:r>
      <w:r>
        <w:rPr>
          <w:rFonts w:hint="eastAsia" w:ascii="宋体" w:hAnsi="宋体" w:cs="Courier New"/>
          <w:color w:val="000000"/>
          <w:sz w:val="24"/>
          <w:szCs w:val="24"/>
          <w:highlight w:val="none"/>
        </w:rPr>
        <w:t xml:space="preserve">负全部责任。如果任何第三方提出侵权指控或赔偿要求，</w:t>
      </w:r>
      <w:r>
        <w:rPr>
          <w:rFonts w:hint="eastAsia" w:hAnsi="宋体"/>
          <w:bCs/>
          <w:color w:val="000000"/>
          <w:sz w:val="24"/>
          <w:szCs w:val="24"/>
          <w:highlight w:val="none"/>
        </w:rPr>
        <w:t xml:space="preserve">丙方</w:t>
      </w:r>
      <w:r>
        <w:rPr>
          <w:rFonts w:hint="eastAsia" w:ascii="宋体" w:hAnsi="宋体" w:cs="Courier New"/>
          <w:color w:val="000000"/>
          <w:sz w:val="24"/>
          <w:szCs w:val="24"/>
          <w:highlight w:val="none"/>
        </w:rPr>
        <w:t xml:space="preserve">必须与第三方交涉，并承担发生和可能发生的一切损失、费用和法律责任。如由于</w:t>
      </w:r>
      <w:r>
        <w:rPr>
          <w:rFonts w:hint="eastAsia" w:hAnsi="宋体"/>
          <w:bCs/>
          <w:color w:val="000000"/>
          <w:sz w:val="24"/>
          <w:szCs w:val="24"/>
          <w:highlight w:val="none"/>
        </w:rPr>
        <w:t xml:space="preserve">丙方</w:t>
      </w:r>
      <w:r>
        <w:rPr>
          <w:rFonts w:hint="eastAsia" w:ascii="宋体" w:hAnsi="宋体" w:cs="Courier New"/>
          <w:color w:val="000000"/>
          <w:sz w:val="24"/>
          <w:szCs w:val="24"/>
          <w:highlight w:val="none"/>
        </w:rPr>
        <w:t xml:space="preserve">不积极与第三方交涉，甲方及乙方有权应诉或进行和解，其发生的费用由</w:t>
      </w:r>
      <w:r>
        <w:rPr>
          <w:rFonts w:hint="eastAsia" w:hAnsi="宋体"/>
          <w:bCs/>
          <w:color w:val="000000"/>
          <w:sz w:val="24"/>
          <w:szCs w:val="24"/>
          <w:highlight w:val="none"/>
        </w:rPr>
        <w:t xml:space="preserve">丙方</w:t>
      </w:r>
      <w:r>
        <w:rPr>
          <w:rFonts w:hint="eastAsia" w:ascii="宋体" w:hAnsi="宋体" w:cs="Courier New"/>
          <w:color w:val="000000"/>
          <w:sz w:val="24"/>
          <w:szCs w:val="24"/>
          <w:highlight w:val="none"/>
        </w:rPr>
        <w:t xml:space="preserve">承担。</w:t>
      </w:r>
      <w:r>
        <w:rPr>
          <w:rFonts w:hint="eastAsia" w:ascii="宋体" w:hAnsi="宋体" w:cs="Courier New"/>
          <w:color w:val="000000"/>
          <w:sz w:val="24"/>
          <w:szCs w:val="24"/>
          <w:highlight w:val="none"/>
        </w:rPr>
      </w:r>
      <w:r/>
    </w:p>
    <w:p>
      <w:pPr>
        <w:pStyle w:val="1316"/>
        <w:ind w:firstLine="480"/>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5.2 </w:t>
      </w:r>
      <w:r>
        <w:rPr>
          <w:rFonts w:hint="eastAsia" w:hAnsi="宋体"/>
          <w:bCs/>
          <w:color w:val="000000"/>
          <w:sz w:val="24"/>
          <w:szCs w:val="24"/>
          <w:highlight w:val="none"/>
        </w:rPr>
        <w:t xml:space="preserve">丙方</w:t>
      </w:r>
      <w:r>
        <w:rPr>
          <w:rFonts w:hint="eastAsia" w:ascii="宋体" w:hAnsi="宋体" w:cs="Courier New"/>
          <w:color w:val="000000"/>
          <w:sz w:val="24"/>
          <w:szCs w:val="24"/>
          <w:highlight w:val="none"/>
        </w:rPr>
        <w:t xml:space="preserve">保证所交付的合同标的的所有权完全属于</w:t>
      </w:r>
      <w:r>
        <w:rPr>
          <w:rFonts w:hint="eastAsia" w:hAnsi="宋体"/>
          <w:bCs/>
          <w:color w:val="000000"/>
          <w:sz w:val="24"/>
          <w:szCs w:val="24"/>
          <w:highlight w:val="none"/>
        </w:rPr>
        <w:t xml:space="preserve">丙方</w:t>
      </w:r>
      <w:r>
        <w:rPr>
          <w:rFonts w:hint="eastAsia" w:ascii="宋体" w:hAnsi="宋体" w:cs="Courier New"/>
          <w:color w:val="000000"/>
          <w:sz w:val="24"/>
          <w:szCs w:val="24"/>
          <w:highlight w:val="none"/>
        </w:rPr>
        <w:t xml:space="preserve">且无任何抵押、查封等产权瑕疵。</w:t>
      </w:r>
      <w:r>
        <w:rPr>
          <w:rFonts w:hint="eastAsia" w:ascii="宋体" w:hAnsi="宋体" w:cs="Courier New"/>
          <w:color w:val="000000"/>
          <w:sz w:val="24"/>
          <w:szCs w:val="24"/>
          <w:highlight w:val="none"/>
        </w:rPr>
      </w:r>
      <w:r/>
    </w:p>
    <w:p>
      <w:pPr>
        <w:pStyle w:val="1316"/>
        <w:ind w:firstLine="480"/>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5.3本合同中所涉全部设备（以下简称“设备”）的所有权始终归属于乙方，不因任何原因发生转移。</w:t>
      </w:r>
      <w:r>
        <w:rPr>
          <w:rFonts w:ascii="宋体" w:hAnsi="宋体" w:cs="Courier New"/>
          <w:color w:val="000000"/>
          <w:sz w:val="24"/>
          <w:szCs w:val="24"/>
          <w:highlight w:val="none"/>
        </w:rPr>
      </w:r>
      <w:r/>
    </w:p>
    <w:p>
      <w:pPr>
        <w:pStyle w:val="1316"/>
        <w:spacing w:line="440" w:lineRule="exact"/>
        <w:rPr>
          <w:rFonts w:hAnsi="宋体"/>
          <w:b/>
          <w:color w:val="000000"/>
          <w:sz w:val="24"/>
          <w:szCs w:val="24"/>
          <w:highlight w:val="none"/>
        </w:rPr>
      </w:pPr>
      <w:r>
        <w:rPr>
          <w:rFonts w:hint="eastAsia" w:hAnsi="宋体"/>
          <w:b/>
          <w:color w:val="000000"/>
          <w:sz w:val="24"/>
          <w:szCs w:val="24"/>
          <w:highlight w:val="none"/>
        </w:rPr>
        <w:t xml:space="preserve">六、履约</w:t>
      </w:r>
      <w:r>
        <w:rPr>
          <w:rFonts w:hAnsi="宋体"/>
          <w:b/>
          <w:color w:val="000000"/>
          <w:sz w:val="24"/>
          <w:szCs w:val="24"/>
          <w:highlight w:val="none"/>
        </w:rPr>
        <w:t xml:space="preserve">保证金</w:t>
      </w:r>
      <w:r>
        <w:rPr>
          <w:rFonts w:hAnsi="宋体"/>
          <w:b/>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☑本项目不收取履约保证金。合同条款中与履约保证金有关的均不作要求。</w:t>
      </w:r>
      <w:r>
        <w:rPr>
          <w:rFonts w:hint="eastAsia" w:ascii="宋体" w:hAnsi="宋体"/>
          <w:bCs/>
          <w:color w:val="000000"/>
          <w:sz w:val="24"/>
          <w:szCs w:val="24"/>
          <w:highlight w:val="none"/>
        </w:rPr>
      </w:r>
      <w:r/>
    </w:p>
    <w:p>
      <w:pPr>
        <w:pStyle w:val="1316"/>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□本项目中标投标人应提交政府采购合同金额XX%的履约保证金(不得超过政府采购合同金额的 10%)，履约保证金应以支票、汇票、本票、保函、保险保单等非现金形式缴纳或提交。支持和鼓励中标投标人自愿使用履约(保函)保险代替缴纳履约保证金。省财政厅已上线政府采购电子履约保函(保险)平台，平台可通过域名 www.jsdzbh.com 直接访问，也可通过江苏省政府采购网、“苏采云”系统链接访问。  </w:t>
      </w:r>
      <w:r>
        <w:rPr>
          <w:rFonts w:hint="eastAsia" w:ascii="宋体" w:hAnsi="宋体"/>
          <w:bCs/>
          <w:color w:val="000000"/>
          <w:sz w:val="24"/>
          <w:szCs w:val="24"/>
          <w:highlight w:val="none"/>
        </w:rPr>
      </w:r>
      <w:r/>
    </w:p>
    <w:p>
      <w:pPr>
        <w:pStyle w:val="1316"/>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w:t>
      </w:r>
      <w:r>
        <w:rPr>
          <w:rFonts w:hint="eastAsia" w:hAnsi="宋体"/>
          <w:bCs/>
          <w:color w:val="000000"/>
          <w:sz w:val="24"/>
          <w:szCs w:val="24"/>
          <w:highlight w:val="none"/>
        </w:rPr>
        <w:t xml:space="preserve">丙方</w:t>
      </w:r>
      <w:r>
        <w:rPr>
          <w:rFonts w:hint="eastAsia" w:ascii="宋体" w:hAnsi="宋体"/>
          <w:color w:val="000000"/>
          <w:sz w:val="24"/>
          <w:szCs w:val="24"/>
          <w:highlight w:val="none"/>
        </w:rPr>
        <w:t xml:space="preserve">不得将合同标的转包给他人履行。</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w:t>
      </w:r>
      <w:r>
        <w:rPr>
          <w:rFonts w:hint="eastAsia" w:hAnsi="宋体"/>
          <w:bCs/>
          <w:color w:val="000000"/>
          <w:sz w:val="24"/>
          <w:szCs w:val="24"/>
          <w:highlight w:val="none"/>
        </w:rPr>
        <w:t xml:space="preserve">丙方</w:t>
      </w:r>
      <w:r>
        <w:rPr>
          <w:rFonts w:hint="eastAsia" w:ascii="宋体" w:hAnsi="宋体"/>
          <w:color w:val="000000"/>
          <w:sz w:val="24"/>
          <w:szCs w:val="24"/>
          <w:highlight w:val="none"/>
        </w:rPr>
        <w:t xml:space="preserve">不得将合同标的分包给他人履行。</w:t>
      </w:r>
      <w:r>
        <w:rPr>
          <w:rFonts w:hint="eastAsia" w:ascii="宋体" w:hAnsi="宋体"/>
          <w:color w:val="000000"/>
          <w:sz w:val="24"/>
          <w:szCs w:val="24"/>
          <w:highlight w:val="none"/>
        </w:rPr>
      </w:r>
      <w:r/>
    </w:p>
    <w:p>
      <w:pPr>
        <w:pStyle w:val="1316"/>
        <w:ind w:firstLine="480"/>
        <w:spacing w:line="44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hAnsi="宋体"/>
          <w:bCs/>
          <w:color w:val="000000"/>
          <w:sz w:val="24"/>
          <w:szCs w:val="24"/>
          <w:highlight w:val="none"/>
        </w:rPr>
        <w:t xml:space="preserve">丙方</w:t>
      </w:r>
      <w:r>
        <w:rPr>
          <w:rFonts w:hint="eastAsia" w:ascii="宋体" w:hAnsi="宋体"/>
          <w:color w:val="000000"/>
          <w:sz w:val="24"/>
          <w:szCs w:val="24"/>
          <w:highlight w:val="none"/>
        </w:rPr>
        <w:t xml:space="preserve">如有转包或未经</w:t>
      </w:r>
      <w:r>
        <w:rPr>
          <w:rFonts w:hint="eastAsia" w:ascii="宋体" w:hAnsi="宋体" w:cs="Courier New"/>
          <w:color w:val="000000"/>
          <w:sz w:val="24"/>
          <w:szCs w:val="24"/>
          <w:highlight w:val="none"/>
        </w:rPr>
        <w:t xml:space="preserve">甲方</w:t>
      </w:r>
      <w:r>
        <w:rPr>
          <w:rFonts w:hint="eastAsia" w:ascii="宋体" w:hAnsi="宋体"/>
          <w:color w:val="000000"/>
          <w:sz w:val="24"/>
          <w:szCs w:val="24"/>
          <w:highlight w:val="none"/>
        </w:rPr>
        <w:t xml:space="preserve">同意的分包行为，</w:t>
      </w:r>
      <w:r>
        <w:rPr>
          <w:rFonts w:hint="eastAsia" w:ascii="宋体" w:hAnsi="宋体" w:cs="Courier New"/>
          <w:color w:val="000000"/>
          <w:sz w:val="24"/>
          <w:szCs w:val="24"/>
          <w:highlight w:val="none"/>
        </w:rPr>
        <w:t xml:space="preserve">甲方</w:t>
      </w:r>
      <w:r>
        <w:rPr>
          <w:rFonts w:hint="eastAsia" w:ascii="宋体" w:hAnsi="宋体"/>
          <w:color w:val="000000"/>
          <w:sz w:val="24"/>
          <w:szCs w:val="24"/>
          <w:highlight w:val="none"/>
        </w:rPr>
        <w:t xml:space="preserve">有权解除合同。</w:t>
      </w:r>
      <w:r>
        <w:rPr>
          <w:rFonts w:ascii="宋体" w:hAnsi="宋体" w:eastAsia="仿宋_GB2312"/>
          <w:color w:val="000000"/>
          <w:sz w:val="24"/>
          <w:szCs w:val="24"/>
          <w:highlight w:val="none"/>
        </w:rPr>
      </w:r>
      <w:r/>
    </w:p>
    <w:p>
      <w:pPr>
        <w:pStyle w:val="1331"/>
        <w:spacing w:line="440" w:lineRule="exact"/>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1316"/>
        <w:ind w:left="479"/>
        <w:spacing w:before="120" w:after="120" w:line="440" w:lineRule="exact"/>
        <w:rPr>
          <w:rFonts w:hint="eastAsia" w:ascii="宋体" w:hAnsi="宋体" w:cs="Courier New"/>
          <w:b/>
          <w:color w:val="000000"/>
          <w:sz w:val="24"/>
          <w:szCs w:val="24"/>
          <w:highlight w:val="none"/>
        </w:rPr>
      </w:pPr>
      <w:r>
        <w:rPr>
          <w:rFonts w:hint="eastAsia" w:ascii="宋体" w:hAnsi="宋体" w:cs="Courier New"/>
          <w:bCs/>
          <w:color w:val="000000"/>
          <w:sz w:val="24"/>
          <w:szCs w:val="24"/>
          <w:highlight w:val="none"/>
        </w:rPr>
        <w:t xml:space="preserve">8.1合同款项的支付方式及进度安排</w:t>
      </w:r>
      <w:r>
        <w:rPr>
          <w:rFonts w:hint="eastAsia" w:ascii="宋体" w:hAnsi="宋体" w:cs="Courier New"/>
          <w:b/>
          <w:color w:val="000000"/>
          <w:sz w:val="24"/>
          <w:szCs w:val="24"/>
          <w:highlight w:val="none"/>
        </w:rPr>
        <w:t xml:space="preserve">，由乙方根据付款进度进行支付。</w:t>
      </w:r>
      <w:r>
        <w:rPr>
          <w:rFonts w:hint="eastAsia" w:ascii="宋体" w:hAnsi="宋体" w:cs="Courier New"/>
          <w:b/>
          <w:color w:val="000000"/>
          <w:sz w:val="24"/>
          <w:szCs w:val="24"/>
          <w:highlight w:val="none"/>
        </w:rPr>
      </w:r>
      <w:r/>
    </w:p>
    <w:p>
      <w:pPr>
        <w:pStyle w:val="1316"/>
        <w:ind w:left="719" w:hanging="240"/>
        <w:jc w:val="left"/>
        <w:spacing w:before="120" w:after="120" w:line="44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8.2预付款支付：丙方（不需要）乙方支付预付款。</w:t>
      </w:r>
      <w:r>
        <w:rPr>
          <w:rFonts w:hint="eastAsia" w:ascii="宋体" w:hAnsi="宋体" w:cs="Courier New"/>
          <w:bCs/>
          <w:color w:val="000000"/>
          <w:sz w:val="24"/>
          <w:szCs w:val="24"/>
          <w:highlight w:val="none"/>
        </w:rPr>
      </w:r>
      <w:r/>
    </w:p>
    <w:p>
      <w:pPr>
        <w:pStyle w:val="1316"/>
        <w:ind w:firstLine="482"/>
        <w:jc w:val="left"/>
        <w:spacing w:before="120" w:after="120"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设备全部到货、</w:t>
      </w:r>
      <w:r>
        <w:rPr>
          <w:rFonts w:ascii="宋体" w:hAnsi="宋体" w:cs="Courier New"/>
          <w:b/>
          <w:color w:val="000000"/>
          <w:sz w:val="24"/>
          <w:szCs w:val="24"/>
          <w:highlight w:val="none"/>
        </w:rPr>
        <w:t xml:space="preserve">安装调试结束</w:t>
      </w:r>
      <w:r>
        <w:rPr>
          <w:rFonts w:hint="eastAsia" w:ascii="宋体" w:hAnsi="宋体" w:cs="Courier New"/>
          <w:b/>
          <w:color w:val="000000"/>
          <w:sz w:val="24"/>
          <w:szCs w:val="24"/>
          <w:highlight w:val="none"/>
        </w:rPr>
        <w:t xml:space="preserve">，乙方付合同总价的30%，</w:t>
      </w:r>
      <w:bookmarkStart w:id="191" w:name="OLE_LINK3"/>
      <w:r/>
      <w:bookmarkStart w:id="192" w:name="OLE_LINK2"/>
      <w:r>
        <w:rPr>
          <w:rFonts w:hint="eastAsia" w:ascii="宋体" w:hAnsi="宋体" w:cs="Courier New"/>
          <w:b/>
          <w:color w:val="000000"/>
          <w:sz w:val="24"/>
          <w:szCs w:val="24"/>
          <w:highlight w:val="none"/>
        </w:rPr>
        <w:t xml:space="preserve">设备使用第二年乙方付合同总价的30%，</w:t>
      </w:r>
      <w:bookmarkEnd w:id="191"/>
      <w:r/>
      <w:bookmarkEnd w:id="192"/>
      <w:r>
        <w:rPr>
          <w:rFonts w:hint="eastAsia" w:ascii="宋体" w:hAnsi="宋体" w:cs="Courier New"/>
          <w:b/>
          <w:color w:val="000000"/>
          <w:sz w:val="24"/>
          <w:szCs w:val="24"/>
          <w:highlight w:val="none"/>
        </w:rPr>
        <w:t xml:space="preserve">设备使用第三年乙方付合同总价的30%，余款在合同履约结束前半年内一次性付清。</w:t>
      </w:r>
      <w:r>
        <w:rPr>
          <w:rFonts w:hint="eastAsia" w:ascii="宋体" w:hAnsi="宋体" w:cs="Courier New"/>
          <w:b/>
          <w:color w:val="000000"/>
          <w:sz w:val="24"/>
          <w:szCs w:val="24"/>
          <w:highlight w:val="none"/>
        </w:rPr>
      </w:r>
      <w:r/>
    </w:p>
    <w:p>
      <w:pPr>
        <w:pStyle w:val="1316"/>
        <w:ind w:firstLine="480"/>
        <w:jc w:val="left"/>
        <w:spacing w:before="120" w:after="120" w:line="440" w:lineRule="exact"/>
        <w:rPr>
          <w:rFonts w:hint="eastAsia" w:ascii="宋体" w:hAnsi="宋体"/>
          <w:color w:val="000000"/>
          <w:sz w:val="24"/>
          <w:szCs w:val="24"/>
          <w:highlight w:val="none"/>
        </w:rPr>
      </w:pPr>
      <w:r>
        <w:rPr>
          <w:rFonts w:hint="eastAsia" w:ascii="宋体" w:hAnsi="宋体" w:cs="Courier New"/>
          <w:bCs/>
          <w:color w:val="000000"/>
          <w:sz w:val="24"/>
          <w:szCs w:val="24"/>
          <w:highlight w:val="none"/>
        </w:rPr>
        <w:t xml:space="preserve">8.4</w:t>
      </w:r>
      <w:r>
        <w:rPr>
          <w:rFonts w:hint="eastAsia" w:hAnsi="宋体"/>
          <w:bCs/>
          <w:color w:val="000000"/>
          <w:sz w:val="24"/>
          <w:szCs w:val="24"/>
          <w:highlight w:val="none"/>
        </w:rPr>
        <w:t xml:space="preserve">丙方</w:t>
      </w:r>
      <w:r>
        <w:rPr>
          <w:rFonts w:hint="eastAsia" w:ascii="宋体" w:hAnsi="宋体"/>
          <w:color w:val="000000"/>
          <w:sz w:val="24"/>
          <w:szCs w:val="24"/>
          <w:highlight w:val="none"/>
        </w:rPr>
        <w:t xml:space="preserve">应当自合同签订之日起按约定开具发票，乙方自收到发票之日起10个工作日内完成支付。因</w:t>
      </w:r>
      <w:r>
        <w:rPr>
          <w:rFonts w:hint="eastAsia" w:hAnsi="宋体"/>
          <w:bCs/>
          <w:color w:val="000000"/>
          <w:sz w:val="24"/>
          <w:szCs w:val="24"/>
          <w:highlight w:val="none"/>
        </w:rPr>
        <w:t xml:space="preserve">丙方</w:t>
      </w:r>
      <w:r>
        <w:rPr>
          <w:rFonts w:hint="eastAsia" w:ascii="宋体" w:hAnsi="宋体"/>
          <w:color w:val="000000"/>
          <w:sz w:val="24"/>
          <w:szCs w:val="24"/>
          <w:highlight w:val="none"/>
        </w:rPr>
        <w:t xml:space="preserve">未开具发票导致</w:t>
      </w:r>
      <w:r>
        <w:rPr>
          <w:rFonts w:hint="eastAsia" w:ascii="宋体" w:hAnsi="宋体" w:cs="Courier New"/>
          <w:bCs/>
          <w:color w:val="000000"/>
          <w:sz w:val="24"/>
          <w:szCs w:val="24"/>
          <w:highlight w:val="none"/>
        </w:rPr>
        <w:t xml:space="preserve">乙方</w:t>
      </w:r>
      <w:r>
        <w:rPr>
          <w:rFonts w:hint="eastAsia" w:ascii="宋体" w:hAnsi="宋体"/>
          <w:color w:val="000000"/>
          <w:sz w:val="24"/>
          <w:szCs w:val="24"/>
          <w:highlight w:val="none"/>
        </w:rPr>
        <w:t xml:space="preserve">未及时完成支付的，由</w:t>
      </w:r>
      <w:r>
        <w:rPr>
          <w:rFonts w:hint="eastAsia" w:hAnsi="宋体"/>
          <w:bCs/>
          <w:color w:val="000000"/>
          <w:sz w:val="24"/>
          <w:szCs w:val="24"/>
          <w:highlight w:val="none"/>
        </w:rPr>
        <w:t xml:space="preserve">丙方</w:t>
      </w:r>
      <w:r>
        <w:rPr>
          <w:rFonts w:hint="eastAsia" w:ascii="宋体" w:hAnsi="宋体"/>
          <w:color w:val="000000"/>
          <w:sz w:val="24"/>
          <w:szCs w:val="24"/>
          <w:highlight w:val="none"/>
        </w:rPr>
        <w:t xml:space="preserve">承担相关责任。</w:t>
      </w:r>
      <w:r>
        <w:rPr>
          <w:rFonts w:hint="eastAsia" w:hAnsi="宋体"/>
          <w:bCs/>
          <w:color w:val="000000"/>
          <w:sz w:val="24"/>
          <w:szCs w:val="24"/>
          <w:highlight w:val="none"/>
        </w:rPr>
        <w:t xml:space="preserve">丙方</w:t>
      </w:r>
      <w:r>
        <w:rPr>
          <w:rFonts w:hint="eastAsia" w:ascii="宋体" w:hAnsi="宋体"/>
          <w:color w:val="000000"/>
          <w:sz w:val="24"/>
          <w:szCs w:val="24"/>
          <w:highlight w:val="none"/>
        </w:rPr>
        <w:t xml:space="preserve">需与</w:t>
      </w:r>
      <w:r>
        <w:rPr>
          <w:rFonts w:hint="eastAsia" w:ascii="宋体" w:hAnsi="宋体" w:cs="Courier New"/>
          <w:bCs/>
          <w:color w:val="000000"/>
          <w:sz w:val="24"/>
          <w:szCs w:val="24"/>
          <w:highlight w:val="none"/>
        </w:rPr>
        <w:t xml:space="preserve">乙方</w:t>
      </w:r>
      <w:r>
        <w:rPr>
          <w:rFonts w:hint="eastAsia" w:ascii="宋体" w:hAnsi="宋体"/>
          <w:color w:val="000000"/>
          <w:sz w:val="24"/>
          <w:szCs w:val="24"/>
          <w:highlight w:val="none"/>
        </w:rPr>
        <w:t xml:space="preserve">单位项目负责人确定好开具发票时间，并在发票开具后第一时间送达至</w:t>
      </w:r>
      <w:r>
        <w:rPr>
          <w:rFonts w:hint="eastAsia" w:ascii="宋体" w:hAnsi="宋体" w:cs="Courier New"/>
          <w:bCs/>
          <w:color w:val="000000"/>
          <w:sz w:val="24"/>
          <w:szCs w:val="24"/>
          <w:highlight w:val="none"/>
        </w:rPr>
        <w:t xml:space="preserve">乙方</w:t>
      </w:r>
      <w:r>
        <w:rPr>
          <w:rFonts w:hint="eastAsia" w:ascii="宋体" w:hAnsi="宋体"/>
          <w:color w:val="000000"/>
          <w:sz w:val="24"/>
          <w:szCs w:val="24"/>
          <w:highlight w:val="none"/>
        </w:rPr>
        <w:t xml:space="preserve">项目负责人手中。</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s="Courier New"/>
          <w:bCs/>
          <w:color w:val="000000"/>
          <w:sz w:val="24"/>
          <w:szCs w:val="24"/>
          <w:highlight w:val="none"/>
        </w:rPr>
        <w:t xml:space="preserve">乙方</w:t>
      </w:r>
      <w:r>
        <w:rPr>
          <w:rFonts w:hint="eastAsia" w:ascii="宋体" w:hAnsi="宋体"/>
          <w:color w:val="000000"/>
          <w:sz w:val="24"/>
          <w:szCs w:val="24"/>
          <w:highlight w:val="none"/>
        </w:rPr>
        <w:t xml:space="preserve">开票信息：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丙方开票信息：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1316"/>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1316"/>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1316"/>
        <w:ind w:firstLine="480"/>
        <w:spacing w:line="44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w:t>
      </w:r>
      <w:r>
        <w:rPr>
          <w:rFonts w:hint="eastAsia" w:hAnsi="宋体"/>
          <w:bCs/>
          <w:color w:val="000000"/>
          <w:sz w:val="24"/>
          <w:szCs w:val="24"/>
          <w:highlight w:val="none"/>
        </w:rPr>
        <w:t xml:space="preserve">丙方</w:t>
      </w:r>
      <w:r>
        <w:rPr>
          <w:rFonts w:hint="eastAsia" w:ascii="宋体" w:hAnsi="宋体"/>
          <w:color w:val="000000"/>
          <w:sz w:val="24"/>
          <w:szCs w:val="24"/>
          <w:highlight w:val="none"/>
        </w:rPr>
        <w:t xml:space="preserve">负担。</w:t>
      </w:r>
      <w:r>
        <w:rPr>
          <w:rFonts w:ascii="宋体" w:hAnsi="宋体" w:eastAsia="仿宋_GB2312"/>
          <w:color w:val="000000"/>
          <w:sz w:val="24"/>
          <w:szCs w:val="24"/>
          <w:highlight w:val="none"/>
        </w:rPr>
      </w:r>
      <w:r/>
    </w:p>
    <w:p>
      <w:pPr>
        <w:pStyle w:val="1331"/>
        <w:spacing w:line="440" w:lineRule="exact"/>
        <w:rPr>
          <w:rFonts w:hAnsi="宋体"/>
          <w:b/>
          <w:color w:val="000000"/>
          <w:sz w:val="24"/>
          <w:szCs w:val="24"/>
          <w:highlight w:val="none"/>
        </w:rPr>
      </w:pPr>
      <w:r>
        <w:rPr>
          <w:rFonts w:hint="eastAsia" w:hAnsi="宋体"/>
          <w:b/>
          <w:color w:val="000000"/>
          <w:sz w:val="24"/>
          <w:szCs w:val="24"/>
          <w:highlight w:val="none"/>
        </w:rPr>
        <w:t xml:space="preserve">十、货物的包装、发运及运输</w:t>
      </w:r>
      <w:r>
        <w:rPr>
          <w:rFonts w:hAnsi="宋体"/>
          <w:b/>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10.1 </w:t>
      </w:r>
      <w:r>
        <w:rPr>
          <w:rFonts w:hint="eastAsia" w:hAnsi="宋体"/>
          <w:bCs/>
          <w:color w:val="000000"/>
          <w:sz w:val="24"/>
          <w:szCs w:val="24"/>
          <w:highlight w:val="none"/>
        </w:rPr>
        <w:t xml:space="preserve">丙方</w:t>
      </w:r>
      <w:r>
        <w:rPr>
          <w:rFonts w:hint="eastAsia" w:ascii="宋体" w:hAnsi="宋体"/>
          <w:color w:val="000000"/>
          <w:sz w:val="24"/>
          <w:szCs w:val="24"/>
          <w:highlight w:val="none"/>
        </w:rPr>
        <w:t xml:space="preserve">应在货物发运前对其进行满足运输距离、防潮、防震、防锈和防破损装卸等要求包装，以保证货物安全运达甲方及乙方指定地点。</w:t>
      </w:r>
      <w:r>
        <w:rPr>
          <w:rFonts w:hint="eastAsia" w:hAnsi="宋体"/>
          <w:bCs/>
          <w:color w:val="000000"/>
          <w:sz w:val="24"/>
          <w:szCs w:val="24"/>
          <w:highlight w:val="none"/>
        </w:rPr>
        <w:t xml:space="preserve">丙方</w:t>
      </w:r>
      <w:r>
        <w:rPr>
          <w:rFonts w:hint="eastAsia" w:ascii="宋体" w:hAnsi="宋体"/>
          <w:color w:val="000000"/>
          <w:sz w:val="24"/>
          <w:szCs w:val="24"/>
          <w:highlight w:val="none"/>
        </w:rPr>
        <w:t xml:space="preserve">对货物的包装应符合《商品包装政府采购需求标准（试行）》、《快递包装政府采购需求标准（试行）》的规定。</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10.2 使用说明书、质量检验证明书、随配附件和工具以及清单一并附于货物内。</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10.3 </w:t>
      </w:r>
      <w:r>
        <w:rPr>
          <w:rFonts w:hint="eastAsia" w:hAnsi="宋体"/>
          <w:bCs/>
          <w:color w:val="000000"/>
          <w:sz w:val="24"/>
          <w:szCs w:val="24"/>
          <w:highlight w:val="none"/>
        </w:rPr>
        <w:t xml:space="preserve">丙方</w:t>
      </w:r>
      <w:r>
        <w:rPr>
          <w:rFonts w:hint="eastAsia" w:ascii="宋体" w:hAnsi="宋体"/>
          <w:color w:val="000000"/>
          <w:sz w:val="24"/>
          <w:szCs w:val="24"/>
          <w:highlight w:val="none"/>
        </w:rPr>
        <w:t xml:space="preserve">在货物发运手续办理完毕后24小时内或货到甲方及乙方48小时前通知</w:t>
      </w:r>
      <w:r>
        <w:rPr>
          <w:rFonts w:hint="eastAsia" w:ascii="宋体" w:hAnsi="宋体" w:cs="Courier New"/>
          <w:color w:val="000000"/>
          <w:sz w:val="24"/>
          <w:szCs w:val="24"/>
          <w:highlight w:val="none"/>
        </w:rPr>
        <w:t xml:space="preserve">甲方及乙方</w:t>
      </w:r>
      <w:r>
        <w:rPr>
          <w:rFonts w:hint="eastAsia" w:ascii="宋体" w:hAnsi="宋体"/>
          <w:color w:val="000000"/>
          <w:sz w:val="24"/>
          <w:szCs w:val="24"/>
          <w:highlight w:val="none"/>
        </w:rPr>
        <w:t xml:space="preserve">，以准备接货。</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10.4 货物在交付甲方及乙方前发生的风险均由</w:t>
      </w:r>
      <w:r>
        <w:rPr>
          <w:rFonts w:hint="eastAsia" w:hAnsi="宋体"/>
          <w:bCs/>
          <w:color w:val="000000"/>
          <w:sz w:val="24"/>
          <w:szCs w:val="24"/>
          <w:highlight w:val="none"/>
        </w:rPr>
        <w:t xml:space="preserve">丙方</w:t>
      </w:r>
      <w:r>
        <w:rPr>
          <w:rFonts w:hint="eastAsia" w:ascii="宋体" w:hAnsi="宋体"/>
          <w:color w:val="000000"/>
          <w:sz w:val="24"/>
          <w:szCs w:val="24"/>
          <w:highlight w:val="none"/>
        </w:rPr>
        <w:t xml:space="preserve">负责。</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10.5 货物在规定的交付期限内由</w:t>
      </w:r>
      <w:r>
        <w:rPr>
          <w:rFonts w:hint="eastAsia" w:hAnsi="宋体"/>
          <w:bCs/>
          <w:color w:val="000000"/>
          <w:sz w:val="24"/>
          <w:szCs w:val="24"/>
          <w:highlight w:val="none"/>
        </w:rPr>
        <w:t xml:space="preserve">丙方</w:t>
      </w:r>
      <w:r>
        <w:rPr>
          <w:rFonts w:hint="eastAsia" w:ascii="宋体" w:hAnsi="宋体"/>
          <w:color w:val="000000"/>
          <w:sz w:val="24"/>
          <w:szCs w:val="24"/>
          <w:highlight w:val="none"/>
        </w:rPr>
        <w:t xml:space="preserve">送达甲方及乙方指定的地点视为交付，</w:t>
      </w:r>
      <w:r>
        <w:rPr>
          <w:rFonts w:hint="eastAsia" w:hAnsi="宋体"/>
          <w:bCs/>
          <w:color w:val="000000"/>
          <w:sz w:val="24"/>
          <w:szCs w:val="24"/>
          <w:highlight w:val="none"/>
        </w:rPr>
        <w:t xml:space="preserve">丙方</w:t>
      </w:r>
      <w:r>
        <w:rPr>
          <w:rFonts w:hint="eastAsia" w:ascii="宋体" w:hAnsi="宋体"/>
          <w:color w:val="000000"/>
          <w:sz w:val="24"/>
          <w:szCs w:val="24"/>
          <w:highlight w:val="none"/>
        </w:rPr>
        <w:t xml:space="preserve">同时需通知甲方及乙方货物已送达。</w:t>
      </w:r>
      <w:r>
        <w:rPr>
          <w:rFonts w:hint="eastAsia" w:ascii="宋体" w:hAnsi="宋体"/>
          <w:color w:val="000000"/>
          <w:sz w:val="24"/>
          <w:szCs w:val="24"/>
          <w:highlight w:val="none"/>
        </w:rPr>
      </w:r>
      <w:r/>
    </w:p>
    <w:p>
      <w:pPr>
        <w:pStyle w:val="1331"/>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133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11.1 </w:t>
      </w:r>
      <w:r>
        <w:rPr>
          <w:rFonts w:hint="eastAsia" w:hAnsi="宋体" w:cs="Courier New"/>
          <w:color w:val="000000"/>
          <w:sz w:val="24"/>
          <w:szCs w:val="24"/>
          <w:highlight w:val="none"/>
        </w:rPr>
        <w:t xml:space="preserve">甲方及乙方</w:t>
      </w:r>
      <w:r>
        <w:rPr>
          <w:rFonts w:hint="eastAsia" w:hAnsi="宋体"/>
          <w:color w:val="000000"/>
          <w:sz w:val="24"/>
          <w:szCs w:val="24"/>
          <w:highlight w:val="none"/>
        </w:rPr>
        <w:t xml:space="preserve">依法组织履约验收工作。</w:t>
      </w:r>
      <w:r>
        <w:rPr>
          <w:rFonts w:hint="eastAsia" w:hAnsi="宋体"/>
          <w:color w:val="000000"/>
          <w:sz w:val="24"/>
          <w:szCs w:val="24"/>
          <w:highlight w:val="none"/>
        </w:rPr>
      </w:r>
      <w:r/>
    </w:p>
    <w:p>
      <w:pPr>
        <w:pStyle w:val="133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11.2 </w:t>
      </w:r>
      <w:r>
        <w:rPr>
          <w:rFonts w:hint="eastAsia" w:hAnsi="宋体" w:cs="Courier New"/>
          <w:color w:val="000000"/>
          <w:sz w:val="24"/>
          <w:szCs w:val="24"/>
          <w:highlight w:val="none"/>
        </w:rPr>
        <w:t xml:space="preserve">甲方及乙方</w:t>
      </w:r>
      <w:r>
        <w:rPr>
          <w:rFonts w:hint="eastAsia" w:hAnsi="宋体"/>
          <w:color w:val="000000"/>
          <w:sz w:val="24"/>
          <w:szCs w:val="24"/>
          <w:highlight w:val="none"/>
        </w:rPr>
        <w:t xml:space="preserve">在组织履约验收前，将根据项目特点制定验收方案，明确履约验收的时间、方式、程序等内容，并可根据项目特点对服务期内的服务实施情况进行分期考核，综合考核情况和服务效果进行验收。</w:t>
      </w:r>
      <w:r>
        <w:rPr>
          <w:rFonts w:hint="eastAsia" w:hAnsi="宋体"/>
          <w:bCs/>
          <w:color w:val="000000"/>
          <w:sz w:val="24"/>
          <w:szCs w:val="24"/>
          <w:highlight w:val="none"/>
        </w:rPr>
        <w:t xml:space="preserve">丙方</w:t>
      </w:r>
      <w:r>
        <w:rPr>
          <w:rFonts w:hint="eastAsia" w:hAnsi="宋体"/>
          <w:color w:val="000000"/>
          <w:sz w:val="24"/>
          <w:szCs w:val="24"/>
          <w:highlight w:val="none"/>
        </w:rPr>
        <w:t xml:space="preserve">应根据验收方案内容做好相应配合工作。</w:t>
      </w:r>
      <w:r>
        <w:rPr>
          <w:rFonts w:hint="eastAsia" w:hAnsi="宋体"/>
          <w:color w:val="000000"/>
          <w:sz w:val="24"/>
          <w:szCs w:val="24"/>
          <w:highlight w:val="none"/>
        </w:rPr>
      </w:r>
      <w:r/>
    </w:p>
    <w:p>
      <w:pPr>
        <w:pStyle w:val="133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11.3 对于实际使用人和</w:t>
      </w:r>
      <w:r>
        <w:rPr>
          <w:rFonts w:hint="eastAsia" w:hAnsi="宋体" w:cs="Courier New"/>
          <w:color w:val="000000"/>
          <w:sz w:val="24"/>
          <w:szCs w:val="24"/>
          <w:highlight w:val="none"/>
        </w:rPr>
        <w:t xml:space="preserve">甲方及乙方</w:t>
      </w:r>
      <w:r>
        <w:rPr>
          <w:rFonts w:hint="eastAsia" w:hAnsi="宋体"/>
          <w:color w:val="000000"/>
          <w:sz w:val="24"/>
          <w:szCs w:val="24"/>
          <w:highlight w:val="none"/>
        </w:rPr>
        <w:t xml:space="preserve">分离的项目，</w:t>
      </w:r>
      <w:r>
        <w:rPr>
          <w:rFonts w:hint="eastAsia" w:hAnsi="宋体" w:cs="Courier New"/>
          <w:color w:val="000000"/>
          <w:sz w:val="24"/>
          <w:szCs w:val="24"/>
          <w:highlight w:val="none"/>
        </w:rPr>
        <w:t xml:space="preserve">甲方及乙方</w:t>
      </w:r>
      <w:r>
        <w:rPr>
          <w:rFonts w:hint="eastAsia" w:hAnsi="宋体"/>
          <w:color w:val="000000"/>
          <w:sz w:val="24"/>
          <w:szCs w:val="24"/>
          <w:highlight w:val="none"/>
        </w:rPr>
        <w:t xml:space="preserve">邀请实际使用人参与验收。</w:t>
      </w:r>
      <w:r>
        <w:rPr>
          <w:rFonts w:hint="eastAsia" w:hAnsi="宋体"/>
          <w:color w:val="000000"/>
          <w:sz w:val="24"/>
          <w:szCs w:val="24"/>
          <w:highlight w:val="none"/>
        </w:rPr>
      </w:r>
      <w:r/>
    </w:p>
    <w:p>
      <w:pPr>
        <w:pStyle w:val="133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11.4 如有必要，</w:t>
      </w:r>
      <w:r>
        <w:rPr>
          <w:rFonts w:hint="eastAsia" w:hAnsi="宋体" w:cs="Courier New"/>
          <w:color w:val="000000"/>
          <w:sz w:val="24"/>
          <w:szCs w:val="24"/>
          <w:highlight w:val="none"/>
        </w:rPr>
        <w:t xml:space="preserve">甲方及乙方</w:t>
      </w:r>
      <w:r>
        <w:rPr>
          <w:rFonts w:hint="eastAsia" w:hAnsi="宋体"/>
          <w:color w:val="000000"/>
          <w:sz w:val="24"/>
          <w:szCs w:val="24"/>
          <w:highlight w:val="none"/>
        </w:rPr>
        <w:t xml:space="preserve">邀请参加本项目的其他供应商或第三方专业机构及专家参与验收，相关意见将作为验收书的参考资料。</w:t>
      </w:r>
      <w:r>
        <w:rPr>
          <w:rFonts w:hint="eastAsia" w:hAnsi="宋体"/>
          <w:color w:val="000000"/>
          <w:sz w:val="24"/>
          <w:szCs w:val="24"/>
          <w:highlight w:val="none"/>
        </w:rPr>
      </w:r>
      <w:r/>
    </w:p>
    <w:p>
      <w:pPr>
        <w:pStyle w:val="133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11.5 </w:t>
      </w:r>
      <w:r>
        <w:rPr>
          <w:rFonts w:hint="eastAsia" w:hAnsi="宋体" w:cs="Courier New"/>
          <w:color w:val="000000"/>
          <w:sz w:val="24"/>
          <w:szCs w:val="24"/>
          <w:highlight w:val="none"/>
        </w:rPr>
        <w:t xml:space="preserve">甲方及乙方</w:t>
      </w:r>
      <w:r>
        <w:rPr>
          <w:rFonts w:hint="eastAsia" w:hAnsi="宋体"/>
          <w:color w:val="000000"/>
          <w:sz w:val="24"/>
          <w:szCs w:val="24"/>
          <w:highlight w:val="none"/>
        </w:rPr>
        <w:t xml:space="preserve">成立验收小组，按照采购合同的约定对</w:t>
      </w:r>
      <w:r>
        <w:rPr>
          <w:rFonts w:hint="eastAsia" w:hAnsi="宋体"/>
          <w:bCs/>
          <w:color w:val="000000"/>
          <w:sz w:val="24"/>
          <w:szCs w:val="24"/>
          <w:highlight w:val="none"/>
        </w:rPr>
        <w:t xml:space="preserve">丙方</w:t>
      </w:r>
      <w:r>
        <w:rPr>
          <w:rFonts w:hint="eastAsia" w:hAnsi="宋体"/>
          <w:color w:val="000000"/>
          <w:sz w:val="24"/>
          <w:szCs w:val="24"/>
          <w:highlight w:val="none"/>
        </w:rPr>
        <w:t xml:space="preserve">的履约情况进行验收。验收时,</w:t>
      </w:r>
      <w:r>
        <w:rPr>
          <w:rFonts w:hint="eastAsia" w:hAnsi="宋体" w:cs="Courier New"/>
          <w:color w:val="000000"/>
          <w:sz w:val="24"/>
          <w:szCs w:val="24"/>
          <w:highlight w:val="none"/>
        </w:rPr>
        <w:t xml:space="preserve">甲方及乙方</w:t>
      </w:r>
      <w:r>
        <w:rPr>
          <w:rFonts w:hint="eastAsia" w:hAnsi="宋体"/>
          <w:color w:val="000000"/>
          <w:sz w:val="24"/>
          <w:szCs w:val="24"/>
          <w:highlight w:val="none"/>
        </w:rPr>
        <w:t xml:space="preserve">按照采购合同的约定对每一项技术、服务、安全标准的履约情况进行确认。验收结束后,验收小组出具验收书,列明各项标准的验收情况及项目总体评价,由验收双方共同签署。验收结果与采购合同约定的资金支付返还条件挂钩。履约验收的各项资料存档备查。</w:t>
      </w:r>
      <w:r>
        <w:rPr>
          <w:rFonts w:hint="eastAsia" w:hAnsi="宋体"/>
          <w:color w:val="000000"/>
          <w:sz w:val="24"/>
          <w:szCs w:val="24"/>
          <w:highlight w:val="none"/>
        </w:rPr>
      </w:r>
      <w:r/>
    </w:p>
    <w:p>
      <w:pPr>
        <w:pStyle w:val="133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11.6 验收合格的项目,</w:t>
      </w:r>
      <w:r>
        <w:rPr>
          <w:rFonts w:hint="eastAsia" w:hAnsi="宋体"/>
          <w:bCs/>
          <w:color w:val="000000"/>
          <w:sz w:val="24"/>
          <w:szCs w:val="24"/>
          <w:highlight w:val="none"/>
        </w:rPr>
        <w:t xml:space="preserve">乙方</w:t>
      </w:r>
      <w:r>
        <w:rPr>
          <w:rFonts w:hint="eastAsia" w:hAnsi="宋体"/>
          <w:color w:val="000000"/>
          <w:sz w:val="24"/>
          <w:szCs w:val="24"/>
          <w:highlight w:val="none"/>
        </w:rPr>
        <w:t xml:space="preserve">根据采购合同的约定及时向</w:t>
      </w:r>
      <w:r>
        <w:rPr>
          <w:rFonts w:hint="eastAsia" w:hAnsi="宋体"/>
          <w:bCs/>
          <w:color w:val="000000"/>
          <w:sz w:val="24"/>
          <w:szCs w:val="24"/>
          <w:highlight w:val="none"/>
        </w:rPr>
        <w:t xml:space="preserve">丙方</w:t>
      </w:r>
      <w:r>
        <w:rPr>
          <w:rFonts w:hint="eastAsia" w:hAnsi="宋体"/>
          <w:color w:val="000000"/>
          <w:sz w:val="24"/>
          <w:szCs w:val="24"/>
          <w:highlight w:val="none"/>
        </w:rPr>
        <w:t xml:space="preserve">支付合同款项。验收不合格的项目，</w:t>
      </w:r>
      <w:r>
        <w:rPr>
          <w:rFonts w:hint="eastAsia" w:hAnsi="宋体" w:cs="Courier New"/>
          <w:color w:val="000000"/>
          <w:sz w:val="24"/>
          <w:szCs w:val="24"/>
          <w:highlight w:val="none"/>
        </w:rPr>
        <w:t xml:space="preserve">甲方及乙方</w:t>
      </w:r>
      <w:r>
        <w:rPr>
          <w:rFonts w:hint="eastAsia" w:hAnsi="宋体"/>
          <w:color w:val="000000"/>
          <w:sz w:val="24"/>
          <w:szCs w:val="24"/>
          <w:highlight w:val="none"/>
        </w:rPr>
        <w:t xml:space="preserve">依法及时处理，</w:t>
      </w:r>
      <w:r>
        <w:rPr>
          <w:rFonts w:hint="eastAsia" w:hAnsi="宋体"/>
          <w:bCs/>
          <w:color w:val="000000"/>
          <w:sz w:val="24"/>
          <w:szCs w:val="24"/>
          <w:highlight w:val="none"/>
        </w:rPr>
        <w:t xml:space="preserve">丙方</w:t>
      </w:r>
      <w:r>
        <w:rPr>
          <w:rFonts w:hint="eastAsia" w:hAnsi="宋体"/>
          <w:color w:val="000000"/>
          <w:sz w:val="24"/>
          <w:szCs w:val="24"/>
          <w:highlight w:val="none"/>
        </w:rPr>
        <w:t xml:space="preserve">须无条件更换设备直至验收合格，</w:t>
      </w:r>
      <w:r>
        <w:rPr>
          <w:rFonts w:hint="eastAsia" w:hAnsi="宋体"/>
          <w:color w:val="000000"/>
          <w:sz w:val="24"/>
          <w:szCs w:val="24"/>
          <w:highlight w:val="none"/>
          <w:lang w:eastAsia="zh-CN"/>
        </w:rPr>
        <w:t xml:space="preserve">期间</w:t>
      </w:r>
      <w:r>
        <w:rPr>
          <w:rFonts w:hint="eastAsia" w:hAnsi="宋体"/>
          <w:color w:val="000000"/>
          <w:sz w:val="24"/>
          <w:szCs w:val="24"/>
          <w:highlight w:val="none"/>
        </w:rPr>
        <w:t xml:space="preserve">，给</w:t>
      </w:r>
      <w:r>
        <w:rPr>
          <w:rFonts w:hint="eastAsia" w:hAnsi="宋体" w:cs="Courier New"/>
          <w:color w:val="000000"/>
          <w:sz w:val="24"/>
          <w:szCs w:val="24"/>
          <w:highlight w:val="none"/>
        </w:rPr>
        <w:t xml:space="preserve">甲方及乙方</w:t>
      </w:r>
      <w:r>
        <w:rPr>
          <w:rFonts w:hint="eastAsia" w:hAnsi="宋体"/>
          <w:color w:val="000000"/>
          <w:sz w:val="24"/>
          <w:szCs w:val="24"/>
          <w:highlight w:val="none"/>
        </w:rPr>
        <w:t xml:space="preserve">双方造成的损失，由</w:t>
      </w:r>
      <w:r>
        <w:rPr>
          <w:rFonts w:hint="eastAsia" w:hAnsi="宋体"/>
          <w:bCs/>
          <w:color w:val="000000"/>
          <w:sz w:val="24"/>
          <w:szCs w:val="24"/>
          <w:highlight w:val="none"/>
        </w:rPr>
        <w:t xml:space="preserve">丙方</w:t>
      </w:r>
      <w:r>
        <w:rPr>
          <w:rFonts w:hint="eastAsia" w:hAnsi="宋体"/>
          <w:color w:val="000000"/>
          <w:sz w:val="24"/>
          <w:szCs w:val="24"/>
          <w:highlight w:val="none"/>
        </w:rPr>
        <w:t xml:space="preserve">全部承担。采购合同的履行、违约责任和解决争议的方式等适用《中华人民共和国民法典》。</w:t>
      </w:r>
      <w:r>
        <w:rPr>
          <w:rFonts w:hint="eastAsia" w:hAnsi="宋体"/>
          <w:bCs/>
          <w:color w:val="000000"/>
          <w:sz w:val="24"/>
          <w:szCs w:val="24"/>
          <w:highlight w:val="none"/>
        </w:rPr>
        <w:t xml:space="preserve">丙方</w:t>
      </w:r>
      <w:r>
        <w:rPr>
          <w:rFonts w:hint="eastAsia" w:hAnsi="宋体"/>
          <w:color w:val="000000"/>
          <w:sz w:val="24"/>
          <w:szCs w:val="24"/>
          <w:highlight w:val="none"/>
        </w:rPr>
        <w:t xml:space="preserve">在履约过程中有政府采购法律法规规定的违法违规情形的,</w:t>
      </w:r>
      <w:r>
        <w:rPr>
          <w:rFonts w:hint="eastAsia" w:hAnsi="宋体" w:cs="Courier New"/>
          <w:color w:val="000000"/>
          <w:sz w:val="24"/>
          <w:szCs w:val="24"/>
          <w:highlight w:val="none"/>
        </w:rPr>
        <w:t xml:space="preserve">甲乙双方</w:t>
      </w:r>
      <w:r>
        <w:rPr>
          <w:rFonts w:hint="eastAsia" w:hAnsi="宋体"/>
          <w:color w:val="000000"/>
          <w:sz w:val="24"/>
          <w:szCs w:val="24"/>
          <w:highlight w:val="none"/>
        </w:rPr>
        <w:t xml:space="preserve">将及时报告本级财政部门。</w:t>
      </w:r>
      <w:r>
        <w:rPr>
          <w:rFonts w:hint="eastAsia" w:hAnsi="宋体"/>
          <w:color w:val="000000"/>
          <w:sz w:val="24"/>
          <w:szCs w:val="24"/>
          <w:highlight w:val="none"/>
        </w:rPr>
      </w:r>
      <w:r/>
    </w:p>
    <w:p>
      <w:pPr>
        <w:pStyle w:val="1331"/>
        <w:spacing w:line="440" w:lineRule="exact"/>
        <w:rPr>
          <w:rFonts w:hAnsi="宋体"/>
          <w:b/>
          <w:color w:val="000000"/>
          <w:sz w:val="24"/>
          <w:szCs w:val="24"/>
          <w:highlight w:val="none"/>
        </w:rPr>
      </w:pPr>
      <w:r>
        <w:rPr>
          <w:rFonts w:hint="eastAsia" w:hAnsi="宋体"/>
          <w:b/>
          <w:color w:val="000000"/>
          <w:sz w:val="24"/>
          <w:szCs w:val="24"/>
          <w:highlight w:val="none"/>
        </w:rPr>
        <w:t xml:space="preserve">十二、</w:t>
      </w:r>
      <w:r>
        <w:rPr>
          <w:rFonts w:hAnsi="宋体"/>
          <w:b/>
          <w:color w:val="000000"/>
          <w:sz w:val="24"/>
          <w:szCs w:val="24"/>
          <w:highlight w:val="none"/>
        </w:rPr>
        <w:t xml:space="preserve">违约责任</w:t>
      </w:r>
      <w:r>
        <w:rPr>
          <w:rFonts w:hAnsi="宋体"/>
          <w:b/>
          <w:color w:val="000000"/>
          <w:sz w:val="24"/>
          <w:szCs w:val="24"/>
          <w:highlight w:val="none"/>
        </w:rPr>
      </w:r>
      <w:r/>
    </w:p>
    <w:p>
      <w:pPr>
        <w:pStyle w:val="1331"/>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12.1乙方无正当理由拒绝接受丙方提供的合同标的的，乙方向丙方偿付拒绝接受合同价款总值</w:t>
      </w:r>
      <w:r>
        <w:rPr>
          <w:rFonts w:hint="eastAsia" w:hAnsi="宋体"/>
          <w:bCs/>
          <w:color w:val="000000"/>
          <w:sz w:val="24"/>
          <w:szCs w:val="24"/>
          <w:highlight w:val="none"/>
          <w:u w:val="single"/>
        </w:rPr>
        <w:t xml:space="preserve">百分之一</w:t>
      </w:r>
      <w:r>
        <w:rPr>
          <w:rFonts w:hint="eastAsia" w:hAnsi="宋体"/>
          <w:bCs/>
          <w:color w:val="000000"/>
          <w:sz w:val="24"/>
          <w:szCs w:val="24"/>
          <w:highlight w:val="none"/>
        </w:rPr>
        <w:t xml:space="preserve">的违约金。</w:t>
      </w:r>
      <w:r>
        <w:rPr>
          <w:rFonts w:hint="eastAsia" w:hAnsi="宋体"/>
          <w:bCs/>
          <w:color w:val="000000"/>
          <w:sz w:val="24"/>
          <w:szCs w:val="24"/>
          <w:highlight w:val="none"/>
        </w:rPr>
      </w:r>
      <w:r/>
    </w:p>
    <w:p>
      <w:pPr>
        <w:pStyle w:val="1331"/>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12.2 丙方逾期交付合同标的的，丙方应按逾期交付合同总额</w:t>
      </w:r>
      <w:r>
        <w:rPr>
          <w:rFonts w:hint="eastAsia" w:hAnsi="宋体"/>
          <w:bCs/>
          <w:color w:val="000000"/>
          <w:sz w:val="24"/>
          <w:szCs w:val="24"/>
          <w:highlight w:val="none"/>
          <w:u w:val="single"/>
        </w:rPr>
        <w:t xml:space="preserve">每日千分之六</w:t>
      </w:r>
      <w:r>
        <w:rPr>
          <w:rFonts w:hint="eastAsia" w:hAnsi="宋体"/>
          <w:bCs/>
          <w:color w:val="000000"/>
          <w:sz w:val="24"/>
          <w:szCs w:val="24"/>
          <w:highlight w:val="none"/>
        </w:rPr>
        <w:t xml:space="preserve">向</w:t>
      </w:r>
      <w:r>
        <w:rPr>
          <w:rFonts w:hint="eastAsia" w:hAnsi="宋体" w:cs="Courier New"/>
          <w:color w:val="000000"/>
          <w:sz w:val="24"/>
          <w:szCs w:val="24"/>
          <w:highlight w:val="none"/>
        </w:rPr>
        <w:t xml:space="preserve">甲方及乙方双方</w:t>
      </w:r>
      <w:r>
        <w:rPr>
          <w:rFonts w:hint="eastAsia" w:hAnsi="宋体"/>
          <w:bCs/>
          <w:color w:val="000000"/>
          <w:sz w:val="24"/>
          <w:szCs w:val="24"/>
          <w:highlight w:val="none"/>
        </w:rPr>
        <w:t xml:space="preserve">支付违约金，由</w:t>
      </w:r>
      <w:r>
        <w:rPr>
          <w:rFonts w:hint="eastAsia" w:hAnsi="宋体" w:cs="Courier New"/>
          <w:color w:val="000000"/>
          <w:sz w:val="24"/>
          <w:szCs w:val="24"/>
          <w:highlight w:val="none"/>
        </w:rPr>
        <w:t xml:space="preserve">甲方及乙方双方</w:t>
      </w:r>
      <w:r>
        <w:rPr>
          <w:rFonts w:hint="eastAsia" w:hAnsi="宋体"/>
          <w:bCs/>
          <w:color w:val="000000"/>
          <w:sz w:val="24"/>
          <w:szCs w:val="24"/>
          <w:highlight w:val="none"/>
        </w:rPr>
        <w:t xml:space="preserve">从待付合同款项中扣除。逾期超过约定日期10个工作日不能交付合同标的的，</w:t>
      </w:r>
      <w:r>
        <w:rPr>
          <w:rFonts w:hint="eastAsia" w:hAnsi="宋体" w:cs="Courier New"/>
          <w:color w:val="000000"/>
          <w:sz w:val="24"/>
          <w:szCs w:val="24"/>
          <w:highlight w:val="none"/>
        </w:rPr>
        <w:t xml:space="preserve">甲方及乙方双方</w:t>
      </w:r>
      <w:r>
        <w:rPr>
          <w:rFonts w:hint="eastAsia" w:hAnsi="宋体"/>
          <w:bCs/>
          <w:color w:val="000000"/>
          <w:sz w:val="24"/>
          <w:szCs w:val="24"/>
          <w:highlight w:val="none"/>
        </w:rPr>
        <w:t xml:space="preserve">可解除本合同。丙方因逾期交付合同标的或因其他违约行为导致</w:t>
      </w:r>
      <w:r>
        <w:rPr>
          <w:rFonts w:hint="eastAsia" w:hAnsi="宋体" w:cs="Courier New"/>
          <w:color w:val="000000"/>
          <w:sz w:val="24"/>
          <w:szCs w:val="24"/>
          <w:highlight w:val="none"/>
        </w:rPr>
        <w:t xml:space="preserve">甲方及乙方双方</w:t>
      </w:r>
      <w:r>
        <w:rPr>
          <w:rFonts w:hint="eastAsia" w:hAnsi="宋体"/>
          <w:bCs/>
          <w:color w:val="000000"/>
          <w:sz w:val="24"/>
          <w:szCs w:val="24"/>
          <w:highlight w:val="none"/>
        </w:rPr>
        <w:t xml:space="preserve">解除合同的，丙方应向</w:t>
      </w:r>
      <w:r>
        <w:rPr>
          <w:rFonts w:hint="eastAsia" w:hAnsi="宋体" w:cs="Courier New"/>
          <w:color w:val="000000"/>
          <w:sz w:val="24"/>
          <w:szCs w:val="24"/>
          <w:highlight w:val="none"/>
        </w:rPr>
        <w:t xml:space="preserve">甲方及乙方双方</w:t>
      </w:r>
      <w:r>
        <w:rPr>
          <w:rFonts w:hint="eastAsia" w:hAnsi="宋体"/>
          <w:bCs/>
          <w:color w:val="000000"/>
          <w:sz w:val="24"/>
          <w:szCs w:val="24"/>
          <w:highlight w:val="none"/>
        </w:rPr>
        <w:t xml:space="preserve">支付合同价款总额</w:t>
      </w:r>
      <w:r>
        <w:rPr>
          <w:rFonts w:hint="eastAsia" w:hAnsi="宋体"/>
          <w:bCs/>
          <w:color w:val="000000"/>
          <w:sz w:val="24"/>
          <w:szCs w:val="24"/>
          <w:highlight w:val="none"/>
          <w:u w:val="single"/>
        </w:rPr>
        <w:t xml:space="preserve">百分之十</w:t>
      </w:r>
      <w:r>
        <w:rPr>
          <w:rFonts w:hint="eastAsia" w:hAnsi="宋体"/>
          <w:bCs/>
          <w:color w:val="000000"/>
          <w:sz w:val="24"/>
          <w:szCs w:val="24"/>
          <w:highlight w:val="none"/>
        </w:rPr>
        <w:t xml:space="preserve">的违约金，如造成</w:t>
      </w:r>
      <w:r>
        <w:rPr>
          <w:rFonts w:hint="eastAsia" w:hAnsi="宋体" w:cs="Courier New"/>
          <w:color w:val="000000"/>
          <w:sz w:val="24"/>
          <w:szCs w:val="24"/>
          <w:highlight w:val="none"/>
        </w:rPr>
        <w:t xml:space="preserve">甲方及乙方双方</w:t>
      </w:r>
      <w:r>
        <w:rPr>
          <w:rFonts w:hint="eastAsia" w:hAnsi="宋体"/>
          <w:bCs/>
          <w:color w:val="000000"/>
          <w:sz w:val="24"/>
          <w:szCs w:val="24"/>
          <w:highlight w:val="none"/>
        </w:rPr>
        <w:t xml:space="preserve">损失超过违约金的，超出部分由丙方继续承担赔偿责任。 </w:t>
      </w:r>
      <w:r>
        <w:rPr>
          <w:rFonts w:hint="eastAsia" w:hAnsi="宋体"/>
          <w:bCs/>
          <w:color w:val="000000"/>
          <w:sz w:val="24"/>
          <w:szCs w:val="24"/>
          <w:highlight w:val="none"/>
        </w:rPr>
      </w:r>
      <w:r/>
    </w:p>
    <w:p>
      <w:pPr>
        <w:pStyle w:val="1331"/>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12.3 丙方交付合同标的的标准不符合合同规定及招标文件规定标准的，</w:t>
      </w:r>
      <w:r>
        <w:rPr>
          <w:rFonts w:hint="eastAsia" w:hAnsi="宋体" w:cs="Courier New"/>
          <w:color w:val="000000"/>
          <w:sz w:val="24"/>
          <w:szCs w:val="24"/>
          <w:highlight w:val="none"/>
        </w:rPr>
        <w:t xml:space="preserve">甲方及乙方双方</w:t>
      </w:r>
      <w:r>
        <w:rPr>
          <w:rFonts w:hint="eastAsia" w:hAnsi="宋体"/>
          <w:bCs/>
          <w:color w:val="000000"/>
          <w:sz w:val="24"/>
          <w:szCs w:val="24"/>
          <w:highlight w:val="none"/>
        </w:rPr>
        <w:t xml:space="preserve">有权拒绝接受合同标的，并可单方面解除合同。</w:t>
      </w:r>
      <w:r>
        <w:rPr>
          <w:rFonts w:hint="eastAsia" w:hAnsi="宋体"/>
          <w:bCs/>
          <w:color w:val="000000"/>
          <w:sz w:val="24"/>
          <w:szCs w:val="24"/>
          <w:highlight w:val="none"/>
        </w:rPr>
      </w:r>
      <w:r/>
    </w:p>
    <w:p>
      <w:pPr>
        <w:pStyle w:val="1331"/>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1331"/>
        <w:ind w:left="599" w:hanging="12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3</w:t>
      </w:r>
      <w:r>
        <w:rPr>
          <w:rFonts w:hAnsi="宋体"/>
          <w:color w:val="000000"/>
          <w:sz w:val="24"/>
          <w:szCs w:val="24"/>
          <w:highlight w:val="none"/>
        </w:rPr>
        <w:t xml:space="preserve">.1 在合同有效期内，任何一方因不可抗力事件导致不能履行合同，则合</w:t>
      </w:r>
      <w:r>
        <w:rPr>
          <w:rFonts w:hAnsi="宋体"/>
          <w:color w:val="000000"/>
          <w:sz w:val="24"/>
          <w:szCs w:val="24"/>
          <w:highlight w:val="none"/>
        </w:rPr>
      </w:r>
      <w:r/>
    </w:p>
    <w:p>
      <w:pPr>
        <w:pStyle w:val="1331"/>
        <w:spacing w:line="440" w:lineRule="exact"/>
        <w:rPr>
          <w:rFonts w:hAnsi="宋体"/>
          <w:color w:val="000000"/>
          <w:sz w:val="24"/>
          <w:szCs w:val="24"/>
          <w:highlight w:val="none"/>
        </w:rPr>
      </w:pPr>
      <w:r>
        <w:rPr>
          <w:rFonts w:hAnsi="宋体"/>
          <w:color w:val="000000"/>
          <w:sz w:val="24"/>
          <w:szCs w:val="24"/>
          <w:highlight w:val="none"/>
        </w:rPr>
        <w:t xml:space="preserve">同履行期可延长，其延长期与不可抗力影响期相同。</w:t>
      </w:r>
      <w:r>
        <w:rPr>
          <w:rFonts w:hAnsi="宋体"/>
          <w:color w:val="000000"/>
          <w:sz w:val="24"/>
          <w:szCs w:val="24"/>
          <w:highlight w:val="none"/>
        </w:rPr>
      </w:r>
      <w:r/>
    </w:p>
    <w:p>
      <w:pPr>
        <w:pStyle w:val="1331"/>
        <w:ind w:left="599" w:hanging="12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3</w:t>
      </w:r>
      <w:r>
        <w:rPr>
          <w:rFonts w:hAnsi="宋体"/>
          <w:color w:val="000000"/>
          <w:sz w:val="24"/>
          <w:szCs w:val="24"/>
          <w:highlight w:val="none"/>
        </w:rPr>
        <w:t xml:space="preserve">.2 不可抗力事件发生后，应立即通知对方，并寄送有关权威机构出具的</w:t>
      </w:r>
      <w:r>
        <w:rPr>
          <w:rFonts w:hAnsi="宋体"/>
          <w:color w:val="000000"/>
          <w:sz w:val="24"/>
          <w:szCs w:val="24"/>
          <w:highlight w:val="none"/>
        </w:rPr>
      </w:r>
      <w:r/>
    </w:p>
    <w:p>
      <w:pPr>
        <w:pStyle w:val="1331"/>
        <w:spacing w:line="440" w:lineRule="exact"/>
        <w:rPr>
          <w:rFonts w:hAnsi="宋体"/>
          <w:color w:val="000000"/>
          <w:sz w:val="24"/>
          <w:szCs w:val="24"/>
          <w:highlight w:val="none"/>
        </w:rPr>
      </w:pPr>
      <w:r>
        <w:rPr>
          <w:rFonts w:hAnsi="宋体"/>
          <w:color w:val="000000"/>
          <w:sz w:val="24"/>
          <w:szCs w:val="24"/>
          <w:highlight w:val="none"/>
        </w:rPr>
        <w:t xml:space="preserve">证明。</w:t>
      </w:r>
      <w:r>
        <w:rPr>
          <w:rFonts w:hAnsi="宋体"/>
          <w:color w:val="000000"/>
          <w:sz w:val="24"/>
          <w:szCs w:val="24"/>
          <w:highlight w:val="none"/>
        </w:rPr>
      </w:r>
      <w:r/>
    </w:p>
    <w:p>
      <w:pPr>
        <w:pStyle w:val="1331"/>
        <w:ind w:left="599" w:hanging="12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3</w:t>
      </w:r>
      <w:r>
        <w:rPr>
          <w:rFonts w:hAnsi="宋体"/>
          <w:color w:val="000000"/>
          <w:sz w:val="24"/>
          <w:szCs w:val="24"/>
          <w:highlight w:val="none"/>
        </w:rPr>
        <w:t xml:space="preserve">.3 不可抗力事件延续120天以上，</w:t>
      </w:r>
      <w:r>
        <w:rPr>
          <w:rFonts w:hint="eastAsia" w:hAnsi="宋体"/>
          <w:color w:val="000000"/>
          <w:sz w:val="24"/>
          <w:szCs w:val="24"/>
          <w:highlight w:val="none"/>
        </w:rPr>
        <w:t xml:space="preserve">三</w:t>
      </w:r>
      <w:r>
        <w:rPr>
          <w:rFonts w:hAnsi="宋体"/>
          <w:color w:val="000000"/>
          <w:sz w:val="24"/>
          <w:szCs w:val="24"/>
          <w:highlight w:val="none"/>
        </w:rPr>
        <w:t xml:space="preserve">方应通过友好协商，确定是否继续</w:t>
      </w:r>
      <w:r>
        <w:rPr>
          <w:rFonts w:hAnsi="宋体"/>
          <w:color w:val="000000"/>
          <w:sz w:val="24"/>
          <w:szCs w:val="24"/>
          <w:highlight w:val="none"/>
        </w:rPr>
      </w:r>
      <w:r/>
    </w:p>
    <w:p>
      <w:pPr>
        <w:pStyle w:val="1331"/>
        <w:spacing w:line="440" w:lineRule="exact"/>
        <w:rPr>
          <w:rFonts w:hAnsi="宋体"/>
          <w:color w:val="000000"/>
          <w:sz w:val="24"/>
          <w:szCs w:val="24"/>
          <w:highlight w:val="none"/>
        </w:rPr>
      </w:pPr>
      <w:r>
        <w:rPr>
          <w:rFonts w:hAnsi="宋体"/>
          <w:color w:val="000000"/>
          <w:sz w:val="24"/>
          <w:szCs w:val="24"/>
          <w:highlight w:val="none"/>
        </w:rPr>
        <w:t xml:space="preserve">履行合同。</w:t>
      </w:r>
      <w:r>
        <w:rPr>
          <w:rFonts w:hAnsi="宋体"/>
          <w:color w:val="000000"/>
          <w:sz w:val="24"/>
          <w:szCs w:val="24"/>
          <w:highlight w:val="none"/>
        </w:rPr>
      </w:r>
      <w:r/>
    </w:p>
    <w:p>
      <w:pPr>
        <w:pStyle w:val="1331"/>
        <w:ind w:left="602" w:hanging="602"/>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1331"/>
        <w:ind w:left="839" w:hanging="360"/>
        <w:spacing w:line="440" w:lineRule="exact"/>
        <w:rPr>
          <w:rFonts w:hint="eastAsia" w:hAnsi="宋体"/>
          <w:color w:val="000000"/>
          <w:sz w:val="24"/>
          <w:szCs w:val="24"/>
          <w:highlight w:val="none"/>
        </w:rPr>
      </w:pPr>
      <w:r>
        <w:rPr>
          <w:rFonts w:hint="eastAsia" w:hAnsi="宋体"/>
          <w:color w:val="000000"/>
          <w:sz w:val="24"/>
          <w:szCs w:val="24"/>
          <w:highlight w:val="none"/>
        </w:rPr>
        <w:t xml:space="preserve">14.1三方在签订、履行合同中所发生的一切争议，应通过友好协商解决。如协</w:t>
      </w:r>
      <w:r>
        <w:rPr>
          <w:rFonts w:hint="eastAsia" w:hAnsi="宋体"/>
          <w:color w:val="000000"/>
          <w:sz w:val="24"/>
          <w:szCs w:val="24"/>
          <w:highlight w:val="none"/>
        </w:rPr>
      </w:r>
      <w:r/>
    </w:p>
    <w:p>
      <w:pPr>
        <w:pStyle w:val="1331"/>
        <w:spacing w:line="440" w:lineRule="exact"/>
        <w:rPr>
          <w:rFonts w:hint="eastAsia" w:hAnsi="宋体"/>
          <w:color w:val="000000"/>
          <w:sz w:val="24"/>
          <w:szCs w:val="24"/>
          <w:highlight w:val="none"/>
        </w:rPr>
      </w:pPr>
      <w:r>
        <w:rPr>
          <w:rFonts w:hint="eastAsia" w:hAnsi="宋体"/>
          <w:color w:val="000000"/>
          <w:sz w:val="24"/>
          <w:szCs w:val="24"/>
          <w:highlight w:val="none"/>
        </w:rPr>
        <w:t xml:space="preserve">商不成，由甲方住所地人民法院管辖。</w:t>
      </w:r>
      <w:r>
        <w:rPr>
          <w:rFonts w:hint="eastAsia" w:hAnsi="宋体"/>
          <w:color w:val="000000"/>
          <w:sz w:val="24"/>
          <w:szCs w:val="24"/>
          <w:highlight w:val="none"/>
        </w:rPr>
      </w:r>
      <w:r/>
    </w:p>
    <w:p>
      <w:pPr>
        <w:pStyle w:val="1331"/>
        <w:ind w:left="602" w:hanging="602"/>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五</w:t>
      </w:r>
      <w:r>
        <w:rPr>
          <w:rFonts w:hAnsi="宋体"/>
          <w:b/>
          <w:color w:val="000000"/>
          <w:sz w:val="24"/>
          <w:szCs w:val="24"/>
          <w:highlight w:val="none"/>
        </w:rPr>
        <w:t xml:space="preserve">、合同</w:t>
      </w:r>
      <w:r>
        <w:rPr>
          <w:rFonts w:hint="eastAsia" w:hAnsi="宋体"/>
          <w:b/>
          <w:color w:val="000000"/>
          <w:sz w:val="24"/>
          <w:szCs w:val="24"/>
          <w:highlight w:val="none"/>
        </w:rPr>
        <w:t xml:space="preserve">生效及其他</w:t>
      </w:r>
      <w:r>
        <w:rPr>
          <w:rFonts w:hAnsi="宋体"/>
          <w:b/>
          <w:color w:val="000000"/>
          <w:sz w:val="24"/>
          <w:szCs w:val="24"/>
          <w:highlight w:val="none"/>
        </w:rPr>
      </w:r>
      <w:r/>
    </w:p>
    <w:p>
      <w:pPr>
        <w:pStyle w:val="1331"/>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15.1由于非</w:t>
      </w:r>
      <w:r>
        <w:rPr>
          <w:rFonts w:hint="eastAsia" w:hAnsi="宋体"/>
          <w:bCs/>
          <w:color w:val="000000"/>
          <w:sz w:val="24"/>
          <w:szCs w:val="24"/>
          <w:highlight w:val="none"/>
        </w:rPr>
        <w:t xml:space="preserve">丙方</w:t>
      </w:r>
      <w:r>
        <w:rPr>
          <w:rFonts w:hint="eastAsia" w:hAnsi="宋体"/>
          <w:color w:val="000000"/>
          <w:sz w:val="24"/>
          <w:szCs w:val="24"/>
          <w:highlight w:val="none"/>
        </w:rPr>
        <w:t xml:space="preserve">的原因导致合同期延长，甲、乙及丙方三方应按约定签订补充</w:t>
      </w:r>
      <w:r>
        <w:rPr>
          <w:rFonts w:hint="eastAsia" w:hAnsi="宋体"/>
          <w:color w:val="000000"/>
          <w:sz w:val="24"/>
          <w:szCs w:val="24"/>
          <w:highlight w:val="none"/>
        </w:rPr>
      </w:r>
      <w:r/>
    </w:p>
    <w:p>
      <w:pPr>
        <w:pStyle w:val="1331"/>
        <w:spacing w:line="440" w:lineRule="exact"/>
        <w:rPr>
          <w:rFonts w:hAnsi="宋体"/>
          <w:color w:val="000000"/>
          <w:sz w:val="24"/>
          <w:szCs w:val="24"/>
          <w:highlight w:val="none"/>
        </w:rPr>
      </w:pPr>
      <w:r>
        <w:rPr>
          <w:rFonts w:hint="eastAsia" w:hAnsi="宋体"/>
          <w:color w:val="000000"/>
          <w:sz w:val="24"/>
          <w:szCs w:val="24"/>
          <w:highlight w:val="none"/>
        </w:rPr>
        <w:t xml:space="preserve">协议。</w:t>
      </w:r>
      <w:r>
        <w:rPr>
          <w:rFonts w:hAnsi="宋体"/>
          <w:color w:val="000000"/>
          <w:sz w:val="24"/>
          <w:szCs w:val="24"/>
          <w:highlight w:val="none"/>
        </w:rPr>
      </w:r>
      <w:r/>
    </w:p>
    <w:p>
      <w:pPr>
        <w:pStyle w:val="1331"/>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15.2若实际成交量或合同期因故发生重大变化，三方均可提出合同变更请</w:t>
      </w:r>
      <w:r>
        <w:rPr>
          <w:rFonts w:hint="eastAsia" w:hAnsi="宋体"/>
          <w:color w:val="000000"/>
          <w:sz w:val="24"/>
          <w:szCs w:val="24"/>
          <w:highlight w:val="none"/>
        </w:rPr>
      </w:r>
      <w:r/>
    </w:p>
    <w:p>
      <w:pPr>
        <w:pStyle w:val="1331"/>
        <w:spacing w:line="440" w:lineRule="exact"/>
        <w:rPr>
          <w:rFonts w:hAnsi="宋体"/>
          <w:color w:val="000000"/>
          <w:sz w:val="24"/>
          <w:szCs w:val="24"/>
          <w:highlight w:val="none"/>
        </w:rPr>
      </w:pPr>
      <w:r>
        <w:rPr>
          <w:rFonts w:hint="eastAsia" w:hAnsi="宋体"/>
          <w:color w:val="000000"/>
          <w:sz w:val="24"/>
          <w:szCs w:val="24"/>
          <w:highlight w:val="none"/>
        </w:rPr>
        <w:t xml:space="preserve">求并应签订补充协议，但所有补充协议总金额不得超过原合同总金额的10%。</w:t>
      </w:r>
      <w:r>
        <w:rPr>
          <w:rFonts w:hAnsi="宋体"/>
          <w:color w:val="000000"/>
          <w:sz w:val="24"/>
          <w:szCs w:val="24"/>
          <w:highlight w:val="none"/>
        </w:rPr>
      </w:r>
      <w:r/>
    </w:p>
    <w:p>
      <w:pPr>
        <w:pStyle w:val="1331"/>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15.3</w:t>
      </w:r>
      <w:r>
        <w:rPr>
          <w:rFonts w:hint="eastAsia" w:hAnsi="宋体" w:cs="Courier New"/>
          <w:color w:val="000000"/>
          <w:sz w:val="24"/>
          <w:szCs w:val="24"/>
          <w:highlight w:val="none"/>
        </w:rPr>
        <w:t xml:space="preserve">甲方</w:t>
      </w:r>
      <w:r>
        <w:rPr>
          <w:rFonts w:hint="eastAsia" w:hAnsi="宋体"/>
          <w:color w:val="000000"/>
          <w:sz w:val="24"/>
          <w:szCs w:val="24"/>
          <w:highlight w:val="none"/>
        </w:rPr>
        <w:t xml:space="preserve">招标文件、</w:t>
      </w:r>
      <w:r>
        <w:rPr>
          <w:rFonts w:hint="eastAsia" w:hAnsi="宋体"/>
          <w:bCs/>
          <w:color w:val="000000"/>
          <w:sz w:val="24"/>
          <w:szCs w:val="24"/>
          <w:highlight w:val="none"/>
        </w:rPr>
        <w:t xml:space="preserve">丙方</w:t>
      </w:r>
      <w:r>
        <w:rPr>
          <w:rFonts w:hint="eastAsia" w:hAnsi="宋体"/>
          <w:color w:val="000000"/>
          <w:sz w:val="24"/>
          <w:szCs w:val="24"/>
          <w:highlight w:val="none"/>
        </w:rPr>
        <w:t xml:space="preserve">投标文件、会议记录均为本合同的组成部分，具</w:t>
      </w:r>
      <w:r>
        <w:rPr>
          <w:rFonts w:hint="eastAsia" w:hAnsi="宋体"/>
          <w:color w:val="000000"/>
          <w:sz w:val="24"/>
          <w:szCs w:val="24"/>
          <w:highlight w:val="none"/>
        </w:rPr>
      </w:r>
      <w:r/>
    </w:p>
    <w:p>
      <w:pPr>
        <w:pStyle w:val="1331"/>
        <w:spacing w:line="440" w:lineRule="exact"/>
        <w:rPr>
          <w:rFonts w:hAnsi="宋体"/>
          <w:color w:val="000000"/>
          <w:sz w:val="24"/>
          <w:szCs w:val="24"/>
          <w:highlight w:val="none"/>
        </w:rPr>
      </w:pPr>
      <w:r>
        <w:rPr>
          <w:rFonts w:hint="eastAsia" w:hAnsi="宋体"/>
          <w:color w:val="000000"/>
          <w:sz w:val="24"/>
          <w:szCs w:val="24"/>
          <w:highlight w:val="none"/>
        </w:rPr>
        <w:t xml:space="preserve">有同等法律效力。</w:t>
      </w:r>
      <w:r>
        <w:rPr>
          <w:rFonts w:hAnsi="宋体"/>
          <w:color w:val="000000"/>
          <w:sz w:val="24"/>
          <w:szCs w:val="24"/>
          <w:highlight w:val="none"/>
        </w:rPr>
      </w:r>
      <w:r/>
    </w:p>
    <w:p>
      <w:pPr>
        <w:pStyle w:val="1331"/>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15.4本合同经各方签字盖章即生效，并自签订之日起七个工作日内，政府</w:t>
      </w:r>
      <w:r>
        <w:rPr>
          <w:rFonts w:hint="eastAsia" w:hAnsi="宋体"/>
          <w:color w:val="000000"/>
          <w:sz w:val="24"/>
          <w:szCs w:val="24"/>
          <w:highlight w:val="none"/>
        </w:rPr>
      </w:r>
      <w:r/>
    </w:p>
    <w:p>
      <w:pPr>
        <w:pStyle w:val="1331"/>
        <w:spacing w:line="440" w:lineRule="exact"/>
        <w:rPr>
          <w:rFonts w:hAnsi="宋体"/>
          <w:color w:val="000000"/>
          <w:sz w:val="24"/>
          <w:szCs w:val="24"/>
          <w:highlight w:val="none"/>
        </w:rPr>
      </w:pPr>
      <w:r>
        <w:rPr>
          <w:rFonts w:hint="eastAsia" w:hAnsi="宋体"/>
          <w:color w:val="000000"/>
          <w:sz w:val="24"/>
          <w:szCs w:val="24"/>
          <w:highlight w:val="none"/>
        </w:rPr>
        <w:t xml:space="preserve">代理机构须将合同报政府监督管理部门备案，加盖“扬中市政府备案章”。</w:t>
      </w:r>
      <w:r>
        <w:rPr>
          <w:rFonts w:hAnsi="宋体"/>
          <w:color w:val="000000"/>
          <w:sz w:val="24"/>
          <w:szCs w:val="24"/>
          <w:highlight w:val="none"/>
        </w:rPr>
      </w:r>
      <w:r/>
    </w:p>
    <w:p>
      <w:pPr>
        <w:pStyle w:val="1331"/>
        <w:ind w:left="599" w:hanging="120"/>
        <w:spacing w:line="440" w:lineRule="exact"/>
        <w:rPr>
          <w:rFonts w:hAnsi="宋体"/>
          <w:color w:val="000000"/>
          <w:sz w:val="24"/>
          <w:szCs w:val="24"/>
          <w:highlight w:val="none"/>
        </w:rPr>
      </w:pPr>
      <w:r>
        <w:rPr>
          <w:rFonts w:hint="eastAsia" w:hAnsi="宋体"/>
          <w:color w:val="000000"/>
          <w:sz w:val="24"/>
          <w:szCs w:val="24"/>
          <w:highlight w:val="none"/>
        </w:rPr>
        <w:t xml:space="preserve">15.5本合同一式捌份，甲方、乙方、丙方各执2份、政府代理机构、政府监督管理部门各执1份。</w:t>
      </w:r>
      <w:r>
        <w:rPr>
          <w:rFonts w:hAnsi="宋体"/>
          <w:color w:val="000000"/>
          <w:sz w:val="24"/>
          <w:szCs w:val="24"/>
          <w:highlight w:val="none"/>
        </w:rPr>
      </w:r>
      <w:r/>
    </w:p>
    <w:p>
      <w:pPr>
        <w:pStyle w:val="1316"/>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甲方：（盖章）　　　　   　　            乙方：（盖章）</w:t>
      </w:r>
      <w:r>
        <w:rPr>
          <w:rFonts w:ascii="宋体" w:hAnsi="宋体" w:cs="Courier New"/>
          <w:color w:val="000000"/>
          <w:sz w:val="24"/>
          <w:szCs w:val="24"/>
          <w:highlight w:val="none"/>
        </w:rPr>
      </w:r>
      <w:r/>
    </w:p>
    <w:p>
      <w:pPr>
        <w:pStyle w:val="1316"/>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w:t>
      </w:r>
      <w:r>
        <w:rPr>
          <w:rFonts w:ascii="宋体" w:hAnsi="宋体" w:cs="Courier New"/>
          <w:color w:val="000000"/>
          <w:sz w:val="24"/>
          <w:szCs w:val="24"/>
          <w:highlight w:val="none"/>
        </w:rPr>
      </w:r>
      <w:r/>
    </w:p>
    <w:p>
      <w:pPr>
        <w:pStyle w:val="1316"/>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地址：</w:t>
      </w:r>
      <w:r>
        <w:rPr>
          <w:rFonts w:ascii="宋体" w:hAnsi="宋体" w:cs="Courier New"/>
          <w:color w:val="000000"/>
          <w:sz w:val="24"/>
          <w:szCs w:val="24"/>
          <w:highlight w:val="none"/>
        </w:rPr>
      </w:r>
      <w:r/>
    </w:p>
    <w:p>
      <w:pPr>
        <w:pStyle w:val="1316"/>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 年 月 日                签约日期： 年 月 日</w:t>
      </w:r>
      <w:r>
        <w:rPr>
          <w:rFonts w:ascii="宋体" w:hAnsi="宋体" w:cs="Courier New"/>
          <w:color w:val="000000"/>
          <w:sz w:val="24"/>
          <w:szCs w:val="24"/>
          <w:highlight w:val="none"/>
        </w:rPr>
      </w:r>
      <w:r/>
    </w:p>
    <w:p>
      <w:pPr>
        <w:pStyle w:val="1316"/>
        <w:jc w:val="left"/>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1316"/>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丙方：（盖章）                       代理（盖章）： </w:t>
      </w:r>
      <w:r>
        <w:rPr>
          <w:rFonts w:ascii="宋体" w:hAnsi="宋体" w:cs="Courier New"/>
          <w:color w:val="000000"/>
          <w:sz w:val="24"/>
          <w:szCs w:val="24"/>
          <w:highlight w:val="none"/>
        </w:rPr>
      </w:r>
      <w:r/>
    </w:p>
    <w:p>
      <w:pPr>
        <w:pStyle w:val="1316"/>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　</w:t>
      </w:r>
      <w:r>
        <w:rPr>
          <w:rFonts w:ascii="宋体" w:hAnsi="宋体" w:cs="Courier New"/>
          <w:color w:val="000000"/>
          <w:sz w:val="24"/>
          <w:szCs w:val="24"/>
          <w:highlight w:val="none"/>
        </w:rPr>
      </w:r>
      <w:r/>
    </w:p>
    <w:p>
      <w:pPr>
        <w:pStyle w:val="1316"/>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地址：             </w:t>
      </w:r>
      <w:r>
        <w:rPr>
          <w:rFonts w:ascii="宋体" w:hAnsi="宋体" w:cs="Courier New"/>
          <w:color w:val="000000"/>
          <w:sz w:val="24"/>
          <w:szCs w:val="24"/>
          <w:highlight w:val="none"/>
        </w:rPr>
      </w:r>
      <w:r/>
    </w:p>
    <w:p>
      <w:pPr>
        <w:pStyle w:val="1316"/>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 年 月 日                  签约日期： 年 月 日           </w:t>
      </w:r>
      <w:r>
        <w:rPr>
          <w:rFonts w:ascii="宋体" w:hAnsi="宋体" w:cs="Courier New"/>
          <w:color w:val="000000"/>
          <w:sz w:val="24"/>
          <w:szCs w:val="24"/>
          <w:highlight w:val="none"/>
        </w:rPr>
      </w:r>
      <w:r/>
    </w:p>
    <w:p>
      <w:pPr>
        <w:pStyle w:val="1316"/>
        <w:rPr>
          <w:color w:val="000000"/>
          <w:highlight w:val="none"/>
        </w:rPr>
      </w:pPr>
      <w:r>
        <w:rPr>
          <w:color w:val="000000"/>
          <w:highlight w:val="none"/>
        </w:rPr>
      </w:r>
      <w:r/>
    </w:p>
    <w:p>
      <w:pPr>
        <w:pStyle w:val="1316"/>
        <w:rPr>
          <w:rFonts w:hint="eastAsia" w:ascii="宋体" w:hAnsi="宋体" w:cs="Courier New"/>
          <w:b/>
          <w:bCs/>
          <w:color w:val="000000"/>
          <w:sz w:val="24"/>
          <w:szCs w:val="24"/>
          <w:highlight w:val="none"/>
        </w:rPr>
      </w:pPr>
      <w:r>
        <w:rPr>
          <w:rFonts w:hint="eastAsia" w:ascii="宋体" w:hAnsi="宋体" w:cs="Courier New"/>
          <w:b/>
          <w:bCs/>
          <w:color w:val="000000"/>
          <w:sz w:val="24"/>
          <w:szCs w:val="24"/>
          <w:highlight w:val="none"/>
        </w:rPr>
        <w:t xml:space="preserve">附件：项目分项报价清单</w:t>
      </w:r>
      <w:r>
        <w:rPr>
          <w:rFonts w:hint="eastAsia" w:ascii="宋体" w:hAnsi="宋体" w:cs="Courier New"/>
          <w:b/>
          <w:bCs/>
          <w:color w:val="000000"/>
          <w:sz w:val="24"/>
          <w:szCs w:val="24"/>
          <w:highlight w:val="none"/>
        </w:rPr>
      </w:r>
      <w:r/>
    </w:p>
    <w:p>
      <w:pPr>
        <w:pStyle w:val="1316"/>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1316"/>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1328"/>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1330"/>
        <w:rPr>
          <w:rFonts w:hint="eastAsia" w:hAnsi="宋体" w:cs="Courier New"/>
          <w:color w:val="000000"/>
          <w:highlight w:val="none"/>
        </w:rPr>
      </w:pPr>
      <w:r>
        <w:rPr>
          <w:rFonts w:hint="eastAsia" w:hAnsi="宋体" w:cs="Courier New"/>
          <w:color w:val="000000"/>
          <w:highlight w:val="none"/>
        </w:rPr>
      </w:r>
      <w:r/>
    </w:p>
    <w:p>
      <w:pPr>
        <w:pStyle w:val="1330"/>
        <w:rPr>
          <w:rFonts w:hint="eastAsia" w:hAnsi="宋体" w:cs="Courier New"/>
          <w:color w:val="000000"/>
          <w:highlight w:val="none"/>
        </w:rPr>
      </w:pPr>
      <w:r>
        <w:rPr>
          <w:rFonts w:hint="eastAsia" w:hAnsi="宋体" w:cs="Courier New"/>
          <w:color w:val="000000"/>
          <w:highlight w:val="none"/>
        </w:rPr>
      </w:r>
      <w:r/>
    </w:p>
    <w:p>
      <w:pPr>
        <w:pStyle w:val="1331"/>
        <w:jc w:val="center"/>
        <w:spacing w:before="120" w:after="120" w:line="440" w:lineRule="exact"/>
        <w:rPr>
          <w:rFonts w:hint="eastAsia" w:hAnsi="宋体"/>
          <w:color w:val="000000"/>
          <w:sz w:val="24"/>
          <w:szCs w:val="24"/>
          <w:highlight w:val="none"/>
        </w:rPr>
      </w:pPr>
      <w:r/>
      <w:bookmarkEnd w:id="188"/>
      <w:r/>
      <w:bookmarkEnd w:id="189"/>
      <w:r/>
      <w:bookmarkEnd w:id="190"/>
      <w:r/>
      <w:bookmarkStart w:id="193" w:name="_Hlt16619350"/>
      <w:r/>
      <w:bookmarkStart w:id="194" w:name="_Toc120614244"/>
      <w:r/>
      <w:bookmarkStart w:id="195" w:name="_Toc16938590"/>
      <w:r/>
      <w:bookmarkStart w:id="196" w:name="_Toc20823346"/>
      <w:r/>
      <w:bookmarkStart w:id="197" w:name="_Toc462564139"/>
      <w:r/>
      <w:bookmarkStart w:id="198" w:name="_Toc479757211"/>
      <w:r>
        <w:rPr>
          <w:rFonts w:hint="eastAsia" w:ascii="黑体" w:eastAsia="黑体"/>
          <w:bCs/>
          <w:color w:val="000000"/>
          <w:sz w:val="32"/>
          <w:szCs w:val="32"/>
          <w:highlight w:val="none"/>
        </w:rPr>
        <w:t xml:space="preserve">第</w:t>
      </w:r>
      <w:bookmarkEnd w:id="193"/>
      <w:r>
        <w:rPr>
          <w:rFonts w:hint="eastAsia" w:ascii="黑体" w:eastAsia="黑体"/>
          <w:bCs/>
          <w:color w:val="000000"/>
          <w:sz w:val="32"/>
          <w:szCs w:val="32"/>
          <w:highlight w:val="none"/>
        </w:rPr>
        <w:t xml:space="preserve">四章 招标需求</w:t>
      </w:r>
      <w:bookmarkEnd w:id="194"/>
      <w:r/>
      <w:bookmarkEnd w:id="195"/>
      <w:r/>
      <w:bookmarkEnd w:id="196"/>
      <w:r>
        <w:rPr>
          <w:rFonts w:hint="eastAsia" w:hAnsi="宋体"/>
          <w:color w:val="000000"/>
          <w:sz w:val="24"/>
          <w:szCs w:val="24"/>
          <w:highlight w:val="none"/>
        </w:rPr>
      </w:r>
      <w:r/>
    </w:p>
    <w:p>
      <w:pPr>
        <w:pStyle w:val="1316"/>
        <w:spacing w:line="360" w:lineRule="auto"/>
        <w:rPr>
          <w:rFonts w:hint="eastAsia" w:ascii="宋体" w:hAnsi="宋体" w:cs="宋体"/>
          <w:color w:val="000000"/>
          <w:sz w:val="24"/>
          <w:szCs w:val="24"/>
          <w:highlight w:val="none"/>
        </w:rPr>
      </w:pPr>
      <w:r/>
      <w:bookmarkStart w:id="199" w:name="_Toc26554093"/>
      <w:r/>
      <w:bookmarkStart w:id="200" w:name="_Toc49090575"/>
      <w:r>
        <w:rPr>
          <w:rFonts w:hint="eastAsia" w:ascii="宋体" w:hAnsi="宋体" w:cs="宋体"/>
          <w:color w:val="000000"/>
          <w:sz w:val="24"/>
          <w:szCs w:val="24"/>
          <w:highlight w:val="none"/>
        </w:rPr>
        <w:t xml:space="preserve">项目属性:货物类项目。</w:t>
      </w:r>
      <w:bookmarkStart w:id="201" w:name="_Toc120614281"/>
      <w:r>
        <w:rPr>
          <w:rFonts w:hint="eastAsia" w:ascii="宋体" w:hAnsi="宋体" w:cs="宋体"/>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bookmarkStart w:id="202" w:name="_Toc29535"/>
      <w:r>
        <w:rPr>
          <w:rFonts w:hint="eastAsia" w:ascii="宋体" w:hAnsi="宋体" w:cs="宋体"/>
          <w:bCs/>
          <w:color w:val="000000"/>
          <w:sz w:val="24"/>
          <w:szCs w:val="24"/>
          <w:highlight w:val="none"/>
        </w:rPr>
        <w:t xml:space="preserve">一、项目要求及采购清单</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贯彻落实国家发展改革委、国家卫生健康委“两新”政策，坚持需求与质量导向，健全工作机制、强化保障、狠抓落实，统筹推进县域医共体设备更新。规范项目实施，严把设备采购质价关，确保项目有序见效，为县域医疗卫生高质量发展提供坚实保障。</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一标段：扬中市中医院麻醉机1台及八桥中心卫生院麻醉呼吸机1台采购，共2台；</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二标段：扬中市中医院碎石机1台采购；</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三标段：扬中市中医院监护仪1台采购；</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四标段：扬中市中医院除颤仪1台采购；</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五标段：扬中市中医院口腔CT1台采购；</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六标段：三茅街道社区卫生服务中心麻醉机1台采购；</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七标段：三茅街道社区卫生服务中心心电图机1台采购；</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八标段：三茅街道社区卫生服务中心手术室监护仪1台采购；</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九标段：三茅街道社区卫生服务中心多功能心脏除颤仪1台采购；</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十标段：西来桥镇卫生院彩色超声诊断系统1台采购；</w:t>
      </w:r>
      <w:r>
        <w:rPr>
          <w:rFonts w:hint="eastAsia" w:ascii="宋体" w:hAnsi="宋体" w:cs="宋体"/>
          <w:bCs/>
          <w:color w:val="000000"/>
          <w:sz w:val="24"/>
          <w:szCs w:val="24"/>
          <w:highlight w:val="none"/>
        </w:rPr>
      </w:r>
      <w:r/>
    </w:p>
    <w:p>
      <w:pPr>
        <w:pStyle w:val="1396"/>
        <w:ind w:firstLine="482"/>
        <w:spacing w:line="360" w:lineRule="auto"/>
        <w:tabs>
          <w:tab w:val="center" w:pos="4153" w:leader="none"/>
          <w:tab w:val="right" w:pos="8306"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注：使用综合评分法的采购项目，核心产品提供相同品牌产品且通过资格审查、符合性审查的不同投标人参加同一合同项下投标的，按一家投标</w:t>
      </w:r>
      <w:r>
        <w:rPr>
          <w:rFonts w:hint="eastAsia" w:ascii="宋体" w:hAnsi="宋体" w:cs="宋体"/>
          <w:b/>
          <w:color w:val="000000"/>
          <w:sz w:val="24"/>
          <w:szCs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b/>
          <w:color w:val="000000"/>
          <w:sz w:val="24"/>
          <w:szCs w:val="24"/>
          <w:highlight w:val="none"/>
        </w:rPr>
      </w:r>
      <w:r/>
    </w:p>
    <w:p>
      <w:pPr>
        <w:pStyle w:val="1396"/>
        <w:numPr>
          <w:ilvl w:val="0"/>
          <w:numId w:val="8"/>
        </w:numPr>
        <w:spacing w:line="360" w:lineRule="auto"/>
        <w:tabs>
          <w:tab w:val="center" w:pos="4153" w:leader="none"/>
          <w:tab w:val="right" w:pos="8306" w:leader="none"/>
        </w:tabs>
        <w:rPr>
          <w:rFonts w:hint="eastAsia" w:ascii="宋体" w:hAnsi="宋体" w:cs="宋体"/>
          <w:bCs/>
          <w:color w:val="000000"/>
          <w:sz w:val="24"/>
          <w:szCs w:val="24"/>
          <w:highlight w:val="none"/>
        </w:rPr>
      </w:pPr>
      <w:r/>
      <w:bookmarkEnd w:id="202"/>
      <w:r>
        <w:rPr>
          <w:rFonts w:hint="eastAsia" w:ascii="宋体" w:hAnsi="宋体" w:cs="宋体"/>
          <w:bCs/>
          <w:color w:val="000000"/>
          <w:sz w:val="24"/>
          <w:szCs w:val="24"/>
          <w:highlight w:val="none"/>
        </w:rPr>
        <w:t xml:space="preserve">技术参数</w:t>
      </w:r>
      <w:r>
        <w:rPr>
          <w:rFonts w:hint="eastAsia" w:ascii="宋体" w:hAnsi="宋体" w:cs="宋体"/>
          <w:bCs/>
          <w:color w:val="000000"/>
          <w:sz w:val="24"/>
          <w:szCs w:val="24"/>
          <w:highlight w:val="none"/>
        </w:rPr>
      </w:r>
      <w:r/>
    </w:p>
    <w:p>
      <w:pPr>
        <w:pStyle w:val="1396"/>
        <w:ind w:firstLine="482"/>
        <w:spacing w:line="360" w:lineRule="auto"/>
        <w:tabs>
          <w:tab w:val="center" w:pos="4153" w:leader="none"/>
          <w:tab w:val="right" w:pos="8306"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3.1一标段：扬中市中医院麻醉机1台及八桥中心卫生院麻醉呼吸机1台（核心产品：麻醉机）；</w:t>
      </w:r>
      <w:r>
        <w:rPr>
          <w:rFonts w:hint="eastAsia" w:ascii="宋体" w:hAnsi="宋体" w:cs="宋体"/>
          <w:b/>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3.1.1系统性能</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（1）★≥15寸一体化彩色触摸屏，可快捷切换配置视图。</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（2）电源：100-240伏特、50/60赫兹，内置后备电池以供断电时使用续航时间≥120分钟。</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（3）备用手动通气模式：触摸屏或呼吸机故障时，可直接切换到手动通气。在保留新鲜气体和麻药持续输送的同时还能继续气体和通气的监测， 保证安全。</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（4）至少配有2个RS232、1个USB、1个RJ45接口、便于数据传输。</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▲（5）适用于成人、儿童(注册证标明)</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（6）使用年限≥10年。</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3.1.2气体输送与呼吸回路系统</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（1）采用新鲜气体隔离技术或动态潮气量补偿功能，确保潮气量输送不受新鲜气体流量变化影响。</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（2）可分别设置每种新鲜气体的流量，在关机时也能输送氧气和麻药用于进行手动通气。</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▲（3）采用高精度呼吸机，潮气量输送精准。</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（4）集成式呼吸回路耐137℃高温蒸汽灭菌，带有回路加热系统(可关闭)，有效防止回路积水CO2吸收罐容量≤1.5升。</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（5）标配主动式麻醉废气排放装置。</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▲（6）配置一个主机七氟醚挥发罐，每次加药量≥300毫升，可选配地氟醚挥发罐。</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3.1.3通气设置参数与监测报警</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（1）容量控制模式下最小潮气量设置值≤10 ml；</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（2）呼气末正压PEEP：关，2 - 35cmH2O；呼吸频率: 3 - 100次/分；平台时间与吸气时间比：0 - 60 %；</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▲（3）最大吸气流速为≥120 L/min。</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（4）全自动的开机自检及顺应性和泄漏测试，自动标定所有传感器；可根据身高自动计算理想体重并据此预设相关通气参数和报警值。</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（5）通气模式：手动/自主、容量控制通气、压力控制通气模式、待机、心脏旁路模式。</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（6）★具备呼末二氧化碳ETCO2和麻醉气体浓度监测，顺磁氧技术监测氧浓度，无需氧电池。</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▲（7）采用高精度流量传感器，不受潮湿水汽影响，监测精确。</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（8）监测参数：分钟通气量、潮气量、呼吸频率、峰压、平台压、平均压、PEEP、顺应性、阻力、弹性阻力等；具有自动MAC监测和报警功能，自动激活MAC低报警。</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（9）流量传感器作为核心部件，需保证医院在使用寿命内终身免费更换。</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（10）报警参数：氧浓度、潮气量、分钟通气量、窒息、气道压力报警等。具有报警限值自动设置功能：可一键自动调节所有报警的设置限值。</w:t>
      </w:r>
      <w:r>
        <w:rPr>
          <w:rFonts w:hint="eastAsia" w:ascii="宋体" w:hAnsi="宋体" w:cs="宋体"/>
          <w:b w:val="0"/>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▲（11）电子流量计或高精度机械流量计。</w:t>
      </w:r>
      <w:r>
        <w:rPr>
          <w:rFonts w:hint="eastAsia" w:ascii="宋体" w:hAnsi="宋体" w:cs="宋体"/>
          <w:b w:val="0"/>
          <w:bCs/>
          <w:color w:val="000000"/>
          <w:sz w:val="24"/>
          <w:szCs w:val="24"/>
          <w:highlight w:val="none"/>
        </w:rPr>
      </w:r>
      <w:r/>
    </w:p>
    <w:p>
      <w:pPr>
        <w:pStyle w:val="1396"/>
        <w:ind w:firstLine="482"/>
        <w:spacing w:line="360" w:lineRule="auto"/>
        <w:tabs>
          <w:tab w:val="center" w:pos="4153" w:leader="none"/>
          <w:tab w:val="right" w:pos="8306"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3.2二标段：扬中市中医院碎石机1台（核心产品：碎石机）；</w:t>
      </w:r>
      <w:r>
        <w:rPr>
          <w:rFonts w:hint="eastAsia" w:ascii="宋体" w:hAnsi="宋体" w:cs="宋体"/>
          <w:b/>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3.2.1</w:t>
      </w:r>
      <w:r>
        <w:rPr>
          <w:rFonts w:ascii="宋体" w:hAnsi="宋体" w:cs="宋体"/>
          <w:bCs/>
          <w:color w:val="000000"/>
          <w:sz w:val="24"/>
          <w:szCs w:val="24"/>
          <w:highlight w:val="none"/>
        </w:rPr>
        <w:t xml:space="preserve">设备用途：用于粉碎、治疗泌尿系结石</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3.2.2</w:t>
      </w:r>
      <w:r>
        <w:rPr>
          <w:rFonts w:ascii="宋体" w:hAnsi="宋体" w:cs="宋体"/>
          <w:bCs/>
          <w:color w:val="000000"/>
          <w:sz w:val="24"/>
          <w:szCs w:val="24"/>
          <w:highlight w:val="none"/>
        </w:rPr>
        <w:t xml:space="preserve">技术参数：</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电磁式冲击波源：</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w:t>
      </w:r>
      <w:r>
        <w:rPr>
          <w:rFonts w:ascii="宋体" w:hAnsi="宋体" w:cs="宋体"/>
          <w:bCs/>
          <w:color w:val="000000"/>
          <w:sz w:val="24"/>
          <w:szCs w:val="24"/>
          <w:highlight w:val="none"/>
        </w:rPr>
        <w:t xml:space="preserve">★配置电磁式透镜聚焦冲击波源（上置式、提供证明文件）</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w:t>
      </w:r>
      <w:r>
        <w:rPr>
          <w:rFonts w:ascii="宋体" w:hAnsi="宋体" w:cs="宋体"/>
          <w:bCs/>
          <w:color w:val="000000"/>
          <w:sz w:val="24"/>
          <w:szCs w:val="24"/>
          <w:highlight w:val="none"/>
        </w:rPr>
        <w:t xml:space="preserve">高压放电治疗电压范围不小于：10kv-16kv,连续可调；</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w:t>
      </w:r>
      <w:r>
        <w:rPr>
          <w:rFonts w:ascii="宋体" w:hAnsi="宋体" w:cs="宋体"/>
          <w:bCs/>
          <w:color w:val="000000"/>
          <w:sz w:val="24"/>
          <w:szCs w:val="24"/>
          <w:highlight w:val="none"/>
        </w:rPr>
        <w:t xml:space="preserve">★高压放电电容储能最大值：≥128J；</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④</w:t>
      </w:r>
      <w:r>
        <w:rPr>
          <w:rFonts w:ascii="宋体" w:hAnsi="宋体" w:cs="宋体"/>
          <w:bCs/>
          <w:color w:val="000000"/>
          <w:sz w:val="24"/>
          <w:szCs w:val="24"/>
          <w:highlight w:val="none"/>
        </w:rPr>
        <w:t xml:space="preserve">冲击波压缩声压峰值的最大值≤60MPa；</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⑤</w:t>
      </w:r>
      <w:r>
        <w:rPr>
          <w:rFonts w:ascii="宋体" w:hAnsi="宋体" w:cs="宋体"/>
          <w:bCs/>
          <w:color w:val="000000"/>
          <w:sz w:val="24"/>
          <w:szCs w:val="24"/>
          <w:highlight w:val="none"/>
        </w:rPr>
        <w:t xml:space="preserve">▲电磁式冲击波源聚焦范围：径向≤±7.5mm，轴向≤±80mm ；（提供证明文件）</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⑥</w:t>
      </w:r>
      <w:r>
        <w:rPr>
          <w:rFonts w:ascii="宋体" w:hAnsi="宋体" w:cs="宋体"/>
          <w:bCs/>
          <w:color w:val="000000"/>
          <w:sz w:val="24"/>
          <w:szCs w:val="24"/>
          <w:highlight w:val="none"/>
        </w:rPr>
        <w:t xml:space="preserve">易损件要求：冲击波源、高压开关、高压电容可独立维修更换；</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⑦</w:t>
      </w:r>
      <w:r>
        <w:rPr>
          <w:rFonts w:ascii="宋体" w:hAnsi="宋体" w:cs="宋体"/>
          <w:bCs/>
          <w:color w:val="000000"/>
          <w:sz w:val="24"/>
          <w:szCs w:val="24"/>
          <w:highlight w:val="none"/>
        </w:rPr>
        <w:t xml:space="preserve">★治疗深度≥130mm；</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⑧</w:t>
      </w:r>
      <w:r>
        <w:rPr>
          <w:rFonts w:ascii="宋体" w:hAnsi="宋体" w:cs="宋体"/>
          <w:bCs/>
          <w:color w:val="000000"/>
          <w:sz w:val="24"/>
          <w:szCs w:val="24"/>
          <w:highlight w:val="none"/>
        </w:rPr>
        <w:t xml:space="preserve">▲波源摆动角度范围≥50°，波源半球面运动范围≥35°；</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⑨</w:t>
      </w:r>
      <w:r>
        <w:rPr>
          <w:rFonts w:ascii="宋体" w:hAnsi="宋体" w:cs="宋体"/>
          <w:bCs/>
          <w:color w:val="000000"/>
          <w:sz w:val="24"/>
          <w:szCs w:val="24"/>
          <w:highlight w:val="none"/>
        </w:rPr>
        <w:t xml:space="preserve">★带自动抽真空功能。</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双定位装置</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w:t>
      </w:r>
      <w:r>
        <w:rPr>
          <w:rFonts w:ascii="宋体" w:hAnsi="宋体" w:cs="宋体"/>
          <w:bCs/>
          <w:color w:val="000000"/>
          <w:sz w:val="24"/>
          <w:szCs w:val="24"/>
          <w:highlight w:val="none"/>
        </w:rPr>
        <w:t xml:space="preserve">超声电动定位装置（非人工）</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治疗床及波源运动参数</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w:t>
      </w:r>
      <w:r>
        <w:rPr>
          <w:rFonts w:ascii="宋体" w:hAnsi="宋体" w:cs="宋体"/>
          <w:bCs/>
          <w:color w:val="000000"/>
          <w:sz w:val="24"/>
          <w:szCs w:val="24"/>
          <w:highlight w:val="none"/>
        </w:rPr>
        <w:t xml:space="preserve">治疗床载重量不小于130kg；</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w:t>
      </w:r>
      <w:r>
        <w:rPr>
          <w:rFonts w:ascii="宋体" w:hAnsi="宋体" w:cs="宋体"/>
          <w:bCs/>
          <w:color w:val="000000"/>
          <w:sz w:val="24"/>
          <w:szCs w:val="24"/>
          <w:highlight w:val="none"/>
        </w:rPr>
        <w:t xml:space="preserve">治疗床与主机一体式（非分体式）；</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w:t>
      </w:r>
      <w:r>
        <w:rPr>
          <w:rFonts w:ascii="宋体" w:hAnsi="宋体" w:cs="宋体"/>
          <w:bCs/>
          <w:color w:val="000000"/>
          <w:sz w:val="24"/>
          <w:szCs w:val="24"/>
          <w:highlight w:val="none"/>
        </w:rPr>
        <w:t xml:space="preserve">▲波源横向运动范围：≥100mm；</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④</w:t>
      </w:r>
      <w:r>
        <w:rPr>
          <w:rFonts w:ascii="宋体" w:hAnsi="宋体" w:cs="宋体"/>
          <w:bCs/>
          <w:color w:val="000000"/>
          <w:sz w:val="24"/>
          <w:szCs w:val="24"/>
          <w:highlight w:val="none"/>
        </w:rPr>
        <w:t xml:space="preserve">▲波源纵向运动范围：≥100mm；</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⑤</w:t>
      </w:r>
      <w:r>
        <w:rPr>
          <w:rFonts w:ascii="宋体" w:hAnsi="宋体" w:cs="宋体"/>
          <w:bCs/>
          <w:color w:val="000000"/>
          <w:sz w:val="24"/>
          <w:szCs w:val="24"/>
          <w:highlight w:val="none"/>
        </w:rPr>
        <w:t xml:space="preserve">▲波源升降运动范围：≥200mm；</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⑥</w:t>
      </w:r>
      <w:r>
        <w:rPr>
          <w:rFonts w:ascii="宋体" w:hAnsi="宋体" w:cs="宋体"/>
          <w:bCs/>
          <w:color w:val="000000"/>
          <w:sz w:val="24"/>
          <w:szCs w:val="24"/>
          <w:highlight w:val="none"/>
        </w:rPr>
        <w:t xml:space="preserve">波源斜面运动范围：≥80mm；</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ascii="宋体" w:hAnsi="宋体" w:cs="宋体"/>
          <w:bCs/>
          <w:color w:val="000000"/>
          <w:sz w:val="24"/>
          <w:szCs w:val="24"/>
          <w:highlight w:val="none"/>
        </w:rPr>
        <w:t xml:space="preserve">操作系统：</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w:t>
      </w:r>
      <w:r>
        <w:rPr>
          <w:rFonts w:ascii="宋体" w:hAnsi="宋体" w:cs="宋体"/>
          <w:bCs/>
          <w:color w:val="000000"/>
          <w:sz w:val="24"/>
          <w:szCs w:val="24"/>
          <w:highlight w:val="none"/>
        </w:rPr>
        <w:t xml:space="preserve">触发频率范围不小于：0.5～2Hz，连续可调；</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w:t>
      </w:r>
      <w:r>
        <w:rPr>
          <w:rFonts w:ascii="宋体" w:hAnsi="宋体" w:cs="宋体"/>
          <w:bCs/>
          <w:color w:val="000000"/>
          <w:sz w:val="24"/>
          <w:szCs w:val="24"/>
          <w:highlight w:val="none"/>
        </w:rPr>
        <w:t xml:space="preserve">触发方式：手动、自动</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w:t>
      </w:r>
      <w:r>
        <w:rPr>
          <w:rFonts w:ascii="宋体" w:hAnsi="宋体" w:cs="宋体"/>
          <w:bCs/>
          <w:color w:val="000000"/>
          <w:sz w:val="24"/>
          <w:szCs w:val="24"/>
          <w:highlight w:val="none"/>
        </w:rPr>
        <w:t xml:space="preserve"> 摇杆操作装置</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ascii="宋体" w:hAnsi="宋体" w:cs="宋体"/>
          <w:bCs/>
          <w:color w:val="000000"/>
          <w:sz w:val="24"/>
          <w:szCs w:val="24"/>
          <w:highlight w:val="none"/>
        </w:rPr>
        <w:t xml:space="preserve">▲碎石定位用B超：带碎石定位中线，配碎石专用探头2只，凸阵探头：基波4段  2~5Mhz；谐波2段 2-6Mhz，扫描深度≥30cm。</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ascii="宋体" w:hAnsi="宋体" w:cs="宋体"/>
          <w:bCs/>
          <w:color w:val="000000"/>
          <w:sz w:val="24"/>
          <w:szCs w:val="24"/>
          <w:highlight w:val="none"/>
        </w:rPr>
        <w:t xml:space="preserve">设备使用寿命</w:t>
      </w:r>
      <w:r>
        <w:rPr>
          <w:rFonts w:hint="eastAsia" w:ascii="宋体" w:hAnsi="宋体" w:cs="宋体"/>
          <w:bCs/>
          <w:color w:val="000000"/>
          <w:sz w:val="24"/>
          <w:szCs w:val="24"/>
          <w:highlight w:val="none"/>
        </w:rPr>
        <w:t xml:space="preserve">至少</w:t>
      </w:r>
      <w:r>
        <w:rPr>
          <w:rFonts w:ascii="宋体" w:hAnsi="宋体" w:cs="宋体"/>
          <w:bCs/>
          <w:color w:val="000000"/>
          <w:sz w:val="24"/>
          <w:szCs w:val="24"/>
          <w:highlight w:val="none"/>
        </w:rPr>
        <w:t xml:space="preserve">10年（提供设备铭牌标签）</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w:t>
      </w:r>
      <w:r>
        <w:rPr>
          <w:rFonts w:ascii="宋体" w:hAnsi="宋体" w:cs="宋体"/>
          <w:bCs/>
          <w:color w:val="000000"/>
          <w:sz w:val="24"/>
          <w:szCs w:val="24"/>
          <w:highlight w:val="none"/>
        </w:rPr>
        <w:t xml:space="preserve">★配置</w:t>
      </w:r>
      <w:r>
        <w:rPr>
          <w:rFonts w:hint="eastAsia" w:ascii="宋体" w:hAnsi="宋体" w:cs="宋体"/>
          <w:bCs/>
          <w:color w:val="000000"/>
          <w:sz w:val="24"/>
          <w:szCs w:val="24"/>
          <w:highlight w:val="none"/>
        </w:rPr>
        <w:t xml:space="preserve">基本</w:t>
      </w:r>
      <w:r>
        <w:rPr>
          <w:rFonts w:ascii="宋体" w:hAnsi="宋体" w:cs="宋体"/>
          <w:bCs/>
          <w:color w:val="000000"/>
          <w:sz w:val="24"/>
          <w:szCs w:val="24"/>
          <w:highlight w:val="none"/>
        </w:rPr>
        <w:t xml:space="preserve">要求</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w:t>
      </w:r>
      <w:r>
        <w:rPr>
          <w:rFonts w:ascii="宋体" w:hAnsi="宋体" w:cs="宋体"/>
          <w:bCs/>
          <w:color w:val="000000"/>
          <w:sz w:val="24"/>
          <w:szCs w:val="24"/>
          <w:highlight w:val="none"/>
        </w:rPr>
        <w:t xml:space="preserve">主机（含电磁聚焦冲击波源、声学透镜、电容箱、水循环系统、超声定位操作台、智能化负压装置等 ）1套              </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w:t>
      </w:r>
      <w:r>
        <w:rPr>
          <w:rFonts w:ascii="宋体" w:hAnsi="宋体" w:cs="宋体"/>
          <w:bCs/>
          <w:color w:val="000000"/>
          <w:sz w:val="24"/>
          <w:szCs w:val="24"/>
          <w:highlight w:val="none"/>
        </w:rPr>
        <w:t xml:space="preserve">超声诊断仪1台，带碎石定位中线，配碎石专用探头2只。</w:t>
      </w:r>
      <w:r>
        <w:rPr>
          <w:rFonts w:ascii="宋体" w:hAnsi="宋体" w:cs="宋体"/>
          <w:bCs/>
          <w:color w:val="000000"/>
          <w:sz w:val="24"/>
          <w:szCs w:val="24"/>
          <w:highlight w:val="none"/>
        </w:rPr>
      </w:r>
      <w:r/>
    </w:p>
    <w:p>
      <w:pPr>
        <w:pStyle w:val="1396"/>
        <w:ind w:firstLine="482"/>
        <w:spacing w:line="360" w:lineRule="auto"/>
        <w:tabs>
          <w:tab w:val="center" w:pos="4153" w:leader="none"/>
          <w:tab w:val="right" w:pos="8306"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3.3三标段：扬中市中医院监护仪1台（核心产品：监护仪）；</w:t>
      </w:r>
      <w:r>
        <w:rPr>
          <w:rFonts w:hint="eastAsia" w:ascii="宋体" w:hAnsi="宋体" w:cs="宋体"/>
          <w:b/>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设备用于实时监测患者各项生命体征，基础监测功能包含双体温、心率、脉搏、血氧饱和度、双通道有创血压、无创血压监测；</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▲监护仪采用模块化插件式无风扇整体设计，主机、显示屏与插件槽一体化集成，设备插槽数量不少于 6 个；</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▲设备标准配置 CO₂监测模块、麻醉气体 AG 监测模块、BIS 脑电双频指数监测模块、NMT 神经肌肉阻滞监测模块、PICCO 脉搏轮廓心排监测模块；全部监测参数模块支持热插拔，每一处插槽均配置金属硬件通讯接口，保障模块数据传输速度与运行稳定；</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ascii="宋体" w:hAnsi="宋体" w:cs="宋体"/>
          <w:bCs/>
          <w:color w:val="000000"/>
          <w:sz w:val="24"/>
          <w:szCs w:val="24"/>
          <w:highlight w:val="none"/>
        </w:rPr>
        <w:t xml:space="preserve">配备不小于 15 英寸电容触摸屏，屏幕分辨率≥1920*1080，显示屏可根据环境光照自动调节亮度，支持手势滑动触控操作；</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ascii="宋体" w:hAnsi="宋体" w:cs="宋体"/>
          <w:bCs/>
          <w:color w:val="000000"/>
          <w:sz w:val="24"/>
          <w:szCs w:val="24"/>
          <w:highlight w:val="none"/>
        </w:rPr>
        <w:t xml:space="preserve">设备搭载内置可充电锂电池，持续供电时长不低于 2 小时；</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ascii="宋体" w:hAnsi="宋体" w:cs="宋体"/>
          <w:bCs/>
          <w:color w:val="000000"/>
          <w:sz w:val="24"/>
          <w:szCs w:val="24"/>
          <w:highlight w:val="none"/>
        </w:rPr>
        <w:t xml:space="preserve">监护仪机身配备不少于 4 个 USB 接口，可外接扫码枪、键鼠、遥控器、U 盘等外部设备，方便医护人员操作及监测数据导出；</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w:t>
      </w:r>
      <w:r>
        <w:rPr>
          <w:rFonts w:ascii="宋体" w:hAnsi="宋体" w:cs="宋体"/>
          <w:bCs/>
          <w:color w:val="000000"/>
          <w:sz w:val="24"/>
          <w:szCs w:val="24"/>
          <w:highlight w:val="none"/>
        </w:rPr>
        <w:t xml:space="preserve">▲监护仪可实现 4 通道心电信号实时动态同步分析，区别于静态导联分析模式；</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（8）</w:t>
      </w:r>
      <w:r>
        <w:rPr>
          <w:rFonts w:ascii="宋体" w:hAnsi="宋体" w:cs="宋体"/>
          <w:bCs/>
          <w:color w:val="000000"/>
          <w:sz w:val="24"/>
          <w:szCs w:val="24"/>
          <w:highlight w:val="none"/>
        </w:rPr>
        <w:t xml:space="preserve">▲具备多参数融合分析功能，可整合心电、有创血压、血氧、脉搏等多项参数综合运算，降低外界干扰带来的误报警情况，系统界面可清</w:t>
      </w:r>
      <w:r>
        <w:rPr>
          <w:rFonts w:hint="eastAsia" w:ascii="宋体" w:hAnsi="宋体" w:cs="宋体"/>
          <w:bCs/>
          <w:color w:val="000000"/>
          <w:sz w:val="24"/>
          <w:szCs w:val="24"/>
          <w:highlight w:val="none"/>
        </w:rPr>
        <w:t xml:space="preserve">晰地</w:t>
      </w:r>
      <w:r>
        <w:rPr>
          <w:rFonts w:ascii="宋体" w:hAnsi="宋体" w:cs="宋体"/>
          <w:bCs/>
          <w:color w:val="000000"/>
          <w:sz w:val="24"/>
          <w:szCs w:val="24"/>
          <w:highlight w:val="none"/>
        </w:rPr>
        <w:t xml:space="preserve">显示参与融合分析的各类参数来源；</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w:t>
      </w:r>
      <w:r>
        <w:rPr>
          <w:rFonts w:ascii="宋体" w:hAnsi="宋体" w:cs="宋体"/>
          <w:bCs/>
          <w:color w:val="000000"/>
          <w:sz w:val="24"/>
          <w:szCs w:val="24"/>
          <w:highlight w:val="none"/>
        </w:rPr>
        <w:t xml:space="preserve">▲可识别室性、室上性等各类常见心律失常，可输出室上性心动过速、每分钟室上性早搏数量等异常心电数值，满足临床精准诊疗需求；</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ascii="宋体" w:hAnsi="宋体" w:cs="宋体"/>
          <w:bCs/>
          <w:color w:val="000000"/>
          <w:sz w:val="24"/>
          <w:szCs w:val="24"/>
          <w:highlight w:val="none"/>
        </w:rPr>
        <w:t xml:space="preserve">无创血压支持手动、定时自动、连续、序列、整点自动等多种测量模式；</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（11）</w:t>
      </w:r>
      <w:r>
        <w:rPr>
          <w:rFonts w:ascii="宋体" w:hAnsi="宋体" w:cs="宋体"/>
          <w:bCs/>
          <w:color w:val="000000"/>
          <w:sz w:val="24"/>
          <w:szCs w:val="24"/>
          <w:highlight w:val="none"/>
        </w:rPr>
        <w:t xml:space="preserve">无创血压收缩压测量范围覆盖 25-290mmHg；</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w:t>
      </w:r>
      <w:r>
        <w:rPr>
          <w:rFonts w:ascii="宋体" w:hAnsi="宋体" w:cs="宋体"/>
          <w:bCs/>
          <w:color w:val="000000"/>
          <w:sz w:val="24"/>
          <w:szCs w:val="24"/>
          <w:highlight w:val="none"/>
        </w:rPr>
        <w:t xml:space="preserve">ECG 心电基础支持 3/5 导联监测，可额外选配 6/12 导联心电监测功能；</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w:t>
      </w:r>
      <w:r>
        <w:rPr>
          <w:rFonts w:ascii="宋体" w:hAnsi="宋体" w:cs="宋体"/>
          <w:bCs/>
          <w:color w:val="000000"/>
          <w:sz w:val="24"/>
          <w:szCs w:val="24"/>
          <w:highlight w:val="none"/>
        </w:rPr>
        <w:t xml:space="preserve">▲设备支持后期升级高端监测功能：双通道血氧、有创心排量（C.O.）、全脑电 EEG 监测、组织氧饱和度（rSO2）；</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（14）</w:t>
      </w:r>
      <w:r>
        <w:rPr>
          <w:rFonts w:ascii="宋体" w:hAnsi="宋体" w:cs="宋体"/>
          <w:bCs/>
          <w:color w:val="000000"/>
          <w:sz w:val="24"/>
          <w:szCs w:val="24"/>
          <w:highlight w:val="none"/>
        </w:rPr>
        <w:t xml:space="preserve">内置 ST 段分析功能，适用于成人、小儿、新生儿，独立窗口分区展示心脏前壁、下壁、侧壁 ST 段实时波形与标准参考波形；</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（15）</w:t>
      </w:r>
      <w:r>
        <w:rPr>
          <w:rFonts w:ascii="宋体" w:hAnsi="宋体" w:cs="宋体"/>
          <w:bCs/>
          <w:color w:val="000000"/>
          <w:sz w:val="24"/>
          <w:szCs w:val="24"/>
          <w:highlight w:val="none"/>
        </w:rPr>
        <w:t xml:space="preserve">标配转运监护模块，模块从主机插槽取下后可独立完成监护工作，可插入主机任意插槽使用，无固定插槽限制；</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（16）</w:t>
      </w:r>
      <w:r>
        <w:rPr>
          <w:rFonts w:ascii="宋体" w:hAnsi="宋体" w:cs="宋体"/>
          <w:bCs/>
          <w:color w:val="000000"/>
          <w:sz w:val="24"/>
          <w:szCs w:val="24"/>
          <w:highlight w:val="none"/>
        </w:rPr>
        <w:t xml:space="preserve">▲监护仪可依据患者实时监测参数变化趋势，自动匹配适配该患者的最优报警限值，实现个体化精准报警管控，无需人工统一设置固定报警阈值；</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（17）</w:t>
      </w:r>
      <w:r>
        <w:rPr>
          <w:rFonts w:ascii="宋体" w:hAnsi="宋体" w:cs="宋体"/>
          <w:bCs/>
          <w:color w:val="000000"/>
          <w:sz w:val="24"/>
          <w:szCs w:val="24"/>
          <w:highlight w:val="none"/>
        </w:rPr>
        <w:t xml:space="preserve">支持存储不少于 120 小时、采样精度 1 分钟的 ST 模板，可随时调取回顾；</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（18）</w:t>
      </w:r>
      <w:r>
        <w:rPr>
          <w:rFonts w:ascii="宋体" w:hAnsi="宋体" w:cs="宋体"/>
          <w:bCs/>
          <w:color w:val="000000"/>
          <w:sz w:val="24"/>
          <w:szCs w:val="24"/>
          <w:highlight w:val="none"/>
        </w:rPr>
        <w:t xml:space="preserve">设备标配血流动力学计算、麻醉药物计算、氧合指标计算、通气参数计算、肾功能评估计算工具；</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（19）</w:t>
      </w:r>
      <w:r>
        <w:rPr>
          <w:rFonts w:ascii="宋体" w:hAnsi="宋体" w:cs="宋体"/>
          <w:bCs/>
          <w:color w:val="000000"/>
          <w:sz w:val="24"/>
          <w:szCs w:val="24"/>
          <w:highlight w:val="none"/>
        </w:rPr>
        <w:t xml:space="preserve">▲具备麻醉平衡指引显示界面，同一界面同步展示麻醉状态、脑部功能状态及对应参数动态趋势；麻醉状态通过数字、图形两种方式同步呈现患者意识、疼痛、肌松三类指标；脑功能状态以图形化方式实时展示脑活动，并同步显示相关脑部监测参数；</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（20）</w:t>
      </w:r>
      <w:r>
        <w:rPr>
          <w:rFonts w:ascii="宋体" w:hAnsi="宋体" w:cs="宋体"/>
          <w:bCs/>
          <w:color w:val="000000"/>
          <w:sz w:val="24"/>
          <w:szCs w:val="24"/>
          <w:highlight w:val="none"/>
        </w:rPr>
        <w:t xml:space="preserve">配套指套式血氧探头，支持浸泡清洗、消毒，防水等级达到 IPX7；</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w:t>
      </w:r>
      <w:r>
        <w:rPr>
          <w:rFonts w:ascii="宋体" w:hAnsi="宋体" w:cs="宋体"/>
          <w:bCs/>
          <w:color w:val="000000"/>
          <w:sz w:val="24"/>
          <w:szCs w:val="24"/>
          <w:highlight w:val="none"/>
        </w:rPr>
        <w:t xml:space="preserve">▲可升级加装 CPR 按压传感配件，直观展示胸外按压频率、按压深度数值；</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（22）</w:t>
      </w:r>
      <w:r>
        <w:rPr>
          <w:rFonts w:ascii="宋体" w:hAnsi="宋体" w:cs="宋体"/>
          <w:bCs/>
          <w:color w:val="000000"/>
          <w:sz w:val="24"/>
          <w:szCs w:val="24"/>
          <w:highlight w:val="none"/>
        </w:rPr>
        <w:t xml:space="preserve">具备房颤专项心律失常分析，可实时识别不少于 20 种心律失常波形；</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（23）</w:t>
      </w:r>
      <w:r>
        <w:rPr>
          <w:rFonts w:ascii="宋体" w:hAnsi="宋体" w:cs="宋体"/>
          <w:bCs/>
          <w:color w:val="000000"/>
          <w:sz w:val="24"/>
          <w:szCs w:val="24"/>
          <w:highlight w:val="none"/>
        </w:rPr>
        <w:t xml:space="preserve">搭载 ST 段分析功能，可在独立窗口分区显示心脏前壁、下壁、侧壁 ST 实时波形与参考波形；</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（24）</w:t>
      </w:r>
      <w:r>
        <w:rPr>
          <w:rFonts w:ascii="宋体" w:hAnsi="宋体" w:cs="宋体"/>
          <w:bCs/>
          <w:color w:val="000000"/>
          <w:sz w:val="24"/>
          <w:szCs w:val="24"/>
          <w:highlight w:val="none"/>
        </w:rPr>
        <w:t xml:space="preserve">支持导联类型自动识别，配备智能导联脱落监测功能，导联脱落状态下设备可持续正常监护；</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（25）</w:t>
      </w:r>
      <w:r>
        <w:rPr>
          <w:rFonts w:ascii="宋体" w:hAnsi="宋体" w:cs="宋体"/>
          <w:bCs/>
          <w:color w:val="000000"/>
          <w:sz w:val="24"/>
          <w:szCs w:val="24"/>
          <w:highlight w:val="none"/>
        </w:rPr>
        <w:t xml:space="preserve">可调取输注泵给药记录，按照统一时间轴同步展示患者生命体征与用药信息，直观对比生命体征波动和药物输注流速变化关联；</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（26）</w:t>
      </w:r>
      <w:r>
        <w:rPr>
          <w:rFonts w:ascii="宋体" w:hAnsi="宋体" w:cs="宋体"/>
          <w:bCs/>
          <w:color w:val="000000"/>
          <w:sz w:val="24"/>
          <w:szCs w:val="24"/>
          <w:highlight w:val="none"/>
        </w:rPr>
        <w:t xml:space="preserve">监测模式覆盖成人、小儿、新生儿全人群；</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（27）</w:t>
      </w:r>
      <w:r>
        <w:rPr>
          <w:rFonts w:ascii="宋体" w:hAnsi="宋体" w:cs="宋体"/>
          <w:bCs/>
          <w:color w:val="000000"/>
          <w:sz w:val="24"/>
          <w:szCs w:val="24"/>
          <w:highlight w:val="none"/>
        </w:rPr>
        <w:t xml:space="preserve">产品取得国家 III 类医疗器械注册证，设备设计使用寿命</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t xml:space="preserve">10 年。</w:t>
      </w:r>
      <w:r>
        <w:rPr>
          <w:rFonts w:ascii="宋体" w:hAnsi="宋体" w:cs="宋体"/>
          <w:bCs/>
          <w:color w:val="000000"/>
          <w:sz w:val="24"/>
          <w:szCs w:val="24"/>
          <w:highlight w:val="none"/>
        </w:rPr>
      </w:r>
      <w:r/>
    </w:p>
    <w:p>
      <w:pPr>
        <w:pStyle w:val="1396"/>
        <w:ind w:firstLine="482"/>
        <w:spacing w:line="360" w:lineRule="auto"/>
        <w:tabs>
          <w:tab w:val="center" w:pos="4153" w:leader="none"/>
          <w:tab w:val="right" w:pos="8306"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3.4四标段：扬中市中医院除颤仪1台（核心产品：除颤仪）；</w:t>
      </w:r>
      <w:r>
        <w:rPr>
          <w:rFonts w:hint="eastAsia" w:ascii="宋体" w:hAnsi="宋体" w:cs="宋体"/>
          <w:b/>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▲整机显示：整机轻便，重量≤6Kg（含电池及电极板）</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≥7英寸高清显示屏，全中文界面，多通道波形同屏显示，自带故障图文指引。</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▲环境防护：≥IP54级防尘防水，0.75米抗跌落，符合救护车及除颤设备国际安全标准，高低温多场景适用。</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ascii="宋体" w:hAnsi="宋体" w:cs="宋体"/>
          <w:bCs/>
          <w:color w:val="000000"/>
          <w:sz w:val="24"/>
          <w:szCs w:val="24"/>
          <w:highlight w:val="none"/>
        </w:rPr>
        <w:t xml:space="preserve">除颤波形：采用双相截断指数波形，带自动阻抗补偿，适配不同体型患者，提升复律成功率。</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ascii="宋体" w:hAnsi="宋体" w:cs="宋体"/>
          <w:bCs/>
          <w:color w:val="000000"/>
          <w:sz w:val="24"/>
          <w:szCs w:val="24"/>
          <w:highlight w:val="none"/>
        </w:rPr>
        <w:t xml:space="preserve">除颤能量：能量最大360J，不少于 20 档可调，电极板集成能量调节、充电、放电控制，实时显示接触阻抗。</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ascii="宋体" w:hAnsi="宋体" w:cs="宋体"/>
          <w:bCs/>
          <w:color w:val="000000"/>
          <w:sz w:val="24"/>
          <w:szCs w:val="24"/>
          <w:highlight w:val="none"/>
        </w:rPr>
        <w:t xml:space="preserve">充电速度：开机快速就绪，200J充电≤6秒，放电后心电基线快速恢复。</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w:t>
      </w:r>
      <w:r>
        <w:rPr>
          <w:rFonts w:ascii="宋体" w:hAnsi="宋体" w:cs="宋体"/>
          <w:bCs/>
          <w:color w:val="000000"/>
          <w:sz w:val="24"/>
          <w:szCs w:val="24"/>
          <w:highlight w:val="none"/>
        </w:rPr>
        <w:t xml:space="preserve">▲工作模式：支持手动除颤、同步复律、AED自动除颤、体外起搏，覆盖全年龄段患者。</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（8）</w:t>
      </w:r>
      <w:r>
        <w:rPr>
          <w:rFonts w:ascii="宋体" w:hAnsi="宋体" w:cs="宋体"/>
          <w:bCs/>
          <w:color w:val="000000"/>
          <w:sz w:val="24"/>
          <w:szCs w:val="24"/>
          <w:highlight w:val="none"/>
        </w:rPr>
        <w:t xml:space="preserve">体外起搏：具备按需、固定、降速起搏模式，起搏频率、电流大范围可调，适配心动过缓急救。</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w:t>
      </w:r>
      <w:r>
        <w:rPr>
          <w:rFonts w:ascii="宋体" w:hAnsi="宋体" w:cs="宋体"/>
          <w:bCs/>
          <w:color w:val="000000"/>
          <w:sz w:val="24"/>
          <w:szCs w:val="24"/>
          <w:highlight w:val="none"/>
        </w:rPr>
        <w:t xml:space="preserve">▲CPR复苏辅助功能：遵循国际复苏指南，实时反馈按压质量，支持按压心电滤波，抢救全程语音引导、长时间录音。</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ascii="宋体" w:hAnsi="宋体" w:cs="宋体"/>
          <w:bCs/>
          <w:color w:val="000000"/>
          <w:sz w:val="24"/>
          <w:szCs w:val="24"/>
          <w:highlight w:val="none"/>
        </w:rPr>
        <w:t xml:space="preserve">▲多参数监护：标配12导心电、血氧、呼吸、无创血压，成人/小儿/新生儿通用。</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（11）</w:t>
      </w:r>
      <w:r>
        <w:rPr>
          <w:rFonts w:ascii="宋体" w:hAnsi="宋体" w:cs="宋体"/>
          <w:bCs/>
          <w:color w:val="000000"/>
          <w:sz w:val="24"/>
          <w:szCs w:val="24"/>
          <w:highlight w:val="none"/>
        </w:rPr>
        <w:t xml:space="preserve">心电分析：多档波形走速，心律失常识别≥20种，支持 ST、QT 段实时监测。</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w:t>
      </w:r>
      <w:r>
        <w:rPr>
          <w:rFonts w:ascii="宋体" w:hAnsi="宋体" w:cs="宋体"/>
          <w:bCs/>
          <w:color w:val="000000"/>
          <w:sz w:val="24"/>
          <w:szCs w:val="24"/>
          <w:highlight w:val="none"/>
        </w:rPr>
        <w:t xml:space="preserve">无创血压：支持单次、自动、连续测量，分段适配不同人群，测量精度高。</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w:t>
      </w:r>
      <w:r>
        <w:rPr>
          <w:rFonts w:ascii="宋体" w:hAnsi="宋体" w:cs="宋体"/>
          <w:bCs/>
          <w:color w:val="000000"/>
          <w:sz w:val="24"/>
          <w:szCs w:val="24"/>
          <w:highlight w:val="none"/>
        </w:rPr>
        <w:t xml:space="preserve">打印存储：50mm 记录仪，同步打印多道波形；大容量本地存储心电、抢救、自检数据，USB 导出。</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（14）</w:t>
      </w:r>
      <w:r>
        <w:rPr>
          <w:rFonts w:ascii="宋体" w:hAnsi="宋体" w:cs="宋体"/>
          <w:bCs/>
          <w:color w:val="000000"/>
          <w:sz w:val="24"/>
          <w:szCs w:val="24"/>
          <w:highlight w:val="none"/>
        </w:rPr>
        <w:t xml:space="preserve">供电续航：大容量锂电池，可完成≥150次最大能量除颤；低电量预警后仍可短时监护及多次除颤。</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（15）</w:t>
      </w:r>
      <w:r>
        <w:rPr>
          <w:rFonts w:ascii="宋体" w:hAnsi="宋体" w:cs="宋体"/>
          <w:bCs/>
          <w:color w:val="000000"/>
          <w:sz w:val="24"/>
          <w:szCs w:val="24"/>
          <w:highlight w:val="none"/>
        </w:rPr>
        <w:t xml:space="preserve">智能自检：支持定时自动整机自检，覆盖除颤、监护模块，自检报告可打印、存档。</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（16）</w:t>
      </w:r>
      <w:r>
        <w:rPr>
          <w:rFonts w:ascii="宋体" w:hAnsi="宋体" w:cs="宋体"/>
          <w:bCs/>
          <w:color w:val="000000"/>
          <w:sz w:val="24"/>
          <w:szCs w:val="24"/>
          <w:highlight w:val="none"/>
        </w:rPr>
        <w:t xml:space="preserve">▲互联拓展：支持无线通信升级，标准医疗通讯协议，可对接院前急救系统、医院信息系统，数据自动上传。</w:t>
      </w:r>
      <w:r>
        <w:rPr>
          <w:rFonts w:ascii="宋体" w:hAnsi="宋体" w:cs="宋体"/>
          <w:bCs/>
          <w:color w:val="000000"/>
          <w:sz w:val="24"/>
          <w:szCs w:val="24"/>
          <w:highlight w:val="none"/>
        </w:rPr>
      </w:r>
      <w:r/>
    </w:p>
    <w:p>
      <w:pPr>
        <w:pStyle w:val="1396"/>
        <w:ind w:firstLine="482"/>
        <w:spacing w:line="360" w:lineRule="auto"/>
        <w:tabs>
          <w:tab w:val="center" w:pos="4153" w:leader="none"/>
          <w:tab w:val="right" w:pos="8306"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3.5五标段：扬中市中医院口腔CT1台（核心产品：口腔CT）；</w:t>
      </w:r>
      <w:r>
        <w:rPr>
          <w:rFonts w:hint="eastAsia" w:ascii="宋体" w:hAnsi="宋体" w:cs="宋体"/>
          <w:b/>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3.5.1设备及功能需求</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（1）设备用途：用于口腔疾病的诊断。具有数字全景成像、头颅成像、3D成像、模型扫描功能，具有临床观察软件、图像后处理功能。</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（2）拍摄模式：具有CT、全景、头颅正/侧位、TMJ、小牙片和局部CT独立拍摄模式，非CT切出断层或融合数据。</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 设备具备近3年CE注册证件。</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（4）提供工作站一套，并免费与医院系统对接。</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3.5.2硬件技术指标</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（1）X射线球管技术参数</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①CBCT曝光方式：CBCT扫描为脉冲曝光或连续曝光,要求提供相关专利证书</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②射线管最小电流：≤4mA，电流值可调，步进值≤1mA</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③射线管最大电压：≥100kV，电压值可调，步进值≤1kV</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④焦点尺寸：CT：≤0.5mm×0.5mm；口内摄影：≤0.4mm×0.4mm</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⑤口内摄影电流：≥5mA</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⑥口内摄影电压：≥65kV</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⑦ 扫描时间：CT：16s 全景17s  侧位12s</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（2）探测器技术参数</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▲①探测器数量：≥2，要求在全景拍摄和CT扫描模式探测器自动切换，无需手动拆装，拍摄头侧时不需要拆卸平板探测器</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②CT探测器类型：TFT平板探测器</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 CT探测器面积：≥15cm×15cm</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④ CT探测器像素尺寸：≤100μm</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⑤正/侧位探测器尺寸：≥22.5cm×0.68cm</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⑥正/侧位探测器像素尺寸：≤100μm</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（3）图像性能</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★①CT有效成像视野：≥16cm×10cm(Φ×H)，要求一次拍摄成像，非融合数据。</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▲②局部CT成像视野：≤8×8cm(Φ×H)</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▲③一次拍摄最大DICOM张数：≥715张</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④灰阶：≥16bit</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▲⑤最小体素尺寸：≤70μm</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⑥ CT最高成像空间分辨率：≥2.8lp/mm</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★⑦全景成像空间分辨率：≥3.0lp/mm，侧位：≥3.0lp/mm</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 整机性能</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★①立柱升降行程：≥650mm，方便不同人群拍摄</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②保护装置：具备行程自动保护装置</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③开放式定位：底座要求U型设计，非X型底座，方便轮椅患者拍摄 </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3.5.3软件功能要求</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▲（1）软件数量：提供数字化影像浏览软件1套，正畸分析系统1套，要求软件均为自主研发，非第三方软件，且终身免费升级。</w:t>
      </w:r>
      <w:r>
        <w:rPr>
          <w:rFonts w:hint="eastAsia" w:ascii="宋体" w:hAnsi="宋体" w:cs="宋体"/>
          <w:bCs/>
          <w:color w:val="000000"/>
          <w:sz w:val="24"/>
          <w:szCs w:val="24"/>
          <w:highlight w:val="none"/>
        </w:rPr>
      </w:r>
      <w:r/>
    </w:p>
    <w:p>
      <w:pPr>
        <w:pStyle w:val="1396"/>
        <w:numPr>
          <w:ilvl w:val="0"/>
          <w:numId w:val="9"/>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影像算法：具备自研影像降噪技术和去伪影算法。</w:t>
      </w:r>
      <w:r>
        <w:rPr>
          <w:rFonts w:hint="eastAsia" w:ascii="宋体" w:hAnsi="宋体" w:cs="宋体"/>
          <w:bCs/>
          <w:color w:val="000000"/>
          <w:sz w:val="24"/>
          <w:szCs w:val="24"/>
          <w:highlight w:val="none"/>
        </w:rPr>
      </w:r>
      <w:r/>
    </w:p>
    <w:p>
      <w:pPr>
        <w:pStyle w:val="1396"/>
        <w:numPr>
          <w:ilvl w:val="0"/>
          <w:numId w:val="9"/>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测量：支持距离测量、多线段测量和曲线测量、角度测量、直方图统计、面积测量，测量方案可选择保存，下次打开该患者影像时可自动加载。</w:t>
      </w:r>
      <w:r>
        <w:rPr>
          <w:rFonts w:hint="eastAsia" w:ascii="宋体" w:hAnsi="宋体" w:cs="宋体"/>
          <w:bCs/>
          <w:color w:val="000000"/>
          <w:sz w:val="24"/>
          <w:szCs w:val="24"/>
          <w:highlight w:val="none"/>
        </w:rPr>
      </w:r>
      <w:r/>
    </w:p>
    <w:p>
      <w:pPr>
        <w:pStyle w:val="1396"/>
        <w:numPr>
          <w:ilvl w:val="0"/>
          <w:numId w:val="9"/>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感兴趣区域：具有垂直裁切、曲线裁切等裁切方式。</w:t>
      </w:r>
      <w:r>
        <w:rPr>
          <w:rFonts w:hint="eastAsia" w:ascii="宋体" w:hAnsi="宋体" w:cs="宋体"/>
          <w:bCs/>
          <w:color w:val="000000"/>
          <w:sz w:val="24"/>
          <w:szCs w:val="24"/>
          <w:highlight w:val="none"/>
        </w:rPr>
      </w:r>
      <w:r/>
    </w:p>
    <w:p>
      <w:pPr>
        <w:pStyle w:val="1396"/>
        <w:numPr>
          <w:ilvl w:val="0"/>
          <w:numId w:val="9"/>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多平面重建：支持任意位置、任意方向观察患者切片影像。</w:t>
      </w:r>
      <w:r>
        <w:rPr>
          <w:rFonts w:hint="eastAsia" w:ascii="宋体" w:hAnsi="宋体" w:cs="宋体"/>
          <w:bCs/>
          <w:color w:val="000000"/>
          <w:sz w:val="24"/>
          <w:szCs w:val="24"/>
          <w:highlight w:val="none"/>
        </w:rPr>
      </w:r>
      <w:r/>
    </w:p>
    <w:p>
      <w:pPr>
        <w:pStyle w:val="1396"/>
        <w:numPr>
          <w:ilvl w:val="0"/>
          <w:numId w:val="9"/>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三维显示：三维视图支持VR(容积漫游成像）MIP（最大密度投影）两种显示模式。</w:t>
      </w:r>
      <w:r>
        <w:rPr>
          <w:rFonts w:hint="eastAsia" w:ascii="宋体" w:hAnsi="宋体" w:cs="宋体"/>
          <w:bCs/>
          <w:color w:val="000000"/>
          <w:sz w:val="24"/>
          <w:szCs w:val="24"/>
          <w:highlight w:val="none"/>
        </w:rPr>
      </w:r>
      <w:r/>
    </w:p>
    <w:p>
      <w:pPr>
        <w:pStyle w:val="1396"/>
        <w:numPr>
          <w:ilvl w:val="0"/>
          <w:numId w:val="9"/>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三维全景：可实现全景影像三维化展示，拖动全景观察窗口，可联动展示对应区域的轴状面、矢状面、冠状面影像。</w:t>
      </w:r>
      <w:r>
        <w:rPr>
          <w:rFonts w:hint="eastAsia" w:ascii="宋体" w:hAnsi="宋体" w:cs="宋体"/>
          <w:bCs/>
          <w:color w:val="000000"/>
          <w:sz w:val="24"/>
          <w:szCs w:val="24"/>
          <w:highlight w:val="none"/>
        </w:rPr>
      </w:r>
      <w:r/>
    </w:p>
    <w:p>
      <w:pPr>
        <w:pStyle w:val="1396"/>
        <w:numPr>
          <w:ilvl w:val="0"/>
          <w:numId w:val="9"/>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智能神经管标记：可一键自动生成双侧神经管，并且可设置神经管模型颜色及半径，还可设置神经管碰撞检测阈值，生成的神经管模型可在二维视图及三维视图中显示。</w:t>
      </w:r>
      <w:r>
        <w:rPr>
          <w:rFonts w:hint="eastAsia" w:ascii="宋体" w:hAnsi="宋体" w:cs="宋体"/>
          <w:bCs/>
          <w:color w:val="000000"/>
          <w:sz w:val="24"/>
          <w:szCs w:val="24"/>
          <w:highlight w:val="none"/>
        </w:rPr>
      </w:r>
      <w:r/>
    </w:p>
    <w:p>
      <w:pPr>
        <w:pStyle w:val="1396"/>
        <w:numPr>
          <w:ilvl w:val="0"/>
          <w:numId w:val="9"/>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定向观察：可在三维视图中以任意一点为中心，围绕该点做360度定向旋转观察，帮助进行牙体及组织的位置关系判断。</w:t>
      </w:r>
      <w:r>
        <w:rPr>
          <w:rFonts w:hint="eastAsia" w:ascii="宋体" w:hAnsi="宋体" w:cs="宋体"/>
          <w:bCs/>
          <w:color w:val="000000"/>
          <w:sz w:val="24"/>
          <w:szCs w:val="24"/>
          <w:highlight w:val="none"/>
        </w:rPr>
      </w:r>
      <w:r/>
    </w:p>
    <w:p>
      <w:pPr>
        <w:pStyle w:val="1396"/>
        <w:numPr>
          <w:ilvl w:val="0"/>
          <w:numId w:val="9"/>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颞颌关节：具有CBCT独立颞颌关节观察模块，可自动定位双侧颞颌关节位置，呈现左右颞颌关节2D、3D影像，提供多角度切片观察。</w:t>
      </w:r>
      <w:r>
        <w:rPr>
          <w:rFonts w:hint="eastAsia" w:ascii="宋体" w:hAnsi="宋体" w:cs="宋体"/>
          <w:bCs/>
          <w:color w:val="000000"/>
          <w:sz w:val="24"/>
          <w:szCs w:val="24"/>
          <w:highlight w:val="none"/>
        </w:rPr>
      </w:r>
      <w:r/>
    </w:p>
    <w:p>
      <w:pPr>
        <w:pStyle w:val="1396"/>
        <w:numPr>
          <w:ilvl w:val="0"/>
          <w:numId w:val="9"/>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虚拟种植：提供丰富的种植体库，添加的种植体可自动带出牙冠，且支持调整牙冠大小和角度，可显示个性化基台的高度和角度。</w:t>
      </w:r>
      <w:r>
        <w:rPr>
          <w:rFonts w:hint="eastAsia" w:ascii="宋体" w:hAnsi="宋体" w:cs="宋体"/>
          <w:bCs/>
          <w:color w:val="000000"/>
          <w:sz w:val="24"/>
          <w:szCs w:val="24"/>
          <w:highlight w:val="none"/>
        </w:rPr>
      </w:r>
      <w:r/>
    </w:p>
    <w:p>
      <w:pPr>
        <w:pStyle w:val="1396"/>
        <w:numPr>
          <w:ilvl w:val="0"/>
          <w:numId w:val="9"/>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骨密度测量：支持种植体周围骨密度测量，并可显示骨密度D1-D4分类。</w:t>
      </w:r>
      <w:r>
        <w:rPr>
          <w:rFonts w:hint="eastAsia" w:ascii="宋体" w:hAnsi="宋体" w:cs="宋体"/>
          <w:bCs/>
          <w:color w:val="000000"/>
          <w:sz w:val="24"/>
          <w:szCs w:val="24"/>
          <w:highlight w:val="none"/>
        </w:rPr>
      </w:r>
      <w:r/>
    </w:p>
    <w:p>
      <w:pPr>
        <w:pStyle w:val="1396"/>
        <w:numPr>
          <w:ilvl w:val="0"/>
          <w:numId w:val="9"/>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颌骨分割：可自动分割出下颌骨模型。</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▲（14） 智能正畸测量分析系统：可自动标记65个以上分析标志点、165个以上测量项目，提供包含Tweed、Downs等在内的20种以上测量分析方法，并支持添加自定义分析法。</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（15）正畸报告导出：支持导出头影测量分析报告，可选择单一分析法导出及全部分析法导出。</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（16）可视化矫正模拟：支持可视化矫正模拟（VTO），可预测正畸术前术后患者侧貌的面容改变情况。</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（17） 胶片输出：支持DICOM3.0设备打印胶片，支持排版后胶片导出BMP图片。</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（18）图像格式：具备数据输出接口，兼容符合DICOM3.0标准的PACS系统。</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（19）打印排版：打印页面布局可自定义调整，预设10种以上打印布局，可选择不同打印尺寸。</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3.5.4其他</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▲根据医院牙科面积，做好放射防护，包含铅房改造，办理放射双证和辐射安全许可证，提供配套设备：口腔牙椅1台、稳压器1台，铅衣、铅帽和铅围脖一套。</w:t>
      </w:r>
      <w:r>
        <w:rPr>
          <w:rFonts w:hint="eastAsia" w:ascii="宋体" w:hAnsi="宋体" w:cs="宋体"/>
          <w:bCs/>
          <w:color w:val="000000"/>
          <w:sz w:val="24"/>
          <w:szCs w:val="24"/>
          <w:highlight w:val="none"/>
        </w:rPr>
      </w:r>
      <w:r/>
    </w:p>
    <w:p>
      <w:pPr>
        <w:pStyle w:val="1396"/>
        <w:ind w:firstLine="482"/>
        <w:spacing w:line="360" w:lineRule="auto"/>
        <w:tabs>
          <w:tab w:val="center" w:pos="4153" w:leader="none"/>
          <w:tab w:val="right" w:pos="8306"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3.6六标段：三茅街道社区卫生服务中心麻醉机1台（核心产品：麻醉机）；</w:t>
      </w:r>
      <w:r>
        <w:rPr>
          <w:rFonts w:hint="eastAsia" w:ascii="宋体" w:hAnsi="宋体" w:cs="宋体"/>
          <w:b/>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3.6.1性能参数</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▲用于手术中对成人、小儿和新生儿的吸入麻醉及呼吸管理。</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采用气动电控呼吸机，全中文操作和显示。</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▲彩色电容触摸屏≥15英寸，可同屏显示多道波形和呼吸环图（提供证明文件）。</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ascii="宋体" w:hAnsi="宋体" w:cs="宋体"/>
          <w:bCs/>
          <w:color w:val="000000"/>
          <w:sz w:val="24"/>
          <w:szCs w:val="24"/>
          <w:highlight w:val="none"/>
        </w:rPr>
        <w:t xml:space="preserve">内置≥3槽位插件槽，可直接热插拔插件，可选配EtCO2，AG,BIS,O2等监测模块，插件可在同品牌监护仪和麻醉机之间通用。</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ascii="宋体" w:hAnsi="宋体" w:cs="宋体"/>
          <w:bCs/>
          <w:color w:val="000000"/>
          <w:sz w:val="24"/>
          <w:szCs w:val="24"/>
          <w:highlight w:val="none"/>
        </w:rPr>
        <w:t xml:space="preserve">标配氧气、空气双气源，快速充氧范围25 - 75 l/min。</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ascii="宋体" w:hAnsi="宋体" w:cs="宋体"/>
          <w:bCs/>
          <w:color w:val="000000"/>
          <w:sz w:val="24"/>
          <w:szCs w:val="24"/>
          <w:highlight w:val="none"/>
        </w:rPr>
        <w:t xml:space="preserve">▲采用电子流量计，配备LED数字显示和屏幕虚拟流量管显示，屏幕可显示新鲜气体设置总流量和氧浓度。</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w:t>
      </w:r>
      <w:r>
        <w:rPr>
          <w:rFonts w:ascii="宋体" w:hAnsi="宋体" w:cs="宋体"/>
          <w:bCs/>
          <w:color w:val="000000"/>
          <w:sz w:val="24"/>
          <w:szCs w:val="24"/>
          <w:highlight w:val="none"/>
        </w:rPr>
        <w:t xml:space="preserve">具备备用流量计（总流量计）以及辅助流量计。</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（8）</w:t>
      </w:r>
      <w:r>
        <w:rPr>
          <w:rFonts w:ascii="宋体" w:hAnsi="宋体" w:cs="宋体"/>
          <w:bCs/>
          <w:color w:val="000000"/>
          <w:sz w:val="24"/>
          <w:szCs w:val="24"/>
          <w:highlight w:val="none"/>
        </w:rPr>
        <w:t xml:space="preserve">▲标配一个七氟醚挥发罐，具备压力、流速和温度补偿，可选同品牌地氟醚挥发罐</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w:t>
      </w:r>
      <w:r>
        <w:rPr>
          <w:rFonts w:ascii="宋体" w:hAnsi="宋体" w:cs="宋体"/>
          <w:bCs/>
          <w:color w:val="000000"/>
          <w:sz w:val="24"/>
          <w:szCs w:val="24"/>
          <w:highlight w:val="none"/>
        </w:rPr>
        <w:t xml:space="preserve">▲采用一体化回路，具有回路整体加温功能，整体可旋转≥30°，回路部件可以耐受134℃高温高压消毒以避免院内交叉感染。</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ascii="宋体" w:hAnsi="宋体" w:cs="宋体"/>
          <w:bCs/>
          <w:color w:val="000000"/>
          <w:sz w:val="24"/>
          <w:szCs w:val="24"/>
          <w:highlight w:val="none"/>
        </w:rPr>
        <w:t xml:space="preserve">二氧化碳吸收罐，容积≥1500ml。</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（11）</w:t>
      </w:r>
      <w:r>
        <w:rPr>
          <w:rFonts w:ascii="宋体" w:hAnsi="宋体" w:cs="宋体"/>
          <w:bCs/>
          <w:color w:val="000000"/>
          <w:sz w:val="24"/>
          <w:szCs w:val="24"/>
          <w:highlight w:val="none"/>
        </w:rPr>
        <w:t xml:space="preserve">配备CO2旁路功能，在机械通气过程中，更换钠石灰罐无需选择确认，无需关停机械通气，可直接更换。</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w:t>
      </w:r>
      <w:r>
        <w:rPr>
          <w:rFonts w:ascii="宋体" w:hAnsi="宋体" w:cs="宋体"/>
          <w:bCs/>
          <w:color w:val="000000"/>
          <w:sz w:val="24"/>
          <w:szCs w:val="24"/>
          <w:highlight w:val="none"/>
        </w:rPr>
        <w:t xml:space="preserve">具备智能回路识别报警系统，当钠石灰罐未安装到位时，机器能智能识别，并报警提示。</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w:t>
      </w:r>
      <w:r>
        <w:rPr>
          <w:rFonts w:ascii="宋体" w:hAnsi="宋体" w:cs="宋体"/>
          <w:bCs/>
          <w:color w:val="000000"/>
          <w:sz w:val="24"/>
          <w:szCs w:val="24"/>
          <w:highlight w:val="none"/>
        </w:rPr>
        <w:t xml:space="preserve">提供辅助/控制通气，标配通气模式：VCV、PCV模式</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（14）</w:t>
      </w:r>
      <w:r>
        <w:rPr>
          <w:rFonts w:ascii="宋体" w:hAnsi="宋体" w:cs="宋体"/>
          <w:bCs/>
          <w:color w:val="000000"/>
          <w:sz w:val="24"/>
          <w:szCs w:val="24"/>
          <w:highlight w:val="none"/>
        </w:rPr>
        <w:t xml:space="preserve">潮气量设置范围：VCV模式下10ml-1500ml，PCV模式下5ml-1500ml</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（15）</w:t>
      </w:r>
      <w:r>
        <w:rPr>
          <w:rFonts w:ascii="宋体" w:hAnsi="宋体" w:cs="宋体"/>
          <w:bCs/>
          <w:color w:val="000000"/>
          <w:sz w:val="24"/>
          <w:szCs w:val="24"/>
          <w:highlight w:val="none"/>
        </w:rPr>
        <w:t xml:space="preserve">吸气压力设置范围：5-80 cmH2O</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（16）</w:t>
      </w:r>
      <w:r>
        <w:rPr>
          <w:rFonts w:ascii="宋体" w:hAnsi="宋体" w:cs="宋体"/>
          <w:bCs/>
          <w:color w:val="000000"/>
          <w:sz w:val="24"/>
          <w:szCs w:val="24"/>
          <w:highlight w:val="none"/>
        </w:rPr>
        <w:t xml:space="preserve">呼吸频率：3-100次/分钟</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（17）</w:t>
      </w:r>
      <w:r>
        <w:rPr>
          <w:rFonts w:ascii="宋体" w:hAnsi="宋体" w:cs="宋体"/>
          <w:bCs/>
          <w:color w:val="000000"/>
          <w:sz w:val="24"/>
          <w:szCs w:val="24"/>
          <w:highlight w:val="none"/>
        </w:rPr>
        <w:t xml:space="preserve">吸呼比：4:1到1:8</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（18）</w:t>
      </w:r>
      <w:r>
        <w:rPr>
          <w:rFonts w:ascii="宋体" w:hAnsi="宋体" w:cs="宋体"/>
          <w:bCs/>
          <w:color w:val="000000"/>
          <w:sz w:val="24"/>
          <w:szCs w:val="24"/>
          <w:highlight w:val="none"/>
        </w:rPr>
        <w:t xml:space="preserve">压力限制范围：10-100 cmH2O</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（19）</w:t>
      </w:r>
      <w:r>
        <w:rPr>
          <w:rFonts w:ascii="宋体" w:hAnsi="宋体" w:cs="宋体"/>
          <w:bCs/>
          <w:color w:val="000000"/>
          <w:sz w:val="24"/>
          <w:szCs w:val="24"/>
          <w:highlight w:val="none"/>
        </w:rPr>
        <w:t xml:space="preserve">电子PEEP，显示屏设置，范围：OFF，3-30 cmH2O</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（20）</w:t>
      </w:r>
      <w:r>
        <w:rPr>
          <w:rFonts w:ascii="宋体" w:hAnsi="宋体" w:cs="宋体"/>
          <w:bCs/>
          <w:color w:val="000000"/>
          <w:sz w:val="24"/>
          <w:szCs w:val="24"/>
          <w:highlight w:val="none"/>
        </w:rPr>
        <w:t xml:space="preserve">吸气暂停：OFF，5%-60% </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w:t>
      </w:r>
      <w:r>
        <w:rPr>
          <w:rFonts w:ascii="宋体" w:hAnsi="宋体" w:cs="宋体"/>
          <w:bCs/>
          <w:color w:val="000000"/>
          <w:sz w:val="24"/>
          <w:szCs w:val="24"/>
          <w:highlight w:val="none"/>
        </w:rPr>
        <w:t xml:space="preserve">具备吸入端，呼出端双流量传感器，实现动态潮气量实时自动补偿功能。</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（22）</w:t>
      </w:r>
      <w:r>
        <w:rPr>
          <w:rFonts w:ascii="宋体" w:hAnsi="宋体" w:cs="宋体"/>
          <w:bCs/>
          <w:color w:val="000000"/>
          <w:sz w:val="24"/>
          <w:szCs w:val="24"/>
          <w:highlight w:val="none"/>
        </w:rPr>
        <w:t xml:space="preserve">监测参数：呼吸频率、潮气量、分钟通气量、吸呼比、气道压（峰压、平台压、平均压、PEEP）、气道阻力、顺应性；麻醉气体分析（N2O，EtCO2，自动识别五种麻醉气体吸入呼出浓度监测）、呼吸环（P-V，P-F）监测、吸入氧浓度监测</w:t>
      </w:r>
      <w:r>
        <w:rPr>
          <w:rFonts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（23）</w:t>
      </w:r>
      <w:r>
        <w:rPr>
          <w:rFonts w:ascii="宋体" w:hAnsi="宋体" w:cs="宋体"/>
          <w:bCs/>
          <w:color w:val="000000"/>
          <w:sz w:val="24"/>
          <w:szCs w:val="24"/>
          <w:highlight w:val="none"/>
        </w:rPr>
        <w:t xml:space="preserve">潮气量监测范围：0-3000ml,分钟通气量监测范围：0-99L/min。</w:t>
      </w:r>
      <w:r>
        <w:rPr>
          <w:rFonts w:ascii="宋体" w:hAnsi="宋体" w:cs="宋体"/>
          <w:bCs/>
          <w:color w:val="000000"/>
          <w:sz w:val="24"/>
          <w:szCs w:val="24"/>
          <w:highlight w:val="none"/>
        </w:rPr>
      </w:r>
      <w:r/>
    </w:p>
    <w:p>
      <w:pPr>
        <w:pStyle w:val="1396"/>
        <w:ind w:firstLine="482"/>
        <w:spacing w:line="360" w:lineRule="auto"/>
        <w:tabs>
          <w:tab w:val="center" w:pos="4153" w:leader="none"/>
          <w:tab w:val="right" w:pos="8306"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3.7七标段：三茅街道社区卫生服务中心心电图机1台（核心产品：心电图机）；</w:t>
      </w:r>
      <w:r>
        <w:rPr>
          <w:rFonts w:hint="eastAsia" w:ascii="宋体" w:hAnsi="宋体" w:cs="宋体"/>
          <w:b/>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（1）导联采集：标准12导联同步采集。</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▲（2）显示系统：≥12英寸高清触控屏，支持触摸屏操作，适应多光照场景。</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bCs/>
          <w:color w:val="000000"/>
          <w:sz w:val="24"/>
          <w:szCs w:val="24"/>
          <w:highlight w:val="none"/>
        </w:rPr>
        <w:t xml:space="preserve">（3）采样精度：采样率≥50000Hz，信号还原度高。</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（4）输入阻抗：≥85MΩ@Hz，弱信号捕捉能力强，减少肌电与基线干扰。</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（5）共模抑制比：≥135dB，抗工频干扰能力优异。</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★（6）频率响应：0.01Hz～400Hz。</w:t>
      </w:r>
      <w:r>
        <w:rPr>
          <w:rFonts w:hint="eastAsia" w:ascii="宋体" w:hAnsi="宋体" w:cs="宋体"/>
          <w:bCs/>
          <w:color w:val="000000"/>
          <w:sz w:val="24"/>
          <w:szCs w:val="24"/>
          <w:highlight w:val="none"/>
        </w:rPr>
      </w:r>
      <w:r/>
    </w:p>
    <w:p>
      <w:pPr>
        <w:pStyle w:val="1396"/>
        <w:numPr>
          <w:ilvl w:val="0"/>
          <w:numId w:val="10"/>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耐极化电压：≥±900mV。</w:t>
      </w:r>
      <w:r>
        <w:rPr>
          <w:rFonts w:hint="eastAsia" w:ascii="宋体" w:hAnsi="宋体" w:cs="宋体"/>
          <w:bCs/>
          <w:color w:val="000000"/>
          <w:sz w:val="24"/>
          <w:szCs w:val="24"/>
          <w:highlight w:val="none"/>
        </w:rPr>
      </w:r>
      <w:r/>
    </w:p>
    <w:p>
      <w:pPr>
        <w:pStyle w:val="1396"/>
        <w:numPr>
          <w:ilvl w:val="0"/>
          <w:numId w:val="10"/>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具有起搏检测功能，起搏标记在显示屏上单独区域显示，方便医生查看。</w:t>
      </w:r>
      <w:r>
        <w:rPr>
          <w:rFonts w:hint="eastAsia" w:ascii="宋体" w:hAnsi="宋体" w:cs="宋体"/>
          <w:bCs/>
          <w:color w:val="000000"/>
          <w:sz w:val="24"/>
          <w:szCs w:val="24"/>
          <w:highlight w:val="none"/>
        </w:rPr>
      </w:r>
      <w:r/>
    </w:p>
    <w:p>
      <w:pPr>
        <w:pStyle w:val="1396"/>
        <w:numPr>
          <w:ilvl w:val="0"/>
          <w:numId w:val="10"/>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心电分析算法：支持心律失常、起搏检测等多种测量、分析方法。</w:t>
      </w:r>
      <w:r>
        <w:rPr>
          <w:rFonts w:hint="eastAsia" w:ascii="宋体" w:hAnsi="宋体" w:cs="宋体"/>
          <w:bCs/>
          <w:color w:val="000000"/>
          <w:sz w:val="24"/>
          <w:szCs w:val="24"/>
          <w:highlight w:val="none"/>
        </w:rPr>
      </w:r>
      <w:r/>
    </w:p>
    <w:p>
      <w:pPr>
        <w:pStyle w:val="1396"/>
        <w:numPr>
          <w:ilvl w:val="0"/>
          <w:numId w:val="10"/>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网络与数据：支持WIFI连接 ，支持HL7/DICOM/FTP标准协议，无缝对接医院信息系统。</w:t>
      </w:r>
      <w:r>
        <w:rPr>
          <w:rFonts w:hint="eastAsia" w:ascii="宋体" w:hAnsi="宋体" w:cs="宋体"/>
          <w:bCs/>
          <w:color w:val="000000"/>
          <w:sz w:val="24"/>
          <w:szCs w:val="24"/>
          <w:highlight w:val="none"/>
        </w:rPr>
      </w:r>
      <w:r/>
    </w:p>
    <w:p>
      <w:pPr>
        <w:pStyle w:val="1396"/>
        <w:numPr>
          <w:ilvl w:val="0"/>
          <w:numId w:val="10"/>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续航能力：内置锂电池，连续工作≥8小时，满足移动查房与应急使用。</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▲（12）灵敏度选择：1.25、2.5、5、10、20、10/5、20/10、自动mm/mV ±5%</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▲（13） 智能便捷：具有信号质量检测功能，对于信号干扰、接触不良或导联脱落的导联作出提示。</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（14）安全防护：整机与导联线内置除颤保护电路，支持除颤后快速恢复采集，保障医患安全。</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（15）内置热敏式点阵打印机，能打印于A4和US letter大小的热敏纸。</w:t>
      </w:r>
      <w:r>
        <w:rPr>
          <w:rFonts w:hint="eastAsia" w:ascii="宋体" w:hAnsi="宋体" w:cs="宋体"/>
          <w:bCs/>
          <w:color w:val="000000"/>
          <w:sz w:val="24"/>
          <w:szCs w:val="24"/>
          <w:highlight w:val="none"/>
        </w:rPr>
      </w:r>
      <w:r/>
    </w:p>
    <w:p>
      <w:pPr>
        <w:pStyle w:val="1396"/>
        <w:ind w:firstLine="482"/>
        <w:spacing w:line="360" w:lineRule="auto"/>
        <w:tabs>
          <w:tab w:val="center" w:pos="4153" w:leader="none"/>
          <w:tab w:val="right" w:pos="8306"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3.8八标段：三茅街道社区卫生服务中心手术室监护仪1台（核心产品：手术室监护仪）；</w:t>
      </w:r>
      <w:r>
        <w:rPr>
          <w:rFonts w:hint="eastAsia" w:ascii="宋体" w:hAnsi="宋体" w:cs="宋体"/>
          <w:b/>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▲模块化插件式床边监护仪，主机、显示屏、插件槽一体化集成设计，主机插槽数量≥4 个。插槽均配置金属硬件通讯接口，保障模块数据传输速度与运行稳定；</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配备≥12.1 寸彩色触摸屏，分辨率 1280*800，支持 8 通道波形显示，屏幕亮度可随环境自动调节。</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内置充电锂电池，持续监护供电时长≥4 小时。</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机身预留≥4 个 USB 接口，可外接存储设备、鼠标、键盘、条码扫描枪等各类 USB 外设。</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▲标配基础监测模块，可同步监测心电、呼吸、心率、无创血压、血氧饱和度、脉搏、双通道体温、双通道有创血压；配备旁流式 EtCO₂监测模块，配套水槽拆装、更换操作简单快捷。</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兼容 3 导、5 导两种心电监测模式。</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内置房颤分析功能，标配不少于 20 种实时心律失常自动分析识别。</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支持 ST 段分析功能，独立窗口分区展示心脏前壁、下壁、侧壁实时 ST 片段与标准参考片段。</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可自动测算 RR 呼吸率，测量范围 0~200rpm。</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具备 QT/QTc 自动测量功能，实时输出 QT、QTc、ΔQTc 监测数值。</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无创血压支持手动、自动定时、连续、序列四种测量模式。</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NIBP 成人模式收缩压测量区间 25~290mmHg。</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血氧监测同步显示灌注指数（PI）。</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▲配套原厂指套式血氧探头，支持浸泡清洁消毒，探头防水等级不低于 IPx7。</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IBP 有创血压测量范围 - 50~360mmHg。</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支持肺动脉楔压（PAWP）、PPV 参数实时监测。</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▲支持不少于 4 路心电导联同步动态实时分析，非静态导联分析。</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▲可识别室性、室上性等各类常见心律失常，自动输出室上速、每分钟室上早搏数量等心电异常指标，满足临床诊断使用需求。</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▲设备可原厂升级 PiCCO 监测模块，采用 Pulsion PiCCO 技术，经股动脉、中心静脉常规穿刺完成微创 CCO 等血流动力学参数监测，配套蛛网图直观展示患者指标变化趋势。</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配备图形化报警提示界面，报警信息直观清晰，便于医护快速查看。</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▲出厂标配血流动力学、药物换算、氧合评估、通气测算、肾功能五大类临床计算功能。</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支持 40 项以上参数存储，可调取 120 小时（1 分钟分辨率）、4 小时（5 秒分辨率）趋势表与趋势图。</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可存储 1000 条报警事件；单条事件保存 32 秒三道关联波形，同步记录报警触发时全部监测参数。</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▲整机支持不少于 48 小时全息波形存储与回放查看。</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可存储 120 小时（5 分钟分辨率）ST 模板数据，支持调取回顾。</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内置在线操作指引，指导工作人员完成各类参数设置操作。</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▲设备可根据患者实时监测数据变化趋势，自动匹配专属最优报警限值，实现个性化精准报警，无需人工统一固定阈值。</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包含多种工作模式：监护、待机、体外循环、插管、夜间、隐私、演示模式。</w:t>
      </w:r>
      <w:r>
        <w:rPr>
          <w:rFonts w:hint="eastAsia" w:ascii="宋体" w:hAnsi="宋体" w:cs="宋体"/>
          <w:bCs/>
          <w:color w:val="000000"/>
          <w:sz w:val="24"/>
          <w:szCs w:val="24"/>
          <w:highlight w:val="none"/>
        </w:rPr>
      </w:r>
      <w:r/>
    </w:p>
    <w:p>
      <w:pPr>
        <w:pStyle w:val="1396"/>
        <w:numPr>
          <w:ilvl w:val="0"/>
          <w:numId w:val="11"/>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▲搭载心肌缺血评估工具，可快速调取、查看全程 ST 数值变化情况。</w:t>
      </w:r>
      <w:r>
        <w:rPr>
          <w:rFonts w:hint="eastAsia" w:ascii="宋体" w:hAnsi="宋体" w:cs="宋体"/>
          <w:bCs/>
          <w:color w:val="000000"/>
          <w:sz w:val="24"/>
          <w:szCs w:val="24"/>
          <w:highlight w:val="none"/>
        </w:rPr>
      </w:r>
      <w:r/>
    </w:p>
    <w:p>
      <w:pPr>
        <w:pStyle w:val="1396"/>
        <w:ind w:firstLine="482"/>
        <w:spacing w:line="360" w:lineRule="auto"/>
        <w:tabs>
          <w:tab w:val="center" w:pos="4153" w:leader="none"/>
          <w:tab w:val="right" w:pos="8306"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3.9九标段：三茅街道社区卫生服务中心多功能心脏除颤仪1台（核心产品：多功能心脏除颤仪）；</w:t>
      </w:r>
      <w:r>
        <w:rPr>
          <w:rFonts w:hint="eastAsia" w:ascii="宋体" w:hAnsi="宋体" w:cs="宋体"/>
          <w:b/>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▲整机显示：整机轻便，重量≤5Kg（含电池及电极板）。</w:t>
      </w:r>
      <w:r>
        <w:rPr>
          <w:rFonts w:hint="eastAsia" w:ascii="宋体" w:hAnsi="宋体" w:cs="宋体"/>
          <w:bCs/>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≥7英寸高清显示屏，全中文界面，多通道波形同屏显示，自带故障图文指引。</w:t>
      </w:r>
      <w:r>
        <w:rPr>
          <w:rFonts w:hint="eastAsia" w:ascii="宋体" w:hAnsi="宋体" w:cs="宋体"/>
          <w:bCs/>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▲环境防护：≥IP54级防尘防水，0.75米抗跌落，符合救护车及除颤设备国际安全标准，高低温多场景适用。</w:t>
      </w:r>
      <w:r>
        <w:rPr>
          <w:rFonts w:hint="eastAsia" w:ascii="宋体" w:hAnsi="宋体" w:cs="宋体"/>
          <w:bCs/>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除颤波形：采用双相截断指数波形，带自动阻抗补偿，适配不同体型患者，提升复律成功率。</w:t>
      </w:r>
      <w:r>
        <w:rPr>
          <w:rFonts w:hint="eastAsia" w:ascii="宋体" w:hAnsi="宋体" w:cs="宋体"/>
          <w:bCs/>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除颤能量：能量最大360J，不少于 20 档可调，电极板集成能量调节、充电、放电控制，实时显示接触阻抗。</w:t>
      </w:r>
      <w:r>
        <w:rPr>
          <w:rFonts w:hint="eastAsia" w:ascii="宋体" w:hAnsi="宋体" w:cs="宋体"/>
          <w:bCs/>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充电速度：开机快速就绪，200J充电≤4 秒，360J充电≤8秒，放电后心电基线快速恢复。</w:t>
      </w:r>
      <w:r>
        <w:rPr>
          <w:rFonts w:hint="eastAsia" w:ascii="宋体" w:hAnsi="宋体" w:cs="宋体"/>
          <w:bCs/>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▲工作模式：支持手动除颤、同步复律、AED自动除颤，覆盖全年龄段患者。</w:t>
      </w:r>
      <w:r>
        <w:rPr>
          <w:rFonts w:hint="eastAsia" w:ascii="宋体" w:hAnsi="宋体" w:cs="宋体"/>
          <w:bCs/>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▲CPR复苏辅助功能：遵循国际复苏指南，实时反馈按压质量，支持按压心电滤波，抢救全程语音引导、长时间录音。</w:t>
      </w:r>
      <w:r>
        <w:rPr>
          <w:rFonts w:hint="eastAsia" w:ascii="宋体" w:hAnsi="宋体" w:cs="宋体"/>
          <w:bCs/>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▲多参数监护：标配5导心电、呼吸，可升级选配血氧、无创血压，成人/小儿/新生儿通用。</w:t>
      </w:r>
      <w:r>
        <w:rPr>
          <w:rFonts w:hint="eastAsia" w:ascii="宋体" w:hAnsi="宋体" w:cs="宋体"/>
          <w:bCs/>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心电分析：多档波形走速，心律失常识别≥20种，支持 ST、QT 段实时监测。</w:t>
      </w:r>
      <w:r>
        <w:rPr>
          <w:rFonts w:hint="eastAsia" w:ascii="宋体" w:hAnsi="宋体" w:cs="宋体"/>
          <w:bCs/>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无创血压：支持单次、自动、连续测量，分段适配不同人群，测量精度高。</w:t>
      </w:r>
      <w:r>
        <w:rPr>
          <w:rFonts w:hint="eastAsia" w:ascii="宋体" w:hAnsi="宋体" w:cs="宋体"/>
          <w:bCs/>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打印存储：50mm 记录仪，同步打印多道波形；大容量本地存储心电、抢救、自检数据，USB 导出。</w:t>
      </w:r>
      <w:r>
        <w:rPr>
          <w:rFonts w:hint="eastAsia" w:ascii="宋体" w:hAnsi="宋体" w:cs="宋体"/>
          <w:bCs/>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供电续航：大容量锂电池，可完成≥200次最大能量除颤；低电量预警后仍可短时监护及多次除颤。</w:t>
      </w:r>
      <w:r>
        <w:rPr>
          <w:rFonts w:hint="eastAsia" w:ascii="宋体" w:hAnsi="宋体" w:cs="宋体"/>
          <w:bCs/>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智能自检：支持定时自动整机自检，覆盖除颤、监护模块，自检报告可打印、存档。</w:t>
      </w:r>
      <w:r>
        <w:rPr>
          <w:rFonts w:hint="eastAsia" w:ascii="宋体" w:hAnsi="宋体" w:cs="宋体"/>
          <w:bCs/>
          <w:color w:val="000000"/>
          <w:sz w:val="24"/>
          <w:szCs w:val="24"/>
          <w:highlight w:val="none"/>
        </w:rPr>
      </w:r>
      <w:r/>
    </w:p>
    <w:p>
      <w:pPr>
        <w:pStyle w:val="1396"/>
        <w:numPr>
          <w:ilvl w:val="0"/>
          <w:numId w:val="12"/>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▲互联拓展：支持无线通信升级，标准医疗通讯协议，可对接院前急救系统、医院信息系统，数据自动上传。</w:t>
      </w:r>
      <w:r>
        <w:rPr>
          <w:rFonts w:hint="eastAsia" w:ascii="宋体" w:hAnsi="宋体" w:cs="宋体"/>
          <w:bCs/>
          <w:color w:val="000000"/>
          <w:sz w:val="24"/>
          <w:szCs w:val="24"/>
          <w:highlight w:val="none"/>
        </w:rPr>
      </w:r>
      <w:r/>
    </w:p>
    <w:p>
      <w:pPr>
        <w:pStyle w:val="1396"/>
        <w:ind w:firstLine="482"/>
        <w:spacing w:line="360" w:lineRule="auto"/>
        <w:tabs>
          <w:tab w:val="center" w:pos="4153" w:leader="none"/>
          <w:tab w:val="right" w:pos="8306"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3.10十标段：西来桥镇卫生院彩色超声诊断系统1台（核心产品：彩色超声诊断系统）；</w:t>
      </w:r>
      <w:r>
        <w:rPr>
          <w:rFonts w:hint="eastAsia" w:ascii="宋体" w:hAnsi="宋体" w:cs="宋体"/>
          <w:b/>
          <w:color w:val="000000"/>
          <w:sz w:val="24"/>
          <w:szCs w:val="24"/>
          <w:highlight w:val="none"/>
        </w:rPr>
      </w:r>
      <w:r/>
    </w:p>
    <w:p>
      <w:pPr>
        <w:pStyle w:val="1396"/>
        <w:numPr>
          <w:ilvl w:val="0"/>
          <w:numId w:val="13"/>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★主机一台，≥15.0英寸液晶显示器。</w:t>
      </w:r>
      <w:r>
        <w:rPr>
          <w:rFonts w:hint="eastAsia" w:ascii="宋体" w:hAnsi="宋体" w:cs="宋体"/>
          <w:bCs/>
          <w:color w:val="000000"/>
          <w:sz w:val="24"/>
          <w:szCs w:val="24"/>
          <w:highlight w:val="none"/>
        </w:rPr>
      </w:r>
      <w:r/>
    </w:p>
    <w:p>
      <w:pPr>
        <w:pStyle w:val="1396"/>
        <w:numPr>
          <w:ilvl w:val="0"/>
          <w:numId w:val="13"/>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★配备腹部、浅表、腔内3探头，有探头扩展器；</w:t>
      </w:r>
      <w:r>
        <w:rPr>
          <w:rFonts w:hint="eastAsia" w:ascii="宋体" w:hAnsi="宋体" w:cs="宋体"/>
          <w:bCs/>
          <w:color w:val="000000"/>
          <w:sz w:val="24"/>
          <w:szCs w:val="24"/>
          <w:highlight w:val="none"/>
        </w:rPr>
      </w:r>
      <w:r/>
    </w:p>
    <w:p>
      <w:pPr>
        <w:pStyle w:val="1396"/>
        <w:numPr>
          <w:ilvl w:val="0"/>
          <w:numId w:val="13"/>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★探头最高频率可支持1.0-17.0MHz，探头宽频变频支持基波、谐波、彩色多普勒、PW独立变频调节；</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①腹部凸阵探头，探头频率：1.5-6.0MHz</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②浅表线阵探头，探头频率：5.0-15.0MHz</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③腔内探头，探头频率：3.0-15.0MHz</w:t>
      </w:r>
      <w:r>
        <w:rPr>
          <w:rFonts w:hint="eastAsia" w:ascii="宋体" w:hAnsi="宋体" w:cs="宋体"/>
          <w:bCs/>
          <w:color w:val="000000"/>
          <w:sz w:val="24"/>
          <w:szCs w:val="24"/>
          <w:highlight w:val="none"/>
        </w:rPr>
      </w:r>
      <w:r/>
    </w:p>
    <w:p>
      <w:pPr>
        <w:pStyle w:val="1396"/>
        <w:numPr>
          <w:ilvl w:val="0"/>
          <w:numId w:val="13"/>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穿刺引导线：支持单线、双线区域及中线不同方式的引导线，沿引导线可移动滑块、有深度数值显示；</w:t>
      </w:r>
      <w:r>
        <w:rPr>
          <w:rFonts w:hint="eastAsia" w:ascii="宋体" w:hAnsi="宋体" w:cs="宋体"/>
          <w:bCs/>
          <w:color w:val="000000"/>
          <w:sz w:val="24"/>
          <w:szCs w:val="24"/>
          <w:highlight w:val="none"/>
        </w:rPr>
      </w:r>
      <w:r/>
    </w:p>
    <w:p>
      <w:pPr>
        <w:pStyle w:val="1396"/>
        <w:numPr>
          <w:ilvl w:val="0"/>
          <w:numId w:val="13"/>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成像技术：数字二维灰阶成像、数字谐波成像、数字彩色多普勒成像、数字频谱多普勒成像、数字M型成像、数字组织多普勒成像；</w:t>
      </w:r>
      <w:r>
        <w:rPr>
          <w:rFonts w:hint="eastAsia" w:ascii="宋体" w:hAnsi="宋体" w:cs="宋体"/>
          <w:bCs/>
          <w:color w:val="000000"/>
          <w:sz w:val="24"/>
          <w:szCs w:val="24"/>
          <w:highlight w:val="none"/>
        </w:rPr>
      </w:r>
      <w:r/>
    </w:p>
    <w:p>
      <w:pPr>
        <w:pStyle w:val="1396"/>
        <w:numPr>
          <w:ilvl w:val="0"/>
          <w:numId w:val="13"/>
        </w:numPr>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▲二维灰阶参数：</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 最大显示深度≥38cm ；</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②二维增益≥260dB，可视可调动态范围≥280（非系统动态范围）；</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③TGC≥8段调节，LGC≥8段调节；</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④伪彩图谱:≥12种，灰阶图谱:≥12种；</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（7）▲彩色多普勒参数：</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①增益≥250dB；</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②彩色多普勒能量图、方向性能量图、高分辨率血流；</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③低速血流增强显示技术，把一段时间内相邻帧图上的血流信号融合持续的显示在当前图像上，提升血流信号的显示能力，融合时间周期≥3级可调；</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④一键隐藏血流；</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⑤二维立体血流成像，二维血流显示立体视觉效果，减少伪像，具有独立按键，支持与彩色多普勒、能量、高分辨率血流及微血流成像叠加成像；</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⑥微细血流成像技术，观察肌骨等微血流循环，及时评估病变的情况，具有独立按键；</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⑦血流速度标识功能，用于标记不同速度的血流，用颜色标线动态描迹不同速度血流的位置状态，直观地观察局部血流速度梯度分布</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⑧取样框偏转≥±30°（以0°角为基准参考）</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（8）▲频谱多普勒参数：</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①方式：脉冲波多普勒（PW）、连续波多普勒（CW）；</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②取样宽度及位置范围：宽度 0.5–25mm；</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③取样线偏转角度≥±30°（以0°角为基准参考）；</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④最小可测速度：≤0.2mm/s（非噪声信号）；</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⑤支持TDI组织多普勒，支持组织彩色多普勒、能量、频谱多普勒、M型模式及定量分析；</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（9）▲内置锂电池，电池独立供电工作时间≥60分钟；</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（10）▲配备台车、行李箱；</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（11）▲内置高清工作站，系统可存储病人信息，可查询、检索、调阅历史信息；</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（12）▲读卡器；</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（13）▲智能软件标配；</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（14）▲使用年限≥10年；</w:t>
      </w:r>
      <w:r>
        <w:rPr>
          <w:rFonts w:hint="eastAsia" w:ascii="宋体" w:hAnsi="宋体" w:cs="宋体"/>
          <w:bCs/>
          <w:color w:val="000000"/>
          <w:sz w:val="24"/>
          <w:szCs w:val="24"/>
          <w:highlight w:val="none"/>
        </w:rPr>
      </w:r>
      <w:r/>
    </w:p>
    <w:p>
      <w:pPr>
        <w:pStyle w:val="1396"/>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四、辅材、配件（如有）</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rPr>
          <w:rFonts w:ascii="宋体" w:hAnsi="宋体" w:cs="宋体"/>
          <w:bCs/>
          <w:color w:val="000000"/>
          <w:sz w:val="24"/>
          <w:szCs w:val="24"/>
          <w:highlight w:val="none"/>
        </w:rPr>
      </w:r>
      <w:r/>
    </w:p>
    <w:p>
      <w:pPr>
        <w:pStyle w:val="1396"/>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五、供货要求</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1、交货方式：现场验收。</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2、交货地点：由采购方指定交货地点。</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rPr>
          <w:rFonts w:hint="eastAsia" w:ascii="宋体" w:hAnsi="宋体" w:cs="宋体"/>
          <w:bCs/>
          <w:color w:val="000000"/>
          <w:sz w:val="24"/>
          <w:szCs w:val="24"/>
          <w:highlight w:val="none"/>
        </w:rPr>
      </w:r>
      <w:r/>
    </w:p>
    <w:p>
      <w:pPr>
        <w:pStyle w:val="1396"/>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六、安装调试要求</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负责提供免费规范、达标的安装、调试及培训工作。应有专业技术团队保障设备安装质量和售后服务质量。安装工作所需的仪器和专用工具由供应商自备。安装、调试、培训、系统对接及垃圾清理等费用均包含在投标总价中。</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2、供应商负责派人员到现场进行安装调试，并确保正常使用，直至验收合格；应在货物运抵现场前，与采购人共同制定安装调试的进度计划表。</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3、设备有与相关业务系统对接要求的，供应商应负责设备与系统对接，供应商应确保设备与相关业务系统安全对接并正常使用。</w:t>
      </w:r>
      <w:r>
        <w:rPr>
          <w:rFonts w:hint="eastAsia" w:ascii="宋体" w:hAnsi="宋体" w:cs="宋体"/>
          <w:bCs/>
          <w:color w:val="000000"/>
          <w:sz w:val="24"/>
          <w:szCs w:val="24"/>
          <w:highlight w:val="none"/>
        </w:rPr>
      </w:r>
      <w:r/>
    </w:p>
    <w:p>
      <w:pPr>
        <w:pStyle w:val="1396"/>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七、国家或行业相关规范标准</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1、采用行业标准的不得低于国家标准；</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2、必须通过国家安装规范和验收规范。</w:t>
      </w:r>
      <w:r>
        <w:rPr>
          <w:rFonts w:hint="eastAsia" w:ascii="宋体" w:hAnsi="宋体" w:cs="宋体"/>
          <w:bCs/>
          <w:color w:val="000000"/>
          <w:sz w:val="24"/>
          <w:szCs w:val="24"/>
          <w:highlight w:val="none"/>
        </w:rPr>
      </w:r>
      <w:r/>
    </w:p>
    <w:p>
      <w:pPr>
        <w:pStyle w:val="1396"/>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八、履约验收要求</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2、中标人交货前应对产品作出全面检查和对验收文件进行整理，并列出清单，作为采购人收货验收和使用的技术条件依据，检验的结果应随货物交采购人。</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rPr>
          <w:rFonts w:hint="eastAsia" w:ascii="宋体" w:hAnsi="宋体" w:cs="宋体"/>
          <w:bCs/>
          <w:color w:val="000000"/>
          <w:sz w:val="24"/>
          <w:szCs w:val="24"/>
          <w:highlight w:val="none"/>
        </w:rPr>
      </w:r>
      <w:r/>
    </w:p>
    <w:p>
      <w:pPr>
        <w:pStyle w:val="1396"/>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九、培训要求</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1、成交人应免费为采购人提供操作培训，包括但不限于货物的基本性能、保养与管理、常见故障的排除、紧急情况的处理等并提供培训手册。</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2、装机1个月后，进行回访（实地或者电话），对操作中出现的问题进行解读并再次培训；</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3、装机6个月后，对使用情况进行再次复查，确保操作人员熟练掌握相关内容。</w:t>
      </w:r>
      <w:r>
        <w:rPr>
          <w:rFonts w:hint="eastAsia" w:ascii="宋体" w:hAnsi="宋体" w:cs="宋体"/>
          <w:bCs/>
          <w:color w:val="000000"/>
          <w:sz w:val="24"/>
          <w:szCs w:val="24"/>
          <w:highlight w:val="none"/>
        </w:rPr>
      </w:r>
      <w:r/>
    </w:p>
    <w:p>
      <w:pPr>
        <w:pStyle w:val="1396"/>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十、售后服务要求</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1、质保期：</w:t>
      </w:r>
      <w:bookmarkStart w:id="203" w:name="_Hlk131510787"/>
      <w:r>
        <w:rPr>
          <w:rFonts w:hint="eastAsia" w:ascii="宋体" w:hAnsi="宋体" w:cs="宋体"/>
          <w:bCs/>
          <w:color w:val="000000"/>
          <w:sz w:val="24"/>
          <w:szCs w:val="24"/>
          <w:highlight w:val="none"/>
        </w:rPr>
        <w:t xml:space="preserve">本项目所有设备整机（包含原厂配套设备及配件）质保期不得少于</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年</w:t>
      </w:r>
      <w:bookmarkEnd w:id="203"/>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质保期自项目从设备安装调试后无质量问题能够正常使用，双方签订验收报告之日起计算。质保期内若仪器出现故障，免收任何费用。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4、供应商应保证在设备寿命期内，设备软件终身免费升级，设备经过正确安装、合理操作和维护保养情况下能够安全、良好运转。</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rFonts w:hint="eastAsia" w:ascii="宋体" w:hAnsi="宋体" w:cs="宋体"/>
          <w:bCs/>
          <w:color w:val="000000"/>
          <w:sz w:val="24"/>
          <w:szCs w:val="24"/>
          <w:highlight w:val="none"/>
        </w:rPr>
      </w:r>
      <w:r/>
    </w:p>
    <w:p>
      <w:pPr>
        <w:pStyle w:val="1396"/>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十一、投标报价要求</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报价应包含与本次采购项目有关的所有费用。包含但不限于人员、设备、安装调试、验收、售后服务、招标代理费、伴随配套服务等所有含税费用。同时，还应包含支付给员工的工资和国家强制缴纳的各种社会保障资金，以及供应商认为需要的其他费用等；</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3、供应商报价除包含采购文件中列明的项目外还应包括保障服务正常运行应当具有的物资和服务，对服务正常运行应当具有的物资和服务理解不一致的以采购人理解为准。</w:t>
      </w:r>
      <w:r>
        <w:rPr>
          <w:rFonts w:hint="eastAsia" w:ascii="宋体" w:hAnsi="宋体" w:cs="宋体"/>
          <w:bCs/>
          <w:color w:val="000000"/>
          <w:sz w:val="24"/>
          <w:szCs w:val="24"/>
          <w:highlight w:val="none"/>
        </w:rPr>
      </w:r>
      <w:r/>
    </w:p>
    <w:p>
      <w:pPr>
        <w:pStyle w:val="1396"/>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十二、基本服务要求</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1、所供的货物是全新、未使用过的产品，材质、规格型号、技术参数必须遵守国家颁布标准和有关规定。</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2、质量标准：中标供应商提供的货物须提供产品质量检验合格证明。</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3、所供的货物是全新、未使用过的产品，材质、规格型号、技术参数必须遵守国。厂家有同系列仪器软件升级，甲方享有免费升级的权利。</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4、投标人需根据采购需求、评分办法提供相应的实施方案、培训方案、应急预案、售后服务等。具体详见评分办法。</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标人应严格按照招标文件的要求和国家有关标准、规定，提供全新、未经使用且技术先进的设备产品。投标人必须保证提供产品与招标文件所述的质量、规格和性能完全一致，所提供的设备及配件达到或优于采购参数要求。</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6、投标人所提供的货物开箱后，如采购人发现有任何问题(如外观有损伤)投标人必须立即以同样货号的产品在采购人商定的时间内更换，确保其使用。</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7、成交人在履行合同过程中，一切事故的责任由成交单位自行承担。</w:t>
      </w:r>
      <w:r>
        <w:rPr>
          <w:rFonts w:hint="eastAsia" w:ascii="宋体" w:hAnsi="宋体" w:cs="宋体"/>
          <w:bCs/>
          <w:color w:val="000000"/>
          <w:sz w:val="24"/>
          <w:szCs w:val="24"/>
          <w:highlight w:val="none"/>
        </w:rPr>
      </w:r>
      <w:r/>
    </w:p>
    <w:p>
      <w:pPr>
        <w:pStyle w:val="1396"/>
        <w:ind w:firstLine="480"/>
        <w:spacing w:line="360" w:lineRule="auto"/>
        <w:tabs>
          <w:tab w:val="center" w:pos="4153" w:leader="none"/>
          <w:tab w:val="right" w:pos="8306" w:leader="none"/>
        </w:tabs>
        <w:rPr>
          <w:rFonts w:hint="eastAsia" w:ascii="宋体" w:hAnsi="宋体" w:cs="宋体"/>
          <w:bCs/>
          <w:color w:val="000000"/>
          <w:sz w:val="24"/>
          <w:szCs w:val="24"/>
          <w:highlight w:val="none"/>
        </w:rPr>
        <w:sectPr>
          <w:headerReference w:type="default" r:id="rId9"/>
          <w:footerReference w:type="default" r:id="rId11"/>
          <w:footerReference w:type="first" r:id="rId12"/>
          <w:footnotePr/>
          <w:endnotePr/>
          <w:type w:val="nextPage"/>
          <w:pgSz w:w="11905" w:h="16837" w:orient="portrait"/>
          <w:pgMar w:top="1440" w:right="1418" w:bottom="1440" w:left="1803" w:header="851" w:footer="992" w:gutter="0"/>
          <w:cols w:num="1" w:sep="0" w:space="1701" w:equalWidth="1"/>
          <w:docGrid w:linePitch="360"/>
          <w:titlePg/>
        </w:sectPr>
      </w:pPr>
      <w:r>
        <w:rPr>
          <w:rFonts w:hint="eastAsia" w:ascii="宋体" w:hAnsi="宋体" w:cs="宋体"/>
          <w:bCs/>
          <w:color w:val="000000"/>
          <w:sz w:val="24"/>
          <w:szCs w:val="24"/>
          <w:highlight w:val="none"/>
        </w:rPr>
      </w:r>
      <w:r/>
    </w:p>
    <w:p>
      <w:pPr>
        <w:pStyle w:val="1317"/>
        <w:spacing w:before="145" w:after="145" w:line="440" w:lineRule="exact"/>
        <w:rPr>
          <w:rFonts w:hint="eastAsia"/>
          <w:color w:val="000000"/>
          <w:highlight w:val="none"/>
        </w:rPr>
      </w:pPr>
      <w:r>
        <w:rPr>
          <w:rFonts w:hint="eastAsia" w:ascii="黑体" w:eastAsia="黑体"/>
          <w:bCs/>
          <w:color w:val="000000"/>
          <w:sz w:val="32"/>
          <w:szCs w:val="32"/>
          <w:highlight w:val="none"/>
        </w:rPr>
        <w:t xml:space="preserve">第五章  </w:t>
      </w:r>
      <w:r>
        <w:rPr>
          <w:rFonts w:hint="eastAsia" w:ascii="黑体" w:eastAsia="黑体"/>
          <w:b/>
          <w:bCs/>
          <w:color w:val="000000"/>
          <w:sz w:val="32"/>
          <w:szCs w:val="32"/>
          <w:highlight w:val="none"/>
        </w:rPr>
        <w:t xml:space="preserve">评标方法与评标标准</w:t>
      </w:r>
      <w:r>
        <w:rPr>
          <w:rFonts w:hint="eastAsia"/>
          <w:color w:val="000000"/>
          <w:highlight w:val="none"/>
        </w:rPr>
      </w:r>
      <w:r/>
    </w:p>
    <w:p>
      <w:pPr>
        <w:pStyle w:val="1316"/>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每个标段选取1名中标候选人。</w:t>
      </w:r>
      <w:r>
        <w:rPr>
          <w:rFonts w:hint="eastAsia" w:ascii="宋体" w:hAnsi="宋体"/>
          <w:color w:val="000000"/>
          <w:sz w:val="24"/>
          <w:szCs w:val="24"/>
          <w:highlight w:val="none"/>
        </w:rPr>
      </w:r>
      <w:r/>
    </w:p>
    <w:p>
      <w:pPr>
        <w:pStyle w:val="1420"/>
        <w:ind w:firstLine="441"/>
        <w:spacing w:before="0" w:after="0" w:line="440" w:lineRule="exact"/>
        <w:rPr>
          <w:rFonts w:hint="eastAsia" w:ascii="宋体" w:hAnsi="宋体"/>
          <w:b/>
          <w:color w:val="000000"/>
          <w:highlight w:val="none"/>
        </w:rPr>
      </w:pPr>
      <w:r>
        <w:rPr>
          <w:rFonts w:hint="eastAsia" w:ascii="宋体" w:hAnsi="宋体"/>
          <w:b/>
          <w:color w:val="000000"/>
          <w:highlight w:val="none"/>
        </w:rPr>
        <w:t xml:space="preserve">政府政策功能落实</w:t>
      </w:r>
      <w:r>
        <w:rPr>
          <w:rFonts w:hint="eastAsia" w:ascii="宋体" w:hAnsi="宋体"/>
          <w:b/>
          <w:color w:val="000000"/>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1316"/>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1316"/>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（2）投标人需按照采购文件的要求提供相应的《中小企业声明函》。</w:t>
      </w:r>
      <w:r>
        <w:rPr>
          <w:rFonts w:hint="eastAsia" w:ascii="宋体" w:hAnsi="宋体"/>
          <w:color w:val="000000"/>
          <w:sz w:val="24"/>
          <w:szCs w:val="24"/>
          <w:highlight w:val="none"/>
        </w:rPr>
      </w:r>
      <w:r/>
    </w:p>
    <w:p>
      <w:pPr>
        <w:pStyle w:val="1316"/>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1316"/>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316"/>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1316"/>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投标人如不提供上述证明文件，价格将不做相应扣除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lang w:val="en-US" w:eastAsia="zh-CN" w:bidi="ar-SA"/>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rPr>
        <w:t xml:space="preserve">6%</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7、采购本国产品的支持政策</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7.3本项目政府采购活动中既有本国产品又有非本国产品参与竞争的，依法对本国产品给予价格评审优惠，对本国产品的报价给予20%的价格扣除，用扣除后的价格参与评审。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7.4当采购项目或者采购包中含有多种产品，投标人为该采购项目或者采购包提供的符合本国产品标准的产品成本之和占该投标人提供的全部产品成本之和的比例达到80%以上时（投标人需在“投标文件格式”的“附件: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7.5投标人需按照招标文件的要求提供《关于符合本国产品标准的声明函》（以下简称《声明函》），如不提供将不享受本国产品价格评审优惠。</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1316"/>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szCs w:val="24"/>
          <w:highlight w:val="none"/>
        </w:rPr>
      </w:r>
      <w:r/>
    </w:p>
    <w:p>
      <w:pPr>
        <w:pStyle w:val="1420"/>
        <w:ind w:firstLine="482"/>
        <w:spacing w:before="0" w:after="0" w:line="440" w:lineRule="exac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一标段：扬中市中医院麻醉机1台及八桥中心卫生院麻醉呼吸机1台采购，共2台；</w:t>
      </w:r>
      <w:r>
        <w:rPr>
          <w:rFonts w:hint="eastAsia" w:ascii="宋体" w:hAnsi="宋体" w:cs="宋体"/>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1269"/>
        <w:gridCol w:w="5981"/>
        <w:gridCol w:w="1005"/>
      </w:tblGrid>
      <w:tr>
        <w:trPr/>
        <w:tc>
          <w:tcPr>
            <w:tcW w:w="914"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1269"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评分项目</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评分标准说明</w:t>
            </w:r>
            <w:r>
              <w:rPr>
                <w:rFonts w:hint="eastAsia" w:ascii="宋体" w:hAnsi="宋体" w:cs="宋体"/>
                <w:b/>
                <w:bCs/>
                <w:color w:val="000000"/>
                <w:sz w:val="24"/>
                <w:szCs w:val="24"/>
                <w:highlight w:val="none"/>
              </w:rPr>
            </w:r>
            <w:r/>
          </w:p>
        </w:tc>
        <w:tc>
          <w:tcPr>
            <w:tcW w:w="1005"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分值</w:t>
            </w:r>
            <w:r>
              <w:rPr>
                <w:rFonts w:hint="eastAsia" w:ascii="宋体" w:hAnsi="宋体" w:cs="宋体"/>
                <w:b/>
                <w:bCs/>
                <w:color w:val="000000"/>
                <w:sz w:val="24"/>
                <w:szCs w:val="24"/>
                <w:highlight w:val="none"/>
              </w:rPr>
            </w:r>
            <w:r/>
          </w:p>
        </w:tc>
      </w:tr>
      <w:tr>
        <w:trPr>
          <w:trHeight w:val="9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投标报价30分</w:t>
            </w:r>
            <w:r>
              <w:rPr>
                <w:rFonts w:hint="eastAsia" w:ascii="宋体" w:hAnsi="宋体" w:cs="宋体"/>
                <w:b/>
                <w:bCs/>
                <w:color w:val="000000"/>
                <w:sz w:val="24"/>
                <w:szCs w:val="24"/>
                <w:highlight w:val="none"/>
              </w:rPr>
            </w:r>
            <w:r/>
          </w:p>
        </w:tc>
      </w:tr>
      <w:tr>
        <w:trPr>
          <w:trHeight w:val="2163"/>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报价得分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综合评分法中的价格分采用低价优先法计算，即满足招标文件要求且投标价格最低的投标报价为评标基准价，其价格分为满分30分。其他投标人的价格分统一按照下列公式计算：</w:t>
            </w:r>
            <w:r>
              <w:rPr>
                <w:rFonts w:hint="eastAsia" w:ascii="宋体" w:hAnsi="宋体" w:cs="宋体"/>
                <w:color w:val="000000"/>
                <w:sz w:val="24"/>
                <w:szCs w:val="24"/>
                <w:highlight w:val="none"/>
              </w:rPr>
            </w:r>
            <w:r/>
          </w:p>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投标报价得分=(评标基准价／投标报价)×30</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30分</w:t>
            </w:r>
            <w:r>
              <w:rPr>
                <w:rFonts w:hint="eastAsia" w:ascii="宋体" w:hAnsi="宋体" w:cs="宋体"/>
                <w:color w:val="000000"/>
                <w:sz w:val="24"/>
                <w:szCs w:val="24"/>
                <w:highlight w:val="none"/>
              </w:rPr>
            </w:r>
            <w:r/>
          </w:p>
        </w:tc>
      </w:tr>
      <w:tr>
        <w:trPr>
          <w:trHeight w:val="45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技术部分70分</w:t>
            </w:r>
            <w:r>
              <w:rPr>
                <w:rFonts w:hint="eastAsia" w:ascii="宋体" w:hAnsi="宋体" w:cs="宋体"/>
                <w:b/>
                <w:bCs/>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b/>
                <w:bCs/>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质量性能 （39分）</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性能参数（21分）：根据各投标人所投产品功能(性能)及配置、对招标文件各项技术参数及配置要求的逐项响应情况及偏离表综合评定，投标人所投产品技术参数及配置要求均满足基本采购需求的得满分21分，（打“</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t xml:space="preserve">”的条款不参与本小项的扣分）；打“★”部分有一项负偏离扣3分;其他部分的参数有一项负偏离扣1分，扣完为止。本项最高得21分。</w:t>
            </w:r>
            <w:r>
              <w:rPr>
                <w:rFonts w:hint="eastAsia" w:ascii="宋体" w:hAnsi="宋体" w:cs="宋体"/>
                <w:color w:val="000000"/>
                <w:sz w:val="24"/>
                <w:szCs w:val="24"/>
                <w:highlight w:val="none"/>
              </w:rPr>
            </w:r>
            <w:r/>
          </w:p>
          <w:p>
            <w:pPr>
              <w:pStyle w:val="1316"/>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（2）设备适用于成人、儿童和新生儿全人群的得1分，仅适用于部分人群的得0.5分，本小项最高得1分</w:t>
            </w:r>
            <w:r>
              <w:rPr>
                <w:rFonts w:hint="eastAsia" w:ascii="宋体" w:hAnsi="宋体" w:cs="宋体"/>
                <w:b/>
                <w:bCs/>
                <w:color w:val="000000"/>
                <w:sz w:val="24"/>
                <w:szCs w:val="24"/>
                <w:highlight w:val="none"/>
              </w:rPr>
              <w:t xml:space="preserve">。(提供注册证标明)</w:t>
            </w:r>
            <w:r>
              <w:rPr>
                <w:rFonts w:hint="eastAsia" w:ascii="宋体" w:hAnsi="宋体" w:cs="宋体"/>
                <w:b/>
                <w:bCs/>
                <w:color w:val="000000"/>
                <w:sz w:val="24"/>
                <w:szCs w:val="24"/>
                <w:highlight w:val="none"/>
              </w:rPr>
            </w:r>
            <w:r/>
          </w:p>
          <w:p>
            <w:pPr>
              <w:pStyle w:val="1316"/>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（3）采用容量交换器式呼吸机或电动活塞式呼吸机得3分，采用气动电控呼吸机等其他方式得1分，本项最高得3分。</w:t>
            </w:r>
            <w:r>
              <w:rPr>
                <w:rFonts w:hint="eastAsia" w:ascii="宋体" w:hAnsi="宋体" w:cs="宋体"/>
                <w:b/>
                <w:bCs/>
                <w:color w:val="000000"/>
                <w:sz w:val="24"/>
                <w:szCs w:val="24"/>
                <w:highlight w:val="none"/>
              </w:rPr>
              <w:t xml:space="preserve">（提供证明材料加盖公章）。</w:t>
            </w:r>
            <w:r>
              <w:rPr>
                <w:rFonts w:hint="eastAsia" w:ascii="宋体" w:hAnsi="宋体" w:cs="宋体"/>
                <w:color w:val="000000"/>
                <w:sz w:val="24"/>
                <w:szCs w:val="24"/>
                <w:highlight w:val="none"/>
              </w:rPr>
            </w:r>
            <w:r/>
          </w:p>
          <w:p>
            <w:pPr>
              <w:pStyle w:val="1316"/>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（4）最大吸气流速≥180 L/min的得2分，180L/min＜最大吸气流速≥160 L/min的得1分，160L/min＜最大吸气流速</w:t>
            </w:r>
            <w:r>
              <w:rPr>
                <w:rFonts w:hint="eastAsia" w:ascii="宋体" w:hAnsi="宋体" w:cs="宋体"/>
                <w:b/>
                <w:color w:val="000000"/>
                <w:sz w:val="24"/>
                <w:szCs w:val="24"/>
                <w:highlight w:val="none"/>
              </w:rPr>
              <w:t xml:space="preserve">≥</w:t>
            </w:r>
            <w:r>
              <w:rPr>
                <w:rFonts w:hint="eastAsia" w:ascii="宋体" w:hAnsi="宋体" w:cs="宋体"/>
                <w:color w:val="000000"/>
                <w:sz w:val="24"/>
                <w:szCs w:val="24"/>
                <w:highlight w:val="none"/>
              </w:rPr>
              <w:t xml:space="preserve">120L/min的得0.5分，本小项最高得2分。</w:t>
            </w:r>
            <w:r>
              <w:rPr>
                <w:rFonts w:hint="eastAsia" w:ascii="宋体" w:hAnsi="宋体" w:cs="宋体"/>
                <w:b/>
                <w:bCs/>
                <w:color w:val="000000"/>
                <w:sz w:val="24"/>
                <w:szCs w:val="24"/>
                <w:highlight w:val="none"/>
              </w:rPr>
              <w:t xml:space="preserve">（提供证明材料加盖公章）。</w:t>
            </w:r>
            <w:r>
              <w:rPr>
                <w:rFonts w:hint="eastAsia" w:ascii="宋体" w:hAnsi="宋体" w:cs="宋体"/>
                <w:color w:val="000000"/>
                <w:sz w:val="24"/>
                <w:szCs w:val="24"/>
                <w:highlight w:val="none"/>
              </w:rPr>
            </w:r>
            <w:r/>
          </w:p>
          <w:p>
            <w:pPr>
              <w:pStyle w:val="1316"/>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（5）采用热丝式流量传感器得3分，采用压差式流量传感器等其他方式得1分，本项最高得3分。</w:t>
            </w:r>
            <w:r>
              <w:rPr>
                <w:rFonts w:hint="eastAsia" w:ascii="宋体" w:hAnsi="宋体" w:cs="宋体"/>
                <w:b/>
                <w:bCs/>
                <w:color w:val="000000"/>
                <w:sz w:val="24"/>
                <w:szCs w:val="24"/>
                <w:highlight w:val="none"/>
              </w:rPr>
              <w:t xml:space="preserve">（提供证明材料加盖公章）。</w:t>
            </w:r>
            <w:r>
              <w:rPr>
                <w:rFonts w:hint="eastAsia" w:ascii="宋体" w:hAnsi="宋体" w:cs="宋体"/>
                <w:color w:val="000000"/>
                <w:sz w:val="24"/>
                <w:szCs w:val="24"/>
                <w:highlight w:val="none"/>
              </w:rPr>
            </w:r>
            <w:r/>
          </w:p>
          <w:p>
            <w:pPr>
              <w:pStyle w:val="1316"/>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（6）配套主机同品牌七氟醚挥发罐得2分，可升级同品牌地氟醚挥发罐得3分，本项最高得3分。</w:t>
            </w:r>
            <w:r>
              <w:rPr>
                <w:rFonts w:hint="eastAsia" w:ascii="宋体" w:hAnsi="宋体" w:cs="宋体"/>
                <w:b/>
                <w:bCs/>
                <w:color w:val="000000"/>
                <w:sz w:val="24"/>
                <w:szCs w:val="24"/>
                <w:highlight w:val="none"/>
              </w:rPr>
              <w:t xml:space="preserve">（提供证明材料加盖公章）。</w:t>
            </w:r>
            <w:r>
              <w:rPr>
                <w:rFonts w:ascii="宋体" w:hAnsi="宋体" w:cs="宋体"/>
                <w:color w:val="000000"/>
                <w:sz w:val="24"/>
                <w:szCs w:val="24"/>
                <w:highlight w:val="none"/>
              </w:rPr>
            </w:r>
            <w:r/>
          </w:p>
          <w:p>
            <w:pPr>
              <w:pStyle w:val="1316"/>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（7）机械流量计得 1 分，半电子流量计（机械旋钮调节电子流量显示）得 2分，全电子流量计（同时具备电子调节及电子显示）得 3分，本项最高得3分</w:t>
            </w:r>
            <w:r>
              <w:rPr>
                <w:rFonts w:hint="eastAsia" w:ascii="宋体" w:hAnsi="宋体" w:cs="宋体"/>
                <w:b/>
                <w:bCs/>
                <w:color w:val="000000"/>
                <w:sz w:val="24"/>
                <w:szCs w:val="24"/>
                <w:highlight w:val="none"/>
              </w:rPr>
              <w:t xml:space="preserve">。（提供证明材料加盖公章）。</w:t>
            </w:r>
            <w:r>
              <w:rPr>
                <w:rFonts w:hint="eastAsia" w:ascii="宋体" w:hAnsi="宋体" w:cs="宋体"/>
                <w:b/>
                <w:bCs/>
                <w:color w:val="000000"/>
                <w:sz w:val="24"/>
                <w:szCs w:val="24"/>
                <w:highlight w:val="none"/>
              </w:rPr>
            </w:r>
            <w:r/>
          </w:p>
          <w:p>
            <w:pPr>
              <w:pStyle w:val="1316"/>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（8）原厂质保（3分）：根据各供应商提供的免费原厂质保年限打分，提供5年厂家整机质保及以下不得分，在5年的基础上每增加一年得1分，最高得3分。（提供产品免费质保年限的承诺，格式自拟）</w:t>
            </w:r>
            <w:r>
              <w:rPr>
                <w:rFonts w:hint="eastAsia" w:ascii="宋体" w:hAnsi="宋体" w:cs="宋体"/>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注：①投标人在技术响应（偏离表）中必须如实表述产品技术参数是否偏离。</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投标人需按照本采购文件具体功能技术要求在“技术参数响应及偏离表”中如实详细填列所投产品的参数，需提供相应证明文件（如医疗器械注册证及附页或技术白皮书或合格的检测报告等）。各投标人须如实描述所投产品的技术性能，若虚构产品技术参数的，将视为虚假响应，作无效投标。要求提供相关证明材料但未提供则视为该功能参数响应负偏离，进行扣分或无效响应处理。</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③技术参数无要求提供相应的证明材料，响应即可，未响应或未按照要求提供佐证材料视为负偏离，进行扣分处理。</w:t>
            </w:r>
            <w:r>
              <w:rPr>
                <w:rFonts w:hint="eastAsia" w:ascii="宋体" w:hAnsi="宋体" w:cs="宋体"/>
                <w:b/>
                <w:bCs/>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39分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实施方案（6分）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根据各投标人提供的实施方案，包括供货方案（包含但不限于①货物的包装、②供货进度保证措施等）、安</w:t>
            </w:r>
            <w:r>
              <w:rPr>
                <w:rFonts w:hint="eastAsia" w:ascii="宋体" w:hAnsi="宋体" w:cs="宋体"/>
                <w:color w:val="000000"/>
                <w:sz w:val="24"/>
                <w:szCs w:val="24"/>
                <w:highlight w:val="none"/>
              </w:rPr>
              <w:t xml:space="preserve">装、调试和验收方案（包括但不限于针对调试、验收计划及保证措施和体系）、质量和安全管理体系与措施（包括但不限于①质量体系与措施、②安全管理体系与措施等）等内容综合评定。以上内容全部包含，且每项均有具体可操作的落实措施，方案内容完整、合理可行、完全满足实际要求的得6分；以上内容部分包含且方案内容较完整、较科学合理、基本满足实际要求，有相应落实措施的得4分；以上内容部分包含，方案内容不太完整、部分满足实际要求，有简要措施的得2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hint="eastAsia" w:ascii="宋体" w:hAnsi="宋体" w:cs="宋体"/>
                <w:color w:val="000000"/>
                <w:sz w:val="24"/>
                <w:szCs w:val="24"/>
                <w:highlight w:val="none"/>
              </w:rPr>
            </w:r>
            <w:r/>
          </w:p>
        </w:tc>
      </w:tr>
      <w:tr>
        <w:trPr>
          <w:trHeight w:val="444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项目验收方案(4分)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具体详实的项目验收方案等综合评定，包括但不限于（验收流程和步骤说明、验收标准、验收人员组成及职责分工说明、验收不合格时的处理方案等），以上内容全部包含，且每项均有具体可操作的落实措施，方案内容完整、合理可行、完全满足实际要求的得4分；以上内容部分包含，方案内容较完整、较科学合理、基本满足实际要求，且有相应落实措施的得2分；以上内容部分包含，方案内容不太完整、部分满足实际要求，有简要措施的得1分；方案不完整、不合理、不满足实际要求的，措施笼统无可操作性得0.5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售后服务方案（5分）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根据各投标人提供售后服务方案（包括但不限于回访巡检方案、故障解决措施、技术人员保障、备品配件保障等）、本地化服务方案（各服务网点、维修</w:t>
            </w:r>
            <w:r>
              <w:rPr>
                <w:rFonts w:hint="eastAsia" w:ascii="宋体" w:hAnsi="宋体" w:cs="宋体"/>
                <w:color w:val="000000"/>
                <w:sz w:val="24"/>
                <w:szCs w:val="24"/>
                <w:highlight w:val="none"/>
              </w:rPr>
              <w:t xml:space="preserve">网点设置情况以及技术人员安排情况）等综合评定，以上内容全部包含，且每项均有具体可操作的落实措施，方案内容详细完整、详细，完全满足项目实际需求的得5分；以上内容部分包含，方案内容较完整、较科学合理、基本满足实际要求，内容解读具有比较可行性、合理性、能够基本满足本项目采购需求内容，完整和实用，没有相关证明材料支撑的得3分；以上内容部分包含，内容基本完整、思路清晰、可行性较好，没有相关证明材料支撑的得2分；方案不完整、不合理、不满足实际要求的，措施笼统无可操作性，没有相关证明材料支撑的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tc>
      </w:tr>
      <w:tr>
        <w:trPr>
          <w:trHeight w:val="2735"/>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应急响应方案（4分）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根据对维修设备的响应和应急故障修复方</w:t>
            </w:r>
            <w:r>
              <w:rPr>
                <w:rFonts w:hint="eastAsia" w:ascii="宋体" w:hAnsi="宋体" w:cs="宋体"/>
                <w:color w:val="000000"/>
                <w:sz w:val="24"/>
                <w:szCs w:val="24"/>
                <w:highlight w:val="none"/>
              </w:rPr>
              <w:t xml:space="preserve">案等综合评定。方案应包含但不限于响应时间、回访巡检、故障解决、本地化服务人员构成、维修网点设置情况、备件储备情况等方面。以上内容全部包含，且每项均有具体可操作的落实措施，维修响应速度快，维修方案全面可行性强，方案内容详细完整、详细，完全满足项目实际需求得4分；以上内容部分包含，方案内容较完整、较科学合理、基本满足实际要求，且有相应落实措施的得2分；以上内容部分包含，方案内容不太完整、部分满足实际要求，有简要措施的得1分；方案不完整、不合理、不满足实际要求的，措施笼统无可操作性得0.5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r>
        <w:trPr>
          <w:trHeight w:val="31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W w:w="1269" w:type="dxa"/>
            <w:vAlign w:val="center"/>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主要配件/耗材情况（3分）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所投产品列出保修期外主要配件/耗材的清单和价格，根据配件/耗材的质量品质、价格等综合评定。提供的清单完整（列出保修期外所有主要配件/耗材的名称、规格型号及单价）、适应性强、配套性高（承诺保修期外配件/耗材的供应）、价格最优惠（所报配件/耗材价格与市场同类产品价格相比具有竞争力）得3分；以上内容部分包含，提供的清单完整度一般、适应性一般、配套一般、价格较优惠得2分；提供的清单笼统、配套不完善、价格优惠力度低得1分；未提供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w:t>
            </w:r>
            <w:r>
              <w:rPr>
                <w:rFonts w:hint="eastAsia" w:ascii="宋体" w:hAnsi="宋体" w:cs="宋体"/>
                <w:color w:val="000000"/>
                <w:sz w:val="24"/>
                <w:szCs w:val="24"/>
                <w:highlight w:val="none"/>
              </w:rPr>
            </w:r>
            <w:r/>
          </w:p>
        </w:tc>
      </w:tr>
      <w:tr>
        <w:trPr>
          <w:trHeight w:val="489"/>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培训方案（5分）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技术培训方案（包括但不限于对用户的操作培训、业务功能培训等相关培训计划方案，除正常操作培训外，提出其他技术培训保障方案等）进行横向比较打分，以上内容全部包含，且每项均有具体可操作的落实措施，培训方案完整、详细、可行的得5分；以上内容部分包含，方案内容较完整、较科学合理、基本满足实际要求，内容解读具有比较可行性、合理性、能够基本满足本项目采购需求内容的得3分；以上内容部分包含，有方案，但方案内容模糊，没有针对本项目主要工作内容制定，内容不详实、不完整、内容不全面的1分。没有内容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tc>
      </w:tr>
      <w:tr>
        <w:trPr>
          <w:trHeight w:val="2010"/>
        </w:trPr>
        <w:tc>
          <w:tcPr>
            <w:tcW w:w="914" w:type="dxa"/>
            <w:vAlign w:val="center"/>
            <w:textDirection w:val="lrTb"/>
            <w:noWrap w:val="false"/>
          </w:tcPr>
          <w:p>
            <w:pPr>
              <w:pStyle w:val="1316"/>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往期案例分析（4分）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响应文件中提供的承担过2022年1月1日后与本次所投设备同类型的设备案例分析进行综合评价，对往期多个案例分析有针对性、分析详尽的，且有与本项目服务内容相关的证明材料支撑的最高得4分；仅对个别案例进行简单分析的得2分；往期做过类似案例，但针对本项目没有具体的经验分析的得1分；往期未做过类似案例，但针对本项目有经验分析的得0.5分，未提供的不得分。</w:t>
            </w:r>
            <w:r>
              <w:rPr>
                <w:rFonts w:hint="eastAsia" w:ascii="宋体" w:hAnsi="宋体" w:cs="宋体"/>
                <w:color w:val="000000"/>
                <w:sz w:val="24"/>
                <w:szCs w:val="24"/>
                <w:highlight w:val="none"/>
              </w:rPr>
            </w:r>
            <w:r/>
          </w:p>
          <w:p>
            <w:pPr>
              <w:pStyle w:val="1316"/>
              <w:ind w:firstLine="482"/>
              <w:jc w:val="center"/>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注：提供采购合同（所提供合同中显示的合同货物需与本次所投产品相同、甲方须为货物使用单位，乙方为生产企业或各经销商均可）加盖公章上传至“苏采云”系统相应位置。</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bl>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二标段：扬中市中医院碎石机1台采购；</w:t>
      </w:r>
      <w:r>
        <w:rPr>
          <w:rFonts w:hint="eastAsia" w:ascii="宋体" w:hAnsi="宋体" w:cs="宋体"/>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1269"/>
        <w:gridCol w:w="5981"/>
        <w:gridCol w:w="1005"/>
      </w:tblGrid>
      <w:tr>
        <w:trPr/>
        <w:tc>
          <w:tcPr>
            <w:tcW w:w="914"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1269"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评分项目</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评分标准说明</w:t>
            </w:r>
            <w:r>
              <w:rPr>
                <w:rFonts w:hint="eastAsia" w:ascii="宋体" w:hAnsi="宋体" w:cs="宋体"/>
                <w:b/>
                <w:bCs/>
                <w:color w:val="000000"/>
                <w:sz w:val="24"/>
                <w:szCs w:val="24"/>
                <w:highlight w:val="none"/>
              </w:rPr>
            </w:r>
            <w:r/>
          </w:p>
        </w:tc>
        <w:tc>
          <w:tcPr>
            <w:tcW w:w="1005"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分值</w:t>
            </w:r>
            <w:r>
              <w:rPr>
                <w:rFonts w:hint="eastAsia" w:ascii="宋体" w:hAnsi="宋体" w:cs="宋体"/>
                <w:b/>
                <w:bCs/>
                <w:color w:val="000000"/>
                <w:sz w:val="24"/>
                <w:szCs w:val="24"/>
                <w:highlight w:val="none"/>
              </w:rPr>
            </w:r>
            <w:r/>
          </w:p>
        </w:tc>
      </w:tr>
      <w:tr>
        <w:trPr>
          <w:trHeight w:val="9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投标报价30分</w:t>
            </w:r>
            <w:r>
              <w:rPr>
                <w:rFonts w:hint="eastAsia" w:ascii="宋体" w:hAnsi="宋体" w:cs="宋体"/>
                <w:b/>
                <w:bCs/>
                <w:color w:val="000000"/>
                <w:sz w:val="24"/>
                <w:szCs w:val="24"/>
                <w:highlight w:val="none"/>
              </w:rPr>
            </w:r>
            <w:r/>
          </w:p>
        </w:tc>
      </w:tr>
      <w:tr>
        <w:trPr>
          <w:trHeight w:val="2163"/>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报价得分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综合评分法中的价格分采用低价优先法计算，即满足招标文件要求且投标价格最低的投标报价为评标基准价，其价格分为满分30分。其他投标人的价格分统一按照下列公式计算：</w:t>
            </w:r>
            <w:r>
              <w:rPr>
                <w:rFonts w:hint="eastAsia" w:ascii="宋体" w:hAnsi="宋体" w:cs="宋体"/>
                <w:color w:val="000000"/>
                <w:sz w:val="24"/>
                <w:szCs w:val="24"/>
                <w:highlight w:val="none"/>
              </w:rPr>
            </w:r>
            <w:r/>
          </w:p>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投标报价得分=(评标基准价／投标报价)×30</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30分</w:t>
            </w:r>
            <w:r>
              <w:rPr>
                <w:rFonts w:hint="eastAsia" w:ascii="宋体" w:hAnsi="宋体" w:cs="宋体"/>
                <w:color w:val="000000"/>
                <w:sz w:val="24"/>
                <w:szCs w:val="24"/>
                <w:highlight w:val="none"/>
              </w:rPr>
            </w:r>
            <w:r/>
          </w:p>
        </w:tc>
      </w:tr>
      <w:tr>
        <w:trPr>
          <w:trHeight w:val="45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技术部分70分</w:t>
            </w:r>
            <w:r>
              <w:rPr>
                <w:rFonts w:hint="eastAsia" w:ascii="宋体" w:hAnsi="宋体" w:cs="宋体"/>
                <w:b/>
                <w:bCs/>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b/>
                <w:bCs/>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质量性能 （</w:t>
            </w:r>
            <w:r>
              <w:rPr>
                <w:rFonts w:hint="eastAsia" w:ascii="宋体" w:hAnsi="宋体" w:cs="宋体"/>
                <w:color w:val="000000"/>
                <w:sz w:val="24"/>
                <w:szCs w:val="24"/>
                <w:highlight w:val="none"/>
                <w:lang w:val="en-US" w:eastAsia="zh-CN"/>
              </w:rPr>
              <w:t xml:space="preserve">42</w:t>
            </w:r>
            <w:r>
              <w:rPr>
                <w:rFonts w:hint="eastAsia" w:ascii="宋体" w:hAnsi="宋体" w:cs="宋体"/>
                <w:color w:val="000000"/>
                <w:sz w:val="24"/>
                <w:szCs w:val="24"/>
                <w:highlight w:val="none"/>
              </w:rPr>
              <w:t xml:space="preserve">分）</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numPr>
                <w:ilvl w:val="0"/>
                <w:numId w:val="14"/>
              </w:numPr>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性能参数（</w:t>
            </w:r>
            <w:r>
              <w:rPr>
                <w:rFonts w:hint="eastAsia" w:ascii="宋体" w:hAnsi="宋体" w:cs="宋体"/>
                <w:color w:val="000000"/>
                <w:sz w:val="24"/>
                <w:szCs w:val="24"/>
                <w:highlight w:val="none"/>
                <w:lang w:val="en-US" w:eastAsia="zh-CN"/>
              </w:rPr>
              <w:t xml:space="preserve">39分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根据各投标人所投产品功能(性能)及配置、对招标文件各项技术参数及配置要求的逐项响应情况及偏离表综合评定，投标人所投产品技术参数及配置要求均满足基本采购需求的得满分39分，打“</w:t>
            </w:r>
            <w:r>
              <w:rPr>
                <w:rFonts w:hint="eastAsia"/>
                <w:color w:val="000000"/>
                <w:highlight w:val="none"/>
              </w:rPr>
              <w:t xml:space="preserve">★</w:t>
            </w:r>
            <w:r>
              <w:rPr>
                <w:rFonts w:hint="eastAsia" w:ascii="宋体" w:hAnsi="宋体" w:cs="宋体"/>
                <w:color w:val="000000"/>
                <w:sz w:val="24"/>
                <w:szCs w:val="24"/>
                <w:highlight w:val="none"/>
              </w:rPr>
              <w:t xml:space="preserve">”部分有一项负偏离扣3分;打“▲”部分有一项负偏离扣2分;其他部分的参数有一项负偏离扣1分，扣完为止。本项最高得39分。</w:t>
            </w:r>
            <w:r>
              <w:rPr>
                <w:rFonts w:hint="eastAsia" w:ascii="宋体" w:hAnsi="宋体" w:cs="宋体"/>
                <w:color w:val="000000"/>
                <w:sz w:val="24"/>
                <w:szCs w:val="24"/>
                <w:highlight w:val="none"/>
              </w:rPr>
            </w:r>
            <w:r/>
          </w:p>
          <w:p>
            <w:pPr>
              <w:pStyle w:val="1316"/>
              <w:numPr>
                <w:ilvl w:val="0"/>
                <w:numId w:val="14"/>
              </w:numPr>
              <w:ind w:firstLine="480"/>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原厂质保（3分）：根据各供应商提供的免费原厂质保年限打分，提供5年厂家整机质保及以下不得分，在5年的基础上每增加一年得1分，最高得3分。（提供产品免费质保年限的承诺，格式自拟）</w:t>
            </w:r>
            <w:r>
              <w:rPr>
                <w:rFonts w:hint="eastAsia" w:ascii="宋体" w:hAnsi="宋体" w:eastAsia="宋体" w:cs="宋体"/>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注：①投标人在技术响应（偏离表）中必须如实表述产品技术参数是否偏离。</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投标人需按照本采购文件具体功能技术要求在“技术参数响应及偏离表”中如实详细填列所投产品的参数，打“★”“▲”部分需提供相应证明文件（如医疗器械注册证及附页或技术白皮书或合格的检测报告等）。各投标人须如实描述所投产品的技术性能，若虚构产品技术参数的，将视为虚假响应，作无效投标。要求提供相关证明材料但未提供则视为该功能参数响应负偏离，进行扣分或无效响应处理。</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③技术参数无要求提供相应的证明材料，响应即可，未响应或未按照要求提供佐证材料视为负偏离，进行扣分处理。</w:t>
            </w:r>
            <w:r>
              <w:rPr>
                <w:rFonts w:hint="eastAsia" w:ascii="宋体" w:hAnsi="宋体" w:cs="宋体"/>
                <w:b/>
                <w:bCs/>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实施方案，包括供货方案（包含但不限于①货物的包装、②供货进度保证措施等）、安装、调试和验收方案（包括但不限于针对调试、验收计划及保证措施和体系）、质量和安全管理体系与措施（包括但不限于①质量体系与措施、②安全管理体系与措施等）等内容综合评定。以上内容全部包含，且每项均有具体可操作的落实措施，方案内容完整、合理可行、完全满足实际要求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分；以上内容部分包含且方案内容较完整、较科学合理、基本满足实际要求，有相应落实措施的得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分；以上内容部分包含，方案内容不太完整、部分满足实际要求，有简要措施的得2分；方案不完整、不合理、不满足实际要求的，措施笼统无可操作性得1分；未提供方案的不得分。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444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项目验收方案(4分)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具体详实的项目验收方案等综合评定，包括但不限于（验收流程和步骤说明、验收标准、验收人员组成及职责分工说明、验收不合格时的处理方案等），以上内容全部包含，且每项均有具体可操作的落实措施，方案内容完整、合理可行、完全满足实际要求的得4分；以上内容部分包含，方案内容较完整、较科学合理、基本满足实际要求，且有相应落实措施的得2分；以上内容部分包含，方案内容不太完整、部分满足实际要求，有简要措施的得1分；方案不完整、不合理、不满足实际要求的，措施笼统无可操作性得0.5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售后服务方案（5分）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根据各投标人提供售后服务方案（包括但不限于回访巡检方案、故障解决措施、技术人员保障、备品配件保障等）、本地化服务方案（各服务网点、维修</w:t>
            </w:r>
            <w:r>
              <w:rPr>
                <w:rFonts w:hint="eastAsia" w:ascii="宋体" w:hAnsi="宋体" w:cs="宋体"/>
                <w:color w:val="000000"/>
                <w:sz w:val="24"/>
                <w:szCs w:val="24"/>
                <w:highlight w:val="none"/>
              </w:rPr>
              <w:t xml:space="preserve">网点设置情况以及技术人员安排情况）等综合评定，以上内容全部包含，且每项均有具体可操作的落实措施，方案内容详细完整、详细，完全满足项目实际需求的得5分；以上内容部分包含，方案内容较完整、较科学合理、基本满足实际要求，内容解读具有比较可行性、合理性、能够基本满足本项目采购需求内容，完整和实用，没有相关证明材料支撑的得3分；以上内容部分包含，内容基本完整、思路清晰、可行性较好，没有相关证明材料支撑的得2分；方案不完整、不合理、不满足实际要求的，措施笼统无可操作性，没有相关证明材料支撑的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tc>
      </w:tr>
      <w:tr>
        <w:trPr>
          <w:trHeight w:val="2735"/>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应急响应方案（5分）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根据对维修设备的响应和应急故障修</w:t>
            </w:r>
            <w:r>
              <w:rPr>
                <w:rFonts w:hint="eastAsia" w:ascii="宋体" w:hAnsi="宋体" w:cs="宋体"/>
                <w:color w:val="000000"/>
                <w:sz w:val="24"/>
                <w:szCs w:val="24"/>
                <w:highlight w:val="none"/>
              </w:rPr>
              <w:t xml:space="preserve">复方案等综合评定。方案应包含但不限于响应时间、回访巡检、故障解决、本地化服务人员构成、维修网点设置情况、备件储备情况等方面。以上内容全部包含，且每项均有具体可操作的落实措施，维修响应速度快，维修方案全面可行性强，方案内容详细完整、详细，完全满足项目实际需求得5分；以上内容部分包含，方案内容较完整、较科学合理、基本满足实际要求，且有相应落实措施的得3分；以上内容部分包含，方案内容不太完整、部分满足实际要求，有简要措施的得2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tc>
      </w:tr>
      <w:tr>
        <w:trPr>
          <w:trHeight w:val="698"/>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W w:w="1269" w:type="dxa"/>
            <w:vAlign w:val="center"/>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主要配件/耗材情况（3分）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所投产品列出保修期外主要配件/耗材的清单和价格，根据配件/耗材的质量品质、价格等综合评定。提供的清单完整（列出保修期外所有主要配件/耗材的名称、规格型号及单价）、适应性强、配套性高（承诺保修期外配件/耗材的供应）、价格最优惠（所报配件/耗材价格与市场同类产品价格相比具有竞争力）得3分；以上内容部分包含，提供的清单完整度一般、适应性一般、配套一般、价</w:t>
            </w:r>
            <w:r>
              <w:rPr>
                <w:rFonts w:hint="eastAsia" w:ascii="宋体" w:hAnsi="宋体" w:cs="宋体"/>
                <w:color w:val="000000"/>
                <w:highlight w:val="none"/>
              </w:rPr>
              <w:t xml:space="preserve">格</w:t>
            </w:r>
            <w:r>
              <w:rPr>
                <w:rFonts w:hint="eastAsia" w:ascii="宋体" w:hAnsi="宋体" w:cs="宋体"/>
                <w:color w:val="000000"/>
                <w:sz w:val="24"/>
                <w:szCs w:val="24"/>
                <w:highlight w:val="none"/>
              </w:rPr>
              <w:t xml:space="preserve">较优惠得2分；提供的清单笼统、配套不完善、价格优惠力度低得1分；未提供的不得分。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w:t>
            </w:r>
            <w:r>
              <w:rPr>
                <w:rFonts w:hint="eastAsia" w:ascii="宋体" w:hAnsi="宋体" w:cs="宋体"/>
                <w:color w:val="000000"/>
                <w:sz w:val="24"/>
                <w:szCs w:val="24"/>
                <w:highlight w:val="none"/>
              </w:rPr>
            </w:r>
            <w:r/>
          </w:p>
        </w:tc>
      </w:tr>
      <w:tr>
        <w:trPr>
          <w:trHeight w:val="708"/>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技术培训方案（包括但不限于对用户的操作培训、业务功能培训等相关培训计划方案，除正常操作培训外，提出其他技术培训保障方案等）进行横向比较打分，以上内容全部包含，且每项均有具体可操作的落实措施，培训方案完整、详细、可行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分；以上内容部分包含，方案内容较完整、较科学合理、基本满足实际要求，内容解读具有比较可行性、合理性、能够基本满足本项目采购需求内容的得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分；以上内容部分包含，有方案，但方案内容模糊，没有针对本项目主要工作内容制定，内容不详实、不完整、内容不全面的</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分。没有内容的不得分。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2010"/>
        </w:trPr>
        <w:tc>
          <w:tcPr>
            <w:tcW w:w="914" w:type="dxa"/>
            <w:vAlign w:val="center"/>
            <w:textDirection w:val="lrTb"/>
            <w:noWrap w:val="false"/>
          </w:tcPr>
          <w:p>
            <w:pPr>
              <w:pStyle w:val="1316"/>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往期案例分析（4分）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响应文件中提供的承担过2022年1月1日后与本次所投设备同类型的设备案例分析进行综合评价，对往期多个案例分析有针对性、分析详尽的，且有与本项目服务内容相关的证明材料支撑的最高得4分；仅对个别案例进行简单分析的得2分；往期做过类似案例，但针对本项目没有具体的经验分析的得1分；往期未做过类似案例，但针对本项目有经验分析的得0.5分，未提供的不得分。</w:t>
            </w:r>
            <w:r>
              <w:rPr>
                <w:rFonts w:hint="eastAsia" w:ascii="宋体" w:hAnsi="宋体" w:cs="宋体"/>
                <w:color w:val="000000"/>
                <w:sz w:val="24"/>
                <w:szCs w:val="24"/>
                <w:highlight w:val="none"/>
              </w:rPr>
            </w:r>
            <w:r/>
          </w:p>
          <w:p>
            <w:pPr>
              <w:pStyle w:val="1316"/>
              <w:ind w:firstLine="482"/>
              <w:jc w:val="center"/>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注：提供采购合同（所提供合同中显示的合同货物需与本次所投产品相同、甲方须为货物使用单位，乙方为生产企业或各经销商均可）加盖公章上传至“苏采云”系统相应位置。</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bl>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三标段：扬中市中医院监护仪1台采购；</w:t>
      </w:r>
      <w:r>
        <w:rPr>
          <w:rFonts w:hint="eastAsia" w:ascii="宋体" w:hAnsi="宋体" w:cs="宋体"/>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1269"/>
        <w:gridCol w:w="5981"/>
        <w:gridCol w:w="1005"/>
      </w:tblGrid>
      <w:tr>
        <w:trPr/>
        <w:tc>
          <w:tcPr>
            <w:tcW w:w="914"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1269"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评分项目</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评分标准说明</w:t>
            </w:r>
            <w:r>
              <w:rPr>
                <w:rFonts w:hint="eastAsia" w:ascii="宋体" w:hAnsi="宋体" w:cs="宋体"/>
                <w:b/>
                <w:bCs/>
                <w:color w:val="000000"/>
                <w:sz w:val="24"/>
                <w:szCs w:val="24"/>
                <w:highlight w:val="none"/>
              </w:rPr>
            </w:r>
            <w:r/>
          </w:p>
        </w:tc>
        <w:tc>
          <w:tcPr>
            <w:tcW w:w="1005"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分值</w:t>
            </w:r>
            <w:r>
              <w:rPr>
                <w:rFonts w:hint="eastAsia" w:ascii="宋体" w:hAnsi="宋体" w:cs="宋体"/>
                <w:b/>
                <w:bCs/>
                <w:color w:val="000000"/>
                <w:sz w:val="24"/>
                <w:szCs w:val="24"/>
                <w:highlight w:val="none"/>
              </w:rPr>
            </w:r>
            <w:r/>
          </w:p>
        </w:tc>
      </w:tr>
      <w:tr>
        <w:trPr>
          <w:trHeight w:val="9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投标报价30分</w:t>
            </w:r>
            <w:r>
              <w:rPr>
                <w:rFonts w:hint="eastAsia" w:ascii="宋体" w:hAnsi="宋体" w:cs="宋体"/>
                <w:b/>
                <w:bCs/>
                <w:color w:val="000000"/>
                <w:sz w:val="24"/>
                <w:szCs w:val="24"/>
                <w:highlight w:val="none"/>
              </w:rPr>
            </w:r>
            <w:r/>
          </w:p>
        </w:tc>
      </w:tr>
      <w:tr>
        <w:trPr>
          <w:trHeight w:val="2163"/>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报价得分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综合评分法中的价格分采用低价优先法计算，即满足招标文件要求且投标价格最低的投标报价为评标基准价，其价格分为满分30分。其他投标人的价格分统一按照下列公式计算：</w:t>
            </w:r>
            <w:r>
              <w:rPr>
                <w:rFonts w:hint="eastAsia" w:ascii="宋体" w:hAnsi="宋体" w:cs="宋体"/>
                <w:color w:val="000000"/>
                <w:sz w:val="24"/>
                <w:szCs w:val="24"/>
                <w:highlight w:val="none"/>
              </w:rPr>
            </w:r>
            <w:r/>
          </w:p>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投标报价得分=(评标基准价／投标报价)×30</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30分</w:t>
            </w:r>
            <w:r>
              <w:rPr>
                <w:rFonts w:hint="eastAsia" w:ascii="宋体" w:hAnsi="宋体" w:cs="宋体"/>
                <w:color w:val="000000"/>
                <w:sz w:val="24"/>
                <w:szCs w:val="24"/>
                <w:highlight w:val="none"/>
              </w:rPr>
            </w:r>
            <w:r/>
          </w:p>
        </w:tc>
      </w:tr>
      <w:tr>
        <w:trPr>
          <w:trHeight w:val="45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技术部分70分</w:t>
            </w:r>
            <w:r>
              <w:rPr>
                <w:rFonts w:hint="eastAsia" w:ascii="宋体" w:hAnsi="宋体" w:cs="宋体"/>
                <w:b/>
                <w:bCs/>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b/>
                <w:bCs/>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质量性能 （</w:t>
            </w:r>
            <w:r>
              <w:rPr>
                <w:rFonts w:hint="eastAsia" w:ascii="宋体" w:hAnsi="宋体" w:cs="宋体"/>
                <w:color w:val="000000"/>
                <w:sz w:val="24"/>
                <w:szCs w:val="24"/>
                <w:highlight w:val="none"/>
                <w:lang w:val="en-US" w:eastAsia="zh-CN"/>
              </w:rPr>
              <w:t xml:space="preserve">39</w:t>
            </w:r>
            <w:r>
              <w:rPr>
                <w:rFonts w:hint="eastAsia" w:ascii="宋体" w:hAnsi="宋体" w:cs="宋体"/>
                <w:color w:val="000000"/>
                <w:sz w:val="24"/>
                <w:szCs w:val="24"/>
                <w:highlight w:val="none"/>
              </w:rPr>
              <w:t xml:space="preserve">分）</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性能参数（</w:t>
            </w:r>
            <w:r>
              <w:rPr>
                <w:rFonts w:hint="eastAsia" w:ascii="宋体" w:hAnsi="宋体" w:cs="宋体"/>
                <w:color w:val="000000"/>
                <w:sz w:val="24"/>
                <w:szCs w:val="24"/>
                <w:highlight w:val="none"/>
                <w:lang w:val="en-US" w:eastAsia="zh-CN"/>
              </w:rPr>
              <w:t xml:space="preserve">36分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根据各投标人所投产品功能(性能)及配置、对招标文件各项技术参数及配置要求的逐项响应情况及偏离表综合评定，投标人所投产品技术参数及配置要求均满足基本采购需求的得满分36分，打“▲”部分有一项负偏离扣2分;其他部分的参数有一项负偏离扣1分，扣完为止。本项最高得36分。</w:t>
            </w:r>
            <w:r>
              <w:rPr>
                <w:rFonts w:hint="eastAsia" w:ascii="宋体" w:hAnsi="宋体" w:cs="宋体"/>
                <w:color w:val="000000"/>
                <w:sz w:val="24"/>
                <w:szCs w:val="24"/>
                <w:highlight w:val="none"/>
              </w:rPr>
            </w:r>
            <w:r/>
          </w:p>
          <w:p>
            <w:pPr>
              <w:pStyle w:val="1316"/>
              <w:ind w:firstLine="480"/>
              <w:jc w:val="center"/>
              <w:spacing w:line="440" w:lineRule="exact"/>
              <w:rPr>
                <w:rFonts w:hint="eastAsia" w:ascii="宋体" w:hAnsi="宋体" w:cs="宋体"/>
                <w:b/>
                <w:bCs/>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原厂质保（3分）：根据各供应商提供的免费原厂质保年限打分，提供5年厂家整机质保及以下不得分，在5年的基础上每增加一年得1分，最高得3分。</w:t>
            </w:r>
            <w:r>
              <w:rPr>
                <w:rFonts w:hint="eastAsia" w:ascii="宋体" w:hAnsi="宋体" w:cs="宋体"/>
                <w:b/>
                <w:bCs/>
                <w:color w:val="000000"/>
                <w:sz w:val="24"/>
                <w:szCs w:val="24"/>
                <w:highlight w:val="none"/>
              </w:rPr>
              <w:t xml:space="preserve">（提供产品免费质保年限的承诺，格式自拟）</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注：①投标人在技术响应（偏离表）中必须如实表述产品技术参数是否偏离。</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投标人需按照本采购文件具体功能技术要求在“技术参数响应及偏离表”中如实详细填列所投产品的参数，打“▲”部分需提供相应证明文件（如医疗器械注册证及附页或技术白皮书或合格的检测报告等）。各投标人须如实描述所投产品的技术性能，若虚构产品技术参数的，将视为虚假响应，作无效投标。要求提供相关证明材料但未提供则视为该功能参数响应负偏离，进行扣分或无效响应处理。</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③技术参数无要求提供相应的证明材料，响应即可，未响应或未按照要求提供佐证材料视为负偏离，进行扣分处理。</w:t>
            </w:r>
            <w:r>
              <w:rPr>
                <w:rFonts w:hint="eastAsia" w:ascii="宋体" w:hAnsi="宋体" w:cs="宋体"/>
                <w:b/>
                <w:bCs/>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39</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实施方案，包括供货方案（包含但不限于①货物的包装、②供货进度保证措施等）、安装、调试和验收方案（包括但不限于针对调试、验收计划及保证措施和体系）、质量和安全管理体系与措施（包括但不限于①质量体系与措施、②安全管理体系与措施等）等内容综合评定。以上内容全部包含，且每项均有具体可操作的落实措施，方案内容完整、合理可行、完全满足实际要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分；以上内容部分包含且方案内容较完整、较科学合理、基本满足实际要求，有相应落实措施的得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分；以上内容部分包含，方案内容不太完整、部分满足实际要求，有简要措施的得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666"/>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项目验收方案(4分)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具体详实的项目验收方案等综合评定，包括但不限于（验收流程和步骤说明、验收标准、验收人员组成及职责分工说明、验收不合格时的处理方案等），以上内容全部包含，且每项均有具体可操作的落实措施，方案内容完整、合理可行、完全满足实际要求的得4分；以上内容部分包含，方案内容较完整、较科学合理、基本满足实际要求，且有相应落实措施的得2分；以上内容部分包含，方案内容不太完整、部分满足实际要求，有简要措施的得1分；方案不完整、不合理、不满足实际要求的，措施笼统无可操作性得0.5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售后服务方案（6分）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根据各投标人提供售后服务方案（包括但不限于回访巡检方案、故障解决措施、技术人员保障、备品配件保障等）、本地化服务方案（各服务网点、维修</w:t>
            </w:r>
            <w:r>
              <w:rPr>
                <w:rFonts w:hint="eastAsia" w:ascii="宋体" w:hAnsi="宋体" w:cs="宋体"/>
                <w:color w:val="000000"/>
                <w:sz w:val="24"/>
                <w:szCs w:val="24"/>
                <w:highlight w:val="none"/>
              </w:rPr>
              <w:t xml:space="preserve">网点设置情况以及技术人员安排情况）等综合评定，以上内容全部包含，且每项均有具体可操作的落实措施，方案内容详细完整、详细，完全满足项目实际需求的得6分；以上内容部分包含，方案内容较完整、较科学合理、基本满足实际要求，内容解读具有比较可行性、合理性、能够基本满足本项目采购需求内容，完整和实用，没有相关证明材料支撑的得4分；以上内容部分包含，内容基本完整、思路清晰、可行性较好，没有相关证明材料支撑的得2分；方案不完整、不合理、不满足实际要求的，措施笼统无可操作性，没有相关证明材料支撑的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hint="eastAsia" w:ascii="宋体" w:hAnsi="宋体" w:cs="宋体"/>
                <w:color w:val="000000"/>
                <w:sz w:val="24"/>
                <w:szCs w:val="24"/>
                <w:highlight w:val="none"/>
              </w:rPr>
            </w:r>
            <w:r/>
          </w:p>
        </w:tc>
      </w:tr>
      <w:tr>
        <w:trPr>
          <w:trHeight w:val="1842"/>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应急响应方案（5分）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根据对维修设备的响应和应急故障修</w:t>
            </w:r>
            <w:r>
              <w:rPr>
                <w:rFonts w:hint="eastAsia" w:ascii="宋体" w:hAnsi="宋体" w:cs="宋体"/>
                <w:color w:val="000000"/>
                <w:sz w:val="24"/>
                <w:szCs w:val="24"/>
                <w:highlight w:val="none"/>
              </w:rPr>
              <w:t xml:space="preserve">复方案等综合评定。方案应包含但不限于响应时间、回访巡检、故障解决、本地化服务人员构成、维修网点设置情况、备件储备情况等方面。以上内容全部包含，且每项均有具体可操作的落实措施，维修响应速度快，维修方案全面可行性强，方案内容详细完整、详细，完全满足项目实际需求得5分；以上内容部分包含，方案内容较完整、较科学合理、基本满足实际要求，且有相应落实措施的得3分；以上内容部分包含，方案内容不太完整、部分满足实际要求，有简要措施的得2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tc>
      </w:tr>
      <w:tr>
        <w:trPr>
          <w:trHeight w:val="698"/>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W w:w="1269" w:type="dxa"/>
            <w:vAlign w:val="center"/>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主要配件/耗材情况（3分）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所投产品列出保修期外主要配件/耗材的清单和价格，根据配件/耗材的质量品质、价格等综合评定。提供的清单完整（列出保修期外所有主要配件/耗材的名称、规格型号及单价）、适应性强、配套性高（承诺保修期外配件/耗材的供应）、价格最优惠（所报配件/耗材价格与市场同类产品价格相比具有竞争力）得3分；以上内容部分包含，提供的清单完整度一般、适应性一般、配套一般、价</w:t>
            </w:r>
            <w:r>
              <w:rPr>
                <w:rFonts w:hint="eastAsia" w:ascii="宋体" w:hAnsi="宋体" w:cs="宋体"/>
                <w:color w:val="000000"/>
                <w:highlight w:val="none"/>
              </w:rPr>
              <w:t xml:space="preserve">格</w:t>
            </w:r>
            <w:r>
              <w:rPr>
                <w:rFonts w:hint="eastAsia" w:ascii="宋体" w:hAnsi="宋体" w:cs="宋体"/>
                <w:color w:val="000000"/>
                <w:sz w:val="24"/>
                <w:szCs w:val="24"/>
                <w:highlight w:val="none"/>
              </w:rPr>
              <w:t xml:space="preserve">较优惠得2分；提供的清单笼统、配套不完善、价格优惠力度低得1分；未提供的不得分。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w:t>
            </w:r>
            <w:r>
              <w:rPr>
                <w:rFonts w:hint="eastAsia" w:ascii="宋体" w:hAnsi="宋体" w:cs="宋体"/>
                <w:color w:val="000000"/>
                <w:sz w:val="24"/>
                <w:szCs w:val="24"/>
                <w:highlight w:val="none"/>
              </w:rPr>
            </w:r>
            <w:r/>
          </w:p>
        </w:tc>
      </w:tr>
      <w:tr>
        <w:trPr>
          <w:trHeight w:val="855"/>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技术培训方案（包括但不限于对用户的操作培训、业务功能培训等相关培训计划方案，除正常操作培训外，提出其他技术培训保障方案等）进行横向比较打分，以上内容全部包含，且每项均有具体可操作的落实措施，培训方案完整、详细、可行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以上内容部分包含，方案内容较完整、较科学合理、基本满足实际要求，内容解读具有比较可行性、合理性、能够基本满足本项目采购需求内容的得2分；以上内容部分包含，有方案，但方案内容模糊，没有针对本项目主要工作内容制定，内容不翔实、不完整、内容不全面的1分。没有内容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2010"/>
        </w:trPr>
        <w:tc>
          <w:tcPr>
            <w:tcW w:w="914" w:type="dxa"/>
            <w:vAlign w:val="center"/>
            <w:textDirection w:val="lrTb"/>
            <w:noWrap w:val="false"/>
          </w:tcPr>
          <w:p>
            <w:pPr>
              <w:pStyle w:val="1316"/>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往期案例分析（4分）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响应文件中提供的承担过2022年1月1日后与本次所投设备同类型的设备案例分析进行综合评价，对往期多个案例分析有针对性、分析详尽的，且有与本项目服务内容相关的证明材料支撑的最高得4分；仅对个别案例进行简单分析的得2分；往期做过类似案例，但针对本项目没有具体的经验分析的得1分；往期未做过类似案例，但针对本项目有经验分析的得0.5分，未提供的不得分。</w:t>
            </w:r>
            <w:r>
              <w:rPr>
                <w:rFonts w:hint="eastAsia" w:ascii="宋体" w:hAnsi="宋体" w:cs="宋体"/>
                <w:color w:val="000000"/>
                <w:sz w:val="24"/>
                <w:szCs w:val="24"/>
                <w:highlight w:val="none"/>
              </w:rPr>
            </w:r>
            <w:r/>
          </w:p>
          <w:p>
            <w:pPr>
              <w:pStyle w:val="1316"/>
              <w:ind w:firstLine="482"/>
              <w:jc w:val="center"/>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注：提供采购合同（所提供合同中显示的合同货物需与本次所投产品相同、甲方须为货物使用单位，乙方为生产企业或各经销商均可）加盖公章上传至“苏采云”系统相应位置。</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bl>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四标段：扬中市中医院除颤仪1台采购；</w:t>
      </w:r>
      <w:r>
        <w:rPr>
          <w:rFonts w:hint="eastAsia" w:ascii="宋体" w:hAnsi="宋体" w:cs="宋体"/>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1269"/>
        <w:gridCol w:w="5981"/>
        <w:gridCol w:w="1005"/>
      </w:tblGrid>
      <w:tr>
        <w:trPr/>
        <w:tc>
          <w:tcPr>
            <w:tcW w:w="914"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1269"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评分项目</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评分标准说明</w:t>
            </w:r>
            <w:r>
              <w:rPr>
                <w:rFonts w:hint="eastAsia" w:ascii="宋体" w:hAnsi="宋体" w:cs="宋体"/>
                <w:b/>
                <w:bCs/>
                <w:color w:val="000000"/>
                <w:sz w:val="24"/>
                <w:szCs w:val="24"/>
                <w:highlight w:val="none"/>
              </w:rPr>
            </w:r>
            <w:r/>
          </w:p>
        </w:tc>
        <w:tc>
          <w:tcPr>
            <w:tcW w:w="1005"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分值</w:t>
            </w:r>
            <w:r>
              <w:rPr>
                <w:rFonts w:hint="eastAsia" w:ascii="宋体" w:hAnsi="宋体" w:cs="宋体"/>
                <w:b/>
                <w:bCs/>
                <w:color w:val="000000"/>
                <w:sz w:val="24"/>
                <w:szCs w:val="24"/>
                <w:highlight w:val="none"/>
              </w:rPr>
            </w:r>
            <w:r/>
          </w:p>
        </w:tc>
      </w:tr>
      <w:tr>
        <w:trPr>
          <w:trHeight w:val="9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投标报价30分</w:t>
            </w:r>
            <w:r>
              <w:rPr>
                <w:rFonts w:hint="eastAsia" w:ascii="宋体" w:hAnsi="宋体" w:cs="宋体"/>
                <w:b/>
                <w:bCs/>
                <w:color w:val="000000"/>
                <w:sz w:val="24"/>
                <w:szCs w:val="24"/>
                <w:highlight w:val="none"/>
              </w:rPr>
            </w:r>
            <w:r/>
          </w:p>
        </w:tc>
      </w:tr>
      <w:tr>
        <w:trPr>
          <w:trHeight w:val="2163"/>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报价得分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综合评分法中的价格分采用低价优先法计算，即满足招标文件要求且投标价格最低的投标报价为评标基准价，其价格分为满分30分。其他投标人的价格分统一按照下列公式计算：</w:t>
            </w:r>
            <w:r>
              <w:rPr>
                <w:rFonts w:hint="eastAsia" w:ascii="宋体" w:hAnsi="宋体" w:cs="宋体"/>
                <w:color w:val="000000"/>
                <w:sz w:val="24"/>
                <w:szCs w:val="24"/>
                <w:highlight w:val="none"/>
              </w:rPr>
            </w:r>
            <w:r/>
          </w:p>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投标报价得分=(评标基准价／投标报价)×30</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30分</w:t>
            </w:r>
            <w:r>
              <w:rPr>
                <w:rFonts w:hint="eastAsia" w:ascii="宋体" w:hAnsi="宋体" w:cs="宋体"/>
                <w:color w:val="000000"/>
                <w:sz w:val="24"/>
                <w:szCs w:val="24"/>
                <w:highlight w:val="none"/>
              </w:rPr>
            </w:r>
            <w:r/>
          </w:p>
        </w:tc>
      </w:tr>
      <w:tr>
        <w:trPr>
          <w:trHeight w:val="45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技术部分70分</w:t>
            </w:r>
            <w:r>
              <w:rPr>
                <w:rFonts w:hint="eastAsia" w:ascii="宋体" w:hAnsi="宋体" w:cs="宋体"/>
                <w:b/>
                <w:bCs/>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b/>
                <w:bCs/>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质量性能 （3</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分）</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numPr>
                <w:ilvl w:val="0"/>
                <w:numId w:val="15"/>
              </w:numPr>
              <w:ind w:firstLine="480"/>
              <w:jc w:val="center"/>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性能参数（</w:t>
            </w:r>
            <w:r>
              <w:rPr>
                <w:rFonts w:hint="eastAsia" w:ascii="宋体" w:hAnsi="宋体" w:cs="宋体"/>
                <w:color w:val="000000"/>
                <w:sz w:val="24"/>
                <w:szCs w:val="24"/>
                <w:highlight w:val="none"/>
                <w:lang w:val="en-US" w:eastAsia="zh-CN"/>
              </w:rPr>
              <w:t xml:space="preserve">34分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根据各投标人所投产品功能(性能)及配置、对招标文件各项技术参数及配置要求的逐项响应情况及偏离表综合评定，投标人所投产品技术参数及配置要求均满足基本采购需求的得满分34分，打“▲”部分有一项负偏离扣4</w:t>
            </w:r>
            <w:r>
              <w:rPr>
                <w:rFonts w:hint="eastAsia" w:ascii="宋体" w:hAnsi="宋体" w:eastAsia="宋体" w:cs="宋体"/>
                <w:color w:val="000000"/>
                <w:sz w:val="24"/>
                <w:szCs w:val="24"/>
                <w:highlight w:val="none"/>
              </w:rPr>
              <w:t xml:space="preserve">分;其他部分的参数有一项负偏离扣1分，扣完为止。本项最高得34分。</w:t>
            </w:r>
            <w:r>
              <w:rPr>
                <w:rFonts w:hint="eastAsia" w:ascii="宋体" w:hAnsi="宋体" w:eastAsia="宋体" w:cs="宋体"/>
                <w:color w:val="000000"/>
                <w:sz w:val="24"/>
                <w:szCs w:val="24"/>
                <w:highlight w:val="none"/>
              </w:rPr>
            </w:r>
            <w:r/>
          </w:p>
          <w:p>
            <w:pPr>
              <w:pStyle w:val="1316"/>
              <w:numPr>
                <w:ilvl w:val="0"/>
                <w:numId w:val="0"/>
              </w:numPr>
              <w:ind w:firstLine="480"/>
              <w:jc w:val="both"/>
              <w:spacing w:line="440" w:lineRule="exact"/>
              <w:rPr>
                <w:rFonts w:hint="eastAsia"/>
                <w:color w:val="000000"/>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原厂质保（3分）：根据各供应商提供的免费原厂质保年限打分，提供5年厂家整机质保及以下不得分，在5年的基础上每增加一年得1分，最高得3分。（提供产品免费质保年限的承诺，格式自拟）</w:t>
            </w:r>
            <w:r>
              <w:rPr>
                <w:rFonts w:hint="eastAsia"/>
                <w:color w:val="000000"/>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注：①投标人在技术响应（偏离表）中必须如实表述产品技术参数是否偏离。</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投标人需按照本采购文件具体功能技术要求在“技术参数响应及偏离表”中如实详细填列所投产品的参数，打“▲”部分需提供相应证明文件（如医疗器械注册证及附页或技术白皮书或合格的检测报告等）。各投标人须如实描述所投产品的技术性能，若虚构产品技术参数的，将视为虚假响应，作无效投标。要求提供相关证明材料但未提供则视为该功能参数响应负偏离，进行扣分或无效响应处理。</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③技术参数无要求提供相应的证明材料，响应即可，未响应或未按照要求提供佐证材料视为负偏离，进行扣分处理。</w:t>
            </w:r>
            <w:r>
              <w:rPr>
                <w:rFonts w:hint="eastAsia" w:ascii="宋体" w:hAnsi="宋体" w:cs="宋体"/>
                <w:b/>
                <w:bCs/>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实施方案，包括供货方案（包含但不限于①货物的包装、②供货进度保证措施等）、安装、调试和验收方案（包括但不限于针对调试、验收计划及保证措施和体系）、质量和安全管理体系与措施（包括但不限于①质量体系与措施、②安全管理体系与措施等）等内容综合评定。以上内容全部包含，且每项均有具体可操作的落实措施，方案内容完整、合理可行、完全满足实际要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分；以上内容部分包含且方案内容较完整、较科学合理、基本满足实际要求，有相应落实措施的得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分；以上内容部分包含，方案内容不太完整、部分满足实际要求，有简要措施的得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566"/>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项目验收方案(5分)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具体翔实的项目验收方案等综合评定，包括但不限于（验收流程和步骤说明、验收标准、验收人员组成及职责分工说明、验收不合格时的处理方案等），以上内容全部包含，且每项均有具体可操作的落实措施，方案内容完整、合理可行、完全满足实际要求的得5分；以上内容部分包含，方案内容较完整、较科学合理、基本满足实际要求，且有相应落实措施的得3分；以上内容部分包含，方案内容不太完整、部分满足实际要求，有简要措施的得2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售后服务方案（6分）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根据各投标人提供售后服务方案（包括但不限于回访巡检方案、故障解决措施、技术人员保障、备品配件保障等）、本地化服务方案（各服务网点、维修</w:t>
            </w:r>
            <w:r>
              <w:rPr>
                <w:rFonts w:hint="eastAsia" w:ascii="宋体" w:hAnsi="宋体" w:cs="宋体"/>
                <w:color w:val="000000"/>
                <w:sz w:val="24"/>
                <w:szCs w:val="24"/>
                <w:highlight w:val="none"/>
              </w:rPr>
              <w:t xml:space="preserve">网点设置情况以及技术人员安排情况）等综合评定，以上内容全部包含，且每项均有具体可操作的落实措施，方案内容详细完整、详细，完全满足项目实际需求的得6分；以上内容部分包含，方案内容较完整、较科学合理、基本满足实际要求，内容解读具有比较可行性、合理性、能够基本满足本项目采购需求内容，完整和实用，没有相关证明材料支撑的得4分；以上内容部分包含，内容基本完整、思路清晰、可行性较好，没有相关证明材料支撑的得2分；方案不完整、不合理、不满足实际要求的，措施笼统无可操作性，没有相关证明材料支撑的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hint="eastAsia" w:ascii="宋体" w:hAnsi="宋体" w:cs="宋体"/>
                <w:color w:val="000000"/>
                <w:sz w:val="24"/>
                <w:szCs w:val="24"/>
                <w:highlight w:val="none"/>
              </w:rPr>
            </w:r>
            <w:r/>
          </w:p>
        </w:tc>
      </w:tr>
      <w:tr>
        <w:trPr>
          <w:trHeight w:val="2735"/>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应急响应方案（5分）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根据对维修设备的响应和应急故障修</w:t>
            </w:r>
            <w:r>
              <w:rPr>
                <w:rFonts w:hint="eastAsia" w:ascii="宋体" w:hAnsi="宋体" w:cs="宋体"/>
                <w:color w:val="000000"/>
                <w:sz w:val="24"/>
                <w:szCs w:val="24"/>
                <w:highlight w:val="none"/>
              </w:rPr>
              <w:t xml:space="preserve">复方案等综合评定。方案应包含但不限于响应时间、回访巡检、故障解决、本地化服务人员构成、维修网点设置情况、备件储备情况等方面。以上内容全部包含，且每项均有具体可操作的落实措施，维修响应速度快，维修方案全面可行性强，方案内容详细完整、详细，完全满足项目实际需求得5分；以上内容部分包含，方案内容较完整、较科学合理、基本满足实际要求，且有相应落实措施的得3分；以上内容部分包含，方案内容不太完整、部分满足实际要求，有简要措施的得2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tc>
      </w:tr>
      <w:tr>
        <w:trPr>
          <w:trHeight w:val="698"/>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W w:w="1269" w:type="dxa"/>
            <w:vAlign w:val="center"/>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主要配件/耗材情况（3分）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所投产品列出保修期外主要配件/耗材的清单和价格，根据配件/耗材的质量品质、价格等综合评定。提供的清单完整（列出保修期外所有主要配件/耗材的名称、规格型号及单价）、适应性强、配套性高（承诺保修期外配件/耗材的供应）、价格最优惠（所报配件/耗材价格与市场同类产品价格相比具有竞争力）得3分；以上内容部分包含，提供的清单完整度一般、适应性一般、配套一般、价</w:t>
            </w:r>
            <w:r>
              <w:rPr>
                <w:rFonts w:hint="eastAsia" w:ascii="宋体" w:hAnsi="宋体" w:cs="宋体"/>
                <w:color w:val="000000"/>
                <w:highlight w:val="none"/>
              </w:rPr>
              <w:t xml:space="preserve">格</w:t>
            </w:r>
            <w:r>
              <w:rPr>
                <w:rFonts w:hint="eastAsia" w:ascii="宋体" w:hAnsi="宋体" w:cs="宋体"/>
                <w:color w:val="000000"/>
                <w:sz w:val="24"/>
                <w:szCs w:val="24"/>
                <w:highlight w:val="none"/>
              </w:rPr>
              <w:t xml:space="preserve">较优惠得2分；提供的清单笼统、配套不完善、价格优惠力度低得1分；未提供的不得分。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w:t>
            </w:r>
            <w:r>
              <w:rPr>
                <w:rFonts w:hint="eastAsia" w:ascii="宋体" w:hAnsi="宋体" w:cs="宋体"/>
                <w:color w:val="000000"/>
                <w:sz w:val="24"/>
                <w:szCs w:val="24"/>
                <w:highlight w:val="none"/>
              </w:rPr>
            </w:r>
            <w:r/>
          </w:p>
        </w:tc>
      </w:tr>
      <w:tr>
        <w:trPr>
          <w:trHeight w:val="855"/>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技术培训方案（包括但不限于对用户的操作培训、业务功能培训等相关培训计划方案，除正常操作培训外，提出其他技术培训保障方案等）进行横向比较打分，以上内容全部包含，且每项均有具体可操作的落实措施，培训方案完整、详细、可行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以上内容部分包含，方案内容较完整、较科学合理、基本满足实际要求，内容解读具有比较可行性、合理性、能够基本满足本项目采购需求内容的得2分；以上内容部分包含，有方案，但方案内容模糊，没有针对本项目主要工作内容制定，内容不翔实、不完整、内容不全面的1分。没有内容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2010"/>
        </w:trPr>
        <w:tc>
          <w:tcPr>
            <w:tcW w:w="914" w:type="dxa"/>
            <w:vAlign w:val="center"/>
            <w:textDirection w:val="lrTb"/>
            <w:noWrap w:val="false"/>
          </w:tcPr>
          <w:p>
            <w:pPr>
              <w:pStyle w:val="1316"/>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往期案例分析（4分）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响应文件中提供的承担过2022年1月1日后与本次所投设备同类型的设备案例分析进行综合评价，对往期多个案例分析有针对性、分析详尽的，且有与本项目服务内容相关的证明材料支撑的最高得4分；仅对个别案例进行简单分析的得2分；往期做过类似案例，但针对本项目没有具体的经验分析的得1分；往期未做过类似案例，但针对本项目有经验分析的得0.5分，未提供的不得分。</w:t>
            </w:r>
            <w:r>
              <w:rPr>
                <w:rFonts w:hint="eastAsia" w:ascii="宋体" w:hAnsi="宋体" w:cs="宋体"/>
                <w:color w:val="000000"/>
                <w:sz w:val="24"/>
                <w:szCs w:val="24"/>
                <w:highlight w:val="none"/>
              </w:rPr>
            </w:r>
            <w:r/>
          </w:p>
          <w:p>
            <w:pPr>
              <w:pStyle w:val="1316"/>
              <w:ind w:firstLine="482"/>
              <w:jc w:val="center"/>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注：提供采购合同（所提供合同中显示的合同货物需与本次所投产品相同、甲方须为货物使用单位，乙方为生产企业或各经销商均可）加盖公章上传至“苏采云”系统相应位置。</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bl>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五标段：扬中市中医院口腔CT1台采购；</w:t>
      </w:r>
      <w:r>
        <w:rPr>
          <w:rFonts w:hint="eastAsia" w:ascii="宋体" w:hAnsi="宋体" w:cs="宋体"/>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1269"/>
        <w:gridCol w:w="5981"/>
        <w:gridCol w:w="1005"/>
      </w:tblGrid>
      <w:tr>
        <w:trPr/>
        <w:tc>
          <w:tcPr>
            <w:tcW w:w="914"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1269"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评分项目</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评分标准说明</w:t>
            </w:r>
            <w:r>
              <w:rPr>
                <w:rFonts w:hint="eastAsia" w:ascii="宋体" w:hAnsi="宋体" w:cs="宋体"/>
                <w:b/>
                <w:bCs/>
                <w:color w:val="000000"/>
                <w:sz w:val="24"/>
                <w:szCs w:val="24"/>
                <w:highlight w:val="none"/>
              </w:rPr>
            </w:r>
            <w:r/>
          </w:p>
        </w:tc>
        <w:tc>
          <w:tcPr>
            <w:tcW w:w="1005"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分值</w:t>
            </w:r>
            <w:r>
              <w:rPr>
                <w:rFonts w:hint="eastAsia" w:ascii="宋体" w:hAnsi="宋体" w:cs="宋体"/>
                <w:b/>
                <w:bCs/>
                <w:color w:val="000000"/>
                <w:sz w:val="24"/>
                <w:szCs w:val="24"/>
                <w:highlight w:val="none"/>
              </w:rPr>
            </w:r>
            <w:r/>
          </w:p>
        </w:tc>
      </w:tr>
      <w:tr>
        <w:trPr>
          <w:trHeight w:val="9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投标报价30分</w:t>
            </w:r>
            <w:r>
              <w:rPr>
                <w:rFonts w:hint="eastAsia" w:ascii="宋体" w:hAnsi="宋体" w:cs="宋体"/>
                <w:b/>
                <w:bCs/>
                <w:color w:val="000000"/>
                <w:sz w:val="24"/>
                <w:szCs w:val="24"/>
                <w:highlight w:val="none"/>
              </w:rPr>
            </w:r>
            <w:r/>
          </w:p>
        </w:tc>
      </w:tr>
      <w:tr>
        <w:trPr>
          <w:trHeight w:val="2163"/>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报价得分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综合评分法中的价格分采用低价优先法计算，即满足招标文件要求且投标价格最低的投标报价为评标基准价，其价格分为满分30分。其他投标人的价格分统一按照下列公式计算：</w:t>
            </w:r>
            <w:r>
              <w:rPr>
                <w:rFonts w:hint="eastAsia" w:ascii="宋体" w:hAnsi="宋体" w:cs="宋体"/>
                <w:color w:val="000000"/>
                <w:sz w:val="24"/>
                <w:szCs w:val="24"/>
                <w:highlight w:val="none"/>
              </w:rPr>
            </w:r>
            <w:r/>
          </w:p>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投标报价得分=(评标基准价／投标报价)×30</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30分</w:t>
            </w:r>
            <w:r>
              <w:rPr>
                <w:rFonts w:hint="eastAsia" w:ascii="宋体" w:hAnsi="宋体" w:cs="宋体"/>
                <w:color w:val="000000"/>
                <w:sz w:val="24"/>
                <w:szCs w:val="24"/>
                <w:highlight w:val="none"/>
              </w:rPr>
            </w:r>
            <w:r/>
          </w:p>
        </w:tc>
      </w:tr>
      <w:tr>
        <w:trPr>
          <w:trHeight w:val="45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技术部分70分</w:t>
            </w:r>
            <w:r>
              <w:rPr>
                <w:rFonts w:hint="eastAsia" w:ascii="宋体" w:hAnsi="宋体" w:cs="宋体"/>
                <w:b/>
                <w:bCs/>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b/>
                <w:bCs/>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质量性能 （3</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numPr>
                <w:ilvl w:val="0"/>
                <w:numId w:val="16"/>
              </w:numPr>
              <w:ind w:firstLine="480"/>
              <w:jc w:val="center"/>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性能参数（</w:t>
            </w:r>
            <w:r>
              <w:rPr>
                <w:rFonts w:hint="eastAsia" w:ascii="宋体" w:hAnsi="宋体" w:cs="宋体"/>
                <w:color w:val="000000"/>
                <w:sz w:val="24"/>
                <w:szCs w:val="24"/>
                <w:highlight w:val="none"/>
                <w:lang w:val="en-US" w:eastAsia="zh-CN"/>
              </w:rPr>
              <w:t xml:space="preserve">35分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根据各投标人所投产品功能(性能)及配置、对招标文件各项技术参数及配置要求的逐项响应情况及偏离表综合评定，投标人所投产品技术参数及配置要求均满足基本采购需求的得满分35分，打“</w:t>
            </w:r>
            <w:r>
              <w:rPr>
                <w:rFonts w:hint="eastAsia"/>
                <w:color w:val="000000"/>
                <w:highlight w:val="none"/>
              </w:rPr>
              <w:t xml:space="preserve">★</w:t>
            </w:r>
            <w:r>
              <w:rPr>
                <w:rFonts w:hint="eastAsia" w:ascii="宋体" w:hAnsi="宋体" w:cs="宋体"/>
                <w:color w:val="000000"/>
                <w:sz w:val="24"/>
                <w:szCs w:val="24"/>
                <w:highlight w:val="none"/>
              </w:rPr>
              <w:t xml:space="preserve">”部分有一项负偏离扣3分;打“▲”部分有一项负偏离扣1分;其他部分的</w:t>
            </w:r>
            <w:r>
              <w:rPr>
                <w:rFonts w:hint="eastAsia" w:ascii="宋体" w:hAnsi="宋体" w:eastAsia="宋体" w:cs="宋体"/>
                <w:color w:val="000000"/>
                <w:sz w:val="24"/>
                <w:szCs w:val="24"/>
                <w:highlight w:val="none"/>
              </w:rPr>
              <w:t xml:space="preserve">参数有一项负偏离扣0.5分，扣完为止。本项最高得35分。</w:t>
            </w:r>
            <w:r>
              <w:rPr>
                <w:rFonts w:hint="eastAsia" w:ascii="宋体" w:hAnsi="宋体" w:eastAsia="宋体" w:cs="宋体"/>
                <w:color w:val="000000"/>
                <w:sz w:val="24"/>
                <w:szCs w:val="24"/>
                <w:highlight w:val="none"/>
              </w:rPr>
            </w:r>
            <w:r/>
          </w:p>
          <w:p>
            <w:pPr>
              <w:pStyle w:val="1316"/>
              <w:numPr>
                <w:ilvl w:val="0"/>
                <w:numId w:val="0"/>
              </w:numPr>
              <w:jc w:val="both"/>
              <w:spacing w:line="440" w:lineRule="exact"/>
              <w:rPr>
                <w:rFonts w:hint="eastAsia"/>
                <w:color w:val="000000"/>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原厂质保（3分）：根据各供应商提供的免费原厂质保年限打分，提供5年厂家整机质保及以下不得分，在5年的基础上每增加一年得1分，最高得3分。（提供产品免费质保年限的承诺，格式自拟）</w:t>
            </w:r>
            <w:r>
              <w:rPr>
                <w:rFonts w:hint="eastAsia"/>
                <w:color w:val="000000"/>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注：①投标人在技术响应（偏离表）中必须如实表述产品技术参数是否偏离。</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投标人需按照本采购文件具体功能技术要求在“技术参数响应及偏离表”中如实详细填列所投产品的参数，打“★”“▲”部分需提供相应证明文件（如医疗器械注册证及附页或技术白皮书或合格的检测报告等）。各投标人须如实描述所投产品的技术性能，若虚构产品技术参数的，将视为虚假响应，作无效投标。要求提供相关证明材料但未提供则视为该功能参数响应负偏离，进行扣分或无效响应处理。</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③技术参数无要求提供相应的证明材料，响应即可，未响应或未按照要求提供佐证材料视为负偏离，进行扣分处理。</w:t>
            </w:r>
            <w:r>
              <w:rPr>
                <w:rFonts w:hint="eastAsia" w:ascii="宋体" w:hAnsi="宋体" w:cs="宋体"/>
                <w:b/>
                <w:bCs/>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实施方案，包括供货方案（包含但不限于①货物的包装、②供货进度保证措施等）、安装、调试和验收方案（包括但不限于针对调试、验收计划及保证措施和体系）、质量和安全管理体系与措施（包括但不限于①质量体系与措施、②安全管理体系与措施等）等内容综合评定。以上内容全部包含，且每项均有具体可操作的落实措施，方案内容完整、合理可行、完全满足实际要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分；以上内容部分包含且方案内容较完整、较科学合理、基本满足实际要求，有相应落实措施的得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分；以上内容部分包含，方案内容不太完整、部分满足实际要求，有简要措施的得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444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项目验收方案(4分)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具体翔实的项目验收方案等综合评定，包括但不限于（验收流程和步骤说明、验收标准、验收人员组成及职责分工说明、验收不合格时的处理方案等），以上内容全部包含，且每项均有具体可操作的落实措施，方案内容完整、合理可行、完全满足实际要求的得4分；以上内容部分包含，方案内容较完整、较科学合理、基本满足实际要求，且有相应落实措施的得2分；以上内容部分包含，方案内容不太完整、部分满足实际要求，有简要措施的得1分；方案不完整、不合理、不满足实际要求的，措施笼统无可操作性得0.5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售后服务方案（6分）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根据各投标人提供售后服务方案（包括但不限于回访巡检方案、故障解决措施、技术人员保障、备品配件保障等）、本地化服务方案（各服务网点、维修</w:t>
            </w:r>
            <w:r>
              <w:rPr>
                <w:rFonts w:hint="eastAsia" w:ascii="宋体" w:hAnsi="宋体" w:cs="宋体"/>
                <w:color w:val="000000"/>
                <w:sz w:val="24"/>
                <w:szCs w:val="24"/>
                <w:highlight w:val="none"/>
              </w:rPr>
              <w:t xml:space="preserve">网点设置情况以及技术人员安排情况）等综合评定，以上内容全部包含，且每项均有具体可操作的落实措施，方案内容详细完整、详细，完全满足项目实际需求的得6分；以上内容部分包含，方案内容较完整、较科学合理、基本满足实际要求，内容解读具有比较可行性、合理性、能够基本满足本项目采购需求内容，完整和实用，没有相关证明材料支撑的得4分；以上内容部分包含，内容基本完整、思路清晰、可行性较好，没有相关证明材料支撑的得2分；方案不完整、不合理、不满足实际要求的，措施笼统无可操作性，没有相关证明材料支撑的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hint="eastAsia" w:ascii="宋体" w:hAnsi="宋体" w:cs="宋体"/>
                <w:color w:val="000000"/>
                <w:sz w:val="24"/>
                <w:szCs w:val="24"/>
                <w:highlight w:val="none"/>
              </w:rPr>
            </w:r>
            <w:r/>
          </w:p>
        </w:tc>
      </w:tr>
      <w:tr>
        <w:trPr>
          <w:trHeight w:val="2735"/>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应急响应方案（6分）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根据对维修设备的响应和应急故障修</w:t>
            </w:r>
            <w:r>
              <w:rPr>
                <w:rFonts w:hint="eastAsia" w:ascii="宋体" w:hAnsi="宋体" w:cs="宋体"/>
                <w:color w:val="000000"/>
                <w:sz w:val="24"/>
                <w:szCs w:val="24"/>
                <w:highlight w:val="none"/>
              </w:rPr>
              <w:t xml:space="preserve">复方案等综合评定。方案应包含但不限于响应时间、回访巡检、故障解决、本地化服务人员构成、维修网点设置情况、备件储备情况等方面。以上内容全部包含，且每项均有具体可操作的落实措施，维修响应速度快，维修方案全面可行性强，方案内容详细完整、详细，完全满足项目实际需求得6分；以上内容部分包含，方案内容较完整、较科学合理、基本满足实际要求，且有相应落实措施的得4分；以上内容部分包含，方案内容不太完整、部分满足实际要求，有简要措施的得2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hint="eastAsia" w:ascii="宋体" w:hAnsi="宋体" w:cs="宋体"/>
                <w:color w:val="000000"/>
                <w:sz w:val="24"/>
                <w:szCs w:val="24"/>
                <w:highlight w:val="none"/>
              </w:rPr>
            </w:r>
            <w:r/>
          </w:p>
        </w:tc>
      </w:tr>
      <w:tr>
        <w:trPr>
          <w:trHeight w:val="698"/>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W w:w="1269" w:type="dxa"/>
            <w:vAlign w:val="center"/>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主要配件/耗材情况（3分）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所投产品列出保修期外主要配件/耗材的清单和价格，根据配件/耗材的质量品质、价格等综合评定。提供的清单完整（列出保修期外所有主要配件/耗材的名称、规格型号及单价）、适应性强、配套性高（承诺保修期外配件/耗材的供应）、价格最优惠（所报配件/耗材价格与市场同类产品价格相比具有竞争力）得3分；以上内容部分包含，提供的清单完整度一般、适应性一般、配套一般、价</w:t>
            </w:r>
            <w:r>
              <w:rPr>
                <w:rFonts w:hint="eastAsia" w:ascii="宋体" w:hAnsi="宋体" w:cs="宋体"/>
                <w:color w:val="000000"/>
                <w:highlight w:val="none"/>
              </w:rPr>
              <w:t xml:space="preserve">格</w:t>
            </w:r>
            <w:r>
              <w:rPr>
                <w:rFonts w:hint="eastAsia" w:ascii="宋体" w:hAnsi="宋体" w:cs="宋体"/>
                <w:color w:val="000000"/>
                <w:sz w:val="24"/>
                <w:szCs w:val="24"/>
                <w:highlight w:val="none"/>
              </w:rPr>
              <w:t xml:space="preserve">较优惠得2分；提供的清单笼统、配套不完善、价格优惠力度低得1分；未提供的不得分。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技术培训方案（包括但不限于对用户的操作培训、业务功能培训等相关培训计划方案，除正常操作培训外，提出其他技术培训保障方案等）进行横向比较打分，以上内容全部包含，且每项均有具体可操作的落实措施，培训方案完整、详细、可行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以上内容部分包含，方案内容较完整、较科学合理、基本满足实际要求，内容解读具有比较可行性、合理性、能够基本满足本项目采购需求内容的得2分；以上内容部分包含，有方案，但方案内容模糊，没有针对本项目主要工作内容制定，内容不翔实、不完整、内容不全面的1分。没有内容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2010"/>
        </w:trPr>
        <w:tc>
          <w:tcPr>
            <w:tcW w:w="914" w:type="dxa"/>
            <w:vAlign w:val="center"/>
            <w:textDirection w:val="lrTb"/>
            <w:noWrap w:val="false"/>
          </w:tcPr>
          <w:p>
            <w:pPr>
              <w:pStyle w:val="1316"/>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往期案例分析（4分）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响应文件中提供的承担过2022年1月1日后与本次所投设备同类型的设备案例分析进行综合评价，对往期多个案例分析有针对性、分析详尽的，且有与本项目服务内容相关的证明材料支撑的最高得4分；仅对个别案例进行简单分析的得2分；往期做过类似案例，但针对本项目没有具体的经验分析的得1分；往期末做过类似案例，但针对本项目有经验分析的得0.5分，未提供的不得分。</w:t>
            </w:r>
            <w:r>
              <w:rPr>
                <w:rFonts w:hint="eastAsia" w:ascii="宋体" w:hAnsi="宋体" w:cs="宋体"/>
                <w:color w:val="000000"/>
                <w:sz w:val="24"/>
                <w:szCs w:val="24"/>
                <w:highlight w:val="none"/>
              </w:rPr>
            </w:r>
            <w:r/>
          </w:p>
          <w:p>
            <w:pPr>
              <w:pStyle w:val="1316"/>
              <w:ind w:firstLine="482"/>
              <w:jc w:val="center"/>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注：提供采购合同（所提供合同中显示的合同货物需与本次所投产品相同、甲方须为货物使用单位，乙方为生产企业或各经销商均可）加盖公章上传至“苏采云”系统相应位置。</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bl>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六标段：三茅街道社区卫生服务中心麻醉机1台采购；</w:t>
      </w:r>
      <w:r>
        <w:rPr>
          <w:rFonts w:hint="eastAsia" w:ascii="宋体" w:hAnsi="宋体" w:cs="宋体"/>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1269"/>
        <w:gridCol w:w="5981"/>
        <w:gridCol w:w="1005"/>
      </w:tblGrid>
      <w:tr>
        <w:trPr/>
        <w:tc>
          <w:tcPr>
            <w:tcW w:w="914"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1269"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评分项目</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评分标准说明</w:t>
            </w:r>
            <w:r>
              <w:rPr>
                <w:rFonts w:hint="eastAsia" w:ascii="宋体" w:hAnsi="宋体" w:cs="宋体"/>
                <w:b/>
                <w:bCs/>
                <w:color w:val="000000"/>
                <w:sz w:val="24"/>
                <w:szCs w:val="24"/>
                <w:highlight w:val="none"/>
              </w:rPr>
            </w:r>
            <w:r/>
          </w:p>
        </w:tc>
        <w:tc>
          <w:tcPr>
            <w:tcW w:w="1005"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分值</w:t>
            </w:r>
            <w:r>
              <w:rPr>
                <w:rFonts w:hint="eastAsia" w:ascii="宋体" w:hAnsi="宋体" w:cs="宋体"/>
                <w:b/>
                <w:bCs/>
                <w:color w:val="000000"/>
                <w:sz w:val="24"/>
                <w:szCs w:val="24"/>
                <w:highlight w:val="none"/>
              </w:rPr>
            </w:r>
            <w:r/>
          </w:p>
        </w:tc>
      </w:tr>
      <w:tr>
        <w:trPr>
          <w:trHeight w:val="9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投标报价30分</w:t>
            </w:r>
            <w:r>
              <w:rPr>
                <w:rFonts w:hint="eastAsia" w:ascii="宋体" w:hAnsi="宋体" w:cs="宋体"/>
                <w:b/>
                <w:bCs/>
                <w:color w:val="000000"/>
                <w:sz w:val="24"/>
                <w:szCs w:val="24"/>
                <w:highlight w:val="none"/>
              </w:rPr>
            </w:r>
            <w:r/>
          </w:p>
        </w:tc>
      </w:tr>
      <w:tr>
        <w:trPr>
          <w:trHeight w:val="2163"/>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报价得分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综合评分法中的价格分采用低价优先法计算，即满足招标文件要求且投标价格最低的投标报价为评标基准价，其价格分为满分30分。其他投标人的价格分统一按照下列公式计算：</w:t>
            </w:r>
            <w:r>
              <w:rPr>
                <w:rFonts w:hint="eastAsia" w:ascii="宋体" w:hAnsi="宋体" w:cs="宋体"/>
                <w:color w:val="000000"/>
                <w:sz w:val="24"/>
                <w:szCs w:val="24"/>
                <w:highlight w:val="none"/>
              </w:rPr>
            </w:r>
            <w:r/>
          </w:p>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投标报价得分=(评标基准价／投标报价)×30</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30分</w:t>
            </w:r>
            <w:r>
              <w:rPr>
                <w:rFonts w:hint="eastAsia" w:ascii="宋体" w:hAnsi="宋体" w:cs="宋体"/>
                <w:color w:val="000000"/>
                <w:sz w:val="24"/>
                <w:szCs w:val="24"/>
                <w:highlight w:val="none"/>
              </w:rPr>
            </w:r>
            <w:r/>
          </w:p>
        </w:tc>
      </w:tr>
      <w:tr>
        <w:trPr>
          <w:trHeight w:val="45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技术部分70分</w:t>
            </w:r>
            <w:r>
              <w:rPr>
                <w:rFonts w:hint="eastAsia" w:ascii="宋体" w:hAnsi="宋体" w:cs="宋体"/>
                <w:b/>
                <w:bCs/>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b/>
                <w:bCs/>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质量性能 （3</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）性能参数（</w:t>
            </w:r>
            <w:r>
              <w:rPr>
                <w:rFonts w:hint="eastAsia" w:ascii="宋体" w:hAnsi="宋体" w:cs="宋体"/>
                <w:color w:val="000000"/>
                <w:sz w:val="24"/>
                <w:szCs w:val="24"/>
                <w:highlight w:val="none"/>
                <w:lang w:val="en-US" w:eastAsia="zh-CN"/>
              </w:rPr>
              <w:t xml:space="preserve">33分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根据各投标人所投产品功能(性能)及配置、对招标文件各项技术参数及配置要求的逐项响应情况及偏离表综合评定，投标人所投产品技术参数及配置要求均满足基本采购需求的得满分33分，打“▲”部分有一项负偏离扣3分;其他部分的参数有一项负偏离扣1分，扣完为止。本项最高得33分。</w:t>
            </w:r>
            <w:r>
              <w:rPr>
                <w:rFonts w:hint="eastAsia" w:ascii="宋体" w:hAnsi="宋体" w:cs="宋体"/>
                <w:color w:val="000000"/>
                <w:sz w:val="24"/>
                <w:szCs w:val="24"/>
                <w:highlight w:val="none"/>
              </w:rPr>
            </w:r>
            <w:r/>
          </w:p>
          <w:p>
            <w:pPr>
              <w:pStyle w:val="1316"/>
              <w:ind w:firstLine="480"/>
              <w:jc w:val="center"/>
              <w:spacing w:line="440" w:lineRule="exact"/>
              <w:rPr>
                <w:rFonts w:hint="eastAsia"/>
                <w:color w:val="000000"/>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原厂质保（3分）：根据各供应商提供的免费原厂质保年限打分，提供5年厂家整机质保及以下不得分，在5年的基础上每增加一年得1分，最高得3分。</w:t>
            </w:r>
            <w:r>
              <w:rPr>
                <w:rFonts w:hint="eastAsia" w:ascii="宋体" w:hAnsi="宋体" w:cs="宋体"/>
                <w:b/>
                <w:bCs/>
                <w:color w:val="000000"/>
                <w:sz w:val="24"/>
                <w:szCs w:val="24"/>
                <w:highlight w:val="none"/>
              </w:rPr>
              <w:t xml:space="preserve">（提供产品免费质保年限的承诺，格式自拟）</w:t>
            </w:r>
            <w:r>
              <w:rPr>
                <w:rFonts w:hint="eastAsia"/>
                <w:color w:val="000000"/>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注：①投标人在技术响应（偏离表）中必须如实表述产品技术参数是否偏离。</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投标人需按照本采购文件具体功能技术要求在“技术参数响应及偏离表”中如实详细填列所投产品的参数，打“▲”部分需提供相应证明文件（如医疗器械注册证及附页或技术白皮书或合格的检测报告等）。各投标人须如实描述所投产品的技术性能，若虚构产品技术参数的，将视为虚假响应，作无效投标。要求提供相关证明材料但未提供则视为该功能参数响应负偏离，进行扣分或无效响应处理。</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③技术参数无要求提供相应的证明材料，响应即可，未响应或未按照要求提供佐证材料视为负偏离，进行扣分处理。</w:t>
            </w:r>
            <w:r>
              <w:rPr>
                <w:rFonts w:hint="eastAsia" w:ascii="宋体" w:hAnsi="宋体" w:cs="宋体"/>
                <w:b/>
                <w:bCs/>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实施方案，包括供货方案（包含但不限于①货物的包装、②供货进度保证措施等）、安装、调试和验收方案（包括但不限于针对调试、验收计划及保证措施和体系）、质量和安全管理体系与措施（包括但不限于①质量体系与措施、②安全管理体系与措施等）等内容综合评定。以上内容全部包含，且每项均有具体可操作的落实措施，方案内容完整、合理可行、完全满足实际要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分；以上内容部分包含且方案内容较完整、较科学合理、基本满足实际要求，有相应落实措施的得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分；以上内容部分包含，方案内容不太完整、部分满足实际要求，有简要措施的得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444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项目验收方案(4分)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具体翔实的项目验收方案等综合评定，包括但不限于（验收流程和步骤说明、验收标准、验收人员组成及职责分工说明、验收不合格时的处理方案等），以上内容全部包含，且每项均有具体可操作的落实措施，方案内容完整、合理可行、完全满足实际要求的得4分；以上内容部分包含，方案内容较完整、较科学合理、基本满足实际要求，且有相应落实措施的得2分；以上内容部分包含，方案内容不太完整、部分满足实际要求，有简要措施的得1分；方案不完整、不合理、不满足实际要求的，措施笼统无可操作性得0.5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售后服务方案（8分）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根据各投标人提供售后服务方案（包括但不限于回访巡检方案、故障解决措施、技术人员保障、备品配件保障等）、本地化服务方案（各服务网点、维修</w:t>
            </w:r>
            <w:r>
              <w:rPr>
                <w:rFonts w:hint="eastAsia" w:ascii="宋体" w:hAnsi="宋体" w:cs="宋体"/>
                <w:color w:val="000000"/>
                <w:sz w:val="24"/>
                <w:szCs w:val="24"/>
                <w:highlight w:val="none"/>
              </w:rPr>
              <w:t xml:space="preserve">网点设置情况以及技术人员安排情况）等综合评定，以上内容全部包含，且每项均有具体可操作的落实措施，方案内容详细完整、详细，完全满足项目实际需求的得8分；以上内容部分包含，方案内容较完整、较科学合理、基本满足实际要求，内容解读具有比较可行性、合理性、能够基本满足本项目采购需求内容，完整和实用，没有相关证明材料支撑的得5分；以上内容部分包含，内容基本完整、思路清晰、可行性较好，没有相关证明材料支撑的得3分；方案不完整、不合理、不满足实际要求的，措施笼统无可操作性，没有相关证明材料支撑的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8分</w:t>
            </w:r>
            <w:r>
              <w:rPr>
                <w:rFonts w:hint="eastAsia" w:ascii="宋体" w:hAnsi="宋体" w:cs="宋体"/>
                <w:color w:val="000000"/>
                <w:sz w:val="24"/>
                <w:szCs w:val="24"/>
                <w:highlight w:val="none"/>
              </w:rPr>
            </w:r>
            <w:r/>
          </w:p>
        </w:tc>
      </w:tr>
      <w:tr>
        <w:trPr>
          <w:trHeight w:val="2735"/>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应急响应方案（4分）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根据对维修设备的响应和应急故障修复方</w:t>
            </w:r>
            <w:r>
              <w:rPr>
                <w:rFonts w:hint="eastAsia" w:ascii="宋体" w:hAnsi="宋体" w:cs="宋体"/>
                <w:color w:val="000000"/>
                <w:sz w:val="24"/>
                <w:szCs w:val="24"/>
                <w:highlight w:val="none"/>
              </w:rPr>
              <w:t xml:space="preserve">案等综合评定。方案应包含但不限于响应时间、回访巡检、故障解决、本地化服务人员构成、维修网点设置情况、备件储备情况等方面。以上内容全部包含，且每项均有具体可操作的落实措施，维修响应速度快，维修方案全面可行性强，方案内容详细完整、详细，完全满足项目实际需求得4分；以上内容部分包含，方案内容较完整、较科学合理、基本满足实际要求，且有相应落实措施的得2分；以上内容部分包含，方案内容不太完整、部分满足实际要求，有简要措施的得1分；方案不完整、不合理、不满足实际要求的，措施笼统无可操作性得0.5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r>
        <w:trPr>
          <w:trHeight w:val="546"/>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W w:w="1269" w:type="dxa"/>
            <w:vAlign w:val="center"/>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主要配件/耗材情况（3分）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所投产品列出保修期外主要配件/耗材的清单和价格，根据配件/耗材的质量品质、价格等综合评定。提供的清单完整（列出保修期外所有主要配件/耗材的名称、规格型号及单价）、适应性强、配套性高（承诺保修期外配件/耗材的供应）、价格最优惠（所报配件/耗材价格与市场同类产品价格相比具有竞争力）得3分；以上内容部分包含，提供的清单完整度一般、适应性一般、配套一般、价格较优惠得2分；提供的清单笼统、配套不完善、价格优惠力度低得1分；未提供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w:t>
            </w:r>
            <w:r>
              <w:rPr>
                <w:rFonts w:hint="eastAsia" w:ascii="宋体" w:hAnsi="宋体" w:cs="宋体"/>
                <w:color w:val="000000"/>
                <w:sz w:val="24"/>
                <w:szCs w:val="24"/>
                <w:highlight w:val="none"/>
              </w:rPr>
            </w:r>
            <w:r/>
          </w:p>
        </w:tc>
      </w:tr>
      <w:tr>
        <w:trPr>
          <w:trHeight w:val="85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技术培训方案（包括但不限于对用户的操作培训、业务功能培训等相关培训计划方案，除正常操作培训外，提出其他技术培训保障方案等）进行横向比较打分，以上内容全部包含，且每项均有具体可操作的落实措施，培训方案完整、详细、可行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分；以上内容部分包含，方案内容较完整、较科学合理、基本满足实际要求，内容解读具有比较可行性、合理性、能够基本满足本项目采购需求内容的得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分；以上内容部分包含，有方案，但方案内容模糊，没有针对本项目主要工作内容制定，内容不翔实、不完整、内容不全面的</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分。没有内容的不得分。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2010"/>
        </w:trPr>
        <w:tc>
          <w:tcPr>
            <w:tcW w:w="914" w:type="dxa"/>
            <w:vAlign w:val="center"/>
            <w:textDirection w:val="lrTb"/>
            <w:noWrap w:val="false"/>
          </w:tcPr>
          <w:p>
            <w:pPr>
              <w:pStyle w:val="1316"/>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往期案例分析（4分）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响应文件中提供的承担过2022年1月1日后与本次所投设备同类型的设备案例分析进行综合评价，对往期多个案例分析有针对性、分析详尽的，且有与本项目服务内容相关的证明材料支撑的最高得4分；仅对个别案例进行简单分析的得2分；往期做过类似案例，但针对本项目没有具体的经验分析的得1分；往期未做过类似案例，但针对本项目有经验分析的得0.5分，未提供的不得分。</w:t>
            </w:r>
            <w:r>
              <w:rPr>
                <w:rFonts w:hint="eastAsia" w:ascii="宋体" w:hAnsi="宋体" w:cs="宋体"/>
                <w:color w:val="000000"/>
                <w:sz w:val="24"/>
                <w:szCs w:val="24"/>
                <w:highlight w:val="none"/>
              </w:rPr>
            </w:r>
            <w:r/>
          </w:p>
          <w:p>
            <w:pPr>
              <w:pStyle w:val="1316"/>
              <w:ind w:firstLine="482"/>
              <w:jc w:val="center"/>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注：提供采购合同（所提供合同中显示的合同货物需与本次所投产品相同、甲方须为货物使用单位，乙方为生产企业或各经销商均可）加盖公章上传至“苏采云”系统相应位置。</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bl>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七标段：三茅街道社区卫生服务中心心电图机1台采购；</w:t>
      </w:r>
      <w:r>
        <w:rPr>
          <w:rFonts w:hint="eastAsia" w:ascii="宋体" w:hAnsi="宋体" w:cs="宋体"/>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1269"/>
        <w:gridCol w:w="5981"/>
        <w:gridCol w:w="1005"/>
      </w:tblGrid>
      <w:tr>
        <w:trPr/>
        <w:tc>
          <w:tcPr>
            <w:tcW w:w="914"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1269"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评分项目</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评分标准说明</w:t>
            </w:r>
            <w:r>
              <w:rPr>
                <w:rFonts w:hint="eastAsia" w:ascii="宋体" w:hAnsi="宋体" w:cs="宋体"/>
                <w:b/>
                <w:bCs/>
                <w:color w:val="000000"/>
                <w:sz w:val="24"/>
                <w:szCs w:val="24"/>
                <w:highlight w:val="none"/>
              </w:rPr>
            </w:r>
            <w:r/>
          </w:p>
        </w:tc>
        <w:tc>
          <w:tcPr>
            <w:tcW w:w="1005"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分值</w:t>
            </w:r>
            <w:r>
              <w:rPr>
                <w:rFonts w:hint="eastAsia" w:ascii="宋体" w:hAnsi="宋体" w:cs="宋体"/>
                <w:b/>
                <w:bCs/>
                <w:color w:val="000000"/>
                <w:sz w:val="24"/>
                <w:szCs w:val="24"/>
                <w:highlight w:val="none"/>
              </w:rPr>
            </w:r>
            <w:r/>
          </w:p>
        </w:tc>
      </w:tr>
      <w:tr>
        <w:trPr>
          <w:trHeight w:val="9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投标报价30分</w:t>
            </w:r>
            <w:r>
              <w:rPr>
                <w:rFonts w:hint="eastAsia" w:ascii="宋体" w:hAnsi="宋体" w:cs="宋体"/>
                <w:b/>
                <w:bCs/>
                <w:color w:val="000000"/>
                <w:sz w:val="24"/>
                <w:szCs w:val="24"/>
                <w:highlight w:val="none"/>
              </w:rPr>
            </w:r>
            <w:r/>
          </w:p>
        </w:tc>
      </w:tr>
      <w:tr>
        <w:trPr>
          <w:trHeight w:val="2163"/>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报价得分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综合评分法中的价格分采用低价优先法计算，即满足招标文件要求且投标价格最低的投标报价为评标基准价，其价格分为满分30分。其他投标人的价格分统一按照下列公式计算：</w:t>
            </w:r>
            <w:r>
              <w:rPr>
                <w:rFonts w:hint="eastAsia" w:ascii="宋体" w:hAnsi="宋体" w:cs="宋体"/>
                <w:color w:val="000000"/>
                <w:sz w:val="24"/>
                <w:szCs w:val="24"/>
                <w:highlight w:val="none"/>
              </w:rPr>
            </w:r>
            <w:r/>
          </w:p>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投标报价得分=(评标基准价／投标报价)×30</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30分</w:t>
            </w:r>
            <w:r>
              <w:rPr>
                <w:rFonts w:hint="eastAsia" w:ascii="宋体" w:hAnsi="宋体" w:cs="宋体"/>
                <w:color w:val="000000"/>
                <w:sz w:val="24"/>
                <w:szCs w:val="24"/>
                <w:highlight w:val="none"/>
              </w:rPr>
            </w:r>
            <w:r/>
          </w:p>
        </w:tc>
      </w:tr>
      <w:tr>
        <w:trPr>
          <w:trHeight w:val="45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技术部分70分</w:t>
            </w:r>
            <w:r>
              <w:rPr>
                <w:rFonts w:hint="eastAsia" w:ascii="宋体" w:hAnsi="宋体" w:cs="宋体"/>
                <w:b/>
                <w:bCs/>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b/>
                <w:bCs/>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质量性能 （</w:t>
            </w:r>
            <w:r>
              <w:rPr>
                <w:rFonts w:hint="eastAsia" w:ascii="宋体" w:hAnsi="宋体" w:cs="宋体"/>
                <w:color w:val="000000"/>
                <w:sz w:val="24"/>
                <w:szCs w:val="24"/>
                <w:highlight w:val="none"/>
                <w:lang w:val="en-US" w:eastAsia="zh-CN"/>
              </w:rPr>
              <w:t xml:space="preserve">41</w:t>
            </w:r>
            <w:r>
              <w:rPr>
                <w:rFonts w:hint="eastAsia" w:ascii="宋体" w:hAnsi="宋体" w:cs="宋体"/>
                <w:color w:val="000000"/>
                <w:sz w:val="24"/>
                <w:szCs w:val="24"/>
                <w:highlight w:val="none"/>
              </w:rPr>
              <w:t xml:space="preserve">分）</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性能参数（</w:t>
            </w:r>
            <w:r>
              <w:rPr>
                <w:rFonts w:hint="eastAsia" w:ascii="宋体" w:hAnsi="宋体" w:cs="宋体"/>
                <w:color w:val="000000"/>
                <w:sz w:val="24"/>
                <w:szCs w:val="24"/>
                <w:highlight w:val="none"/>
                <w:lang w:val="en-US" w:eastAsia="zh-CN"/>
              </w:rPr>
              <w:t xml:space="preserve">32</w:t>
            </w:r>
            <w:r>
              <w:rPr>
                <w:rFonts w:hint="eastAsia" w:ascii="宋体" w:hAnsi="宋体" w:cs="宋体"/>
                <w:color w:val="000000"/>
                <w:sz w:val="24"/>
                <w:szCs w:val="24"/>
                <w:highlight w:val="none"/>
                <w:lang w:eastAsia="zh-CN"/>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根据各投标人所投产品功能(性能)及配置、对招标文件各项技术参数及配置要求的逐项响应情况及偏离表综合评定，投标人所投产品技术参数及配置要求均满足基本采购需求的得满分32分，（打“</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t xml:space="preserve">”的条款不参与本小项的扣分）；打“▲”部分有一项负偏离扣4分;其他部分的参数有一项负偏离扣2分，扣完为止。本项最高得32分。</w:t>
            </w:r>
            <w:r>
              <w:rPr>
                <w:rFonts w:hint="eastAsia" w:ascii="宋体" w:hAnsi="宋体" w:cs="宋体"/>
                <w:color w:val="000000"/>
                <w:sz w:val="24"/>
                <w:szCs w:val="24"/>
                <w:highlight w:val="none"/>
              </w:rPr>
            </w:r>
            <w:r/>
          </w:p>
          <w:p>
            <w:pPr>
              <w:pStyle w:val="1316"/>
              <w:numPr>
                <w:ilvl w:val="0"/>
                <w:numId w:val="17"/>
              </w:numPr>
              <w:ind w:firstLine="480"/>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为保证信号还原度高，采样精度：采样率≥55000HZ，得3分；55000HZ（不含）＞采样率＞50000HZ（不含），得1分。</w:t>
            </w:r>
            <w:r>
              <w:rPr>
                <w:rFonts w:hint="eastAsia" w:ascii="宋体" w:hAnsi="宋体" w:cs="宋体"/>
                <w:b/>
                <w:bCs/>
                <w:color w:val="000000"/>
                <w:sz w:val="24"/>
                <w:szCs w:val="24"/>
                <w:highlight w:val="none"/>
              </w:rPr>
              <w:t xml:space="preserve">（提供证明材料加盖公章）</w:t>
            </w:r>
            <w:r>
              <w:rPr>
                <w:rFonts w:hint="eastAsia" w:ascii="宋体" w:hAnsi="宋体" w:cs="宋体"/>
                <w:b/>
                <w:bCs/>
                <w:color w:val="000000"/>
                <w:sz w:val="24"/>
                <w:szCs w:val="24"/>
                <w:highlight w:val="none"/>
              </w:rPr>
            </w:r>
            <w:r/>
          </w:p>
          <w:p>
            <w:pPr>
              <w:pStyle w:val="1316"/>
              <w:numPr>
                <w:ilvl w:val="0"/>
                <w:numId w:val="17"/>
              </w:num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频率响应≥0.01HZ～500HZ，得3分；0.01HZ～500Hz(不含）＞频率响应＞0.01HZ～400HZ（不含）得1分。</w:t>
            </w:r>
            <w:r>
              <w:rPr>
                <w:rFonts w:hint="eastAsia" w:ascii="宋体" w:hAnsi="宋体" w:cs="宋体"/>
                <w:b/>
                <w:bCs/>
                <w:color w:val="000000"/>
                <w:sz w:val="24"/>
                <w:szCs w:val="24"/>
                <w:highlight w:val="none"/>
              </w:rPr>
              <w:t xml:space="preserve">（提供证明材料加盖公章）。</w:t>
            </w:r>
            <w:r>
              <w:rPr>
                <w:rFonts w:hint="eastAsia" w:ascii="宋体" w:hAnsi="宋体" w:cs="宋体"/>
                <w:color w:val="000000"/>
                <w:sz w:val="24"/>
                <w:szCs w:val="24"/>
                <w:highlight w:val="none"/>
              </w:rPr>
            </w:r>
            <w:r/>
          </w:p>
          <w:p>
            <w:pPr>
              <w:pStyle w:val="1316"/>
              <w:ind w:firstLine="480"/>
              <w:jc w:val="center"/>
              <w:spacing w:line="440" w:lineRule="exact"/>
              <w:rPr>
                <w:rFonts w:hint="eastAsia" w:eastAsia="楷体_GB2312"/>
                <w:color w:val="000000"/>
                <w:highlight w:val="none"/>
                <w:lang w:eastAsia="zh-CN"/>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原厂质保（3分）：根据各供应商提供的免费原厂质保年限打分，提供5年厂家整机质保及以下不得分，在5年的基础上每增加一年得1分，最高得3分。</w:t>
            </w:r>
            <w:r>
              <w:rPr>
                <w:rFonts w:hint="eastAsia" w:ascii="宋体" w:hAnsi="宋体" w:cs="宋体"/>
                <w:b/>
                <w:bCs/>
                <w:color w:val="000000"/>
                <w:sz w:val="24"/>
                <w:szCs w:val="24"/>
                <w:highlight w:val="none"/>
              </w:rPr>
              <w:t xml:space="preserve">（提供产品免费质保年限的承诺，格式自拟）</w:t>
            </w:r>
            <w:r>
              <w:rPr>
                <w:rFonts w:hint="eastAsia" w:eastAsia="楷体_GB2312"/>
                <w:color w:val="000000"/>
                <w:highlight w:val="none"/>
                <w:lang w:eastAsia="zh-CN"/>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注：①投标人在技术响应（偏离表）中必须如实表述产品技术参数是否偏离。</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投标人需按照本采购文件具体功能技术要求在“技术参数响应及偏离表”中如实详细填列所投产品的参数，打“▲”部分需提供相应证明文件（如医疗器械注册证及附页或技术白皮书或合格的检测报告等）。各投标人须如实描述所投产品的技术性能，若虚构产品技术参数的，将视为虚假响应，作无效投标。要求提供相关证明材料但未提供则视为该功能参数响应负偏离，进行扣分或无效响应处理。</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③技术参数无要求提供相应的证明材料，响应即可，未响应或未按照要求提供佐证材料视为负偏离，进行扣分处理。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实施方案，包括供货方案（包含但不限于①货物的包装、②供货进度保证措施等）、安装、调试和验收方案（包括但不限于针对调试、验收计划及保证措施和体系）、质量和安全管理体系与措施（包括但不限于①质量体系与措施、②安全管理体系与措施等）等内容综合评定。以上内容全部包含，且每项均有具体可操作的落实措施，方案内容完整、合理可行、完全满足实际要求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分；以上内容部分包含且方案内容较完整、较科学合理、基本满足实际要求，有相应落实措施的得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分；以上内容部分包含，方案内容不太完整、部分满足实际要求，有简要措施的得2分；方案不完整、不合理、不满足实际要求的，措施笼统无可操作性得1分；未提供方案的不得分。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444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项目验收方案(4分)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具体翔实的项目验收方案等综合评定，包括但不限于（验收流程和步骤说明、验收标准、验收人员组成及职责分工说明、验收不合格时的处理方案等），以上内容全部包含，且每项均有具体可操作的落实措施，方案内容完整、合理可行、完全满足实际要求的得4分；以上内容部分包含，方案内容较完整、较科学合理、基本满足实际要求，且有相应落实措施的得2分；以上内容部分包含，方案内容不太完整、部分满足实际要求，有简要措施的得1分；方案不完整、不合理、不满足实际要求的，措施笼统无可操作性得0.5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售后服务方案（5分）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根据各投标人提供售后服务方案（包括但不限于回访巡检方案、故障解决措施、技术人员保障、备品配件保障等）、本地化服务方案（各服务网点、维修</w:t>
            </w:r>
            <w:r>
              <w:rPr>
                <w:rFonts w:hint="eastAsia" w:ascii="宋体" w:hAnsi="宋体" w:cs="宋体"/>
                <w:color w:val="000000"/>
                <w:sz w:val="24"/>
                <w:szCs w:val="24"/>
                <w:highlight w:val="none"/>
              </w:rPr>
              <w:t xml:space="preserve">网点设置情况以及技术人员安排情况）等综合评定，以上内容全部包含，且每项均有具体可操作的落实措施，方案内容详细完整、详细，完全满足项目实际需求的得5分；以上内容部分包含，方案内容较完整、较科学合理、基本满足实际要求，内容解读具有比较可行性、合理性、能够基本满足本项目采购需求内容，完整和实用，没有相关证明材料支撑的得3分；以上内容部分包含，内容基本完整、思路清晰、可行性较好，没有相关证明材料支撑的得2分；方案不完整、不合理、不满足实际要求的，措施笼统无可操作性，没有相关证明材料支撑的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tc>
      </w:tr>
      <w:tr>
        <w:trPr>
          <w:trHeight w:val="2735"/>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应急响应方案（4分）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根据对维修设备的响应和应急故障修复方</w:t>
            </w:r>
            <w:r>
              <w:rPr>
                <w:rFonts w:hint="eastAsia" w:ascii="宋体" w:hAnsi="宋体" w:cs="宋体"/>
                <w:color w:val="000000"/>
                <w:sz w:val="24"/>
                <w:szCs w:val="24"/>
                <w:highlight w:val="none"/>
              </w:rPr>
              <w:t xml:space="preserve">案等综合评定。方案应包含但不限于响应时间、回访巡检、故障解决、本地化服务人员构成、维修网点设置情况、备件储备情况等方面。以上内容全部包含，且每项均有具体可操作的落实措施，维修响应速度快，维修方案全面可行性强，方案内容详细完整、详细，完全满足项目实际需求得4分；以上内容部分包含，方案内容较完整、较科学合理、基本满足实际要求，且有相应落实措施的得2分；以上内容部分包含，方案内容不太完整、部分满足实际要求，有简要措施的得1分；方案不完整、不合理、不满足实际要求的，措施笼统无可操作性得0.5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r>
        <w:trPr>
          <w:trHeight w:val="31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W w:w="1269" w:type="dxa"/>
            <w:vAlign w:val="center"/>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主要配件/耗材情况（3分）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所投产品列出保修期外主要配件/耗材的清单和价格，根据配件/耗材的质量品质、价格等综合评定。提供的清单完整（列出保修期外所有主要配件/耗材的名称、规格型号及单价）、适应性强、配套性高（承诺保修期外配件/耗材的供应）、价格最优惠（所报配件/耗材价格与市场同类产品价格相比具有竞争力）得3分；以上内容部分包含，提供的清单完整度一般、适应性一般、配套一般、价格较优惠得2分；提供的清单笼统、配套不完善、价格优惠力度低得1分；未提供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w:t>
            </w:r>
            <w:r>
              <w:rPr>
                <w:rFonts w:hint="eastAsia" w:ascii="宋体" w:hAnsi="宋体" w:cs="宋体"/>
                <w:color w:val="000000"/>
                <w:sz w:val="24"/>
                <w:szCs w:val="24"/>
                <w:highlight w:val="none"/>
              </w:rPr>
            </w:r>
            <w:r/>
          </w:p>
        </w:tc>
      </w:tr>
      <w:tr>
        <w:trPr>
          <w:trHeight w:val="991"/>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技术培训方案（包括但不限于对用户的操作培训、业务功能培训等相关培训计划方案，除正常操作培训外，提出其他技术培训保障方案等）进行横向比较打分，以上内容全部包含，且每项均有具体可操作的落实措施，培训方案完整、详细、可行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分；以上内容部分包含，方案内容较完整、较科学合理、基本满足实际要求，内容解读具有比较可行性、合理性、能够基本满足本项目采购需求内容的得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分；以上内容部分包含，有方案，但方案内容模糊，没有针对本项目主要工作内容制定，内容不翔实、不完整、内容不全面的</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分。没有内容的不得分。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2010"/>
        </w:trPr>
        <w:tc>
          <w:tcPr>
            <w:tcW w:w="914" w:type="dxa"/>
            <w:vAlign w:val="center"/>
            <w:textDirection w:val="lrTb"/>
            <w:noWrap w:val="false"/>
          </w:tcPr>
          <w:p>
            <w:pPr>
              <w:pStyle w:val="1316"/>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往期案例分析（4分）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响应文件中提供的承担过2022年1月1日后与本次所投设备同类型的设备案例分析进行综合评价，对往期多个案例分析有针对性、分析详尽的，且有与本项目服务内容相关的证明材料支撑的最高得4分；仅对个别案例进行简单分析的得2分；往期做过类似案例，但针对本项目没有具体的经验分析的得1分；往期未做过类似案例，但针对本项目有经验分析的得0.5分，未提供的不得分。</w:t>
            </w:r>
            <w:r>
              <w:rPr>
                <w:rFonts w:hint="eastAsia" w:ascii="宋体" w:hAnsi="宋体" w:cs="宋体"/>
                <w:color w:val="000000"/>
                <w:sz w:val="24"/>
                <w:szCs w:val="24"/>
                <w:highlight w:val="none"/>
              </w:rPr>
            </w:r>
            <w:r/>
          </w:p>
          <w:p>
            <w:pPr>
              <w:pStyle w:val="1316"/>
              <w:ind w:firstLine="482"/>
              <w:jc w:val="center"/>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注：提供采购合同（所提供合同中显示的合同货物需与本次所投产品相同、甲方须为货物使用单位，乙方为生产企业或各经销商均可）加盖公章上传至“苏采云”系统相应位置。</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bl>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八标段：三茅街道社区卫生服务中心手术室监护仪1台采购；</w:t>
      </w:r>
      <w:r>
        <w:rPr>
          <w:rFonts w:hint="eastAsia" w:ascii="宋体" w:hAnsi="宋体" w:cs="宋体"/>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1269"/>
        <w:gridCol w:w="5981"/>
        <w:gridCol w:w="1005"/>
      </w:tblGrid>
      <w:tr>
        <w:trPr/>
        <w:tc>
          <w:tcPr>
            <w:tcW w:w="914"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1269"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评分项目</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评分标准说明</w:t>
            </w:r>
            <w:r>
              <w:rPr>
                <w:rFonts w:hint="eastAsia" w:ascii="宋体" w:hAnsi="宋体" w:cs="宋体"/>
                <w:b/>
                <w:bCs/>
                <w:color w:val="000000"/>
                <w:sz w:val="24"/>
                <w:szCs w:val="24"/>
                <w:highlight w:val="none"/>
              </w:rPr>
            </w:r>
            <w:r/>
          </w:p>
        </w:tc>
        <w:tc>
          <w:tcPr>
            <w:tcW w:w="1005"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分值</w:t>
            </w:r>
            <w:r>
              <w:rPr>
                <w:rFonts w:hint="eastAsia" w:ascii="宋体" w:hAnsi="宋体" w:cs="宋体"/>
                <w:b/>
                <w:bCs/>
                <w:color w:val="000000"/>
                <w:sz w:val="24"/>
                <w:szCs w:val="24"/>
                <w:highlight w:val="none"/>
              </w:rPr>
            </w:r>
            <w:r/>
          </w:p>
        </w:tc>
      </w:tr>
      <w:tr>
        <w:trPr>
          <w:trHeight w:val="9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投标报价30分</w:t>
            </w:r>
            <w:r>
              <w:rPr>
                <w:rFonts w:hint="eastAsia" w:ascii="宋体" w:hAnsi="宋体" w:cs="宋体"/>
                <w:b/>
                <w:bCs/>
                <w:color w:val="000000"/>
                <w:sz w:val="24"/>
                <w:szCs w:val="24"/>
                <w:highlight w:val="none"/>
              </w:rPr>
            </w:r>
            <w:r/>
          </w:p>
        </w:tc>
      </w:tr>
      <w:tr>
        <w:trPr>
          <w:trHeight w:val="2163"/>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报价得分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综合评分法中的价格分采用低价优先法计算，即满足招标文件要求且投标价格最低的投标报价为评标基准价，其价格分为满分30分。其他投标人的价格分统一按照下列公式计算：</w:t>
            </w:r>
            <w:r>
              <w:rPr>
                <w:rFonts w:hint="eastAsia" w:ascii="宋体" w:hAnsi="宋体" w:cs="宋体"/>
                <w:color w:val="000000"/>
                <w:sz w:val="24"/>
                <w:szCs w:val="24"/>
                <w:highlight w:val="none"/>
              </w:rPr>
            </w:r>
            <w:r/>
          </w:p>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投标报价得分=(评标基准价／投标报价)×30</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30分</w:t>
            </w:r>
            <w:r>
              <w:rPr>
                <w:rFonts w:hint="eastAsia" w:ascii="宋体" w:hAnsi="宋体" w:cs="宋体"/>
                <w:color w:val="000000"/>
                <w:sz w:val="24"/>
                <w:szCs w:val="24"/>
                <w:highlight w:val="none"/>
              </w:rPr>
            </w:r>
            <w:r/>
          </w:p>
        </w:tc>
      </w:tr>
      <w:tr>
        <w:trPr>
          <w:trHeight w:val="45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技术部分70分</w:t>
            </w:r>
            <w:r>
              <w:rPr>
                <w:rFonts w:hint="eastAsia" w:ascii="宋体" w:hAnsi="宋体" w:cs="宋体"/>
                <w:b/>
                <w:bCs/>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b/>
                <w:bCs/>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质量性能 （</w:t>
            </w:r>
            <w:r>
              <w:rPr>
                <w:rFonts w:hint="eastAsia" w:ascii="宋体" w:hAnsi="宋体" w:cs="宋体"/>
                <w:color w:val="000000"/>
                <w:sz w:val="24"/>
                <w:szCs w:val="24"/>
                <w:highlight w:val="none"/>
                <w:lang w:val="en-US" w:eastAsia="zh-CN"/>
              </w:rPr>
              <w:t xml:space="preserve">42</w:t>
            </w:r>
            <w:r>
              <w:rPr>
                <w:rFonts w:hint="eastAsia" w:ascii="宋体" w:hAnsi="宋体" w:cs="宋体"/>
                <w:color w:val="000000"/>
                <w:sz w:val="24"/>
                <w:szCs w:val="24"/>
                <w:highlight w:val="none"/>
              </w:rPr>
              <w:t xml:space="preserve">分）</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）性能参数（</w:t>
            </w:r>
            <w:r>
              <w:rPr>
                <w:rFonts w:hint="eastAsia" w:ascii="宋体" w:hAnsi="宋体" w:cs="宋体"/>
                <w:color w:val="000000"/>
                <w:sz w:val="24"/>
                <w:szCs w:val="24"/>
                <w:highlight w:val="none"/>
                <w:lang w:val="en-US" w:eastAsia="zh-CN"/>
              </w:rPr>
              <w:t xml:space="preserve">39分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根据各投标人所投产品功能(性能)及配置、对招标文件各项技术参数及配置要求的逐项响应情况及偏离表综合评定，投标人所投产品技术参数及配置要求均满足基本采购需求的得满分39分，打“▲”部分有一项负偏离扣2分;其他部分的参数有一项负偏离扣1分，扣完为止。本项最高得39分。</w:t>
            </w:r>
            <w:r>
              <w:rPr>
                <w:rFonts w:hint="eastAsia" w:ascii="宋体" w:hAnsi="宋体" w:cs="宋体"/>
                <w:color w:val="000000"/>
                <w:sz w:val="24"/>
                <w:szCs w:val="24"/>
                <w:highlight w:val="none"/>
              </w:rPr>
            </w:r>
            <w:r/>
          </w:p>
          <w:p>
            <w:pPr>
              <w:pStyle w:val="1316"/>
              <w:ind w:firstLine="480"/>
              <w:jc w:val="center"/>
              <w:spacing w:line="440" w:lineRule="exact"/>
              <w:rPr>
                <w:rFonts w:hint="eastAsia"/>
                <w:color w:val="000000"/>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原厂质保（3分）：根据各供应商提供的免费原厂质保年限打分，提供5年厂家整机质保及以下不得分，在5年的基础上每增加一年得1分，最高得3分。</w:t>
            </w:r>
            <w:r>
              <w:rPr>
                <w:rFonts w:hint="eastAsia" w:ascii="宋体" w:hAnsi="宋体" w:cs="宋体"/>
                <w:b/>
                <w:bCs/>
                <w:color w:val="000000"/>
                <w:sz w:val="24"/>
                <w:szCs w:val="24"/>
                <w:highlight w:val="none"/>
              </w:rPr>
              <w:t xml:space="preserve">（提供产品免费质保年限的承诺，格式自拟）</w:t>
            </w:r>
            <w:r>
              <w:rPr>
                <w:rFonts w:hint="eastAsia"/>
                <w:color w:val="000000"/>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注：①投标人在技术响应（偏离表）中必须如实表述产品技术参数是否偏离。</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投标人需按照本采购文件具体功能技术要求在“技术参数响应及偏离表”中如实详细填列所投产品的参数，打“▲”部分需提供相应证明文件（如医疗器械注册证及附页或技术白皮书或合格的检测报告等）。各投标人须如实描述所投产品的技术性能，若虚构产品技术参数的，将视为虚假响应，作无效投标。要求提供相关证明材料但未提供则视为该功能参数响应负偏离，进行扣分或无效响应处理。</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③技术参数无要求提供相应的证明材料，响应即可，未响应或未按照要求提供佐证材料视为负偏离，进行扣分处理。</w:t>
            </w:r>
            <w:r>
              <w:rPr>
                <w:rFonts w:hint="eastAsia" w:ascii="宋体" w:hAnsi="宋体" w:cs="宋体"/>
                <w:b/>
                <w:bCs/>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实施方案，包括供货方案（包含但不限于①货物的包装、②供货进度保证措施等）、安装、调试和验收方案（包括但不限于针对调试、验收计划及保证措施和体系）、质量和安全管理体系与措施（包括但不限于①质量体系与措施、②安全管理体系与措施等）等内容综合评定。以上内容全部包含，且每项均有具体可操作的落实措施，方案内容完整、合理可行、完全满足实际要求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以上内容部分包含且方案内容较完整、较科学合理、基本满足实际要求，有相应落实措施的得3分；以上内容部分包含，方案内容不太完整、部分满足实际要求，有简要措施的得2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325"/>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项目验收方案(4分)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具体翔实的项目验收方案等综合评定，包括但不限于（验收流程和步骤说明、验收标准、验收人员组成及职责分工说明、验收不合格时的处理方案等），以上内容全部包含，且每项均有具体可操作的落实措施，方案内容完整、合理可行、完全满足实际要求的得4分；以上内容部分包含，方案内容较完整、较科学合理、基本满足实际要求，且有相应落实措施的得2分；以上内容部分包含，方案内容不太完整、部分满足实际要求，有简要措施的得1分；方案不完整、不合理、不满足实际要求的，措施笼统无可操作性得0.5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售后服务方案（6分）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根据各投标人提供售后服务方案（包括但不限于回访巡检方案、故障解决措施、技术人员保障、备品配件保障等）、本地化服务方案（各服务网点、维修</w:t>
            </w:r>
            <w:r>
              <w:rPr>
                <w:rFonts w:hint="eastAsia" w:ascii="宋体" w:hAnsi="宋体" w:cs="宋体"/>
                <w:color w:val="000000"/>
                <w:sz w:val="24"/>
                <w:szCs w:val="24"/>
                <w:highlight w:val="none"/>
              </w:rPr>
              <w:t xml:space="preserve">网点设置情况以及技术人员安排情况）等综合评定，以上内容全部包含，且每项均有具体可操作的落实措施，方案内容详细完整、详细，完全满足项目实际需求的得6分；以上内容部分包含，方案内容较完整、较科学合理、基本满足实际要求，内容解读具有比较可行性、合理性、能够基本满足本项目采购需求内容，完整和实用，没有相关证明材料支撑的得3分；以上内容部分包含，内容基本完整、思路清晰、可行性较好，没有相关证明材料支撑的得2分；方案不完整、不合理、不满足实际要求的，措施笼统无可操作性，没有相关证明材料支撑的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hint="eastAsia" w:ascii="宋体" w:hAnsi="宋体" w:cs="宋体"/>
                <w:color w:val="000000"/>
                <w:sz w:val="24"/>
                <w:szCs w:val="24"/>
                <w:highlight w:val="none"/>
              </w:rPr>
            </w:r>
            <w:r/>
          </w:p>
        </w:tc>
      </w:tr>
      <w:tr>
        <w:trPr>
          <w:trHeight w:val="1558"/>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应急响应方案（4分）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根据对维修设备的响应和应急故障修复方</w:t>
            </w:r>
            <w:r>
              <w:rPr>
                <w:rFonts w:hint="eastAsia" w:ascii="宋体" w:hAnsi="宋体" w:cs="宋体"/>
                <w:color w:val="000000"/>
                <w:sz w:val="24"/>
                <w:szCs w:val="24"/>
                <w:highlight w:val="none"/>
              </w:rPr>
              <w:t xml:space="preserve">案等综合评定。方案应包含但不限于响应时间、回访巡检、故障解决、本地化服务人员构成、维修网点设置情况、备件储备情况等方面。以上内容全部包含，且每项均有具体可操作的落实措施，维修响应速度快，维修方案全面可行性强，方案内容详细完整、详细，完全满足项目实际需求得4分；以上内容部分包含，方案内容较完整、较科学合理、基本满足实际要求，且有相应落实措施的得2分；以上内容部分包含，方案内容不太完整、部分满足实际要求，有简要措施的得1分；方案不完整、不合理、不满足实际要求的，措施笼统无可操作性得0.5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r>
        <w:trPr>
          <w:trHeight w:val="698"/>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W w:w="1269" w:type="dxa"/>
            <w:vAlign w:val="center"/>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主要配件/耗材情况（3分）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所投产品列出保修期外主要配件/耗材的清单和价格，根据配件/耗材的质量品质、价格等综合评定。提供的清单完整（列出保修期外所有主要配件/耗材的名称、规格型号及单价）、适应性强、配套性高（承诺保修期外配件/耗材的供应）、价格最优惠（所报配件/耗材价格与市场同类产品价格相比具有竞争力）得3分；以上内容部分包含，提供的清单完整度一般、适应性一般、配套一般、价</w:t>
            </w:r>
            <w:r>
              <w:rPr>
                <w:rFonts w:hint="eastAsia" w:ascii="宋体" w:hAnsi="宋体" w:cs="宋体"/>
                <w:color w:val="000000"/>
                <w:highlight w:val="none"/>
              </w:rPr>
              <w:t xml:space="preserve">格</w:t>
            </w:r>
            <w:r>
              <w:rPr>
                <w:rFonts w:hint="eastAsia" w:ascii="宋体" w:hAnsi="宋体" w:cs="宋体"/>
                <w:color w:val="000000"/>
                <w:sz w:val="24"/>
                <w:szCs w:val="24"/>
                <w:highlight w:val="none"/>
              </w:rPr>
              <w:t xml:space="preserve">较优惠得2分；提供的清单笼统、配套不完善、价格优惠力度低得1分；未提供的不得分。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w:t>
            </w:r>
            <w:r>
              <w:rPr>
                <w:rFonts w:hint="eastAsia" w:ascii="宋体" w:hAnsi="宋体" w:cs="宋体"/>
                <w:color w:val="000000"/>
                <w:sz w:val="24"/>
                <w:szCs w:val="24"/>
                <w:highlight w:val="none"/>
              </w:rPr>
            </w:r>
            <w:r/>
          </w:p>
        </w:tc>
      </w:tr>
      <w:tr>
        <w:trPr>
          <w:trHeight w:val="505"/>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技术培训方案（包括但不限于对用户的操作培训、业务功能培训等相关培训计划方案，除正常操作培训外，提出其他技术培训保障方案等）进行横向比较打分，以上内容全部包含，且每项均有具体可操作的落实措施，培训方案完整、详细、可行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分；以上内容部分包含，方案内容较完整、较科学合理、基本满足实际要求，内容解读具有比较可行性、合理性、能够基本满足本项目采购需求内容的得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分；以上内容部分包含，有方案，但方案内容模糊，没有针对本项目主要工作内容制定，内容不翔实、不完整、内容不全面的</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分。没有内容的不得分。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2010"/>
        </w:trPr>
        <w:tc>
          <w:tcPr>
            <w:tcW w:w="914" w:type="dxa"/>
            <w:vAlign w:val="center"/>
            <w:textDirection w:val="lrTb"/>
            <w:noWrap w:val="false"/>
          </w:tcPr>
          <w:p>
            <w:pPr>
              <w:pStyle w:val="1316"/>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往期案例分析（4分）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响应文件中提供的承担过2022年1月1日后与本次所投设备同类型的设备案例分析进行综合评价，对往期多个案例分析有针对性、分析详尽的，且有与本项目服务内容相关的证明材料支撑的最高得4分；仅对个别案例进行简单分析的得2分；往期做过类似案例，但针对本项目没有具体的经验分析的得1分；往期未做过类似案例，但针对本项目有经验分析的得0.5分，未提供的不得分。</w:t>
            </w:r>
            <w:r>
              <w:rPr>
                <w:rFonts w:hint="eastAsia" w:ascii="宋体" w:hAnsi="宋体" w:cs="宋体"/>
                <w:color w:val="000000"/>
                <w:sz w:val="24"/>
                <w:szCs w:val="24"/>
                <w:highlight w:val="none"/>
              </w:rPr>
            </w:r>
            <w:r/>
          </w:p>
          <w:p>
            <w:pPr>
              <w:pStyle w:val="1316"/>
              <w:ind w:firstLine="482"/>
              <w:jc w:val="center"/>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注：提供采购合同（所提供合同中显示的合同货物需与本次所投产品相同、甲方须为货物使用单位，乙方为生产企业或各经销商均可）加盖公章上传至“苏采云”系统相应位置。</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bl>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九标段：三茅街道社区卫生服务中心多功能心脏除颤仪1台采购；</w:t>
      </w:r>
      <w:r>
        <w:rPr>
          <w:rFonts w:hint="eastAsia" w:ascii="宋体" w:hAnsi="宋体" w:cs="宋体"/>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1269"/>
        <w:gridCol w:w="5981"/>
        <w:gridCol w:w="1005"/>
      </w:tblGrid>
      <w:tr>
        <w:trPr/>
        <w:tc>
          <w:tcPr>
            <w:tcW w:w="914"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1269"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评分项目</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评分标准说明</w:t>
            </w:r>
            <w:r>
              <w:rPr>
                <w:rFonts w:hint="eastAsia" w:ascii="宋体" w:hAnsi="宋体" w:cs="宋体"/>
                <w:b/>
                <w:bCs/>
                <w:color w:val="000000"/>
                <w:sz w:val="24"/>
                <w:szCs w:val="24"/>
                <w:highlight w:val="none"/>
              </w:rPr>
            </w:r>
            <w:r/>
          </w:p>
        </w:tc>
        <w:tc>
          <w:tcPr>
            <w:tcW w:w="1005"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分值</w:t>
            </w:r>
            <w:r>
              <w:rPr>
                <w:rFonts w:hint="eastAsia" w:ascii="宋体" w:hAnsi="宋体" w:cs="宋体"/>
                <w:b/>
                <w:bCs/>
                <w:color w:val="000000"/>
                <w:sz w:val="24"/>
                <w:szCs w:val="24"/>
                <w:highlight w:val="none"/>
              </w:rPr>
            </w:r>
            <w:r/>
          </w:p>
        </w:tc>
      </w:tr>
      <w:tr>
        <w:trPr>
          <w:trHeight w:val="9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投标报价30分</w:t>
            </w:r>
            <w:r>
              <w:rPr>
                <w:rFonts w:hint="eastAsia" w:ascii="宋体" w:hAnsi="宋体" w:cs="宋体"/>
                <w:b/>
                <w:bCs/>
                <w:color w:val="000000"/>
                <w:sz w:val="24"/>
                <w:szCs w:val="24"/>
                <w:highlight w:val="none"/>
              </w:rPr>
            </w:r>
            <w:r/>
          </w:p>
        </w:tc>
      </w:tr>
      <w:tr>
        <w:trPr>
          <w:trHeight w:val="2163"/>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报价得分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综合评分法中的价格分采用低价优先法计算，即满足招标文件要求且投标价格最低的投标报价为评标基准价，其价格分为满分30分。其他投标人的价格分统一按照下列公式计算：</w:t>
            </w:r>
            <w:r>
              <w:rPr>
                <w:rFonts w:hint="eastAsia" w:ascii="宋体" w:hAnsi="宋体" w:cs="宋体"/>
                <w:color w:val="000000"/>
                <w:sz w:val="24"/>
                <w:szCs w:val="24"/>
                <w:highlight w:val="none"/>
              </w:rPr>
            </w:r>
            <w:r/>
          </w:p>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投标报价得分=(评标基准价／投标报价)×30</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30分</w:t>
            </w:r>
            <w:r>
              <w:rPr>
                <w:rFonts w:hint="eastAsia" w:ascii="宋体" w:hAnsi="宋体" w:cs="宋体"/>
                <w:color w:val="000000"/>
                <w:sz w:val="24"/>
                <w:szCs w:val="24"/>
                <w:highlight w:val="none"/>
              </w:rPr>
            </w:r>
            <w:r/>
          </w:p>
        </w:tc>
      </w:tr>
      <w:tr>
        <w:trPr>
          <w:trHeight w:val="45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技术部分70分</w:t>
            </w:r>
            <w:r>
              <w:rPr>
                <w:rFonts w:hint="eastAsia" w:ascii="宋体" w:hAnsi="宋体" w:cs="宋体"/>
                <w:b/>
                <w:bCs/>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b/>
                <w:bCs/>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质量性能 （3</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）性能参数（</w:t>
            </w:r>
            <w:r>
              <w:rPr>
                <w:rFonts w:hint="eastAsia" w:ascii="宋体" w:hAnsi="宋体" w:cs="宋体"/>
                <w:color w:val="000000"/>
                <w:sz w:val="24"/>
                <w:szCs w:val="24"/>
                <w:highlight w:val="none"/>
                <w:lang w:val="en-US" w:eastAsia="zh-CN"/>
              </w:rPr>
              <w:t xml:space="preserve">33分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根据各投标人所投产品功能(性能)及配置、对招标文件各项技术参数及配置要求的逐项响应情况及偏离表综合评定，投标人所投产品技术参数及配置要求均满足基本采购需求的得满分33分，打“▲”部分有一项负偏离扣4分;其他部分的参数有一项负偏离扣1分，扣完为止。本项最高得33分。</w:t>
            </w:r>
            <w:r>
              <w:rPr>
                <w:rFonts w:hint="eastAsia" w:ascii="宋体" w:hAnsi="宋体" w:cs="宋体"/>
                <w:color w:val="000000"/>
                <w:sz w:val="24"/>
                <w:szCs w:val="24"/>
                <w:highlight w:val="none"/>
              </w:rPr>
            </w:r>
            <w:r/>
          </w:p>
          <w:p>
            <w:pPr>
              <w:pStyle w:val="1316"/>
              <w:ind w:firstLine="480"/>
              <w:jc w:val="center"/>
              <w:spacing w:line="440" w:lineRule="exact"/>
              <w:rPr>
                <w:rFonts w:hint="eastAsia"/>
                <w:color w:val="000000"/>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原厂质保（3分）：根据各供应商提供的免费原厂质保年限打分，提供5年厂家整机质保及以下不得分，在5年的基础上每增加一年得1分，最高得3分。</w:t>
            </w:r>
            <w:r>
              <w:rPr>
                <w:rFonts w:hint="eastAsia" w:ascii="宋体" w:hAnsi="宋体" w:cs="宋体"/>
                <w:b/>
                <w:bCs/>
                <w:color w:val="000000"/>
                <w:sz w:val="24"/>
                <w:szCs w:val="24"/>
                <w:highlight w:val="none"/>
              </w:rPr>
              <w:t xml:space="preserve">（提供产品免费质保年限的承诺，格式自拟）</w:t>
            </w:r>
            <w:r>
              <w:rPr>
                <w:rFonts w:hint="eastAsia"/>
                <w:color w:val="000000"/>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注：①投标人在技术响应（偏离表）中必须如实表述产品技术参数是否偏离。</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投标人需按照本采购文件具体功能技术要求在“技术参数响应及偏离表”中如实详细填列所投产品的参数，打“▲”部分需提供相应证明文件（如医疗器械注册证及附页或技术白皮书或合格的检测报告等）。各投标人须如实描述所投产品的技术性能，若虚构产品技术参数的，将视为虚假响应，作无效投标。要求提供相关证明材料但未提供则视为该功能参数响应负偏离，进行扣分或无效响应处理。</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③技术参数无要求提供相应的证明材料，响应即可，未响应或未按照要求提供佐证材料视为负偏离，进行扣分处理。</w:t>
            </w:r>
            <w:r>
              <w:rPr>
                <w:rFonts w:hint="eastAsia" w:ascii="宋体" w:hAnsi="宋体" w:cs="宋体"/>
                <w:b/>
                <w:bCs/>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实施方案，包括供货方案（包含但不限于①货物的包装、②供货进度保证措施等）、安装、调试和验收方案（包括但不限于针对调试、验收计划及保证措施和体系）、质量和安全管理体系与措施（包括但不限于①质量体系与措施、②安全管理体系与措施等）等内容综合评定。以上内容全部包含，且每项均有具体可操作的落实措施，方案内容完整、合理可行、完全满足实际要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分；以上内容部分包含且方案内容较完整、较科学合理、基本满足实际要求，有相应落实措施的得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分；以上内容部分包含，方案内容不太完整、部分满足实际要求，有简要措施的得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项目验收方案(5分)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具体翔实的项目验收方案等综合评定，包括但不限于（验收流程和步骤说明、验收标准、验收人员组成及职责分工说明、验收不合格时的处理方案等），以上内容全部包含，且每项均有具体可操作的落实措施，方案内容完整、合理可行、完全满足实际要求的得5分；以上内容部分包含，方案内容较完整、较科学合理、基本满足实际要求，且有相应落实措施的得3分；以上内容部分包含，方案内容不太完整、部分满足实际要求，有简要措施的得2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售后服务方案（8分）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根据各投标人提供售后服务方案（包括但不限于回访巡检方案、故障解决措施、技术人员保障、备品配件保障等）、本地化服务方案（各服务网点、维修</w:t>
            </w:r>
            <w:r>
              <w:rPr>
                <w:rFonts w:hint="eastAsia" w:ascii="宋体" w:hAnsi="宋体" w:cs="宋体"/>
                <w:color w:val="000000"/>
                <w:sz w:val="24"/>
                <w:szCs w:val="24"/>
                <w:highlight w:val="none"/>
              </w:rPr>
              <w:t xml:space="preserve">网点设置情况以及技术人员安排情况）等综合评定，以上内容全部包含，且每项均有具体可操作的落实措施，方案内容详细完整、详细，完全满足项目实际需求的得8分；以上内容部分包含，方案内容较完整、较科学合理、基本满足实际要求，内容解读具有比较可行性、合理性、能够基本满足本项目采购需求内容，完整和实用，没有相关证明材料支撑的得5分；以上内容部分包含，内容基本完整、思路清晰、可行性较好，没有相关证明材料支撑的得3分；方案不完整、不合理、不满足实际要求的，措施笼统无可操作性，没有相关证明材料支撑的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8分</w:t>
            </w:r>
            <w:r>
              <w:rPr>
                <w:rFonts w:hint="eastAsia" w:ascii="宋体" w:hAnsi="宋体" w:cs="宋体"/>
                <w:color w:val="000000"/>
                <w:sz w:val="24"/>
                <w:szCs w:val="24"/>
                <w:highlight w:val="none"/>
              </w:rPr>
            </w:r>
            <w:r/>
          </w:p>
        </w:tc>
      </w:tr>
      <w:tr>
        <w:trPr>
          <w:trHeight w:val="2735"/>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应急响应方案（4分）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根据对维修设备的响应和应急故障修复方</w:t>
            </w:r>
            <w:r>
              <w:rPr>
                <w:rFonts w:hint="eastAsia" w:ascii="宋体" w:hAnsi="宋体" w:cs="宋体"/>
                <w:color w:val="000000"/>
                <w:sz w:val="24"/>
                <w:szCs w:val="24"/>
                <w:highlight w:val="none"/>
              </w:rPr>
              <w:t xml:space="preserve">案等综合评定。方案应包含但不限于响应时间、回访巡检、故障解决、本地化服务人员构成、维修网点设置情况、备件储备情况等方面。以上内容全部包含，且每项均有具体可操作的落实措施，维修响应速度快，维修方案全面可行性强，方案内容详细完整、详细，完全满足项目实际需求得4分；以上内容部分包含，方案内容较完整、较科学合理、基本满足实际要求，且有相应落实措施的得2分；以上内容部分包含，方案内容不太完整、部分满足实际要求，有简要措施的得1分；方案不完整、不合理、不满足实际要求的，措施笼统无可操作性得0.5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r>
        <w:trPr>
          <w:trHeight w:val="698"/>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W w:w="1269" w:type="dxa"/>
            <w:vAlign w:val="center"/>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主要配件/耗材情况（3分）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所投产品列出保修期外主要配件/耗材的清单和价格，根据配件/耗材的质量品质、价格等综合评定。提供的清单完整（列出保修期外所有主要配件/耗材的名称、规格型号及单价）、适应性强、配套性高（承诺保修期外配件/耗材的供应）、价格最优惠（所报配件/耗材价格与市场同类产品价格相比具有竞争力）得3分；以上内容部分包含，提供的清单完整度一般、适应性一般、配套一般、价</w:t>
            </w:r>
            <w:r>
              <w:rPr>
                <w:rFonts w:hint="eastAsia" w:ascii="宋体" w:hAnsi="宋体" w:cs="宋体"/>
                <w:color w:val="000000"/>
                <w:highlight w:val="none"/>
              </w:rPr>
              <w:t xml:space="preserve">格</w:t>
            </w:r>
            <w:r>
              <w:rPr>
                <w:rFonts w:hint="eastAsia" w:ascii="宋体" w:hAnsi="宋体" w:cs="宋体"/>
                <w:color w:val="000000"/>
                <w:sz w:val="24"/>
                <w:szCs w:val="24"/>
                <w:highlight w:val="none"/>
              </w:rPr>
              <w:t xml:space="preserve">较优惠得2分；提供的清单笼统、配套不完善、价格优惠力度低得1分；未提供的不得分。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w:t>
            </w:r>
            <w:r>
              <w:rPr>
                <w:rFonts w:hint="eastAsia" w:ascii="宋体" w:hAnsi="宋体" w:cs="宋体"/>
                <w:color w:val="000000"/>
                <w:sz w:val="24"/>
                <w:szCs w:val="24"/>
                <w:highlight w:val="none"/>
              </w:rPr>
            </w:r>
            <w:r/>
          </w:p>
        </w:tc>
      </w:tr>
      <w:tr>
        <w:trPr>
          <w:trHeight w:val="633"/>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技术培训方案（包括但不限于对用户的操作培训、业务功能培训等相关培训计划方案，除正常操作培训外，提出其他技术培训保障方案等）进行横向比较打分，以上内容全部包含，且每项均有具体可操作的落实措施，培训方案完整、详细、可行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以上内容部分包含，方案内容较完整、较科学合理、基本满足实际要求，内容解读具有比较可行性、合理性、能够基本满足本项目采购需求内容的得3分；以上内容部分包含，有方案，但方案内容模糊，没有针对本项目主要工作内容制定，内容不翔实、不完整、内容不全面的1分。没有内容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476"/>
        </w:trPr>
        <w:tc>
          <w:tcPr>
            <w:tcW w:w="914" w:type="dxa"/>
            <w:vAlign w:val="center"/>
            <w:textDirection w:val="lrTb"/>
            <w:noWrap w:val="false"/>
          </w:tcPr>
          <w:p>
            <w:pPr>
              <w:pStyle w:val="1316"/>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往期案例分析（4分）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响应文件中提供的承担过2022年1月1日后与本次所投设备同类型的设备案例分析进行综合评价，对往期多个案例分析有针对性、分析详尽的，且有与本项目服务内容相关的证明材料支撑的最高得4分；仅对个别案例进行简单分析的得2分；往期做过类似案例，但针对本项目没有具体的经验分析的得1分；往期未做过类似案例，但针对本项目有经验分析的得0.5分，未提供的不得分。</w:t>
            </w:r>
            <w:r>
              <w:rPr>
                <w:rFonts w:hint="eastAsia" w:ascii="宋体" w:hAnsi="宋体" w:cs="宋体"/>
                <w:color w:val="000000"/>
                <w:sz w:val="24"/>
                <w:szCs w:val="24"/>
                <w:highlight w:val="none"/>
              </w:rPr>
            </w:r>
            <w:r/>
          </w:p>
          <w:p>
            <w:pPr>
              <w:pStyle w:val="1316"/>
              <w:ind w:firstLine="482"/>
              <w:jc w:val="center"/>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注：提供采购合同（所提供合同中显示的合同货物需与本次所投产品相同、甲方须为货物使用单位，乙方为生产企业或各经销商均可）加盖公章上传至“苏采云”系统相应位置。</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bl>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131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十标段：西来桥镇卫生院彩色超声诊断系统1台采购；</w:t>
      </w:r>
      <w:r>
        <w:rPr>
          <w:rFonts w:hint="eastAsia" w:ascii="宋体" w:hAnsi="宋体" w:cs="宋体"/>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1269"/>
        <w:gridCol w:w="5981"/>
        <w:gridCol w:w="1005"/>
      </w:tblGrid>
      <w:tr>
        <w:trPr/>
        <w:tc>
          <w:tcPr>
            <w:tcW w:w="914"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1269"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评分项目</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评分标准说明</w:t>
            </w:r>
            <w:r>
              <w:rPr>
                <w:rFonts w:hint="eastAsia" w:ascii="宋体" w:hAnsi="宋体" w:cs="宋体"/>
                <w:b/>
                <w:bCs/>
                <w:color w:val="000000"/>
                <w:sz w:val="24"/>
                <w:szCs w:val="24"/>
                <w:highlight w:val="none"/>
              </w:rPr>
            </w:r>
            <w:r/>
          </w:p>
        </w:tc>
        <w:tc>
          <w:tcPr>
            <w:tcW w:w="1005" w:type="dxa"/>
            <w:vAlign w:val="top"/>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分值</w:t>
            </w:r>
            <w:r>
              <w:rPr>
                <w:rFonts w:hint="eastAsia" w:ascii="宋体" w:hAnsi="宋体" w:cs="宋体"/>
                <w:b/>
                <w:bCs/>
                <w:color w:val="000000"/>
                <w:sz w:val="24"/>
                <w:szCs w:val="24"/>
                <w:highlight w:val="none"/>
              </w:rPr>
            </w:r>
            <w:r/>
          </w:p>
        </w:tc>
      </w:tr>
      <w:tr>
        <w:trPr>
          <w:trHeight w:val="9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投标报价30分</w:t>
            </w:r>
            <w:r>
              <w:rPr>
                <w:rFonts w:hint="eastAsia" w:ascii="宋体" w:hAnsi="宋体" w:cs="宋体"/>
                <w:b/>
                <w:bCs/>
                <w:color w:val="000000"/>
                <w:sz w:val="24"/>
                <w:szCs w:val="24"/>
                <w:highlight w:val="none"/>
              </w:rPr>
            </w:r>
            <w:r/>
          </w:p>
        </w:tc>
      </w:tr>
      <w:tr>
        <w:trPr>
          <w:trHeight w:val="2163"/>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报价得分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综合评分法中的价格分采用低价优先法计算，即满足招标文件要求且投标价格最低的投标报价为评标基准价，其价格分为满分30分。其他投标人的价格分统一按照下列公式计算：</w:t>
            </w:r>
            <w:r>
              <w:rPr>
                <w:rFonts w:hint="eastAsia" w:ascii="宋体" w:hAnsi="宋体" w:cs="宋体"/>
                <w:color w:val="000000"/>
                <w:sz w:val="24"/>
                <w:szCs w:val="24"/>
                <w:highlight w:val="none"/>
              </w:rPr>
            </w:r>
            <w:r/>
          </w:p>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投标报价得分=(评标基准价／投标报价)×30</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30分</w:t>
            </w:r>
            <w:r>
              <w:rPr>
                <w:rFonts w:hint="eastAsia" w:ascii="宋体" w:hAnsi="宋体" w:cs="宋体"/>
                <w:color w:val="000000"/>
                <w:sz w:val="24"/>
                <w:szCs w:val="24"/>
                <w:highlight w:val="none"/>
              </w:rPr>
            </w:r>
            <w:r/>
          </w:p>
        </w:tc>
      </w:tr>
      <w:tr>
        <w:trPr>
          <w:trHeight w:val="450"/>
        </w:trPr>
        <w:tc>
          <w:tcPr>
            <w:shd w:val="clear" w:color="auto" w:fill="d7d7d7"/>
            <w:tcW w:w="914"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rPr>
                <w:rFonts w:hint="eastAsia" w:ascii="宋体" w:hAnsi="宋体" w:cs="宋体"/>
                <w:b/>
                <w:bCs/>
                <w:color w:val="000000"/>
                <w:sz w:val="24"/>
                <w:szCs w:val="24"/>
                <w:highlight w:val="none"/>
              </w:rPr>
            </w:r>
            <w:r/>
          </w:p>
        </w:tc>
        <w:tc>
          <w:tcPr>
            <w:gridSpan w:val="3"/>
            <w:shd w:val="clear" w:color="auto" w:fill="d7d7d7"/>
            <w:tcW w:w="8255" w:type="dxa"/>
            <w:vAlign w:val="top"/>
            <w:textDirection w:val="lrTb"/>
            <w:noWrap w:val="false"/>
          </w:tcPr>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技术部分70分</w:t>
            </w:r>
            <w:r>
              <w:rPr>
                <w:rFonts w:hint="eastAsia" w:ascii="宋体" w:hAnsi="宋体" w:cs="宋体"/>
                <w:b/>
                <w:bCs/>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b/>
                <w:bCs/>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质量性能 （35分）</w:t>
            </w:r>
            <w:r>
              <w:rPr>
                <w:rFonts w:hint="eastAsia" w:ascii="宋体" w:hAnsi="宋体" w:cs="宋体"/>
                <w:b/>
                <w:bCs/>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性能参数（</w:t>
            </w:r>
            <w:r>
              <w:rPr>
                <w:rFonts w:hint="eastAsia" w:ascii="宋体" w:hAnsi="宋体" w:cs="宋体"/>
                <w:color w:val="000000"/>
                <w:sz w:val="24"/>
                <w:szCs w:val="24"/>
                <w:highlight w:val="none"/>
                <w:lang w:val="en-US" w:eastAsia="zh-CN"/>
              </w:rPr>
              <w:t xml:space="preserve">32分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根据各投标人所投产品功能(性能)及配置、对招标文件各项技术参数及配置要求的逐项响应情况及偏离表综合评定，投标人所投产品技术参数及配置要求均满足基本采购需求的得满分32分，打“</w:t>
            </w:r>
            <w:r>
              <w:rPr>
                <w:rFonts w:hint="eastAsia"/>
                <w:color w:val="000000"/>
                <w:highlight w:val="none"/>
              </w:rPr>
              <w:t xml:space="preserve">★</w:t>
            </w:r>
            <w:r>
              <w:rPr>
                <w:rFonts w:hint="eastAsia" w:ascii="宋体" w:hAnsi="宋体" w:cs="宋体"/>
                <w:color w:val="000000"/>
                <w:sz w:val="24"/>
                <w:szCs w:val="24"/>
                <w:highlight w:val="none"/>
              </w:rPr>
              <w:t xml:space="preserve">”部分有一项负偏离扣4分;打“▲”部分有一项负偏离扣2分;其他部分的参数有一项负偏离扣1分，扣完为止。本项最高得32分。</w:t>
            </w:r>
            <w:r>
              <w:rPr>
                <w:rFonts w:hint="eastAsia" w:ascii="宋体" w:hAnsi="宋体" w:cs="宋体"/>
                <w:color w:val="000000"/>
                <w:sz w:val="24"/>
                <w:szCs w:val="24"/>
                <w:highlight w:val="none"/>
              </w:rPr>
            </w:r>
            <w:r/>
          </w:p>
          <w:p>
            <w:pPr>
              <w:pStyle w:val="1316"/>
              <w:ind w:firstLine="480"/>
              <w:spacing w:line="440" w:lineRule="exact"/>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（2）原厂质保（3分）：根据各供应商提供的免费原厂质保年限打分，提供5年厂家整机质保及以下不得分，在5年的基础上每增加一年得1分，最高得3分。</w:t>
            </w:r>
            <w:r>
              <w:rPr>
                <w:rFonts w:hint="eastAsia" w:ascii="宋体" w:hAnsi="宋体" w:cs="宋体"/>
                <w:b/>
                <w:bCs/>
                <w:color w:val="000000"/>
                <w:sz w:val="24"/>
                <w:szCs w:val="24"/>
                <w:highlight w:val="none"/>
              </w:rPr>
              <w:t xml:space="preserve">（提供产品免费质保年限的承诺，格式自拟）</w:t>
            </w:r>
            <w:r>
              <w:rPr>
                <w:rFonts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注：①投标人在技术响应（偏离表）中必须如实表述产品技术参数是否偏离。</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投标人需按照本采购文件具体功能技术要求在“技术参数响应及偏离表”中如实详细填列所投产品的参数，打“★”“▲”部分需提供相应证明文件（如医疗器械注册证及附页或技术白皮书或合格的检测报告等）。各投标人须如实描述所投产品的技术性能，若虚构产品技术参数的，将视为虚假响应，作无效投标。要求提供相关证明材料但未提供则视为该功能参数响应负偏离，进行扣分或无效响应处理。</w:t>
            </w:r>
            <w:r>
              <w:rPr>
                <w:rFonts w:hint="eastAsia" w:ascii="宋体" w:hAnsi="宋体" w:cs="宋体"/>
                <w:b/>
                <w:bCs/>
                <w:color w:val="000000"/>
                <w:sz w:val="24"/>
                <w:szCs w:val="24"/>
                <w:highlight w:val="none"/>
              </w:rPr>
            </w:r>
            <w:r/>
          </w:p>
          <w:p>
            <w:pPr>
              <w:pStyle w:val="1316"/>
              <w:ind w:firstLine="482"/>
              <w:jc w:val="center"/>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③技术参数无要求提供相应的证明材料，响应即可，未响应或未按照要求提供佐证材料视为负偏离，进行扣分处理。</w:t>
            </w:r>
            <w:r>
              <w:rPr>
                <w:rFonts w:hint="eastAsia" w:ascii="宋体" w:hAnsi="宋体" w:cs="宋体"/>
                <w:b/>
                <w:bCs/>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实施方案（6分）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根据各投标人提供的实施方案，包括供货方案（包含但不限于①货物的包装、②供货进度保证措施等）、安</w:t>
            </w:r>
            <w:r>
              <w:rPr>
                <w:rFonts w:hint="eastAsia" w:ascii="宋体" w:hAnsi="宋体" w:cs="宋体"/>
                <w:color w:val="000000"/>
                <w:sz w:val="24"/>
                <w:szCs w:val="24"/>
                <w:highlight w:val="none"/>
              </w:rPr>
              <w:t xml:space="preserve">装、调试和验收方案（包括但不限于针对调试、验收计划及保证措施和体系）、质量和安全管理体系与措施（包括但不限于①质量体系与措施、②安全管理体系与措施等）等内容综合评定。以上内容全部包含，且每项均有具体可操作的落实措施，方案内容完整、合理可行、完全满足实际要求的得6分；以上内容部分包含且方案内容较完整、较科学合理、基本满足实际要求，有相应落实措施的得4分；以上内容部分包含，方案内容不太完整、部分满足实际要求，有简要措施的得2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hint="eastAsia" w:ascii="宋体" w:hAnsi="宋体" w:cs="宋体"/>
                <w:color w:val="000000"/>
                <w:sz w:val="24"/>
                <w:szCs w:val="24"/>
                <w:highlight w:val="none"/>
              </w:rPr>
            </w:r>
            <w:r/>
          </w:p>
        </w:tc>
      </w:tr>
      <w:tr>
        <w:trPr>
          <w:trHeight w:val="444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项目验收方案(4分)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具体翔实的项目验收方案等综合评定，包括但不限于（验收流程和步骤说明、验收标准、验收人员组成及职责分工说明、验收不合格时的处理方案等），以上内容全部包含，且每项均有具体可操作的落实措施，方案内容完整、合理可行、完全满足实际要求的得4分；以上内容部分包含，方案内容较完整、较科学合理、基本满足实际要求，且有相应落实措施的得2分；以上内容部分包含，方案内容不太完整、部分满足实际要求，有简要措施的得1分；方案不完整、不合理、不满足实际要求的，措施笼统无可操作性得0.5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r>
        <w:trPr>
          <w:trHeight w:val="90"/>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售后服务方案（8分）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根据各投标人提供售后服务方案（包括但不限于回访巡检方案、故障解决措施、技术人员保障、备品配件保障等）、本地化服务方案（各服务网点、维修</w:t>
            </w:r>
            <w:r>
              <w:rPr>
                <w:rFonts w:hint="eastAsia" w:ascii="宋体" w:hAnsi="宋体" w:cs="宋体"/>
                <w:color w:val="000000"/>
                <w:sz w:val="24"/>
                <w:szCs w:val="24"/>
                <w:highlight w:val="none"/>
              </w:rPr>
              <w:t xml:space="preserve">网点设置情况以及技术人员安排情况）等综合评定，以上内容全部包含，且每项均有具体可操作的落实措施，方案内容详细完整、详细，完全满足项目实际需求的得8分；以上内容部分包含，方案内容较完整、较科学合理、基本满足实际要求，内容解读具有比较可行性、合理性、能够基本满足本项目采购需求内容，完整和实用，没有相关证明材料支撑的得5分；以上内容部分包含，内容基本完整、思路清晰、可行性较好，没有相关证明材料支撑的得3分；方案不完整、不合理、不满足实际要求的，措施笼统无可操作性，没有相关证明材料支撑的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8分</w:t>
            </w:r>
            <w:r>
              <w:rPr>
                <w:rFonts w:hint="eastAsia" w:ascii="宋体" w:hAnsi="宋体" w:cs="宋体"/>
                <w:color w:val="000000"/>
                <w:sz w:val="24"/>
                <w:szCs w:val="24"/>
                <w:highlight w:val="none"/>
              </w:rPr>
            </w:r>
            <w:r/>
          </w:p>
        </w:tc>
      </w:tr>
      <w:tr>
        <w:trPr>
          <w:trHeight w:val="2735"/>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应急响应方案（5分）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根据对维修设备的响应和应急故障修</w:t>
            </w:r>
            <w:r>
              <w:rPr>
                <w:rFonts w:hint="eastAsia" w:ascii="宋体" w:hAnsi="宋体" w:cs="宋体"/>
                <w:color w:val="000000"/>
                <w:sz w:val="24"/>
                <w:szCs w:val="24"/>
                <w:highlight w:val="none"/>
              </w:rPr>
              <w:t xml:space="preserve">复方案等综合评定。方案应包含但不限于响应时间、回访巡检、故障解决、本地化服务人员构成、维修网点设置情况、备件储备情况等方面。以上内容全部包含，且每项均有具体可操作的落实措施，维修响应速度快，维修方案全面可行性强，方案内容详细完整、详细，完全满足项目实际需求得5分；以上内容部分包含，方案内容较完整、较科学合理、基本满足实际要求，且有相应落实措施的得3分；以上内容部分包含，方案内容不太完整、部分满足实际要求，有简要措施的得2分；方案不完整、不合理、不满足实际要求的，措施笼统无可操作性得1分；未提供方案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tc>
      </w:tr>
      <w:tr>
        <w:trPr>
          <w:trHeight w:val="698"/>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W w:w="1269" w:type="dxa"/>
            <w:vAlign w:val="center"/>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主要配件/耗材情况（3分）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所投产品列出保修期外主要配件/耗材的清单和价格，根据配件/耗材的质量品质、价格等综合评定。提供的清单完整（列出保修期外所有主要配件/耗材的名称、规格型号及单价）、适应性强、配套性高（承诺保修期外配件/耗材的供应）、价格最优惠（所报配件/耗材价格与市场同类产品价格相比具有竞争力）得3分；以上内容部分包含，提供的清单完整度一般、适应性一般、配套一般、价</w:t>
            </w:r>
            <w:r>
              <w:rPr>
                <w:rFonts w:hint="eastAsia" w:ascii="宋体" w:hAnsi="宋体" w:cs="宋体"/>
                <w:color w:val="000000"/>
                <w:highlight w:val="none"/>
              </w:rPr>
              <w:t xml:space="preserve">格</w:t>
            </w:r>
            <w:r>
              <w:rPr>
                <w:rFonts w:hint="eastAsia" w:ascii="宋体" w:hAnsi="宋体" w:cs="宋体"/>
                <w:color w:val="000000"/>
                <w:sz w:val="24"/>
                <w:szCs w:val="24"/>
                <w:highlight w:val="none"/>
              </w:rPr>
              <w:t xml:space="preserve">较优惠得2分；提供的清单笼统、配套不完善、价格优惠力度低得1分；未提供的不得分。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w:t>
            </w:r>
            <w:r>
              <w:rPr>
                <w:rFonts w:hint="eastAsia" w:ascii="宋体" w:hAnsi="宋体" w:cs="宋体"/>
                <w:color w:val="000000"/>
                <w:sz w:val="24"/>
                <w:szCs w:val="24"/>
                <w:highlight w:val="none"/>
              </w:rPr>
            </w:r>
            <w:r/>
          </w:p>
        </w:tc>
      </w:tr>
      <w:tr>
        <w:trPr>
          <w:trHeight w:val="496"/>
        </w:trPr>
        <w:tc>
          <w:tcPr>
            <w:tcW w:w="914"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培训方案（5分）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技术培训方案（包括但不限于对用户的操作培训、业务功能培训等相关培训计划方案，除正常操作培训外，提出其他技术培训保障方案等）进行横向比较打分，以上内容全部包含，且每项均有具体可操作的落实措施，培训方案完整、详细、可行的得5分；以上内容部分包含，方案内容较完整、较科学合理、基本满足实际要求，内容解读具有比较可行性、合理性、能够基本满足本项目采购需求内容的得3分；以上内容部分包含，有方案，但方案内容模糊，没有针对本项目主要工作内容制定，内容不翔实、不完整、内容不全面的2分。没有内容的不得分。</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tc>
      </w:tr>
      <w:tr>
        <w:trPr>
          <w:trHeight w:val="2010"/>
        </w:trPr>
        <w:tc>
          <w:tcPr>
            <w:tcW w:w="914" w:type="dxa"/>
            <w:vAlign w:val="center"/>
            <w:textDirection w:val="lrTb"/>
            <w:noWrap w:val="false"/>
          </w:tcPr>
          <w:p>
            <w:pPr>
              <w:pStyle w:val="1316"/>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c>
          <w:tcPr>
            <w:tcW w:w="1269"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往期案例分析（4分）</w:t>
            </w:r>
            <w:r>
              <w:rPr>
                <w:rFonts w:hint="eastAsia" w:ascii="宋体" w:hAnsi="宋体" w:cs="宋体"/>
                <w:color w:val="000000"/>
                <w:sz w:val="24"/>
                <w:szCs w:val="24"/>
                <w:highlight w:val="none"/>
              </w:rPr>
            </w:r>
            <w:r/>
          </w:p>
        </w:tc>
        <w:tc>
          <w:tcPr>
            <w:tcW w:w="5981" w:type="dxa"/>
            <w:vAlign w:val="top"/>
            <w:textDirection w:val="lrTb"/>
            <w:noWrap w:val="false"/>
          </w:tcPr>
          <w:p>
            <w:pPr>
              <w:pStyle w:val="13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响应文件中提供的承担过2022年1月1日后与本次所投设备同类型的设备案例分析进行综合评价，对往期多个案例分析有针对性、分析详尽的，且有与本项目服务内容相关的证明材料支撑的最高得4分；仅对个别案例进行简单分析的得2分；往期做过类似案例，但针对本项目没有具体的经验分析的得1分；往期未做过类似案例，但针对本项目有经验分析的得0.5分，未提供的不得分。</w:t>
            </w:r>
            <w:r>
              <w:rPr>
                <w:rFonts w:hint="eastAsia" w:ascii="宋体" w:hAnsi="宋体" w:cs="宋体"/>
                <w:color w:val="000000"/>
                <w:sz w:val="24"/>
                <w:szCs w:val="24"/>
                <w:highlight w:val="none"/>
              </w:rPr>
            </w:r>
            <w:r/>
          </w:p>
          <w:p>
            <w:pPr>
              <w:pStyle w:val="1316"/>
              <w:ind w:firstLine="482"/>
              <w:jc w:val="center"/>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注：提供采购合同（所提供合同中显示的合同货物需与本次所投产品相同、甲方须为货物使用单位，乙方为生产企业或各经销商均可）加盖公章上传至“苏采云”系统相应位置。</w:t>
            </w:r>
            <w:r>
              <w:rPr>
                <w:rFonts w:hint="eastAsia" w:ascii="宋体" w:hAnsi="宋体" w:cs="宋体"/>
                <w:color w:val="000000"/>
                <w:sz w:val="24"/>
                <w:szCs w:val="24"/>
                <w:highlight w:val="none"/>
              </w:rPr>
            </w:r>
            <w:r/>
          </w:p>
        </w:tc>
        <w:tc>
          <w:tcPr>
            <w:tcW w:w="1005" w:type="dxa"/>
            <w:vAlign w:val="center"/>
            <w:textDirection w:val="lrTb"/>
            <w:noWrap w:val="false"/>
          </w:tcPr>
          <w:p>
            <w:pPr>
              <w:pStyle w:val="13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bl>
    <w:p>
      <w:pPr>
        <w:pStyle w:val="1316"/>
        <w:ind w:firstLine="480"/>
        <w:spacing w:line="440" w:lineRule="exact"/>
        <w:rPr>
          <w:rFonts w:hint="eastAsia"/>
          <w:color w:val="000000"/>
          <w:sz w:val="24"/>
          <w:szCs w:val="24"/>
          <w:highlight w:val="none"/>
          <w:lang w:val="zh-CN"/>
        </w:rPr>
      </w:pPr>
      <w:r>
        <w:rPr>
          <w:rFonts w:hint="eastAsia"/>
          <w:color w:val="000000"/>
          <w:sz w:val="24"/>
          <w:szCs w:val="24"/>
          <w:highlight w:val="none"/>
          <w:lang w:val="zh-CN"/>
        </w:rPr>
        <w:t xml:space="preserve">评审后按累计得分高低顺序排名。得分相同的，按最终报价由低到高顺序排名，得分且最终报价相同的，按实施方案优劣顺序排名。实施方案的优劣顺序由评标小组按少数服从多数的原则确定。</w:t>
      </w:r>
      <w:r>
        <w:rPr>
          <w:rFonts w:hint="eastAsia"/>
          <w:color w:val="000000"/>
          <w:sz w:val="24"/>
          <w:szCs w:val="24"/>
          <w:highlight w:val="none"/>
          <w:lang w:val="zh-CN"/>
        </w:rPr>
      </w:r>
      <w:r/>
    </w:p>
    <w:p>
      <w:pPr>
        <w:pStyle w:val="1316"/>
        <w:rPr>
          <w:color w:val="000000"/>
          <w:highlight w:val="none"/>
        </w:rPr>
      </w:pPr>
      <w:r>
        <w:rPr>
          <w:color w:val="000000"/>
          <w:highlight w:val="none"/>
        </w:rPr>
      </w:r>
      <w:r/>
    </w:p>
    <w:p>
      <w:pPr>
        <w:pStyle w:val="1386"/>
        <w:ind w:firstLine="640"/>
        <w:rPr>
          <w:rFonts w:hint="eastAsia"/>
          <w:color w:val="000000"/>
          <w:highlight w:val="none"/>
        </w:rPr>
      </w:pPr>
      <w:r>
        <w:rPr>
          <w:rFonts w:hint="eastAsia"/>
          <w:color w:val="000000"/>
          <w:highlight w:val="none"/>
        </w:rPr>
      </w:r>
      <w:r/>
    </w:p>
    <w:p>
      <w:pPr>
        <w:pStyle w:val="1386"/>
        <w:ind w:firstLine="640"/>
        <w:rPr>
          <w:rFonts w:hint="eastAsia"/>
          <w:color w:val="000000"/>
          <w:highlight w:val="none"/>
        </w:rPr>
      </w:pPr>
      <w:r>
        <w:rPr>
          <w:rFonts w:hint="eastAsia"/>
          <w:color w:val="000000"/>
          <w:highlight w:val="none"/>
        </w:rPr>
      </w:r>
      <w:r/>
    </w:p>
    <w:p>
      <w:pPr>
        <w:pStyle w:val="1386"/>
        <w:ind w:firstLine="640"/>
        <w:rPr>
          <w:rFonts w:hint="eastAsia"/>
          <w:color w:val="000000"/>
          <w:highlight w:val="none"/>
        </w:rPr>
      </w:pPr>
      <w:r>
        <w:rPr>
          <w:rFonts w:hint="eastAsia"/>
          <w:color w:val="000000"/>
          <w:highlight w:val="none"/>
        </w:rPr>
      </w:r>
      <w:r/>
    </w:p>
    <w:p>
      <w:pPr>
        <w:pStyle w:val="1386"/>
        <w:ind w:firstLine="640"/>
        <w:rPr>
          <w:rFonts w:hint="eastAsia"/>
          <w:color w:val="000000"/>
          <w:highlight w:val="none"/>
        </w:rPr>
      </w:pPr>
      <w:r>
        <w:rPr>
          <w:rFonts w:hint="eastAsia"/>
          <w:color w:val="000000"/>
          <w:highlight w:val="none"/>
        </w:rPr>
      </w:r>
      <w:r/>
    </w:p>
    <w:p>
      <w:pPr>
        <w:pStyle w:val="1386"/>
        <w:ind w:firstLine="640"/>
        <w:rPr>
          <w:rFonts w:hint="eastAsia"/>
          <w:color w:val="000000"/>
          <w:highlight w:val="none"/>
        </w:rPr>
      </w:pPr>
      <w:r>
        <w:rPr>
          <w:rFonts w:hint="eastAsia"/>
          <w:color w:val="000000"/>
          <w:highlight w:val="none"/>
        </w:rPr>
      </w:r>
      <w:r/>
    </w:p>
    <w:p>
      <w:pPr>
        <w:pStyle w:val="1386"/>
        <w:ind w:firstLine="640"/>
        <w:rPr>
          <w:rFonts w:hint="eastAsia"/>
          <w:color w:val="000000"/>
          <w:highlight w:val="none"/>
        </w:rPr>
      </w:pPr>
      <w:r>
        <w:rPr>
          <w:rFonts w:hint="eastAsia"/>
          <w:color w:val="000000"/>
          <w:highlight w:val="none"/>
        </w:rPr>
      </w:r>
      <w:r/>
    </w:p>
    <w:p>
      <w:pPr>
        <w:pStyle w:val="1386"/>
        <w:ind w:firstLine="640"/>
        <w:rPr>
          <w:rFonts w:hint="eastAsia"/>
          <w:color w:val="000000"/>
          <w:highlight w:val="none"/>
        </w:rPr>
      </w:pPr>
      <w:r>
        <w:rPr>
          <w:rFonts w:hint="eastAsia"/>
          <w:color w:val="000000"/>
          <w:highlight w:val="none"/>
        </w:rPr>
      </w:r>
      <w:r/>
    </w:p>
    <w:p>
      <w:pPr>
        <w:pStyle w:val="1386"/>
        <w:ind w:firstLine="640"/>
        <w:rPr>
          <w:rFonts w:hint="eastAsia"/>
          <w:color w:val="000000"/>
          <w:highlight w:val="none"/>
        </w:rPr>
      </w:pPr>
      <w:r>
        <w:rPr>
          <w:rFonts w:hint="eastAsia"/>
          <w:color w:val="000000"/>
          <w:highlight w:val="none"/>
        </w:rPr>
      </w:r>
      <w:r/>
    </w:p>
    <w:p>
      <w:pPr>
        <w:pStyle w:val="1386"/>
        <w:ind w:firstLine="640"/>
        <w:rPr>
          <w:rFonts w:hint="eastAsia"/>
          <w:color w:val="000000"/>
          <w:highlight w:val="none"/>
        </w:rPr>
      </w:pPr>
      <w:r>
        <w:rPr>
          <w:rFonts w:hint="eastAsia"/>
          <w:color w:val="000000"/>
          <w:highlight w:val="none"/>
        </w:rPr>
      </w:r>
      <w:r/>
    </w:p>
    <w:p>
      <w:pPr>
        <w:pStyle w:val="1386"/>
        <w:ind w:firstLine="640"/>
        <w:rPr>
          <w:rFonts w:hint="eastAsia"/>
          <w:color w:val="000000"/>
          <w:highlight w:val="none"/>
        </w:rPr>
      </w:pPr>
      <w:r>
        <w:rPr>
          <w:rFonts w:hint="eastAsia"/>
          <w:color w:val="000000"/>
          <w:highlight w:val="none"/>
        </w:rPr>
      </w:r>
      <w:r/>
    </w:p>
    <w:p>
      <w:pPr>
        <w:pStyle w:val="1386"/>
        <w:ind w:firstLine="640"/>
        <w:rPr>
          <w:rFonts w:hint="eastAsia"/>
          <w:color w:val="000000"/>
          <w:highlight w:val="none"/>
        </w:rPr>
      </w:pPr>
      <w:r>
        <w:rPr>
          <w:rFonts w:hint="eastAsia"/>
          <w:color w:val="000000"/>
          <w:highlight w:val="none"/>
        </w:rPr>
      </w:r>
      <w:r/>
    </w:p>
    <w:p>
      <w:pPr>
        <w:pStyle w:val="1386"/>
        <w:ind w:firstLine="640"/>
        <w:rPr>
          <w:rFonts w:hint="eastAsia"/>
          <w:color w:val="000000"/>
          <w:highlight w:val="none"/>
        </w:rPr>
      </w:pPr>
      <w:r>
        <w:rPr>
          <w:rFonts w:hint="eastAsia"/>
          <w:color w:val="000000"/>
          <w:highlight w:val="none"/>
        </w:rPr>
      </w:r>
      <w:r/>
    </w:p>
    <w:p>
      <w:pPr>
        <w:pStyle w:val="1316"/>
        <w:jc w:val="center"/>
        <w:keepNext/>
        <w:rPr>
          <w:rFonts w:hint="eastAsia" w:ascii="黑体" w:eastAsia="黑体"/>
          <w:bCs/>
          <w:color w:val="000000"/>
          <w:sz w:val="24"/>
          <w:szCs w:val="24"/>
          <w:highlight w:val="none"/>
        </w:rPr>
        <w:outlineLvl w:val="0"/>
      </w:pPr>
      <w:r>
        <w:rPr>
          <w:rFonts w:hint="eastAsia" w:ascii="黑体" w:eastAsia="黑体"/>
          <w:bCs/>
          <w:color w:val="000000"/>
          <w:sz w:val="32"/>
          <w:szCs w:val="32"/>
          <w:highlight w:val="none"/>
        </w:rPr>
        <w:t xml:space="preserve">第六章  投标文件格式 </w:t>
      </w:r>
      <w:r>
        <w:rPr>
          <w:rFonts w:hint="eastAsia" w:ascii="黑体" w:eastAsia="黑体"/>
          <w:bCs/>
          <w:color w:val="000000"/>
          <w:sz w:val="24"/>
          <w:szCs w:val="24"/>
          <w:highlight w:val="none"/>
        </w:rPr>
      </w:r>
      <w:r/>
    </w:p>
    <w:p>
      <w:pPr>
        <w:pStyle w:val="1316"/>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316"/>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1316"/>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投  标  文  件</w:t>
      </w:r>
      <w:r>
        <w:rPr>
          <w:rFonts w:hint="eastAsia" w:ascii="宋体" w:hAnsi="宋体"/>
          <w:b/>
          <w:color w:val="000000"/>
          <w:sz w:val="72"/>
          <w:szCs w:val="72"/>
          <w:highlight w:val="none"/>
        </w:rPr>
      </w:r>
      <w:r/>
    </w:p>
    <w:p>
      <w:pPr>
        <w:pStyle w:val="1316"/>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16"/>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16"/>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16"/>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16"/>
        <w:ind w:firstLine="1606"/>
        <w:rPr>
          <w:rFonts w:hint="eastAsia" w:ascii="宋体" w:hAnsi="宋体"/>
          <w:b/>
          <w:color w:val="000000"/>
          <w:sz w:val="32"/>
          <w:szCs w:val="32"/>
          <w:highlight w:val="none"/>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rPr>
        <w:t xml:space="preserve">镇江市县域医共体设备更新项目（扬中市县域采购）</w:t>
      </w:r>
      <w:r>
        <w:rPr>
          <w:rFonts w:hint="eastAsia" w:ascii="宋体" w:hAnsi="宋体"/>
          <w:b/>
          <w:color w:val="000000"/>
          <w:sz w:val="32"/>
          <w:szCs w:val="32"/>
          <w:highlight w:val="none"/>
        </w:rPr>
      </w:r>
      <w:r/>
    </w:p>
    <w:p>
      <w:pPr>
        <w:pStyle w:val="1316"/>
        <w:ind w:firstLine="1606"/>
        <w:rPr>
          <w:rFonts w:hint="eastAsia" w:ascii="宋体" w:hAnsi="宋体" w:eastAsia="宋体"/>
          <w:b/>
          <w:color w:val="000000"/>
          <w:sz w:val="32"/>
          <w:szCs w:val="32"/>
          <w:highlight w:val="none"/>
          <w:u w:val="single"/>
          <w:lang w:eastAsia="zh-CN"/>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lang w:eastAsia="zh-CN"/>
        </w:rPr>
        <w:t xml:space="preserve">JSZC-321182-JJGS-G2026-0018</w:t>
      </w:r>
      <w:r>
        <w:rPr>
          <w:rFonts w:hint="eastAsia" w:ascii="宋体" w:hAnsi="宋体" w:eastAsia="宋体"/>
          <w:b/>
          <w:color w:val="000000"/>
          <w:sz w:val="32"/>
          <w:szCs w:val="32"/>
          <w:highlight w:val="none"/>
          <w:u w:val="single"/>
          <w:lang w:eastAsia="zh-CN"/>
        </w:rPr>
      </w:r>
      <w:r/>
    </w:p>
    <w:p>
      <w:pPr>
        <w:pStyle w:val="1316"/>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投标人名称 ：</w:t>
      </w:r>
      <w:r>
        <w:rPr>
          <w:rFonts w:hint="eastAsia" w:ascii="宋体" w:hAnsi="宋体"/>
          <w:b/>
          <w:color w:val="000000"/>
          <w:sz w:val="32"/>
          <w:szCs w:val="32"/>
          <w:highlight w:val="none"/>
          <w:u w:val="single"/>
        </w:rPr>
        <w:t xml:space="preserve">（加盖CA电子公章）</w:t>
      </w:r>
      <w:r>
        <w:rPr>
          <w:rFonts w:hint="eastAsia" w:ascii="宋体" w:hAnsi="宋体"/>
          <w:b/>
          <w:color w:val="000000"/>
          <w:sz w:val="32"/>
          <w:szCs w:val="32"/>
          <w:highlight w:val="none"/>
          <w:u w:val="single"/>
        </w:rPr>
      </w:r>
      <w:r/>
    </w:p>
    <w:p>
      <w:pPr>
        <w:pStyle w:val="1316"/>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131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316"/>
        <w:spacing w:line="440" w:lineRule="exact"/>
        <w:rPr>
          <w:rFonts w:ascii="宋体" w:hAnsi="宋体"/>
          <w:color w:val="000000"/>
          <w:sz w:val="32"/>
          <w:szCs w:val="32"/>
          <w:highlight w:val="none"/>
        </w:rPr>
      </w:pPr>
      <w:r>
        <w:rPr>
          <w:rFonts w:ascii="宋体" w:hAnsi="宋体"/>
          <w:color w:val="000000"/>
          <w:sz w:val="32"/>
          <w:szCs w:val="32"/>
          <w:highlight w:val="none"/>
        </w:rPr>
      </w:r>
      <w:r/>
    </w:p>
    <w:p>
      <w:pPr>
        <w:pStyle w:val="1316"/>
        <w:rPr>
          <w:rFonts w:ascii="宋体" w:hAnsi="宋体"/>
          <w:b/>
          <w:bCs/>
          <w:color w:val="000000"/>
          <w:sz w:val="24"/>
          <w:szCs w:val="24"/>
          <w:highlight w:val="none"/>
        </w:rPr>
      </w:pPr>
      <w:r>
        <w:rPr>
          <w:rFonts w:ascii="宋体" w:hAnsi="宋体"/>
          <w:b/>
          <w:bCs/>
          <w:color w:val="000000"/>
          <w:sz w:val="24"/>
          <w:szCs w:val="24"/>
          <w:highlight w:val="none"/>
        </w:rPr>
      </w:r>
      <w:r/>
    </w:p>
    <w:p>
      <w:pPr>
        <w:pStyle w:val="1316"/>
        <w:spacing w:line="440" w:lineRule="exact"/>
        <w:rPr>
          <w:rFonts w:hint="eastAsia"/>
          <w:color w:val="000000"/>
          <w:highlight w:val="none"/>
        </w:rPr>
      </w:pPr>
      <w:r>
        <w:rPr>
          <w:rFonts w:hint="eastAsia"/>
          <w:color w:val="000000"/>
          <w:highlight w:val="none"/>
        </w:rPr>
      </w:r>
      <w:r/>
    </w:p>
    <w:p>
      <w:pPr>
        <w:pStyle w:val="1316"/>
        <w:spacing w:line="440" w:lineRule="exact"/>
        <w:rPr>
          <w:rFonts w:hint="eastAsia"/>
          <w:color w:val="000000"/>
          <w:highlight w:val="none"/>
        </w:rPr>
      </w:pPr>
      <w:r>
        <w:rPr>
          <w:rFonts w:hint="eastAsia"/>
          <w:color w:val="000000"/>
          <w:highlight w:val="none"/>
        </w:rPr>
      </w:r>
      <w:r/>
    </w:p>
    <w:p>
      <w:pPr>
        <w:pStyle w:val="1316"/>
        <w:spacing w:line="440" w:lineRule="exact"/>
        <w:rPr>
          <w:rFonts w:ascii="宋体" w:hAnsi="宋体"/>
          <w:b/>
          <w:bCs/>
          <w:color w:val="000000"/>
          <w:sz w:val="32"/>
          <w:szCs w:val="32"/>
          <w:highlight w:val="none"/>
        </w:rPr>
      </w:pPr>
      <w:r/>
      <w:bookmarkEnd w:id="199"/>
      <w:r/>
      <w:bookmarkEnd w:id="200"/>
      <w:r/>
      <w:bookmarkEnd w:id="201"/>
      <w:r/>
      <w:bookmarkStart w:id="204" w:name="_Toc26554094"/>
      <w:r/>
      <w:bookmarkStart w:id="205" w:name="_Toc120614282"/>
      <w:r/>
      <w:bookmarkStart w:id="206" w:name="_Toc49090576"/>
      <w:r>
        <w:rPr>
          <w:rFonts w:ascii="宋体" w:hAnsi="宋体"/>
          <w:b/>
          <w:bCs/>
          <w:color w:val="000000"/>
          <w:sz w:val="32"/>
          <w:szCs w:val="32"/>
          <w:highlight w:val="none"/>
        </w:rPr>
        <w:br w:type="page" w:clear="all"/>
      </w:r>
      <w:r>
        <w:rPr>
          <w:rFonts w:ascii="宋体" w:hAnsi="宋体"/>
          <w:b/>
          <w:bCs/>
          <w:color w:val="000000"/>
          <w:sz w:val="32"/>
          <w:szCs w:val="32"/>
          <w:highlight w:val="none"/>
        </w:rPr>
      </w:r>
      <w:r/>
    </w:p>
    <w:p>
      <w:pPr>
        <w:pStyle w:val="131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131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316"/>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一、具有独立承担民事责任的能力</w:t>
      </w:r>
      <w:r>
        <w:rPr>
          <w:rFonts w:hint="eastAsia" w:ascii="宋体" w:hAnsi="宋体"/>
          <w:i/>
          <w:color w:val="000000"/>
          <w:sz w:val="24"/>
          <w:highlight w:val="none"/>
          <w:u w:val="single"/>
        </w:rPr>
      </w:r>
      <w:r/>
    </w:p>
    <w:p>
      <w:pPr>
        <w:pStyle w:val="1316"/>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二、具有良好的商业信誉和健全的财务会计制度</w:t>
      </w:r>
      <w:r>
        <w:rPr>
          <w:rFonts w:hint="eastAsia" w:ascii="宋体" w:hAnsi="宋体"/>
          <w:i/>
          <w:color w:val="000000"/>
          <w:sz w:val="24"/>
          <w:highlight w:val="none"/>
          <w:u w:val="single"/>
        </w:rPr>
      </w:r>
      <w:r/>
    </w:p>
    <w:p>
      <w:pPr>
        <w:pStyle w:val="1316"/>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三、具有履行合同所必需的设备和专业技术能力</w:t>
      </w:r>
      <w:r>
        <w:rPr>
          <w:rFonts w:hint="eastAsia" w:ascii="宋体" w:hAnsi="宋体"/>
          <w:i/>
          <w:color w:val="000000"/>
          <w:sz w:val="24"/>
          <w:highlight w:val="none"/>
          <w:u w:val="single"/>
        </w:rPr>
      </w:r>
      <w:r/>
    </w:p>
    <w:p>
      <w:pPr>
        <w:pStyle w:val="1316"/>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四、提供参加本次政府采购活动前三年内，在经营活动中没有重大违法记录的承诺函</w:t>
      </w:r>
      <w:r>
        <w:rPr>
          <w:rFonts w:hint="eastAsia" w:ascii="宋体" w:hAnsi="宋体"/>
          <w:i/>
          <w:color w:val="000000"/>
          <w:sz w:val="24"/>
          <w:highlight w:val="none"/>
          <w:u w:val="single"/>
        </w:rPr>
      </w:r>
      <w:r/>
    </w:p>
    <w:p>
      <w:pPr>
        <w:pStyle w:val="1316"/>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五、依法缴纳税收和社会保障资金的相关材料</w:t>
      </w:r>
      <w:r>
        <w:rPr>
          <w:rFonts w:hint="eastAsia" w:ascii="宋体" w:hAnsi="宋体"/>
          <w:i/>
          <w:color w:val="000000"/>
          <w:sz w:val="24"/>
          <w:highlight w:val="none"/>
          <w:u w:val="single"/>
        </w:rPr>
      </w:r>
      <w:r/>
    </w:p>
    <w:p>
      <w:pPr>
        <w:pStyle w:val="1316"/>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六、特定资格要求的证明文件（如果本项目设置特定资格要求，则需要提供）</w:t>
      </w:r>
      <w:r>
        <w:rPr>
          <w:rFonts w:hint="eastAsia" w:ascii="宋体" w:hAnsi="宋体"/>
          <w:i/>
          <w:color w:val="000000"/>
          <w:sz w:val="24"/>
          <w:highlight w:val="none"/>
          <w:u w:val="single"/>
        </w:rPr>
      </w:r>
      <w:r/>
    </w:p>
    <w:p>
      <w:pPr>
        <w:pStyle w:val="1316"/>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七、法人授权书</w:t>
      </w:r>
      <w:r>
        <w:rPr>
          <w:rFonts w:hint="eastAsia" w:ascii="宋体" w:hAnsi="宋体"/>
          <w:i/>
          <w:color w:val="000000"/>
          <w:sz w:val="24"/>
          <w:highlight w:val="none"/>
          <w:u w:val="single"/>
        </w:rPr>
      </w:r>
      <w:r/>
    </w:p>
    <w:p>
      <w:pPr>
        <w:pStyle w:val="1316"/>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八、投标函</w:t>
      </w:r>
      <w:r>
        <w:rPr>
          <w:rFonts w:hint="eastAsia" w:ascii="宋体" w:hAnsi="宋体"/>
          <w:i/>
          <w:color w:val="000000"/>
          <w:sz w:val="24"/>
          <w:highlight w:val="none"/>
          <w:u w:val="single"/>
        </w:rPr>
      </w:r>
      <w:r/>
    </w:p>
    <w:p>
      <w:pPr>
        <w:pStyle w:val="1316"/>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九、中小企业声明函</w:t>
      </w:r>
      <w:r>
        <w:rPr>
          <w:rFonts w:hint="eastAsia" w:ascii="宋体" w:hAnsi="宋体"/>
          <w:iCs/>
          <w:color w:val="000000"/>
          <w:sz w:val="24"/>
          <w:highlight w:val="none"/>
        </w:rPr>
      </w:r>
      <w:r/>
    </w:p>
    <w:p>
      <w:pPr>
        <w:pStyle w:val="1316"/>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十、残疾人福利性单位声明函</w:t>
      </w:r>
      <w:r>
        <w:rPr>
          <w:rFonts w:hint="eastAsia" w:ascii="宋体" w:hAnsi="宋体"/>
          <w:iCs/>
          <w:color w:val="000000"/>
          <w:sz w:val="24"/>
          <w:highlight w:val="none"/>
        </w:rPr>
      </w:r>
      <w:r/>
    </w:p>
    <w:p>
      <w:pPr>
        <w:pStyle w:val="1316"/>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十一、联合体协议</w:t>
      </w:r>
      <w:r>
        <w:rPr>
          <w:rFonts w:hint="eastAsia" w:ascii="宋体" w:hAnsi="宋体"/>
          <w:iCs/>
          <w:color w:val="000000"/>
          <w:sz w:val="24"/>
          <w:highlight w:val="none"/>
        </w:rPr>
      </w:r>
      <w:r/>
    </w:p>
    <w:p>
      <w:pPr>
        <w:pStyle w:val="1316"/>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十二、投标分项报价表</w:t>
      </w:r>
      <w:r>
        <w:rPr>
          <w:rFonts w:hint="eastAsia" w:ascii="宋体" w:hAnsi="宋体"/>
          <w:iCs/>
          <w:color w:val="000000"/>
          <w:sz w:val="24"/>
          <w:highlight w:val="none"/>
        </w:rPr>
      </w:r>
      <w:r/>
    </w:p>
    <w:p>
      <w:pPr>
        <w:pStyle w:val="1316"/>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十三、技术要求响应及偏离表</w:t>
      </w:r>
      <w:r>
        <w:rPr>
          <w:rFonts w:hint="eastAsia" w:ascii="宋体" w:hAnsi="宋体"/>
          <w:iCs/>
          <w:color w:val="000000"/>
          <w:sz w:val="24"/>
          <w:highlight w:val="none"/>
        </w:rPr>
      </w:r>
      <w:r/>
    </w:p>
    <w:p>
      <w:pPr>
        <w:pStyle w:val="1316"/>
        <w:ind w:firstLine="480"/>
        <w:spacing w:line="440" w:lineRule="exact"/>
        <w:rPr>
          <w:rFonts w:ascii="宋体" w:hAnsi="宋体"/>
          <w:iCs/>
          <w:color w:val="000000"/>
          <w:sz w:val="24"/>
          <w:highlight w:val="none"/>
        </w:rPr>
      </w:pPr>
      <w:r>
        <w:rPr>
          <w:rFonts w:hint="eastAsia" w:ascii="宋体" w:hAnsi="宋体"/>
          <w:iCs/>
          <w:color w:val="000000"/>
          <w:sz w:val="24"/>
          <w:highlight w:val="none"/>
        </w:rPr>
        <w:t xml:space="preserve">十四、商务要求响应及偏离表</w:t>
      </w:r>
      <w:r>
        <w:rPr>
          <w:rFonts w:ascii="宋体" w:hAnsi="宋体"/>
          <w:iCs/>
          <w:color w:val="000000"/>
          <w:sz w:val="24"/>
          <w:highlight w:val="none"/>
        </w:rPr>
      </w:r>
      <w:r/>
    </w:p>
    <w:p>
      <w:pPr>
        <w:pStyle w:val="1316"/>
        <w:ind w:firstLine="480"/>
        <w:spacing w:line="440" w:lineRule="exact"/>
        <w:rPr>
          <w:rFonts w:ascii="宋体" w:hAnsi="宋体"/>
          <w:i/>
          <w:color w:val="000000"/>
          <w:sz w:val="24"/>
          <w:highlight w:val="none"/>
          <w:u w:val="single"/>
        </w:rPr>
      </w:pPr>
      <w:r>
        <w:rPr>
          <w:rFonts w:hint="eastAsia" w:ascii="宋体" w:hAnsi="宋体"/>
          <w:i/>
          <w:color w:val="000000"/>
          <w:sz w:val="24"/>
          <w:highlight w:val="none"/>
          <w:u w:val="single"/>
        </w:rPr>
        <w:t xml:space="preserve">十五、开标一览表</w:t>
      </w:r>
      <w:r>
        <w:rPr>
          <w:rFonts w:ascii="宋体" w:hAnsi="宋体"/>
          <w:i/>
          <w:color w:val="000000"/>
          <w:sz w:val="24"/>
          <w:highlight w:val="none"/>
          <w:u w:val="single"/>
        </w:rPr>
      </w:r>
      <w:r/>
    </w:p>
    <w:p>
      <w:pPr>
        <w:pStyle w:val="1316"/>
        <w:ind w:firstLine="480"/>
        <w:spacing w:line="440" w:lineRule="exact"/>
        <w:rPr>
          <w:rFonts w:ascii="宋体" w:hAnsi="宋体"/>
          <w:iCs/>
          <w:color w:val="000000"/>
          <w:sz w:val="24"/>
          <w:highlight w:val="none"/>
        </w:rPr>
      </w:pPr>
      <w:r>
        <w:rPr>
          <w:rFonts w:hint="eastAsia" w:ascii="宋体" w:hAnsi="宋体"/>
          <w:iCs/>
          <w:color w:val="000000"/>
          <w:sz w:val="24"/>
          <w:highlight w:val="none"/>
        </w:rPr>
        <w:t xml:space="preserve">十六、资格承诺函</w:t>
      </w:r>
      <w:r>
        <w:rPr>
          <w:rFonts w:ascii="宋体" w:hAnsi="宋体"/>
          <w:iCs/>
          <w:color w:val="000000"/>
          <w:sz w:val="24"/>
          <w:highlight w:val="none"/>
        </w:rPr>
      </w:r>
      <w:r/>
    </w:p>
    <w:p>
      <w:pPr>
        <w:pStyle w:val="1316"/>
        <w:ind w:firstLine="480"/>
        <w:spacing w:line="440" w:lineRule="exact"/>
        <w:rPr>
          <w:rFonts w:ascii="宋体" w:hAnsi="宋体"/>
          <w:color w:val="000000"/>
          <w:sz w:val="24"/>
          <w:highlight w:val="none"/>
        </w:rPr>
      </w:pPr>
      <w:r>
        <w:rPr>
          <w:rFonts w:ascii="宋体" w:hAnsi="宋体"/>
          <w:color w:val="000000"/>
          <w:sz w:val="24"/>
          <w:highlight w:val="none"/>
        </w:rPr>
      </w:r>
      <w:r/>
    </w:p>
    <w:p>
      <w:pPr>
        <w:pStyle w:val="1316"/>
        <w:ind w:firstLine="480"/>
        <w:spacing w:line="440" w:lineRule="exact"/>
        <w:rPr>
          <w:rFonts w:ascii="宋体" w:hAnsi="宋体"/>
          <w:color w:val="000000"/>
          <w:sz w:val="24"/>
          <w:highlight w:val="none"/>
        </w:rPr>
      </w:pPr>
      <w:r>
        <w:rPr>
          <w:rFonts w:ascii="宋体" w:hAnsi="宋体"/>
          <w:color w:val="000000"/>
          <w:sz w:val="24"/>
          <w:highlight w:val="none"/>
        </w:rPr>
      </w:r>
      <w:r/>
    </w:p>
    <w:p>
      <w:pPr>
        <w:pStyle w:val="1316"/>
        <w:ind w:firstLine="480"/>
        <w:spacing w:line="440" w:lineRule="exact"/>
        <w:rPr>
          <w:rFonts w:ascii="宋体" w:hAnsi="宋体"/>
          <w:color w:val="000000"/>
          <w:sz w:val="24"/>
          <w:highlight w:val="none"/>
        </w:rPr>
      </w:pPr>
      <w:r>
        <w:rPr>
          <w:rFonts w:ascii="宋体" w:hAnsi="宋体"/>
          <w:color w:val="000000"/>
          <w:sz w:val="24"/>
          <w:highlight w:val="none"/>
        </w:rPr>
      </w:r>
      <w:r/>
    </w:p>
    <w:p>
      <w:pPr>
        <w:pStyle w:val="1316"/>
        <w:ind w:firstLine="480"/>
        <w:spacing w:line="440" w:lineRule="exact"/>
        <w:rPr>
          <w:rFonts w:ascii="宋体" w:hAnsi="宋体"/>
          <w:color w:val="000000"/>
          <w:sz w:val="24"/>
          <w:highlight w:val="none"/>
        </w:rPr>
      </w:pPr>
      <w:r>
        <w:rPr>
          <w:rFonts w:ascii="宋体" w:hAnsi="宋体"/>
          <w:color w:val="000000"/>
          <w:sz w:val="24"/>
          <w:highlight w:val="none"/>
        </w:rPr>
      </w:r>
      <w:r/>
    </w:p>
    <w:p>
      <w:pPr>
        <w:pStyle w:val="1316"/>
        <w:ind w:firstLine="480"/>
        <w:spacing w:line="440" w:lineRule="exact"/>
        <w:rPr>
          <w:rFonts w:ascii="宋体" w:hAnsi="宋体"/>
          <w:color w:val="000000"/>
          <w:sz w:val="24"/>
          <w:highlight w:val="none"/>
        </w:rPr>
      </w:pPr>
      <w:r>
        <w:rPr>
          <w:rFonts w:ascii="宋体" w:hAnsi="宋体"/>
          <w:color w:val="000000"/>
          <w:sz w:val="24"/>
          <w:highlight w:val="none"/>
        </w:rPr>
      </w:r>
      <w:r/>
    </w:p>
    <w:p>
      <w:pPr>
        <w:pStyle w:val="1316"/>
        <w:ind w:firstLine="480"/>
        <w:spacing w:line="440" w:lineRule="exact"/>
        <w:rPr>
          <w:rFonts w:ascii="宋体" w:hAnsi="宋体"/>
          <w:color w:val="000000"/>
          <w:sz w:val="24"/>
          <w:highlight w:val="none"/>
        </w:rPr>
      </w:pPr>
      <w:r>
        <w:rPr>
          <w:rFonts w:ascii="宋体" w:hAnsi="宋体"/>
          <w:color w:val="000000"/>
          <w:sz w:val="24"/>
          <w:highlight w:val="none"/>
        </w:rPr>
      </w:r>
      <w:r/>
    </w:p>
    <w:p>
      <w:pPr>
        <w:pStyle w:val="1316"/>
        <w:ind w:firstLine="480"/>
        <w:spacing w:line="440" w:lineRule="exact"/>
        <w:rPr>
          <w:rFonts w:ascii="宋体" w:hAnsi="宋体"/>
          <w:color w:val="000000"/>
          <w:sz w:val="24"/>
          <w:highlight w:val="none"/>
        </w:rPr>
      </w:pPr>
      <w:r>
        <w:rPr>
          <w:rFonts w:ascii="宋体" w:hAnsi="宋体"/>
          <w:color w:val="000000"/>
          <w:sz w:val="24"/>
          <w:highlight w:val="none"/>
        </w:rPr>
      </w:r>
      <w:r/>
    </w:p>
    <w:p>
      <w:pPr>
        <w:pStyle w:val="1316"/>
        <w:ind w:firstLine="480"/>
        <w:spacing w:line="440" w:lineRule="exact"/>
        <w:rPr>
          <w:rFonts w:ascii="宋体" w:hAnsi="宋体"/>
          <w:color w:val="000000"/>
          <w:sz w:val="24"/>
          <w:highlight w:val="none"/>
        </w:rPr>
      </w:pPr>
      <w:r>
        <w:rPr>
          <w:rFonts w:ascii="宋体" w:hAnsi="宋体"/>
          <w:color w:val="000000"/>
          <w:sz w:val="24"/>
          <w:highlight w:val="none"/>
        </w:rPr>
      </w:r>
      <w:r/>
    </w:p>
    <w:p>
      <w:pPr>
        <w:pStyle w:val="1316"/>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提供2025年度财务报告（成立不满一年的提供至少一个月财务报告），或银行出具的资信证明，或财政部门认可的政府专业担保机构出具的投标担保函。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r>
      <w:r/>
    </w:p>
    <w:p>
      <w:pPr>
        <w:pStyle w:val="1316"/>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三、具有履行合同所必需的设备和专业技术能力</w:t>
      </w:r>
      <w:r>
        <w:rPr>
          <w:rFonts w:ascii="宋体" w:hAnsi="宋体"/>
          <w:bCs/>
          <w:color w:val="000000"/>
          <w:sz w:val="24"/>
          <w:szCs w:val="24"/>
          <w:highlight w:val="none"/>
        </w:rPr>
      </w:r>
      <w:r/>
    </w:p>
    <w:p>
      <w:pPr>
        <w:pStyle w:val="1316"/>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投标单位相关信息一览表（见投标文件格式）。</w:t>
      </w:r>
      <w:r>
        <w:rPr>
          <w:rFonts w:ascii="宋体" w:hAnsi="宋体"/>
          <w:bCs/>
          <w:color w:val="000000"/>
          <w:sz w:val="24"/>
          <w:szCs w:val="24"/>
          <w:highlight w:val="none"/>
        </w:rPr>
      </w:r>
      <w:r/>
    </w:p>
    <w:p>
      <w:pPr>
        <w:pStyle w:val="1316"/>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四、提供参加本次政府</w:t>
      </w:r>
      <w:r>
        <w:rPr>
          <w:rFonts w:hint="eastAsia" w:ascii="宋体" w:hAnsi="宋体"/>
          <w:bCs/>
          <w:color w:val="000000"/>
          <w:sz w:val="24"/>
          <w:szCs w:val="24"/>
          <w:highlight w:val="none"/>
        </w:rPr>
        <w:t xml:space="preserve">采购</w:t>
      </w:r>
      <w:r>
        <w:rPr>
          <w:rFonts w:ascii="宋体" w:hAnsi="宋体"/>
          <w:bCs/>
          <w:color w:val="000000"/>
          <w:sz w:val="24"/>
          <w:szCs w:val="24"/>
          <w:highlight w:val="none"/>
        </w:rPr>
        <w:t xml:space="preserve">活动前三年内，在经营活动中没有重大违法记录的承诺函</w:t>
      </w:r>
      <w:r>
        <w:rPr>
          <w:rFonts w:ascii="宋体" w:hAnsi="宋体"/>
          <w:bCs/>
          <w:color w:val="000000"/>
          <w:sz w:val="24"/>
          <w:szCs w:val="24"/>
          <w:highlight w:val="none"/>
        </w:rPr>
      </w:r>
      <w:r/>
    </w:p>
    <w:p>
      <w:pPr>
        <w:pStyle w:val="1316"/>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见投标函第7条。</w:t>
      </w:r>
      <w:r>
        <w:rPr>
          <w:rFonts w:ascii="宋体" w:hAnsi="宋体"/>
          <w:bCs/>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五、依法缴纳税收和社会保障资金的相关材料</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提供提交响应文件截止时间前一年内至少一个月依法缴纳税收及缴纳社会保障资金的证明材料。投标人依法享受缓缴、免缴税收、社会保障资金的提供证明材料。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1316"/>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注：①按扬财购〔202</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〕17号《关于进一步降低政府</w:t>
      </w:r>
      <w:r>
        <w:rPr>
          <w:rFonts w:hint="eastAsia" w:ascii="宋体" w:hAnsi="宋体"/>
          <w:bCs/>
          <w:color w:val="000000"/>
          <w:sz w:val="24"/>
          <w:szCs w:val="24"/>
          <w:highlight w:val="none"/>
        </w:rPr>
        <w:t xml:space="preserve">采购</w:t>
      </w:r>
      <w:r>
        <w:rPr>
          <w:rFonts w:ascii="宋体" w:hAnsi="宋体"/>
          <w:bCs/>
          <w:color w:val="000000"/>
          <w:sz w:val="24"/>
          <w:szCs w:val="24"/>
          <w:highlight w:val="none"/>
        </w:rPr>
        <w:t xml:space="preserve">活动成本减轻政府</w:t>
      </w:r>
      <w:r>
        <w:rPr>
          <w:rFonts w:hint="eastAsia" w:ascii="宋体" w:hAnsi="宋体"/>
          <w:bCs/>
          <w:color w:val="000000"/>
          <w:sz w:val="24"/>
          <w:szCs w:val="24"/>
          <w:highlight w:val="none"/>
        </w:rPr>
        <w:t xml:space="preserve">采购投标人</w:t>
      </w:r>
      <w:r>
        <w:rPr>
          <w:rFonts w:ascii="宋体" w:hAnsi="宋体"/>
          <w:bCs/>
          <w:color w:val="000000"/>
          <w:sz w:val="24"/>
          <w:szCs w:val="24"/>
          <w:highlight w:val="none"/>
        </w:rPr>
        <w:t xml:space="preserve">负担的通知</w:t>
      </w:r>
      <w:r>
        <w:rPr>
          <w:rFonts w:hint="eastAsia" w:ascii="宋体" w:hAnsi="宋体"/>
          <w:bCs/>
          <w:color w:val="000000"/>
          <w:sz w:val="24"/>
          <w:szCs w:val="24"/>
          <w:highlight w:val="none"/>
        </w:rPr>
        <w:t xml:space="preserve">》对</w:t>
      </w:r>
      <w:r>
        <w:rPr>
          <w:rFonts w:ascii="宋体" w:hAnsi="宋体"/>
          <w:bCs/>
          <w:color w:val="000000"/>
          <w:sz w:val="24"/>
          <w:szCs w:val="24"/>
          <w:highlight w:val="none"/>
        </w:rPr>
        <w:t xml:space="preserve">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可选择提供资格承诺函</w:t>
      </w:r>
      <w:r>
        <w:rPr>
          <w:rFonts w:hint="eastAsia" w:ascii="宋体" w:hAnsi="宋体"/>
          <w:color w:val="000000"/>
          <w:sz w:val="24"/>
          <w:szCs w:val="24"/>
          <w:highlight w:val="none"/>
        </w:rPr>
        <w:t xml:space="preserve">（见投标文件格式）</w:t>
      </w:r>
      <w:r>
        <w:rPr>
          <w:rFonts w:ascii="宋体" w:hAnsi="宋体"/>
          <w:bCs/>
          <w:color w:val="000000"/>
          <w:sz w:val="24"/>
          <w:szCs w:val="24"/>
          <w:highlight w:val="none"/>
        </w:rPr>
        <w:t xml:space="preserve">，在</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项相关的证明材料即可参加活动。</w:t>
      </w:r>
      <w:r>
        <w:rPr>
          <w:rFonts w:ascii="宋体" w:hAnsi="宋体"/>
          <w:bCs/>
          <w:color w:val="000000"/>
          <w:sz w:val="24"/>
          <w:szCs w:val="24"/>
          <w:highlight w:val="none"/>
        </w:rPr>
      </w:r>
      <w:r/>
    </w:p>
    <w:p>
      <w:pPr>
        <w:pStyle w:val="1316"/>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②</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可自行选择是否提供承诺函，若不提供承诺函的，应按</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文件要求提供相应的证明材料。</w:t>
      </w:r>
      <w:r>
        <w:rPr>
          <w:rFonts w:ascii="宋体" w:hAnsi="宋体"/>
          <w:bCs/>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ascii="宋体" w:hAnsi="宋体"/>
          <w:bCs/>
          <w:color w:val="000000"/>
          <w:sz w:val="24"/>
          <w:szCs w:val="24"/>
          <w:highlight w:val="none"/>
        </w:rPr>
        <w:t xml:space="preserve">③</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应当遵循诚实信用原则，不得作虚假承诺。</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承诺不实的，属于提供虚假材料谋取中标、成交，应承担相应的法律责任。</w:t>
      </w:r>
      <w:r>
        <w:rPr>
          <w:rFonts w:hint="eastAsia" w:ascii="宋体" w:hAnsi="宋体"/>
          <w:color w:val="000000"/>
          <w:sz w:val="24"/>
          <w:szCs w:val="24"/>
          <w:highlight w:val="none"/>
        </w:rPr>
      </w:r>
      <w:r/>
    </w:p>
    <w:p>
      <w:pPr>
        <w:pStyle w:val="1316"/>
        <w:numPr>
          <w:ilvl w:val="0"/>
          <w:numId w:val="18"/>
        </w:numPr>
        <w:ind w:firstLine="480"/>
        <w:spacing w:line="440" w:lineRule="exact"/>
        <w:rPr>
          <w:rFonts w:hint="eastAsia"/>
          <w:color w:val="000000"/>
          <w:highlight w:val="none"/>
        </w:rPr>
      </w:pPr>
      <w:r>
        <w:rPr>
          <w:rFonts w:hint="eastAsia" w:ascii="宋体" w:hAnsi="宋体"/>
          <w:color w:val="000000"/>
          <w:sz w:val="24"/>
          <w:szCs w:val="24"/>
          <w:highlight w:val="none"/>
        </w:rPr>
        <w:t xml:space="preserve">特定资格要求的证明文件:详见第一部分</w:t>
      </w:r>
      <w:r>
        <w:rPr>
          <w:rFonts w:hint="eastAsia"/>
          <w:color w:val="000000"/>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如果本项目申请人的特定资格要求中要求提供的，必须提供。</w:t>
      </w:r>
      <w:r>
        <w:rPr>
          <w:rFonts w:hint="eastAsia" w:ascii="宋体" w:hAnsi="宋体"/>
          <w:color w:val="000000"/>
          <w:sz w:val="24"/>
          <w:szCs w:val="24"/>
          <w:highlight w:val="none"/>
        </w:rPr>
      </w:r>
      <w:r/>
    </w:p>
    <w:p>
      <w:pPr>
        <w:pStyle w:val="1316"/>
        <w:jc w:val="center"/>
        <w:spacing w:before="145" w:after="145" w:line="440" w:lineRule="exact"/>
        <w:rPr>
          <w:rFonts w:hint="eastAsia" w:ascii="黑体" w:hAnsi="黑体" w:eastAsia="黑体"/>
          <w:i/>
          <w:color w:val="000000"/>
          <w:sz w:val="32"/>
          <w:szCs w:val="32"/>
          <w:highlight w:val="none"/>
          <w:u w:val="single"/>
        </w:rPr>
      </w:pPr>
      <w:r>
        <w:rPr>
          <w:rFonts w:hint="eastAsia" w:ascii="宋体" w:hAnsi="宋体"/>
          <w:color w:val="000000"/>
          <w:sz w:val="24"/>
          <w:szCs w:val="24"/>
          <w:highlight w:val="none"/>
        </w:rPr>
        <w:br w:type="page" w:clear="all"/>
      </w:r>
      <w:bookmarkEnd w:id="204"/>
      <w:r/>
      <w:bookmarkEnd w:id="205"/>
      <w:r/>
      <w:bookmarkEnd w:id="206"/>
      <w:r/>
      <w:bookmarkStart w:id="207" w:name="_Toc120614284"/>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1416"/>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rPr>
        <w:t xml:space="preserve"> 镇江市县域医共体设备更新项目（扬中市县域采购）</w:t>
      </w:r>
      <w:r>
        <w:rPr>
          <w:rFonts w:hint="eastAsia"/>
          <w:color w:val="000000"/>
          <w:sz w:val="24"/>
          <w:szCs w:val="24"/>
          <w:highlight w:val="none"/>
        </w:rPr>
        <w:t xml:space="preserve">活动的合法代理人，以本单位名义全权处理一切与该项目有关的事务。</w:t>
      </w:r>
      <w:r>
        <w:rPr>
          <w:rFonts w:hint="eastAsia"/>
          <w:color w:val="000000"/>
          <w:sz w:val="24"/>
          <w:szCs w:val="24"/>
          <w:highlight w:val="none"/>
        </w:rPr>
      </w:r>
      <w:r/>
    </w:p>
    <w:p>
      <w:pPr>
        <w:pStyle w:val="1416"/>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1416"/>
        <w:ind w:firstLine="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416"/>
        <w:ind w:firstLine="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416"/>
        <w:ind w:firstLine="120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1416"/>
        <w:ind w:firstLine="48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416"/>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208" w:name="_Hlt26671380"/>
      <w:r/>
      <w:bookmarkEnd w:id="208"/>
      <w:r/>
      <w:bookmarkStart w:id="209" w:name="_Hlt26955070"/>
      <w:r/>
      <w:bookmarkEnd w:id="209"/>
      <w:r/>
      <w:bookmarkStart w:id="210" w:name="_格式3__银行出具的资信证明"/>
      <w:r/>
      <w:bookmarkEnd w:id="210"/>
      <w:r>
        <w:rPr>
          <w:rFonts w:hint="eastAsia"/>
          <w:color w:val="000000"/>
          <w:sz w:val="24"/>
          <w:szCs w:val="24"/>
          <w:highlight w:val="none"/>
          <w:u w:val="single"/>
        </w:rPr>
        <w:t xml:space="preserve">                                         </w:t>
      </w:r>
      <w:r>
        <w:rPr>
          <w:rFonts w:hint="eastAsia"/>
          <w:color w:val="000000"/>
          <w:sz w:val="24"/>
          <w:szCs w:val="24"/>
          <w:highlight w:val="none"/>
        </w:rPr>
      </w:r>
      <w:r/>
    </w:p>
    <w:p>
      <w:pPr>
        <w:pStyle w:val="1336"/>
        <w:spacing w:line="440" w:lineRule="exact"/>
        <w:rPr>
          <w:rFonts w:hint="eastAsia"/>
          <w:i/>
          <w:color w:val="000000"/>
          <w:sz w:val="24"/>
          <w:szCs w:val="24"/>
          <w:highlight w:val="none"/>
          <w:u w:val="single"/>
        </w:rPr>
      </w:pPr>
      <w:r>
        <w:rPr>
          <w:rFonts w:hint="eastAsia"/>
          <w:i/>
          <w:color w:val="000000"/>
          <w:sz w:val="24"/>
          <w:szCs w:val="24"/>
          <w:highlight w:val="none"/>
          <w:u w:val="single"/>
        </w:rPr>
      </w:r>
      <w:r/>
    </w:p>
    <w:p>
      <w:pPr>
        <w:pStyle w:val="1336"/>
        <w:ind w:firstLine="0"/>
        <w:spacing w:line="440" w:lineRule="exact"/>
        <w:rPr>
          <w:rFonts w:hint="eastAsia"/>
          <w:color w:val="000000"/>
          <w:highlight w:val="none"/>
        </w:rPr>
      </w:pPr>
      <w:r>
        <w:rPr>
          <w:rFonts w:hint="eastAsia"/>
          <w:color w:val="000000"/>
          <w:highlight w:val="none"/>
        </w:rPr>
      </w:r>
      <w:r/>
    </w:p>
    <w:p>
      <w:pPr>
        <w:pStyle w:val="1316"/>
        <w:spacing w:line="440" w:lineRule="exact"/>
        <w:rPr>
          <w:rFonts w:hint="eastAsia"/>
          <w:color w:val="000000"/>
          <w:highlight w:val="none"/>
        </w:rPr>
      </w:pPr>
      <w:r>
        <w:rPr>
          <w:rFonts w:hint="eastAsia"/>
          <w:color w:val="000000"/>
          <w:highlight w:val="none"/>
        </w:rPr>
      </w:r>
      <w:r/>
    </w:p>
    <w:p>
      <w:pPr>
        <w:pStyle w:val="1316"/>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318"/>
        <w:ind w:firstLine="3390"/>
        <w:jc w:val="both"/>
        <w:spacing w:before="145" w:after="145" w:line="440" w:lineRule="exact"/>
        <w:rPr>
          <w:rFonts w:ascii="黑体" w:hAnsi="黑体" w:eastAsia="黑体"/>
          <w:bCs w:val="0"/>
          <w:i/>
          <w:color w:val="000000"/>
          <w:sz w:val="32"/>
          <w:szCs w:val="32"/>
          <w:highlight w:val="none"/>
          <w:u w:val="single"/>
        </w:rPr>
      </w:pPr>
      <w:r>
        <w:rPr>
          <w:rFonts w:ascii="宋体" w:hAnsi="宋体"/>
          <w:bCs w:val="0"/>
          <w:color w:val="000000"/>
          <w:sz w:val="24"/>
          <w:highlight w:val="none"/>
        </w:rPr>
        <w:br w:type="page" w:clear="all"/>
      </w:r>
      <w:r>
        <w:rPr>
          <w:rFonts w:hint="eastAsia" w:ascii="黑体" w:hAnsi="黑体" w:eastAsia="黑体"/>
          <w:bCs w:val="0"/>
          <w:i/>
          <w:color w:val="000000"/>
          <w:sz w:val="32"/>
          <w:szCs w:val="32"/>
          <w:highlight w:val="none"/>
          <w:u w:val="single"/>
        </w:rPr>
        <w:t xml:space="preserve">八、投标函</w:t>
      </w:r>
      <w:r>
        <w:rPr>
          <w:rFonts w:ascii="黑体" w:hAnsi="黑体" w:eastAsia="黑体"/>
          <w:bCs w:val="0"/>
          <w:i/>
          <w:color w:val="000000"/>
          <w:sz w:val="32"/>
          <w:szCs w:val="32"/>
          <w:highlight w:val="none"/>
          <w:u w:val="single"/>
        </w:rPr>
      </w:r>
      <w:r/>
    </w:p>
    <w:p>
      <w:pPr>
        <w:pStyle w:val="1420"/>
        <w:ind w:firstLine="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致：代理机构</w:t>
      </w:r>
      <w:r>
        <w:rPr>
          <w:rFonts w:hint="eastAsia" w:ascii="宋体" w:hAnsi="宋体"/>
          <w:color w:val="000000"/>
          <w:szCs w:val="21"/>
          <w:highlight w:val="none"/>
        </w:rPr>
      </w:r>
      <w:r/>
    </w:p>
    <w:p>
      <w:pPr>
        <w:pStyle w:val="1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根据贵方的</w:t>
      </w:r>
      <w:r>
        <w:rPr>
          <w:rFonts w:hint="eastAsia" w:ascii="宋体" w:hAnsi="宋体"/>
          <w:b/>
          <w:bCs/>
          <w:color w:val="000000"/>
          <w:szCs w:val="21"/>
          <w:highlight w:val="none"/>
          <w:u w:val="single"/>
        </w:rPr>
        <w:t xml:space="preserve">镇江市县域医共体设备更新项目（扬中市县域采购）</w:t>
      </w:r>
      <w:r>
        <w:rPr>
          <w:rFonts w:hint="eastAsia" w:ascii="宋体" w:hAnsi="宋体"/>
          <w:color w:val="000000"/>
          <w:szCs w:val="21"/>
          <w:highlight w:val="none"/>
        </w:rPr>
        <w:t xml:space="preserve">招标文件，正式授权下述签字人______(姓名)代表我方_____（投标人的名称），全权处理本次项目投标的有关事宜。</w:t>
      </w:r>
      <w:r>
        <w:rPr>
          <w:rFonts w:hint="eastAsia" w:ascii="宋体" w:hAnsi="宋体"/>
          <w:color w:val="000000"/>
          <w:szCs w:val="21"/>
          <w:highlight w:val="none"/>
        </w:rPr>
      </w:r>
      <w:r/>
    </w:p>
    <w:p>
      <w:pPr>
        <w:pStyle w:val="1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1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hint="eastAsia" w:ascii="宋体" w:hAnsi="宋体"/>
          <w:color w:val="000000"/>
          <w:szCs w:val="21"/>
          <w:highlight w:val="none"/>
        </w:rPr>
      </w:r>
      <w:r/>
    </w:p>
    <w:p>
      <w:pPr>
        <w:pStyle w:val="1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420"/>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420"/>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.一旦我方中标,我方将根据招标文件的规定，严格履行合同的责任和义务,并保证在招标文件规定的时间内完成项目，交付买方验收、使用。</w:t>
      </w:r>
      <w:r>
        <w:rPr>
          <w:rFonts w:hint="eastAsia" w:ascii="宋体" w:hAnsi="宋体"/>
          <w:color w:val="000000"/>
          <w:szCs w:val="21"/>
          <w:highlight w:val="none"/>
        </w:rPr>
      </w:r>
      <w:r/>
    </w:p>
    <w:p>
      <w:pPr>
        <w:pStyle w:val="1420"/>
        <w:spacing w:before="0" w:after="0" w:line="440" w:lineRule="exact"/>
        <w:rPr>
          <w:rFonts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t xml:space="preserve">我公司郑重声明：参加本次政府</w:t>
      </w:r>
      <w:r>
        <w:rPr>
          <w:rFonts w:hint="eastAsia" w:ascii="宋体" w:hAnsi="宋体"/>
          <w:bCs/>
          <w:color w:val="000000"/>
          <w:highlight w:val="none"/>
        </w:rPr>
        <w:t xml:space="preserve">采购</w:t>
      </w:r>
      <w:r>
        <w:rPr>
          <w:rFonts w:hint="eastAsia" w:ascii="宋体" w:hAnsi="宋体"/>
          <w:color w:val="000000"/>
          <w:szCs w:val="21"/>
          <w:highlight w:val="none"/>
        </w:rPr>
        <w:t xml:space="preserve">活动前三年内，在经营活动中没有重大违法记录。</w:t>
      </w:r>
      <w:r>
        <w:rPr>
          <w:rFonts w:ascii="宋体" w:hAnsi="宋体"/>
          <w:color w:val="000000"/>
          <w:szCs w:val="21"/>
          <w:highlight w:val="none"/>
        </w:rPr>
      </w:r>
      <w:r/>
    </w:p>
    <w:p>
      <w:pPr>
        <w:pStyle w:val="1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8.与本投标有关的正式通讯地址为：</w:t>
      </w:r>
      <w:r>
        <w:rPr>
          <w:rFonts w:hint="eastAsia" w:ascii="宋体" w:hAnsi="宋体"/>
          <w:color w:val="000000"/>
          <w:szCs w:val="21"/>
          <w:highlight w:val="none"/>
        </w:rPr>
      </w:r>
      <w:r/>
    </w:p>
    <w:p>
      <w:pPr>
        <w:pStyle w:val="1420"/>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420"/>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420"/>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rPr>
      </w:r>
      <w:r/>
    </w:p>
    <w:p>
      <w:pPr>
        <w:pStyle w:val="1420"/>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rPr>
      </w:r>
      <w:r/>
    </w:p>
    <w:p>
      <w:pPr>
        <w:pStyle w:val="1420"/>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rFonts w:hint="eastAsia" w:ascii="宋体" w:hAnsi="宋体"/>
          <w:color w:val="000000"/>
          <w:szCs w:val="21"/>
          <w:highlight w:val="none"/>
        </w:rPr>
      </w:r>
      <w:r/>
    </w:p>
    <w:p>
      <w:pPr>
        <w:pStyle w:val="1420"/>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1420"/>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日          期：_____年____月____日</w:t>
      </w:r>
      <w:r>
        <w:rPr>
          <w:rFonts w:hint="eastAsia" w:ascii="宋体" w:hAnsi="宋体"/>
          <w:color w:val="000000"/>
          <w:szCs w:val="21"/>
          <w:highlight w:val="none"/>
        </w:rPr>
      </w:r>
      <w:r/>
    </w:p>
    <w:p>
      <w:pPr>
        <w:pStyle w:val="1316"/>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316"/>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316"/>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316"/>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316"/>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316"/>
        <w:jc w:val="center"/>
        <w:spacing w:before="145" w:after="145"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九、中小企业声明函（货物）（分包号：**）</w:t>
      </w:r>
      <w:r>
        <w:rPr>
          <w:rFonts w:hint="eastAsia" w:ascii="黑体" w:hAnsi="黑体" w:eastAsia="黑体"/>
          <w:b/>
          <w:color w:val="000000"/>
          <w:sz w:val="32"/>
          <w:szCs w:val="32"/>
          <w:highlight w:val="none"/>
        </w:rPr>
      </w:r>
      <w:r/>
    </w:p>
    <w:p>
      <w:pPr>
        <w:pStyle w:val="1316"/>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本公司（联合体）郑重声明，根据《政府促进中小企业发展管理办法》(财库〔2020〕46号)的规定，本公司（联合体）参加江苏金居工程项目管理有限公司代理机构组织的 扬中市卫生健康委员会编号为</w:t>
      </w:r>
      <w:r>
        <w:rPr>
          <w:rFonts w:hint="eastAsia" w:ascii="宋体" w:hAnsi="宋体"/>
          <w:color w:val="000000"/>
          <w:sz w:val="24"/>
          <w:szCs w:val="24"/>
          <w:highlight w:val="none"/>
          <w:u w:val="single"/>
          <w:lang w:eastAsia="zh-CN"/>
        </w:rPr>
        <w:t xml:space="preserve">JSZC-321182-JJGS-G2026-0018</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（镇江市县域医共体设备更新项目（扬中市县域采购））（分包号：**）</w:t>
      </w:r>
      <w:r>
        <w:rPr>
          <w:rFonts w:hint="eastAsia" w:ascii="宋体" w:hAnsi="宋体"/>
          <w:color w:val="000000"/>
          <w:sz w:val="24"/>
          <w:szCs w:val="24"/>
          <w:highlight w:val="none"/>
        </w:rPr>
        <w:t xml:space="preserve">的活动，提供的货物全部由符合政策要求的中小企业制造。根据《工业和信息化部、国家统计局、国家发展和改革委员会、财政部关于印发中小企业划型标准规定的通知》(工信部联企业〔20</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rPr>
        <w:t xml:space="preserve">〕300号)的规定，相关企业（含联合体中的中小企业、签订分包意向协议的中小企业）的具体情况如下：</w:t>
      </w:r>
      <w:r>
        <w:rPr>
          <w:rFonts w:hint="eastAsia" w:ascii="宋体" w:hAnsi="宋体"/>
          <w:color w:val="000000"/>
          <w:sz w:val="24"/>
          <w:szCs w:val="24"/>
          <w:highlight w:val="none"/>
        </w:rPr>
      </w:r>
      <w:r/>
    </w:p>
    <w:p>
      <w:pPr>
        <w:pStyle w:val="1316"/>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（镇江市县域医共体设备更新项目（扬中市县域采购））</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工业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316"/>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（镇江市县域医共体设备更新项目（扬中市县域采购））</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工业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316"/>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316"/>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1316"/>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316"/>
        <w:ind w:right="72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16"/>
        <w:ind w:right="180" w:firstLine="360"/>
        <w:jc w:val="righ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316"/>
        <w:ind w:right="480" w:firstLine="54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1316"/>
        <w:ind w:firstLine="2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备注2：投标人如不提供此声明函，价格将不做相应扣除。</w:t>
      </w:r>
      <w:r>
        <w:rPr>
          <w:rFonts w:hint="eastAsia" w:ascii="宋体" w:hAnsi="宋体"/>
          <w:color w:val="000000"/>
          <w:sz w:val="24"/>
          <w:szCs w:val="24"/>
          <w:highlight w:val="none"/>
        </w:rPr>
      </w:r>
      <w:r/>
    </w:p>
    <w:p>
      <w:pPr>
        <w:pStyle w:val="1316"/>
        <w:jc w:val="center"/>
        <w:spacing w:before="145" w:after="145" w:line="440" w:lineRule="exact"/>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十、残疾人福利性单位声明函（分包号：**）</w:t>
      </w:r>
      <w:r>
        <w:rPr>
          <w:rFonts w:hint="eastAsia" w:ascii="黑体" w:hAnsi="黑体" w:eastAsia="黑体"/>
          <w:b/>
          <w:color w:val="000000"/>
          <w:sz w:val="32"/>
          <w:szCs w:val="32"/>
          <w:highlight w:val="none"/>
        </w:rPr>
      </w:r>
      <w:r/>
    </w:p>
    <w:p>
      <w:pPr>
        <w:pStyle w:val="1316"/>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w:t>
      </w:r>
      <w:r>
        <w:rPr>
          <w:rFonts w:hint="eastAsia" w:ascii="宋体" w:hAnsi="宋体"/>
          <w:bCs/>
          <w:color w:val="000000"/>
          <w:sz w:val="24"/>
          <w:szCs w:val="24"/>
          <w:highlight w:val="none"/>
        </w:rPr>
        <w:t xml:space="preserve">采购</w:t>
      </w:r>
      <w:r>
        <w:rPr>
          <w:rFonts w:hint="eastAsia" w:ascii="宋体" w:hAnsi="宋体"/>
          <w:color w:val="000000"/>
          <w:sz w:val="24"/>
          <w:highlight w:val="none"/>
        </w:rPr>
        <w:t xml:space="preserve">政策的通知》（财库〔2017〕 141号）的规定，本单位为符合条件的残疾人福利性单位，且本单位参加_ 扬中市卫生健康委员会单位的文件编号为_</w:t>
      </w:r>
      <w:r>
        <w:rPr>
          <w:rFonts w:hint="eastAsia" w:ascii="宋体" w:hAnsi="宋体"/>
          <w:color w:val="000000"/>
          <w:sz w:val="24"/>
          <w:szCs w:val="24"/>
          <w:highlight w:val="none"/>
          <w:u w:val="single"/>
        </w:rPr>
        <w:t xml:space="preserve">镇江市县域医共体设备更新项目（扬中市县域采购）</w:t>
      </w:r>
      <w:r>
        <w:rPr>
          <w:rFonts w:hint="eastAsia" w:ascii="宋体" w:hAnsi="宋体"/>
          <w:color w:val="000000"/>
          <w:sz w:val="24"/>
          <w:highlight w:val="none"/>
        </w:rPr>
        <w:t xml:space="preserve">_（分包号：**）活动由本单位提供服务。</w:t>
      </w:r>
      <w:r>
        <w:rPr>
          <w:rFonts w:hint="eastAsia" w:ascii="宋体" w:hAnsi="宋体"/>
          <w:color w:val="000000"/>
          <w:sz w:val="24"/>
          <w:highlight w:val="none"/>
        </w:rPr>
      </w:r>
      <w:r/>
    </w:p>
    <w:p>
      <w:pPr>
        <w:pStyle w:val="1316"/>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1316"/>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316"/>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（备注：1、投标人如不提供此声明函，价格将不做相应扣除。2、中标人为残疾人福利单位的，此声明函将随中标结果同时公告，接受社会监督）</w:t>
      </w:r>
      <w:r>
        <w:rPr>
          <w:rFonts w:ascii="宋体" w:hAnsi="宋体"/>
          <w:color w:val="000000"/>
          <w:sz w:val="24"/>
          <w:highlight w:val="none"/>
        </w:rPr>
      </w:r>
      <w:r/>
    </w:p>
    <w:p>
      <w:pPr>
        <w:pStyle w:val="1316"/>
        <w:ind w:firstLine="624"/>
        <w:spacing w:line="44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316"/>
        <w:ind w:right="1560" w:firstLine="624"/>
        <w:jc w:val="center"/>
        <w:spacing w:line="440"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投标人全称（加盖CA电子公章）：</w:t>
      </w:r>
      <w:r>
        <w:rPr>
          <w:rFonts w:ascii="宋体" w:hAnsi="宋体"/>
          <w:color w:val="000000"/>
          <w:sz w:val="24"/>
          <w:highlight w:val="none"/>
        </w:rPr>
      </w:r>
      <w:r/>
    </w:p>
    <w:p>
      <w:pPr>
        <w:pStyle w:val="1316"/>
        <w:ind w:right="1560" w:firstLine="480"/>
        <w:jc w:val="center"/>
        <w:spacing w:line="440"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十一、关于符合本国产品标准的声明函</w:t>
      </w:r>
      <w:r>
        <w:rPr>
          <w:rFonts w:hint="eastAsia" w:ascii="黑体" w:hAnsi="黑体" w:eastAsia="黑体"/>
          <w:b/>
          <w:color w:val="000000"/>
          <w:sz w:val="32"/>
          <w:szCs w:val="32"/>
          <w:highlight w:val="none"/>
        </w:rPr>
      </w:r>
      <w:r/>
    </w:p>
    <w:p>
      <w:pPr>
        <w:pStyle w:val="131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ind w:firstLine="420"/>
        <w:spacing w:line="360" w:lineRule="auto"/>
        <w:rPr>
          <w:rFonts w:hint="eastAsia" w:hAnsi="宋体" w:cs="方正魏碑_GBK"/>
          <w:color w:val="000000"/>
          <w:highlight w:val="none"/>
        </w:rPr>
      </w:pPr>
      <w:r>
        <w:rPr>
          <w:rFonts w:hint="eastAsia" w:hAnsi="宋体" w:cs="方正魏碑_GBK"/>
          <w:color w:val="000000"/>
          <w:highlight w:val="none"/>
        </w:rPr>
      </w:r>
      <w:r/>
    </w:p>
    <w:p>
      <w:pPr>
        <w:pStyle w:val="1316"/>
        <w:ind w:firstLine="420"/>
        <w:spacing w:line="360" w:lineRule="auto"/>
        <w:rPr>
          <w:rFonts w:hint="eastAsia" w:hAnsi="宋体" w:cs="方正魏碑_GBK"/>
          <w:color w:val="000000"/>
          <w:highlight w:val="none"/>
        </w:rPr>
      </w:pPr>
      <w:r>
        <w:rPr>
          <w:rFonts w:hint="eastAsia" w:hAnsi="宋体"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hAnsi="宋体" w:cs="方正魏碑_GBK"/>
          <w:color w:val="000000"/>
          <w:highlight w:val="none"/>
        </w:rPr>
      </w:r>
      <w:r/>
    </w:p>
    <w:p>
      <w:pPr>
        <w:pStyle w:val="1316"/>
        <w:ind w:firstLine="420"/>
        <w:spacing w:before="30" w:after="30" w:line="360" w:lineRule="auto"/>
        <w:rPr>
          <w:rFonts w:hint="eastAsia" w:hAnsi="宋体" w:cs="方正魏碑_GBK"/>
          <w:color w:val="000000"/>
          <w:highlight w:val="none"/>
        </w:rPr>
      </w:pP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2524760</wp:posOffset>
                </wp:positionH>
                <wp:positionV relativeFrom="paragraph">
                  <wp:posOffset>406400</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1;o:allowoverlap:true;o:allowincell:true;mso-position-horizontal-relative:text;margin-left:198.8pt;mso-position-horizontal:absolute;mso-position-vertical-relative:text;margin-top:32.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3587115</wp:posOffset>
                </wp:positionH>
                <wp:positionV relativeFrom="paragraph">
                  <wp:posOffset>456565</wp:posOffset>
                </wp:positionV>
                <wp:extent cx="816610" cy="10350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2;o:allowoverlap:true;o:allowincell:true;mso-position-horizontal-relative:text;margin-left:282.4pt;mso-position-horizontal:absolute;mso-position-vertical-relative:text;margin-top:35.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1564005</wp:posOffset>
                </wp:positionH>
                <wp:positionV relativeFrom="paragraph">
                  <wp:posOffset>398145</wp:posOffset>
                </wp:positionV>
                <wp:extent cx="87630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123.1pt;mso-position-horizontal:absolute;mso-position-vertical-relative:text;margin-top:31.3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4233545</wp:posOffset>
                </wp:positionH>
                <wp:positionV relativeFrom="paragraph">
                  <wp:posOffset>96520</wp:posOffset>
                </wp:positionV>
                <wp:extent cx="577215" cy="9207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8;o:allowoverlap:true;o:allowincell:true;mso-position-horizontal-relative:text;margin-left:333.3pt;mso-position-horizontal:absolute;mso-position-vertical-relative:text;margin-top:7.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shd w:val="clear" w:color="auto" w:fill="ffffff"/>
        </w:rPr>
        <w:t xml:space="preserve">1.</w:t>
      </w:r>
      <w:r>
        <w:rPr>
          <w:rFonts w:hint="eastAsia" w:hAnsi="宋体" w:cs="方正魏碑_GBK"/>
          <w:color w:val="000000"/>
          <w:highlight w:val="none"/>
          <w:u w:val="single"/>
          <w:shd w:val="clear" w:color="auto" w:fill="ffffff"/>
        </w:rPr>
        <w:t xml:space="preserve">（产品名称1）</w:t>
      </w:r>
      <w:r>
        <w:rPr>
          <w:rFonts w:hint="eastAsia" w:hAnsi="宋体" w:cs="方正魏碑_GBK"/>
          <w:color w:val="000000"/>
          <w:highlight w:val="none"/>
          <w:shd w:val="clear" w:color="auto" w:fill="ffffff"/>
          <w:vertAlign w:val="superscript"/>
        </w:rPr>
        <w:t xml:space="preserve">1</w:t>
      </w:r>
      <w:r>
        <w:rPr>
          <w:rFonts w:hint="eastAsia" w:hAnsi="宋体" w:cs="方正魏碑_GBK"/>
          <w:color w:val="000000"/>
          <w:highlight w:val="none"/>
          <w:shd w:val="clear" w:color="auto" w:fill="ffffff"/>
        </w:rPr>
        <w:t xml:space="preserve">，生产厂为</w:t>
      </w:r>
      <w:r>
        <w:rPr>
          <w:rFonts w:hint="eastAsia" w:hAnsi="宋体" w:cs="方正魏碑_GBK"/>
          <w:color w:val="000000"/>
          <w:highlight w:val="none"/>
          <w:u w:val="single"/>
          <w:shd w:val="clear" w:color="auto" w:fill="ffffff"/>
        </w:rPr>
        <w:t xml:space="preserve">（厂名）</w:t>
      </w:r>
      <w:r>
        <w:rPr>
          <w:rFonts w:hint="eastAsia" w:hAnsi="宋体" w:cs="方正魏碑_GBK"/>
          <w:color w:val="000000"/>
          <w:highlight w:val="none"/>
          <w:shd w:val="clear" w:color="auto" w:fill="ffffff"/>
          <w:vertAlign w:val="superscript"/>
        </w:rPr>
        <w:t xml:space="preserve">2</w:t>
      </w:r>
      <w:r>
        <w:rPr>
          <w:rFonts w:hint="eastAsia" w:hAnsi="宋体" w:cs="方正魏碑_GBK"/>
          <w:color w:val="000000"/>
          <w:highlight w:val="none"/>
          <w:shd w:val="clear" w:color="auto" w:fill="ffffff"/>
        </w:rPr>
        <w:t xml:space="preserve">，厂址为</w:t>
      </w:r>
      <w:r>
        <w:rPr>
          <w:rFonts w:hint="eastAsia" w:hAnsi="宋体" w:cs="方正魏碑_GBK"/>
          <w:color w:val="000000"/>
          <w:highlight w:val="none"/>
          <w:u w:val="single"/>
          <w:shd w:val="clear" w:color="auto" w:fill="ffffff"/>
        </w:rPr>
        <w:t xml:space="preserve">（生产厂址）</w:t>
      </w:r>
      <w:r>
        <w:rPr>
          <w:rFonts w:hint="eastAsia" w:hAnsi="宋体" w:cs="方正魏碑_GBK"/>
          <w:color w:val="000000"/>
          <w:highlight w:val="none"/>
          <w:shd w:val="clear" w:color="auto" w:fill="ffffff"/>
        </w:rPr>
        <w:t xml:space="preserve">。</w:t>
      </w:r>
      <w:r>
        <w:rPr>
          <w:rFonts w:hint="eastAsia" w:hAnsi="宋体" w:cs="方正魏碑_GBK"/>
          <w:color w:val="000000"/>
          <w:highlight w:val="none"/>
          <w:u w:val="single"/>
          <w:shd w:val="clear" w:color="auto" w:fill="ffffff"/>
        </w:rPr>
        <w:t xml:space="preserve"> （产品名称1） </w:t>
      </w:r>
      <w:r>
        <w:rPr>
          <w:rFonts w:hint="eastAsia" w:hAnsi="宋体" w:cs="方正魏碑_GBK"/>
          <w:color w:val="000000"/>
          <w:highlight w:val="none"/>
          <w:shd w:val="clear" w:color="auto" w:fill="ffffff"/>
        </w:rPr>
        <w:t xml:space="preserve">的中国境内生产的组件成本占比≥</w:t>
      </w:r>
      <w:r>
        <w:rPr>
          <w:rFonts w:hint="eastAsia" w:hAnsi="宋体" w:cs="方正魏碑_GBK"/>
          <w:color w:val="000000"/>
          <w:highlight w:val="none"/>
          <w:u w:val="single"/>
          <w:shd w:val="clear" w:color="auto" w:fill="ffffff"/>
        </w:rPr>
        <w:t xml:space="preserve">（规定</w:t>
      </w:r>
      <w:r>
        <w:rPr>
          <w:rFonts w:hAnsi="宋体" w:cs="方正魏碑_GBK"/>
          <w:color w:val="000000"/>
          <w:highlight w:val="none"/>
          <w:u w:val="single"/>
          <w:shd w:val="clear" w:color="auto" w:fill="ffffff"/>
        </w:rPr>
        <w:t xml:space="preserve">比例</w:t>
      </w:r>
      <w:r>
        <w:rPr>
          <w:rFonts w:hint="eastAsia" w:hAnsi="宋体" w:cs="方正魏碑_GBK"/>
          <w:color w:val="000000"/>
          <w:highlight w:val="none"/>
          <w:u w:val="single"/>
          <w:shd w:val="clear" w:color="auto" w:fill="ffffff"/>
        </w:rPr>
        <w:t xml:space="preserve">）</w:t>
      </w:r>
      <w:r>
        <w:rPr>
          <w:rFonts w:hint="eastAsia" w:hAnsi="宋体" w:cs="方正魏碑_GBK"/>
          <w:color w:val="000000"/>
          <w:highlight w:val="none"/>
          <w:shd w:val="clear" w:color="auto" w:fill="ffffff"/>
          <w:vertAlign w:val="superscript"/>
        </w:rPr>
        <w:t xml:space="preserve">3</w:t>
      </w:r>
      <w:r>
        <w:rPr>
          <w:rFonts w:hint="eastAsia" w:hAnsi="宋体" w:cs="方正魏碑_GBK"/>
          <w:color w:val="000000"/>
          <w:highlight w:val="none"/>
          <w:shd w:val="clear" w:color="auto" w:fill="ffffff"/>
        </w:rPr>
        <w:t xml:space="preserve">。</w:t>
      </w:r>
      <w:r>
        <w:rPr>
          <w:rFonts w:hint="eastAsia" w:hAnsi="宋体" w:cs="方正魏碑_GBK"/>
          <w:color w:val="000000"/>
          <w:highlight w:val="none"/>
          <w:u w:val="single"/>
          <w:shd w:val="clear" w:color="auto" w:fill="ffffff"/>
        </w:rPr>
        <w:t xml:space="preserve">（产品名称1）</w:t>
      </w:r>
      <w:r>
        <w:rPr>
          <w:rFonts w:hint="eastAsia" w:hAnsi="宋体" w:cs="方正魏碑_GBK"/>
          <w:color w:val="000000"/>
          <w:highlight w:val="none"/>
          <w:shd w:val="clear" w:color="auto" w:fill="ffffff"/>
        </w:rPr>
        <w:t xml:space="preserve">的</w:t>
      </w:r>
      <w:r>
        <w:rPr>
          <w:rFonts w:hint="eastAsia" w:hAnsi="宋体" w:cs="方正魏碑_GBK"/>
          <w:color w:val="000000"/>
          <w:highlight w:val="none"/>
          <w:u w:val="single"/>
          <w:shd w:val="clear" w:color="auto" w:fill="ffffff"/>
        </w:rPr>
        <w:t xml:space="preserve">（关键</w:t>
      </w:r>
      <w:r>
        <w:rPr>
          <w:rFonts w:hAnsi="宋体" w:cs="方正魏碑_GBK"/>
          <w:color w:val="000000"/>
          <w:highlight w:val="none"/>
          <w:u w:val="single"/>
          <w:shd w:val="clear" w:color="auto" w:fill="ffffff"/>
        </w:rPr>
        <w:t xml:space="preserve">组件</w:t>
      </w:r>
      <w:r>
        <w:rPr>
          <w:rFonts w:hint="eastAsia" w:hAnsi="宋体" w:cs="方正魏碑_GBK"/>
          <w:color w:val="000000"/>
          <w:highlight w:val="none"/>
          <w:u w:val="single"/>
          <w:shd w:val="clear" w:color="auto" w:fill="ffffff"/>
        </w:rPr>
        <w:t xml:space="preserve">）</w:t>
      </w:r>
      <w:r>
        <w:rPr>
          <w:rFonts w:hint="eastAsia" w:hAnsi="宋体" w:cs="方正魏碑_GBK"/>
          <w:color w:val="000000"/>
          <w:highlight w:val="none"/>
          <w:shd w:val="clear" w:color="auto" w:fill="ffffff"/>
          <w:vertAlign w:val="superscript"/>
        </w:rPr>
        <w:t xml:space="preserve">4</w:t>
      </w:r>
      <w:r>
        <w:rPr>
          <w:rFonts w:hint="eastAsia" w:hAnsi="宋体" w:cs="方正魏碑_GBK"/>
          <w:color w:val="000000"/>
          <w:highlight w:val="none"/>
          <w:shd w:val="clear" w:color="auto" w:fill="ffffff"/>
        </w:rPr>
        <w:t xml:space="preserve">在中国境内生产。</w:t>
      </w:r>
      <w:r>
        <w:rPr>
          <w:rFonts w:hint="eastAsia" w:hAnsi="宋体" w:cs="方正魏碑_GBK"/>
          <w:color w:val="000000"/>
          <w:highlight w:val="none"/>
          <w:u w:val="single"/>
          <w:shd w:val="clear" w:color="auto" w:fill="ffffff"/>
        </w:rPr>
        <w:t xml:space="preserve">（产品名称1）</w:t>
      </w:r>
      <w:r>
        <w:rPr>
          <w:rFonts w:hint="eastAsia" w:hAnsi="宋体" w:cs="方正魏碑_GBK"/>
          <w:color w:val="000000"/>
          <w:highlight w:val="none"/>
          <w:shd w:val="clear" w:color="auto" w:fill="ffffff"/>
        </w:rPr>
        <w:t xml:space="preserve">的</w:t>
      </w:r>
      <w:r>
        <w:rPr>
          <w:rFonts w:hint="eastAsia" w:hAnsi="宋体" w:cs="方正魏碑_GBK"/>
          <w:color w:val="000000"/>
          <w:highlight w:val="none"/>
          <w:u w:val="single"/>
          <w:shd w:val="clear" w:color="auto" w:fill="ffffff"/>
        </w:rPr>
        <w:t xml:space="preserve">（关键工序）</w:t>
      </w:r>
      <w:r>
        <w:rPr>
          <w:rFonts w:hint="eastAsia" w:hAnsi="宋体" w:cs="方正魏碑_GBK"/>
          <w:color w:val="000000"/>
          <w:highlight w:val="none"/>
          <w:shd w:val="clear" w:color="auto" w:fill="ffffff"/>
          <w:vertAlign w:val="superscript"/>
        </w:rPr>
        <w:t xml:space="preserve">5</w:t>
      </w:r>
      <w:r>
        <w:rPr>
          <w:rFonts w:hint="eastAsia" w:hAnsi="宋体" w:cs="方正魏碑_GBK"/>
          <w:color w:val="000000"/>
          <w:highlight w:val="none"/>
          <w:shd w:val="clear" w:color="auto" w:fill="ffffff"/>
        </w:rPr>
        <w:t xml:space="preserve">在中国境内完成。</w:t>
      </w:r>
      <w:r>
        <w:rPr>
          <w:rFonts w:hint="eastAsia" w:hAnsi="宋体" w:cs="方正魏碑_GBK"/>
          <w:color w:val="000000"/>
          <w:highlight w:val="none"/>
        </w:rPr>
      </w:r>
      <w:r/>
    </w:p>
    <w:p>
      <w:pPr>
        <w:pStyle w:val="1316"/>
        <w:ind w:firstLine="420"/>
        <w:spacing w:before="30" w:after="30" w:line="360" w:lineRule="auto"/>
        <w:rPr>
          <w:rFonts w:hint="eastAsia" w:hAnsi="宋体" w:cs="方正魏碑_GBK"/>
          <w:color w:val="000000"/>
          <w:highlight w:val="none"/>
        </w:rPr>
      </w:pP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3528695</wp:posOffset>
                </wp:positionH>
                <wp:positionV relativeFrom="paragraph">
                  <wp:posOffset>420370</wp:posOffset>
                </wp:positionV>
                <wp:extent cx="793750" cy="12382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93750"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5;o:allowoverlap:true;o:allowincell:true;mso-position-horizontal-relative:text;margin-left:277.8pt;mso-position-horizontal:absolute;mso-position-vertical-relative:text;margin-top:33.1pt;mso-position-vertical:absolute;width:62.5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2154555</wp:posOffset>
                </wp:positionH>
                <wp:positionV relativeFrom="paragraph">
                  <wp:posOffset>405130</wp:posOffset>
                </wp:positionV>
                <wp:extent cx="843915" cy="12573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4;o:allowoverlap:true;o:allowincell:true;mso-position-horizontal-relative:text;margin-left:169.7pt;mso-position-horizontal:absolute;mso-position-vertical-relative:text;margin-top:31.9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1191260</wp:posOffset>
                </wp:positionH>
                <wp:positionV relativeFrom="paragraph">
                  <wp:posOffset>407035</wp:posOffset>
                </wp:positionV>
                <wp:extent cx="908685" cy="14097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6;o:allowoverlap:true;o:allowincell:true;mso-position-horizontal-relative:text;margin-left:93.8pt;mso-position-horizontal:absolute;mso-position-vertical-relative:text;margin-top:32.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2742565</wp:posOffset>
                </wp:positionH>
                <wp:positionV relativeFrom="paragraph">
                  <wp:posOffset>407035</wp:posOffset>
                </wp:positionV>
                <wp:extent cx="821690" cy="10287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7;o:allowoverlap:true;o:allowincell:true;mso-position-horizontal-relative:text;margin-left:215.9pt;mso-position-horizontal:absolute;mso-position-vertical-relative:text;margin-top:32.0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347345</wp:posOffset>
                </wp:positionH>
                <wp:positionV relativeFrom="paragraph">
                  <wp:posOffset>673100</wp:posOffset>
                </wp:positionV>
                <wp:extent cx="816610" cy="14732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50;o:allowoverlap:true;o:allowincell:true;mso-position-horizontal-relative:text;margin-left:27.3pt;mso-position-horizontal:absolute;mso-position-vertical-relative:text;margin-top:53.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highlight w:val="none"/>
          <w:shd w:val="clear" w:color="auto" w:fill="ffffff"/>
        </w:rPr>
        <w:t xml:space="preserve">2.</w:t>
      </w:r>
      <w:r>
        <w:rPr>
          <w:rFonts w:hint="eastAsia" w:hAnsi="宋体" w:cs="方正魏碑_GBK"/>
          <w:color w:val="000000"/>
          <w:highlight w:val="none"/>
          <w:u w:val="single"/>
          <w:shd w:val="clear" w:color="auto" w:fill="ffffff"/>
        </w:rPr>
        <w:t xml:space="preserve">（产品名称2）</w:t>
      </w:r>
      <w:r>
        <w:rPr>
          <w:rFonts w:hint="eastAsia" w:hAnsi="宋体" w:cs="方正魏碑_GBK"/>
          <w:color w:val="000000"/>
          <w:highlight w:val="none"/>
          <w:shd w:val="clear" w:color="auto" w:fill="ffffff"/>
        </w:rPr>
        <w:t xml:space="preserve">，生产厂为</w:t>
      </w:r>
      <w:r>
        <w:rPr>
          <w:rFonts w:hint="eastAsia" w:hAnsi="宋体" w:cs="方正魏碑_GBK"/>
          <w:color w:val="000000"/>
          <w:highlight w:val="none"/>
          <w:u w:val="single"/>
          <w:shd w:val="clear" w:color="auto" w:fill="ffffff"/>
        </w:rPr>
        <w:t xml:space="preserve">（厂名）</w:t>
      </w:r>
      <w:r>
        <w:rPr>
          <w:rFonts w:hint="eastAsia" w:hAnsi="宋体" w:cs="方正魏碑_GBK"/>
          <w:color w:val="000000"/>
          <w:highlight w:val="none"/>
          <w:shd w:val="clear" w:color="auto" w:fill="ffffff"/>
        </w:rPr>
        <w:t xml:space="preserve">，厂址为</w:t>
      </w:r>
      <w:r>
        <w:rPr>
          <w:rFonts w:hint="eastAsia" w:hAnsi="宋体" w:cs="方正魏碑_GBK"/>
          <w:color w:val="000000"/>
          <w:highlight w:val="none"/>
          <w:u w:val="single"/>
          <w:shd w:val="clear" w:color="auto" w:fill="ffffff"/>
        </w:rPr>
        <w:t xml:space="preserve">（生产厂址）</w:t>
      </w:r>
      <w:r>
        <w:rPr>
          <w:rFonts w:hint="eastAsia" w:hAnsi="宋体" w:cs="方正魏碑_GBK"/>
          <w:color w:val="000000"/>
          <w:highlight w:val="none"/>
          <w:shd w:val="clear" w:color="auto" w:fill="ffffff"/>
        </w:rPr>
        <w:t xml:space="preserve">。</w:t>
      </w:r>
      <w:r>
        <w:rPr>
          <w:rFonts w:hint="eastAsia" w:hAnsi="宋体" w:cs="方正魏碑_GBK"/>
          <w:color w:val="000000"/>
          <w:highlight w:val="none"/>
          <w:u w:val="single"/>
          <w:shd w:val="clear" w:color="auto" w:fill="ffffff"/>
        </w:rPr>
        <w:t xml:space="preserve">（产品名称2）</w:t>
      </w:r>
      <w:r>
        <w:rPr>
          <w:rFonts w:hint="eastAsia" w:hAnsi="宋体" w:cs="方正魏碑_GBK"/>
          <w:color w:val="000000"/>
          <w:highlight w:val="none"/>
          <w:shd w:val="clear" w:color="auto" w:fill="ffffff"/>
        </w:rPr>
        <w:t xml:space="preserve">的中国境内生产的组件成本占比≥</w:t>
      </w:r>
      <w:r>
        <w:rPr>
          <w:rFonts w:hint="eastAsia" w:hAnsi="宋体" w:cs="方正魏碑_GBK"/>
          <w:color w:val="000000"/>
          <w:highlight w:val="none"/>
          <w:u w:val="single"/>
          <w:shd w:val="clear" w:color="auto" w:fill="ffffff"/>
        </w:rPr>
        <w:t xml:space="preserve">（规定</w:t>
      </w:r>
      <w:r>
        <w:rPr>
          <w:rFonts w:hAnsi="宋体" w:cs="方正魏碑_GBK"/>
          <w:color w:val="000000"/>
          <w:highlight w:val="none"/>
          <w:u w:val="single"/>
          <w:shd w:val="clear" w:color="auto" w:fill="ffffff"/>
        </w:rPr>
        <w:t xml:space="preserve">比例</w:t>
      </w:r>
      <w:r>
        <w:rPr>
          <w:rFonts w:hint="eastAsia" w:hAnsi="宋体" w:cs="方正魏碑_GBK"/>
          <w:color w:val="000000"/>
          <w:highlight w:val="none"/>
          <w:u w:val="single"/>
          <w:shd w:val="clear" w:color="auto" w:fill="ffffff"/>
        </w:rPr>
        <w:t xml:space="preserve">）</w:t>
      </w:r>
      <w:r>
        <w:rPr>
          <w:rFonts w:hint="eastAsia" w:hAnsi="宋体" w:cs="方正魏碑_GBK"/>
          <w:color w:val="000000"/>
          <w:highlight w:val="none"/>
          <w:shd w:val="clear" w:color="auto" w:fill="ffffff"/>
        </w:rPr>
        <w:t xml:space="preserve">。</w:t>
      </w:r>
      <w:r>
        <w:rPr>
          <w:rFonts w:hint="eastAsia" w:hAnsi="宋体" w:cs="方正魏碑_GBK"/>
          <w:color w:val="000000"/>
          <w:highlight w:val="none"/>
          <w:u w:val="single"/>
          <w:shd w:val="clear" w:color="auto" w:fill="ffffff"/>
        </w:rPr>
        <w:t xml:space="preserve">（产品名称2）</w:t>
      </w:r>
      <w:r>
        <w:rPr>
          <w:rFonts w:hint="eastAsia" w:hAnsi="宋体" w:cs="方正魏碑_GBK"/>
          <w:color w:val="000000"/>
          <w:highlight w:val="none"/>
          <w:shd w:val="clear" w:color="auto" w:fill="ffffff"/>
        </w:rPr>
        <w:t xml:space="preserve">的</w:t>
      </w:r>
      <w:r>
        <w:rPr>
          <w:rFonts w:hint="eastAsia" w:hAnsi="宋体" w:cs="方正魏碑_GBK"/>
          <w:color w:val="000000"/>
          <w:highlight w:val="none"/>
          <w:u w:val="single"/>
          <w:shd w:val="clear" w:color="auto" w:fill="ffffff"/>
        </w:rPr>
        <w:t xml:space="preserve">（关键</w:t>
      </w:r>
      <w:r>
        <w:rPr>
          <w:rFonts w:hAnsi="宋体" w:cs="方正魏碑_GBK"/>
          <w:color w:val="000000"/>
          <w:highlight w:val="none"/>
          <w:u w:val="single"/>
          <w:shd w:val="clear" w:color="auto" w:fill="ffffff"/>
        </w:rPr>
        <w:t xml:space="preserve">组件</w:t>
      </w:r>
      <w:r>
        <w:rPr>
          <w:rFonts w:hint="eastAsia" w:hAnsi="宋体" w:cs="方正魏碑_GBK"/>
          <w:color w:val="000000"/>
          <w:highlight w:val="none"/>
          <w:u w:val="single"/>
          <w:shd w:val="clear" w:color="auto" w:fill="ffffff"/>
        </w:rPr>
        <w:t xml:space="preserve">）</w:t>
      </w:r>
      <w:r>
        <w:rPr>
          <w:rFonts w:hint="eastAsia" w:hAnsi="宋体" w:cs="方正魏碑_GBK"/>
          <w:color w:val="000000"/>
          <w:highlight w:val="none"/>
          <w:shd w:val="clear" w:color="auto" w:fill="ffffff"/>
        </w:rPr>
        <w:t xml:space="preserve">在中国境内生产。</w:t>
      </w:r>
      <w:r>
        <w:rPr>
          <w:rFonts w:hint="eastAsia" w:hAnsi="宋体" w:cs="方正魏碑_GBK"/>
          <w:color w:val="000000"/>
          <w:highlight w:val="none"/>
          <w:u w:val="single"/>
          <w:shd w:val="clear" w:color="auto" w:fill="ffffff"/>
        </w:rPr>
        <w:t xml:space="preserve">（产品名称1）</w:t>
      </w:r>
      <w:r>
        <w:rPr>
          <w:rFonts w:hint="eastAsia" w:hAnsi="宋体" w:cs="方正魏碑_GBK"/>
          <w:color w:val="000000"/>
          <w:highlight w:val="none"/>
          <w:shd w:val="clear" w:color="auto" w:fill="ffffff"/>
        </w:rPr>
        <w:t xml:space="preserve">的</w:t>
      </w:r>
      <w:r>
        <w:rPr>
          <w:rFonts w:hint="eastAsia" w:hAnsi="宋体" w:cs="方正魏碑_GBK"/>
          <w:color w:val="000000"/>
          <w:highlight w:val="none"/>
          <w:u w:val="single"/>
          <w:shd w:val="clear" w:color="auto" w:fill="ffffff"/>
        </w:rPr>
        <w:t xml:space="preserve">（关键工序）</w:t>
      </w:r>
      <w:r>
        <w:rPr>
          <w:rFonts w:hint="eastAsia" w:hAnsi="宋体" w:cs="方正魏碑_GBK"/>
          <w:color w:val="000000"/>
          <w:highlight w:val="none"/>
          <w:shd w:val="clear" w:color="auto" w:fill="ffffff"/>
        </w:rPr>
        <w:t xml:space="preserve">在中国境内完成。</w:t>
      </w:r>
      <w:r>
        <w:rPr>
          <w:rFonts w:hint="eastAsia" w:hAnsi="宋体" w:cs="方正魏碑_GBK"/>
          <w:color w:val="000000"/>
          <w:highlight w:val="none"/>
        </w:rPr>
      </w:r>
      <w:r/>
    </w:p>
    <w:p>
      <w:pPr>
        <w:pStyle w:val="1316"/>
        <w:ind w:firstLine="420"/>
        <w:spacing w:before="30" w:after="30" w:line="360" w:lineRule="auto"/>
        <w:rPr>
          <w:rFonts w:hint="eastAsia" w:hAnsi="宋体" w:cs="方正魏碑_GBK"/>
          <w:color w:val="000000"/>
          <w:highlight w:val="none"/>
        </w:rPr>
      </w:pPr>
      <w:r>
        <w:rPr>
          <w:rFonts w:hint="eastAsia" w:hAnsi="宋体" w:cs="方正魏碑_GBK"/>
          <w:color w:val="000000"/>
          <w:highlight w:val="none"/>
          <w:shd w:val="clear" w:color="auto" w:fill="ffffff"/>
        </w:rPr>
        <w:t xml:space="preserve">……</w:t>
      </w:r>
      <w:r>
        <w:rPr>
          <w:rFonts w:hint="eastAsia" w:hAnsi="宋体" w:cs="方正魏碑_GBK"/>
          <w:color w:val="000000"/>
          <w:highlight w:val="none"/>
        </w:rPr>
      </w:r>
      <w:r/>
    </w:p>
    <w:p>
      <w:pPr>
        <w:pStyle w:val="1316"/>
        <w:ind w:firstLine="420"/>
        <w:spacing w:before="30" w:after="30" w:line="360" w:lineRule="auto"/>
        <w:rPr>
          <w:rFonts w:hint="eastAsia" w:hAnsi="宋体" w:cs="方正魏碑_GBK"/>
          <w:color w:val="000000"/>
          <w:highlight w:val="none"/>
        </w:rPr>
      </w:pPr>
      <w:r>
        <w:rPr>
          <w:rFonts w:hint="eastAsia" w:hAnsi="宋体" w:cs="方正魏碑_GBK"/>
          <w:color w:val="000000"/>
          <w:highlight w:val="none"/>
          <w:shd w:val="clear" w:color="auto" w:fill="ffffff"/>
        </w:rPr>
        <w:t xml:space="preserve">本公司（单位）对上述声明内容的真实性负责。如有虚假，愿承担相应法律责任。</w:t>
      </w:r>
      <w:r>
        <w:rPr>
          <w:rFonts w:hint="eastAsia" w:hAnsi="宋体" w:cs="方正魏碑_GBK"/>
          <w:color w:val="000000"/>
          <w:highlight w:val="none"/>
        </w:rPr>
      </w:r>
      <w:r/>
    </w:p>
    <w:p>
      <w:pPr>
        <w:pStyle w:val="1316"/>
        <w:spacing w:before="30" w:after="30" w:line="360" w:lineRule="auto"/>
        <w:rPr>
          <w:rFonts w:hint="eastAsia" w:hAnsi="宋体" w:cs="方正魏碑_GBK"/>
          <w:color w:val="000000"/>
          <w:highlight w:val="none"/>
        </w:rPr>
      </w:pPr>
      <w:r>
        <w:rPr>
          <w:rFonts w:hint="eastAsia" w:hAnsi="宋体" w:cs="方正魏碑_GBK"/>
          <w:color w:val="000000"/>
          <w:highlight w:val="none"/>
        </w:rPr>
      </w:r>
      <w:r/>
    </w:p>
    <w:p>
      <w:pPr>
        <w:pStyle w:val="1316"/>
        <w:ind w:right="1560" w:firstLine="444"/>
        <w:jc w:val="center"/>
        <w:spacing w:line="360" w:lineRule="auto"/>
        <w:tabs>
          <w:tab w:val="left" w:pos="4860" w:leader="none"/>
        </w:tabs>
        <w:rPr>
          <w:rFonts w:hint="eastAsia" w:hAnsi="宋体"/>
          <w:color w:val="000000"/>
          <w:highlight w:val="none"/>
        </w:rPr>
      </w:pPr>
      <w:r>
        <w:rPr>
          <w:rFonts w:hint="eastAsia" w:hAnsi="宋体"/>
          <w:color w:val="000000"/>
          <w:spacing w:val="6"/>
          <w:highlight w:val="none"/>
        </w:rPr>
        <w:t xml:space="preserve">           </w:t>
      </w:r>
      <w:r>
        <w:rPr>
          <w:rFonts w:hint="eastAsia" w:hAnsi="宋体"/>
          <w:color w:val="000000"/>
          <w:highlight w:val="none"/>
        </w:rPr>
        <w:t xml:space="preserve">               投标人名称（盖章）：</w:t>
      </w:r>
      <w:r>
        <w:rPr>
          <w:rFonts w:hint="eastAsia" w:hAnsi="宋体"/>
          <w:color w:val="000000"/>
          <w:highlight w:val="none"/>
        </w:rPr>
      </w:r>
      <w:r/>
    </w:p>
    <w:p>
      <w:pPr>
        <w:pStyle w:val="1316"/>
        <w:ind w:right="1560" w:firstLine="420"/>
        <w:jc w:val="center"/>
        <w:spacing w:line="360" w:lineRule="auto"/>
        <w:tabs>
          <w:tab w:val="left" w:pos="4860" w:leader="none"/>
        </w:tabs>
        <w:rPr>
          <w:rFonts w:hint="eastAsia" w:hAnsi="宋体"/>
          <w:color w:val="000000"/>
          <w:highlight w:val="none"/>
        </w:rPr>
      </w:pPr>
      <w:r>
        <w:rPr>
          <w:rFonts w:hint="eastAsia" w:hAnsi="宋体"/>
          <w:color w:val="000000"/>
          <w:highlight w:val="none"/>
        </w:rPr>
        <w:t xml:space="preserve">                              日  期：</w:t>
      </w:r>
      <w:r>
        <w:rPr>
          <w:rFonts w:hint="eastAsia" w:hAnsi="宋体"/>
          <w:color w:val="000000"/>
          <w:highlight w:val="none"/>
        </w:rPr>
      </w:r>
      <w:r/>
    </w:p>
    <w:p>
      <w:pPr>
        <w:pStyle w:val="1316"/>
        <w:jc w:val="center"/>
        <w:spacing w:before="30" w:after="30" w:line="360" w:lineRule="auto"/>
        <w:rPr>
          <w:rFonts w:hint="eastAsia" w:hAnsi="宋体" w:cs="方正魏碑_GBK"/>
          <w:color w:val="000000"/>
          <w:highlight w:val="none"/>
        </w:rPr>
      </w:pPr>
      <w:r>
        <w:rPr>
          <w:rFonts w:hint="eastAsia" w:hAnsi="宋体" w:cs="方正魏碑_GBK"/>
          <w:color w:val="000000"/>
          <w:highlight w:val="none"/>
          <w:shd w:val="clear" w:color="auto" w:fill="ffffff"/>
        </w:rPr>
        <w:t xml:space="preserve">   </w:t>
      </w:r>
      <w:r>
        <w:rPr>
          <w:rFonts w:hint="eastAsia" w:hAnsi="宋体" w:cs="方正魏碑_GBK"/>
          <w:color w:val="000000"/>
          <w:highlight w:val="none"/>
        </w:rPr>
      </w:r>
      <w:r/>
    </w:p>
    <w:p>
      <w:pPr>
        <w:pStyle w:val="1316"/>
        <w:spacing w:before="30" w:after="30" w:line="360" w:lineRule="auto"/>
        <w:rPr>
          <w:rFonts w:hint="eastAsia" w:hAnsi="宋体" w:cs="方正魏碑_GBK"/>
          <w:color w:val="000000"/>
          <w:highlight w:val="none"/>
        </w:rPr>
      </w:pPr>
      <w:r>
        <w:rPr>
          <w:rFonts w:hint="eastAsia" w:hAnsi="宋体" w:cs="方正魏碑_GBK"/>
          <w:color w:val="000000"/>
          <w:highlight w:val="none"/>
          <w:shd w:val="clear" w:color="auto" w:fill="ffffff"/>
        </w:rPr>
        <w:t xml:space="preserve">__________________</w:t>
      </w:r>
      <w:r>
        <w:rPr>
          <w:rFonts w:hint="eastAsia" w:hAnsi="宋体" w:cs="方正魏碑_GBK"/>
          <w:color w:val="000000"/>
          <w:highlight w:val="none"/>
        </w:rPr>
      </w:r>
      <w:r/>
    </w:p>
    <w:p>
      <w:pPr>
        <w:pStyle w:val="1316"/>
        <w:spacing w:before="30" w:after="30" w:line="360" w:lineRule="auto"/>
        <w:rPr>
          <w:rFonts w:hint="eastAsia" w:hAnsi="宋体" w:cs="方正魏碑_GBK"/>
          <w:color w:val="000000"/>
          <w:highlight w:val="none"/>
        </w:rPr>
      </w:pPr>
      <w:r>
        <w:rPr>
          <w:rFonts w:hint="eastAsia" w:hAnsi="宋体" w:cs="方正魏碑_GBK"/>
          <w:color w:val="000000"/>
          <w:highlight w:val="none"/>
          <w:shd w:val="clear" w:color="auto" w:fill="ffffff"/>
        </w:rPr>
        <w:t xml:space="preserve">1.产品如有型号，请在“产品名称”栏一并填写。</w:t>
      </w:r>
      <w:r>
        <w:rPr>
          <w:rFonts w:hint="eastAsia" w:hAnsi="宋体" w:cs="方正魏碑_GBK"/>
          <w:color w:val="000000"/>
          <w:highlight w:val="none"/>
        </w:rPr>
      </w:r>
      <w:r/>
    </w:p>
    <w:p>
      <w:pPr>
        <w:pStyle w:val="1316"/>
        <w:spacing w:before="30" w:after="30" w:line="360" w:lineRule="auto"/>
        <w:rPr>
          <w:rFonts w:hint="eastAsia" w:hAnsi="宋体" w:cs="方正魏碑_GBK"/>
          <w:color w:val="000000"/>
          <w:highlight w:val="none"/>
        </w:rPr>
      </w:pPr>
      <w:r>
        <w:rPr>
          <w:rFonts w:hint="eastAsia" w:hAnsi="宋体" w:cs="方正魏碑_GBK"/>
          <w:color w:val="000000"/>
          <w:highlight w:val="none"/>
          <w:shd w:val="clear" w:color="auto" w:fill="ffffff"/>
        </w:rPr>
        <w:t xml:space="preserve">2.生产厂名与厂址应与生产厂营业执照载明的相关信息保持一致。</w:t>
      </w:r>
      <w:r>
        <w:rPr>
          <w:rFonts w:hint="eastAsia" w:hAnsi="宋体" w:cs="方正魏碑_GBK"/>
          <w:color w:val="000000"/>
          <w:highlight w:val="none"/>
        </w:rPr>
      </w:r>
      <w:r/>
    </w:p>
    <w:p>
      <w:pPr>
        <w:pStyle w:val="1316"/>
        <w:spacing w:before="30" w:after="30" w:line="360" w:lineRule="auto"/>
        <w:rPr>
          <w:rFonts w:hint="eastAsia" w:hAnsi="宋体" w:cs="方正魏碑_GBK"/>
          <w:color w:val="000000"/>
          <w:highlight w:val="none"/>
        </w:rPr>
      </w:pPr>
      <w:r>
        <w:rPr>
          <w:rFonts w:hint="eastAsia" w:hAnsi="宋体" w:cs="方正魏碑_GBK"/>
          <w:color w:val="000000"/>
          <w:highlight w:val="none"/>
          <w:shd w:val="clear" w:color="auto" w:fill="ffffff"/>
        </w:rPr>
        <w:t xml:space="preserve">3.该产品的中国境内生产的组件成本占比相关要求实施前，“规定比例”栏可不填，下同。</w:t>
      </w:r>
      <w:r>
        <w:rPr>
          <w:rFonts w:hint="eastAsia" w:hAnsi="宋体" w:cs="方正魏碑_GBK"/>
          <w:color w:val="000000"/>
          <w:highlight w:val="none"/>
        </w:rPr>
      </w:r>
      <w:r/>
    </w:p>
    <w:p>
      <w:pPr>
        <w:pStyle w:val="1316"/>
        <w:spacing w:before="30" w:after="30" w:line="360" w:lineRule="auto"/>
        <w:rPr>
          <w:rFonts w:hint="eastAsia" w:hAnsi="宋体" w:cs="方正魏碑_GBK"/>
          <w:color w:val="000000"/>
          <w:highlight w:val="none"/>
        </w:rPr>
      </w:pPr>
      <w:r>
        <w:rPr>
          <w:rFonts w:hint="eastAsia" w:hAnsi="宋体" w:cs="方正魏碑_GBK"/>
          <w:color w:val="000000"/>
          <w:highlight w:val="none"/>
          <w:shd w:val="clear" w:color="auto" w:fill="ffffff"/>
        </w:rPr>
        <w:t xml:space="preserve">4.该产品的关键组件要求实施前，“关键组件”栏可不填，下同。</w:t>
      </w:r>
      <w:r>
        <w:rPr>
          <w:rFonts w:hint="eastAsia" w:hAnsi="宋体" w:cs="方正魏碑_GBK"/>
          <w:color w:val="000000"/>
          <w:highlight w:val="none"/>
        </w:rPr>
      </w:r>
      <w:r/>
    </w:p>
    <w:p>
      <w:pPr>
        <w:pStyle w:val="1316"/>
        <w:spacing w:before="30" w:after="30" w:line="360" w:lineRule="auto"/>
        <w:rPr>
          <w:rFonts w:hint="eastAsia" w:hAnsi="宋体" w:cs="方正魏碑_GBK"/>
          <w:color w:val="000000"/>
          <w:highlight w:val="none"/>
          <w:shd w:val="clear" w:color="auto" w:fill="ffffff"/>
        </w:rPr>
      </w:pPr>
      <w:r>
        <w:rPr>
          <w:rFonts w:hint="eastAsia" w:hAnsi="宋体" w:cs="方正魏碑_GBK"/>
          <w:color w:val="000000"/>
          <w:highlight w:val="none"/>
          <w:shd w:val="clear" w:color="auto" w:fill="ffffff"/>
        </w:rPr>
        <w:t xml:space="preserve">5.该产品的关键工序要求实施前，“关键工序”栏可不填，下同。</w:t>
      </w:r>
      <w:r>
        <w:rPr>
          <w:rFonts w:hint="eastAsia" w:hAnsi="宋体" w:cs="方正魏碑_GBK"/>
          <w:color w:val="000000"/>
          <w:highlight w:val="none"/>
          <w:shd w:val="clear" w:color="auto" w:fill="ffffff"/>
        </w:rPr>
      </w:r>
      <w:r/>
    </w:p>
    <w:p>
      <w:pPr>
        <w:pStyle w:val="1316"/>
        <w:spacing w:before="30" w:after="30" w:line="360" w:lineRule="auto"/>
        <w:rPr>
          <w:rFonts w:hint="eastAsia" w:hAnsi="宋体" w:cs="方正魏碑_GBK"/>
          <w:color w:val="000000"/>
          <w:highlight w:val="none"/>
          <w:shd w:val="clear" w:color="auto" w:fill="ffffff"/>
        </w:rPr>
      </w:pPr>
      <w:r>
        <w:rPr>
          <w:rFonts w:hint="eastAsia" w:hAnsi="宋体" w:cs="方正魏碑_GBK"/>
          <w:color w:val="000000"/>
          <w:highlight w:val="none"/>
          <w:shd w:val="clear" w:color="auto" w:fill="ffffff"/>
        </w:rPr>
        <w:t xml:space="preserve">6.用斜线划除的地方无需填写。</w:t>
      </w:r>
      <w:r>
        <w:rPr>
          <w:rFonts w:hint="eastAsia" w:hAnsi="宋体" w:cs="方正魏碑_GBK"/>
          <w:color w:val="000000"/>
          <w:highlight w:val="none"/>
          <w:shd w:val="clear" w:color="auto" w:fill="ffffff"/>
        </w:rPr>
      </w:r>
      <w:r/>
    </w:p>
    <w:p>
      <w:pPr>
        <w:pStyle w:val="131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十二、投标分项报价表（分包号：***）</w:t>
      </w:r>
      <w:r>
        <w:rPr>
          <w:rFonts w:hint="eastAsia" w:ascii="黑体" w:hAnsi="黑体" w:eastAsia="黑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036"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66"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414"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784"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980"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727"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372"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46"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r>
      <w:tr>
        <w:trPr>
          <w:cantSplit/>
          <w:trHeight w:val="294"/>
        </w:trPr>
        <w:tc>
          <w:tcPr>
            <w:tcW w:w="556"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036"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66"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980"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727"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372"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1246"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r>
      <w:tr>
        <w:trPr>
          <w:cantSplit/>
          <w:trHeight w:val="696"/>
        </w:trPr>
        <w:tc>
          <w:tcPr>
            <w:tcW w:w="556"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036"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56"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036"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56" w:type="dxa"/>
            <w:vAlign w:val="center"/>
            <w:textDirection w:val="lrTb"/>
            <w:noWrap w:val="false"/>
          </w:tcPr>
          <w:p>
            <w:pPr>
              <w:pStyle w:val="131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036"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56" w:type="dxa"/>
            <w:vAlign w:val="center"/>
            <w:textDirection w:val="lrTb"/>
            <w:noWrap w:val="false"/>
          </w:tcPr>
          <w:p>
            <w:pPr>
              <w:pStyle w:val="1316"/>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1036" w:type="dxa"/>
            <w:vAlign w:val="center"/>
            <w:textDirection w:val="lrTb"/>
            <w:noWrap w:val="false"/>
          </w:tcPr>
          <w:p>
            <w:pPr>
              <w:pStyle w:val="1316"/>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966"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131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835" w:type="dxa"/>
            <w:vAlign w:val="center"/>
            <w:textDirection w:val="lrTb"/>
            <w:noWrap w:val="false"/>
          </w:tcPr>
          <w:p>
            <w:pPr>
              <w:pStyle w:val="131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246" w:type="dxa"/>
            <w:vAlign w:val="top"/>
            <w:textDirection w:val="lrTb"/>
            <w:noWrap w:val="false"/>
          </w:tcPr>
          <w:p>
            <w:pPr>
              <w:pStyle w:val="1316"/>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835" w:type="dxa"/>
            <w:vAlign w:val="center"/>
            <w:textDirection w:val="lrTb"/>
            <w:noWrap w:val="false"/>
          </w:tcPr>
          <w:p>
            <w:pPr>
              <w:pStyle w:val="1316"/>
              <w:jc w:val="center"/>
              <w:rPr>
                <w:rFonts w:hint="eastAsia" w:ascii="宋体" w:hAnsi="宋体"/>
                <w:color w:val="000000"/>
                <w:sz w:val="24"/>
                <w:szCs w:val="24"/>
                <w:highlight w:val="none"/>
              </w:rPr>
            </w:pPr>
            <w:r>
              <w:rPr>
                <w:rFonts w:hint="eastAsia" w:hAnsi="宋体"/>
                <w:color w:val="000000"/>
                <w:highlight w:val="none"/>
              </w:rPr>
              <w:t xml:space="preserve">本采购包中提供的符合本国产品标准的产品成本之和占该采购包提供的全部产品成本之和的比例为</w:t>
            </w:r>
            <w:r>
              <w:rPr>
                <w:rFonts w:hint="eastAsia" w:hAnsi="宋体"/>
                <w:color w:val="000000"/>
                <w:highlight w:val="none"/>
                <w:u w:val="single"/>
              </w:rPr>
              <w:t xml:space="preserve">      </w:t>
            </w:r>
            <w:r>
              <w:rPr>
                <w:rFonts w:hint="eastAsia" w:hAnsi="宋体"/>
                <w:color w:val="000000"/>
                <w:highlight w:val="none"/>
              </w:rPr>
              <w:t xml:space="preserve">%。</w:t>
            </w:r>
            <w:r>
              <w:rPr>
                <w:rFonts w:hint="eastAsia" w:ascii="宋体" w:hAnsi="宋体"/>
                <w:color w:val="000000"/>
                <w:sz w:val="24"/>
                <w:szCs w:val="24"/>
                <w:highlight w:val="none"/>
              </w:rPr>
            </w:r>
            <w:r/>
          </w:p>
        </w:tc>
        <w:tc>
          <w:tcPr>
            <w:tcW w:w="1246" w:type="dxa"/>
            <w:vAlign w:val="top"/>
            <w:textDirection w:val="lrTb"/>
            <w:noWrap w:val="false"/>
          </w:tcPr>
          <w:p>
            <w:pPr>
              <w:pStyle w:val="1316"/>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316"/>
        <w:spacing w:line="440" w:lineRule="exact"/>
        <w:rPr>
          <w:rFonts w:hint="eastAsia" w:ascii="宋体" w:hAnsi="宋体"/>
          <w:color w:val="000000"/>
          <w:sz w:val="24"/>
          <w:highlight w:val="none"/>
        </w:rPr>
      </w:pPr>
      <w:r>
        <w:rPr>
          <w:rFonts w:hint="eastAsia" w:ascii="宋体" w:hAnsi="宋体"/>
          <w:color w:val="000000"/>
          <w:sz w:val="24"/>
          <w:szCs w:val="24"/>
          <w:highlight w:val="none"/>
        </w:rPr>
        <w:t xml:space="preserve">备注：1.投标报价</w:t>
      </w:r>
      <w:r>
        <w:rPr>
          <w:rFonts w:hint="eastAsia" w:ascii="宋体" w:hAnsi="宋体"/>
          <w:color w:val="000000"/>
          <w:sz w:val="24"/>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highlight w:val="none"/>
        </w:rPr>
      </w:r>
      <w:r/>
    </w:p>
    <w:p>
      <w:pPr>
        <w:pStyle w:val="1316"/>
        <w:spacing w:line="440" w:lineRule="exact"/>
        <w:rPr>
          <w:rFonts w:hint="eastAsia" w:ascii="宋体" w:hAnsi="宋体"/>
          <w:color w:val="000000"/>
          <w:sz w:val="24"/>
          <w:highlight w:val="none"/>
        </w:rPr>
      </w:pPr>
      <w:r>
        <w:rPr>
          <w:rFonts w:hint="eastAsia" w:ascii="宋体" w:hAnsi="宋体"/>
          <w:color w:val="000000"/>
          <w:sz w:val="24"/>
          <w:highlight w:val="none"/>
        </w:rPr>
        <w:t xml:space="preserve">2. “投标分项报价表”中“投标总报价”数额应当与“开标一览表”中“投标总报价”数额一致。</w:t>
      </w:r>
      <w:r>
        <w:rPr>
          <w:rFonts w:hint="eastAsia" w:ascii="宋体" w:hAnsi="宋体"/>
          <w:color w:val="000000"/>
          <w:sz w:val="24"/>
          <w:highlight w:val="none"/>
        </w:rPr>
      </w:r>
      <w:r/>
    </w:p>
    <w:p>
      <w:pPr>
        <w:pStyle w:val="1316"/>
        <w:spacing w:line="440" w:lineRule="exact"/>
        <w:rPr>
          <w:rFonts w:hint="eastAsia" w:ascii="宋体" w:hAnsi="宋体"/>
          <w:color w:val="000000"/>
          <w:sz w:val="24"/>
          <w:highlight w:val="none"/>
        </w:rPr>
      </w:pPr>
      <w:r>
        <w:rPr>
          <w:rFonts w:hint="eastAsia" w:ascii="宋体" w:hAnsi="宋体"/>
          <w:color w:val="000000"/>
          <w:sz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olor w:val="000000"/>
          <w:sz w:val="24"/>
          <w:highlight w:val="none"/>
        </w:rPr>
      </w:r>
      <w:r/>
    </w:p>
    <w:p>
      <w:pPr>
        <w:pStyle w:val="1316"/>
        <w:spacing w:line="440" w:lineRule="exact"/>
        <w:rPr>
          <w:rFonts w:hint="eastAsia" w:ascii="宋体" w:hAnsi="宋体"/>
          <w:color w:val="000000"/>
          <w:sz w:val="24"/>
          <w:highlight w:val="none"/>
        </w:rPr>
      </w:pPr>
      <w:r>
        <w:rPr>
          <w:rFonts w:hint="eastAsia" w:ascii="宋体" w:hAnsi="宋体"/>
          <w:color w:val="000000"/>
          <w:sz w:val="24"/>
          <w:highlight w:val="none"/>
        </w:rPr>
        <w:t xml:space="preserve">4.投标人需认真填写本报价表，尤其注意规格型号的准确填写。</w:t>
      </w:r>
      <w:r>
        <w:rPr>
          <w:rFonts w:hint="eastAsia" w:ascii="宋体" w:hAnsi="宋体"/>
          <w:color w:val="000000"/>
          <w:sz w:val="24"/>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宋体" w:hAnsi="宋体"/>
          <w:color w:val="000000"/>
          <w:sz w:val="24"/>
          <w:highlight w:val="none"/>
        </w:rPr>
        <w:t xml:space="preserve">5.涉及小型、微型、节能产品、环境标志等享受政府采购扶持政策的项目，需在备注中分别明确注明。</w:t>
      </w:r>
      <w:r>
        <w:rPr>
          <w:color w:val="000000"/>
          <w:szCs w:val="24"/>
          <w:highlight w:val="none"/>
        </w:rPr>
        <w:br w:type="page" w:clear="all"/>
      </w:r>
      <w:r>
        <w:rPr>
          <w:rFonts w:hint="eastAsia" w:ascii="黑体" w:hAnsi="黑体" w:eastAsia="黑体"/>
          <w:b/>
          <w:color w:val="000000"/>
          <w:sz w:val="32"/>
          <w:szCs w:val="32"/>
          <w:highlight w:val="none"/>
        </w:rPr>
        <w:t xml:space="preserve">十三、技术要求响应及偏离表（分包号：**）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316"/>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1316"/>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316"/>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316"/>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316"/>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316"/>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316"/>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316"/>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316"/>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316"/>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316"/>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316"/>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316"/>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316"/>
        <w:jc w:val="center"/>
        <w:spacing w:before="145" w:after="145" w:line="440" w:lineRule="exact"/>
        <w:rPr>
          <w:rFonts w:hint="eastAsia" w:ascii="黑体" w:hAnsi="黑体" w:eastAsia="黑体"/>
          <w:b/>
          <w:color w:val="000000"/>
          <w:sz w:val="32"/>
          <w:szCs w:val="32"/>
          <w:highlight w:val="none"/>
        </w:rPr>
      </w:pPr>
      <w:r/>
      <w:bookmarkEnd w:id="207"/>
      <w:r/>
      <w:bookmarkStart w:id="211" w:name="_Hlt26955054"/>
      <w:r/>
      <w:bookmarkEnd w:id="211"/>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十四、商务要求响应及偏离表（分包号：**）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1316"/>
              <w:jc w:val="center"/>
              <w:spacing w:line="440" w:lineRule="exact"/>
              <w:rPr>
                <w:rFonts w:hint="eastAsia" w:ascii="宋体" w:hAnsi="宋体"/>
                <w:color w:val="000000"/>
                <w:sz w:val="24"/>
                <w:szCs w:val="24"/>
                <w:highlight w:val="none"/>
              </w:rPr>
            </w:pPr>
            <w:r/>
            <w:bookmarkStart w:id="212" w:name="_Hlt26671343"/>
            <w:r/>
            <w:bookmarkEnd w:id="212"/>
            <w:r/>
            <w:bookmarkStart w:id="213" w:name="_Hlt24879081"/>
            <w:r/>
            <w:bookmarkEnd w:id="213"/>
            <w:r/>
            <w:bookmarkStart w:id="214" w:name="_Hlt26955064"/>
            <w:r/>
            <w:bookmarkEnd w:id="214"/>
            <w:r/>
            <w:bookmarkStart w:id="215" w:name="_Hlt26609391"/>
            <w:r/>
            <w:bookmarkEnd w:id="215"/>
            <w:r/>
            <w:bookmarkStart w:id="216" w:name="_Hlt26580838"/>
            <w:r/>
            <w:bookmarkEnd w:id="216"/>
            <w:r/>
            <w:bookmarkStart w:id="217" w:name="_Hlt26955056"/>
            <w:r/>
            <w:bookmarkEnd w:id="217"/>
            <w:r/>
            <w:bookmarkStart w:id="218" w:name="_Hlt26782999"/>
            <w:r/>
            <w:bookmarkEnd w:id="218"/>
            <w:r/>
            <w:bookmarkStart w:id="219" w:name="_Hlt26671372"/>
            <w:r/>
            <w:bookmarkEnd w:id="219"/>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88" w:type="dxa"/>
            <w:vAlign w:val="center"/>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83" w:type="dxa"/>
            <w:vAlign w:val="center"/>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2" w:type="dxa"/>
            <w:vAlign w:val="center"/>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614" w:type="dxa"/>
            <w:vAlign w:val="center"/>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316"/>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316"/>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1316"/>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316"/>
        <w:spacing w:line="440" w:lineRule="exact"/>
        <w:rPr>
          <w:rFonts w:hint="eastAsia" w:ascii="仿宋_GB2312" w:hAnsi="Arial"/>
          <w:color w:val="000000"/>
          <w:sz w:val="30"/>
          <w:highlight w:val="none"/>
        </w:rPr>
      </w:pPr>
      <w:r>
        <w:rPr>
          <w:rFonts w:hint="eastAsia" w:ascii="仿宋_GB2312" w:hAnsi="Arial"/>
          <w:color w:val="000000"/>
          <w:sz w:val="30"/>
          <w:highlight w:val="none"/>
        </w:rPr>
      </w:r>
      <w:r/>
    </w:p>
    <w:p>
      <w:pPr>
        <w:pStyle w:val="1336"/>
        <w:ind w:firstLine="0"/>
        <w:spacing w:line="440" w:lineRule="exact"/>
        <w:rPr>
          <w:rFonts w:hint="eastAsia" w:ascii="宋体" w:hAnsi="宋体"/>
          <w:color w:val="000000"/>
          <w:sz w:val="24"/>
          <w:highlight w:val="none"/>
        </w:rPr>
      </w:pPr>
      <w:r/>
      <w:bookmarkStart w:id="220" w:name="_Hlt26955066"/>
      <w:r/>
      <w:bookmarkEnd w:id="220"/>
      <w:r/>
      <w:bookmarkStart w:id="221" w:name="_Hlt26671374"/>
      <w:r/>
      <w:bookmarkEnd w:id="221"/>
      <w:r/>
      <w:bookmarkStart w:id="222" w:name="_Hlt26609389"/>
      <w:r/>
      <w:bookmarkEnd w:id="222"/>
      <w:r/>
      <w:bookmarkStart w:id="223" w:name="_Toc462564146"/>
      <w:r>
        <w:rPr>
          <w:rFonts w:hint="eastAsia" w:ascii="宋体" w:hAnsi="宋体"/>
          <w:color w:val="000000"/>
          <w:sz w:val="24"/>
          <w:highlight w:val="none"/>
        </w:rPr>
      </w:r>
      <w:r/>
    </w:p>
    <w:p>
      <w:pPr>
        <w:pStyle w:val="1316"/>
        <w:jc w:val="center"/>
        <w:spacing w:line="440" w:lineRule="exact"/>
        <w:rPr>
          <w:rFonts w:hint="eastAsia" w:ascii="黑体" w:hAnsi="黑体" w:eastAsia="黑体"/>
          <w:b/>
          <w:color w:val="000000"/>
          <w:sz w:val="32"/>
          <w:szCs w:val="32"/>
          <w:highlight w:val="none"/>
        </w:rPr>
      </w:pPr>
      <w:r/>
      <w:bookmarkEnd w:id="197"/>
      <w:r/>
      <w:bookmarkEnd w:id="198"/>
      <w:r/>
      <w:bookmarkEnd w:id="223"/>
      <w:r/>
      <w:bookmarkStart w:id="224" w:name="_格式2__法定代表人授权书"/>
      <w:r/>
      <w:bookmarkEnd w:id="224"/>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before="145" w:after="145" w:line="440" w:lineRule="exact"/>
        <w:rPr>
          <w:rFonts w:hint="eastAsia" w:eastAsia="仿宋_GB2312"/>
          <w:color w:val="000000"/>
          <w:sz w:val="24"/>
          <w:szCs w:val="20"/>
          <w:highlight w:val="none"/>
        </w:rPr>
      </w:pPr>
      <w:r>
        <w:rPr>
          <w:rFonts w:hint="eastAsia" w:ascii="黑体" w:hAnsi="黑体" w:eastAsia="黑体"/>
          <w:b/>
          <w:i/>
          <w:color w:val="000000"/>
          <w:sz w:val="32"/>
          <w:szCs w:val="32"/>
          <w:highlight w:val="none"/>
          <w:u w:val="single"/>
        </w:rPr>
        <w:br w:type="page" w:clear="all"/>
      </w:r>
      <w:r>
        <w:rPr>
          <w:rFonts w:hint="eastAsia" w:ascii="黑体" w:hAnsi="黑体" w:eastAsia="黑体"/>
          <w:b/>
          <w:i/>
          <w:color w:val="000000"/>
          <w:sz w:val="32"/>
          <w:szCs w:val="32"/>
          <w:highlight w:val="none"/>
          <w:u w:val="single"/>
        </w:rPr>
        <w:t xml:space="preserve">十五、开标一览表</w:t>
      </w:r>
      <w:r>
        <w:rPr>
          <w:rFonts w:hint="eastAsia" w:eastAsia="仿宋_GB2312"/>
          <w:color w:val="000000"/>
          <w:sz w:val="24"/>
          <w:szCs w:val="20"/>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1316"/>
        <w:ind w:firstLine="480"/>
        <w:spacing w:line="440" w:lineRule="exact"/>
        <w:rPr>
          <w:rFonts w:hint="eastAsia"/>
          <w:color w:val="000000"/>
          <w:sz w:val="24"/>
          <w:szCs w:val="24"/>
          <w:highlight w:val="none"/>
        </w:rPr>
      </w:pPr>
      <w:r>
        <w:rPr>
          <w:rFonts w:hint="eastAsia" w:ascii="宋体" w:hAnsi="宋体"/>
          <w:color w:val="000000"/>
          <w:sz w:val="24"/>
          <w:szCs w:val="24"/>
          <w:highlight w:val="none"/>
        </w:rPr>
        <w:t xml:space="preserve">项目名称：镇江市县域医共体设备更新项目（扬中市县域采购）</w:t>
      </w:r>
      <w:r>
        <w:rPr>
          <w:rFonts w:hint="eastAsia"/>
          <w:color w:val="000000"/>
          <w:sz w:val="24"/>
          <w:szCs w:val="24"/>
          <w:highlight w:val="none"/>
        </w:rPr>
      </w:r>
      <w:r/>
    </w:p>
    <w:p>
      <w:pPr>
        <w:pStyle w:val="13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316"/>
              <w:spacing w:line="44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8206" w:type="dxa"/>
            <w:vAlign w:val="center"/>
            <w:textDirection w:val="lrTb"/>
            <w:noWrap w:val="false"/>
          </w:tcPr>
          <w:p>
            <w:pPr>
              <w:pStyle w:val="1420"/>
              <w:ind w:firstLine="0"/>
              <w:spacing w:before="0" w:after="0" w:line="440" w:lineRule="exact"/>
              <w:rPr>
                <w:rFonts w:hint="eastAsia" w:ascii="宋体" w:hAnsi="宋体"/>
                <w:color w:val="000000"/>
                <w:szCs w:val="21"/>
                <w:highlight w:val="none"/>
              </w:rPr>
            </w:pPr>
            <w:r>
              <w:rPr>
                <w:rFonts w:hint="eastAsia" w:ascii="宋体" w:hAnsi="宋体" w:cs="宋体"/>
                <w:color w:val="000000"/>
                <w:highlight w:val="none"/>
              </w:rPr>
              <w:t xml:space="preserve">小写：                             （人民币：元）</w:t>
            </w:r>
            <w:r>
              <w:rPr>
                <w:rFonts w:hint="eastAsia" w:ascii="宋体" w:hAnsi="宋体"/>
                <w:color w:val="000000"/>
                <w:szCs w:val="21"/>
                <w:highlight w:val="none"/>
              </w:rPr>
            </w:r>
            <w:r/>
          </w:p>
        </w:tc>
      </w:tr>
    </w:tbl>
    <w:p>
      <w:pPr>
        <w:pStyle w:val="1316"/>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16"/>
        <w:ind w:firstLine="480"/>
        <w:spacing w:line="440" w:lineRule="exact"/>
        <w:rPr>
          <w:rFonts w:ascii="宋体" w:hAnsi="宋体"/>
          <w:bCs/>
          <w:color w:val="000000"/>
          <w:sz w:val="24"/>
          <w:szCs w:val="24"/>
          <w:highlight w:val="none"/>
        </w:rPr>
      </w:pPr>
      <w:r>
        <w:rPr>
          <w:rFonts w:hint="eastAsia" w:ascii="宋体" w:hAnsi="宋体"/>
          <w:color w:val="000000"/>
          <w:sz w:val="24"/>
          <w:highlight w:val="none"/>
        </w:rPr>
        <w:t xml:space="preserve">1.</w:t>
      </w:r>
      <w:r>
        <w:rPr>
          <w:rFonts w:ascii="宋体" w:hAnsi="宋体"/>
          <w:bCs/>
          <w:color w:val="000000"/>
          <w:sz w:val="24"/>
          <w:szCs w:val="24"/>
          <w:highlight w:val="none"/>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bCs/>
          <w:color w:val="000000"/>
          <w:sz w:val="24"/>
          <w:szCs w:val="24"/>
          <w:highlight w:val="none"/>
        </w:rPr>
      </w:r>
      <w:r/>
    </w:p>
    <w:p>
      <w:pPr>
        <w:pStyle w:val="1316"/>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评标委员会启动异常低价投标(响应)审查的情形和具体要求:</w:t>
      </w:r>
      <w:r>
        <w:rPr>
          <w:rFonts w:ascii="宋体" w:hAnsi="宋体"/>
          <w:bCs/>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(一)政府采购评审中出现下列情形之一的，评审委员会应当启动异常低价投标（响应）审查程序： </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（1）投标报价低于全部通过符合性审查供应商投标报价平均值65%的，即投标报价&lt;全部通过符合性审查供应商投标报价平均值×65%；</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（2）投标报价低于通过符合性审查的次低报价供应商投标报价65%的，即投标报价&lt;通过符合性审查的次低报价供应商投标报价×65%；</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（3）投标报价低于采购项目最高限价65%的，即投标报价&lt;采购项目最高限价×65%；</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（4）评委会基于专业判断，认为供应商报价过低，有可能影响产品质量或者不能诚信履约的其他情形。</w:t>
      </w:r>
      <w:r>
        <w:rPr>
          <w:rFonts w:hint="eastAsia" w:ascii="宋体" w:hAnsi="宋体"/>
          <w:color w:val="000000"/>
          <w:sz w:val="24"/>
          <w:szCs w:val="24"/>
          <w:highlight w:val="none"/>
        </w:rPr>
      </w:r>
      <w:r/>
    </w:p>
    <w:p>
      <w:pPr>
        <w:pStyle w:val="13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(二)启动异常低价投标(响应)审查后，评标委员会应当要求相关供应商在评标现场合理的时间内，提供项目具体成本测算等与报价合理性相关的书面说明及相关证明材料，对投标(响应)价格作出解释，</w:t>
      </w:r>
      <w:r>
        <w:rPr>
          <w:rFonts w:hint="eastAsia" w:ascii="宋体" w:hAnsi="宋体"/>
          <w:b/>
          <w:bCs/>
          <w:color w:val="000000"/>
          <w:sz w:val="24"/>
          <w:szCs w:val="24"/>
          <w:highlight w:val="none"/>
        </w:rPr>
        <w:t xml:space="preserve">包括但不限于原材料成本、人工成本、制造费用等，</w:t>
      </w:r>
      <w:r>
        <w:rPr>
          <w:rFonts w:hint="eastAsia" w:ascii="宋体" w:hAnsi="宋体"/>
          <w:color w:val="000000"/>
          <w:sz w:val="24"/>
          <w:szCs w:val="24"/>
          <w:highlight w:val="none"/>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color w:val="000000"/>
          <w:sz w:val="24"/>
          <w:szCs w:val="24"/>
          <w:highlight w:val="none"/>
        </w:rPr>
      </w:r>
      <w:r/>
    </w:p>
    <w:p>
      <w:pPr>
        <w:pStyle w:val="1316"/>
        <w:jc w:val="center"/>
        <w:spacing w:before="145" w:after="145" w:line="440" w:lineRule="exact"/>
        <w:rPr>
          <w:rFonts w:ascii="宋体" w:hAnsi="宋体"/>
          <w:color w:val="000000"/>
          <w:sz w:val="28"/>
          <w:szCs w:val="28"/>
          <w:highlight w:val="none"/>
        </w:rPr>
        <w:outlineLvl w:val="2"/>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十六、</w:t>
      </w:r>
      <w:r>
        <w:rPr>
          <w:rFonts w:ascii="宋体" w:hAnsi="宋体"/>
          <w:b/>
          <w:bCs/>
          <w:color w:val="000000"/>
          <w:sz w:val="36"/>
          <w:szCs w:val="36"/>
          <w:highlight w:val="none"/>
        </w:rPr>
        <w:t xml:space="preserve">资格承诺函（格式）</w:t>
      </w:r>
      <w:r>
        <w:rPr>
          <w:rFonts w:ascii="宋体" w:hAnsi="宋体"/>
          <w:color w:val="000000"/>
          <w:sz w:val="28"/>
          <w:szCs w:val="28"/>
          <w:highlight w:val="none"/>
        </w:rPr>
      </w:r>
      <w:r/>
    </w:p>
    <w:p>
      <w:pPr>
        <w:pStyle w:val="1316"/>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highlight w:val="none"/>
        </w:rPr>
        <w:t xml:space="preserve">招标</w:t>
      </w:r>
      <w:r>
        <w:rPr>
          <w:rFonts w:ascii="宋体" w:hAnsi="宋体"/>
          <w:color w:val="000000"/>
          <w:sz w:val="24"/>
          <w:szCs w:val="24"/>
          <w:highlight w:val="none"/>
        </w:rPr>
        <w:t xml:space="preserve">人、代理机构）   </w:t>
      </w:r>
      <w:r>
        <w:rPr>
          <w:rFonts w:ascii="宋体" w:hAnsi="宋体"/>
          <w:color w:val="000000"/>
          <w:sz w:val="24"/>
          <w:szCs w:val="24"/>
          <w:highlight w:val="none"/>
        </w:rPr>
      </w:r>
      <w:r/>
    </w:p>
    <w:p>
      <w:pPr>
        <w:pStyle w:val="1316"/>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（项目名称）  （项目编号：）   项目</w:t>
      </w:r>
      <w:r>
        <w:rPr>
          <w:rFonts w:ascii="宋体" w:hAnsi="宋体"/>
          <w:color w:val="000000"/>
          <w:sz w:val="24"/>
          <w:szCs w:val="24"/>
          <w:highlight w:val="none"/>
        </w:rPr>
        <w:t xml:space="preserve">的</w:t>
      </w:r>
      <w:r>
        <w:rPr>
          <w:rFonts w:ascii="宋体" w:hAnsi="宋体"/>
          <w:color w:val="000000"/>
          <w:sz w:val="24"/>
          <w:szCs w:val="24"/>
          <w:highlight w:val="none"/>
        </w:rPr>
      </w:r>
      <w:r/>
    </w:p>
    <w:p>
      <w:pPr>
        <w:pStyle w:val="1316"/>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政府</w:t>
      </w:r>
      <w:r>
        <w:rPr>
          <w:rFonts w:hint="eastAsia" w:ascii="宋体" w:hAnsi="宋体"/>
          <w:bCs/>
          <w:color w:val="000000"/>
          <w:sz w:val="24"/>
          <w:szCs w:val="24"/>
          <w:highlight w:val="none"/>
        </w:rPr>
        <w:t xml:space="preserve">采购</w:t>
      </w:r>
      <w:r>
        <w:rPr>
          <w:rFonts w:ascii="宋体" w:hAnsi="宋体"/>
          <w:color w:val="000000"/>
          <w:sz w:val="24"/>
          <w:szCs w:val="24"/>
          <w:highlight w:val="none"/>
        </w:rPr>
        <w:t xml:space="preserve">活动，现承诺如下：</w:t>
      </w:r>
      <w:r>
        <w:rPr>
          <w:rFonts w:ascii="宋体" w:hAnsi="宋体"/>
          <w:color w:val="000000"/>
          <w:sz w:val="24"/>
          <w:szCs w:val="24"/>
          <w:highlight w:val="none"/>
        </w:rPr>
      </w:r>
      <w:r/>
    </w:p>
    <w:p>
      <w:pPr>
        <w:pStyle w:val="1316"/>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rPr>
          <w:rFonts w:ascii="宋体" w:hAnsi="宋体"/>
          <w:color w:val="000000"/>
          <w:sz w:val="24"/>
          <w:szCs w:val="24"/>
          <w:highlight w:val="none"/>
        </w:rPr>
      </w:r>
      <w:r/>
    </w:p>
    <w:p>
      <w:pPr>
        <w:pStyle w:val="1316"/>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rPr>
          <w:rFonts w:ascii="宋体" w:hAnsi="宋体"/>
          <w:color w:val="000000"/>
          <w:sz w:val="24"/>
          <w:szCs w:val="24"/>
          <w:highlight w:val="none"/>
        </w:rPr>
      </w:r>
      <w:r/>
    </w:p>
    <w:p>
      <w:pPr>
        <w:pStyle w:val="1316"/>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rPr>
          <w:rFonts w:ascii="宋体" w:hAnsi="宋体"/>
          <w:color w:val="000000"/>
          <w:sz w:val="24"/>
          <w:szCs w:val="24"/>
          <w:highlight w:val="none"/>
        </w:rPr>
      </w:r>
      <w:r/>
    </w:p>
    <w:p>
      <w:pPr>
        <w:pStyle w:val="1316"/>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4.我方参加本项目活动前三年内，在经营活动中没有重大违法记录。</w:t>
      </w:r>
      <w:r>
        <w:rPr>
          <w:rFonts w:ascii="宋体" w:hAnsi="宋体"/>
          <w:color w:val="000000"/>
          <w:sz w:val="24"/>
          <w:szCs w:val="24"/>
          <w:highlight w:val="none"/>
        </w:rPr>
      </w:r>
      <w:r/>
    </w:p>
    <w:p>
      <w:pPr>
        <w:pStyle w:val="1316"/>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若我单位承诺不实，自愿承担提供虚假材料谋取中标、成交的法律责任。</w:t>
      </w:r>
      <w:r>
        <w:rPr>
          <w:rFonts w:ascii="宋体" w:hAnsi="宋体"/>
          <w:color w:val="000000"/>
          <w:sz w:val="24"/>
          <w:szCs w:val="24"/>
          <w:highlight w:val="none"/>
        </w:rPr>
      </w:r>
      <w:r/>
    </w:p>
    <w:p>
      <w:pPr>
        <w:pStyle w:val="1316"/>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1316"/>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投标（响应）</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（全称并盖章）：</w:t>
      </w:r>
      <w:r>
        <w:rPr>
          <w:rFonts w:ascii="宋体" w:hAnsi="宋体"/>
          <w:color w:val="000000"/>
          <w:sz w:val="24"/>
          <w:szCs w:val="24"/>
          <w:highlight w:val="none"/>
        </w:rPr>
      </w:r>
      <w:r/>
    </w:p>
    <w:p>
      <w:pPr>
        <w:pStyle w:val="1316"/>
        <w:spacing w:line="440" w:lineRule="exact"/>
        <w:rPr>
          <w:rFonts w:ascii="宋体" w:hAnsi="宋体"/>
          <w:color w:val="000000"/>
          <w:sz w:val="24"/>
          <w:szCs w:val="24"/>
          <w:highlight w:val="none"/>
        </w:rPr>
        <w:outlineLvl w:val="2"/>
      </w:pP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法定代表人或授权代表（签字或签章）：</w:t>
      </w:r>
      <w:r>
        <w:rPr>
          <w:rFonts w:ascii="宋体" w:hAnsi="宋体"/>
          <w:color w:val="000000"/>
          <w:sz w:val="24"/>
          <w:szCs w:val="24"/>
          <w:highlight w:val="none"/>
        </w:rPr>
      </w:r>
      <w:r/>
    </w:p>
    <w:p>
      <w:pPr>
        <w:pStyle w:val="1316"/>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1316"/>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1316"/>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说明：1.</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可自行选择是否提供本承诺函，若不提供本承诺函的，应按文件要求提供相应的证明材料。</w:t>
      </w:r>
      <w:r>
        <w:rPr>
          <w:rFonts w:ascii="宋体" w:hAnsi="宋体"/>
          <w:color w:val="000000"/>
          <w:sz w:val="24"/>
          <w:szCs w:val="24"/>
          <w:highlight w:val="none"/>
        </w:rPr>
      </w:r>
      <w:r/>
    </w:p>
    <w:p>
      <w:pPr>
        <w:pStyle w:val="1316"/>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可删减承诺事项，删减的承诺事项须按文件要求提供相应的证明材料。比如删去本承诺函第3项的，则应按文件要求提供依法缴纳税收和社会保障资金的良好记录。</w:t>
      </w:r>
      <w:r>
        <w:rPr>
          <w:rFonts w:ascii="宋体" w:hAnsi="宋体"/>
          <w:color w:val="000000"/>
          <w:sz w:val="24"/>
          <w:szCs w:val="24"/>
          <w:highlight w:val="none"/>
        </w:rPr>
      </w:r>
      <w:r/>
    </w:p>
    <w:p>
      <w:pPr>
        <w:pStyle w:val="1316"/>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316"/>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316"/>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316"/>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316"/>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316"/>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316"/>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316"/>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316"/>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316"/>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316"/>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316"/>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pgNumType w:start="48"/>
          <w:cols w:num="1" w:sep="0" w:space="1701" w:equalWidth="1"/>
          <w:docGrid w:linePitch="360"/>
          <w:titlePg/>
        </w:sect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十七、单位负责人为同一人或者存在直接控股、管理关系的不同供应商，不得参加同一合同项下的政府采购活动的承诺函（格式自拟）</w:t>
      </w: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316"/>
        <w:jc w:val="center"/>
        <w:spacing w:before="145" w:after="145" w:line="440" w:lineRule="exact"/>
        <w:rPr>
          <w:rFonts w:hint="eastAsia" w:ascii="宋体" w:hAnsi="宋体" w:cs="仿宋"/>
          <w:b/>
          <w:bCs/>
          <w:color w:val="000000"/>
          <w:sz w:val="32"/>
          <w:szCs w:val="32"/>
          <w:highlight w:val="none"/>
        </w:rPr>
      </w:pPr>
      <w:r>
        <w:rPr>
          <w:rFonts w:hint="eastAsia" w:ascii="宋体" w:hAnsi="宋体"/>
          <w:color w:val="000000"/>
          <w:sz w:val="24"/>
          <w:szCs w:val="24"/>
          <w:highlight w:val="none"/>
        </w:rPr>
        <w:t xml:space="preserve">投标单位相关信息一览表</w:t>
      </w:r>
      <w:r>
        <w:rPr>
          <w:rFonts w:hint="eastAsia" w:ascii="宋体" w:hAnsi="宋体" w:cs="仿宋"/>
          <w:b/>
          <w:bCs/>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3"/>
        <w:gridCol w:w="757"/>
        <w:gridCol w:w="1076"/>
        <w:gridCol w:w="284"/>
        <w:gridCol w:w="924"/>
        <w:gridCol w:w="1369"/>
      </w:tblGrid>
      <w:tr>
        <w:trPr>
          <w:trHeight w:val="506"/>
        </w:trPr>
        <w:tc>
          <w:tcPr>
            <w:shd w:val="clear" w:color="auto" w:fill="d9d9d9"/>
            <w:tcW w:w="615"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公司基本信息</w:t>
            </w:r>
            <w:r>
              <w:rPr>
                <w:rFonts w:ascii="宋体" w:hAnsi="宋体"/>
                <w:b/>
                <w:color w:val="000000"/>
                <w:sz w:val="24"/>
                <w:szCs w:val="20"/>
                <w:highlight w:val="none"/>
              </w:rPr>
            </w:r>
            <w:r/>
          </w:p>
        </w:tc>
      </w:tr>
      <w:tr>
        <w:trPr>
          <w:trHeight w:val="506"/>
        </w:trPr>
        <w:tc>
          <w:tcPr>
            <w:tcW w:w="615"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1439"/>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公司名称</w:t>
            </w:r>
            <w:r>
              <w:rPr>
                <w:rFonts w:ascii="宋体" w:hAnsi="宋体"/>
                <w:color w:val="000000"/>
                <w:sz w:val="24"/>
                <w:szCs w:val="20"/>
                <w:highlight w:val="none"/>
              </w:rPr>
            </w:r>
            <w:r/>
          </w:p>
        </w:tc>
        <w:tc>
          <w:tcPr>
            <w:gridSpan w:val="8"/>
            <w:tcW w:w="6689"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55"/>
        </w:trPr>
        <w:tc>
          <w:tcPr>
            <w:tcW w:w="615"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tcW w:w="73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注册资金</w:t>
            </w:r>
            <w:r>
              <w:rPr>
                <w:rFonts w:ascii="宋体" w:hAnsi="宋体"/>
                <w:color w:val="000000"/>
                <w:sz w:val="24"/>
                <w:szCs w:val="20"/>
                <w:highlight w:val="none"/>
              </w:rPr>
            </w:r>
            <w:r/>
          </w:p>
        </w:tc>
        <w:tc>
          <w:tcPr>
            <w:tcW w:w="819"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gridSpan w:val="3"/>
            <w:tcW w:w="211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公司地址</w:t>
            </w:r>
            <w:r>
              <w:rPr>
                <w:rFonts w:ascii="宋体" w:hAnsi="宋体"/>
                <w:color w:val="000000"/>
                <w:sz w:val="24"/>
                <w:szCs w:val="20"/>
                <w:highlight w:val="none"/>
              </w:rPr>
            </w:r>
            <w:r/>
          </w:p>
        </w:tc>
        <w:tc>
          <w:tcPr>
            <w:gridSpan w:val="2"/>
            <w:tcW w:w="2293"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0"/>
        </w:trPr>
        <w:tc>
          <w:tcPr>
            <w:tcW w:w="615"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tcW w:w="73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从业人数</w:t>
            </w:r>
            <w:r>
              <w:rPr>
                <w:rFonts w:ascii="宋体" w:hAnsi="宋体"/>
                <w:color w:val="000000"/>
                <w:sz w:val="24"/>
                <w:szCs w:val="20"/>
                <w:highlight w:val="none"/>
              </w:rPr>
            </w:r>
            <w:r/>
          </w:p>
        </w:tc>
        <w:tc>
          <w:tcPr>
            <w:tcW w:w="819"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gridSpan w:val="3"/>
            <w:tcW w:w="211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法定代表人</w:t>
            </w:r>
            <w:r>
              <w:rPr>
                <w:rFonts w:ascii="宋体" w:hAnsi="宋体"/>
                <w:color w:val="000000"/>
                <w:sz w:val="24"/>
                <w:szCs w:val="20"/>
                <w:highlight w:val="none"/>
              </w:rPr>
            </w:r>
            <w:r/>
          </w:p>
        </w:tc>
        <w:tc>
          <w:tcPr>
            <w:gridSpan w:val="2"/>
            <w:tcW w:w="2293"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tcW w:w="73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开户银行</w:t>
            </w:r>
            <w:r>
              <w:rPr>
                <w:rFonts w:ascii="宋体" w:hAnsi="宋体"/>
                <w:color w:val="000000"/>
                <w:sz w:val="24"/>
                <w:szCs w:val="20"/>
                <w:highlight w:val="none"/>
              </w:rPr>
            </w:r>
            <w:r/>
          </w:p>
        </w:tc>
        <w:tc>
          <w:tcPr>
            <w:tcW w:w="819"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gridSpan w:val="3"/>
            <w:tcW w:w="211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账号</w:t>
            </w:r>
            <w:r>
              <w:rPr>
                <w:rFonts w:ascii="宋体" w:hAnsi="宋体"/>
                <w:color w:val="000000"/>
                <w:sz w:val="24"/>
                <w:szCs w:val="20"/>
                <w:highlight w:val="none"/>
              </w:rPr>
            </w:r>
            <w:r/>
          </w:p>
        </w:tc>
        <w:tc>
          <w:tcPr>
            <w:gridSpan w:val="2"/>
            <w:tcW w:w="2293"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tcW w:w="73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项目联系人</w:t>
            </w:r>
            <w:r>
              <w:rPr>
                <w:rFonts w:ascii="宋体" w:hAnsi="宋体"/>
                <w:color w:val="000000"/>
                <w:sz w:val="24"/>
                <w:szCs w:val="20"/>
                <w:highlight w:val="none"/>
              </w:rPr>
            </w:r>
            <w:r/>
          </w:p>
        </w:tc>
        <w:tc>
          <w:tcPr>
            <w:tcW w:w="819"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r>
            <w:r/>
          </w:p>
        </w:tc>
        <w:tc>
          <w:tcPr>
            <w:gridSpan w:val="3"/>
            <w:tcW w:w="211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联系电话</w:t>
            </w:r>
            <w:r>
              <w:rPr>
                <w:rFonts w:ascii="宋体" w:hAnsi="宋体"/>
                <w:color w:val="000000"/>
                <w:sz w:val="24"/>
                <w:szCs w:val="20"/>
                <w:highlight w:val="none"/>
              </w:rPr>
            </w:r>
            <w:r/>
          </w:p>
        </w:tc>
        <w:tc>
          <w:tcPr>
            <w:gridSpan w:val="2"/>
            <w:tcW w:w="2293"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shd w:val="clear" w:color="auto" w:fill="d9d9d9"/>
            <w:tcW w:w="615"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二</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公司财务状况</w:t>
            </w:r>
            <w:r>
              <w:rPr>
                <w:rFonts w:ascii="宋体" w:hAnsi="宋体"/>
                <w:b/>
                <w:color w:val="000000"/>
                <w:sz w:val="24"/>
                <w:szCs w:val="20"/>
                <w:highlight w:val="none"/>
              </w:rPr>
            </w:r>
            <w:r/>
          </w:p>
        </w:tc>
      </w:tr>
      <w:tr>
        <w:trPr>
          <w:trHeight w:val="467"/>
        </w:trPr>
        <w:tc>
          <w:tcPr>
            <w:tcW w:w="615"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tcW w:w="8041"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u w:val="single"/>
              </w:rPr>
              <w:t xml:space="preserve">××××</w:t>
            </w:r>
            <w:r>
              <w:rPr>
                <w:rFonts w:hint="eastAsia" w:ascii="宋体" w:hAnsi="宋体"/>
                <w:b/>
                <w:color w:val="000000"/>
                <w:sz w:val="24"/>
                <w:szCs w:val="20"/>
                <w:highlight w:val="none"/>
              </w:rPr>
              <w:t xml:space="preserve">年度财务状况</w:t>
            </w:r>
            <w:r>
              <w:rPr>
                <w:rFonts w:ascii="宋体" w:hAnsi="宋体"/>
                <w:b/>
                <w:color w:val="000000"/>
                <w:sz w:val="24"/>
                <w:szCs w:val="20"/>
                <w:highlight w:val="none"/>
              </w:rPr>
            </w:r>
            <w:r/>
          </w:p>
        </w:tc>
      </w:tr>
      <w:tr>
        <w:trPr>
          <w:trHeight w:val="682"/>
        </w:trPr>
        <w:tc>
          <w:tcPr>
            <w:tcW w:w="615"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营业收入（万元）：</w:t>
            </w:r>
            <w:r>
              <w:rPr>
                <w:rFonts w:ascii="宋体" w:hAnsi="宋体"/>
                <w:color w:val="000000"/>
                <w:sz w:val="24"/>
                <w:szCs w:val="20"/>
                <w:highlight w:val="none"/>
              </w:rPr>
            </w:r>
            <w:r/>
          </w:p>
        </w:tc>
        <w:tc>
          <w:tcPr>
            <w:tcW w:w="819"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gridSpan w:val="3"/>
            <w:tcW w:w="211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利润总额（万元）</w:t>
            </w:r>
            <w:r>
              <w:rPr>
                <w:rFonts w:ascii="宋体" w:hAnsi="宋体"/>
                <w:color w:val="000000"/>
                <w:sz w:val="24"/>
                <w:szCs w:val="20"/>
                <w:highlight w:val="none"/>
              </w:rPr>
            </w:r>
            <w:r/>
          </w:p>
        </w:tc>
        <w:tc>
          <w:tcPr>
            <w:gridSpan w:val="2"/>
            <w:tcW w:w="2293"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3"/>
        </w:trPr>
        <w:tc>
          <w:tcPr>
            <w:tcW w:w="615"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tcW w:w="73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年末“固定资产合计”（万元）</w:t>
            </w:r>
            <w:r>
              <w:rPr>
                <w:rFonts w:ascii="宋体" w:hAnsi="宋体"/>
                <w:color w:val="000000"/>
                <w:sz w:val="24"/>
                <w:szCs w:val="20"/>
                <w:highlight w:val="none"/>
              </w:rPr>
            </w:r>
            <w:r/>
          </w:p>
        </w:tc>
        <w:tc>
          <w:tcPr>
            <w:tcW w:w="819"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gridSpan w:val="3"/>
            <w:tcW w:w="211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年末“流动资产”余额（万元）</w:t>
            </w:r>
            <w:r>
              <w:rPr>
                <w:rFonts w:ascii="宋体" w:hAnsi="宋体"/>
                <w:color w:val="000000"/>
                <w:sz w:val="24"/>
                <w:szCs w:val="20"/>
                <w:highlight w:val="none"/>
              </w:rPr>
            </w:r>
            <w:r/>
          </w:p>
        </w:tc>
        <w:tc>
          <w:tcPr>
            <w:gridSpan w:val="2"/>
            <w:tcW w:w="2293"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72"/>
        </w:trPr>
        <w:tc>
          <w:tcPr>
            <w:tcW w:w="615"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tcW w:w="73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年末“短期负债”余额（万元）</w:t>
            </w:r>
            <w:r>
              <w:rPr>
                <w:rFonts w:ascii="宋体" w:hAnsi="宋体"/>
                <w:color w:val="000000"/>
                <w:sz w:val="24"/>
                <w:szCs w:val="20"/>
                <w:highlight w:val="none"/>
              </w:rPr>
            </w:r>
            <w:r/>
          </w:p>
        </w:tc>
        <w:tc>
          <w:tcPr>
            <w:tcW w:w="819"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gridSpan w:val="3"/>
            <w:tcW w:w="211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年末“长期负债”余额（万元）</w:t>
            </w:r>
            <w:r>
              <w:rPr>
                <w:rFonts w:ascii="宋体" w:hAnsi="宋体"/>
                <w:color w:val="000000"/>
                <w:sz w:val="24"/>
                <w:szCs w:val="20"/>
                <w:highlight w:val="none"/>
              </w:rPr>
            </w:r>
            <w:r/>
          </w:p>
        </w:tc>
        <w:tc>
          <w:tcPr>
            <w:gridSpan w:val="2"/>
            <w:tcW w:w="2293"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8"/>
        </w:trPr>
        <w:tc>
          <w:tcPr>
            <w:tcW w:w="615"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tcW w:w="73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年末“资产总计”余额（万元）</w:t>
            </w:r>
            <w:r>
              <w:rPr>
                <w:rFonts w:ascii="宋体" w:hAnsi="宋体"/>
                <w:color w:val="000000"/>
                <w:sz w:val="24"/>
                <w:szCs w:val="20"/>
                <w:highlight w:val="none"/>
              </w:rPr>
            </w:r>
            <w:r/>
          </w:p>
        </w:tc>
        <w:tc>
          <w:tcPr>
            <w:tcW w:w="819"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gridSpan w:val="3"/>
            <w:tcW w:w="211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年末“货币资金”余额（万元）</w:t>
            </w:r>
            <w:r>
              <w:rPr>
                <w:rFonts w:ascii="宋体" w:hAnsi="宋体"/>
                <w:color w:val="000000"/>
                <w:sz w:val="24"/>
                <w:szCs w:val="20"/>
                <w:highlight w:val="none"/>
              </w:rPr>
            </w:r>
            <w:r/>
          </w:p>
        </w:tc>
        <w:tc>
          <w:tcPr>
            <w:gridSpan w:val="2"/>
            <w:tcW w:w="2293"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47"/>
        </w:trPr>
        <w:tc>
          <w:tcPr>
            <w:shd w:val="clear" w:color="auto" w:fill="d9d9d9"/>
            <w:tcW w:w="615"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三</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投标人其他信息</w:t>
            </w:r>
            <w:r>
              <w:rPr>
                <w:rFonts w:ascii="宋体" w:hAnsi="宋体"/>
                <w:b/>
                <w:color w:val="000000"/>
                <w:sz w:val="24"/>
                <w:szCs w:val="20"/>
                <w:highlight w:val="none"/>
              </w:rPr>
            </w:r>
            <w:r/>
          </w:p>
        </w:tc>
      </w:tr>
      <w:tr>
        <w:trPr>
          <w:trHeight w:val="1015"/>
        </w:trPr>
        <w:tc>
          <w:tcPr>
            <w:tcW w:w="615"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（一）</w:t>
            </w:r>
            <w:r>
              <w:rPr>
                <w:rFonts w:ascii="宋体" w:hAnsi="宋体"/>
                <w:color w:val="000000"/>
                <w:sz w:val="24"/>
                <w:szCs w:val="20"/>
                <w:highlight w:val="none"/>
              </w:rPr>
            </w:r>
            <w:r/>
          </w:p>
        </w:tc>
        <w:tc>
          <w:tcPr>
            <w:tcW w:w="73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公司取得的相关资质及等级：</w:t>
            </w:r>
            <w:r>
              <w:rPr>
                <w:rFonts w:ascii="宋体" w:hAnsi="宋体"/>
                <w:color w:val="000000"/>
                <w:sz w:val="24"/>
                <w:szCs w:val="20"/>
                <w:highlight w:val="none"/>
              </w:rPr>
            </w:r>
            <w:r/>
          </w:p>
        </w:tc>
        <w:tc>
          <w:tcPr>
            <w:gridSpan w:val="8"/>
            <w:tcW w:w="6689"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1086"/>
        </w:trPr>
        <w:tc>
          <w:tcPr>
            <w:tcW w:w="615"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（二）</w:t>
            </w:r>
            <w:r>
              <w:rPr>
                <w:rFonts w:ascii="宋体" w:hAnsi="宋体"/>
                <w:color w:val="000000"/>
                <w:sz w:val="24"/>
                <w:szCs w:val="20"/>
                <w:highlight w:val="none"/>
              </w:rPr>
            </w:r>
            <w:r/>
          </w:p>
        </w:tc>
        <w:tc>
          <w:tcPr>
            <w:tcW w:w="737" w:type="dxa"/>
            <w:vAlign w:val="center"/>
            <w:textDirection w:val="lrTb"/>
            <w:noWrap w:val="false"/>
          </w:tcPr>
          <w:p>
            <w:pPr>
              <w:pStyle w:val="143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w:t>
            </w:r>
            <w:r>
              <w:rPr>
                <w:rFonts w:hint="eastAsia" w:ascii="宋体" w:hAnsi="宋体"/>
                <w:b/>
                <w:color w:val="000000"/>
                <w:sz w:val="24"/>
                <w:szCs w:val="20"/>
                <w:highlight w:val="none"/>
                <w:u w:val="single"/>
              </w:rPr>
              <w:t xml:space="preserve">××××</w:t>
            </w:r>
            <w:r>
              <w:rPr>
                <w:rFonts w:hint="eastAsia" w:ascii="宋体" w:hAnsi="宋体"/>
                <w:color w:val="000000"/>
                <w:sz w:val="24"/>
                <w:szCs w:val="20"/>
                <w:highlight w:val="none"/>
              </w:rPr>
              <w:t xml:space="preserve">年度后获得的荣誉及表彰情况</w:t>
            </w:r>
            <w:r>
              <w:rPr>
                <w:rFonts w:ascii="宋体" w:hAnsi="宋体"/>
                <w:color w:val="000000"/>
                <w:sz w:val="24"/>
                <w:szCs w:val="20"/>
                <w:highlight w:val="none"/>
              </w:rPr>
            </w:r>
            <w:r/>
          </w:p>
        </w:tc>
        <w:tc>
          <w:tcPr>
            <w:gridSpan w:val="8"/>
            <w:tcW w:w="6689" w:type="dxa"/>
            <w:vAlign w:val="center"/>
            <w:textDirection w:val="lrTb"/>
            <w:noWrap w:val="false"/>
          </w:tcPr>
          <w:p>
            <w:pPr>
              <w:pStyle w:val="143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57"/>
        </w:trPr>
        <w:tc>
          <w:tcPr>
            <w:shd w:val="clear" w:color="auto" w:fill="bfbfbf"/>
            <w:tcW w:w="615"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四</w:t>
            </w:r>
            <w:r>
              <w:rPr>
                <w:rFonts w:ascii="宋体" w:hAnsi="宋体"/>
                <w:b/>
                <w:color w:val="000000"/>
                <w:sz w:val="24"/>
                <w:szCs w:val="20"/>
                <w:highlight w:val="none"/>
              </w:rPr>
            </w:r>
            <w:r/>
          </w:p>
        </w:tc>
        <w:tc>
          <w:tcPr>
            <w:gridSpan w:val="9"/>
            <w:shd w:val="clear" w:color="auto" w:fill="bfbfbf"/>
            <w:tcW w:w="8041"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提供本项目服务所必须的专业设备一览表 </w:t>
            </w:r>
            <w:r>
              <w:rPr>
                <w:rFonts w:ascii="宋体" w:hAnsi="宋体"/>
                <w:b/>
                <w:color w:val="000000"/>
                <w:sz w:val="24"/>
                <w:szCs w:val="20"/>
                <w:highlight w:val="none"/>
              </w:rPr>
            </w:r>
            <w:r/>
          </w:p>
        </w:tc>
      </w:tr>
      <w:tr>
        <w:trPr>
          <w:trHeight w:val="459"/>
        </w:trPr>
        <w:tc>
          <w:tcPr>
            <w:shd w:val="clear" w:color="auto" w:fill="ffffff"/>
            <w:tcW w:w="615"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序号</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品牌、型号及主要参数配置简述</w:t>
            </w: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购置年份</w:t>
            </w: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价格</w:t>
            </w: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数量</w:t>
            </w: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用途</w:t>
            </w:r>
            <w:r>
              <w:rPr>
                <w:rFonts w:ascii="宋体" w:hAnsi="宋体"/>
                <w:b/>
                <w:color w:val="000000"/>
                <w:sz w:val="24"/>
                <w:szCs w:val="20"/>
                <w:highlight w:val="none"/>
              </w:rPr>
            </w:r>
            <w:r/>
          </w:p>
        </w:tc>
      </w:tr>
      <w:tr>
        <w:trPr>
          <w:trHeight w:val="483"/>
        </w:trPr>
        <w:tc>
          <w:tcPr>
            <w:shd w:val="clear" w:color="auto" w:fill="ffffff"/>
            <w:tcW w:w="615"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46"/>
        </w:trPr>
        <w:tc>
          <w:tcPr>
            <w:shd w:val="clear" w:color="auto" w:fill="ffffff"/>
            <w:tcW w:w="615"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2</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60"/>
        </w:trPr>
        <w:tc>
          <w:tcPr>
            <w:shd w:val="clear" w:color="auto" w:fill="ffffff"/>
            <w:tcW w:w="615"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3</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53"/>
        </w:trPr>
        <w:tc>
          <w:tcPr>
            <w:shd w:val="clear" w:color="auto" w:fill="ffffff"/>
            <w:tcW w:w="615"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t xml:space="preserve">…</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75"/>
        </w:trPr>
        <w:tc>
          <w:tcPr>
            <w:shd w:val="clear" w:color="auto" w:fill="bfbfbf"/>
            <w:tcW w:w="615"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五</w:t>
            </w:r>
            <w:r>
              <w:rPr>
                <w:rFonts w:ascii="宋体" w:hAnsi="宋体"/>
                <w:b/>
                <w:color w:val="000000"/>
                <w:sz w:val="24"/>
                <w:szCs w:val="20"/>
                <w:highlight w:val="none"/>
              </w:rPr>
            </w:r>
            <w:r/>
          </w:p>
        </w:tc>
        <w:tc>
          <w:tcPr>
            <w:gridSpan w:val="9"/>
            <w:shd w:val="clear" w:color="auto" w:fill="bfbfbf"/>
            <w:tcW w:w="8041"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提供本项目服务所必须的专业技术能力</w:t>
            </w:r>
            <w:r>
              <w:rPr>
                <w:rFonts w:ascii="宋体" w:hAnsi="宋体"/>
                <w:b/>
                <w:color w:val="000000"/>
                <w:sz w:val="24"/>
                <w:szCs w:val="20"/>
                <w:highlight w:val="none"/>
              </w:rPr>
            </w:r>
            <w:r/>
          </w:p>
        </w:tc>
      </w:tr>
      <w:tr>
        <w:trPr>
          <w:trHeight w:val="1630"/>
        </w:trPr>
        <w:tc>
          <w:tcPr>
            <w:gridSpan w:val="10"/>
            <w:shd w:val="clear" w:color="auto" w:fill="ffffff"/>
            <w:tcW w:w="9169" w:type="dxa"/>
            <w:vAlign w:val="center"/>
            <w:textDirection w:val="lrTb"/>
            <w:noWrap w:val="false"/>
          </w:tcPr>
          <w:p>
            <w:pPr>
              <w:pStyle w:val="143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bl>
    <w:p>
      <w:pPr>
        <w:pStyle w:val="1439"/>
        <w:jc w:val="left"/>
        <w:spacing w:line="440" w:lineRule="exact"/>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1439"/>
        <w:spacing w:line="440" w:lineRule="exact"/>
        <w:rPr>
          <w:rFonts w:ascii="宋体" w:hAnsi="宋体"/>
          <w:color w:val="000000"/>
          <w:sz w:val="24"/>
          <w:highlight w:val="none"/>
          <w:u w:val="single"/>
        </w:rPr>
      </w:pPr>
      <w:r>
        <w:rPr>
          <w:rFonts w:hint="eastAsia" w:ascii="宋体" w:hAnsi="宋体"/>
          <w:color w:val="000000"/>
          <w:sz w:val="24"/>
          <w:highlight w:val="none"/>
        </w:rPr>
        <w:t xml:space="preserve">注：1、</w:t>
      </w:r>
      <w:r>
        <w:rPr>
          <w:rFonts w:hint="eastAsia" w:ascii="宋体" w:hAnsi="宋体"/>
          <w:color w:val="000000"/>
          <w:sz w:val="24"/>
          <w:highlight w:val="none"/>
          <w:u w:val="single"/>
        </w:rPr>
        <w:t xml:space="preserve">如行数不够请自行添加。</w:t>
      </w:r>
      <w:r>
        <w:rPr>
          <w:rFonts w:ascii="宋体" w:hAnsi="宋体"/>
          <w:color w:val="000000"/>
          <w:sz w:val="24"/>
          <w:highlight w:val="none"/>
          <w:u w:val="single"/>
        </w:rPr>
      </w:r>
      <w:r/>
    </w:p>
    <w:p>
      <w:pPr>
        <w:pStyle w:val="1316"/>
        <w:jc w:val="center"/>
        <w:spacing w:line="440" w:lineRule="exact"/>
        <w:rPr>
          <w:rFonts w:hint="eastAsia" w:ascii="宋体" w:hAnsi="宋体" w:cs="仿宋"/>
          <w:b/>
          <w:bCs/>
          <w:color w:val="000000"/>
          <w:sz w:val="32"/>
          <w:szCs w:val="32"/>
          <w:highlight w:val="none"/>
        </w:rPr>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sectPr>
      </w:pPr>
      <w:r>
        <w:rPr>
          <w:rFonts w:hint="eastAsia" w:ascii="宋体" w:hAnsi="宋体" w:cs="仿宋"/>
          <w:b/>
          <w:bCs/>
          <w:color w:val="000000"/>
          <w:sz w:val="32"/>
          <w:szCs w:val="32"/>
          <w:highlight w:val="none"/>
        </w:rPr>
      </w:r>
      <w:r/>
    </w:p>
    <w:p>
      <w:pPr>
        <w:pStyle w:val="1316"/>
        <w:jc w:val="center"/>
        <w:spacing w:line="44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316"/>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一、质疑投标人基本信息</w:t>
      </w:r>
      <w:r>
        <w:rPr>
          <w:rFonts w:ascii="宋体" w:hAnsi="宋体" w:cs="仿宋"/>
          <w:bCs/>
          <w:color w:val="000000"/>
          <w:sz w:val="24"/>
          <w:szCs w:val="24"/>
          <w:highlight w:val="none"/>
        </w:rPr>
      </w:r>
      <w:r/>
    </w:p>
    <w:p>
      <w:pPr>
        <w:pStyle w:val="1316"/>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质疑投标人：</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316"/>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316"/>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316"/>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316"/>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316"/>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316"/>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316"/>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316"/>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316"/>
        <w:spacing w:line="440" w:lineRule="exact"/>
        <w:rPr>
          <w:rFonts w:ascii="宋体" w:hAnsi="宋体" w:cs="仿宋"/>
          <w:color w:val="000000"/>
          <w:sz w:val="24"/>
          <w:szCs w:val="24"/>
          <w:highlight w:val="none"/>
          <w:u w:val="single"/>
        </w:rPr>
      </w:pPr>
      <w:r>
        <w:rPr>
          <w:rFonts w:hint="eastAsia" w:ascii="宋体" w:hAnsi="宋体"/>
          <w:color w:val="000000"/>
          <w:sz w:val="24"/>
          <w:highlight w:val="none"/>
        </w:rPr>
        <w:t xml:space="preserve">招标</w:t>
      </w:r>
      <w:r>
        <w:rPr>
          <w:rFonts w:hint="eastAsia" w:ascii="宋体" w:hAnsi="宋体" w:cs="仿宋"/>
          <w:color w:val="000000"/>
          <w:sz w:val="24"/>
          <w:szCs w:val="24"/>
          <w:highlight w:val="none"/>
        </w:rPr>
        <w:t xml:space="preserve">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316"/>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316"/>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316"/>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316"/>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316"/>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316"/>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316"/>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316"/>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316"/>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316"/>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316"/>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316"/>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1316"/>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316"/>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316"/>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1.投标人提出质疑时，应提交质疑函和必要的证明材料。</w:t>
      </w:r>
      <w:r>
        <w:rPr>
          <w:rFonts w:ascii="宋体" w:hAnsi="宋体"/>
          <w:color w:val="000000"/>
          <w:sz w:val="24"/>
          <w:szCs w:val="24"/>
          <w:highlight w:val="none"/>
        </w:rPr>
      </w:r>
      <w:r/>
    </w:p>
    <w:p>
      <w:pPr>
        <w:pStyle w:val="1316"/>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2.质疑投标人若委托代理人进行质疑的，质疑函应按要求列明“授权代表”的有关内容，并在附件中提交由质疑</w:t>
      </w:r>
      <w:r>
        <w:rPr>
          <w:rFonts w:hint="eastAsia" w:ascii="宋体" w:hAnsi="宋体" w:cs="宋体"/>
          <w:color w:val="000000"/>
          <w:sz w:val="24"/>
          <w:szCs w:val="24"/>
          <w:highlight w:val="none"/>
        </w:rPr>
        <w:t xml:space="preserve">投标人签署的授权委托书。授权委托书应载明代理人的姓名或者名称、代理事项、具体权限、期限和相关事项。</w:t>
      </w:r>
      <w:r>
        <w:rPr>
          <w:rFonts w:ascii="宋体" w:hAnsi="宋体"/>
          <w:color w:val="000000"/>
          <w:sz w:val="24"/>
          <w:szCs w:val="24"/>
          <w:highlight w:val="none"/>
        </w:rPr>
      </w:r>
      <w:r/>
    </w:p>
    <w:p>
      <w:pPr>
        <w:pStyle w:val="1316"/>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3.质疑投标人若对项目的某一分包进行质疑，质疑函中应列明具体分包号。</w:t>
      </w:r>
      <w:r>
        <w:rPr>
          <w:rFonts w:ascii="宋体" w:hAnsi="宋体"/>
          <w:color w:val="000000"/>
          <w:sz w:val="24"/>
          <w:szCs w:val="24"/>
          <w:highlight w:val="none"/>
        </w:rPr>
      </w:r>
      <w:r/>
    </w:p>
    <w:p>
      <w:pPr>
        <w:pStyle w:val="1316"/>
        <w:ind w:firstLine="480"/>
        <w:jc w:val="left"/>
        <w:spacing w:line="440" w:lineRule="exact"/>
        <w:widowControl/>
        <w:rPr>
          <w:rFonts w:hint="eastAsia" w:ascii="宋体" w:hAnsi="宋体"/>
          <w:color w:val="000000"/>
          <w:sz w:val="24"/>
          <w:szCs w:val="24"/>
          <w:highlight w:val="none"/>
        </w:rPr>
        <w:sectPr>
          <w:footerReference w:type="default" r:id="rId17"/>
          <w:footnotePr/>
          <w:endnotePr/>
          <w:type w:val="nextPage"/>
          <w:pgSz w:w="11906" w:h="16838" w:orient="portrait"/>
          <w:pgMar w:top="1418" w:right="1588" w:bottom="1418" w:left="1365" w:header="851" w:footer="907" w:gutter="0"/>
          <w:cols w:num="1" w:sep="0" w:space="1701" w:equalWidth="1"/>
          <w:docGrid w:linePitch="360"/>
        </w:sectPr>
      </w:pPr>
      <w:r>
        <w:rPr>
          <w:rFonts w:hint="eastAsia" w:ascii="宋体" w:hAnsi="宋体"/>
          <w:color w:val="000000"/>
          <w:sz w:val="24"/>
          <w:szCs w:val="24"/>
          <w:highlight w:val="none"/>
        </w:rPr>
      </w:r>
      <w:r/>
    </w:p>
    <w:p>
      <w:pPr>
        <w:pStyle w:val="1316"/>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1316"/>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1316"/>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rFonts w:ascii="宋体" w:hAnsi="宋体"/>
          <w:color w:val="000000"/>
          <w:sz w:val="24"/>
          <w:szCs w:val="24"/>
          <w:highlight w:val="none"/>
        </w:rPr>
      </w:r>
      <w:r/>
    </w:p>
    <w:p>
      <w:pPr>
        <w:pStyle w:val="1336"/>
        <w:spacing w:line="440" w:lineRule="exact"/>
        <w:rPr>
          <w:rFonts w:hint="eastAsia"/>
          <w:color w:val="000000"/>
          <w:sz w:val="24"/>
          <w:szCs w:val="24"/>
          <w:highlight w:val="none"/>
        </w:rPr>
      </w:pPr>
      <w:r>
        <w:rPr>
          <w:rFonts w:hint="eastAsia"/>
          <w:color w:val="000000"/>
          <w:sz w:val="24"/>
          <w:szCs w:val="24"/>
          <w:highlight w:val="none"/>
        </w:rPr>
      </w:r>
      <w:r/>
    </w:p>
    <w:p>
      <w:pPr>
        <w:pStyle w:val="1336"/>
        <w:spacing w:line="440" w:lineRule="exact"/>
        <w:rPr>
          <w:color w:val="000000"/>
          <w:sz w:val="24"/>
          <w:szCs w:val="24"/>
          <w:highlight w:val="none"/>
        </w:rPr>
      </w:pPr>
      <w:r>
        <w:rPr>
          <w:color w:val="000000"/>
          <w:sz w:val="24"/>
          <w:szCs w:val="24"/>
          <w:highlight w:val="none"/>
        </w:rPr>
      </w:r>
      <w:r/>
    </w:p>
    <w:sectPr>
      <w:footerReference w:type="defaul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w:panose1 w:val="02040503050406030204"/>
  </w:font>
  <w:font w:name="华文新魏">
    <w:panose1 w:val="02010800040101010101"/>
  </w:font>
  <w:font w:name="SimSun">
    <w:panose1 w:val="02010600030101010101"/>
  </w:font>
  <w:font w:name="confusion">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2"/>
      <w:ind w:firstLine="0"/>
      <w:spacing w:line="0" w:lineRule="atLeast"/>
      <w:widowControl w:val="off"/>
      <w:tabs>
        <w:tab w:val="left" w:pos="4138" w:leader="none"/>
        <w:tab w:val="left" w:pos="800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316"/>
                          </w:pPr>
                          <w:r/>
                          <w:r/>
                        </w:p>
                      </w:txbxContent>
                    </wps:txbx>
                    <wps:bodyPr wrap="none" lIns="0" tIns="0" rIns="0" bIns="0" upright="1">
                      <a:spAutoFit/>
                    </wps:bodyPr>
                  </wps:wsp>
                </a:graphicData>
              </a:graphic>
            </wp:anchor>
          </w:drawing>
        </mc:Choice>
        <mc:Fallback>
          <w:pict>
            <v:shape id="shape 4" o:spid="_x0000_s4"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31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59450" cy="132715"/>
                      </a:xfrm>
                      <a:prstGeom prst="rect">
                        <a:avLst/>
                      </a:prstGeom>
                      <a:noFill/>
                      <a:ln>
                        <a:noFill/>
                      </a:ln>
                    </wps:spPr>
                    <wps:bodyPr rot="0">
                      <a:prstTxWarp prst="textNoShape">
                        <a:avLst/>
                      </a:prstTxWarp>
                      <a:noAutofit/>
                    </wps:bodyPr>
                  </wps:wsp>
                </a:graphicData>
              </a:graphic>
            </wp:anchor>
          </w:drawing>
        </mc:Choice>
        <mc:Fallback>
          <w:pict>
            <v:shape id="shape 5" o:spid="_x0000_s5" o:spt="202" type="#_x0000_t202" style="position:absolute;z-index:-250609660;o:allowoverlap:true;o:allowincell:fals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16"/>
                          </w:pPr>
                          <w:r/>
                          <w:r/>
                        </w:p>
                      </w:txbxContent>
                    </wps:txbx>
                    <wps:bodyPr wrap="none" lIns="0" tIns="0" rIns="0" bIns="0" upright="1">
                      <a:spAutoFit/>
                    </wps:bodyPr>
                  </wps:wsp>
                </a:graphicData>
              </a:graphic>
            </wp:anchor>
          </w:drawing>
        </mc:Choice>
        <mc:Fallback>
          <w:pict>
            <v:shape id="shape 6" o:spid="_x0000_s6"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1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4"/>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84</w:t>
                          </w:r>
                          <w:r>
                            <w:fldChar w:fldCharType="end"/>
                          </w:r>
                          <w:r/>
                        </w:p>
                        <w:p>
                          <w:pPr>
                            <w:pStyle w:val="1316"/>
                          </w:pPr>
                          <w:r/>
                          <w:r/>
                        </w:p>
                      </w:txbxContent>
                    </wps:txbx>
                    <wps:bodyPr wrap="none" lIns="0" tIns="0" rIns="0" bIns="0" upright="1">
                      <a:spAutoFit/>
                    </wps:bodyPr>
                  </wps:wsp>
                </a:graphicData>
              </a:graphic>
            </wp:anchor>
          </w:drawing>
        </mc:Choice>
        <mc:Fallback>
          <w:pict>
            <v:shape id="shape 7" o:spid="_x0000_s7"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84</w:t>
                    </w:r>
                    <w:r>
                      <w:fldChar w:fldCharType="end"/>
                    </w:r>
                    <w:r/>
                  </w:p>
                  <w:p>
                    <w:pPr>
                      <w:pStyle w:val="1316"/>
                    </w:pPr>
                    <w:r/>
                    <w:r/>
                  </w:p>
                </w:txbxContent>
              </v:textbox>
            </v:shape>
          </w:pict>
        </mc:Fallback>
      </mc:AlternateConten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316"/>
                          </w:pPr>
                          <w:r/>
                          <w:r/>
                        </w:p>
                      </w:txbxContent>
                    </wps:txbx>
                    <wps:bodyPr wrap="none" lIns="0" tIns="0" rIns="0" bIns="0" upright="1">
                      <a:spAutoFit/>
                    </wps:bodyPr>
                  </wps:wsp>
                </a:graphicData>
              </a:graphic>
            </wp:anchor>
          </w:drawing>
        </mc:Choice>
        <mc:Fallback>
          <w:pict>
            <v:shape id="shape 8" o:spid="_x0000_s8"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31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pPr>
                          <w:r/>
                          <w:r/>
                        </w:p>
                        <w:p>
                          <w:pPr>
                            <w:pStyle w:val="1316"/>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pPr>
                    <w:r/>
                    <w:r/>
                  </w:p>
                  <w:p>
                    <w:pPr>
                      <w:pStyle w:val="131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4"/>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316"/>
                          </w:pPr>
                          <w:r/>
                          <w:r/>
                        </w:p>
                      </w:txbxContent>
                    </wps:txbx>
                    <wps:bodyPr wrap="none" lIns="0" tIns="0" rIns="0" bIns="0" upright="1">
                      <a:spAutoFit/>
                    </wps:bodyPr>
                  </wps:wsp>
                </a:graphicData>
              </a:graphic>
            </wp:anchor>
          </w:drawing>
        </mc:Choice>
        <mc:Fallback>
          <w:pict>
            <v:shape id="shape 10" o:spid="_x0000_s10"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316"/>
                    </w:pPr>
                    <w:r/>
                    <w:r/>
                  </w:p>
                </w:txbxContent>
              </v:textbox>
            </v:shape>
          </w:pict>
        </mc:Fallback>
      </mc:AlternateContent>
    </w: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316"/>
                          </w:pPr>
                          <w:r/>
                          <w:r/>
                        </w:p>
                      </w:txbxContent>
                    </wps:txbx>
                    <wps:bodyPr wrap="none" lIns="0" tIns="0" rIns="0" bIns="0" upright="1">
                      <a:spAutoFit/>
                    </wps:bodyPr>
                  </wps:wsp>
                </a:graphicData>
              </a:graphic>
            </wp:anchor>
          </w:drawing>
        </mc:Choice>
        <mc:Fallback>
          <w:pict>
            <v:shape id="shape 11" o:spid="_x0000_s1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316"/>
                    </w:pPr>
                    <w:r/>
                    <w:r/>
                  </w:p>
                </w:txbxContent>
              </v:textbox>
            </v:shape>
          </w:pict>
        </mc:Fallback>
      </mc:AlternateContent>
    </w:r>
    <w:r>
      <w:rPr>
        <w:rFonts w:hint="eastAsia"/>
      </w:rPr>
      <w:t xml:space="preserve">97</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4"/>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105</w:t>
                          </w:r>
                          <w:r>
                            <w:fldChar w:fldCharType="end"/>
                          </w:r>
                          <w:r/>
                        </w:p>
                        <w:p>
                          <w:pPr>
                            <w:pStyle w:val="1316"/>
                          </w:pPr>
                          <w:r/>
                          <w:r/>
                        </w:p>
                      </w:txbxContent>
                    </wps:txbx>
                    <wps:bodyPr wrap="none" lIns="0" tIns="0" rIns="0" bIns="0" upright="1">
                      <a:spAutoFit/>
                    </wps:bodyPr>
                  </wps:wsp>
                </a:graphicData>
              </a:graphic>
            </wp:anchor>
          </w:drawing>
        </mc:Choice>
        <mc:Fallback>
          <w:pict>
            <v:shape id="shape 12" o:spid="_x0000_s12"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105</w:t>
                    </w:r>
                    <w:r>
                      <w:fldChar w:fldCharType="end"/>
                    </w:r>
                    <w:r/>
                  </w:p>
                  <w:p>
                    <w:pPr>
                      <w:pStyle w:val="1316"/>
                    </w:pPr>
                    <w:r/>
                    <w:r/>
                  </w:p>
                </w:txbxContent>
              </v:textbox>
            </v:shape>
          </w:pict>
        </mc:Fallback>
      </mc:AlternateContent>
    </w:r>
    <w:r>
      <w:rPr>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4"/>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1316"/>
                          </w:pPr>
                          <w:r/>
                          <w:r/>
                        </w:p>
                      </w:txbxContent>
                    </wps:txbx>
                    <wps:bodyPr wrap="none" lIns="0" tIns="0" rIns="0" bIns="0" upright="1">
                      <a:spAutoFit/>
                    </wps:bodyPr>
                  </wps:wsp>
                </a:graphicData>
              </a:graphic>
            </wp:anchor>
          </w:drawing>
        </mc:Choice>
        <mc:Fallback>
          <w:pict>
            <v:shape id="shape 13" o:spid="_x0000_s13"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4"/>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1316"/>
                    </w:pPr>
                    <w:r/>
                    <w:r/>
                  </w:p>
                </w:txbxContent>
              </v:textbox>
            </v:shape>
          </w:pict>
        </mc:Fallback>
      </mc:AlternateConten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spacing w:line="240" w:lineRule="auto"/>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page">
                <wp:posOffset>899795</wp:posOffset>
              </wp:positionH>
              <wp:positionV relativeFrom="page">
                <wp:posOffset>539750</wp:posOffset>
              </wp:positionV>
              <wp:extent cx="5759450" cy="1473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59450" cy="147320"/>
                      </a:xfrm>
                      <a:prstGeom prst="rect">
                        <a:avLst/>
                      </a:prstGeom>
                      <a:noFill/>
                      <a:ln>
                        <a:noFill/>
                      </a:ln>
                    </wps:spPr>
                    <wps:bodyPr rot="0">
                      <a:prstTxWarp prst="textNoShape">
                        <a:avLst/>
                      </a:prstTxWarp>
                      <a:noAutofit/>
                    </wps:bodyPr>
                  </wps:wsp>
                </a:graphicData>
              </a:graphic>
            </wp:anchor>
          </w:drawing>
        </mc:Choice>
        <mc:Fallback>
          <w:pict>
            <v:shape id="shape 0" o:spid="_x0000_s0" o:spt="202" type="#_x0000_t202" style="position:absolute;z-index:-524288;o:allowoverlap:true;o:allowincell:false;mso-position-horizontal-relative:page;margin-left:70.8pt;mso-position-horizontal:absolute;mso-position-vertical-relative:page;margin-top:42.5pt;mso-position-vertical:absolute;width:453.5pt;height:11.6pt;mso-wrap-distance-left:9.0pt;mso-wrap-distance-top:0.0pt;mso-wrap-distance-right:9.0pt;mso-wrap-distance-bottom:0.0pt;visibility:visible;" filled="f" stroked="f"/>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page">
                <wp:posOffset>899795</wp:posOffset>
              </wp:positionH>
              <wp:positionV relativeFrom="page">
                <wp:posOffset>539750</wp:posOffset>
              </wp:positionV>
              <wp:extent cx="5756275" cy="1473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56275" cy="147320"/>
                      </a:xfrm>
                      <a:prstGeom prst="rect">
                        <a:avLst/>
                      </a:prstGeom>
                      <a:noFill/>
                      <a:ln>
                        <a:noFill/>
                      </a:ln>
                    </wps:spPr>
                    <wps:txbx>
                      <w:txbxContent>
                        <w:p>
                          <w:pPr>
                            <w:pStyle w:val="1399"/>
                            <w:spacing w:line="844" w:lineRule="atLeast"/>
                            <w:widowControl w:val="off"/>
                          </w:pPr>
                          <w:r/>
                          <w:r/>
                        </w:p>
                        <w:p>
                          <w:pPr>
                            <w:pStyle w:val="1399"/>
                          </w:pPr>
                          <w:r/>
                          <w:r/>
                        </w:p>
                        <w:p>
                          <w:pPr>
                            <w:pStyle w:val="1316"/>
                          </w:pPr>
                          <w:r/>
                          <w:r/>
                        </w:p>
                      </w:txbxContent>
                    </wps:txbx>
                    <wps:bodyPr wrap="square" lIns="35999" tIns="0" rIns="35999" bIns="17999" upright="1"/>
                  </wps:wsp>
                </a:graphicData>
              </a:graphic>
            </wp:anchor>
          </w:drawing>
        </mc:Choice>
        <mc:Fallback>
          <w:pict>
            <v:shape id="shape 1" o:spid="_x0000_s1" o:spt="202" type="#_x0000_t202" style="position:absolute;z-index:-250609663;o:allowoverlap:true;o:allowincell:false;mso-position-horizontal-relative:page;margin-left:70.8pt;mso-position-horizontal:absolute;mso-position-vertical-relative:page;margin-top:42.5pt;mso-position-vertical:absolute;width:453.2pt;height:11.6pt;mso-wrap-distance-left:9.0pt;mso-wrap-distance-top:0.0pt;mso-wrap-distance-right:9.0pt;mso-wrap-distance-bottom:0.0pt;visibility:visible;" filled="f" stroked="f">
              <v:textbox inset="0,0,0,0">
                <w:txbxContent>
                  <w:p>
                    <w:pPr>
                      <w:pStyle w:val="1399"/>
                      <w:spacing w:line="844" w:lineRule="atLeast"/>
                      <w:widowControl w:val="off"/>
                    </w:pPr>
                    <w:r/>
                    <w:r/>
                  </w:p>
                  <w:p>
                    <w:pPr>
                      <w:pStyle w:val="1399"/>
                    </w:pPr>
                    <w:r/>
                    <w:r/>
                  </w:p>
                  <w:p>
                    <w:pPr>
                      <w:pStyle w:val="131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page">
                <wp:posOffset>899795</wp:posOffset>
              </wp:positionH>
              <wp:positionV relativeFrom="page">
                <wp:posOffset>539750</wp:posOffset>
              </wp:positionV>
              <wp:extent cx="5752465" cy="35941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52465" cy="359410"/>
                      </a:xfrm>
                      <a:prstGeom prst="rect">
                        <a:avLst/>
                      </a:prstGeom>
                      <a:noFill/>
                      <a:ln>
                        <a:noFill/>
                      </a:ln>
                    </wps:spPr>
                    <wps:txbx>
                      <w:txbxContent>
                        <w:p>
                          <w:pPr>
                            <w:pStyle w:val="1399"/>
                            <w:spacing w:line="595" w:lineRule="atLeast"/>
                            <w:widowControl w:val="off"/>
                          </w:pPr>
                          <w:r/>
                          <w:r/>
                        </w:p>
                        <w:p>
                          <w:pPr>
                            <w:pStyle w:val="1399"/>
                            <w:spacing w:line="606" w:lineRule="atLeast"/>
                            <w:widowControl w:val="off"/>
                          </w:pPr>
                          <w:r/>
                          <w:r/>
                        </w:p>
                        <w:p>
                          <w:pPr>
                            <w:pStyle w:val="1399"/>
                          </w:pPr>
                          <w:r/>
                          <w:r/>
                        </w:p>
                        <w:p>
                          <w:pPr>
                            <w:pStyle w:val="1316"/>
                          </w:pPr>
                          <w:r/>
                          <w:r/>
                        </w:p>
                      </w:txbxContent>
                    </wps:txbx>
                    <wps:bodyPr wrap="square" lIns="35999" tIns="0" rIns="35999" bIns="17999" upright="1"/>
                  </wps:wsp>
                </a:graphicData>
              </a:graphic>
            </wp:anchor>
          </w:drawing>
        </mc:Choice>
        <mc:Fallback>
          <w:pict>
            <v:shape id="shape 2" o:spid="_x0000_s2" o:spt="202" type="#_x0000_t202" style="position:absolute;z-index:-250609662;o:allowoverlap:true;o:allowincell:false;mso-position-horizontal-relative:page;margin-left:70.8pt;mso-position-horizontal:absolute;mso-position-vertical-relative:page;margin-top:42.5pt;mso-position-vertical:absolute;width:452.9pt;height:28.3pt;mso-wrap-distance-left:9.0pt;mso-wrap-distance-top:0.0pt;mso-wrap-distance-right:9.0pt;mso-wrap-distance-bottom:0.0pt;visibility:visible;" filled="f" stroked="f">
              <v:textbox inset="0,0,0,0">
                <w:txbxContent>
                  <w:p>
                    <w:pPr>
                      <w:pStyle w:val="1399"/>
                      <w:spacing w:line="595" w:lineRule="atLeast"/>
                      <w:widowControl w:val="off"/>
                    </w:pPr>
                    <w:r/>
                    <w:r/>
                  </w:p>
                  <w:p>
                    <w:pPr>
                      <w:pStyle w:val="1399"/>
                      <w:spacing w:line="606" w:lineRule="atLeast"/>
                      <w:widowControl w:val="off"/>
                    </w:pPr>
                    <w:r/>
                    <w:r/>
                  </w:p>
                  <w:p>
                    <w:pPr>
                      <w:pStyle w:val="1399"/>
                    </w:pPr>
                    <w:r/>
                    <w:r/>
                  </w:p>
                  <w:p>
                    <w:pPr>
                      <w:pStyle w:val="131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0" allowOverlap="1">
              <wp:simplePos x="0" y="0"/>
              <wp:positionH relativeFrom="page">
                <wp:posOffset>899795</wp:posOffset>
              </wp:positionH>
              <wp:positionV relativeFrom="page">
                <wp:posOffset>9921240</wp:posOffset>
              </wp:positionV>
              <wp:extent cx="5756275" cy="13271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56275" cy="132715"/>
                      </a:xfrm>
                      <a:prstGeom prst="rect">
                        <a:avLst/>
                      </a:prstGeom>
                      <a:noFill/>
                      <a:ln>
                        <a:noFill/>
                      </a:ln>
                    </wps:spPr>
                    <wps:txbx>
                      <w:txbxContent>
                        <w:p>
                          <w:pPr>
                            <w:pStyle w:val="1399"/>
                            <w:spacing w:line="844" w:lineRule="atLeast"/>
                            <w:widowControl w:val="off"/>
                          </w:pPr>
                          <w:r/>
                          <w:r/>
                        </w:p>
                        <w:p>
                          <w:pPr>
                            <w:pStyle w:val="1399"/>
                          </w:pPr>
                          <w:r/>
                          <w:r/>
                        </w:p>
                        <w:p>
                          <w:pPr>
                            <w:pStyle w:val="1316"/>
                          </w:pPr>
                          <w:r/>
                          <w:r/>
                        </w:p>
                      </w:txbxContent>
                    </wps:txbx>
                    <wps:bodyPr wrap="square" lIns="35999" tIns="0" rIns="35999" bIns="17999" upright="1"/>
                  </wps:wsp>
                </a:graphicData>
              </a:graphic>
            </wp:anchor>
          </w:drawing>
        </mc:Choice>
        <mc:Fallback>
          <w:pict>
            <v:shape id="shape 3" o:spid="_x0000_s3" o:spt="202" type="#_x0000_t202" style="position:absolute;z-index:-250609661;o:allowoverlap:true;o:allowincell:false;mso-position-horizontal-relative:page;margin-left:70.8pt;mso-position-horizontal:absolute;mso-position-vertical-relative:page;margin-top:781.2pt;mso-position-vertical:absolute;width:453.2pt;height:10.4pt;mso-wrap-distance-left:9.0pt;mso-wrap-distance-top:0.0pt;mso-wrap-distance-right:9.0pt;mso-wrap-distance-bottom:0.0pt;visibility:visible;" filled="f" stroked="f">
              <v:textbox inset="0,0,0,0">
                <w:txbxContent>
                  <w:p>
                    <w:pPr>
                      <w:pStyle w:val="1399"/>
                      <w:spacing w:line="844" w:lineRule="atLeast"/>
                      <w:widowControl w:val="off"/>
                    </w:pPr>
                    <w:r/>
                    <w:r/>
                  </w:p>
                  <w:p>
                    <w:pPr>
                      <w:pStyle w:val="1399"/>
                    </w:pPr>
                    <w:r/>
                    <w:r/>
                  </w:p>
                  <w:p>
                    <w:pPr>
                      <w:pStyle w:val="1316"/>
                    </w:pPr>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131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316"/>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13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pStyle w:val="13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403"/>
      <w:isLgl w:val="false"/>
      <w:suff w:val="tab"/>
      <w:lvlText w:val="附录%1."/>
      <w:lvlJc w:val="left"/>
      <w:pPr>
        <w:pStyle w:val="131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tab"/>
      <w:lvlText w:val="(%1)"/>
      <w:lvlJc w:val="left"/>
      <w:pPr>
        <w:pStyle w:val="1316"/>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426"/>
      <w:isLgl w:val="false"/>
      <w:suff w:val="tab"/>
      <w:lvlText w:val="%1."/>
      <w:lvlJc w:val="left"/>
      <w:pPr>
        <w:pStyle w:val="1316"/>
        <w:ind w:left="709" w:hanging="709"/>
        <w:tabs>
          <w:tab w:val="num" w:pos="709" w:leader="none"/>
        </w:tabs>
      </w:pPr>
      <w:rPr>
        <w:rFonts w:hint="eastAsia"/>
      </w:rPr>
    </w:lvl>
    <w:lvl w:ilvl="1">
      <w:start w:val="1"/>
      <w:numFmt w:val="decimal"/>
      <w:isLgl w:val="false"/>
      <w:suff w:val="tab"/>
      <w:lvlText w:val="%1.%2"/>
      <w:lvlJc w:val="left"/>
      <w:pPr>
        <w:pStyle w:val="1316"/>
        <w:ind w:left="709" w:hanging="709"/>
        <w:tabs>
          <w:tab w:val="num" w:pos="709" w:leader="none"/>
        </w:tabs>
      </w:pPr>
      <w:rPr>
        <w:rFonts w:hint="eastAsia"/>
      </w:rPr>
    </w:lvl>
    <w:lvl w:ilvl="2">
      <w:start w:val="1"/>
      <w:numFmt w:val="decimal"/>
      <w:isLgl w:val="false"/>
      <w:suff w:val="tab"/>
      <w:lvlText w:val="%1.%2.%3."/>
      <w:lvlJc w:val="left"/>
      <w:pPr>
        <w:pStyle w:val="1316"/>
        <w:ind w:left="425" w:hanging="425"/>
        <w:tabs>
          <w:tab w:val="num" w:pos="425" w:leader="none"/>
        </w:tabs>
      </w:pPr>
      <w:rPr>
        <w:rFonts w:hint="eastAsia"/>
      </w:rPr>
    </w:lvl>
    <w:lvl w:ilvl="3">
      <w:start w:val="1"/>
      <w:numFmt w:val="decimal"/>
      <w:isLgl w:val="false"/>
      <w:suff w:val="tab"/>
      <w:lvlText w:val="%1.%2.%3.%4."/>
      <w:lvlJc w:val="left"/>
      <w:pPr>
        <w:pStyle w:val="1316"/>
        <w:ind w:left="851" w:hanging="851"/>
        <w:tabs>
          <w:tab w:val="num" w:pos="851" w:leader="none"/>
        </w:tabs>
      </w:pPr>
      <w:rPr>
        <w:rFonts w:hint="eastAsia"/>
      </w:rPr>
    </w:lvl>
    <w:lvl w:ilvl="4">
      <w:start w:val="1"/>
      <w:numFmt w:val="decimal"/>
      <w:isLgl w:val="false"/>
      <w:suff w:val="tab"/>
      <w:lvlText w:val="%1.%2.%3.%4.%5."/>
      <w:lvlJc w:val="left"/>
      <w:pPr>
        <w:pStyle w:val="1316"/>
        <w:ind w:left="992" w:hanging="992"/>
        <w:tabs>
          <w:tab w:val="num" w:pos="992" w:leader="none"/>
        </w:tabs>
      </w:pPr>
      <w:rPr>
        <w:rFonts w:hint="eastAsia"/>
      </w:rPr>
    </w:lvl>
    <w:lvl w:ilvl="5">
      <w:start w:val="1"/>
      <w:numFmt w:val="decimal"/>
      <w:isLgl w:val="false"/>
      <w:suff w:val="tab"/>
      <w:lvlText w:val="%1.%2.%3.%4.%5.%6."/>
      <w:lvlJc w:val="left"/>
      <w:pPr>
        <w:pStyle w:val="1316"/>
        <w:ind w:left="1134" w:hanging="1134"/>
        <w:tabs>
          <w:tab w:val="num" w:pos="1134" w:leader="none"/>
        </w:tabs>
      </w:pPr>
      <w:rPr>
        <w:rFonts w:hint="eastAsia"/>
      </w:rPr>
    </w:lvl>
    <w:lvl w:ilvl="6">
      <w:start w:val="1"/>
      <w:numFmt w:val="decimal"/>
      <w:isLgl w:val="false"/>
      <w:suff w:val="tab"/>
      <w:lvlText w:val="%1.%2.%3.%4.%5.%6.%7."/>
      <w:lvlJc w:val="left"/>
      <w:pPr>
        <w:pStyle w:val="1316"/>
        <w:ind w:left="1276" w:hanging="1276"/>
        <w:tabs>
          <w:tab w:val="num" w:pos="1276" w:leader="none"/>
        </w:tabs>
      </w:pPr>
      <w:rPr>
        <w:rFonts w:hint="eastAsia"/>
      </w:rPr>
    </w:lvl>
    <w:lvl w:ilvl="7">
      <w:start w:val="1"/>
      <w:numFmt w:val="decimal"/>
      <w:isLgl w:val="false"/>
      <w:suff w:val="tab"/>
      <w:lvlText w:val="%1.%2.%3.%4.%5.%6.%7.%8."/>
      <w:lvlJc w:val="left"/>
      <w:pPr>
        <w:pStyle w:val="1316"/>
        <w:ind w:left="1418" w:hanging="1418"/>
        <w:tabs>
          <w:tab w:val="num" w:pos="1418" w:leader="none"/>
        </w:tabs>
      </w:pPr>
      <w:rPr>
        <w:rFonts w:hint="eastAsia"/>
      </w:rPr>
    </w:lvl>
    <w:lvl w:ilvl="8">
      <w:start w:val="1"/>
      <w:numFmt w:val="decimal"/>
      <w:isLgl w:val="false"/>
      <w:suff w:val="tab"/>
      <w:lvlText w:val="%1.%2.%3.%4.%5.%6.%7.%8.%9."/>
      <w:lvlJc w:val="left"/>
      <w:pPr>
        <w:pStyle w:val="1316"/>
        <w:ind w:left="1559" w:hanging="1559"/>
        <w:tabs>
          <w:tab w:val="num" w:pos="1559" w:leader="none"/>
        </w:tabs>
      </w:pPr>
      <w:rPr>
        <w:rFonts w:hint="eastAsia"/>
      </w:rPr>
    </w:lvl>
  </w:abstractNum>
  <w:abstractNum w:abstractNumId="15">
    <w:multiLevelType w:val="hybridMultilevel"/>
    <w:lvl w:ilvl="0">
      <w:start w:val="6"/>
      <w:numFmt w:val="chineseCounting"/>
      <w:isLgl w:val="false"/>
      <w:suff w:val="nothing"/>
      <w:lvlText w:val="%1、"/>
      <w:lvlJc w:val="left"/>
      <w:pPr>
        <w:pStyle w:val="13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isLgl w:val="false"/>
      <w:suff w:val="nothing"/>
      <w:lvlText w:val="第%1章 "/>
      <w:lvlJc w:val="left"/>
      <w:pPr>
        <w:pStyle w:val="1316"/>
        <w:ind w:left="0" w:firstLine="0"/>
      </w:pPr>
      <w:rPr>
        <w:rFonts w:hint="eastAsia"/>
      </w:rPr>
    </w:lvl>
    <w:lvl w:ilvl="1">
      <w:start w:val="1"/>
      <w:numFmt w:val="decimal"/>
      <w:isLgl w:val="false"/>
      <w:suff w:val="nothing"/>
      <w:lvlText w:val="%2、"/>
      <w:lvlJc w:val="left"/>
      <w:pPr>
        <w:pStyle w:val="1316"/>
        <w:ind w:left="0" w:firstLine="0"/>
      </w:pPr>
      <w:rPr>
        <w:rFonts w:hint="eastAsia"/>
      </w:rPr>
    </w:lvl>
    <w:lvl w:ilvl="2">
      <w:start w:val="1"/>
      <w:numFmt w:val="decimal"/>
      <w:isLgl w:val="false"/>
      <w:suff w:val="nothing"/>
      <w:lvlText w:val="%2.%3 "/>
      <w:lvlJc w:val="left"/>
      <w:pPr>
        <w:pStyle w:val="1316"/>
        <w:ind w:left="0" w:firstLine="0"/>
      </w:pPr>
      <w:rPr>
        <w:rFonts w:hint="eastAsia"/>
      </w:rPr>
    </w:lvl>
    <w:lvl w:ilvl="3">
      <w:start w:val="1"/>
      <w:numFmt w:val="decimal"/>
      <w:isLgl w:val="false"/>
      <w:suff w:val="nothing"/>
      <w:lvlText w:val="%2.%3.%4 "/>
      <w:lvlJc w:val="left"/>
      <w:pPr>
        <w:pStyle w:val="1316"/>
        <w:ind w:left="0" w:firstLine="0"/>
      </w:pPr>
      <w:rPr>
        <w:rFonts w:hint="eastAsia"/>
      </w:rPr>
    </w:lvl>
    <w:lvl w:ilvl="4">
      <w:start w:val="1"/>
      <w:numFmt w:val="decimal"/>
      <w:isLgl w:val="false"/>
      <w:suff w:val="nothing"/>
      <w:lvlText w:val="%2.%3.%4.%5 "/>
      <w:lvlJc w:val="left"/>
      <w:pPr>
        <w:pStyle w:val="1316"/>
        <w:ind w:left="0" w:firstLine="0"/>
      </w:pPr>
      <w:rPr>
        <w:rFonts w:hint="eastAsia"/>
      </w:rPr>
    </w:lvl>
    <w:lvl w:ilvl="5">
      <w:start w:val="1"/>
      <w:numFmt w:val="decimal"/>
      <w:pStyle w:val="1322"/>
      <w:isLgl w:val="false"/>
      <w:suff w:val="nothing"/>
      <w:lvlText w:val=""/>
      <w:lvlJc w:val="left"/>
      <w:pPr>
        <w:pStyle w:val="1316"/>
        <w:ind w:left="0" w:firstLine="0"/>
      </w:pPr>
      <w:rPr>
        <w:rFonts w:hint="eastAsia"/>
      </w:rPr>
    </w:lvl>
    <w:lvl w:ilvl="6">
      <w:start w:val="1"/>
      <w:numFmt w:val="decimal"/>
      <w:pStyle w:val="1323"/>
      <w:isLgl w:val="false"/>
      <w:suff w:val="nothing"/>
      <w:lvlText w:val=""/>
      <w:lvlJc w:val="left"/>
      <w:pPr>
        <w:pStyle w:val="1316"/>
        <w:ind w:left="0" w:firstLine="0"/>
      </w:pPr>
      <w:rPr>
        <w:rFonts w:hint="eastAsia"/>
      </w:rPr>
    </w:lvl>
    <w:lvl w:ilvl="7">
      <w:start w:val="1"/>
      <w:numFmt w:val="decimal"/>
      <w:pStyle w:val="1324"/>
      <w:isLgl w:val="false"/>
      <w:suff w:val="nothing"/>
      <w:lvlText w:val=""/>
      <w:lvlJc w:val="left"/>
      <w:pPr>
        <w:pStyle w:val="1316"/>
        <w:ind w:left="0" w:firstLine="0"/>
      </w:pPr>
      <w:rPr>
        <w:rFonts w:hint="eastAsia"/>
      </w:rPr>
    </w:lvl>
    <w:lvl w:ilvl="8">
      <w:start w:val="1"/>
      <w:numFmt w:val="decimal"/>
      <w:pStyle w:val="1325"/>
      <w:isLgl w:val="false"/>
      <w:suff w:val="nothing"/>
      <w:lvlText w:val=""/>
      <w:lvlJc w:val="left"/>
      <w:pPr>
        <w:pStyle w:val="1316"/>
        <w:ind w:left="0" w:firstLine="0"/>
      </w:pPr>
      <w:rPr>
        <w:rFonts w:hint="eastAsia"/>
      </w:rPr>
    </w:lvl>
  </w:abstractNum>
  <w:abstractNum w:abstractNumId="17">
    <w:multiLevelType w:val="hybridMultilevel"/>
    <w:lvl w:ilvl="0">
      <w:start w:val="1"/>
      <w:numFmt w:val="japaneseCounting"/>
      <w:isLgl w:val="false"/>
      <w:suff w:val="tab"/>
      <w:lvlText w:val="第%1章"/>
      <w:lvlJc w:val="left"/>
      <w:pPr>
        <w:pStyle w:val="131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9"/>
  </w:num>
  <w:num w:numId="3">
    <w:abstractNumId w:val="14"/>
  </w:num>
  <w:num w:numId="4">
    <w:abstractNumId w:val="17"/>
  </w:num>
  <w:num w:numId="5">
    <w:abstractNumId w:val="0"/>
  </w:num>
  <w:num w:numId="6">
    <w:abstractNumId w:val="8"/>
  </w:num>
  <w:num w:numId="7">
    <w:abstractNumId w:val="10"/>
  </w:num>
  <w:num w:numId="8">
    <w:abstractNumId w:val="5"/>
  </w:num>
  <w:num w:numId="9">
    <w:abstractNumId w:val="13"/>
  </w:num>
  <w:num w:numId="10">
    <w:abstractNumId w:val="4"/>
  </w:num>
  <w:num w:numId="11">
    <w:abstractNumId w:val="2"/>
  </w:num>
  <w:num w:numId="12">
    <w:abstractNumId w:val="3"/>
  </w:num>
  <w:num w:numId="13">
    <w:abstractNumId w:val="12"/>
  </w:num>
  <w:num w:numId="14">
    <w:abstractNumId w:val="6"/>
  </w:num>
  <w:num w:numId="15">
    <w:abstractNumId w:val="7"/>
  </w:num>
  <w:num w:numId="16">
    <w:abstractNumId w:val="11"/>
  </w:num>
  <w:num w:numId="17">
    <w:abstractNumId w:val="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8">
    <w:name w:val="Heading 1"/>
    <w:basedOn w:val="1316"/>
    <w:next w:val="1316"/>
    <w:link w:val="1139"/>
    <w:uiPriority w:val="9"/>
    <w:qFormat/>
    <w:pPr>
      <w:keepLines/>
      <w:keepNext/>
      <w:spacing w:before="480" w:after="200"/>
      <w:outlineLvl w:val="0"/>
    </w:pPr>
    <w:rPr>
      <w:rFonts w:ascii="Arial" w:hAnsi="Arial" w:eastAsia="Arial" w:cs="Arial"/>
      <w:sz w:val="40"/>
      <w:szCs w:val="40"/>
    </w:rPr>
  </w:style>
  <w:style w:type="character" w:styleId="1139">
    <w:name w:val="Heading 1 Char"/>
    <w:link w:val="1138"/>
    <w:uiPriority w:val="9"/>
    <w:rPr>
      <w:rFonts w:ascii="Arial" w:hAnsi="Arial" w:eastAsia="Arial" w:cs="Arial"/>
      <w:sz w:val="40"/>
      <w:szCs w:val="40"/>
    </w:rPr>
  </w:style>
  <w:style w:type="paragraph" w:styleId="1140">
    <w:name w:val="Heading 2"/>
    <w:basedOn w:val="1316"/>
    <w:next w:val="1316"/>
    <w:link w:val="1141"/>
    <w:uiPriority w:val="9"/>
    <w:unhideWhenUsed/>
    <w:qFormat/>
    <w:pPr>
      <w:keepLines/>
      <w:keepNext/>
      <w:spacing w:before="360" w:after="200"/>
      <w:outlineLvl w:val="1"/>
    </w:pPr>
    <w:rPr>
      <w:rFonts w:ascii="Arial" w:hAnsi="Arial" w:eastAsia="Arial" w:cs="Arial"/>
      <w:sz w:val="34"/>
    </w:rPr>
  </w:style>
  <w:style w:type="character" w:styleId="1141">
    <w:name w:val="Heading 2 Char"/>
    <w:link w:val="1140"/>
    <w:uiPriority w:val="9"/>
    <w:rPr>
      <w:rFonts w:ascii="Arial" w:hAnsi="Arial" w:eastAsia="Arial" w:cs="Arial"/>
      <w:sz w:val="34"/>
    </w:rPr>
  </w:style>
  <w:style w:type="paragraph" w:styleId="1142">
    <w:name w:val="Heading 3"/>
    <w:basedOn w:val="1316"/>
    <w:next w:val="1316"/>
    <w:link w:val="1143"/>
    <w:uiPriority w:val="9"/>
    <w:unhideWhenUsed/>
    <w:qFormat/>
    <w:pPr>
      <w:keepLines/>
      <w:keepNext/>
      <w:spacing w:before="320" w:after="200"/>
      <w:outlineLvl w:val="2"/>
    </w:pPr>
    <w:rPr>
      <w:rFonts w:ascii="Arial" w:hAnsi="Arial" w:eastAsia="Arial" w:cs="Arial"/>
      <w:sz w:val="30"/>
      <w:szCs w:val="30"/>
    </w:rPr>
  </w:style>
  <w:style w:type="character" w:styleId="1143">
    <w:name w:val="Heading 3 Char"/>
    <w:link w:val="1142"/>
    <w:uiPriority w:val="9"/>
    <w:rPr>
      <w:rFonts w:ascii="Arial" w:hAnsi="Arial" w:eastAsia="Arial" w:cs="Arial"/>
      <w:sz w:val="30"/>
      <w:szCs w:val="30"/>
    </w:rPr>
  </w:style>
  <w:style w:type="paragraph" w:styleId="1144">
    <w:name w:val="Heading 4"/>
    <w:basedOn w:val="1316"/>
    <w:next w:val="1316"/>
    <w:link w:val="1145"/>
    <w:uiPriority w:val="9"/>
    <w:unhideWhenUsed/>
    <w:qFormat/>
    <w:pPr>
      <w:keepLines/>
      <w:keepNext/>
      <w:spacing w:before="320" w:after="200"/>
      <w:outlineLvl w:val="3"/>
    </w:pPr>
    <w:rPr>
      <w:rFonts w:ascii="Arial" w:hAnsi="Arial" w:eastAsia="Arial" w:cs="Arial"/>
      <w:b/>
      <w:bCs/>
      <w:sz w:val="26"/>
      <w:szCs w:val="26"/>
    </w:rPr>
  </w:style>
  <w:style w:type="character" w:styleId="1145">
    <w:name w:val="Heading 4 Char"/>
    <w:link w:val="1144"/>
    <w:uiPriority w:val="9"/>
    <w:rPr>
      <w:rFonts w:ascii="Arial" w:hAnsi="Arial" w:eastAsia="Arial" w:cs="Arial"/>
      <w:b/>
      <w:bCs/>
      <w:sz w:val="26"/>
      <w:szCs w:val="26"/>
    </w:rPr>
  </w:style>
  <w:style w:type="paragraph" w:styleId="1146">
    <w:name w:val="Heading 5"/>
    <w:basedOn w:val="1316"/>
    <w:next w:val="1316"/>
    <w:link w:val="1147"/>
    <w:uiPriority w:val="9"/>
    <w:unhideWhenUsed/>
    <w:qFormat/>
    <w:pPr>
      <w:keepLines/>
      <w:keepNext/>
      <w:spacing w:before="320" w:after="200"/>
      <w:outlineLvl w:val="4"/>
    </w:pPr>
    <w:rPr>
      <w:rFonts w:ascii="Arial" w:hAnsi="Arial" w:eastAsia="Arial" w:cs="Arial"/>
      <w:b/>
      <w:bCs/>
      <w:sz w:val="24"/>
      <w:szCs w:val="24"/>
    </w:rPr>
  </w:style>
  <w:style w:type="character" w:styleId="1147">
    <w:name w:val="Heading 5 Char"/>
    <w:link w:val="1146"/>
    <w:uiPriority w:val="9"/>
    <w:rPr>
      <w:rFonts w:ascii="Arial" w:hAnsi="Arial" w:eastAsia="Arial" w:cs="Arial"/>
      <w:b/>
      <w:bCs/>
      <w:sz w:val="24"/>
      <w:szCs w:val="24"/>
    </w:rPr>
  </w:style>
  <w:style w:type="paragraph" w:styleId="1148">
    <w:name w:val="Heading 6"/>
    <w:basedOn w:val="1316"/>
    <w:next w:val="1316"/>
    <w:link w:val="1149"/>
    <w:uiPriority w:val="9"/>
    <w:unhideWhenUsed/>
    <w:qFormat/>
    <w:pPr>
      <w:keepLines/>
      <w:keepNext/>
      <w:spacing w:before="320" w:after="200"/>
      <w:outlineLvl w:val="5"/>
    </w:pPr>
    <w:rPr>
      <w:rFonts w:ascii="Arial" w:hAnsi="Arial" w:eastAsia="Arial" w:cs="Arial"/>
      <w:b/>
      <w:bCs/>
      <w:sz w:val="22"/>
      <w:szCs w:val="22"/>
    </w:rPr>
  </w:style>
  <w:style w:type="character" w:styleId="1149">
    <w:name w:val="Heading 6 Char"/>
    <w:link w:val="1148"/>
    <w:uiPriority w:val="9"/>
    <w:rPr>
      <w:rFonts w:ascii="Arial" w:hAnsi="Arial" w:eastAsia="Arial" w:cs="Arial"/>
      <w:b/>
      <w:bCs/>
      <w:sz w:val="22"/>
      <w:szCs w:val="22"/>
    </w:rPr>
  </w:style>
  <w:style w:type="paragraph" w:styleId="1150">
    <w:name w:val="Heading 7"/>
    <w:basedOn w:val="1316"/>
    <w:next w:val="1316"/>
    <w:link w:val="1151"/>
    <w:uiPriority w:val="9"/>
    <w:unhideWhenUsed/>
    <w:qFormat/>
    <w:pPr>
      <w:keepLines/>
      <w:keepNext/>
      <w:spacing w:before="320" w:after="200"/>
      <w:outlineLvl w:val="6"/>
    </w:pPr>
    <w:rPr>
      <w:rFonts w:ascii="Arial" w:hAnsi="Arial" w:eastAsia="Arial" w:cs="Arial"/>
      <w:b/>
      <w:bCs/>
      <w:i/>
      <w:iCs/>
      <w:sz w:val="22"/>
      <w:szCs w:val="22"/>
    </w:rPr>
  </w:style>
  <w:style w:type="character" w:styleId="1151">
    <w:name w:val="Heading 7 Char"/>
    <w:link w:val="1150"/>
    <w:uiPriority w:val="9"/>
    <w:rPr>
      <w:rFonts w:ascii="Arial" w:hAnsi="Arial" w:eastAsia="Arial" w:cs="Arial"/>
      <w:b/>
      <w:bCs/>
      <w:i/>
      <w:iCs/>
      <w:sz w:val="22"/>
      <w:szCs w:val="22"/>
    </w:rPr>
  </w:style>
  <w:style w:type="paragraph" w:styleId="1152">
    <w:name w:val="Heading 8"/>
    <w:basedOn w:val="1316"/>
    <w:next w:val="1316"/>
    <w:link w:val="1153"/>
    <w:uiPriority w:val="9"/>
    <w:unhideWhenUsed/>
    <w:qFormat/>
    <w:pPr>
      <w:keepLines/>
      <w:keepNext/>
      <w:spacing w:before="320" w:after="200"/>
      <w:outlineLvl w:val="7"/>
    </w:pPr>
    <w:rPr>
      <w:rFonts w:ascii="Arial" w:hAnsi="Arial" w:eastAsia="Arial" w:cs="Arial"/>
      <w:i/>
      <w:iCs/>
      <w:sz w:val="22"/>
      <w:szCs w:val="22"/>
    </w:rPr>
  </w:style>
  <w:style w:type="character" w:styleId="1153">
    <w:name w:val="Heading 8 Char"/>
    <w:link w:val="1152"/>
    <w:uiPriority w:val="9"/>
    <w:rPr>
      <w:rFonts w:ascii="Arial" w:hAnsi="Arial" w:eastAsia="Arial" w:cs="Arial"/>
      <w:i/>
      <w:iCs/>
      <w:sz w:val="22"/>
      <w:szCs w:val="22"/>
    </w:rPr>
  </w:style>
  <w:style w:type="paragraph" w:styleId="1154">
    <w:name w:val="Heading 9"/>
    <w:basedOn w:val="1316"/>
    <w:next w:val="1316"/>
    <w:link w:val="1155"/>
    <w:uiPriority w:val="9"/>
    <w:unhideWhenUsed/>
    <w:qFormat/>
    <w:pPr>
      <w:keepLines/>
      <w:keepNext/>
      <w:spacing w:before="320" w:after="200"/>
      <w:outlineLvl w:val="8"/>
    </w:pPr>
    <w:rPr>
      <w:rFonts w:ascii="Arial" w:hAnsi="Arial" w:eastAsia="Arial" w:cs="Arial"/>
      <w:i/>
      <w:iCs/>
      <w:sz w:val="21"/>
      <w:szCs w:val="21"/>
    </w:rPr>
  </w:style>
  <w:style w:type="character" w:styleId="1155">
    <w:name w:val="Heading 9 Char"/>
    <w:link w:val="1154"/>
    <w:uiPriority w:val="9"/>
    <w:rPr>
      <w:rFonts w:ascii="Arial" w:hAnsi="Arial" w:eastAsia="Arial" w:cs="Arial"/>
      <w:i/>
      <w:iCs/>
      <w:sz w:val="21"/>
      <w:szCs w:val="21"/>
    </w:rPr>
  </w:style>
  <w:style w:type="paragraph" w:styleId="1156">
    <w:name w:val="List Paragraph"/>
    <w:basedOn w:val="1316"/>
    <w:uiPriority w:val="34"/>
    <w:qFormat/>
    <w:pPr>
      <w:contextualSpacing/>
      <w:ind w:left="720"/>
    </w:pPr>
  </w:style>
  <w:style w:type="paragraph" w:styleId="1157">
    <w:name w:val="No Spacing"/>
    <w:uiPriority w:val="1"/>
    <w:qFormat/>
    <w:pPr>
      <w:spacing w:before="0" w:after="0" w:line="240" w:lineRule="auto"/>
    </w:pPr>
  </w:style>
  <w:style w:type="paragraph" w:styleId="1158">
    <w:name w:val="Title"/>
    <w:basedOn w:val="1316"/>
    <w:next w:val="1316"/>
    <w:link w:val="1159"/>
    <w:uiPriority w:val="10"/>
    <w:qFormat/>
    <w:pPr>
      <w:contextualSpacing/>
      <w:spacing w:before="300" w:after="200"/>
    </w:pPr>
    <w:rPr>
      <w:sz w:val="48"/>
      <w:szCs w:val="48"/>
    </w:rPr>
  </w:style>
  <w:style w:type="character" w:styleId="1159">
    <w:name w:val="Title Char"/>
    <w:link w:val="1158"/>
    <w:uiPriority w:val="10"/>
    <w:rPr>
      <w:sz w:val="48"/>
      <w:szCs w:val="48"/>
    </w:rPr>
  </w:style>
  <w:style w:type="paragraph" w:styleId="1160">
    <w:name w:val="Subtitle"/>
    <w:basedOn w:val="1316"/>
    <w:next w:val="1316"/>
    <w:link w:val="1161"/>
    <w:uiPriority w:val="11"/>
    <w:qFormat/>
    <w:pPr>
      <w:spacing w:before="200" w:after="200"/>
    </w:pPr>
    <w:rPr>
      <w:sz w:val="24"/>
      <w:szCs w:val="24"/>
    </w:rPr>
  </w:style>
  <w:style w:type="character" w:styleId="1161">
    <w:name w:val="Subtitle Char"/>
    <w:link w:val="1160"/>
    <w:uiPriority w:val="11"/>
    <w:rPr>
      <w:sz w:val="24"/>
      <w:szCs w:val="24"/>
    </w:rPr>
  </w:style>
  <w:style w:type="paragraph" w:styleId="1162">
    <w:name w:val="Quote"/>
    <w:basedOn w:val="1316"/>
    <w:next w:val="1316"/>
    <w:link w:val="1163"/>
    <w:uiPriority w:val="29"/>
    <w:qFormat/>
    <w:pPr>
      <w:ind w:left="720" w:right="720"/>
    </w:pPr>
    <w:rPr>
      <w:i/>
    </w:rPr>
  </w:style>
  <w:style w:type="character" w:styleId="1163">
    <w:name w:val="Quote Char"/>
    <w:link w:val="1162"/>
    <w:uiPriority w:val="29"/>
    <w:rPr>
      <w:i/>
    </w:rPr>
  </w:style>
  <w:style w:type="paragraph" w:styleId="1164">
    <w:name w:val="Intense Quote"/>
    <w:basedOn w:val="1316"/>
    <w:next w:val="1316"/>
    <w:link w:val="11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5">
    <w:name w:val="Intense Quote Char"/>
    <w:link w:val="1164"/>
    <w:uiPriority w:val="30"/>
    <w:rPr>
      <w:i/>
    </w:rPr>
  </w:style>
  <w:style w:type="paragraph" w:styleId="1166">
    <w:name w:val="Header"/>
    <w:basedOn w:val="1316"/>
    <w:link w:val="1167"/>
    <w:uiPriority w:val="99"/>
    <w:unhideWhenUsed/>
    <w:pPr>
      <w:spacing w:after="0" w:line="240" w:lineRule="auto"/>
      <w:tabs>
        <w:tab w:val="center" w:pos="7143" w:leader="none"/>
        <w:tab w:val="right" w:pos="14287" w:leader="none"/>
      </w:tabs>
    </w:pPr>
  </w:style>
  <w:style w:type="character" w:styleId="1167">
    <w:name w:val="Header Char"/>
    <w:link w:val="1166"/>
    <w:uiPriority w:val="99"/>
  </w:style>
  <w:style w:type="paragraph" w:styleId="1168">
    <w:name w:val="Footer"/>
    <w:basedOn w:val="1316"/>
    <w:link w:val="1171"/>
    <w:uiPriority w:val="99"/>
    <w:unhideWhenUsed/>
    <w:pPr>
      <w:spacing w:after="0" w:line="240" w:lineRule="auto"/>
      <w:tabs>
        <w:tab w:val="center" w:pos="7143" w:leader="none"/>
        <w:tab w:val="right" w:pos="14287" w:leader="none"/>
      </w:tabs>
    </w:pPr>
  </w:style>
  <w:style w:type="character" w:styleId="1169">
    <w:name w:val="Footer Char"/>
    <w:link w:val="1168"/>
    <w:uiPriority w:val="99"/>
  </w:style>
  <w:style w:type="paragraph" w:styleId="1170">
    <w:name w:val="Caption"/>
    <w:basedOn w:val="1316"/>
    <w:next w:val="1316"/>
    <w:uiPriority w:val="35"/>
    <w:semiHidden/>
    <w:unhideWhenUsed/>
    <w:qFormat/>
    <w:pPr>
      <w:spacing w:line="276" w:lineRule="auto"/>
    </w:pPr>
    <w:rPr>
      <w:b/>
      <w:bCs/>
      <w:color w:val="4f81bd" w:themeColor="accent1"/>
      <w:sz w:val="18"/>
      <w:szCs w:val="18"/>
    </w:rPr>
  </w:style>
  <w:style w:type="character" w:styleId="1171">
    <w:name w:val="Caption Char"/>
    <w:basedOn w:val="1170"/>
    <w:link w:val="1168"/>
    <w:uiPriority w:val="99"/>
  </w:style>
  <w:style w:type="table" w:styleId="11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98">
    <w:name w:val="Hyperlink"/>
    <w:uiPriority w:val="99"/>
    <w:unhideWhenUsed/>
    <w:rPr>
      <w:color w:val="0000ff" w:themeColor="hyperlink"/>
      <w:u w:val="single"/>
    </w:rPr>
  </w:style>
  <w:style w:type="paragraph" w:styleId="1299">
    <w:name w:val="footnote text"/>
    <w:basedOn w:val="1316"/>
    <w:link w:val="1300"/>
    <w:uiPriority w:val="99"/>
    <w:semiHidden/>
    <w:unhideWhenUsed/>
    <w:pPr>
      <w:spacing w:after="40" w:line="240" w:lineRule="auto"/>
    </w:pPr>
    <w:rPr>
      <w:sz w:val="18"/>
    </w:rPr>
  </w:style>
  <w:style w:type="character" w:styleId="1300">
    <w:name w:val="Footnote Text Char"/>
    <w:link w:val="1299"/>
    <w:uiPriority w:val="99"/>
    <w:rPr>
      <w:sz w:val="18"/>
    </w:rPr>
  </w:style>
  <w:style w:type="character" w:styleId="1301">
    <w:name w:val="footnote reference"/>
    <w:uiPriority w:val="99"/>
    <w:unhideWhenUsed/>
    <w:rPr>
      <w:vertAlign w:val="superscript"/>
    </w:rPr>
  </w:style>
  <w:style w:type="paragraph" w:styleId="1302">
    <w:name w:val="endnote text"/>
    <w:basedOn w:val="1316"/>
    <w:link w:val="1303"/>
    <w:uiPriority w:val="99"/>
    <w:semiHidden/>
    <w:unhideWhenUsed/>
    <w:pPr>
      <w:spacing w:after="0" w:line="240" w:lineRule="auto"/>
    </w:pPr>
    <w:rPr>
      <w:sz w:val="20"/>
    </w:rPr>
  </w:style>
  <w:style w:type="character" w:styleId="1303">
    <w:name w:val="Endnote Text Char"/>
    <w:link w:val="1302"/>
    <w:uiPriority w:val="99"/>
    <w:rPr>
      <w:sz w:val="20"/>
    </w:rPr>
  </w:style>
  <w:style w:type="character" w:styleId="1304">
    <w:name w:val="endnote reference"/>
    <w:uiPriority w:val="99"/>
    <w:semiHidden/>
    <w:unhideWhenUsed/>
    <w:rPr>
      <w:vertAlign w:val="superscript"/>
    </w:rPr>
  </w:style>
  <w:style w:type="paragraph" w:styleId="1305">
    <w:name w:val="toc 1"/>
    <w:basedOn w:val="1316"/>
    <w:next w:val="1316"/>
    <w:uiPriority w:val="39"/>
    <w:unhideWhenUsed/>
    <w:pPr>
      <w:ind w:left="0" w:right="0" w:firstLine="0"/>
      <w:spacing w:after="57"/>
    </w:pPr>
  </w:style>
  <w:style w:type="paragraph" w:styleId="1306">
    <w:name w:val="toc 2"/>
    <w:basedOn w:val="1316"/>
    <w:next w:val="1316"/>
    <w:uiPriority w:val="39"/>
    <w:unhideWhenUsed/>
    <w:pPr>
      <w:ind w:left="283" w:right="0" w:firstLine="0"/>
      <w:spacing w:after="57"/>
    </w:pPr>
  </w:style>
  <w:style w:type="paragraph" w:styleId="1307">
    <w:name w:val="toc 3"/>
    <w:basedOn w:val="1316"/>
    <w:next w:val="1316"/>
    <w:uiPriority w:val="39"/>
    <w:unhideWhenUsed/>
    <w:pPr>
      <w:ind w:left="567" w:right="0" w:firstLine="0"/>
      <w:spacing w:after="57"/>
    </w:pPr>
  </w:style>
  <w:style w:type="paragraph" w:styleId="1308">
    <w:name w:val="toc 4"/>
    <w:basedOn w:val="1316"/>
    <w:next w:val="1316"/>
    <w:uiPriority w:val="39"/>
    <w:unhideWhenUsed/>
    <w:pPr>
      <w:ind w:left="850" w:right="0" w:firstLine="0"/>
      <w:spacing w:after="57"/>
    </w:pPr>
  </w:style>
  <w:style w:type="paragraph" w:styleId="1309">
    <w:name w:val="toc 5"/>
    <w:basedOn w:val="1316"/>
    <w:next w:val="1316"/>
    <w:uiPriority w:val="39"/>
    <w:unhideWhenUsed/>
    <w:pPr>
      <w:ind w:left="1134" w:right="0" w:firstLine="0"/>
      <w:spacing w:after="57"/>
    </w:pPr>
  </w:style>
  <w:style w:type="paragraph" w:styleId="1310">
    <w:name w:val="toc 6"/>
    <w:basedOn w:val="1316"/>
    <w:next w:val="1316"/>
    <w:uiPriority w:val="39"/>
    <w:unhideWhenUsed/>
    <w:pPr>
      <w:ind w:left="1417" w:right="0" w:firstLine="0"/>
      <w:spacing w:after="57"/>
    </w:pPr>
  </w:style>
  <w:style w:type="paragraph" w:styleId="1311">
    <w:name w:val="toc 7"/>
    <w:basedOn w:val="1316"/>
    <w:next w:val="1316"/>
    <w:uiPriority w:val="39"/>
    <w:unhideWhenUsed/>
    <w:pPr>
      <w:ind w:left="1701" w:right="0" w:firstLine="0"/>
      <w:spacing w:after="57"/>
    </w:pPr>
  </w:style>
  <w:style w:type="paragraph" w:styleId="1312">
    <w:name w:val="toc 8"/>
    <w:basedOn w:val="1316"/>
    <w:next w:val="1316"/>
    <w:uiPriority w:val="39"/>
    <w:unhideWhenUsed/>
    <w:pPr>
      <w:ind w:left="1984" w:right="0" w:firstLine="0"/>
      <w:spacing w:after="57"/>
    </w:pPr>
  </w:style>
  <w:style w:type="paragraph" w:styleId="1313">
    <w:name w:val="toc 9"/>
    <w:basedOn w:val="1316"/>
    <w:next w:val="1316"/>
    <w:uiPriority w:val="39"/>
    <w:unhideWhenUsed/>
    <w:pPr>
      <w:ind w:left="2268" w:right="0" w:firstLine="0"/>
      <w:spacing w:after="57"/>
    </w:pPr>
  </w:style>
  <w:style w:type="paragraph" w:styleId="1314">
    <w:name w:val="TOC Heading"/>
    <w:uiPriority w:val="39"/>
    <w:unhideWhenUsed/>
  </w:style>
  <w:style w:type="paragraph" w:styleId="1315">
    <w:name w:val="table of figures"/>
    <w:basedOn w:val="1316"/>
    <w:next w:val="1316"/>
    <w:uiPriority w:val="99"/>
    <w:unhideWhenUsed/>
    <w:pPr>
      <w:spacing w:after="0" w:afterAutospacing="0"/>
    </w:pPr>
  </w:style>
  <w:style w:type="paragraph" w:styleId="1316" w:default="1">
    <w:name w:val="Normal"/>
    <w:next w:val="1328"/>
    <w:link w:val="1316"/>
    <w:qFormat/>
    <w:pPr>
      <w:jc w:val="both"/>
      <w:widowControl w:val="off"/>
    </w:pPr>
    <w:rPr>
      <w:sz w:val="21"/>
      <w:szCs w:val="21"/>
      <w:lang w:val="en-US" w:eastAsia="zh-CN" w:bidi="ar-SA"/>
    </w:rPr>
  </w:style>
  <w:style w:type="paragraph" w:styleId="1317">
    <w:name w:val="标题 1"/>
    <w:basedOn w:val="1316"/>
    <w:next w:val="1316"/>
    <w:link w:val="1333"/>
    <w:qFormat/>
    <w:pPr>
      <w:jc w:val="center"/>
      <w:keepNext/>
      <w:outlineLvl w:val="0"/>
    </w:pPr>
    <w:rPr>
      <w:rFonts w:ascii="楷体_GB2312" w:eastAsia="楷体_GB2312"/>
      <w:sz w:val="28"/>
      <w:szCs w:val="28"/>
    </w:rPr>
  </w:style>
  <w:style w:type="paragraph" w:styleId="1318">
    <w:name w:val="标题 2"/>
    <w:basedOn w:val="1316"/>
    <w:next w:val="1316"/>
    <w:link w:val="1334"/>
    <w:qFormat/>
    <w:pPr>
      <w:jc w:val="center"/>
      <w:keepLines/>
      <w:keepNext/>
      <w:spacing w:before="260" w:after="260" w:line="416" w:lineRule="auto"/>
      <w:outlineLvl w:val="1"/>
    </w:pPr>
    <w:rPr>
      <w:rFonts w:ascii="Arial" w:hAnsi="Arial" w:eastAsia="幼圆"/>
      <w:b/>
      <w:bCs/>
      <w:sz w:val="44"/>
      <w:szCs w:val="44"/>
    </w:rPr>
  </w:style>
  <w:style w:type="paragraph" w:styleId="1319">
    <w:name w:val="标题 3"/>
    <w:basedOn w:val="1316"/>
    <w:next w:val="1336"/>
    <w:link w:val="1335"/>
    <w:qFormat/>
    <w:pPr>
      <w:keepLines/>
      <w:keepNext/>
      <w:spacing w:before="260" w:after="260" w:line="416" w:lineRule="auto"/>
      <w:outlineLvl w:val="2"/>
    </w:pPr>
    <w:rPr>
      <w:b/>
      <w:bCs/>
      <w:sz w:val="32"/>
      <w:szCs w:val="32"/>
    </w:rPr>
  </w:style>
  <w:style w:type="paragraph" w:styleId="1320">
    <w:name w:val="标题 4"/>
    <w:basedOn w:val="1316"/>
    <w:next w:val="1316"/>
    <w:link w:val="1338"/>
    <w:qFormat/>
    <w:pPr>
      <w:keepLines/>
      <w:keepNext/>
      <w:spacing w:before="280" w:after="290" w:line="376" w:lineRule="auto"/>
      <w:outlineLvl w:val="3"/>
    </w:pPr>
    <w:rPr>
      <w:rFonts w:ascii="Arial" w:hAnsi="Arial" w:eastAsia="黑体"/>
      <w:b/>
      <w:bCs/>
      <w:sz w:val="28"/>
      <w:szCs w:val="28"/>
    </w:rPr>
  </w:style>
  <w:style w:type="paragraph" w:styleId="1321">
    <w:name w:val="标题 5"/>
    <w:basedOn w:val="1316"/>
    <w:next w:val="1336"/>
    <w:link w:val="1339"/>
    <w:qFormat/>
    <w:pPr>
      <w:keepNext/>
      <w:outlineLvl w:val="4"/>
    </w:pPr>
    <w:rPr>
      <w:rFonts w:ascii="宋体"/>
      <w:color w:val="000000"/>
      <w:sz w:val="28"/>
      <w:szCs w:val="28"/>
    </w:rPr>
  </w:style>
  <w:style w:type="paragraph" w:styleId="1322">
    <w:name w:val="标题 6"/>
    <w:basedOn w:val="1316"/>
    <w:next w:val="1316"/>
    <w:link w:val="1340"/>
    <w:qFormat/>
    <w:pPr>
      <w:numPr>
        <w:ilvl w:val="5"/>
        <w:numId w:val="1"/>
      </w:numPr>
      <w:keepLines/>
      <w:keepNext/>
      <w:spacing w:before="240" w:after="64" w:line="320" w:lineRule="auto"/>
      <w:outlineLvl w:val="5"/>
    </w:pPr>
    <w:rPr>
      <w:rFonts w:ascii="Arial" w:hAnsi="Arial" w:eastAsia="黑体"/>
      <w:b/>
      <w:bCs/>
      <w:sz w:val="24"/>
      <w:szCs w:val="24"/>
    </w:rPr>
  </w:style>
  <w:style w:type="paragraph" w:styleId="1323">
    <w:name w:val="标题 7"/>
    <w:basedOn w:val="1316"/>
    <w:next w:val="1316"/>
    <w:link w:val="1341"/>
    <w:qFormat/>
    <w:pPr>
      <w:numPr>
        <w:ilvl w:val="6"/>
        <w:numId w:val="1"/>
      </w:numPr>
      <w:keepLines/>
      <w:keepNext/>
      <w:spacing w:before="240" w:after="64" w:line="320" w:lineRule="auto"/>
      <w:outlineLvl w:val="6"/>
    </w:pPr>
    <w:rPr>
      <w:b/>
      <w:bCs/>
      <w:sz w:val="24"/>
      <w:szCs w:val="24"/>
    </w:rPr>
  </w:style>
  <w:style w:type="paragraph" w:styleId="1324">
    <w:name w:val="标题 8"/>
    <w:basedOn w:val="1316"/>
    <w:next w:val="1316"/>
    <w:link w:val="1342"/>
    <w:qFormat/>
    <w:pPr>
      <w:numPr>
        <w:ilvl w:val="7"/>
        <w:numId w:val="1"/>
      </w:numPr>
      <w:keepLines/>
      <w:keepNext/>
      <w:spacing w:before="240" w:after="64" w:line="320" w:lineRule="auto"/>
      <w:outlineLvl w:val="7"/>
    </w:pPr>
    <w:rPr>
      <w:rFonts w:ascii="Arial" w:hAnsi="Arial" w:eastAsia="黑体"/>
      <w:sz w:val="24"/>
      <w:szCs w:val="24"/>
    </w:rPr>
  </w:style>
  <w:style w:type="paragraph" w:styleId="1325">
    <w:name w:val="标题 9"/>
    <w:basedOn w:val="1316"/>
    <w:next w:val="1316"/>
    <w:link w:val="1343"/>
    <w:qFormat/>
    <w:pPr>
      <w:numPr>
        <w:ilvl w:val="8"/>
        <w:numId w:val="1"/>
      </w:numPr>
      <w:keepLines/>
      <w:keepNext/>
      <w:spacing w:before="240" w:after="64" w:line="320" w:lineRule="auto"/>
      <w:outlineLvl w:val="8"/>
    </w:pPr>
    <w:rPr>
      <w:rFonts w:ascii="Arial" w:hAnsi="Arial" w:eastAsia="黑体"/>
      <w:sz w:val="20"/>
    </w:rPr>
  </w:style>
  <w:style w:type="character" w:styleId="1326">
    <w:name w:val="默认段落字体"/>
    <w:next w:val="1326"/>
    <w:link w:val="1316"/>
    <w:uiPriority w:val="1"/>
    <w:unhideWhenUsed/>
  </w:style>
  <w:style w:type="table" w:styleId="1327">
    <w:name w:val="普通表格"/>
    <w:next w:val="1327"/>
    <w:link w:val="1316"/>
    <w:uiPriority w:val="99"/>
    <w:unhideWhenUsed/>
    <w:tblPr/>
  </w:style>
  <w:style w:type="paragraph" w:styleId="1328">
    <w:name w:val="正文文本"/>
    <w:basedOn w:val="1316"/>
    <w:next w:val="1330"/>
    <w:link w:val="1329"/>
    <w:rPr>
      <w:rFonts w:ascii="楷体_GB2312" w:hAnsi="Arial" w:eastAsia="楷体_GB2312"/>
      <w:sz w:val="28"/>
      <w:szCs w:val="28"/>
    </w:rPr>
  </w:style>
  <w:style w:type="character" w:styleId="1329">
    <w:name w:val="正文文本 Char"/>
    <w:next w:val="1329"/>
    <w:link w:val="1328"/>
    <w:rPr>
      <w:rFonts w:ascii="楷体_GB2312" w:hAnsi="Arial" w:eastAsia="楷体_GB2312" w:cs="Times New Roman"/>
      <w:sz w:val="28"/>
      <w:szCs w:val="28"/>
    </w:rPr>
  </w:style>
  <w:style w:type="paragraph" w:styleId="1330">
    <w:name w:val="Default"/>
    <w:basedOn w:val="1331"/>
    <w:next w:val="1331"/>
    <w:link w:val="1316"/>
    <w:qFormat/>
    <w:pPr>
      <w:widowControl w:val="off"/>
    </w:pPr>
    <w:rPr>
      <w:rFonts w:ascii="宋体" w:hAnsi="Times New Roman" w:eastAsia="宋体" w:cs="宋体"/>
      <w:color w:val="000000"/>
      <w:sz w:val="24"/>
      <w:szCs w:val="24"/>
      <w:lang w:val="en-US" w:eastAsia="zh-CN" w:bidi="ar-SA"/>
    </w:rPr>
  </w:style>
  <w:style w:type="paragraph" w:styleId="1331">
    <w:name w:val="纯文本"/>
    <w:basedOn w:val="1316"/>
    <w:next w:val="1328"/>
    <w:link w:val="1332"/>
    <w:rPr>
      <w:rFonts w:ascii="宋体" w:hAnsi="Courier New"/>
      <w:sz w:val="20"/>
    </w:rPr>
  </w:style>
  <w:style w:type="character" w:styleId="1332">
    <w:name w:val="纯文本 Char"/>
    <w:next w:val="1332"/>
    <w:link w:val="1331"/>
    <w:rPr>
      <w:rFonts w:ascii="宋体" w:hAnsi="Courier New" w:eastAsia="宋体" w:cs="Courier New"/>
      <w:szCs w:val="21"/>
    </w:rPr>
  </w:style>
  <w:style w:type="character" w:styleId="1333">
    <w:name w:val="标题 1 Char"/>
    <w:next w:val="1333"/>
    <w:link w:val="1317"/>
    <w:rPr>
      <w:rFonts w:ascii="楷体_GB2312" w:hAnsi="Times New Roman" w:eastAsia="楷体_GB2312" w:cs="Times New Roman"/>
      <w:sz w:val="28"/>
      <w:szCs w:val="28"/>
    </w:rPr>
  </w:style>
  <w:style w:type="character" w:styleId="1334">
    <w:name w:val="标题 2 Char"/>
    <w:next w:val="1334"/>
    <w:link w:val="1318"/>
    <w:rPr>
      <w:rFonts w:ascii="Arial" w:hAnsi="Arial" w:eastAsia="幼圆" w:cs="Arial"/>
      <w:b/>
      <w:bCs/>
      <w:sz w:val="44"/>
      <w:szCs w:val="44"/>
    </w:rPr>
  </w:style>
  <w:style w:type="character" w:styleId="1335">
    <w:name w:val="标题 3 Char"/>
    <w:next w:val="1335"/>
    <w:link w:val="1319"/>
    <w:rPr>
      <w:rFonts w:ascii="Times New Roman" w:hAnsi="Times New Roman" w:eastAsia="宋体" w:cs="Times New Roman"/>
      <w:b/>
      <w:bCs/>
      <w:sz w:val="32"/>
      <w:szCs w:val="32"/>
    </w:rPr>
  </w:style>
  <w:style w:type="paragraph" w:styleId="1336">
    <w:name w:val="正文缩进"/>
    <w:basedOn w:val="1316"/>
    <w:next w:val="1336"/>
    <w:link w:val="1337"/>
    <w:pPr>
      <w:ind w:firstLine="420"/>
    </w:pPr>
    <w:rPr>
      <w:sz w:val="20"/>
    </w:rPr>
  </w:style>
  <w:style w:type="character" w:styleId="1337">
    <w:name w:val="正文缩进 Char"/>
    <w:next w:val="1337"/>
    <w:link w:val="1336"/>
    <w:rPr>
      <w:rFonts w:ascii="Times New Roman" w:hAnsi="Times New Roman" w:eastAsia="宋体" w:cs="Times New Roman"/>
      <w:szCs w:val="21"/>
    </w:rPr>
  </w:style>
  <w:style w:type="character" w:styleId="1338">
    <w:name w:val="标题 4 Char"/>
    <w:next w:val="1338"/>
    <w:link w:val="1320"/>
    <w:rPr>
      <w:rFonts w:ascii="Arial" w:hAnsi="Arial" w:eastAsia="黑体" w:cs="Arial"/>
      <w:b/>
      <w:bCs/>
      <w:sz w:val="28"/>
      <w:szCs w:val="28"/>
    </w:rPr>
  </w:style>
  <w:style w:type="character" w:styleId="1339">
    <w:name w:val="标题 5 Char"/>
    <w:next w:val="1339"/>
    <w:link w:val="1321"/>
    <w:rPr>
      <w:rFonts w:ascii="宋体" w:hAnsi="Times New Roman" w:eastAsia="宋体" w:cs="Times New Roman"/>
      <w:color w:val="000000"/>
      <w:sz w:val="28"/>
      <w:szCs w:val="28"/>
    </w:rPr>
  </w:style>
  <w:style w:type="character" w:styleId="1340">
    <w:name w:val="标题 6 Char"/>
    <w:next w:val="1340"/>
    <w:link w:val="1322"/>
    <w:rPr>
      <w:rFonts w:ascii="Arial" w:hAnsi="Arial" w:eastAsia="黑体" w:cs="Times New Roman"/>
      <w:b/>
      <w:bCs/>
      <w:sz w:val="24"/>
      <w:szCs w:val="24"/>
    </w:rPr>
  </w:style>
  <w:style w:type="character" w:styleId="1341">
    <w:name w:val="标题 7 Char"/>
    <w:next w:val="1341"/>
    <w:link w:val="1323"/>
    <w:rPr>
      <w:rFonts w:ascii="Times New Roman" w:hAnsi="Times New Roman" w:eastAsia="宋体" w:cs="Times New Roman"/>
      <w:b/>
      <w:bCs/>
      <w:sz w:val="24"/>
      <w:szCs w:val="24"/>
    </w:rPr>
  </w:style>
  <w:style w:type="character" w:styleId="1342">
    <w:name w:val="标题 8 Char"/>
    <w:next w:val="1342"/>
    <w:link w:val="1324"/>
    <w:rPr>
      <w:rFonts w:ascii="Arial" w:hAnsi="Arial" w:eastAsia="黑体" w:cs="Times New Roman"/>
      <w:sz w:val="24"/>
      <w:szCs w:val="24"/>
    </w:rPr>
  </w:style>
  <w:style w:type="character" w:styleId="1343">
    <w:name w:val="标题 9 Char"/>
    <w:next w:val="1343"/>
    <w:link w:val="1325"/>
    <w:rPr>
      <w:rFonts w:ascii="Arial" w:hAnsi="Arial" w:eastAsia="黑体" w:cs="Times New Roman"/>
      <w:szCs w:val="21"/>
    </w:rPr>
  </w:style>
  <w:style w:type="paragraph" w:styleId="1344">
    <w:name w:val="列表 3"/>
    <w:basedOn w:val="1316"/>
    <w:next w:val="1344"/>
    <w:link w:val="1316"/>
    <w:pPr>
      <w:ind w:left="100" w:hanging="200"/>
    </w:pPr>
  </w:style>
  <w:style w:type="paragraph" w:styleId="1345">
    <w:name w:val="目录 7"/>
    <w:basedOn w:val="1316"/>
    <w:next w:val="1316"/>
    <w:link w:val="1316"/>
    <w:semiHidden/>
    <w:pPr>
      <w:ind w:left="1260"/>
      <w:jc w:val="left"/>
    </w:pPr>
  </w:style>
  <w:style w:type="paragraph" w:styleId="1346">
    <w:name w:val="文档结构图"/>
    <w:basedOn w:val="1316"/>
    <w:next w:val="1346"/>
    <w:link w:val="1347"/>
    <w:semiHidden/>
    <w:pPr>
      <w:shd w:val="clear" w:color="auto" w:fill="000080"/>
    </w:pPr>
    <w:rPr>
      <w:sz w:val="20"/>
    </w:rPr>
  </w:style>
  <w:style w:type="character" w:styleId="1347">
    <w:name w:val="文档结构图 Char"/>
    <w:next w:val="1347"/>
    <w:link w:val="1346"/>
    <w:semiHidden/>
    <w:rPr>
      <w:rFonts w:ascii="Times New Roman" w:hAnsi="Times New Roman" w:eastAsia="宋体" w:cs="Times New Roman"/>
      <w:szCs w:val="21"/>
      <w:shd w:val="clear" w:color="auto" w:fill="000080"/>
    </w:rPr>
  </w:style>
  <w:style w:type="paragraph" w:styleId="1348">
    <w:name w:val="批注文字"/>
    <w:basedOn w:val="1316"/>
    <w:next w:val="1348"/>
    <w:link w:val="1349"/>
    <w:semiHidden/>
    <w:pPr>
      <w:jc w:val="left"/>
    </w:pPr>
    <w:rPr>
      <w:sz w:val="20"/>
    </w:rPr>
  </w:style>
  <w:style w:type="character" w:styleId="1349">
    <w:name w:val="批注文字 Char"/>
    <w:next w:val="1349"/>
    <w:link w:val="1348"/>
    <w:semiHidden/>
    <w:rPr>
      <w:rFonts w:ascii="Times New Roman" w:hAnsi="Times New Roman" w:eastAsia="宋体" w:cs="Times New Roman"/>
      <w:szCs w:val="21"/>
    </w:rPr>
  </w:style>
  <w:style w:type="paragraph" w:styleId="1350">
    <w:name w:val="正文文本 3"/>
    <w:basedOn w:val="1316"/>
    <w:next w:val="1350"/>
    <w:link w:val="1351"/>
    <w:rPr>
      <w:rFonts w:ascii="仿宋_GB2312" w:hAnsi="Arial" w:eastAsia="仿宋_GB2312"/>
      <w:sz w:val="32"/>
      <w:szCs w:val="32"/>
    </w:rPr>
  </w:style>
  <w:style w:type="character" w:styleId="1351">
    <w:name w:val="正文文本 3 Char"/>
    <w:next w:val="1351"/>
    <w:link w:val="1350"/>
    <w:rPr>
      <w:rFonts w:ascii="仿宋_GB2312" w:hAnsi="Arial" w:eastAsia="仿宋_GB2312" w:cs="Times New Roman"/>
      <w:sz w:val="32"/>
      <w:szCs w:val="32"/>
    </w:rPr>
  </w:style>
  <w:style w:type="paragraph" w:styleId="1352">
    <w:name w:val="正文文本缩进"/>
    <w:basedOn w:val="1316"/>
    <w:next w:val="1352"/>
    <w:link w:val="1353"/>
    <w:pPr>
      <w:ind w:firstLine="645"/>
    </w:pPr>
    <w:rPr>
      <w:rFonts w:ascii="楷体_GB2312" w:eastAsia="楷体_GB2312"/>
      <w:sz w:val="32"/>
      <w:szCs w:val="32"/>
    </w:rPr>
  </w:style>
  <w:style w:type="character" w:styleId="1353">
    <w:name w:val="正文文本缩进 Char"/>
    <w:next w:val="1353"/>
    <w:link w:val="1352"/>
    <w:rPr>
      <w:rFonts w:ascii="楷体_GB2312" w:hAnsi="Times New Roman" w:eastAsia="楷体_GB2312" w:cs="Times New Roman"/>
      <w:sz w:val="32"/>
      <w:szCs w:val="32"/>
    </w:rPr>
  </w:style>
  <w:style w:type="paragraph" w:styleId="1354">
    <w:name w:val="列表 2"/>
    <w:basedOn w:val="1316"/>
    <w:next w:val="1354"/>
    <w:link w:val="1316"/>
    <w:pPr>
      <w:ind w:left="100" w:hanging="200"/>
    </w:pPr>
  </w:style>
  <w:style w:type="paragraph" w:styleId="1355">
    <w:name w:val="目录 5"/>
    <w:basedOn w:val="1316"/>
    <w:next w:val="1316"/>
    <w:link w:val="1316"/>
    <w:semiHidden/>
    <w:pPr>
      <w:ind w:left="840"/>
      <w:jc w:val="left"/>
    </w:pPr>
  </w:style>
  <w:style w:type="paragraph" w:styleId="1356">
    <w:name w:val="目录 3"/>
    <w:basedOn w:val="1316"/>
    <w:next w:val="1316"/>
    <w:link w:val="1316"/>
    <w:semiHidden/>
    <w:pPr>
      <w:ind w:left="420"/>
      <w:jc w:val="left"/>
    </w:pPr>
    <w:rPr>
      <w:i/>
      <w:iCs/>
      <w:szCs w:val="24"/>
    </w:rPr>
  </w:style>
  <w:style w:type="paragraph" w:styleId="1357">
    <w:name w:val="目录 8"/>
    <w:basedOn w:val="1316"/>
    <w:next w:val="1316"/>
    <w:link w:val="1316"/>
    <w:semiHidden/>
    <w:pPr>
      <w:ind w:left="1470"/>
      <w:jc w:val="left"/>
    </w:pPr>
  </w:style>
  <w:style w:type="paragraph" w:styleId="1358">
    <w:name w:val="日期"/>
    <w:basedOn w:val="1316"/>
    <w:next w:val="1316"/>
    <w:link w:val="1359"/>
    <w:rPr>
      <w:sz w:val="24"/>
      <w:szCs w:val="24"/>
    </w:rPr>
  </w:style>
  <w:style w:type="character" w:styleId="1359">
    <w:name w:val="日期 Char"/>
    <w:next w:val="1359"/>
    <w:link w:val="1358"/>
    <w:rPr>
      <w:rFonts w:ascii="Times New Roman" w:hAnsi="Times New Roman" w:eastAsia="宋体" w:cs="Times New Roman"/>
      <w:sz w:val="24"/>
      <w:szCs w:val="24"/>
    </w:rPr>
  </w:style>
  <w:style w:type="paragraph" w:styleId="1360">
    <w:name w:val="正文文本缩进 2"/>
    <w:basedOn w:val="1316"/>
    <w:next w:val="1360"/>
    <w:link w:val="1361"/>
    <w:pPr>
      <w:ind w:left="630" w:firstLine="645"/>
    </w:pPr>
    <w:rPr>
      <w:rFonts w:ascii="Arial" w:hAnsi="Arial" w:eastAsia="仿宋_GB2312"/>
      <w:sz w:val="32"/>
      <w:szCs w:val="32"/>
    </w:rPr>
  </w:style>
  <w:style w:type="character" w:styleId="1361">
    <w:name w:val="正文文本缩进 2 Char"/>
    <w:next w:val="1361"/>
    <w:link w:val="1360"/>
    <w:rPr>
      <w:rFonts w:ascii="Arial" w:hAnsi="Arial" w:eastAsia="仿宋_GB2312" w:cs="Arial"/>
      <w:sz w:val="32"/>
      <w:szCs w:val="32"/>
    </w:rPr>
  </w:style>
  <w:style w:type="paragraph" w:styleId="1362">
    <w:name w:val="批注框文本"/>
    <w:basedOn w:val="1316"/>
    <w:next w:val="1362"/>
    <w:link w:val="1363"/>
    <w:semiHidden/>
    <w:rPr>
      <w:sz w:val="18"/>
      <w:szCs w:val="18"/>
    </w:rPr>
  </w:style>
  <w:style w:type="character" w:styleId="1363">
    <w:name w:val="批注框文本 Char"/>
    <w:next w:val="1363"/>
    <w:link w:val="1362"/>
    <w:semiHidden/>
    <w:rPr>
      <w:rFonts w:ascii="Times New Roman" w:hAnsi="Times New Roman" w:eastAsia="宋体" w:cs="Times New Roman"/>
      <w:sz w:val="18"/>
      <w:szCs w:val="18"/>
    </w:rPr>
  </w:style>
  <w:style w:type="paragraph" w:styleId="1364">
    <w:name w:val="页脚"/>
    <w:basedOn w:val="1316"/>
    <w:next w:val="1364"/>
    <w:link w:val="1365"/>
    <w:pPr>
      <w:jc w:val="left"/>
      <w:tabs>
        <w:tab w:val="center" w:pos="4153" w:leader="none"/>
        <w:tab w:val="right" w:pos="8306" w:leader="none"/>
      </w:tabs>
    </w:pPr>
    <w:rPr>
      <w:sz w:val="18"/>
      <w:szCs w:val="18"/>
    </w:rPr>
  </w:style>
  <w:style w:type="character" w:styleId="1365">
    <w:name w:val="页脚 Char"/>
    <w:next w:val="1365"/>
    <w:link w:val="1364"/>
    <w:rPr>
      <w:rFonts w:ascii="Times New Roman" w:hAnsi="Times New Roman" w:eastAsia="宋体" w:cs="Times New Roman"/>
      <w:sz w:val="18"/>
      <w:szCs w:val="18"/>
    </w:rPr>
  </w:style>
  <w:style w:type="paragraph" w:styleId="1366">
    <w:name w:val="寄信人地址"/>
    <w:basedOn w:val="1316"/>
    <w:next w:val="1366"/>
    <w:link w:val="1316"/>
    <w:uiPriority w:val="99"/>
    <w:unhideWhenUsed/>
    <w:qFormat/>
    <w:rPr>
      <w:rFonts w:ascii="Arial" w:hAnsi="Arial" w:eastAsia="宋体" w:cs="Times New Roman"/>
      <w:szCs w:val="24"/>
    </w:rPr>
  </w:style>
  <w:style w:type="paragraph" w:styleId="1367">
    <w:name w:val="页眉"/>
    <w:basedOn w:val="1316"/>
    <w:next w:val="1367"/>
    <w:link w:val="1368"/>
    <w:pPr>
      <w:jc w:val="center"/>
      <w:tabs>
        <w:tab w:val="center" w:pos="4153" w:leader="none"/>
        <w:tab w:val="right" w:pos="8306" w:leader="none"/>
      </w:tabs>
      <w:pBdr>
        <w:bottom w:val="single" w:color="000000" w:sz="6" w:space="1"/>
      </w:pBdr>
    </w:pPr>
    <w:rPr>
      <w:sz w:val="18"/>
      <w:szCs w:val="18"/>
    </w:rPr>
  </w:style>
  <w:style w:type="character" w:styleId="1368">
    <w:name w:val="页眉 Char"/>
    <w:next w:val="1368"/>
    <w:link w:val="1367"/>
    <w:rPr>
      <w:rFonts w:ascii="Times New Roman" w:hAnsi="Times New Roman" w:eastAsia="宋体" w:cs="Times New Roman"/>
      <w:sz w:val="18"/>
      <w:szCs w:val="18"/>
    </w:rPr>
  </w:style>
  <w:style w:type="paragraph" w:styleId="1369">
    <w:name w:val="目录 1"/>
    <w:basedOn w:val="1316"/>
    <w:next w:val="1316"/>
    <w:link w:val="1316"/>
    <w:semiHidden/>
    <w:pPr>
      <w:jc w:val="left"/>
      <w:spacing w:before="120" w:after="120" w:line="400" w:lineRule="exact"/>
      <w:tabs>
        <w:tab w:val="right" w:pos="8720" w:leader="dot"/>
      </w:tabs>
    </w:pPr>
    <w:rPr>
      <w:rFonts w:ascii="宋体" w:hAnsi="宋体"/>
      <w:caps/>
      <w:sz w:val="24"/>
      <w:szCs w:val="24"/>
    </w:rPr>
  </w:style>
  <w:style w:type="paragraph" w:styleId="1370">
    <w:name w:val="目录 4"/>
    <w:basedOn w:val="1316"/>
    <w:next w:val="1316"/>
    <w:link w:val="1316"/>
    <w:semiHidden/>
    <w:pPr>
      <w:ind w:left="630"/>
      <w:jc w:val="left"/>
    </w:pPr>
  </w:style>
  <w:style w:type="paragraph" w:styleId="1371">
    <w:name w:val="列表"/>
    <w:basedOn w:val="1316"/>
    <w:next w:val="1371"/>
    <w:link w:val="1316"/>
    <w:pPr>
      <w:ind w:left="200" w:hanging="200"/>
    </w:pPr>
  </w:style>
  <w:style w:type="paragraph" w:styleId="1372">
    <w:name w:val="目录 6"/>
    <w:basedOn w:val="1316"/>
    <w:next w:val="1316"/>
    <w:link w:val="1316"/>
    <w:semiHidden/>
    <w:pPr>
      <w:ind w:left="1050"/>
      <w:jc w:val="left"/>
    </w:pPr>
  </w:style>
  <w:style w:type="paragraph" w:styleId="1373">
    <w:name w:val="正文文本缩进 3"/>
    <w:basedOn w:val="1316"/>
    <w:next w:val="1373"/>
    <w:link w:val="1374"/>
    <w:pPr>
      <w:ind w:left="645" w:firstLine="645"/>
    </w:pPr>
    <w:rPr>
      <w:rFonts w:ascii="Arial" w:hAnsi="Arial" w:eastAsia="仿宋_GB2312"/>
      <w:color w:val="ffff00"/>
      <w:sz w:val="32"/>
      <w:szCs w:val="32"/>
    </w:rPr>
  </w:style>
  <w:style w:type="character" w:styleId="1374">
    <w:name w:val="正文文本缩进 3 Char"/>
    <w:next w:val="1374"/>
    <w:link w:val="1373"/>
    <w:rPr>
      <w:rFonts w:ascii="Arial" w:hAnsi="Arial" w:eastAsia="仿宋_GB2312" w:cs="Arial"/>
      <w:color w:val="ffff00"/>
      <w:sz w:val="32"/>
      <w:szCs w:val="32"/>
    </w:rPr>
  </w:style>
  <w:style w:type="paragraph" w:styleId="1375">
    <w:name w:val="图表目录"/>
    <w:basedOn w:val="1316"/>
    <w:next w:val="1316"/>
    <w:link w:val="1316"/>
    <w:semiHidden/>
    <w:pPr>
      <w:ind w:left="840" w:hanging="420"/>
    </w:pPr>
  </w:style>
  <w:style w:type="paragraph" w:styleId="1376">
    <w:name w:val="目录 2"/>
    <w:basedOn w:val="1316"/>
    <w:next w:val="1316"/>
    <w:link w:val="1316"/>
    <w:semiHidden/>
    <w:pPr>
      <w:ind w:left="210"/>
      <w:jc w:val="left"/>
    </w:pPr>
    <w:rPr>
      <w:smallCaps/>
      <w:szCs w:val="24"/>
    </w:rPr>
  </w:style>
  <w:style w:type="paragraph" w:styleId="1377">
    <w:name w:val="目录 9"/>
    <w:basedOn w:val="1316"/>
    <w:next w:val="1316"/>
    <w:link w:val="1316"/>
    <w:semiHidden/>
    <w:pPr>
      <w:ind w:left="1680"/>
      <w:jc w:val="left"/>
    </w:pPr>
  </w:style>
  <w:style w:type="paragraph" w:styleId="1378">
    <w:name w:val="正文文本 2"/>
    <w:basedOn w:val="1316"/>
    <w:next w:val="1378"/>
    <w:link w:val="1379"/>
    <w:pPr>
      <w:jc w:val="center"/>
      <w:widowControl/>
    </w:pPr>
    <w:rPr>
      <w:rFonts w:ascii="楷体_GB2312" w:eastAsia="楷体_GB2312"/>
      <w:sz w:val="28"/>
      <w:szCs w:val="28"/>
    </w:rPr>
  </w:style>
  <w:style w:type="character" w:styleId="1379">
    <w:name w:val="正文文本 2 Char"/>
    <w:next w:val="1379"/>
    <w:link w:val="1378"/>
    <w:rPr>
      <w:rFonts w:ascii="楷体_GB2312" w:hAnsi="Times New Roman" w:eastAsia="楷体_GB2312" w:cs="Times New Roman"/>
      <w:sz w:val="28"/>
      <w:szCs w:val="28"/>
    </w:rPr>
  </w:style>
  <w:style w:type="paragraph" w:styleId="1380">
    <w:name w:val="普通(网站)"/>
    <w:basedOn w:val="1316"/>
    <w:next w:val="1380"/>
    <w:link w:val="1316"/>
    <w:uiPriority w:val="99"/>
    <w:pPr>
      <w:jc w:val="left"/>
      <w:spacing w:before="100" w:beforeAutospacing="1" w:after="100" w:afterAutospacing="1"/>
      <w:widowControl/>
    </w:pPr>
    <w:rPr>
      <w:rFonts w:ascii="宋体" w:hAnsi="宋体" w:cs="宋体"/>
      <w:sz w:val="24"/>
      <w:szCs w:val="24"/>
    </w:rPr>
  </w:style>
  <w:style w:type="paragraph" w:styleId="1381">
    <w:name w:val="索引 1"/>
    <w:basedOn w:val="1316"/>
    <w:next w:val="1316"/>
    <w:link w:val="1316"/>
    <w:semiHidden/>
    <w:pPr>
      <w:spacing w:line="240" w:lineRule="atLeast"/>
    </w:pPr>
    <w:rPr>
      <w:b/>
      <w:bCs/>
    </w:rPr>
  </w:style>
  <w:style w:type="paragraph" w:styleId="1382">
    <w:name w:val="批注主题"/>
    <w:basedOn w:val="1348"/>
    <w:next w:val="1348"/>
    <w:link w:val="1383"/>
    <w:semiHidden/>
    <w:rPr>
      <w:b/>
      <w:bCs/>
      <w:sz w:val="20"/>
    </w:rPr>
  </w:style>
  <w:style w:type="character" w:styleId="1383">
    <w:name w:val="批注主题 Char"/>
    <w:next w:val="1383"/>
    <w:link w:val="1382"/>
    <w:semiHidden/>
    <w:rPr>
      <w:rFonts w:ascii="Times New Roman" w:hAnsi="Times New Roman" w:eastAsia="宋体" w:cs="Times New Roman"/>
      <w:b/>
      <w:bCs/>
      <w:szCs w:val="21"/>
    </w:rPr>
  </w:style>
  <w:style w:type="paragraph" w:styleId="1384">
    <w:name w:val="正文首行缩进"/>
    <w:basedOn w:val="1328"/>
    <w:next w:val="1384"/>
    <w:link w:val="1385"/>
    <w:pPr>
      <w:ind w:firstLine="200"/>
      <w:spacing w:line="360" w:lineRule="auto"/>
    </w:pPr>
    <w:rPr>
      <w:rFonts w:ascii="仿宋_GB2312" w:hAnsi="Times New Roman" w:eastAsia="仿宋_GB2312"/>
      <w:sz w:val="30"/>
      <w:szCs w:val="30"/>
    </w:rPr>
  </w:style>
  <w:style w:type="character" w:styleId="1385">
    <w:name w:val="正文首行缩进 Char"/>
    <w:next w:val="1385"/>
    <w:link w:val="1384"/>
    <w:rPr>
      <w:rFonts w:ascii="仿宋_GB2312" w:hAnsi="Times New Roman" w:eastAsia="仿宋_GB2312" w:cs="Times New Roman"/>
      <w:sz w:val="30"/>
      <w:szCs w:val="30"/>
    </w:rPr>
  </w:style>
  <w:style w:type="paragraph" w:styleId="1386">
    <w:name w:val="正文首行缩进 2"/>
    <w:basedOn w:val="1352"/>
    <w:next w:val="1386"/>
    <w:link w:val="1387"/>
    <w:pPr>
      <w:ind w:firstLine="420"/>
      <w:spacing w:line="360" w:lineRule="auto"/>
    </w:pPr>
    <w:rPr>
      <w:rFonts w:ascii="宋体" w:hAnsi="宋体" w:eastAsia="宋体"/>
      <w:szCs w:val="20"/>
    </w:rPr>
  </w:style>
  <w:style w:type="character" w:styleId="1387">
    <w:name w:val="正文首行缩进 2 Char"/>
    <w:next w:val="1387"/>
    <w:link w:val="1386"/>
    <w:rPr>
      <w:rFonts w:ascii="宋体" w:hAnsi="宋体" w:eastAsia="宋体" w:cs="Times New Roman"/>
      <w:sz w:val="32"/>
      <w:szCs w:val="20"/>
    </w:rPr>
  </w:style>
  <w:style w:type="table" w:styleId="1388">
    <w:name w:val="网格型"/>
    <w:basedOn w:val="1327"/>
    <w:next w:val="1388"/>
    <w:link w:val="1316"/>
    <w:pPr>
      <w:jc w:val="both"/>
      <w:widowControl w:val="off"/>
    </w:pPr>
    <w:rPr>
      <w:rFonts w:ascii="Times New Roman" w:hAnsi="Times New Roman" w:eastAsia="宋体" w:cs="Times New Roman"/>
      <w:sz w:val="20"/>
      <w:szCs w:val="20"/>
    </w:rPr>
    <w:tblPr/>
  </w:style>
  <w:style w:type="character" w:styleId="1389">
    <w:name w:val="要点"/>
    <w:next w:val="1389"/>
    <w:link w:val="1316"/>
    <w:qFormat/>
    <w:rPr>
      <w:b/>
      <w:bCs/>
    </w:rPr>
  </w:style>
  <w:style w:type="character" w:styleId="1390">
    <w:name w:val="页码"/>
    <w:next w:val="1390"/>
    <w:link w:val="1316"/>
  </w:style>
  <w:style w:type="character" w:styleId="1391">
    <w:name w:val="已访问的超链接"/>
    <w:next w:val="1391"/>
    <w:link w:val="1316"/>
    <w:rPr>
      <w:color w:val="800080"/>
      <w:u w:val="single"/>
    </w:rPr>
  </w:style>
  <w:style w:type="character" w:styleId="1392">
    <w:name w:val="超链接"/>
    <w:next w:val="1392"/>
    <w:link w:val="1316"/>
    <w:rPr>
      <w:color w:val="0000ff"/>
      <w:u w:val="single"/>
    </w:rPr>
  </w:style>
  <w:style w:type="character" w:styleId="1393">
    <w:name w:val="批注引用"/>
    <w:next w:val="1393"/>
    <w:link w:val="1316"/>
    <w:semiHidden/>
    <w:rPr>
      <w:sz w:val="21"/>
      <w:szCs w:val="21"/>
    </w:rPr>
  </w:style>
  <w:style w:type="paragraph" w:styleId="1394">
    <w:name w:val="批注框文本1"/>
    <w:basedOn w:val="1316"/>
    <w:next w:val="1394"/>
    <w:link w:val="1316"/>
    <w:uiPriority w:val="99"/>
    <w:unhideWhenUsed/>
    <w:qFormat/>
    <w:rPr>
      <w:sz w:val="18"/>
      <w:szCs w:val="18"/>
    </w:rPr>
  </w:style>
  <w:style w:type="paragraph" w:styleId="1395">
    <w:name w:val="正文文本1"/>
    <w:basedOn w:val="1316"/>
    <w:next w:val="1316"/>
    <w:link w:val="1316"/>
    <w:qFormat/>
    <w:rPr>
      <w:rFonts w:ascii="楷体_GB2312" w:hAnsi="Arial" w:eastAsia="楷体_GB2312"/>
      <w:sz w:val="28"/>
      <w:szCs w:val="28"/>
    </w:rPr>
  </w:style>
  <w:style w:type="paragraph" w:styleId="1396">
    <w:name w:val="footer1"/>
    <w:basedOn w:val="1397"/>
    <w:next w:val="1396"/>
    <w:link w:val="1316"/>
    <w:qFormat/>
    <w:pPr>
      <w:jc w:val="left"/>
      <w:tabs>
        <w:tab w:val="center" w:pos="4153" w:leader="none"/>
        <w:tab w:val="right" w:pos="8306" w:leader="none"/>
      </w:tabs>
    </w:pPr>
    <w:rPr>
      <w:sz w:val="18"/>
    </w:rPr>
  </w:style>
  <w:style w:type="paragraph" w:styleId="1397">
    <w:name w:val="正文111"/>
    <w:next w:val="1398"/>
    <w:link w:val="1316"/>
    <w:qFormat/>
    <w:pPr>
      <w:jc w:val="both"/>
      <w:widowControl w:val="off"/>
    </w:pPr>
    <w:rPr>
      <w:sz w:val="21"/>
      <w:szCs w:val="22"/>
      <w:lang w:val="en-US" w:eastAsia="zh-CN" w:bidi="ar-SA"/>
    </w:rPr>
  </w:style>
  <w:style w:type="paragraph" w:styleId="1398">
    <w:name w:val="标题 41"/>
    <w:basedOn w:val="1399"/>
    <w:next w:val="1397"/>
    <w:link w:val="1316"/>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399">
    <w:name w:val="正文11"/>
    <w:next w:val="1396"/>
    <w:link w:val="1316"/>
    <w:qFormat/>
    <w:pPr>
      <w:jc w:val="both"/>
      <w:spacing w:line="856" w:lineRule="atLeast"/>
    </w:pPr>
    <w:rPr>
      <w:color w:val="000000"/>
      <w:sz w:val="21"/>
      <w:lang w:val="en-US" w:eastAsia="zh-CN" w:bidi="ar-SA"/>
    </w:rPr>
  </w:style>
  <w:style w:type="character" w:styleId="1400">
    <w:name w:val="列出段落 Char,Bullet List Char,numbered Char,FooterText Char,List Paragraph1 Char,Paragraphe de liste1 Char"/>
    <w:next w:val="1400"/>
    <w:link w:val="1401"/>
    <w:rPr>
      <w:rFonts w:ascii="Calibri" w:hAnsi="Calibri"/>
      <w:sz w:val="24"/>
      <w:szCs w:val="24"/>
      <w:lang w:eastAsia="en-US" w:bidi="en-US"/>
    </w:rPr>
  </w:style>
  <w:style w:type="paragraph" w:styleId="1401">
    <w:name w:val="列出段落1"/>
    <w:basedOn w:val="1316"/>
    <w:next w:val="1401"/>
    <w:link w:val="1400"/>
    <w:qFormat/>
    <w:pPr>
      <w:contextualSpacing/>
      <w:ind w:left="720"/>
      <w:jc w:val="left"/>
      <w:widowControl/>
    </w:pPr>
    <w:rPr>
      <w:rFonts w:ascii="Calibri" w:hAnsi="Calibri"/>
      <w:sz w:val="24"/>
      <w:szCs w:val="24"/>
      <w:lang w:eastAsia="en-US" w:bidi="en-US"/>
    </w:rPr>
  </w:style>
  <w:style w:type="character" w:styleId="1402">
    <w:name w:val="二级目录 Char"/>
    <w:next w:val="1402"/>
    <w:link w:val="1403"/>
    <w:rPr>
      <w:b/>
      <w:sz w:val="30"/>
      <w:szCs w:val="28"/>
      <w:lang w:val="en-US" w:eastAsia="zh-CN" w:bidi="ar-SA"/>
    </w:rPr>
  </w:style>
  <w:style w:type="paragraph" w:styleId="1403">
    <w:name w:val="二级目录"/>
    <w:next w:val="1316"/>
    <w:link w:val="1402"/>
    <w:pPr>
      <w:numPr>
        <w:ilvl w:val="0"/>
        <w:numId w:val="2"/>
      </w:numPr>
      <w:tabs>
        <w:tab w:val="left" w:pos="907" w:leader="none"/>
        <w:tab w:val="left" w:pos="1145" w:leader="none"/>
      </w:tabs>
      <w:outlineLvl w:val="1"/>
    </w:pPr>
    <w:rPr>
      <w:b/>
      <w:sz w:val="30"/>
      <w:szCs w:val="28"/>
      <w:lang w:val="en-US" w:eastAsia="zh-CN" w:bidi="ar-SA"/>
    </w:rPr>
  </w:style>
  <w:style w:type="character" w:styleId="1404">
    <w:name w:val="NormalCharacter1"/>
    <w:next w:val="1404"/>
    <w:link w:val="1316"/>
    <w:semiHidden/>
    <w:qFormat/>
    <w:rPr>
      <w:color w:val="000000"/>
      <w:sz w:val="21"/>
      <w:u w:val="none"/>
      <w:lang w:val="en-US" w:eastAsia="zh-CN" w:bidi="ar-SA"/>
    </w:rPr>
  </w:style>
  <w:style w:type="character" w:styleId="1405">
    <w:name w:val="font5 Char"/>
    <w:next w:val="1405"/>
    <w:link w:val="1316"/>
    <w:rPr>
      <w:rFonts w:ascii="宋体" w:hAnsi="宋体" w:eastAsia="宋体"/>
      <w:sz w:val="28"/>
      <w:szCs w:val="28"/>
      <w:lang w:val="en-US" w:eastAsia="zh-CN" w:bidi="ar-SA"/>
    </w:rPr>
  </w:style>
  <w:style w:type="paragraph" w:styleId="1406">
    <w:name w:val="附录1"/>
    <w:next w:val="1406"/>
    <w:link w:val="1316"/>
    <w:pPr>
      <w:numPr>
        <w:ilvl w:val="0"/>
        <w:numId w:val="2"/>
      </w:numPr>
      <w:spacing w:before="240" w:line="600" w:lineRule="atLeast"/>
      <w:tabs>
        <w:tab w:val="left" w:pos="907" w:leader="none"/>
      </w:tabs>
    </w:pPr>
    <w:rPr>
      <w:b/>
      <w:i/>
      <w:sz w:val="28"/>
      <w:lang w:val="en-US" w:eastAsia="zh-CN" w:bidi="ar-SA"/>
    </w:rPr>
  </w:style>
  <w:style w:type="paragraph" w:styleId="1407">
    <w:name w:val=" Char"/>
    <w:basedOn w:val="1346"/>
    <w:next w:val="1407"/>
    <w:link w:val="1316"/>
    <w:rPr>
      <w:rFonts w:ascii="Tahoma" w:hAnsi="Tahoma"/>
      <w:sz w:val="24"/>
      <w:szCs w:val="24"/>
    </w:rPr>
  </w:style>
  <w:style w:type="paragraph" w:styleId="1408">
    <w:name w:val="table_1stline"/>
    <w:basedOn w:val="1316"/>
    <w:next w:val="1408"/>
    <w:link w:val="1316"/>
    <w:pPr>
      <w:jc w:val="left"/>
      <w:spacing w:before="120"/>
      <w:widowControl/>
    </w:pPr>
    <w:rPr>
      <w:bCs/>
      <w:sz w:val="20"/>
      <w:szCs w:val="20"/>
      <w:lang w:val="de-DE" w:eastAsia="de-DE"/>
    </w:rPr>
  </w:style>
  <w:style w:type="paragraph" w:styleId="1409">
    <w:name w:val="Body Text(ch)"/>
    <w:basedOn w:val="1316"/>
    <w:next w:val="1328"/>
    <w:link w:val="1316"/>
    <w:pPr>
      <w:spacing w:after="120"/>
    </w:pPr>
    <w:rPr>
      <w:rFonts w:ascii="宋体" w:hAnsi="Arial"/>
      <w:bCs/>
      <w:iCs/>
      <w:szCs w:val="24"/>
    </w:rPr>
  </w:style>
  <w:style w:type="paragraph" w:styleId="1410">
    <w:name w:val="标题 2_0"/>
    <w:basedOn w:val="1411"/>
    <w:next w:val="1411"/>
    <w:link w:val="1316"/>
    <w:qFormat/>
    <w:pPr>
      <w:jc w:val="center"/>
      <w:keepLines/>
      <w:keepNext/>
      <w:spacing w:before="260" w:after="260" w:line="416" w:lineRule="auto"/>
      <w:outlineLvl w:val="1"/>
    </w:pPr>
    <w:rPr>
      <w:rFonts w:ascii="幼圆" w:hAnsi="Arial" w:eastAsia="楷体_GB2312"/>
      <w:b/>
      <w:sz w:val="44"/>
      <w:szCs w:val="20"/>
    </w:rPr>
  </w:style>
  <w:style w:type="paragraph" w:styleId="1411">
    <w:name w:val="正文_0"/>
    <w:next w:val="1410"/>
    <w:link w:val="1316"/>
    <w:qFormat/>
    <w:pPr>
      <w:jc w:val="both"/>
      <w:widowControl w:val="off"/>
    </w:pPr>
    <w:rPr>
      <w:sz w:val="21"/>
      <w:szCs w:val="24"/>
      <w:lang w:val="en-US" w:eastAsia="zh-CN" w:bidi="ar-SA"/>
    </w:rPr>
  </w:style>
  <w:style w:type="paragraph" w:styleId="1412">
    <w:name w:val="font7"/>
    <w:basedOn w:val="1316"/>
    <w:next w:val="1412"/>
    <w:link w:val="1316"/>
    <w:pPr>
      <w:jc w:val="left"/>
      <w:spacing w:before="100" w:beforeAutospacing="1" w:after="100" w:afterAutospacing="1"/>
      <w:widowControl/>
    </w:pPr>
    <w:rPr>
      <w:rFonts w:hint="eastAsia" w:ascii="宋体" w:hAnsi="宋体"/>
      <w:sz w:val="18"/>
      <w:szCs w:val="18"/>
    </w:rPr>
  </w:style>
  <w:style w:type="paragraph" w:styleId="1413">
    <w:name w:val="table_lines"/>
    <w:basedOn w:val="1316"/>
    <w:next w:val="1413"/>
    <w:link w:val="1316"/>
    <w:pPr>
      <w:jc w:val="left"/>
      <w:widowControl/>
    </w:pPr>
    <w:rPr>
      <w:sz w:val="20"/>
      <w:szCs w:val="20"/>
      <w:lang w:val="de-DE" w:eastAsia="de-DE"/>
    </w:rPr>
  </w:style>
  <w:style w:type="paragraph" w:styleId="1414">
    <w:name w:val="xl28"/>
    <w:basedOn w:val="1316"/>
    <w:next w:val="1414"/>
    <w:link w:val="131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415">
    <w:name w:val=" Char Char Char Char Char Char Char Char"/>
    <w:basedOn w:val="1316"/>
    <w:next w:val="1415"/>
    <w:link w:val="1316"/>
    <w:pPr>
      <w:jc w:val="left"/>
      <w:spacing w:after="160" w:line="240" w:lineRule="exact"/>
      <w:widowControl/>
    </w:pPr>
    <w:rPr>
      <w:rFonts w:ascii="Verdana" w:hAnsi="Verdana"/>
      <w:sz w:val="20"/>
      <w:szCs w:val="20"/>
      <w:lang w:eastAsia="en-US"/>
    </w:rPr>
  </w:style>
  <w:style w:type="paragraph" w:styleId="1416">
    <w:name w:val="Char"/>
    <w:basedOn w:val="1316"/>
    <w:next w:val="1416"/>
    <w:link w:val="1316"/>
    <w:pPr>
      <w:ind w:firstLine="200"/>
      <w:tabs>
        <w:tab w:val="left" w:pos="360" w:leader="none"/>
      </w:tabs>
    </w:pPr>
    <w:rPr>
      <w:sz w:val="28"/>
      <w:szCs w:val="30"/>
    </w:rPr>
  </w:style>
  <w:style w:type="paragraph" w:styleId="1417">
    <w:name w:val="xl27"/>
    <w:basedOn w:val="1316"/>
    <w:next w:val="1417"/>
    <w:link w:val="13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18">
    <w:name w:val="xl24"/>
    <w:basedOn w:val="1316"/>
    <w:next w:val="1418"/>
    <w:link w:val="13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19">
    <w:name w:val="xl26"/>
    <w:basedOn w:val="1316"/>
    <w:next w:val="1419"/>
    <w:link w:val="13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20">
    <w:name w:val="普通正文"/>
    <w:basedOn w:val="1316"/>
    <w:next w:val="1420"/>
    <w:link w:val="1316"/>
    <w:pPr>
      <w:ind w:firstLine="480"/>
      <w:jc w:val="left"/>
      <w:spacing w:before="120" w:after="120" w:line="360" w:lineRule="auto"/>
    </w:pPr>
    <w:rPr>
      <w:rFonts w:ascii="Arial" w:hAnsi="Arial"/>
      <w:sz w:val="24"/>
      <w:szCs w:val="24"/>
    </w:rPr>
  </w:style>
  <w:style w:type="paragraph" w:styleId="1421">
    <w:name w:val=" Char Char Char Char"/>
    <w:basedOn w:val="1346"/>
    <w:next w:val="1421"/>
    <w:link w:val="1316"/>
    <w:pPr>
      <w:spacing w:line="360" w:lineRule="auto"/>
    </w:pPr>
    <w:rPr>
      <w:rFonts w:ascii="Tahoma" w:hAnsi="Tahoma"/>
      <w:sz w:val="24"/>
      <w:szCs w:val="24"/>
    </w:rPr>
  </w:style>
  <w:style w:type="paragraph" w:styleId="1422">
    <w:name w:val="列出段落"/>
    <w:basedOn w:val="1316"/>
    <w:next w:val="1422"/>
    <w:link w:val="1316"/>
    <w:qFormat/>
    <w:pPr>
      <w:contextualSpacing/>
      <w:ind w:left="720"/>
      <w:jc w:val="left"/>
      <w:widowControl/>
    </w:pPr>
    <w:rPr>
      <w:rFonts w:ascii="Calibri" w:hAnsi="Calibri"/>
      <w:sz w:val="24"/>
      <w:szCs w:val="24"/>
      <w:lang w:eastAsia="en-US" w:bidi="en-US"/>
    </w:rPr>
  </w:style>
  <w:style w:type="paragraph" w:styleId="1423">
    <w:name w:val="4"/>
    <w:basedOn w:val="1316"/>
    <w:next w:val="1373"/>
    <w:link w:val="1316"/>
    <w:pPr>
      <w:ind w:firstLine="420"/>
      <w:spacing w:line="360" w:lineRule="auto"/>
    </w:pPr>
    <w:rPr>
      <w:color w:val="ff0000"/>
      <w:sz w:val="24"/>
      <w:szCs w:val="24"/>
    </w:rPr>
  </w:style>
  <w:style w:type="paragraph" w:styleId="1424">
    <w:name w:val="普通 (Web)"/>
    <w:basedOn w:val="1316"/>
    <w:next w:val="1424"/>
    <w:link w:val="1316"/>
    <w:pPr>
      <w:jc w:val="left"/>
      <w:spacing w:before="100" w:beforeAutospacing="1" w:after="100" w:afterAutospacing="1"/>
      <w:widowControl/>
    </w:pPr>
    <w:rPr>
      <w:rFonts w:ascii="宋体" w:hAnsi="宋体"/>
      <w:sz w:val="24"/>
      <w:szCs w:val="24"/>
    </w:rPr>
  </w:style>
  <w:style w:type="paragraph" w:styleId="1425">
    <w:name w:val=" Char Char Char Char Char Char Char Char Char Char"/>
    <w:basedOn w:val="1316"/>
    <w:next w:val="1425"/>
    <w:link w:val="1316"/>
    <w:pPr>
      <w:spacing w:line="360" w:lineRule="auto"/>
    </w:pPr>
    <w:rPr>
      <w:sz w:val="24"/>
      <w:szCs w:val="20"/>
    </w:rPr>
  </w:style>
  <w:style w:type="paragraph" w:styleId="1426">
    <w:name w:val="样式1"/>
    <w:basedOn w:val="1316"/>
    <w:next w:val="1426"/>
    <w:link w:val="1316"/>
    <w:pPr>
      <w:numPr>
        <w:ilvl w:val="0"/>
        <w:numId w:val="3"/>
      </w:numPr>
      <w:tabs>
        <w:tab w:val="left" w:pos="709" w:leader="none"/>
      </w:tabs>
    </w:pPr>
    <w:rPr>
      <w:rFonts w:ascii="宋体" w:hAnsi="宋体"/>
    </w:rPr>
  </w:style>
  <w:style w:type="paragraph" w:styleId="1427">
    <w:name w:val="font6"/>
    <w:basedOn w:val="1316"/>
    <w:next w:val="1427"/>
    <w:link w:val="1316"/>
    <w:pPr>
      <w:jc w:val="left"/>
      <w:spacing w:before="100" w:beforeAutospacing="1" w:after="100" w:afterAutospacing="1"/>
      <w:widowControl/>
    </w:pPr>
    <w:rPr>
      <w:rFonts w:hint="eastAsia" w:ascii="宋体" w:hAnsi="宋体"/>
      <w:sz w:val="28"/>
      <w:szCs w:val="28"/>
      <w:u w:val="single"/>
    </w:rPr>
  </w:style>
  <w:style w:type="paragraph" w:styleId="1428">
    <w:name w:val="xl25"/>
    <w:basedOn w:val="1316"/>
    <w:next w:val="1428"/>
    <w:link w:val="131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429">
    <w:name w:val="图标"/>
    <w:basedOn w:val="1316"/>
    <w:next w:val="1316"/>
    <w:link w:val="131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30">
    <w:name w:val="标题3"/>
    <w:basedOn w:val="1316"/>
    <w:next w:val="1316"/>
    <w:link w:val="1316"/>
    <w:pPr>
      <w:ind w:firstLine="624"/>
      <w:spacing w:line="590" w:lineRule="atLeast"/>
    </w:pPr>
    <w:rPr>
      <w:rFonts w:ascii="方正黑体_GBK" w:eastAsia="方正黑体_GBK"/>
      <w:sz w:val="32"/>
      <w:szCs w:val="32"/>
    </w:rPr>
  </w:style>
  <w:style w:type="paragraph" w:styleId="1431">
    <w:name w:val="xl29"/>
    <w:basedOn w:val="1316"/>
    <w:next w:val="1431"/>
    <w:link w:val="131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432">
    <w:name w:val="Char Char Char Char Char Char Char Char"/>
    <w:basedOn w:val="1316"/>
    <w:next w:val="1432"/>
    <w:link w:val="1316"/>
    <w:pPr>
      <w:jc w:val="left"/>
      <w:spacing w:after="160" w:line="240" w:lineRule="exact"/>
      <w:widowControl/>
    </w:pPr>
    <w:rPr>
      <w:rFonts w:ascii="Verdana" w:hAnsi="Verdana"/>
      <w:sz w:val="20"/>
      <w:szCs w:val="20"/>
      <w:lang w:eastAsia="en-US"/>
    </w:rPr>
  </w:style>
  <w:style w:type="paragraph" w:styleId="1433">
    <w:name w:val="xl30"/>
    <w:basedOn w:val="1316"/>
    <w:next w:val="1433"/>
    <w:link w:val="1316"/>
    <w:pPr>
      <w:jc w:val="center"/>
      <w:spacing w:before="100" w:beforeAutospacing="1" w:after="100" w:afterAutospacing="1"/>
      <w:widowControl/>
    </w:pPr>
    <w:rPr>
      <w:rFonts w:ascii="宋体" w:hAnsi="宋体"/>
      <w:b/>
      <w:bCs/>
      <w:sz w:val="36"/>
      <w:szCs w:val="36"/>
    </w:rPr>
  </w:style>
  <w:style w:type="paragraph" w:styleId="1434">
    <w:name w:val="Char Char Char Char"/>
    <w:basedOn w:val="1346"/>
    <w:next w:val="1434"/>
    <w:link w:val="1316"/>
    <w:pPr>
      <w:spacing w:line="360" w:lineRule="auto"/>
    </w:pPr>
    <w:rPr>
      <w:rFonts w:ascii="Tahoma" w:hAnsi="Tahoma"/>
      <w:sz w:val="24"/>
      <w:szCs w:val="24"/>
    </w:rPr>
  </w:style>
  <w:style w:type="paragraph" w:styleId="1435">
    <w:name w:val="font5"/>
    <w:basedOn w:val="1316"/>
    <w:next w:val="1435"/>
    <w:link w:val="1316"/>
    <w:pPr>
      <w:jc w:val="left"/>
      <w:spacing w:before="100" w:beforeAutospacing="1" w:after="100" w:afterAutospacing="1"/>
      <w:widowControl/>
    </w:pPr>
    <w:rPr>
      <w:rFonts w:hint="eastAsia" w:ascii="宋体" w:hAnsi="宋体"/>
      <w:sz w:val="28"/>
      <w:szCs w:val="28"/>
    </w:rPr>
  </w:style>
  <w:style w:type="paragraph" w:styleId="1436">
    <w:name w:val="标题1"/>
    <w:basedOn w:val="1316"/>
    <w:next w:val="1316"/>
    <w:link w:val="1316"/>
    <w:pPr>
      <w:jc w:val="center"/>
      <w:spacing w:line="700" w:lineRule="atLeast"/>
      <w:tabs>
        <w:tab w:val="left" w:pos="9193" w:leader="none"/>
        <w:tab w:val="left" w:pos="9827" w:leader="none"/>
      </w:tabs>
    </w:pPr>
    <w:rPr>
      <w:rFonts w:ascii="方正小标宋_GBK" w:eastAsia="方正小标宋_GBK"/>
      <w:sz w:val="44"/>
      <w:szCs w:val="20"/>
    </w:rPr>
  </w:style>
  <w:style w:type="paragraph" w:styleId="1437">
    <w:name w:val="修订"/>
    <w:next w:val="1437"/>
    <w:link w:val="1316"/>
    <w:uiPriority w:val="99"/>
    <w:semiHidden/>
    <w:rPr>
      <w:sz w:val="21"/>
      <w:szCs w:val="21"/>
      <w:lang w:val="en-US" w:eastAsia="zh-CN" w:bidi="ar-SA"/>
    </w:rPr>
  </w:style>
  <w:style w:type="paragraph" w:styleId="1438">
    <w:name w:val="无间隔"/>
    <w:next w:val="1438"/>
    <w:link w:val="1316"/>
    <w:uiPriority w:val="99"/>
    <w:qFormat/>
    <w:pPr>
      <w:jc w:val="both"/>
      <w:widowControl w:val="off"/>
    </w:pPr>
    <w:rPr>
      <w:sz w:val="21"/>
      <w:szCs w:val="21"/>
      <w:lang w:val="en-US" w:eastAsia="zh-CN" w:bidi="ar-SA"/>
    </w:rPr>
  </w:style>
  <w:style w:type="paragraph" w:styleId="1439">
    <w:name w:val="正文_1_0"/>
    <w:next w:val="1439"/>
    <w:link w:val="1316"/>
    <w:qFormat/>
    <w:pPr>
      <w:jc w:val="both"/>
      <w:widowControl w:val="off"/>
    </w:pPr>
    <w:rPr>
      <w:sz w:val="21"/>
      <w:szCs w:val="22"/>
      <w:lang w:val="en-US" w:eastAsia="zh-CN" w:bidi="ar-SA"/>
    </w:rPr>
  </w:style>
  <w:style w:type="paragraph" w:styleId="1440">
    <w:name w:val="普通(网站)_0"/>
    <w:basedOn w:val="1411"/>
    <w:next w:val="1440"/>
    <w:link w:val="1316"/>
    <w:qFormat/>
    <w:pPr>
      <w:jc w:val="left"/>
      <w:spacing w:before="100" w:beforeAutospacing="1" w:after="100" w:afterAutospacing="1"/>
      <w:widowControl/>
    </w:pPr>
    <w:rPr>
      <w:rFonts w:ascii="宋体" w:hAnsi="宋体" w:eastAsia="等线" w:cs="宋体"/>
      <w:color w:val="000000"/>
      <w:sz w:val="24"/>
    </w:rPr>
  </w:style>
  <w:style w:type="paragraph" w:styleId="1441">
    <w:name w:val="Table Text"/>
    <w:basedOn w:val="1316"/>
    <w:next w:val="1441"/>
    <w:link w:val="1316"/>
    <w:semiHidden/>
    <w:qFormat/>
    <w:rPr>
      <w:rFonts w:ascii="宋体" w:hAnsi="宋体" w:eastAsia="宋体" w:cs="宋体"/>
      <w:sz w:val="16"/>
      <w:szCs w:val="16"/>
      <w:lang w:val="en-US" w:eastAsia="en-US" w:bidi="ar-SA"/>
    </w:rPr>
  </w:style>
  <w:style w:type="paragraph" w:styleId="1442">
    <w:name w:val="页脚1"/>
    <w:basedOn w:val="1399"/>
    <w:next w:val="1442"/>
    <w:link w:val="1316"/>
    <w:qFormat/>
    <w:pPr>
      <w:ind w:firstLine="419"/>
      <w:jc w:val="left"/>
      <w:spacing w:line="714" w:lineRule="atLeast"/>
      <w:tabs>
        <w:tab w:val="left" w:pos="4138" w:leader="none"/>
        <w:tab w:val="left" w:pos="8005" w:leader="none"/>
      </w:tabs>
    </w:pPr>
    <w:rPr>
      <w:sz w:val="18"/>
    </w:rPr>
  </w:style>
  <w:style w:type="table" w:styleId="1443">
    <w:name w:val="网格型1"/>
    <w:basedOn w:val="1444"/>
    <w:next w:val="1443"/>
    <w:link w:val="1316"/>
    <w:pPr>
      <w:jc w:val="both"/>
      <w:widowControl w:val="off"/>
    </w:pPr>
    <w:tblPr/>
  </w:style>
  <w:style w:type="table" w:styleId="1444">
    <w:name w:val="普通表格1"/>
    <w:next w:val="1444"/>
    <w:link w:val="1316"/>
    <w:semiHidden/>
    <w:qFormat/>
    <w:rPr>
      <w:lang w:val="en-US" w:eastAsia="zh-CN" w:bidi="ar-SA"/>
    </w:rPr>
    <w:tblPr/>
  </w:style>
  <w:style w:type="paragraph" w:styleId="1445">
    <w:name w:val="AONormal"/>
    <w:next w:val="1445"/>
    <w:link w:val="1316"/>
    <w:qFormat/>
    <w:pPr>
      <w:ind w:firstLine="440"/>
      <w:spacing w:line="400" w:lineRule="exact"/>
    </w:pPr>
    <w:rPr>
      <w:rFonts w:ascii="华文楷体" w:hAnsi="华文楷体" w:eastAsia="华文楷体" w:cs="华文楷体"/>
      <w:sz w:val="22"/>
      <w:szCs w:val="21"/>
      <w:lang w:val="en-US" w:eastAsia="zh-CN" w:bidi="ar-SA"/>
    </w:rPr>
  </w:style>
  <w:style w:type="paragraph" w:styleId="1446">
    <w:name w:val="正文文本缩进1"/>
    <w:basedOn w:val="1316"/>
    <w:next w:val="1446"/>
    <w:link w:val="1316"/>
    <w:qFormat/>
    <w:pPr>
      <w:ind w:left="200"/>
      <w:spacing w:after="120"/>
    </w:pPr>
    <w:rPr>
      <w:rFonts w:ascii="Times New Roman" w:hAnsi="Times New Roman" w:eastAsia="宋体" w:cs="Times New Roman"/>
      <w:szCs w:val="24"/>
    </w:rPr>
  </w:style>
  <w:style w:type="character" w:styleId="1447">
    <w:name w:val="font61"/>
    <w:next w:val="1447"/>
    <w:link w:val="1316"/>
    <w:rPr>
      <w:rFonts w:hint="eastAsia" w:ascii="微软雅黑" w:hAnsi="微软雅黑" w:eastAsia="微软雅黑" w:cs="微软雅黑"/>
      <w:i w:val="0"/>
      <w:iCs w:val="0"/>
      <w:color w:val="000000"/>
      <w:sz w:val="22"/>
      <w:szCs w:val="22"/>
      <w:u w:val="none"/>
    </w:rPr>
  </w:style>
  <w:style w:type="paragraph" w:styleId="1448">
    <w:name w:val="普通(网站)1"/>
    <w:basedOn w:val="1316"/>
    <w:next w:val="1448"/>
    <w:link w:val="1316"/>
    <w:uiPriority w:val="99"/>
    <w:qFormat/>
    <w:pPr>
      <w:jc w:val="left"/>
      <w:spacing w:before="100" w:beforeAutospacing="1" w:after="100" w:afterAutospacing="1"/>
      <w:widowControl/>
    </w:pPr>
    <w:rPr>
      <w:rFonts w:ascii="宋体" w:hAnsi="宋体" w:cs="宋体"/>
      <w:sz w:val="24"/>
      <w:szCs w:val="24"/>
    </w:rPr>
  </w:style>
  <w:style w:type="character" w:styleId="1449">
    <w:name w:val="font31"/>
    <w:next w:val="1449"/>
    <w:link w:val="1316"/>
    <w:qFormat/>
    <w:rPr>
      <w:rFonts w:hint="eastAsia" w:ascii="宋体" w:hAnsi="宋体" w:eastAsia="宋体" w:cs="宋体"/>
      <w:color w:val="000000"/>
      <w:sz w:val="21"/>
      <w:szCs w:val="21"/>
      <w:u w:val="none"/>
    </w:rPr>
  </w:style>
  <w:style w:type="character" w:styleId="1450">
    <w:name w:val="font41"/>
    <w:next w:val="1450"/>
    <w:link w:val="1316"/>
    <w:qFormat/>
    <w:rPr>
      <w:rFonts w:hint="eastAsia" w:ascii="宋体" w:hAnsi="宋体" w:eastAsia="宋体" w:cs="宋体"/>
      <w:color w:val="000000"/>
      <w:sz w:val="21"/>
      <w:szCs w:val="21"/>
      <w:u w:val="none"/>
    </w:rPr>
  </w:style>
  <w:style w:type="character" w:styleId="1451">
    <w:name w:val="font21"/>
    <w:next w:val="1451"/>
    <w:link w:val="1316"/>
    <w:qFormat/>
    <w:rPr>
      <w:rFonts w:hint="eastAsia" w:ascii="宋体" w:hAnsi="宋体" w:eastAsia="宋体" w:cs="宋体"/>
      <w:b/>
      <w:bCs/>
      <w:color w:val="000000"/>
      <w:sz w:val="21"/>
      <w:szCs w:val="21"/>
      <w:u w:val="none"/>
    </w:rPr>
  </w:style>
  <w:style w:type="character" w:styleId="1452">
    <w:name w:val="font51"/>
    <w:next w:val="1452"/>
    <w:link w:val="1316"/>
    <w:qFormat/>
    <w:rPr>
      <w:rFonts w:hint="eastAsia" w:ascii="宋体" w:hAnsi="宋体" w:eastAsia="宋体" w:cs="宋体"/>
      <w:color w:val="000000"/>
      <w:sz w:val="21"/>
      <w:szCs w:val="21"/>
      <w:u w:val="none"/>
      <w:vertAlign w:val="superscript"/>
    </w:rPr>
  </w:style>
  <w:style w:type="paragraph" w:styleId="1453">
    <w:name w:val="Normal_5"/>
    <w:next w:val="1453"/>
    <w:link w:val="1316"/>
    <w:qFormat/>
    <w:rPr>
      <w:rFonts w:eastAsia="Times New Roman"/>
      <w:sz w:val="24"/>
      <w:szCs w:val="24"/>
      <w:lang w:val="en-US" w:eastAsia="zh-CN" w:bidi="ar-SA"/>
    </w:rPr>
  </w:style>
  <w:style w:type="paragraph" w:styleId="1454">
    <w:name w:val="正文_3"/>
    <w:next w:val="1454"/>
    <w:link w:val="1316"/>
    <w:qFormat/>
    <w:pPr>
      <w:jc w:val="both"/>
      <w:widowControl w:val="off"/>
    </w:pPr>
    <w:rPr>
      <w:rFonts w:ascii="Calibri" w:hAnsi="Calibri"/>
      <w:sz w:val="21"/>
      <w:szCs w:val="22"/>
      <w:lang w:val="en-US" w:eastAsia="zh-CN" w:bidi="ar-SA"/>
    </w:rPr>
  </w:style>
  <w:style w:type="paragraph" w:styleId="1455">
    <w:name w:val="列表段落2"/>
    <w:basedOn w:val="1316"/>
    <w:next w:val="1455"/>
    <w:link w:val="1316"/>
    <w:uiPriority w:val="34"/>
    <w:qFormat/>
    <w:pPr>
      <w:ind w:firstLine="420"/>
    </w:pPr>
    <w:rPr>
      <w:rFonts w:ascii="Calibri" w:hAnsi="Calibri" w:eastAsia="宋体" w:cs="Times New Roman"/>
      <w:szCs w:val="22"/>
    </w:rPr>
  </w:style>
  <w:style w:type="paragraph" w:styleId="1456">
    <w:name w:val="首行缩进"/>
    <w:next w:val="1456"/>
    <w:link w:val="1316"/>
    <w:qFormat/>
    <w:pPr>
      <w:ind w:firstLine="480"/>
      <w:jc w:val="both"/>
      <w:spacing w:line="360" w:lineRule="auto"/>
      <w:widowControl w:val="off"/>
    </w:pPr>
    <w:rPr>
      <w:rFonts w:eastAsia="微软雅黑"/>
      <w:sz w:val="24"/>
      <w:szCs w:val="22"/>
      <w:lang w:val="zh-CN" w:eastAsia="zh-CN" w:bidi="ar-SA"/>
    </w:rPr>
  </w:style>
  <w:style w:type="character" w:styleId="1457" w:default="1">
    <w:name w:val="Default Paragraph Font"/>
    <w:uiPriority w:val="1"/>
    <w:semiHidden/>
    <w:unhideWhenUsed/>
  </w:style>
  <w:style w:type="numbering" w:styleId="1458" w:default="1">
    <w:name w:val="No List"/>
    <w:uiPriority w:val="99"/>
    <w:semiHidden/>
    <w:unhideWhenUsed/>
  </w:style>
  <w:style w:type="table" w:styleId="14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张梦雅</cp:lastModifiedBy>
  <cp:revision>8</cp:revision>
  <dcterms:created xsi:type="dcterms:W3CDTF">2023-03-16T02:16:00Z</dcterms:created>
  <dcterms:modified xsi:type="dcterms:W3CDTF">2026-09-29T04:00:40Z</dcterms:modified>
</cp:coreProperties>
</file>