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堰水房村农村生活污水治理管网工程（政府采购工程）（专门面向中小企业）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ascii="宋体" w:hAnsi="宋体" w:eastAsia="宋体" w:cs="宋体"/>
          <w:b/>
          <w:bCs/>
          <w:spacing w:val="16"/>
          <w:sz w:val="32"/>
          <w:szCs w:val="32"/>
          <w:highlight w:val="none"/>
        </w:rPr>
        <w:t xml:space="preserve">JSZC-320707-SCGC-C2026-0003</w:t>
      </w:r>
      <w:r>
        <w:rPr>
          <w:rFonts w:hint="eastAsia" w:ascii="宋体" w:hAnsi="宋体" w:eastAsia="宋体" w:cs="宋体"/>
          <w:b/>
          <w:bCs/>
          <w:spacing w:val="16"/>
          <w:sz w:val="32"/>
          <w:szCs w:val="32"/>
          <w:highlight w:val="none"/>
        </w:rPr>
      </w:r>
      <w:r/>
    </w:p>
    <w:p>
      <w:pPr>
        <w:pStyle w:val="95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5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52"/>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赣榆区城头镇人民政府</w:t>
      </w:r>
      <w:r/>
    </w:p>
    <w:p>
      <w:pPr>
        <w:pStyle w:val="952"/>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连云港市盛创工程咨询有限公司</w:t>
      </w:r>
      <w:r/>
    </w:p>
    <w:p>
      <w:pPr>
        <w:pStyle w:val="952"/>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958"/>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9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堰水房村农村生活污水治理管网工程（政府采购工程）（专门面向中小企业）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white"/>
                <w:u w:val="single"/>
                <w:lang w:eastAsia="zh-CN"/>
              </w:rPr>
              <w:t xml:space="preserve">2</w:t>
            </w:r>
            <w:r>
              <w:rPr>
                <w:rFonts w:hint="eastAsia" w:ascii="宋体" w:hAnsi="宋体" w:eastAsia="宋体" w:cs="宋体"/>
                <w:b/>
                <w:color w:val="000000"/>
                <w:sz w:val="22"/>
                <w:highlight w:val="white"/>
                <w:u w:val="single"/>
                <w:lang w:eastAsia="zh-CN"/>
              </w:rPr>
              <w:t xml:space="preserve">02</w:t>
            </w:r>
            <w:r>
              <w:rPr>
                <w:rFonts w:hint="eastAsia" w:cs="宋体"/>
                <w:b/>
                <w:color w:val="000000"/>
                <w:sz w:val="22"/>
                <w:highlight w:val="white"/>
                <w:u w:val="single"/>
                <w:lang w:val="en-US" w:eastAsia="zh-CN"/>
              </w:rPr>
              <w:t xml:space="preserve">6</w:t>
            </w:r>
            <w:r>
              <w:rPr>
                <w:rFonts w:hint="eastAsia" w:ascii="宋体" w:hAnsi="宋体" w:eastAsia="宋体" w:cs="宋体"/>
                <w:b/>
                <w:color w:val="000000"/>
                <w:sz w:val="22"/>
                <w:highlight w:val="white"/>
                <w:u w:val="single"/>
                <w:lang w:eastAsia="zh-CN"/>
              </w:rPr>
              <w:t xml:space="preserve">年</w:t>
            </w:r>
            <w:r>
              <w:rPr>
                <w:rFonts w:hint="eastAsia" w:cs="宋体"/>
                <w:b/>
                <w:color w:val="000000"/>
                <w:sz w:val="22"/>
                <w:highlight w:val="white"/>
                <w:u w:val="single"/>
                <w:lang w:val="en-US" w:eastAsia="zh-CN"/>
              </w:rPr>
              <w:t xml:space="preserve">10</w:t>
            </w:r>
            <w:r>
              <w:rPr>
                <w:rFonts w:hint="eastAsia" w:ascii="宋体" w:hAnsi="宋体" w:eastAsia="宋体" w:cs="宋体"/>
                <w:b/>
                <w:color w:val="000000"/>
                <w:sz w:val="22"/>
                <w:highlight w:val="white"/>
                <w:u w:val="single"/>
                <w:lang w:eastAsia="zh-CN"/>
              </w:rPr>
              <w:t xml:space="preserve">月19</w:t>
            </w:r>
            <w:r>
              <w:rPr>
                <w:rFonts w:hint="eastAsia" w:ascii="宋体" w:hAnsi="宋体" w:eastAsia="宋体" w:cs="宋体"/>
                <w:b/>
                <w:color w:val="000000"/>
                <w:sz w:val="22"/>
                <w:highlight w:val="white"/>
                <w:u w:val="single"/>
                <w:lang w:eastAsia="zh-CN"/>
              </w:rPr>
              <w:t xml:space="preserve">日</w:t>
            </w:r>
            <w:r>
              <w:rPr>
                <w:rFonts w:hint="eastAsia" w:ascii="宋体" w:hAnsi="宋体" w:eastAsia="宋体" w:cs="宋体"/>
                <w:b/>
                <w:color w:val="000000"/>
                <w:sz w:val="21"/>
                <w:highlight w:val="white"/>
                <w:u w:val="single"/>
              </w:rPr>
              <w:t xml:space="preserve"> </w:t>
            </w:r>
            <w:r>
              <w:rPr>
                <w:rFonts w:hint="eastAsia" w:ascii="宋体" w:hAnsi="宋体" w:eastAsia="宋体" w:cs="宋体"/>
                <w:b/>
                <w:color w:val="000000"/>
                <w:sz w:val="22"/>
                <w:highlight w:val="white"/>
                <w:u w:val="single"/>
                <w:lang w:val="en-US" w:eastAsia="zh-CN"/>
              </w:rPr>
              <w:t xml:space="preserve">09</w:t>
            </w:r>
            <w:r>
              <w:rPr>
                <w:rFonts w:hint="eastAsia" w:ascii="宋体" w:hAnsi="宋体" w:eastAsia="宋体" w:cs="宋体"/>
                <w:b/>
                <w:color w:val="000000"/>
                <w:sz w:val="22"/>
                <w:highlight w:val="white"/>
                <w:u w:val="single"/>
              </w:rPr>
              <w:t xml:space="preserve">:</w:t>
            </w:r>
            <w:r>
              <w:rPr>
                <w:rFonts w:hint="eastAsia" w:ascii="宋体" w:hAnsi="宋体" w:eastAsia="宋体" w:cs="宋体"/>
                <w:b/>
                <w:color w:val="000000"/>
                <w:sz w:val="22"/>
                <w:highlight w:val="white"/>
                <w:u w:val="single"/>
                <w:lang w:val="en-US" w:eastAsia="zh-CN"/>
              </w:rPr>
              <w:t xml:space="preserve">00</w:t>
            </w:r>
            <w:r>
              <w:rPr>
                <w:rFonts w:hint="eastAsia" w:ascii="宋体" w:hAnsi="宋体" w:eastAsia="宋体" w:cs="宋体"/>
                <w:b/>
                <w:color w:val="000000"/>
                <w:sz w:val="22"/>
                <w:highlight w:val="white"/>
                <w:u w:val="single"/>
              </w:rPr>
              <w:t xml:space="preserve">:00</w:t>
            </w:r>
            <w:r>
              <w:rPr>
                <w:rFonts w:hint="eastAsia" w:ascii="宋体" w:hAnsi="宋体" w:eastAsia="宋体" w:cs="宋体"/>
                <w:color w:val="000000"/>
                <w:sz w:val="22"/>
                <w:highlight w:val="white"/>
              </w:rPr>
              <w:t xml:space="preserve">（北京时间）前</w:t>
            </w:r>
            <w:r>
              <w:rPr>
                <w:rFonts w:hint="eastAsia" w:ascii="宋体" w:hAnsi="宋体" w:eastAsia="宋体" w:cs="宋体"/>
                <w:b/>
                <w:color w:val="000000"/>
                <w:sz w:val="22"/>
                <w:highlight w:val="white"/>
              </w:rPr>
              <w:t xml:space="preserve">上传电子响应文件</w:t>
            </w:r>
            <w:r>
              <w:rPr>
                <w:rFonts w:hint="eastAsia" w:ascii="宋体" w:hAnsi="宋体" w:eastAsia="宋体" w:cs="宋体"/>
                <w:color w:val="000000"/>
                <w:sz w:val="22"/>
                <w:highlight w:val="white"/>
              </w:rPr>
              <w:t xml:space="preserve">。</w:t>
            </w:r>
            <w:r>
              <w:rPr>
                <w:highlight w:val="white"/>
              </w:rPr>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w:t>
      </w:r>
      <w:r>
        <w:rPr>
          <w:rFonts w:hint="eastAsia" w:ascii="宋体" w:hAnsi="宋体" w:eastAsia="宋体" w:cs="宋体"/>
          <w:color w:val="000000"/>
          <w:sz w:val="22"/>
          <w:highlight w:val="none"/>
        </w:rPr>
        <w:t xml:space="preserve">JSZC-320707-SCGC-C2026-0003</w:t>
      </w: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堰水房村农村生活污水治理管网工程（政府采购工程）（专门面向中小企业）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253.98</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252.904462万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堰水房村农村生活污水治理管网工程（政府采购工程）（专门面向中小企业）</w:t>
      </w:r>
      <w:r>
        <w:rPr>
          <w:rFonts w:hint="eastAsia" w:ascii="宋体" w:hAnsi="宋体" w:eastAsia="宋体" w:cs="宋体"/>
          <w:color w:val="000000"/>
          <w:sz w:val="22"/>
          <w:highlight w:val="none"/>
          <w:lang w:val="en-US" w:eastAsia="zh-CN"/>
        </w:rPr>
        <w:t xml:space="preserve">，具体详见</w:t>
      </w:r>
      <w:r>
        <w:rPr>
          <w:rFonts w:hint="eastAsia" w:cs="宋体"/>
          <w:color w:val="000000"/>
          <w:sz w:val="22"/>
          <w:highlight w:val="none"/>
          <w:lang w:val="en-US" w:eastAsia="zh-CN"/>
        </w:rPr>
        <w:t xml:space="preserve">图纸及</w:t>
      </w:r>
      <w:r>
        <w:rPr>
          <w:rFonts w:hint="eastAsia" w:ascii="宋体" w:hAnsi="宋体" w:eastAsia="宋体" w:cs="宋体"/>
          <w:color w:val="000000"/>
          <w:sz w:val="22"/>
          <w:highlight w:val="none"/>
          <w:lang w:val="en-US" w:eastAsia="zh-CN"/>
        </w:rPr>
        <w:t xml:space="preserve">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城头镇堰水房村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50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color w:val="000000" w:themeColor="text1"/>
          <w:sz w:val="22"/>
          <w:highlight w:val="none"/>
          <w:lang w:val="en-US" w:eastAsia="zh-CN"/>
        </w:rPr>
        <w:t xml:space="preserve">提供</w:t>
      </w:r>
      <w:r>
        <w:rPr>
          <w:rFonts w:hint="eastAsia" w:cs="宋体"/>
          <w:b/>
          <w:bCs/>
          <w:color w:val="000000" w:themeColor="text1"/>
          <w:sz w:val="22"/>
          <w:highlight w:val="none"/>
          <w:lang w:val="en-US" w:eastAsia="zh-CN"/>
        </w:rPr>
        <w:t xml:space="preserve">近三个月中</w:t>
      </w:r>
      <w:r>
        <w:rPr>
          <w:rFonts w:hint="eastAsia" w:ascii="宋体" w:hAnsi="宋体" w:eastAsia="宋体" w:cs="宋体"/>
          <w:b/>
          <w:bCs/>
          <w:color w:val="000000" w:themeColor="text1"/>
          <w:sz w:val="22"/>
          <w:highlight w:val="none"/>
          <w:lang w:val="en-US" w:eastAsia="zh-CN"/>
        </w:rPr>
        <w:t xml:space="preserve">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rPr>
          <w:color w:val="000000" w:themeColor="text1"/>
        </w:rPr>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color w:val="000000" w:themeColor="text1"/>
          <w:sz w:val="22"/>
          <w:highlight w:val="white"/>
        </w:rPr>
        <w:t xml:space="preserve">：</w:t>
      </w:r>
      <w:r>
        <w:rPr>
          <w:rFonts w:hint="eastAsia" w:ascii="宋体" w:hAnsi="宋体" w:eastAsia="宋体" w:cs="宋体"/>
          <w:b/>
          <w:color w:val="000000" w:themeColor="text1"/>
          <w:sz w:val="22"/>
          <w:highlight w:val="white"/>
          <w:u w:val="single"/>
          <w:lang w:eastAsia="zh-CN"/>
        </w:rPr>
        <w:t xml:space="preserve">202</w:t>
      </w:r>
      <w:r>
        <w:rPr>
          <w:rFonts w:hint="eastAsia" w:cs="宋体"/>
          <w:b/>
          <w:color w:val="000000" w:themeColor="text1"/>
          <w:sz w:val="22"/>
          <w:highlight w:val="white"/>
          <w:u w:val="single"/>
          <w:lang w:val="en-US" w:eastAsia="zh-CN"/>
        </w:rPr>
        <w:t xml:space="preserve">6</w:t>
      </w:r>
      <w:r>
        <w:rPr>
          <w:rFonts w:hint="eastAsia" w:ascii="宋体" w:hAnsi="宋体" w:eastAsia="宋体" w:cs="宋体"/>
          <w:b/>
          <w:color w:val="000000" w:themeColor="text1"/>
          <w:sz w:val="22"/>
          <w:highlight w:val="white"/>
          <w:lang w:eastAsia="zh-CN"/>
        </w:rPr>
        <w:t xml:space="preserve">年</w:t>
      </w:r>
      <w:r>
        <w:rPr>
          <w:rFonts w:hint="eastAsia" w:cs="宋体"/>
          <w:b/>
          <w:color w:val="000000" w:themeColor="text1"/>
          <w:sz w:val="22"/>
          <w:highlight w:val="white"/>
          <w:u w:val="single"/>
          <w:lang w:val="en-US" w:eastAsia="zh-CN"/>
        </w:rPr>
        <w:t xml:space="preserve"> 10 </w:t>
      </w:r>
      <w:r>
        <w:rPr>
          <w:rFonts w:hint="eastAsia" w:ascii="宋体" w:hAnsi="宋体" w:eastAsia="宋体" w:cs="宋体"/>
          <w:b/>
          <w:color w:val="000000" w:themeColor="text1"/>
          <w:sz w:val="22"/>
          <w:highlight w:val="white"/>
          <w:lang w:eastAsia="zh-CN"/>
        </w:rPr>
        <w:t xml:space="preserve">月</w:t>
      </w:r>
      <w:r>
        <w:rPr>
          <w:rFonts w:hint="eastAsia" w:cs="宋体"/>
          <w:b/>
          <w:color w:val="000000" w:themeColor="text1"/>
          <w:sz w:val="22"/>
          <w:highlight w:val="white"/>
          <w:u w:val="single"/>
          <w:lang w:val="en-US" w:eastAsia="zh-CN"/>
        </w:rPr>
        <w:t xml:space="preserve"> 19 </w:t>
      </w:r>
      <w:r>
        <w:rPr>
          <w:rFonts w:hint="eastAsia" w:ascii="宋体" w:hAnsi="宋体" w:eastAsia="宋体" w:cs="宋体"/>
          <w:b/>
          <w:color w:val="000000" w:themeColor="text1"/>
          <w:sz w:val="22"/>
          <w:highlight w:val="white"/>
          <w:lang w:eastAsia="zh-CN"/>
        </w:rPr>
        <w:t xml:space="preserve">日</w:t>
      </w:r>
      <w:r>
        <w:rPr>
          <w:rFonts w:hint="eastAsia" w:ascii="宋体" w:hAnsi="宋体" w:eastAsia="宋体" w:cs="宋体"/>
          <w:b/>
          <w:color w:val="000000" w:themeColor="text1"/>
          <w:sz w:val="22"/>
          <w:highlight w:val="white"/>
          <w:lang w:val="en-US" w:eastAsia="zh-CN"/>
        </w:rPr>
        <w:t xml:space="preserve">上午9</w:t>
      </w:r>
      <w:r>
        <w:rPr>
          <w:rFonts w:hint="eastAsia" w:ascii="宋体" w:hAnsi="宋体" w:eastAsia="宋体" w:cs="宋体"/>
          <w:b/>
          <w:color w:val="000000" w:themeColor="text1"/>
          <w:sz w:val="22"/>
          <w:highlight w:val="white"/>
        </w:rPr>
        <w:t xml:space="preserve">点</w:t>
      </w:r>
      <w:r>
        <w:rPr>
          <w:rFonts w:hint="eastAsia" w:ascii="宋体" w:hAnsi="宋体" w:eastAsia="宋体" w:cs="宋体"/>
          <w:b/>
          <w:color w:val="000000" w:themeColor="text1"/>
          <w:sz w:val="21"/>
          <w:highlight w:val="white"/>
          <w:lang w:val="en-US" w:eastAsia="zh-CN"/>
        </w:rPr>
        <w:t xml:space="preserve">00</w:t>
      </w:r>
      <w:r>
        <w:rPr>
          <w:rFonts w:hint="eastAsia" w:ascii="宋体" w:hAnsi="宋体" w:eastAsia="宋体" w:cs="宋体"/>
          <w:b/>
          <w:color w:val="000000" w:themeColor="text1"/>
          <w:sz w:val="22"/>
          <w:highlight w:val="whit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赣榆区城头镇人民政府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连云港市赣榆区人民路123号</w:t>
      </w:r>
      <w:r/>
    </w:p>
    <w:p>
      <w:pPr>
        <w:ind w:left="0" w:right="0" w:firstLine="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lang w:val="en-US" w:eastAsia="zh-CN"/>
        </w:rPr>
        <w:t xml:space="preserve">盛镇长</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联系方式：15950708971</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连云港市盛创工程咨询有限公司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江苏省连云港市赣榆区城头镇工业集中区服务中心2号楼202室</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连云港市盛创工程咨询有限公司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14577357"/>
      <w:r/>
      <w:bookmarkStart w:id="1" w:name="_Toc513029219"/>
      <w:r/>
      <w:bookmarkStart w:id="2"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513029234"/>
      <w:r/>
      <w:bookmarkStart w:id="5" w:name="_Toc16938550"/>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20823310"/>
      <w:r/>
      <w:bookmarkStart w:id="9" w:name="_Toc16938554"/>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58"/>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58"/>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59"/>
          <w:rFonts w:hint="eastAsia" w:ascii="宋体" w:hAnsi="宋体" w:eastAsia="宋体" w:cs="宋体"/>
          <w:color w:val="auto"/>
          <w:sz w:val="24"/>
        </w:rPr>
      </w:pPr>
      <w:r>
        <w:rPr>
          <w:rStyle w:val="959"/>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1" w:name="_Toc351203482"/>
      <w:r>
        <w:rPr>
          <w:rFonts w:hint="eastAsia" w:ascii="宋体" w:hAnsi="宋体" w:eastAsia="宋体" w:cs="宋体"/>
          <w:b w:val="0"/>
          <w:sz w:val="21"/>
          <w:szCs w:val="21"/>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2" w:name="_Toc351203483"/>
      <w:r>
        <w:rPr>
          <w:rFonts w:hint="eastAsia" w:ascii="宋体" w:hAnsi="宋体" w:eastAsia="宋体" w:cs="宋体"/>
          <w:b w:val="0"/>
          <w:sz w:val="21"/>
          <w:szCs w:val="21"/>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959"/>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959"/>
          <w:rFonts w:hint="eastAsia" w:ascii="宋体" w:hAnsi="宋体" w:eastAsia="宋体" w:cs="宋体"/>
          <w:color w:val="auto"/>
          <w:sz w:val="21"/>
          <w:szCs w:val="21"/>
        </w:rPr>
        <w:t xml:space="preserve">  </w:t>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959"/>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b/>
          <w:color w:val="auto"/>
          <w:sz w:val="21"/>
          <w:szCs w:val="21"/>
        </w:rPr>
      </w:pPr>
      <w:r>
        <w:rPr>
          <w:rStyle w:val="959"/>
          <w:rFonts w:hint="eastAsia" w:ascii="宋体" w:hAnsi="宋体" w:eastAsia="宋体" w:cs="宋体"/>
          <w:b/>
          <w:color w:val="auto"/>
          <w:sz w:val="21"/>
          <w:szCs w:val="21"/>
        </w:rPr>
        <w:br w:type="page" w:clear="all"/>
      </w:r>
      <w:r/>
    </w:p>
    <w:p>
      <w:pPr>
        <w:jc w:val="center"/>
        <w:spacing w:line="460" w:lineRule="exact"/>
        <w:rPr>
          <w:rStyle w:val="959"/>
          <w:rFonts w:hint="eastAsia" w:ascii="宋体" w:hAnsi="宋体" w:eastAsia="宋体" w:cs="宋体"/>
          <w:b/>
          <w:color w:val="auto"/>
          <w:sz w:val="21"/>
          <w:szCs w:val="21"/>
        </w:rPr>
      </w:pPr>
      <w:r>
        <w:rPr>
          <w:rStyle w:val="959"/>
          <w:rFonts w:hint="eastAsia" w:ascii="宋体" w:hAnsi="宋体" w:eastAsia="宋体" w:cs="宋体"/>
          <w:b/>
          <w:color w:val="auto"/>
          <w:sz w:val="28"/>
          <w:szCs w:val="28"/>
        </w:rPr>
        <w:t xml:space="preserve">第三部分 专用合同条款</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948"/>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948"/>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是</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948"/>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503173"/>
      <w:r/>
      <w:bookmarkStart w:id="32" w:name="_Toc296891001"/>
      <w:r/>
      <w:bookmarkStart w:id="33" w:name="_Toc296891213"/>
      <w:r/>
      <w:bookmarkStart w:id="34" w:name="_Toc267251427"/>
      <w:r/>
      <w:bookmarkStart w:id="35" w:name="_Toc267251428"/>
      <w:r/>
      <w:bookmarkStart w:id="36" w:name="_Toc296346674"/>
      <w:r/>
      <w:bookmarkStart w:id="37" w:name="_Toc297120473"/>
      <w:r/>
      <w:bookmarkStart w:id="38" w:name="_Toc296944512"/>
      <w:r/>
      <w:bookmarkStart w:id="39" w:name="_Toc292559378"/>
      <w:r/>
      <w:bookmarkStart w:id="40" w:name="_Toc292559883"/>
      <w:r/>
      <w:bookmarkStart w:id="41" w:name="_Toc296347172"/>
      <w:r/>
      <w:bookmarkStart w:id="42" w:name="_Toc297048359"/>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4295560"/>
      <w:r/>
      <w:bookmarkStart w:id="44" w:name="_Toc297216193"/>
      <w:r/>
      <w:bookmarkStart w:id="45" w:name="_Toc300934983"/>
      <w:r/>
      <w:bookmarkStart w:id="46" w:name="_Toc303539140"/>
      <w:r/>
      <w:bookmarkStart w:id="47" w:name="_Toc312677496"/>
      <w:r/>
      <w:bookmarkStart w:id="48" w:name="_Toc312678022"/>
      <w:r/>
      <w:bookmarkStart w:id="49" w:name="_Toc297123534"/>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7497"/>
      <w:r/>
      <w:bookmarkStart w:id="51" w:name="_Toc312678023"/>
      <w:r/>
      <w:bookmarkStart w:id="52" w:name="_Toc300934984"/>
      <w:r/>
      <w:bookmarkStart w:id="53" w:name="_Toc297123535"/>
      <w:r/>
      <w:bookmarkStart w:id="54" w:name="_Toc303539141"/>
      <w:r/>
      <w:bookmarkStart w:id="55" w:name="_Toc297216194"/>
      <w:r/>
      <w:bookmarkStart w:id="56" w:name="_Toc304295561"/>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04295562"/>
      <w:r/>
      <w:bookmarkStart w:id="60" w:name="_Toc297123536"/>
      <w:r/>
      <w:bookmarkStart w:id="61" w:name="_Toc312678024"/>
      <w:r/>
      <w:bookmarkStart w:id="62" w:name="_Toc297216195"/>
      <w:r/>
      <w:bookmarkStart w:id="63" w:name="_Toc300934985"/>
      <w:r/>
      <w:bookmarkStart w:id="64" w:name="_Toc312677498"/>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暂列金额应按照发包人的要求使用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cs="宋体"/>
          <w:szCs w:val="32"/>
          <w:highlight w:val="none"/>
          <w:u w:val="single"/>
          <w:shd w:val="clear" w:color="auto" w:fill="auto"/>
          <w:lang w:val="en-US" w:eastAsia="zh-CN"/>
        </w:rPr>
        <w:t xml:space="preserve"> </w:t>
      </w:r>
      <w:r>
        <w:rPr>
          <w:rFonts w:hint="eastAsia" w:cs="宋体"/>
          <w:b/>
          <w:bCs/>
          <w:szCs w:val="32"/>
          <w:highlight w:val="none"/>
          <w:u w:val="single"/>
          <w:shd w:val="clear" w:color="auto" w:fill="auto"/>
          <w:lang w:val="en-US" w:eastAsia="zh-CN"/>
        </w:rPr>
        <w:t xml:space="preserve">/</w:t>
      </w:r>
      <w:r>
        <w:rPr>
          <w:rFonts w:hint="eastAsia" w:ascii="宋体" w:hAnsi="宋体" w:cs="宋体"/>
          <w:b/>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none"/>
          <w:u w:val="none"/>
          <w:lang w:val="en-US" w:eastAsia="zh-CN"/>
        </w:rPr>
        <w:t xml:space="preserve">合同签订并进场后7个工作日内，</w:t>
      </w:r>
      <w:r>
        <w:rPr>
          <w:rFonts w:hint="eastAsia" w:cs="宋体"/>
          <w:b/>
          <w:bCs/>
          <w:color w:val="auto"/>
          <w:szCs w:val="21"/>
          <w:highlight w:val="none"/>
          <w:lang w:val="en-US" w:eastAsia="zh-CN"/>
        </w:rPr>
        <w:t xml:space="preserve">甲方支付合同金额的10%作为预付款，</w:t>
      </w:r>
      <w:r>
        <w:rPr>
          <w:rFonts w:hint="eastAsia"/>
          <w:b/>
          <w:color w:val="auto"/>
          <w:szCs w:val="32"/>
          <w:highlight w:val="none"/>
          <w:u w:val="none"/>
          <w:lang w:val="en-US" w:eastAsia="zh-CN"/>
        </w:rPr>
        <w:t xml:space="preserve">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954"/>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highlight w:val="none"/>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none"/>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959"/>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959"/>
          <w:rFonts w:hint="eastAsia" w:ascii="宋体" w:hAnsi="宋体" w:eastAsia="宋体" w:cs="宋体"/>
          <w:b/>
          <w:color w:val="auto"/>
          <w:sz w:val="24"/>
          <w:szCs w:val="24"/>
        </w:rPr>
      </w:pPr>
      <w:r>
        <w:rPr>
          <w:rStyle w:val="959"/>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950"/>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947"/>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891053"/>
      <w:r/>
      <w:bookmarkStart w:id="75" w:name="_Toc296347224"/>
      <w:r/>
      <w:bookmarkStart w:id="76" w:name="_Toc296944564"/>
      <w:r/>
      <w:bookmarkStart w:id="77" w:name="_Toc296503225"/>
      <w:r/>
      <w:bookmarkStart w:id="78" w:name="_Toc296891265"/>
      <w:r/>
      <w:bookmarkStart w:id="79" w:name="_Toc267261692"/>
      <w:r/>
      <w:bookmarkStart w:id="80" w:name="_Toc296346726"/>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50"/>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891268"/>
      <w:r/>
      <w:bookmarkStart w:id="82" w:name="_Toc296503228"/>
      <w:r/>
      <w:bookmarkStart w:id="83" w:name="_Toc296944567"/>
      <w:r/>
      <w:bookmarkStart w:id="84" w:name="_Toc296346729"/>
      <w:r/>
      <w:bookmarkStart w:id="85" w:name="_Toc267261699"/>
      <w:r/>
      <w:bookmarkStart w:id="86" w:name="_Toc296891056"/>
      <w:r/>
      <w:bookmarkStart w:id="87" w:name="_Toc296347227"/>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61"/>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50"/>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59"/>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4"/>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944"/>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944"/>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w:t>
      </w:r>
      <w:r>
        <w:rPr>
          <w:rFonts w:hint="eastAsia" w:cs="宋体"/>
          <w:sz w:val="24"/>
          <w:highlight w:val="none"/>
          <w:lang w:val="en-US" w:eastAsia="zh-CN" w:bidi="ar"/>
        </w:rPr>
        <w:t xml:space="preserve">城头镇堰水房村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堰水房村农村生活污水治理管网工程（政府采购工程）（专门面向中小企业）</w:t>
      </w:r>
      <w:r>
        <w:rPr>
          <w:rFonts w:hint="eastAsia" w:ascii="宋体" w:hAnsi="宋体" w:eastAsia="宋体" w:cs="宋体"/>
          <w:sz w:val="24"/>
          <w:highlight w:val="none"/>
          <w:lang w:val="en-US" w:eastAsia="zh-CN" w:bidi="ar"/>
        </w:rPr>
        <w:t xml:space="preserve">，具体详见</w:t>
      </w:r>
      <w:r>
        <w:rPr>
          <w:rFonts w:hint="eastAsia" w:cs="宋体"/>
          <w:sz w:val="24"/>
          <w:highlight w:val="none"/>
          <w:lang w:val="en-US" w:eastAsia="zh-CN" w:bidi="ar"/>
        </w:rPr>
        <w:t xml:space="preserve">图纸及</w:t>
      </w:r>
      <w:r>
        <w:rPr>
          <w:rFonts w:hint="eastAsia" w:ascii="宋体" w:hAnsi="宋体" w:eastAsia="宋体" w:cs="宋体"/>
          <w:sz w:val="24"/>
          <w:highlight w:val="none"/>
          <w:lang w:val="en-US" w:eastAsia="zh-CN" w:bidi="ar"/>
        </w:rPr>
        <w:t xml:space="preserve">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50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合同金额的10%。成交供应商应当以支票、汇票、本票或者金融机构、担保机构出具的保函等非现金形式在合同签订前提交。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94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4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48"/>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58"/>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w:t>
      </w:r>
      <w:r>
        <w:rPr>
          <w:rFonts w:hint="eastAsia" w:cs="宋体"/>
          <w:sz w:val="24"/>
          <w:highlight w:val="none"/>
          <w:lang w:val="en-US" w:eastAsia="zh-CN" w:bidi="ar"/>
        </w:rPr>
        <w:t xml:space="preserve"> </w:t>
      </w:r>
      <w:r>
        <w:rPr>
          <w:rFonts w:hint="eastAsia" w:ascii="宋体" w:hAnsi="宋体" w:eastAsia="宋体" w:cs="宋体"/>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1"/>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8"/>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48"/>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58"/>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956"/>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5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5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58"/>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58"/>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952"/>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1、施工组织总体设想</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2、重难点分析</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3、施工进度计划和各阶段进度的保证措施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4、劳动力、机械设备和材料投入计划</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5、安全文明施工及环境保护措施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6、施工质量保障措施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7、施工现场平面布置和临时设施布置合理性</w:t>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94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5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952"/>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952"/>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952"/>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58"/>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58"/>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5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943"/>
        <w:ind w:left="0" w:firstLine="0"/>
        <w:jc w:val="center"/>
        <w:spacing w:before="0" w:line="288" w:lineRule="auto"/>
        <w:rPr>
          <w:rFonts w:hint="eastAsia" w:ascii="宋体" w:hAnsi="宋体" w:eastAsia="宋体" w:cs="宋体"/>
          <w:highlight w:val="none"/>
        </w:rPr>
      </w:pPr>
      <w:r/>
      <w:bookmarkStart w:id="88" w:name="_Toc11060"/>
      <w:r/>
      <w:bookmarkStart w:id="89" w:name="_Toc7552"/>
      <w:r>
        <w:rPr>
          <w:rFonts w:hint="eastAsia" w:ascii="宋体" w:hAnsi="宋体" w:eastAsia="宋体" w:cs="宋体"/>
          <w:highlight w:val="none"/>
        </w:rPr>
        <w:t xml:space="preserve">评标办法前附表</w:t>
      </w:r>
      <w:bookmarkEnd w:id="88"/>
      <w:r/>
      <w:bookmarkEnd w:id="89"/>
      <w:r/>
      <w:r/>
    </w:p>
    <w:tbl>
      <w:tblPr>
        <w:tblStyle w:val="947"/>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2629"/>
            <w:r/>
            <w:bookmarkStart w:id="91" w:name="_Toc184635093"/>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堰水房村农村生活污水治理管网工程（政府采购工程）（专门面向中小企业）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50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944"/>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52"/>
              <w:jc w:val="left"/>
              <w:keepLines w:val="0"/>
              <w:keepNext w:val="0"/>
              <w:pageBreakBefore w:val="0"/>
              <w:spacing w:line="312"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评标基准分：</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w:t>
            </w:r>
            <w:r>
              <w:rPr>
                <w:rFonts w:hint="eastAsia" w:hAnsi="宋体" w:cs="宋体"/>
                <w:color w:val="000000"/>
                <w:sz w:val="21"/>
                <w:szCs w:val="21"/>
                <w:lang w:eastAsia="zh-CN"/>
              </w:rPr>
              <w:t xml:space="preserve">。</w:t>
            </w:r>
            <w:r/>
          </w:p>
          <w:p>
            <w:pPr>
              <w:pStyle w:val="952"/>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952"/>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磋商报价得分=（磋商基准价/最后磋商报价）×</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0分（四舍五入后保留小数点后两位）</w:t>
            </w:r>
            <w:r/>
          </w:p>
          <w:p>
            <w:pPr>
              <w:pStyle w:val="952"/>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rPr>
              <w:t xml:space="preserve">项目评审过程中，不得去掉最后报价中的最高报价和最低报价。</w:t>
            </w:r>
            <w:r>
              <w:rPr>
                <w:rFonts w:hint="eastAsia" w:ascii="宋体" w:hAnsi="宋体" w:eastAsia="宋体" w:cs="宋体"/>
                <w:color w:val="000000"/>
                <w:szCs w:val="21"/>
              </w:rPr>
              <w:t xml:space="preserve">  </w:t>
            </w:r>
            <w:r/>
          </w:p>
        </w:tc>
      </w:tr>
      <w:tr>
        <w:trPr>
          <w:jc w:val="center"/>
          <w:trHeight w:val="2978"/>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958"/>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44</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施工总体实施方案（</w:t>
            </w:r>
            <w:r>
              <w:rPr>
                <w:rFonts w:hint="eastAsia" w:ascii="宋体" w:hAnsi="宋体" w:cs="宋体"/>
                <w:b/>
                <w:bCs w:val="0"/>
                <w:color w:val="auto"/>
                <w:sz w:val="21"/>
                <w:highlight w:val="none"/>
                <w:lang w:val="en-US" w:eastAsia="zh-CN"/>
              </w:rPr>
              <w:t xml:space="preserve">8</w:t>
            </w:r>
            <w:r>
              <w:rPr>
                <w:rFonts w:hint="eastAsia" w:ascii="宋体" w:hAnsi="宋体" w:eastAsia="宋体" w:cs="宋体"/>
                <w:b/>
                <w:bCs w:val="0"/>
                <w:color w:val="auto"/>
                <w:sz w:val="21"/>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供应商提供项目实施总体方案，需体现本工程特点的理解，含项目概况分析、施工部署、施工原则、资源配置思路、总体目标，方案需包含：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1.项目概况及现状分析实施方案，2分；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2.总体施工部署方案，2分；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4.项目总体实施目标方案，2分。</w:t>
            </w:r>
            <w:r/>
          </w:p>
          <w:p>
            <w:pPr>
              <w:ind w:firstLine="440"/>
              <w:jc w:val="both"/>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关键施工技术、工艺及工程项目实施的重点、难点和合理化建议（</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 w:val="21"/>
                <w:szCs w:val="21"/>
                <w:highlight w:val="none"/>
                <w:lang w:val="en-US" w:eastAsia="zh-CN" w:bidi="ar"/>
              </w:rPr>
              <w:t xml:space="preserve">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阐述本工程核心施工工艺，工艺流程符合现行规范。阐述项目实施重点、施工难点，结合现场实际提出针对性的合理化建议，方案需包含：</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1.关键施工技术与细化工艺方案，2分；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2.项目实施重点管控方案，2分；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3.项目实施难点及专项应对方案，2分；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4.工程合理化建议，2分。</w:t>
            </w:r>
            <w:r/>
          </w:p>
          <w:p>
            <w:pPr>
              <w:ind w:firstLine="440"/>
              <w:jc w:val="both"/>
              <w:keepLines w:val="0"/>
              <w:keepNext w:val="0"/>
              <w:pageBreakBefore w:val="0"/>
              <w:spacing w:line="288" w:lineRule="auto"/>
              <w:widowControl/>
              <w:rPr>
                <w:rFonts w:hint="default"/>
                <w:lang w:val="en-US" w:eastAsia="zh-CN"/>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施工进度计划和各阶段进度的保证措施（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val="0"/>
                <w:color w:val="auto"/>
                <w:sz w:val="21"/>
                <w:highlight w:val="none"/>
                <w:lang w:val="en-US" w:eastAsia="zh-CN"/>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 xml:space="preserve">针对本项目前期筹备、</w:t>
            </w:r>
            <w:r>
              <w:rPr>
                <w:rFonts w:hint="eastAsia" w:ascii="宋体" w:hAnsi="宋体" w:eastAsia="宋体" w:cs="宋体"/>
                <w:b w:val="0"/>
                <w:bCs/>
                <w:color w:val="auto"/>
                <w:sz w:val="21"/>
                <w:highlight w:val="none"/>
              </w:rPr>
              <w:t xml:space="preserve">村</w:t>
            </w:r>
            <w:r>
              <w:rPr>
                <w:rFonts w:hint="eastAsia" w:ascii="宋体" w:hAnsi="宋体" w:eastAsia="宋体" w:cs="宋体"/>
                <w:b w:val="0"/>
                <w:bCs/>
                <w:color w:val="auto"/>
                <w:sz w:val="21"/>
                <w:highlight w:val="none"/>
              </w:rPr>
              <w:t xml:space="preserve">内施工区域交通占道、</w:t>
            </w:r>
            <w:r>
              <w:rPr>
                <w:rFonts w:hint="eastAsia" w:ascii="宋体" w:hAnsi="宋体" w:eastAsia="宋体" w:cs="宋体"/>
                <w:b w:val="0"/>
                <w:bCs/>
                <w:color w:val="auto"/>
                <w:sz w:val="21"/>
                <w:highlight w:val="none"/>
              </w:rPr>
              <w:t xml:space="preserve">道路</w:t>
            </w:r>
            <w:r>
              <w:rPr>
                <w:rFonts w:hint="eastAsia" w:ascii="宋体" w:hAnsi="宋体" w:eastAsia="宋体" w:cs="宋体"/>
                <w:b w:val="0"/>
                <w:bCs/>
                <w:color w:val="auto"/>
                <w:sz w:val="21"/>
                <w:highlight w:val="none"/>
              </w:rPr>
              <w:t xml:space="preserve">交叉施工及材料进场滞后等影响工期的因素，制定分阶段、可操作的施工进度</w:t>
            </w:r>
            <w:r>
              <w:rPr>
                <w:rFonts w:hint="eastAsia" w:ascii="宋体" w:hAnsi="宋体" w:cs="宋体"/>
                <w:b w:val="0"/>
                <w:bCs/>
                <w:color w:val="auto"/>
                <w:sz w:val="21"/>
                <w:highlight w:val="none"/>
                <w:lang w:val="en-US" w:eastAsia="zh-CN"/>
              </w:rPr>
              <w:t xml:space="preserve">计划及</w:t>
            </w:r>
            <w:r>
              <w:rPr>
                <w:rFonts w:hint="eastAsia" w:ascii="宋体" w:hAnsi="宋体" w:eastAsia="宋体" w:cs="宋体"/>
                <w:b w:val="0"/>
                <w:bCs/>
                <w:color w:val="auto"/>
                <w:sz w:val="21"/>
                <w:highlight w:val="none"/>
              </w:rPr>
              <w:t xml:space="preserve">保障措施。</w:t>
            </w:r>
            <w:r>
              <w:rPr>
                <w:rFonts w:hint="eastAsia" w:ascii="宋体" w:hAnsi="宋体" w:eastAsia="宋体" w:cs="宋体"/>
                <w:b w:val="0"/>
                <w:bCs/>
                <w:color w:val="auto"/>
                <w:sz w:val="21"/>
                <w:highlight w:val="none"/>
                <w:lang w:val="en-US" w:eastAsia="zh-CN"/>
              </w:rPr>
              <w:t xml:space="preserve">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1.总体施工进度计划体系，2分；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2.分阶段节点进度计划，2分；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3.进度资源、进度管控保障措施，2分；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 xml:space="preserve">以上3项内容，对应分项完整阐述、合理可行、完全符合项目实际需求得对应分值;阐述基本完整、基本合理，基本满足项目需求得对应分值的一半分值；未提供不得分。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施工质量保证措施（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针对本工程核心质量控制点制定科学合理、全面可行的质量保证措施。方案需包含：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1.质量管理组织与制度保障方案，2分；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2.原材料、构配件质量管控方案，2分；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3.施工过程工序质量控制方案，2分；</w:t>
            </w:r>
            <w:r/>
          </w:p>
          <w:p>
            <w:pPr>
              <w:numPr>
                <w:ilvl w:val="0"/>
                <w:numId w:val="0"/>
              </w:numPr>
              <w:ind w:left="0" w:firstLine="422"/>
              <w:jc w:val="both"/>
              <w:keepLines w:val="0"/>
              <w:keepNext w:val="0"/>
              <w:pageBreakBefore w:val="0"/>
              <w:spacing w:line="288" w:lineRule="auto"/>
              <w:widowControl/>
              <w:rPr>
                <w:rFonts w:hint="default" w:cs="宋体"/>
                <w:color w:val="auto"/>
                <w:szCs w:val="21"/>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施工机具设备及劳动力配置方案（</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针对本项目规模，机具覆盖全工序，规格数量达标，有进场、维保、备用调配方案，劳动力配置合理、岗位职责明确，能完全满足项目施工实施需求。方案需包含：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1.施工机具设备配置方案，2分；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2.设备进场、维保与保障管理方案，2分；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3.劳动力班组配置方案，2分；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4.人员管理与进退场保障方案，2分。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89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安全文明施工及环境保护措施（</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 xml:space="preserve">治水</w:t>
            </w:r>
            <w:r>
              <w:rPr>
                <w:rFonts w:hint="eastAsia" w:ascii="宋体" w:hAnsi="宋体" w:eastAsia="宋体" w:cs="宋体"/>
                <w:color w:val="auto"/>
                <w:sz w:val="21"/>
                <w:szCs w:val="21"/>
                <w:highlight w:val="none"/>
                <w:lang w:val="en-US" w:eastAsia="zh-CN" w:bidi="ar"/>
              </w:rPr>
              <w:t xml:space="preserve">等内容。方案需包含：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1.安全生产保障措施方案，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2.文明施工管理措施方案，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3.环境保护措施方案，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p>
          <w:p>
            <w:pPr>
              <w:numPr>
                <w:ilvl w:val="0"/>
                <w:numId w:val="0"/>
              </w:numPr>
              <w:ind w:left="0" w:firstLine="420"/>
              <w:jc w:val="both"/>
              <w:keepLines w:val="0"/>
              <w:keepNext w:val="0"/>
              <w:pageBreakBefore w:val="0"/>
              <w:spacing w:line="288"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4.应急处置及舆情管控方案，2分。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4</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248"/>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958"/>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958"/>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95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17</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63"/>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1、</w:t>
            </w:r>
            <w:r>
              <w:rPr>
                <w:rFonts w:hint="eastAsia" w:ascii="宋体" w:hAnsi="宋体" w:eastAsia="宋体" w:cs="宋体"/>
                <w:color w:val="auto"/>
                <w:sz w:val="21"/>
                <w:szCs w:val="21"/>
                <w:lang w:bidi="ar"/>
              </w:rPr>
              <w:t xml:space="preserve">技术负责人具有中级及以上工程师职称的得5分。</w:t>
            </w:r>
            <w:r/>
          </w:p>
          <w:p>
            <w:pPr>
              <w:pStyle w:val="963"/>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2、</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分，最高得</w:t>
            </w:r>
            <w:r>
              <w:rPr>
                <w:rFonts w:hint="eastAsia" w:cs="宋体"/>
                <w:color w:val="auto"/>
                <w:sz w:val="21"/>
                <w:szCs w:val="21"/>
                <w:lang w:val="en-US" w:eastAsia="zh-CN" w:bidi="ar"/>
              </w:rPr>
              <w:t xml:space="preserve">12</w:t>
            </w:r>
            <w:r>
              <w:rPr>
                <w:rFonts w:hint="eastAsia" w:ascii="宋体" w:hAnsi="宋体" w:eastAsia="宋体" w:cs="宋体"/>
                <w:color w:val="auto"/>
                <w:sz w:val="21"/>
                <w:szCs w:val="21"/>
                <w:lang w:bidi="ar"/>
              </w:rPr>
              <w:t xml:space="preserve">分。</w:t>
            </w:r>
            <w:r/>
          </w:p>
          <w:p>
            <w:pPr>
              <w:pStyle w:val="958"/>
              <w:ind w:left="0" w:firstLine="0"/>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color w:val="auto"/>
                <w:sz w:val="21"/>
                <w:szCs w:val="21"/>
              </w:rPr>
              <w:t xml:space="preserve">需提供</w:t>
            </w:r>
            <w:r>
              <w:rPr>
                <w:rFonts w:hint="eastAsia" w:hAnsi="宋体" w:cs="宋体"/>
                <w:color w:val="auto"/>
                <w:sz w:val="21"/>
                <w:szCs w:val="21"/>
                <w:lang w:val="en-US" w:eastAsia="zh-CN"/>
              </w:rPr>
              <w:t xml:space="preserve">相关</w:t>
            </w:r>
            <w:r>
              <w:rPr>
                <w:rFonts w:hint="eastAsia" w:ascii="宋体" w:hAnsi="宋体" w:eastAsia="宋体" w:cs="宋体"/>
                <w:color w:val="auto"/>
                <w:sz w:val="21"/>
                <w:szCs w:val="21"/>
              </w:rPr>
              <w:t xml:space="preserve">证书、社会保险缴纳证明（</w:t>
            </w:r>
            <w:r>
              <w:rPr>
                <w:rFonts w:hint="eastAsia" w:cs="宋体"/>
                <w:color w:val="auto"/>
                <w:sz w:val="21"/>
                <w:szCs w:val="21"/>
                <w:lang w:val="en-US" w:eastAsia="zh-CN"/>
              </w:rPr>
              <w:t xml:space="preserve">提供投标单位为其缴纳的</w:t>
            </w:r>
            <w:r>
              <w:rPr>
                <w:rFonts w:hint="eastAsia" w:cs="宋体"/>
                <w:b/>
                <w:bCs/>
                <w:color w:val="auto"/>
                <w:sz w:val="21"/>
                <w:szCs w:val="21"/>
                <w:lang w:val="en-US" w:eastAsia="zh-CN"/>
              </w:rPr>
              <w:t xml:space="preserve">近三个月中任意一个月的社保</w:t>
            </w:r>
            <w:r>
              <w:rPr>
                <w:rFonts w:hint="eastAsia" w:cs="宋体"/>
                <w:color w:val="auto"/>
                <w:sz w:val="21"/>
                <w:szCs w:val="21"/>
                <w:lang w:val="en-US" w:eastAsia="zh-CN"/>
              </w:rPr>
              <w:t xml:space="preserve">，</w:t>
            </w:r>
            <w:r>
              <w:rPr>
                <w:rFonts w:hint="eastAsia" w:ascii="宋体" w:hAnsi="宋体" w:eastAsia="宋体" w:cs="宋体"/>
                <w:color w:val="auto"/>
                <w:sz w:val="21"/>
                <w:szCs w:val="21"/>
              </w:rPr>
              <w:t xml:space="preserve">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5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w:t>
            </w:r>
            <w:r>
              <w:rPr>
                <w:rFonts w:hint="eastAsia" w:cs="宋体"/>
                <w:sz w:val="21"/>
                <w:szCs w:val="21"/>
                <w:highlight w:val="none"/>
                <w:lang w:val="en-US" w:eastAsia="zh-CN" w:bidi="ar"/>
              </w:rPr>
              <w:t xml:space="preserve">市政</w:t>
            </w:r>
            <w:r>
              <w:rPr>
                <w:rFonts w:hint="eastAsia" w:ascii="宋体" w:hAnsi="宋体" w:eastAsia="宋体" w:cs="宋体"/>
                <w:sz w:val="21"/>
                <w:szCs w:val="21"/>
                <w:highlight w:val="none"/>
                <w:lang w:val="en-US" w:eastAsia="zh-CN" w:bidi="ar"/>
              </w:rPr>
              <w:t xml:space="preserve">管网工程项目业绩的，每份业绩得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958"/>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r/>
      <w:r/>
    </w:p>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投标文件中提供上述原件</w:t>
      </w:r>
      <w:r>
        <w:rPr>
          <w:rFonts w:hint="eastAsia" w:cs="宋体"/>
          <w:b/>
          <w:bCs/>
          <w:szCs w:val="21"/>
          <w:highlight w:val="none"/>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2"/>
    <w:next w:val="942"/>
    <w:link w:val="771"/>
    <w:uiPriority w:val="9"/>
    <w:qFormat/>
    <w:pPr>
      <w:keepLines/>
      <w:keepNext/>
      <w:spacing w:before="480" w:after="200"/>
      <w:outlineLvl w:val="0"/>
    </w:pPr>
    <w:rPr>
      <w:rFonts w:ascii="Arial" w:hAnsi="Arial" w:eastAsia="Arial" w:cs="Arial"/>
      <w:sz w:val="40"/>
      <w:szCs w:val="40"/>
    </w:rPr>
  </w:style>
  <w:style w:type="character" w:styleId="771">
    <w:name w:val="Heading 1 Char"/>
    <w:basedOn w:val="946"/>
    <w:link w:val="770"/>
    <w:uiPriority w:val="9"/>
    <w:rPr>
      <w:rFonts w:ascii="Arial" w:hAnsi="Arial" w:eastAsia="Arial" w:cs="Arial"/>
      <w:sz w:val="40"/>
      <w:szCs w:val="40"/>
    </w:rPr>
  </w:style>
  <w:style w:type="character" w:styleId="772">
    <w:name w:val="Heading 2 Char"/>
    <w:basedOn w:val="946"/>
    <w:link w:val="943"/>
    <w:uiPriority w:val="9"/>
    <w:rPr>
      <w:rFonts w:ascii="Arial" w:hAnsi="Arial" w:eastAsia="Arial" w:cs="Arial"/>
      <w:sz w:val="34"/>
    </w:rPr>
  </w:style>
  <w:style w:type="character" w:styleId="773">
    <w:name w:val="Heading 3 Char"/>
    <w:basedOn w:val="946"/>
    <w:link w:val="944"/>
    <w:uiPriority w:val="9"/>
    <w:rPr>
      <w:rFonts w:ascii="Arial" w:hAnsi="Arial" w:eastAsia="Arial" w:cs="Arial"/>
      <w:sz w:val="30"/>
      <w:szCs w:val="30"/>
    </w:rPr>
  </w:style>
  <w:style w:type="character" w:styleId="774">
    <w:name w:val="Heading 4 Char"/>
    <w:basedOn w:val="946"/>
    <w:link w:val="945"/>
    <w:uiPriority w:val="9"/>
    <w:rPr>
      <w:rFonts w:ascii="Arial" w:hAnsi="Arial" w:eastAsia="Arial" w:cs="Arial"/>
      <w:b/>
      <w:bCs/>
      <w:sz w:val="26"/>
      <w:szCs w:val="26"/>
    </w:rPr>
  </w:style>
  <w:style w:type="paragraph" w:styleId="775">
    <w:name w:val="Heading 5"/>
    <w:basedOn w:val="942"/>
    <w:next w:val="942"/>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basedOn w:val="946"/>
    <w:link w:val="775"/>
    <w:uiPriority w:val="9"/>
    <w:rPr>
      <w:rFonts w:ascii="Arial" w:hAnsi="Arial" w:eastAsia="Arial" w:cs="Arial"/>
      <w:b/>
      <w:bCs/>
      <w:sz w:val="24"/>
      <w:szCs w:val="24"/>
    </w:rPr>
  </w:style>
  <w:style w:type="paragraph" w:styleId="777">
    <w:name w:val="Heading 6"/>
    <w:basedOn w:val="942"/>
    <w:next w:val="942"/>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46"/>
    <w:link w:val="777"/>
    <w:uiPriority w:val="9"/>
    <w:rPr>
      <w:rFonts w:ascii="Arial" w:hAnsi="Arial" w:eastAsia="Arial" w:cs="Arial"/>
      <w:b/>
      <w:bCs/>
      <w:sz w:val="22"/>
      <w:szCs w:val="22"/>
    </w:rPr>
  </w:style>
  <w:style w:type="paragraph" w:styleId="779">
    <w:name w:val="Heading 7"/>
    <w:basedOn w:val="942"/>
    <w:next w:val="942"/>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46"/>
    <w:link w:val="779"/>
    <w:uiPriority w:val="9"/>
    <w:rPr>
      <w:rFonts w:ascii="Arial" w:hAnsi="Arial" w:eastAsia="Arial" w:cs="Arial"/>
      <w:b/>
      <w:bCs/>
      <w:i/>
      <w:iCs/>
      <w:sz w:val="22"/>
      <w:szCs w:val="22"/>
    </w:rPr>
  </w:style>
  <w:style w:type="paragraph" w:styleId="781">
    <w:name w:val="Heading 8"/>
    <w:basedOn w:val="942"/>
    <w:next w:val="942"/>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46"/>
    <w:link w:val="781"/>
    <w:uiPriority w:val="9"/>
    <w:rPr>
      <w:rFonts w:ascii="Arial" w:hAnsi="Arial" w:eastAsia="Arial" w:cs="Arial"/>
      <w:i/>
      <w:iCs/>
      <w:sz w:val="22"/>
      <w:szCs w:val="22"/>
    </w:rPr>
  </w:style>
  <w:style w:type="paragraph" w:styleId="783">
    <w:name w:val="Heading 9"/>
    <w:basedOn w:val="942"/>
    <w:next w:val="942"/>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46"/>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42"/>
    <w:next w:val="942"/>
    <w:link w:val="787"/>
    <w:uiPriority w:val="10"/>
    <w:qFormat/>
    <w:pPr>
      <w:contextualSpacing/>
      <w:spacing w:before="300" w:after="200"/>
    </w:pPr>
    <w:rPr>
      <w:sz w:val="48"/>
      <w:szCs w:val="48"/>
    </w:rPr>
  </w:style>
  <w:style w:type="character" w:styleId="787">
    <w:name w:val="Title Char"/>
    <w:basedOn w:val="946"/>
    <w:link w:val="786"/>
    <w:uiPriority w:val="10"/>
    <w:rPr>
      <w:sz w:val="48"/>
      <w:szCs w:val="48"/>
    </w:rPr>
  </w:style>
  <w:style w:type="paragraph" w:styleId="788">
    <w:name w:val="Subtitle"/>
    <w:basedOn w:val="942"/>
    <w:next w:val="942"/>
    <w:link w:val="789"/>
    <w:uiPriority w:val="11"/>
    <w:qFormat/>
    <w:pPr>
      <w:spacing w:before="200" w:after="200"/>
    </w:pPr>
    <w:rPr>
      <w:sz w:val="24"/>
      <w:szCs w:val="24"/>
    </w:rPr>
  </w:style>
  <w:style w:type="character" w:styleId="789">
    <w:name w:val="Subtitle Char"/>
    <w:basedOn w:val="946"/>
    <w:link w:val="788"/>
    <w:uiPriority w:val="11"/>
    <w:rPr>
      <w:sz w:val="24"/>
      <w:szCs w:val="24"/>
    </w:rPr>
  </w:style>
  <w:style w:type="paragraph" w:styleId="790">
    <w:name w:val="Quote"/>
    <w:basedOn w:val="942"/>
    <w:next w:val="942"/>
    <w:link w:val="791"/>
    <w:uiPriority w:val="29"/>
    <w:qFormat/>
    <w:pPr>
      <w:ind w:left="720" w:right="720"/>
    </w:pPr>
    <w:rPr>
      <w:i/>
    </w:rPr>
  </w:style>
  <w:style w:type="character" w:styleId="791">
    <w:name w:val="Quote Char"/>
    <w:link w:val="790"/>
    <w:uiPriority w:val="29"/>
    <w:rPr>
      <w:i/>
    </w:rPr>
  </w:style>
  <w:style w:type="paragraph" w:styleId="792">
    <w:name w:val="Intense Quote"/>
    <w:basedOn w:val="942"/>
    <w:next w:val="94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2"/>
    <w:link w:val="795"/>
    <w:uiPriority w:val="99"/>
    <w:unhideWhenUsed/>
    <w:pPr>
      <w:spacing w:after="0" w:line="240" w:lineRule="auto"/>
      <w:tabs>
        <w:tab w:val="center" w:pos="7143" w:leader="none"/>
        <w:tab w:val="right" w:pos="14287" w:leader="none"/>
      </w:tabs>
    </w:pPr>
  </w:style>
  <w:style w:type="character" w:styleId="795">
    <w:name w:val="Header Char"/>
    <w:basedOn w:val="946"/>
    <w:link w:val="794"/>
    <w:uiPriority w:val="99"/>
  </w:style>
  <w:style w:type="character" w:styleId="796">
    <w:name w:val="Footer Char"/>
    <w:basedOn w:val="946"/>
    <w:link w:val="953"/>
    <w:uiPriority w:val="99"/>
  </w:style>
  <w:style w:type="paragraph" w:styleId="797">
    <w:name w:val="Caption"/>
    <w:basedOn w:val="942"/>
    <w:next w:val="942"/>
    <w:uiPriority w:val="35"/>
    <w:semiHidden/>
    <w:unhideWhenUsed/>
    <w:qFormat/>
    <w:pPr>
      <w:spacing w:line="276" w:lineRule="auto"/>
    </w:pPr>
    <w:rPr>
      <w:b/>
      <w:bCs/>
      <w:color w:val="4f81bd" w:themeColor="accent1"/>
      <w:sz w:val="18"/>
      <w:szCs w:val="18"/>
    </w:rPr>
  </w:style>
  <w:style w:type="character" w:styleId="798">
    <w:name w:val="Caption Char"/>
    <w:basedOn w:val="797"/>
    <w:link w:val="953"/>
    <w:uiPriority w:val="99"/>
  </w:style>
  <w:style w:type="table" w:styleId="799">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5">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6">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7">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8">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9">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0">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6">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7">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1">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2">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3">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4">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5">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7">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8">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9">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0">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1">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2">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1">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2">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3">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4">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5">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6">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8">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9">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0">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1">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2">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3">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2">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3">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4">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5">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6">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7">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6"/>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6"/>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1"/>
    <w:qFormat/>
    <w:pPr>
      <w:widowControl w:val="off"/>
    </w:pPr>
    <w:rPr>
      <w:rFonts w:hint="default" w:ascii="宋体" w:hAnsi="宋体" w:eastAsia="宋体" w:cs="宋体"/>
      <w:sz w:val="22"/>
      <w:szCs w:val="22"/>
      <w:lang w:val="en-US" w:eastAsia="en-US" w:bidi="ar-SA"/>
    </w:rPr>
  </w:style>
  <w:style w:type="paragraph" w:styleId="943">
    <w:name w:val="Heading 2"/>
    <w:basedOn w:val="942"/>
    <w:next w:val="942"/>
    <w:uiPriority w:val="1"/>
    <w:qFormat/>
    <w:pPr>
      <w:ind w:left="2517"/>
      <w:spacing w:before="38"/>
      <w:outlineLvl w:val="1"/>
    </w:pPr>
    <w:rPr>
      <w:b/>
      <w:bCs/>
      <w:sz w:val="44"/>
      <w:szCs w:val="44"/>
    </w:rPr>
  </w:style>
  <w:style w:type="paragraph" w:styleId="944">
    <w:name w:val="Heading 3"/>
    <w:basedOn w:val="942"/>
    <w:next w:val="942"/>
    <w:uiPriority w:val="1"/>
    <w:qFormat/>
    <w:pPr>
      <w:jc w:val="center"/>
      <w:spacing w:before="24"/>
      <w:outlineLvl w:val="2"/>
    </w:pPr>
    <w:rPr>
      <w:b/>
      <w:bCs/>
      <w:sz w:val="32"/>
      <w:szCs w:val="32"/>
    </w:rPr>
  </w:style>
  <w:style w:type="paragraph" w:styleId="945">
    <w:name w:val="Heading 4"/>
    <w:basedOn w:val="942"/>
    <w:next w:val="942"/>
    <w:uiPriority w:val="1"/>
    <w:qFormat/>
    <w:pPr>
      <w:ind w:left="2" w:right="438"/>
      <w:jc w:val="center"/>
      <w:spacing w:before="23"/>
      <w:outlineLvl w:val="3"/>
    </w:pPr>
    <w:rPr>
      <w:b/>
      <w:bCs/>
      <w:sz w:val="30"/>
      <w:szCs w:val="30"/>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Body Text"/>
    <w:basedOn w:val="942"/>
    <w:next w:val="942"/>
    <w:uiPriority w:val="1"/>
    <w:qFormat/>
    <w:rPr>
      <w:sz w:val="24"/>
      <w:szCs w:val="24"/>
    </w:rPr>
  </w:style>
  <w:style w:type="paragraph" w:styleId="949">
    <w:name w:val="Body Text Indent"/>
    <w:basedOn w:val="942"/>
    <w:next w:val="950"/>
    <w:uiPriority w:val="0"/>
    <w:qFormat/>
    <w:pPr>
      <w:ind w:firstLine="645"/>
    </w:pPr>
    <w:rPr>
      <w:rFonts w:ascii="楷体_GB2312" w:eastAsia="楷体_GB2312"/>
      <w:sz w:val="32"/>
      <w:szCs w:val="20"/>
    </w:rPr>
  </w:style>
  <w:style w:type="paragraph" w:styleId="950">
    <w:name w:val="Body Text First Indent 2"/>
    <w:basedOn w:val="949"/>
    <w:uiPriority w:val="99"/>
    <w:unhideWhenUsed/>
    <w:qFormat/>
    <w:pPr>
      <w:ind w:left="420" w:firstLine="420"/>
    </w:pPr>
  </w:style>
  <w:style w:type="paragraph" w:styleId="951">
    <w:name w:val="Block Text"/>
    <w:basedOn w:val="942"/>
    <w:uiPriority w:val="0"/>
    <w:qFormat/>
    <w:pPr>
      <w:ind w:left="256" w:right="6" w:firstLine="624"/>
    </w:pPr>
    <w:rPr>
      <w:rFonts w:eastAsia="仿宋_GB2312"/>
      <w:sz w:val="28"/>
      <w:szCs w:val="20"/>
    </w:rPr>
  </w:style>
  <w:style w:type="paragraph" w:styleId="952">
    <w:name w:val="Plain Text"/>
    <w:basedOn w:val="942"/>
    <w:uiPriority w:val="0"/>
    <w:qFormat/>
    <w:rPr>
      <w:rFonts w:hAnsi="Courier New"/>
      <w:szCs w:val="20"/>
    </w:rPr>
  </w:style>
  <w:style w:type="paragraph" w:styleId="953">
    <w:name w:val="Footer"/>
    <w:basedOn w:val="942"/>
    <w:uiPriority w:val="0"/>
    <w:qFormat/>
    <w:pPr>
      <w:tabs>
        <w:tab w:val="center" w:pos="4153" w:leader="none"/>
        <w:tab w:val="right" w:pos="8306" w:leader="none"/>
      </w:tabs>
    </w:pPr>
    <w:rPr>
      <w:sz w:val="18"/>
    </w:rPr>
  </w:style>
  <w:style w:type="paragraph" w:styleId="954">
    <w:name w:val="Body Text First Indent"/>
    <w:basedOn w:val="948"/>
    <w:uiPriority w:val="0"/>
    <w:qFormat/>
    <w:pPr>
      <w:ind w:firstLine="100"/>
    </w:pPr>
  </w:style>
  <w:style w:type="table" w:styleId="955">
    <w:name w:val="Table Grid"/>
    <w:basedOn w:val="9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Strong"/>
    <w:basedOn w:val="946"/>
    <w:uiPriority w:val="0"/>
    <w:qFormat/>
    <w:rPr>
      <w:b/>
      <w:bCs/>
    </w:rPr>
  </w:style>
  <w:style w:type="paragraph" w:styleId="957"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58" w:customStyle="1">
    <w:name w:val="段"/>
    <w:next w:val="942"/>
    <w:uiPriority w:val="0"/>
    <w:qFormat/>
    <w:pPr>
      <w:ind w:firstLine="200"/>
      <w:jc w:val="both"/>
    </w:pPr>
    <w:rPr>
      <w:rFonts w:hint="default" w:ascii="宋体" w:hAnsi="Times New Roman" w:eastAsia="宋体" w:cs="Times New Roman"/>
      <w:sz w:val="21"/>
      <w:lang w:val="en-US" w:eastAsia="zh-CN" w:bidi="ar-SA"/>
    </w:rPr>
  </w:style>
  <w:style w:type="character" w:styleId="959" w:customStyle="1">
    <w:name w:val="NormalCharacter"/>
    <w:uiPriority w:val="0"/>
    <w:qFormat/>
  </w:style>
  <w:style w:type="paragraph" w:styleId="960" w:customStyle="1">
    <w:name w:val="正文1"/>
    <w:next w:val="942"/>
    <w:uiPriority w:val="99"/>
    <w:qFormat/>
    <w:pPr>
      <w:jc w:val="both"/>
      <w:widowControl w:val="off"/>
    </w:pPr>
    <w:rPr>
      <w:rFonts w:hint="default" w:ascii="Calibri" w:hAnsi="Calibri" w:eastAsia="宋体" w:cs="Calibri"/>
      <w:lang w:val="en-US" w:eastAsia="zh-CN" w:bidi="ar-SA"/>
    </w:rPr>
  </w:style>
  <w:style w:type="paragraph" w:styleId="961" w:customStyle="1">
    <w:name w:val="Address"/>
    <w:basedOn w:val="942"/>
    <w:next w:val="942"/>
    <w:uiPriority w:val="0"/>
    <w:qFormat/>
    <w:pPr>
      <w:jc w:val="left"/>
    </w:pPr>
    <w:rPr>
      <w:i/>
      <w:sz w:val="24"/>
      <w:szCs w:val="20"/>
    </w:rPr>
  </w:style>
  <w:style w:type="paragraph" w:styleId="962" w:customStyle="1">
    <w:name w:val="首行缩进"/>
    <w:basedOn w:val="942"/>
    <w:uiPriority w:val="0"/>
    <w:qFormat/>
    <w:pPr>
      <w:ind w:firstLine="480"/>
    </w:pPr>
    <w:rPr>
      <w:lang w:val="zh-CN"/>
    </w:rPr>
  </w:style>
  <w:style w:type="paragraph" w:styleId="963">
    <w:name w:val="List Paragraph"/>
    <w:basedOn w:val="942"/>
    <w:uiPriority w:val="1"/>
    <w:qFormat/>
    <w:pPr>
      <w:ind w:left="760" w:firstLine="479"/>
    </w:pPr>
  </w:style>
  <w:style w:type="table" w:styleId="964" w:customStyle="1">
    <w:name w:val="Table Normal"/>
    <w:uiPriority w:val="0"/>
    <w:unhideWhenUsed/>
    <w:qFormat/>
    <w:tblPr>
      <w:tblCellMar>
        <w:left w:w="0" w:type="dxa"/>
        <w:top w:w="0" w:type="dxa"/>
        <w:right w:w="0" w:type="dxa"/>
        <w:bottom w:w="0" w:type="dxa"/>
      </w:tblCellMar>
    </w:tblPr>
  </w:style>
  <w:style w:type="paragraph" w:styleId="965" w:customStyle="1">
    <w:name w:val="Table Text"/>
    <w:basedOn w:val="942"/>
    <w:uiPriority w:val="0"/>
    <w:semiHidden/>
    <w:qFormat/>
    <w:rPr>
      <w:rFonts w:ascii="宋体" w:hAnsi="宋体" w:eastAsia="宋体" w:cs="宋体"/>
      <w:sz w:val="24"/>
      <w:szCs w:val="24"/>
      <w:lang w:val="en-US" w:eastAsia="en-US"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盛创1</cp:lastModifiedBy>
  <cp:revision>4</cp:revision>
  <dcterms:created xsi:type="dcterms:W3CDTF">2026-05-06T03:29:00Z</dcterms:created>
  <dcterms:modified xsi:type="dcterms:W3CDTF">2026-10-13T06:12:56Z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