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4A01D5">
      <w:pPr>
        <w:spacing w:line="360" w:lineRule="auto"/>
        <w:jc w:val="center"/>
        <w:rPr>
          <w:rFonts w:ascii="宋体" w:hAnsi="宋体"/>
          <w:b/>
          <w:sz w:val="72"/>
        </w:rPr>
      </w:pPr>
      <w:bookmarkStart w:id="28" w:name="_GoBack"/>
      <w:bookmarkEnd w:id="28"/>
    </w:p>
    <w:p w14:paraId="32811559">
      <w:pPr>
        <w:spacing w:line="360" w:lineRule="auto"/>
        <w:jc w:val="center"/>
        <w:rPr>
          <w:rFonts w:ascii="宋体" w:hAnsi="宋体"/>
          <w:b/>
          <w:sz w:val="72"/>
        </w:rPr>
      </w:pPr>
      <w:r>
        <w:rPr>
          <w:rFonts w:hint="eastAsia" w:ascii="宋体" w:hAnsi="宋体"/>
          <w:b/>
          <w:sz w:val="72"/>
        </w:rPr>
        <w:t>太仓市政府采购</w:t>
      </w:r>
    </w:p>
    <w:p w14:paraId="78CBDB2E">
      <w:pPr>
        <w:spacing w:line="360" w:lineRule="auto"/>
        <w:jc w:val="center"/>
        <w:rPr>
          <w:rFonts w:ascii="宋体" w:hAnsi="宋体"/>
          <w:b/>
          <w:sz w:val="72"/>
        </w:rPr>
      </w:pPr>
      <w:r>
        <w:rPr>
          <w:rFonts w:hint="eastAsia" w:ascii="宋体" w:hAnsi="宋体"/>
          <w:b/>
          <w:sz w:val="72"/>
        </w:rPr>
        <w:t>招 标 文 件</w:t>
      </w:r>
    </w:p>
    <w:p w14:paraId="0F9F8326">
      <w:pPr>
        <w:spacing w:line="360" w:lineRule="auto"/>
        <w:jc w:val="center"/>
        <w:rPr>
          <w:rFonts w:ascii="宋体" w:hAnsi="宋体"/>
        </w:rPr>
      </w:pPr>
    </w:p>
    <w:p w14:paraId="3EE77DB3">
      <w:pPr>
        <w:tabs>
          <w:tab w:val="left" w:pos="3570"/>
        </w:tabs>
        <w:spacing w:line="360" w:lineRule="auto"/>
        <w:ind w:firstLine="630"/>
        <w:rPr>
          <w:rFonts w:ascii="宋体" w:hAnsi="宋体"/>
        </w:rPr>
      </w:pPr>
      <w:r>
        <w:rPr>
          <w:rFonts w:ascii="宋体" w:hAnsi="宋体"/>
        </w:rPr>
        <w:tab/>
      </w:r>
    </w:p>
    <w:p w14:paraId="68B534CB">
      <w:pPr>
        <w:spacing w:line="360" w:lineRule="auto"/>
        <w:ind w:firstLine="630"/>
        <w:rPr>
          <w:rFonts w:ascii="宋体" w:hAnsi="宋体"/>
        </w:rPr>
      </w:pPr>
    </w:p>
    <w:p w14:paraId="63DE78DF">
      <w:pPr>
        <w:spacing w:line="360" w:lineRule="auto"/>
        <w:ind w:right="1280"/>
        <w:rPr>
          <w:rFonts w:ascii="宋体" w:hAnsi="宋体"/>
          <w:sz w:val="32"/>
        </w:rPr>
      </w:pPr>
    </w:p>
    <w:p w14:paraId="553177AE">
      <w:pPr>
        <w:spacing w:line="360" w:lineRule="auto"/>
        <w:ind w:firstLine="723"/>
        <w:rPr>
          <w:rFonts w:hint="eastAsia" w:ascii="宋体" w:hAnsi="宋体" w:eastAsia="宋体"/>
          <w:b/>
          <w:sz w:val="36"/>
          <w:szCs w:val="36"/>
          <w:lang w:eastAsia="zh-CN"/>
        </w:rPr>
      </w:pPr>
      <w:r>
        <w:rPr>
          <w:rFonts w:hint="eastAsia" w:ascii="宋体" w:hAnsi="宋体"/>
          <w:b/>
          <w:sz w:val="36"/>
          <w:szCs w:val="36"/>
        </w:rPr>
        <w:t>项目编号：</w:t>
      </w:r>
      <w:r>
        <w:rPr>
          <w:rFonts w:hint="eastAsia" w:ascii="宋体" w:hAnsi="宋体"/>
          <w:b/>
          <w:sz w:val="36"/>
          <w:szCs w:val="36"/>
          <w:lang w:eastAsia="zh-CN"/>
        </w:rPr>
        <w:t>JSZC-320585-YXCZ-G2026-0008</w:t>
      </w:r>
    </w:p>
    <w:p w14:paraId="20C5DE96">
      <w:pPr>
        <w:spacing w:line="360" w:lineRule="auto"/>
        <w:ind w:firstLine="723"/>
        <w:rPr>
          <w:rFonts w:ascii="宋体" w:hAnsi="宋体"/>
          <w:b/>
          <w:sz w:val="32"/>
          <w:szCs w:val="36"/>
        </w:rPr>
      </w:pPr>
      <w:r>
        <w:rPr>
          <w:rFonts w:hint="eastAsia" w:ascii="宋体" w:hAnsi="宋体"/>
          <w:b/>
          <w:sz w:val="36"/>
          <w:szCs w:val="36"/>
        </w:rPr>
        <w:t>项目名称：太仓市第二中学新校区体育器材采购</w:t>
      </w:r>
    </w:p>
    <w:p w14:paraId="16C64ED7">
      <w:pPr>
        <w:spacing w:line="360" w:lineRule="auto"/>
        <w:ind w:firstLine="723"/>
        <w:rPr>
          <w:rFonts w:ascii="宋体" w:hAnsi="宋体"/>
          <w:b/>
          <w:sz w:val="36"/>
          <w:szCs w:val="36"/>
        </w:rPr>
      </w:pPr>
      <w:r>
        <w:rPr>
          <w:rFonts w:hint="eastAsia" w:ascii="宋体" w:hAnsi="宋体"/>
          <w:b/>
          <w:sz w:val="36"/>
          <w:szCs w:val="36"/>
        </w:rPr>
        <w:t>采购单位：太仓市第二中学</w:t>
      </w:r>
    </w:p>
    <w:p w14:paraId="3B5CE56E">
      <w:pPr>
        <w:spacing w:line="360" w:lineRule="auto"/>
        <w:ind w:firstLine="723"/>
        <w:rPr>
          <w:rFonts w:ascii="宋体" w:hAnsi="宋体"/>
          <w:b/>
          <w:sz w:val="36"/>
          <w:szCs w:val="36"/>
        </w:rPr>
      </w:pPr>
      <w:r>
        <w:rPr>
          <w:rFonts w:hint="eastAsia" w:ascii="宋体" w:hAnsi="宋体"/>
          <w:b/>
          <w:sz w:val="36"/>
          <w:szCs w:val="36"/>
        </w:rPr>
        <w:t>采购项目类别：货物类</w:t>
      </w:r>
    </w:p>
    <w:p w14:paraId="179F70E3">
      <w:pPr>
        <w:spacing w:line="360" w:lineRule="auto"/>
        <w:ind w:firstLine="723"/>
        <w:rPr>
          <w:rFonts w:ascii="宋体" w:hAnsi="宋体"/>
          <w:b/>
          <w:sz w:val="36"/>
          <w:szCs w:val="36"/>
        </w:rPr>
      </w:pPr>
      <w:r>
        <w:rPr>
          <w:rFonts w:hint="eastAsia" w:ascii="宋体" w:hAnsi="宋体"/>
          <w:b/>
          <w:sz w:val="36"/>
          <w:szCs w:val="36"/>
        </w:rPr>
        <w:t>标的所属行业：（二）工业</w:t>
      </w:r>
      <w:r>
        <w:rPr>
          <w:rFonts w:ascii="宋体" w:hAnsi="宋体"/>
          <w:b/>
          <w:sz w:val="36"/>
          <w:szCs w:val="36"/>
        </w:rPr>
        <w:t xml:space="preserve"> </w:t>
      </w:r>
    </w:p>
    <w:p w14:paraId="301FEF03">
      <w:pPr>
        <w:pStyle w:val="25"/>
        <w:ind w:firstLine="0"/>
      </w:pPr>
    </w:p>
    <w:p w14:paraId="326D2EFD">
      <w:pPr>
        <w:pStyle w:val="25"/>
        <w:ind w:firstLine="0"/>
      </w:pPr>
    </w:p>
    <w:p w14:paraId="5E417C92">
      <w:pPr>
        <w:pStyle w:val="64"/>
      </w:pPr>
    </w:p>
    <w:p w14:paraId="26433B37">
      <w:pPr>
        <w:pStyle w:val="64"/>
      </w:pPr>
    </w:p>
    <w:p w14:paraId="34FE676E">
      <w:pPr>
        <w:pStyle w:val="25"/>
      </w:pPr>
    </w:p>
    <w:p w14:paraId="78C729C1">
      <w:pPr>
        <w:spacing w:line="360" w:lineRule="auto"/>
        <w:jc w:val="center"/>
        <w:rPr>
          <w:rFonts w:ascii="宋体" w:hAnsi="宋体"/>
          <w:sz w:val="36"/>
          <w:szCs w:val="36"/>
        </w:rPr>
      </w:pPr>
      <w:r>
        <w:rPr>
          <w:rFonts w:hint="eastAsia" w:ascii="宋体" w:hAnsi="宋体"/>
          <w:sz w:val="44"/>
          <w:szCs w:val="44"/>
        </w:rPr>
        <w:t xml:space="preserve"> </w:t>
      </w:r>
      <w:r>
        <w:rPr>
          <w:rFonts w:hint="eastAsia" w:ascii="宋体" w:hAnsi="宋体"/>
          <w:sz w:val="36"/>
          <w:szCs w:val="36"/>
        </w:rPr>
        <w:t>苏州乐鑫诚项目管理有限公司</w:t>
      </w:r>
    </w:p>
    <w:p w14:paraId="48B9A13A">
      <w:pPr>
        <w:spacing w:before="305" w:line="360" w:lineRule="auto"/>
        <w:jc w:val="center"/>
        <w:rPr>
          <w:rFonts w:ascii="宋体" w:hAnsi="宋体"/>
          <w:sz w:val="36"/>
          <w:szCs w:val="36"/>
        </w:rPr>
        <w:sectPr>
          <w:pgSz w:w="11906" w:h="16838"/>
          <w:pgMar w:top="1157" w:right="1236" w:bottom="1157" w:left="1236" w:header="851" w:footer="992" w:gutter="0"/>
          <w:cols w:space="425" w:num="1"/>
          <w:docGrid w:linePitch="360" w:charSpace="0"/>
        </w:sectPr>
      </w:pPr>
      <w:r>
        <w:rPr>
          <w:rFonts w:hint="eastAsia" w:ascii="宋体" w:hAnsi="宋体"/>
          <w:sz w:val="36"/>
          <w:szCs w:val="36"/>
        </w:rPr>
        <w:t>2026年</w:t>
      </w:r>
      <w:r>
        <w:rPr>
          <w:rFonts w:hint="eastAsia" w:ascii="宋体" w:hAnsi="宋体"/>
          <w:sz w:val="36"/>
          <w:szCs w:val="36"/>
          <w:lang w:val="en-US" w:eastAsia="zh-CN"/>
        </w:rPr>
        <w:t>9</w:t>
      </w:r>
      <w:r>
        <w:rPr>
          <w:rFonts w:hint="eastAsia" w:ascii="宋体" w:hAnsi="宋体"/>
          <w:sz w:val="36"/>
          <w:szCs w:val="36"/>
        </w:rPr>
        <w:t>月</w:t>
      </w:r>
      <w:bookmarkStart w:id="0" w:name="_Toc158691765"/>
    </w:p>
    <w:p w14:paraId="6E5F0CA8">
      <w:pPr>
        <w:spacing w:before="305" w:line="360" w:lineRule="auto"/>
        <w:jc w:val="center"/>
        <w:rPr>
          <w:rFonts w:ascii="宋体" w:hAnsi="宋体"/>
          <w:sz w:val="44"/>
          <w:szCs w:val="44"/>
        </w:rPr>
      </w:pPr>
      <w:r>
        <w:rPr>
          <w:rFonts w:ascii="宋体" w:hAnsi="宋体"/>
          <w:b/>
          <w:sz w:val="36"/>
          <w:szCs w:val="36"/>
        </w:rPr>
        <w:t>目   录</w:t>
      </w:r>
    </w:p>
    <w:p w14:paraId="5698DE68">
      <w:pPr>
        <w:spacing w:line="360" w:lineRule="auto"/>
        <w:ind w:firstLine="600"/>
        <w:rPr>
          <w:rFonts w:ascii="宋体" w:hAnsi="宋体"/>
          <w:sz w:val="30"/>
          <w:szCs w:val="30"/>
        </w:rPr>
      </w:pPr>
      <w:r>
        <w:rPr>
          <w:rFonts w:hint="eastAsia" w:ascii="宋体" w:hAnsi="宋体"/>
          <w:sz w:val="30"/>
          <w:szCs w:val="30"/>
        </w:rPr>
        <w:t>第一部分：招标公告</w:t>
      </w:r>
    </w:p>
    <w:p w14:paraId="4EC52F57">
      <w:pPr>
        <w:spacing w:line="360" w:lineRule="auto"/>
        <w:ind w:firstLine="600"/>
        <w:rPr>
          <w:rFonts w:ascii="宋体" w:hAnsi="宋体"/>
          <w:sz w:val="30"/>
          <w:szCs w:val="30"/>
        </w:rPr>
      </w:pPr>
      <w:r>
        <w:rPr>
          <w:rFonts w:hint="eastAsia" w:ascii="宋体" w:hAnsi="宋体"/>
          <w:sz w:val="30"/>
          <w:szCs w:val="30"/>
        </w:rPr>
        <w:t>第二部分：投标人须知</w:t>
      </w:r>
    </w:p>
    <w:p w14:paraId="25B6E4F3">
      <w:pPr>
        <w:spacing w:line="360" w:lineRule="auto"/>
        <w:ind w:firstLine="600"/>
        <w:rPr>
          <w:rFonts w:ascii="宋体" w:hAnsi="宋体"/>
          <w:sz w:val="30"/>
          <w:szCs w:val="30"/>
        </w:rPr>
      </w:pPr>
      <w:r>
        <w:rPr>
          <w:rFonts w:hint="eastAsia" w:ascii="宋体" w:hAnsi="宋体"/>
          <w:sz w:val="30"/>
          <w:szCs w:val="30"/>
        </w:rPr>
        <w:t>第三部分：项目需求</w:t>
      </w:r>
    </w:p>
    <w:p w14:paraId="6E63BB4B">
      <w:pPr>
        <w:spacing w:line="360" w:lineRule="auto"/>
        <w:ind w:firstLine="600"/>
        <w:rPr>
          <w:rFonts w:ascii="宋体" w:hAnsi="宋体"/>
          <w:sz w:val="30"/>
          <w:szCs w:val="30"/>
        </w:rPr>
      </w:pPr>
      <w:r>
        <w:rPr>
          <w:rFonts w:hint="eastAsia" w:ascii="宋体" w:hAnsi="宋体"/>
          <w:sz w:val="30"/>
          <w:szCs w:val="30"/>
        </w:rPr>
        <w:t>第四部分：投标文件格式</w:t>
      </w:r>
    </w:p>
    <w:p w14:paraId="0952283B">
      <w:pPr>
        <w:spacing w:line="360" w:lineRule="auto"/>
        <w:ind w:firstLine="600"/>
        <w:rPr>
          <w:rFonts w:ascii="宋体" w:hAnsi="宋体"/>
          <w:sz w:val="30"/>
          <w:szCs w:val="30"/>
        </w:rPr>
      </w:pPr>
      <w:r>
        <w:rPr>
          <w:rFonts w:hint="eastAsia" w:ascii="宋体" w:hAnsi="宋体"/>
          <w:sz w:val="30"/>
          <w:szCs w:val="30"/>
        </w:rPr>
        <w:t>第五部分：评标方法与评标标准</w:t>
      </w:r>
    </w:p>
    <w:p w14:paraId="6C88026B">
      <w:pPr>
        <w:spacing w:line="360" w:lineRule="auto"/>
        <w:ind w:firstLine="600"/>
        <w:rPr>
          <w:rFonts w:ascii="宋体" w:hAnsi="宋体"/>
          <w:b/>
          <w:sz w:val="24"/>
          <w:szCs w:val="24"/>
        </w:rPr>
      </w:pPr>
      <w:r>
        <w:rPr>
          <w:rFonts w:hint="eastAsia" w:ascii="宋体" w:hAnsi="宋体"/>
          <w:sz w:val="30"/>
          <w:szCs w:val="30"/>
        </w:rPr>
        <w:t>第六部分：合同主要条款</w:t>
      </w:r>
      <w:bookmarkEnd w:id="0"/>
    </w:p>
    <w:p w14:paraId="6E2B0EEB">
      <w:pPr>
        <w:pStyle w:val="288"/>
        <w:rPr>
          <w:szCs w:val="24"/>
        </w:rPr>
      </w:pPr>
      <w:bookmarkStart w:id="1" w:name="_Toc467507028"/>
      <w:bookmarkEnd w:id="1"/>
      <w:bookmarkStart w:id="2" w:name="_Toc315868049"/>
      <w:bookmarkEnd w:id="2"/>
      <w:bookmarkStart w:id="3" w:name="_Toc315875312"/>
      <w:bookmarkEnd w:id="3"/>
    </w:p>
    <w:p w14:paraId="14565288">
      <w:pPr>
        <w:pStyle w:val="288"/>
        <w:rPr>
          <w:szCs w:val="24"/>
        </w:rPr>
      </w:pPr>
    </w:p>
    <w:p w14:paraId="439966A4">
      <w:pPr>
        <w:pStyle w:val="288"/>
        <w:rPr>
          <w:szCs w:val="24"/>
        </w:rPr>
      </w:pPr>
    </w:p>
    <w:p w14:paraId="076F3858">
      <w:pPr>
        <w:pStyle w:val="288"/>
        <w:rPr>
          <w:szCs w:val="24"/>
        </w:rPr>
      </w:pPr>
    </w:p>
    <w:p w14:paraId="0564E09A">
      <w:pPr>
        <w:pStyle w:val="288"/>
        <w:rPr>
          <w:szCs w:val="24"/>
        </w:rPr>
      </w:pPr>
    </w:p>
    <w:p w14:paraId="05DABF43">
      <w:pPr>
        <w:pStyle w:val="288"/>
        <w:rPr>
          <w:szCs w:val="24"/>
        </w:rPr>
      </w:pPr>
    </w:p>
    <w:p w14:paraId="09293428">
      <w:pPr>
        <w:pStyle w:val="288"/>
        <w:jc w:val="center"/>
        <w:rPr>
          <w:rFonts w:ascii="仿宋" w:hAnsi="仿宋" w:eastAsia="仿宋" w:cs="仿宋"/>
          <w:b/>
          <w:sz w:val="44"/>
          <w:szCs w:val="44"/>
        </w:rPr>
        <w:sectPr>
          <w:footerReference r:id="rId3" w:type="default"/>
          <w:pgSz w:w="11906" w:h="16838"/>
          <w:pgMar w:top="1157" w:right="1236" w:bottom="1157" w:left="1236" w:header="851" w:footer="992" w:gutter="0"/>
          <w:pgNumType w:start="1"/>
          <w:cols w:space="425" w:num="1"/>
          <w:docGrid w:linePitch="360" w:charSpace="0"/>
        </w:sectPr>
      </w:pPr>
    </w:p>
    <w:p w14:paraId="2F3649CD">
      <w:pPr>
        <w:pStyle w:val="288"/>
        <w:jc w:val="center"/>
        <w:rPr>
          <w:rFonts w:ascii="仿宋" w:hAnsi="仿宋" w:eastAsia="仿宋" w:cs="仿宋"/>
          <w:b/>
          <w:sz w:val="44"/>
          <w:szCs w:val="44"/>
        </w:rPr>
      </w:pPr>
      <w:r>
        <w:rPr>
          <w:rFonts w:hint="eastAsia" w:ascii="仿宋" w:hAnsi="仿宋" w:eastAsia="仿宋" w:cs="仿宋"/>
          <w:b/>
          <w:sz w:val="44"/>
          <w:szCs w:val="44"/>
        </w:rPr>
        <w:t>第一部分  招标公告</w:t>
      </w:r>
      <w:bookmarkStart w:id="4" w:name="OLE_LINK1"/>
      <w:bookmarkStart w:id="5" w:name="OLE_LINK2"/>
      <w:bookmarkStart w:id="6" w:name="OLE_LINK3"/>
      <w:bookmarkStart w:id="7" w:name="OLE_LINK4"/>
    </w:p>
    <w:p w14:paraId="5ADF4937">
      <w:pPr>
        <w:pStyle w:val="24"/>
        <w:spacing w:line="360" w:lineRule="auto"/>
        <w:ind w:firstLine="482"/>
        <w:rPr>
          <w:rFonts w:ascii="仿宋" w:hAnsi="仿宋" w:eastAsia="仿宋" w:cs="仿宋"/>
          <w:b/>
          <w:sz w:val="24"/>
          <w:szCs w:val="24"/>
        </w:rPr>
      </w:pPr>
      <w:r>
        <w:rPr>
          <w:rFonts w:hint="eastAsia" w:ascii="仿宋" w:hAnsi="仿宋" w:eastAsia="仿宋" w:cs="仿宋"/>
          <w:b/>
          <w:sz w:val="24"/>
          <w:szCs w:val="24"/>
        </w:rPr>
        <w:t>项目概况</w:t>
      </w:r>
    </w:p>
    <w:p w14:paraId="524DEDFF">
      <w:pPr>
        <w:pStyle w:val="24"/>
        <w:spacing w:line="360" w:lineRule="auto"/>
        <w:ind w:firstLine="480"/>
        <w:rPr>
          <w:rFonts w:ascii="仿宋" w:hAnsi="仿宋" w:eastAsia="仿宋" w:cs="仿宋"/>
          <w:sz w:val="24"/>
          <w:szCs w:val="24"/>
        </w:rPr>
      </w:pPr>
      <w:r>
        <w:rPr>
          <w:rFonts w:hint="eastAsia" w:ascii="仿宋" w:hAnsi="仿宋" w:eastAsia="仿宋" w:cs="仿宋"/>
          <w:sz w:val="24"/>
          <w:szCs w:val="24"/>
        </w:rPr>
        <w:t>太仓市第二中学新校区体育器材采购的</w:t>
      </w:r>
      <w:r>
        <w:rPr>
          <w:rFonts w:hint="eastAsia" w:ascii="仿宋" w:hAnsi="仿宋" w:eastAsia="仿宋" w:cs="仿宋"/>
          <w:sz w:val="24"/>
        </w:rPr>
        <w:t>潜在投标人应在“苏采云”系统下载获取电子招标文件</w:t>
      </w:r>
      <w:r>
        <w:rPr>
          <w:rFonts w:hint="eastAsia" w:ascii="仿宋" w:hAnsi="仿宋" w:eastAsia="仿宋" w:cs="仿宋"/>
          <w:sz w:val="24"/>
          <w:szCs w:val="24"/>
        </w:rPr>
        <w:t>，并于</w:t>
      </w:r>
      <w:r>
        <w:rPr>
          <w:rFonts w:hint="eastAsia" w:ascii="仿宋" w:hAnsi="仿宋" w:eastAsia="仿宋" w:cs="仿宋"/>
          <w:b/>
          <w:sz w:val="24"/>
          <w:szCs w:val="24"/>
          <w:u w:val="single"/>
        </w:rPr>
        <w:t>2026年</w:t>
      </w:r>
      <w:r>
        <w:rPr>
          <w:rFonts w:hint="eastAsia" w:ascii="仿宋" w:hAnsi="仿宋" w:eastAsia="仿宋" w:cs="仿宋"/>
          <w:b/>
          <w:sz w:val="24"/>
          <w:szCs w:val="24"/>
          <w:u w:val="single"/>
          <w:lang w:val="en-US" w:eastAsia="zh-CN"/>
        </w:rPr>
        <w:t>10</w:t>
      </w:r>
      <w:r>
        <w:rPr>
          <w:rFonts w:hint="eastAsia" w:ascii="仿宋" w:hAnsi="仿宋" w:eastAsia="仿宋" w:cs="仿宋"/>
          <w:b/>
          <w:sz w:val="24"/>
          <w:szCs w:val="24"/>
          <w:u w:val="single"/>
        </w:rPr>
        <w:t>月13日13:30</w:t>
      </w:r>
      <w:r>
        <w:rPr>
          <w:rFonts w:hint="eastAsia" w:ascii="仿宋" w:hAnsi="仿宋" w:eastAsia="仿宋" w:cs="仿宋"/>
          <w:sz w:val="24"/>
          <w:szCs w:val="24"/>
        </w:rPr>
        <w:t>（北京时间）前上传电子投标文件。</w:t>
      </w:r>
    </w:p>
    <w:p w14:paraId="15FEE732">
      <w:pPr>
        <w:pStyle w:val="24"/>
        <w:spacing w:line="360" w:lineRule="auto"/>
        <w:ind w:firstLine="482"/>
        <w:rPr>
          <w:rFonts w:ascii="仿宋" w:hAnsi="仿宋" w:eastAsia="仿宋" w:cs="仿宋"/>
          <w:sz w:val="24"/>
          <w:szCs w:val="24"/>
        </w:rPr>
      </w:pPr>
      <w:r>
        <w:rPr>
          <w:rFonts w:hint="eastAsia" w:ascii="仿宋" w:hAnsi="仿宋" w:eastAsia="仿宋" w:cs="仿宋"/>
          <w:b/>
          <w:sz w:val="24"/>
          <w:szCs w:val="24"/>
        </w:rPr>
        <w:t>一、项目基本情况</w:t>
      </w:r>
    </w:p>
    <w:p w14:paraId="0FF48D0D">
      <w:pPr>
        <w:pStyle w:val="24"/>
        <w:spacing w:line="360" w:lineRule="auto"/>
        <w:ind w:firstLine="480"/>
        <w:rPr>
          <w:rFonts w:hint="eastAsia" w:ascii="仿宋" w:hAnsi="仿宋" w:eastAsia="仿宋" w:cs="仿宋"/>
          <w:sz w:val="24"/>
          <w:szCs w:val="24"/>
          <w:lang w:eastAsia="zh-CN"/>
        </w:rPr>
      </w:pPr>
      <w:r>
        <w:rPr>
          <w:rFonts w:hint="eastAsia" w:ascii="仿宋" w:hAnsi="仿宋" w:eastAsia="仿宋" w:cs="仿宋"/>
          <w:sz w:val="24"/>
          <w:szCs w:val="24"/>
        </w:rPr>
        <w:t>项目编号：</w:t>
      </w:r>
      <w:r>
        <w:rPr>
          <w:rFonts w:hint="eastAsia" w:ascii="仿宋" w:hAnsi="仿宋" w:eastAsia="仿宋" w:cs="仿宋"/>
          <w:sz w:val="24"/>
          <w:szCs w:val="24"/>
          <w:lang w:eastAsia="zh-CN"/>
        </w:rPr>
        <w:t>JSZC-320585-YXCZ-G2026-0008</w:t>
      </w:r>
    </w:p>
    <w:p w14:paraId="64E3D144">
      <w:pPr>
        <w:pStyle w:val="24"/>
        <w:spacing w:line="360" w:lineRule="auto"/>
        <w:ind w:firstLine="480"/>
        <w:rPr>
          <w:rFonts w:ascii="仿宋" w:hAnsi="仿宋" w:eastAsia="仿宋" w:cs="仿宋"/>
          <w:sz w:val="24"/>
          <w:szCs w:val="24"/>
        </w:rPr>
      </w:pPr>
      <w:r>
        <w:rPr>
          <w:rFonts w:hint="eastAsia" w:ascii="仿宋" w:hAnsi="仿宋" w:eastAsia="仿宋" w:cs="仿宋"/>
          <w:sz w:val="24"/>
          <w:szCs w:val="24"/>
        </w:rPr>
        <w:t>项目名称：太仓市第二中学新校区体育器材采购</w:t>
      </w:r>
    </w:p>
    <w:p w14:paraId="0EF8DD49">
      <w:pPr>
        <w:spacing w:line="360" w:lineRule="auto"/>
        <w:ind w:firstLine="480"/>
        <w:rPr>
          <w:rFonts w:ascii="仿宋" w:hAnsi="仿宋" w:eastAsia="仿宋" w:cs="仿宋"/>
          <w:sz w:val="24"/>
          <w:szCs w:val="24"/>
        </w:rPr>
      </w:pPr>
      <w:r>
        <w:rPr>
          <w:rFonts w:hint="eastAsia" w:ascii="仿宋" w:hAnsi="仿宋" w:eastAsia="仿宋" w:cs="仿宋"/>
          <w:sz w:val="24"/>
          <w:szCs w:val="24"/>
        </w:rPr>
        <w:t>预算金额：187.23万元</w:t>
      </w:r>
    </w:p>
    <w:p w14:paraId="29E87042">
      <w:pPr>
        <w:spacing w:line="360" w:lineRule="auto"/>
        <w:ind w:firstLine="480"/>
        <w:rPr>
          <w:rFonts w:ascii="仿宋" w:hAnsi="仿宋" w:eastAsia="仿宋" w:cs="仿宋"/>
          <w:sz w:val="24"/>
          <w:szCs w:val="24"/>
        </w:rPr>
      </w:pPr>
      <w:r>
        <w:rPr>
          <w:rFonts w:hint="eastAsia" w:ascii="仿宋" w:hAnsi="仿宋" w:eastAsia="仿宋" w:cs="仿宋"/>
          <w:sz w:val="24"/>
          <w:szCs w:val="24"/>
        </w:rPr>
        <w:t>最高限价：187.23万元</w:t>
      </w:r>
    </w:p>
    <w:p w14:paraId="18045BD2">
      <w:pPr>
        <w:spacing w:line="360" w:lineRule="auto"/>
        <w:ind w:firstLine="480"/>
        <w:rPr>
          <w:rFonts w:ascii="仿宋" w:hAnsi="仿宋" w:eastAsia="仿宋" w:cs="仿宋"/>
          <w:sz w:val="24"/>
          <w:szCs w:val="24"/>
        </w:rPr>
      </w:pPr>
      <w:r>
        <w:rPr>
          <w:rFonts w:hint="eastAsia" w:ascii="仿宋" w:hAnsi="仿宋" w:eastAsia="仿宋" w:cs="仿宋"/>
          <w:sz w:val="24"/>
          <w:szCs w:val="24"/>
        </w:rPr>
        <w:t>采购内容：室外篮球架、球类、田径器材、室内电动悬空篮球架、乒乓球台、PVC运动地胶、羽毛球器材、力量健身器材、智慧体测一体机、卫生保健室全套设备，详见第三部分采购清单。</w:t>
      </w:r>
    </w:p>
    <w:p w14:paraId="65566673">
      <w:pPr>
        <w:spacing w:line="360" w:lineRule="auto"/>
        <w:ind w:firstLine="480"/>
        <w:rPr>
          <w:rFonts w:ascii="仿宋" w:hAnsi="仿宋" w:eastAsia="仿宋" w:cs="仿宋"/>
          <w:sz w:val="24"/>
          <w:szCs w:val="24"/>
        </w:rPr>
      </w:pPr>
      <w:r>
        <w:rPr>
          <w:rFonts w:hint="eastAsia" w:ascii="仿宋" w:hAnsi="仿宋" w:eastAsia="仿宋" w:cs="仿宋"/>
          <w:sz w:val="24"/>
          <w:szCs w:val="24"/>
        </w:rPr>
        <w:t>供货期限：合同签订生效之后45天内交货并安装调试完毕。</w:t>
      </w:r>
    </w:p>
    <w:p w14:paraId="39843A8B">
      <w:pPr>
        <w:pStyle w:val="16"/>
        <w:spacing w:line="360" w:lineRule="auto"/>
        <w:ind w:firstLine="480"/>
        <w:rPr>
          <w:rFonts w:hint="eastAsia" w:ascii="仿宋" w:hAnsi="仿宋" w:eastAsia="仿宋" w:cs="仿宋"/>
          <w:sz w:val="24"/>
          <w:szCs w:val="24"/>
          <w:lang w:eastAsia="zh-CN"/>
        </w:rPr>
      </w:pPr>
      <w:r>
        <w:rPr>
          <w:rFonts w:hint="eastAsia" w:ascii="仿宋" w:hAnsi="仿宋" w:eastAsia="仿宋" w:cs="仿宋"/>
          <w:sz w:val="24"/>
          <w:szCs w:val="24"/>
        </w:rPr>
        <w:t>本项目（是/否）接受联合体投标：是</w:t>
      </w:r>
    </w:p>
    <w:p w14:paraId="51720875">
      <w:pPr>
        <w:pStyle w:val="24"/>
        <w:spacing w:line="360" w:lineRule="auto"/>
        <w:ind w:firstLine="482"/>
        <w:rPr>
          <w:rFonts w:ascii="仿宋" w:hAnsi="仿宋" w:eastAsia="仿宋" w:cs="仿宋"/>
          <w:sz w:val="24"/>
          <w:szCs w:val="24"/>
        </w:rPr>
      </w:pPr>
      <w:r>
        <w:rPr>
          <w:rFonts w:hint="eastAsia" w:ascii="仿宋" w:hAnsi="仿宋" w:eastAsia="仿宋" w:cs="仿宋"/>
          <w:b/>
          <w:sz w:val="24"/>
          <w:szCs w:val="24"/>
        </w:rPr>
        <w:t>二、申请人的资格要求</w:t>
      </w:r>
    </w:p>
    <w:p w14:paraId="6EB98628">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（一）满足《中华人民共和国政府采购法》第二十二条规定：</w:t>
      </w:r>
    </w:p>
    <w:p w14:paraId="430BA89E">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1.具有独立承担民事责任的能力（提供法人或者其他组织的营业执照等证明文件，自然人的身份证明）；</w:t>
      </w:r>
    </w:p>
    <w:p w14:paraId="430C119F">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2.具有良好的商业信誉和健全的财务会计制度（提供最近一期的财务状况报告，其他组织、自然人提供银行出具的资信证明）；</w:t>
      </w:r>
    </w:p>
    <w:p w14:paraId="77547F33">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3.具有履行合同所必需的设备和专业技术能力（提供履行合同所必需的设备和专业技术能力的证明材料）；</w:t>
      </w:r>
    </w:p>
    <w:p w14:paraId="739A2213">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4.有依法缴纳税收和社会保障资金的良好记录（提供参加本次政府采购活动前半年（至少一个月）依法缴纳税收和社会保障资金的证明材料，依法免税或不需要缴纳社会保障资金的，提供相关证明文件）；</w:t>
      </w:r>
    </w:p>
    <w:p w14:paraId="46D1CF58">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5.参加政府采购活动前三年内，在经营活动中没有重大违法记录（提供参加本次政府采购活动前3年内在经营活动中没有重大违法记录的书面声明）（格式附后）；</w:t>
      </w:r>
    </w:p>
    <w:p w14:paraId="29850EF1">
      <w:pPr>
        <w:pStyle w:val="24"/>
        <w:spacing w:line="360" w:lineRule="auto"/>
        <w:ind w:firstLine="482"/>
        <w:rPr>
          <w:rFonts w:ascii="仿宋" w:hAnsi="仿宋" w:eastAsia="仿宋" w:cs="仿宋"/>
          <w:sz w:val="24"/>
          <w:szCs w:val="24"/>
        </w:rPr>
      </w:pPr>
      <w:r>
        <w:rPr>
          <w:rFonts w:hint="eastAsia" w:ascii="仿宋" w:hAnsi="仿宋" w:eastAsia="仿宋" w:cs="仿宋"/>
          <w:sz w:val="24"/>
          <w:szCs w:val="24"/>
        </w:rPr>
        <w:t>6.法律、行政法规规定的其他条件；</w:t>
      </w:r>
    </w:p>
    <w:p w14:paraId="42153B7D">
      <w:pPr>
        <w:pBdr>
          <w:top w:val="none" w:color="000000" w:sz="0" w:space="0"/>
          <w:left w:val="none" w:color="000000" w:sz="0" w:space="0"/>
          <w:bottom w:val="none" w:color="000000" w:sz="0" w:space="0"/>
          <w:right w:val="none" w:color="000000" w:sz="0" w:space="0"/>
        </w:pBdr>
        <w:spacing w:line="360" w:lineRule="auto"/>
        <w:ind w:firstLine="482"/>
      </w:pPr>
      <w:r>
        <w:rPr>
          <w:rFonts w:ascii="仿宋" w:hAnsi="仿宋" w:eastAsia="仿宋" w:cs="仿宋"/>
          <w:color w:val="000000"/>
          <w:sz w:val="24"/>
        </w:rPr>
        <w:t>7.联合体投标协议书（如有）。</w:t>
      </w:r>
    </w:p>
    <w:p w14:paraId="0CA81996">
      <w:pPr>
        <w:pStyle w:val="24"/>
        <w:spacing w:line="360" w:lineRule="auto"/>
        <w:ind w:firstLine="482"/>
        <w:rPr>
          <w:rFonts w:ascii="仿宋" w:hAnsi="仿宋" w:eastAsia="仿宋" w:cs="仿宋"/>
          <w:bCs/>
          <w:sz w:val="24"/>
          <w:szCs w:val="24"/>
        </w:rPr>
      </w:pPr>
      <w:r>
        <w:rPr>
          <w:rFonts w:hint="eastAsia" w:ascii="仿宋" w:hAnsi="仿宋" w:eastAsia="仿宋" w:cs="仿宋"/>
          <w:bCs/>
          <w:sz w:val="24"/>
          <w:szCs w:val="24"/>
        </w:rPr>
        <w:t>（二）落实政府采购政策需满足的资格要求：</w:t>
      </w:r>
    </w:p>
    <w:p w14:paraId="72BB2B0F">
      <w:pPr>
        <w:pStyle w:val="24"/>
        <w:spacing w:line="360" w:lineRule="auto"/>
        <w:ind w:firstLine="482"/>
        <w:rPr>
          <w:rFonts w:ascii="仿宋" w:hAnsi="仿宋" w:eastAsia="仿宋" w:cs="仿宋"/>
          <w:bCs/>
          <w:sz w:val="24"/>
          <w:szCs w:val="24"/>
        </w:rPr>
      </w:pPr>
      <w:r>
        <w:rPr>
          <w:rFonts w:hint="eastAsia" w:ascii="仿宋" w:hAnsi="仿宋" w:eastAsia="仿宋" w:cs="仿宋"/>
          <w:bCs/>
          <w:sz w:val="24"/>
        </w:rPr>
        <w:t>本项目专门面向中小企业采购，投标人应提供中小企业声明函或残疾人福利性单位声明函或省级以上监狱管理局、戒毒管理局（含新疆生产建设兵团）出具的属于监狱企业的证明文件</w:t>
      </w:r>
      <w:r>
        <w:rPr>
          <w:rFonts w:hint="eastAsia" w:ascii="仿宋" w:hAnsi="仿宋" w:eastAsia="仿宋" w:cs="仿宋"/>
          <w:bCs/>
          <w:sz w:val="24"/>
          <w:lang w:eastAsia="zh-CN"/>
        </w:rPr>
        <w:t>，</w:t>
      </w:r>
      <w:r>
        <w:rPr>
          <w:rFonts w:hint="eastAsia" w:ascii="仿宋" w:hAnsi="仿宋" w:eastAsia="仿宋" w:cs="仿宋"/>
          <w:bCs/>
          <w:sz w:val="24"/>
        </w:rPr>
        <w:t>否则视为投标无效。</w:t>
      </w:r>
    </w:p>
    <w:p w14:paraId="6BA7CC83">
      <w:pPr>
        <w:pStyle w:val="24"/>
        <w:spacing w:line="360" w:lineRule="auto"/>
        <w:ind w:firstLine="482"/>
        <w:rPr>
          <w:rFonts w:ascii="仿宋" w:hAnsi="仿宋" w:eastAsia="仿宋" w:cs="仿宋"/>
          <w:bCs/>
          <w:sz w:val="24"/>
          <w:szCs w:val="24"/>
        </w:rPr>
      </w:pPr>
      <w:r>
        <w:rPr>
          <w:rFonts w:hint="eastAsia" w:ascii="仿宋" w:hAnsi="仿宋" w:eastAsia="仿宋" w:cs="仿宋"/>
          <w:bCs/>
          <w:sz w:val="24"/>
          <w:szCs w:val="24"/>
        </w:rPr>
        <w:t>（三）本项目的特定资格要求：</w:t>
      </w:r>
    </w:p>
    <w:p w14:paraId="73871CF4">
      <w:pPr>
        <w:pStyle w:val="24"/>
        <w:spacing w:line="360" w:lineRule="auto"/>
        <w:ind w:firstLine="482"/>
        <w:rPr>
          <w:rFonts w:ascii="仿宋" w:hAnsi="仿宋" w:eastAsia="仿宋" w:cs="仿宋"/>
          <w:bCs/>
          <w:sz w:val="24"/>
        </w:rPr>
      </w:pPr>
      <w:r>
        <w:rPr>
          <w:rFonts w:hint="eastAsia" w:ascii="仿宋" w:hAnsi="仿宋" w:eastAsia="仿宋" w:cs="仿宋"/>
          <w:bCs/>
          <w:sz w:val="24"/>
        </w:rPr>
        <w:t>1.未被“信用中国”网站（www.creditchina.gov.cn）列入失信被执行人、重大税收违法案件当事人名单、政府采购严重失信行为记录名单。</w:t>
      </w:r>
    </w:p>
    <w:p w14:paraId="7A630B77">
      <w:pPr>
        <w:keepNext w:val="0"/>
        <w:keepLines w:val="0"/>
        <w:pageBreakBefore w:val="0"/>
        <w:widowControl w:val="0"/>
        <w:spacing w:line="360" w:lineRule="auto"/>
        <w:ind w:firstLine="482"/>
        <w:jc w:val="both"/>
        <w:rPr>
          <w:rFonts w:hint="eastAsia" w:ascii="仿宋" w:hAnsi="仿宋" w:eastAsia="仿宋" w:cs="仿宋"/>
          <w:b/>
          <w:bCs w:val="0"/>
          <w:color w:val="auto"/>
          <w:sz w:val="24"/>
          <w:highlight w:val="none"/>
          <w:lang w:val="en-US" w:eastAsia="zh-CN" w:bidi="ar-SA"/>
        </w:rPr>
      </w:pPr>
      <w:r>
        <w:rPr>
          <w:rFonts w:hint="eastAsia" w:ascii="仿宋" w:hAnsi="仿宋" w:eastAsia="仿宋" w:cs="仿宋"/>
          <w:b/>
          <w:bCs w:val="0"/>
          <w:color w:val="auto"/>
          <w:sz w:val="24"/>
          <w:highlight w:val="none"/>
          <w:lang w:val="en-US" w:eastAsia="zh-CN" w:bidi="ar-SA"/>
        </w:rPr>
        <w:t>2.所投产品中属于第二类医疗器械的，须满足以下要求：</w:t>
      </w:r>
    </w:p>
    <w:p w14:paraId="3F827487">
      <w:pPr>
        <w:keepNext w:val="0"/>
        <w:keepLines w:val="0"/>
        <w:pageBreakBefore w:val="0"/>
        <w:widowControl w:val="0"/>
        <w:spacing w:line="360" w:lineRule="auto"/>
        <w:ind w:firstLine="482"/>
        <w:jc w:val="both"/>
        <w:rPr>
          <w:rFonts w:hint="eastAsia" w:ascii="仿宋" w:hAnsi="仿宋" w:eastAsia="仿宋" w:cs="仿宋"/>
          <w:b/>
          <w:bCs w:val="0"/>
          <w:color w:val="auto"/>
          <w:sz w:val="24"/>
          <w:highlight w:val="none"/>
          <w:lang w:val="en-US" w:eastAsia="zh-CN" w:bidi="ar-SA"/>
        </w:rPr>
      </w:pPr>
      <w:r>
        <w:rPr>
          <w:rFonts w:hint="eastAsia" w:ascii="仿宋" w:hAnsi="仿宋" w:eastAsia="仿宋" w:cs="仿宋"/>
          <w:b/>
          <w:bCs w:val="0"/>
          <w:color w:val="auto"/>
          <w:sz w:val="24"/>
          <w:highlight w:val="none"/>
          <w:lang w:val="en-US" w:eastAsia="zh-CN" w:bidi="ar-SA"/>
        </w:rPr>
        <w:t>（1）资质要求：投标人（如为联合体投标，则为联合体协议中明确约定负责第二类医疗器械供货履约的联合体成员，下同）为所投产品生产商的，须具有该产品的《医疗器械生产许可证》；属于医疗器械注册人、备案人且在其住所或者生产地址销售其注册、备案的医疗器械的，无需办理经营备案，但在其他场所贮存并现货销售的除外；投标人为所投产品经销商的，须具有《第二类医疗器械经营备案凭证》（所投产品属于国家规定免于经营备案范围的除外）。</w:t>
      </w:r>
    </w:p>
    <w:p w14:paraId="01EEF1FB">
      <w:pPr>
        <w:keepNext w:val="0"/>
        <w:keepLines w:val="0"/>
        <w:pageBreakBefore w:val="0"/>
        <w:widowControl w:val="0"/>
        <w:spacing w:line="360" w:lineRule="auto"/>
        <w:ind w:firstLine="482"/>
        <w:jc w:val="both"/>
        <w:rPr>
          <w:rFonts w:hint="eastAsia" w:ascii="仿宋" w:hAnsi="仿宋" w:eastAsia="仿宋" w:cs="仿宋"/>
          <w:b/>
          <w:bCs w:val="0"/>
          <w:color w:val="auto"/>
          <w:sz w:val="24"/>
          <w:highlight w:val="none"/>
          <w:lang w:val="en-US" w:eastAsia="zh-CN" w:bidi="ar-SA"/>
        </w:rPr>
      </w:pPr>
      <w:r>
        <w:rPr>
          <w:rFonts w:hint="eastAsia" w:ascii="仿宋" w:hAnsi="仿宋" w:eastAsia="仿宋" w:cs="仿宋"/>
          <w:b/>
          <w:bCs w:val="0"/>
          <w:color w:val="auto"/>
          <w:sz w:val="24"/>
          <w:highlight w:val="none"/>
          <w:lang w:val="en-US" w:eastAsia="zh-CN" w:bidi="ar-SA"/>
        </w:rPr>
        <w:t>（2）产品要求：所投第二类医疗器械须取得医疗器械注册证，提供注册证复印件。</w:t>
      </w:r>
    </w:p>
    <w:p w14:paraId="66EB0137">
      <w:pPr>
        <w:pStyle w:val="24"/>
        <w:spacing w:line="360" w:lineRule="auto"/>
        <w:ind w:firstLine="480"/>
        <w:rPr>
          <w:rFonts w:ascii="仿宋" w:hAnsi="仿宋" w:eastAsia="仿宋" w:cs="仿宋"/>
          <w:bCs/>
          <w:sz w:val="24"/>
        </w:rPr>
      </w:pPr>
      <w:r>
        <w:rPr>
          <w:rFonts w:hint="eastAsia" w:ascii="仿宋" w:hAnsi="仿宋" w:eastAsia="仿宋" w:cs="仿宋"/>
          <w:bCs/>
          <w:sz w:val="24"/>
        </w:rPr>
        <w:t>（四）拒绝下述供应商参加本次采购活动：</w:t>
      </w:r>
    </w:p>
    <w:p w14:paraId="1D6C3D72">
      <w:pPr>
        <w:pStyle w:val="24"/>
        <w:spacing w:line="360" w:lineRule="auto"/>
        <w:ind w:firstLine="480"/>
        <w:rPr>
          <w:rFonts w:ascii="仿宋" w:hAnsi="仿宋" w:eastAsia="仿宋" w:cs="仿宋"/>
          <w:bCs/>
          <w:sz w:val="24"/>
        </w:rPr>
      </w:pPr>
      <w:r>
        <w:rPr>
          <w:rFonts w:hint="eastAsia" w:ascii="仿宋" w:hAnsi="仿宋" w:eastAsia="仿宋" w:cs="仿宋"/>
          <w:bCs/>
          <w:sz w:val="24"/>
        </w:rPr>
        <w:t>1.供应商单位负责人为同一人或者存在直接控股、管理关系的不同供应商，不得参加同一合同项下的政府采购活动。</w:t>
      </w:r>
    </w:p>
    <w:p w14:paraId="602A0000">
      <w:pPr>
        <w:pStyle w:val="24"/>
        <w:spacing w:line="360" w:lineRule="auto"/>
        <w:ind w:firstLine="480"/>
        <w:rPr>
          <w:rFonts w:ascii="仿宋" w:hAnsi="仿宋" w:eastAsia="仿宋" w:cs="仿宋"/>
          <w:bCs/>
          <w:sz w:val="24"/>
        </w:rPr>
      </w:pPr>
      <w:r>
        <w:rPr>
          <w:rFonts w:hint="eastAsia" w:ascii="仿宋" w:hAnsi="仿宋" w:eastAsia="仿宋" w:cs="仿宋"/>
          <w:bCs/>
          <w:sz w:val="24"/>
        </w:rPr>
        <w:t>2.凡为采购项目提供整体设计、规范编制或者项目管理、监理、检测等服务的供应商，不得再参加本项目的采购活动。</w:t>
      </w:r>
    </w:p>
    <w:p w14:paraId="55D7E7D4">
      <w:pPr>
        <w:pStyle w:val="24"/>
        <w:spacing w:line="360" w:lineRule="auto"/>
        <w:ind w:firstLine="480"/>
        <w:rPr>
          <w:rFonts w:ascii="仿宋" w:hAnsi="仿宋" w:eastAsia="仿宋" w:cs="仿宋"/>
          <w:bCs/>
          <w:sz w:val="24"/>
        </w:rPr>
      </w:pPr>
      <w:r>
        <w:rPr>
          <w:rFonts w:hint="eastAsia" w:ascii="仿宋" w:hAnsi="仿宋" w:eastAsia="仿宋" w:cs="仿宋"/>
          <w:bCs/>
          <w:sz w:val="24"/>
        </w:rPr>
        <w:t>3.法人的分支机构不得参加投标（除银行、保险、石油石化、电力、电信等行业特殊情况外）。</w:t>
      </w:r>
    </w:p>
    <w:p w14:paraId="4EC8144D">
      <w:pPr>
        <w:pStyle w:val="24"/>
        <w:spacing w:line="360" w:lineRule="auto"/>
        <w:ind w:firstLine="482"/>
        <w:rPr>
          <w:rFonts w:ascii="仿宋" w:hAnsi="仿宋" w:eastAsia="仿宋" w:cs="仿宋"/>
          <w:bCs/>
          <w:sz w:val="24"/>
        </w:rPr>
      </w:pPr>
      <w:r>
        <w:rPr>
          <w:rFonts w:hint="eastAsia" w:ascii="仿宋" w:hAnsi="仿宋" w:eastAsia="仿宋" w:cs="仿宋"/>
          <w:bCs/>
          <w:sz w:val="24"/>
        </w:rPr>
        <w:t>4.根据政府采购法及相关法规，以及《国务院关于建立完善守信联合激励和失信联合惩戒制度加快推进社会诚信体系建设的指导意见》（国发〔2016〕33号）、财政部《关于在政府采购活动中查询及使用信用记录有关问题的通知》（财库〔2016〕125号）文件的规定，采购人将对供应商进行信用查询。对列入失信被执行人名单、重大税收违法案件当事人名单、政府采购严重违法失信行为记录名单的供应商，拒绝其参与政府采购活动。</w:t>
      </w:r>
    </w:p>
    <w:p w14:paraId="2F9E1A3E">
      <w:pPr>
        <w:pStyle w:val="24"/>
        <w:spacing w:line="360" w:lineRule="auto"/>
        <w:ind w:firstLine="482"/>
        <w:rPr>
          <w:rFonts w:ascii="仿宋" w:hAnsi="仿宋" w:eastAsia="仿宋" w:cs="仿宋"/>
          <w:sz w:val="24"/>
          <w:szCs w:val="24"/>
        </w:rPr>
      </w:pPr>
      <w:r>
        <w:rPr>
          <w:rFonts w:hint="eastAsia" w:ascii="仿宋" w:hAnsi="仿宋" w:eastAsia="仿宋" w:cs="仿宋"/>
          <w:b/>
          <w:sz w:val="24"/>
          <w:szCs w:val="24"/>
        </w:rPr>
        <w:t>三、获取招标文件</w:t>
      </w:r>
    </w:p>
    <w:p w14:paraId="1BEF079F">
      <w:pPr>
        <w:pStyle w:val="24"/>
        <w:spacing w:line="360" w:lineRule="auto"/>
        <w:ind w:firstLine="480"/>
        <w:rPr>
          <w:rFonts w:ascii="仿宋" w:hAnsi="仿宋" w:eastAsia="仿宋" w:cs="仿宋"/>
          <w:bCs/>
          <w:sz w:val="24"/>
        </w:rPr>
      </w:pPr>
      <w:r>
        <w:rPr>
          <w:rFonts w:hint="eastAsia" w:ascii="仿宋" w:hAnsi="仿宋" w:eastAsia="仿宋" w:cs="仿宋"/>
          <w:bCs/>
          <w:sz w:val="24"/>
        </w:rPr>
        <w:t>时间：自本公告发布之日起5个工作日</w:t>
      </w:r>
    </w:p>
    <w:p w14:paraId="10D263E7">
      <w:pPr>
        <w:pStyle w:val="24"/>
        <w:spacing w:line="360" w:lineRule="auto"/>
        <w:ind w:firstLine="480"/>
        <w:rPr>
          <w:rFonts w:ascii="仿宋" w:hAnsi="仿宋" w:eastAsia="仿宋" w:cs="仿宋"/>
          <w:bCs/>
          <w:sz w:val="24"/>
        </w:rPr>
      </w:pPr>
      <w:r>
        <w:rPr>
          <w:rFonts w:hint="eastAsia" w:ascii="仿宋" w:hAnsi="仿宋" w:eastAsia="仿宋" w:cs="仿宋"/>
          <w:bCs/>
          <w:sz w:val="24"/>
        </w:rPr>
        <w:t>地点：“苏采云”系统</w:t>
      </w:r>
    </w:p>
    <w:p w14:paraId="2FF721ED">
      <w:pPr>
        <w:pStyle w:val="24"/>
        <w:spacing w:line="360" w:lineRule="auto"/>
        <w:ind w:firstLine="480"/>
        <w:rPr>
          <w:rFonts w:ascii="仿宋" w:hAnsi="仿宋" w:eastAsia="仿宋" w:cs="仿宋"/>
          <w:bCs/>
          <w:sz w:val="24"/>
        </w:rPr>
      </w:pPr>
      <w:r>
        <w:rPr>
          <w:rFonts w:hint="eastAsia" w:ascii="仿宋" w:hAnsi="仿宋" w:eastAsia="仿宋" w:cs="仿宋"/>
          <w:bCs/>
          <w:sz w:val="24"/>
        </w:rPr>
        <w:t>方式：自行下载</w:t>
      </w:r>
    </w:p>
    <w:p w14:paraId="49318A38">
      <w:pPr>
        <w:pStyle w:val="24"/>
        <w:spacing w:line="360" w:lineRule="auto"/>
        <w:ind w:firstLine="480"/>
        <w:rPr>
          <w:rFonts w:ascii="仿宋" w:hAnsi="仿宋" w:eastAsia="仿宋" w:cs="仿宋"/>
          <w:bCs/>
          <w:sz w:val="24"/>
        </w:rPr>
      </w:pPr>
      <w:r>
        <w:rPr>
          <w:rFonts w:hint="eastAsia" w:ascii="仿宋" w:hAnsi="仿宋" w:eastAsia="仿宋" w:cs="仿宋"/>
          <w:bCs/>
          <w:sz w:val="24"/>
        </w:rPr>
        <w:t>售价：0.00元</w:t>
      </w:r>
    </w:p>
    <w:p w14:paraId="3A877E0D">
      <w:pPr>
        <w:pStyle w:val="24"/>
        <w:spacing w:line="360" w:lineRule="auto"/>
        <w:ind w:firstLine="482"/>
        <w:rPr>
          <w:rFonts w:ascii="仿宋" w:hAnsi="仿宋" w:eastAsia="仿宋" w:cs="仿宋"/>
        </w:rPr>
      </w:pPr>
      <w:r>
        <w:rPr>
          <w:rFonts w:hint="eastAsia" w:ascii="仿宋" w:hAnsi="仿宋" w:eastAsia="仿宋" w:cs="仿宋"/>
          <w:b/>
          <w:sz w:val="24"/>
          <w:szCs w:val="24"/>
        </w:rPr>
        <w:t>四、提交投标文件截止时间、开标时间和地点</w:t>
      </w:r>
    </w:p>
    <w:p w14:paraId="769B23CA">
      <w:pPr>
        <w:pStyle w:val="24"/>
        <w:spacing w:line="360" w:lineRule="auto"/>
        <w:ind w:firstLine="480"/>
        <w:rPr>
          <w:rFonts w:ascii="仿宋" w:hAnsi="仿宋" w:eastAsia="仿宋" w:cs="仿宋"/>
          <w:bCs/>
          <w:sz w:val="24"/>
        </w:rPr>
      </w:pPr>
      <w:r>
        <w:rPr>
          <w:rFonts w:hint="eastAsia" w:ascii="仿宋" w:hAnsi="仿宋" w:eastAsia="仿宋" w:cs="仿宋"/>
          <w:bCs/>
          <w:sz w:val="24"/>
        </w:rPr>
        <w:t>时间：2026-</w:t>
      </w:r>
      <w:r>
        <w:rPr>
          <w:rFonts w:hint="eastAsia" w:ascii="仿宋" w:hAnsi="仿宋" w:eastAsia="仿宋" w:cs="仿宋"/>
          <w:bCs/>
          <w:sz w:val="24"/>
          <w:lang w:val="en-US" w:eastAsia="zh-CN"/>
        </w:rPr>
        <w:t>10</w:t>
      </w:r>
      <w:r>
        <w:rPr>
          <w:rFonts w:hint="eastAsia" w:ascii="仿宋" w:hAnsi="仿宋" w:eastAsia="仿宋" w:cs="仿宋"/>
          <w:bCs/>
          <w:sz w:val="24"/>
        </w:rPr>
        <w:t>-13 13:30 （北京时间）</w:t>
      </w:r>
    </w:p>
    <w:p w14:paraId="0C297815">
      <w:pPr>
        <w:pStyle w:val="24"/>
        <w:spacing w:line="360" w:lineRule="auto"/>
        <w:ind w:firstLine="480"/>
        <w:rPr>
          <w:rFonts w:ascii="仿宋" w:hAnsi="仿宋" w:eastAsia="仿宋" w:cs="仿宋"/>
          <w:bCs/>
          <w:sz w:val="24"/>
        </w:rPr>
      </w:pPr>
      <w:r>
        <w:rPr>
          <w:rFonts w:hint="eastAsia" w:ascii="仿宋" w:hAnsi="仿宋" w:eastAsia="仿宋" w:cs="仿宋"/>
          <w:bCs/>
          <w:sz w:val="24"/>
        </w:rPr>
        <w:t>地点：“苏采云”系统</w:t>
      </w:r>
    </w:p>
    <w:p w14:paraId="3554D7BD">
      <w:pPr>
        <w:pStyle w:val="24"/>
        <w:spacing w:line="360" w:lineRule="auto"/>
        <w:ind w:firstLine="482"/>
        <w:rPr>
          <w:rFonts w:ascii="仿宋" w:hAnsi="仿宋" w:eastAsia="仿宋" w:cs="仿宋"/>
          <w:sz w:val="24"/>
          <w:szCs w:val="24"/>
        </w:rPr>
      </w:pPr>
      <w:r>
        <w:rPr>
          <w:rFonts w:hint="eastAsia" w:ascii="仿宋" w:hAnsi="仿宋" w:eastAsia="仿宋" w:cs="仿宋"/>
          <w:b/>
          <w:sz w:val="24"/>
          <w:szCs w:val="24"/>
        </w:rPr>
        <w:t>五、公告期限</w:t>
      </w:r>
    </w:p>
    <w:p w14:paraId="1DD157C1">
      <w:pPr>
        <w:pStyle w:val="24"/>
        <w:spacing w:line="360" w:lineRule="auto"/>
        <w:ind w:firstLine="480"/>
        <w:rPr>
          <w:rFonts w:ascii="仿宋" w:hAnsi="仿宋" w:eastAsia="仿宋" w:cs="仿宋"/>
          <w:sz w:val="24"/>
          <w:szCs w:val="24"/>
        </w:rPr>
      </w:pPr>
      <w:r>
        <w:rPr>
          <w:rFonts w:hint="eastAsia" w:ascii="仿宋" w:hAnsi="仿宋" w:eastAsia="仿宋" w:cs="仿宋"/>
          <w:sz w:val="24"/>
          <w:szCs w:val="24"/>
        </w:rPr>
        <w:t>自本公告发布之日起5个工作日。</w:t>
      </w:r>
    </w:p>
    <w:p w14:paraId="361AB931">
      <w:pPr>
        <w:pStyle w:val="24"/>
        <w:spacing w:line="360" w:lineRule="auto"/>
        <w:ind w:firstLine="482"/>
        <w:rPr>
          <w:rFonts w:ascii="仿宋" w:hAnsi="仿宋" w:eastAsia="仿宋" w:cs="仿宋"/>
          <w:b/>
          <w:sz w:val="24"/>
          <w:szCs w:val="24"/>
        </w:rPr>
      </w:pPr>
      <w:r>
        <w:rPr>
          <w:rFonts w:hint="eastAsia" w:ascii="仿宋" w:hAnsi="仿宋" w:eastAsia="仿宋" w:cs="仿宋"/>
          <w:b/>
          <w:sz w:val="24"/>
          <w:szCs w:val="24"/>
        </w:rPr>
        <w:t>六、其他补充事宜：</w:t>
      </w:r>
    </w:p>
    <w:p w14:paraId="54EF058E">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1.本项目需要使用CA数字证书制作、上传电子投标文件完成电子投标，请供应商在参加投标活动前办理好CA数字证书申领及电子签章等操作。</w:t>
      </w:r>
    </w:p>
    <w:p w14:paraId="0B4B0D49">
      <w:pPr>
        <w:shd w:val="clear" w:color="auto" w:fill="FFFFFF"/>
        <w:spacing w:line="360" w:lineRule="auto"/>
        <w:ind w:firstLine="482"/>
        <w:jc w:val="left"/>
        <w:rPr>
          <w:rFonts w:ascii="仿宋" w:hAnsi="仿宋" w:eastAsia="仿宋" w:cs="仿宋"/>
          <w:sz w:val="24"/>
          <w:szCs w:val="24"/>
        </w:rPr>
      </w:pPr>
      <w:r>
        <w:rPr>
          <w:rStyle w:val="68"/>
          <w:rFonts w:hint="eastAsia" w:ascii="仿宋" w:hAnsi="仿宋" w:eastAsia="仿宋" w:cs="仿宋"/>
          <w:sz w:val="24"/>
          <w:szCs w:val="24"/>
          <w:shd w:val="clear" w:color="auto" w:fill="FFFFFF"/>
          <w:lang w:bidi="ar"/>
        </w:rPr>
        <w:t>2.本项目采用不见面开标，投标人开标时无需到开标现场进行解密，采取网上开标大厅解密电子投标文件，投标人远程解密要求如下：</w:t>
      </w:r>
    </w:p>
    <w:p w14:paraId="0C06562B">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1）投标人使用CA数字证书进行远程解密，解密的CA数字证书与生成加密电子投标文件时的CA数字证书需为同一个CA数字证书，否则无法解密，造成的后果由投标人自行负责。</w:t>
      </w:r>
    </w:p>
    <w:p w14:paraId="1D1BC673">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2）投标人登录苏采云系统，点击开标大厅，选择开标项目，完成不见面开标流程。</w:t>
      </w:r>
    </w:p>
    <w:p w14:paraId="31713744">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3）投标截止时间后根据系统提示解密电子投标文件。</w:t>
      </w:r>
      <w:r>
        <w:rPr>
          <w:rStyle w:val="68"/>
          <w:rFonts w:hint="eastAsia" w:ascii="仿宋" w:hAnsi="仿宋" w:eastAsia="仿宋" w:cs="仿宋"/>
          <w:sz w:val="24"/>
          <w:szCs w:val="24"/>
          <w:shd w:val="clear" w:color="auto" w:fill="FFFFFF"/>
          <w:lang w:bidi="ar"/>
        </w:rPr>
        <w:t>解密时间为15分钟，</w:t>
      </w:r>
      <w:r>
        <w:rPr>
          <w:rFonts w:hint="eastAsia" w:ascii="仿宋" w:hAnsi="仿宋" w:eastAsia="仿宋" w:cs="仿宋"/>
          <w:sz w:val="24"/>
          <w:szCs w:val="24"/>
          <w:shd w:val="clear" w:color="auto" w:fill="FFFFFF"/>
          <w:lang w:bidi="ar"/>
        </w:rPr>
        <w:t>未在规定时间内完成解密，其投标文件将被拒绝，不参与后续投标流程。</w:t>
      </w:r>
    </w:p>
    <w:p w14:paraId="43EBB3E3">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4）在开标、评标过程中投标单位代表须在网上不见面开标系统中保持在线状态，以应对可能发生的澄清、说明等回复，由于投标单位代表不在线所造成的一切后果由投标人自行承担。</w:t>
      </w:r>
    </w:p>
    <w:p w14:paraId="0A1CD1EE">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3.</w:t>
      </w:r>
      <w:r>
        <w:rPr>
          <w:rStyle w:val="68"/>
          <w:rFonts w:hint="eastAsia" w:ascii="仿宋" w:hAnsi="仿宋" w:eastAsia="仿宋" w:cs="仿宋"/>
          <w:sz w:val="24"/>
          <w:szCs w:val="24"/>
          <w:shd w:val="clear" w:color="auto" w:fill="FFFFFF"/>
          <w:lang w:bidi="ar"/>
        </w:rPr>
        <w:t>有关苏采云系统驱动安装，</w:t>
      </w:r>
      <w:r>
        <w:rPr>
          <w:rFonts w:hint="eastAsia" w:ascii="仿宋" w:hAnsi="仿宋" w:eastAsia="仿宋" w:cs="仿宋"/>
          <w:sz w:val="24"/>
          <w:szCs w:val="24"/>
          <w:shd w:val="clear" w:color="auto" w:fill="FFFFFF"/>
          <w:lang w:bidi="ar"/>
        </w:rPr>
        <w:t>登录苏州政府采购网，点击页面底部苏采云图标，进入苏采云政府采购一体化平台，点击“驱动下载”，下载</w:t>
      </w:r>
      <w:r>
        <w:rPr>
          <w:rStyle w:val="68"/>
          <w:rFonts w:hint="eastAsia" w:ascii="仿宋" w:hAnsi="仿宋" w:eastAsia="仿宋" w:cs="仿宋"/>
          <w:sz w:val="24"/>
          <w:szCs w:val="24"/>
          <w:shd w:val="clear" w:color="auto" w:fill="FFFFFF"/>
          <w:lang w:bidi="ar"/>
        </w:rPr>
        <w:t>“政务CA、方正签章控件驱动安装包及安装说明”</w:t>
      </w:r>
      <w:r>
        <w:rPr>
          <w:rFonts w:hint="eastAsia" w:ascii="仿宋" w:hAnsi="仿宋" w:eastAsia="仿宋" w:cs="仿宋"/>
          <w:sz w:val="24"/>
          <w:szCs w:val="24"/>
          <w:shd w:val="clear" w:color="auto" w:fill="FFFFFF"/>
          <w:lang w:bidi="ar"/>
        </w:rPr>
        <w:t>文件，按要求安装驱动。</w:t>
      </w:r>
    </w:p>
    <w:p w14:paraId="01894D6B">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4.</w:t>
      </w:r>
      <w:r>
        <w:rPr>
          <w:rStyle w:val="68"/>
          <w:rFonts w:hint="eastAsia" w:ascii="仿宋" w:hAnsi="仿宋" w:eastAsia="仿宋" w:cs="仿宋"/>
          <w:sz w:val="24"/>
          <w:szCs w:val="24"/>
          <w:shd w:val="clear" w:color="auto" w:fill="FFFFFF"/>
          <w:lang w:bidi="ar"/>
        </w:rPr>
        <w:t>有关供应商注册、报名、下载电子招标文件、制作上传电子投标文件</w:t>
      </w:r>
      <w:r>
        <w:rPr>
          <w:rFonts w:hint="eastAsia" w:ascii="仿宋" w:hAnsi="仿宋" w:eastAsia="仿宋" w:cs="仿宋"/>
          <w:sz w:val="24"/>
          <w:szCs w:val="24"/>
          <w:shd w:val="clear" w:color="auto" w:fill="FFFFFF"/>
          <w:lang w:bidi="ar"/>
        </w:rPr>
        <w:t>、不见面开标及其他注意事项登录苏州政府采购网，在“下载中心”栏目下载“</w:t>
      </w:r>
      <w:r>
        <w:rPr>
          <w:rStyle w:val="68"/>
          <w:rFonts w:hint="eastAsia" w:ascii="仿宋" w:hAnsi="仿宋" w:eastAsia="仿宋" w:cs="仿宋"/>
          <w:sz w:val="24"/>
          <w:szCs w:val="24"/>
          <w:shd w:val="clear" w:color="auto" w:fill="FFFFFF"/>
          <w:lang w:bidi="ar"/>
        </w:rPr>
        <w:t>苏采云系统供应商操作手册”</w:t>
      </w:r>
      <w:r>
        <w:rPr>
          <w:rFonts w:hint="eastAsia" w:ascii="仿宋" w:hAnsi="仿宋" w:eastAsia="仿宋" w:cs="仿宋"/>
          <w:sz w:val="24"/>
          <w:szCs w:val="24"/>
          <w:shd w:val="clear" w:color="auto" w:fill="FFFFFF"/>
          <w:lang w:bidi="ar"/>
        </w:rPr>
        <w:t>查阅。</w:t>
      </w:r>
    </w:p>
    <w:p w14:paraId="648F43CF">
      <w:pPr>
        <w:shd w:val="clear" w:color="auto" w:fill="FFFFFF"/>
        <w:spacing w:line="360" w:lineRule="auto"/>
        <w:ind w:firstLine="482"/>
        <w:jc w:val="left"/>
        <w:rPr>
          <w:rStyle w:val="68"/>
          <w:rFonts w:ascii="仿宋" w:hAnsi="仿宋" w:eastAsia="仿宋" w:cs="仿宋"/>
          <w:sz w:val="24"/>
          <w:szCs w:val="24"/>
          <w:shd w:val="clear" w:color="auto" w:fill="FFFFFF"/>
          <w:lang w:bidi="ar"/>
        </w:rPr>
      </w:pPr>
      <w:r>
        <w:rPr>
          <w:rStyle w:val="68"/>
          <w:rFonts w:hint="eastAsia" w:ascii="仿宋" w:hAnsi="仿宋" w:eastAsia="仿宋" w:cs="仿宋"/>
          <w:sz w:val="24"/>
          <w:szCs w:val="24"/>
          <w:shd w:val="clear" w:color="auto" w:fill="FFFFFF"/>
          <w:lang w:bidi="ar"/>
        </w:rPr>
        <w:t>5.有关办理CA数字申领及电子签章事项，登录苏州政府采购网，点击页面底部苏采云图标，进入苏采云政府采购一体化平台，下载“新CA办理指南”文件查阅。</w:t>
      </w:r>
    </w:p>
    <w:p w14:paraId="292C1260">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6.有关电子投标制作技术疑问，请咨询苏采云软件公司客服：18261002950、0512-69820854、0519-86722802</w:t>
      </w:r>
    </w:p>
    <w:p w14:paraId="7E4F6CD8">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7.政府采购监督电话：</w:t>
      </w:r>
      <w:r>
        <w:rPr>
          <w:rFonts w:hint="eastAsia" w:ascii="仿宋" w:hAnsi="仿宋" w:eastAsia="仿宋" w:cs="仿宋"/>
          <w:color w:val="auto"/>
          <w:sz w:val="24"/>
          <w:szCs w:val="24"/>
          <w:highlight w:val="none"/>
          <w:shd w:val="clear" w:color="auto" w:fill="FFFFFF"/>
          <w:lang w:bidi="ar"/>
        </w:rPr>
        <w:t>0512-53890318</w:t>
      </w:r>
    </w:p>
    <w:p w14:paraId="1FD23F32">
      <w:pPr>
        <w:shd w:val="clear" w:color="auto" w:fill="FFFFFF"/>
        <w:spacing w:line="360" w:lineRule="auto"/>
        <w:ind w:firstLine="480"/>
        <w:jc w:val="left"/>
        <w:rPr>
          <w:rFonts w:ascii="仿宋" w:hAnsi="仿宋" w:eastAsia="仿宋" w:cs="仿宋"/>
          <w:sz w:val="24"/>
          <w:szCs w:val="24"/>
        </w:rPr>
      </w:pPr>
      <w:r>
        <w:rPr>
          <w:rFonts w:hint="eastAsia" w:ascii="仿宋" w:hAnsi="仿宋" w:eastAsia="仿宋" w:cs="仿宋"/>
          <w:sz w:val="24"/>
          <w:szCs w:val="24"/>
          <w:shd w:val="clear" w:color="auto" w:fill="FFFFFF"/>
          <w:lang w:bidi="ar"/>
        </w:rPr>
        <w:t>8.投标保证金：本项目无需缴纳投标保证金。</w:t>
      </w:r>
    </w:p>
    <w:p w14:paraId="7B3525E8">
      <w:pPr>
        <w:spacing w:line="360" w:lineRule="auto"/>
        <w:ind w:firstLine="470"/>
        <w:rPr>
          <w:rFonts w:ascii="仿宋" w:hAnsi="仿宋" w:eastAsia="仿宋" w:cs="仿宋"/>
          <w:sz w:val="24"/>
          <w:szCs w:val="24"/>
        </w:rPr>
      </w:pPr>
      <w:r>
        <w:rPr>
          <w:rFonts w:hint="eastAsia" w:ascii="仿宋" w:hAnsi="仿宋" w:eastAsia="仿宋" w:cs="仿宋"/>
          <w:sz w:val="24"/>
          <w:szCs w:val="24"/>
        </w:rPr>
        <w:t>9.履约保证金：合同金额的3%。</w:t>
      </w:r>
    </w:p>
    <w:p w14:paraId="430D6559">
      <w:pPr>
        <w:spacing w:line="360" w:lineRule="auto"/>
        <w:ind w:firstLine="470"/>
        <w:rPr>
          <w:rFonts w:ascii="仿宋" w:hAnsi="仿宋" w:eastAsia="仿宋" w:cs="仿宋"/>
          <w:sz w:val="24"/>
          <w:szCs w:val="24"/>
        </w:rPr>
      </w:pPr>
      <w:r>
        <w:rPr>
          <w:rFonts w:hint="eastAsia" w:ascii="仿宋" w:hAnsi="仿宋" w:eastAsia="仿宋" w:cs="仿宋"/>
          <w:sz w:val="24"/>
          <w:szCs w:val="24"/>
        </w:rPr>
        <w:t>10.政府采购履约资金扶持政策：中标供应商可凭政府采购合同办理融资贷款，详情请见江苏政府采购网‘政采贷’专栏。</w:t>
      </w:r>
    </w:p>
    <w:p w14:paraId="58540785">
      <w:pPr>
        <w:spacing w:line="360" w:lineRule="auto"/>
        <w:ind w:firstLine="47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1</w:t>
      </w:r>
      <w:r>
        <w:rPr>
          <w:rFonts w:hint="eastAsia" w:ascii="仿宋" w:hAnsi="仿宋" w:eastAsia="仿宋" w:cs="仿宋"/>
          <w:sz w:val="24"/>
          <w:szCs w:val="24"/>
        </w:rPr>
        <w:t>.代理服务费：代理服务费由采购人承担。代理服务费按预算金额100万元以内1.5%、100万～500万元1.1%、500万～1000万元0.8%、1000万～5000万元0.5%差额定率累进法计算，当单项项目代理服务收费不足3000元的按3000元计算。采购人在代理机构交付招标归档资料后30个工作日内一次性付清，本项目代理服务费24900元。</w:t>
      </w:r>
    </w:p>
    <w:p w14:paraId="3FA8B0E9">
      <w:pPr>
        <w:spacing w:line="360" w:lineRule="auto"/>
        <w:ind w:firstLine="47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12.本项目接受联合体投标。</w:t>
      </w:r>
    </w:p>
    <w:p w14:paraId="6EA469A0">
      <w:pPr>
        <w:spacing w:line="360" w:lineRule="auto"/>
        <w:ind w:firstLine="47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（1）联合体所有成员（含联合体牵头人）数量不得超过2家，联合体成员均应当具备《中华人民共和国政府采购法》第二十二条规定的条件；</w:t>
      </w:r>
    </w:p>
    <w:p w14:paraId="100D491E">
      <w:pPr>
        <w:spacing w:line="360" w:lineRule="auto"/>
        <w:ind w:firstLine="4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default" w:ascii="仿宋" w:hAnsi="仿宋" w:eastAsia="仿宋" w:cs="仿宋"/>
          <w:sz w:val="24"/>
          <w:szCs w:val="24"/>
          <w:lang w:val="en-US" w:eastAsia="zh-CN"/>
        </w:rPr>
        <w:t>联合体成员应按招标文件提供的格式共同签署联合体投标协议书，并且明确各方承担的工作、相应的责任、资金所占比例，联合体投标协议书编入投标文件内;</w:t>
      </w:r>
    </w:p>
    <w:p w14:paraId="37041D47">
      <w:pPr>
        <w:spacing w:line="360" w:lineRule="auto"/>
        <w:ind w:firstLine="4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default" w:ascii="仿宋" w:hAnsi="仿宋" w:eastAsia="仿宋" w:cs="仿宋"/>
          <w:sz w:val="24"/>
          <w:szCs w:val="24"/>
          <w:lang w:val="en-US" w:eastAsia="zh-CN"/>
        </w:rPr>
        <w:t>联合体牵头人代表联合体各成员处理</w:t>
      </w:r>
      <w:r>
        <w:rPr>
          <w:rFonts w:hint="eastAsia" w:ascii="仿宋" w:hAnsi="仿宋" w:eastAsia="仿宋" w:cs="仿宋"/>
          <w:sz w:val="24"/>
          <w:szCs w:val="24"/>
          <w:lang w:val="en-US" w:eastAsia="zh-CN"/>
        </w:rPr>
        <w:t>投标</w:t>
      </w:r>
      <w:r>
        <w:rPr>
          <w:rFonts w:hint="default" w:ascii="仿宋" w:hAnsi="仿宋" w:eastAsia="仿宋" w:cs="仿宋"/>
          <w:sz w:val="24"/>
          <w:szCs w:val="24"/>
          <w:lang w:val="en-US" w:eastAsia="zh-CN"/>
        </w:rPr>
        <w:t>过程中一切事务，并代表联合体成员承担相应的管理责任和接受指令。整个合同的实施应全部由联合体牵头人负责，联合体牵头人代表全部联合体成员承担责任;</w:t>
      </w:r>
    </w:p>
    <w:p w14:paraId="7284893F">
      <w:pPr>
        <w:spacing w:line="360" w:lineRule="auto"/>
        <w:ind w:firstLine="4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（4）</w:t>
      </w:r>
      <w:r>
        <w:rPr>
          <w:rFonts w:hint="default" w:ascii="仿宋" w:hAnsi="仿宋" w:eastAsia="仿宋" w:cs="仿宋"/>
          <w:sz w:val="24"/>
          <w:szCs w:val="24"/>
          <w:lang w:val="en-US" w:eastAsia="zh-CN"/>
        </w:rPr>
        <w:t>参加联合体的各成员单位对本项目不得再以自己的名义单独投标，也不得同时参加两个或两个以上联合体的投标。如果违反，与此有关的联合体的投标将被拒绝;</w:t>
      </w:r>
    </w:p>
    <w:p w14:paraId="04B8ACAD">
      <w:pPr>
        <w:spacing w:line="360" w:lineRule="auto"/>
        <w:ind w:firstLine="47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（5）</w:t>
      </w:r>
      <w:r>
        <w:rPr>
          <w:rFonts w:hint="default" w:ascii="仿宋" w:hAnsi="仿宋" w:eastAsia="仿宋" w:cs="仿宋"/>
          <w:sz w:val="24"/>
          <w:szCs w:val="24"/>
          <w:lang w:val="en-US" w:eastAsia="zh-CN"/>
        </w:rPr>
        <w:t>采用联合体形式参加投标的，仅需联合体牵头方报名，且牵头方负责处理联合体投标过程中所有相关事宜。</w:t>
      </w:r>
    </w:p>
    <w:p w14:paraId="59ED2B9E">
      <w:pPr>
        <w:pStyle w:val="24"/>
        <w:spacing w:line="360" w:lineRule="auto"/>
        <w:ind w:firstLine="482"/>
        <w:rPr>
          <w:rFonts w:ascii="仿宋" w:hAnsi="仿宋" w:eastAsia="仿宋" w:cs="仿宋"/>
          <w:sz w:val="24"/>
          <w:szCs w:val="24"/>
        </w:rPr>
      </w:pPr>
      <w:r>
        <w:rPr>
          <w:rFonts w:hint="eastAsia" w:ascii="仿宋" w:hAnsi="仿宋" w:eastAsia="仿宋" w:cs="仿宋"/>
          <w:b/>
          <w:sz w:val="24"/>
        </w:rPr>
        <w:t>七、对本次招标提出询问，请按以下方式联系</w:t>
      </w:r>
    </w:p>
    <w:p w14:paraId="5A7910CB">
      <w:pPr>
        <w:spacing w:line="360" w:lineRule="auto"/>
        <w:ind w:firstLine="470"/>
        <w:rPr>
          <w:rFonts w:ascii="仿宋" w:hAnsi="仿宋" w:eastAsia="仿宋" w:cs="仿宋"/>
          <w:sz w:val="24"/>
          <w:szCs w:val="24"/>
        </w:rPr>
      </w:pPr>
      <w:r>
        <w:rPr>
          <w:rFonts w:hint="eastAsia" w:ascii="仿宋" w:hAnsi="仿宋" w:eastAsia="仿宋" w:cs="仿宋"/>
          <w:sz w:val="24"/>
          <w:szCs w:val="24"/>
        </w:rPr>
        <w:t>1.采购人信息</w:t>
      </w:r>
    </w:p>
    <w:p w14:paraId="73797ACA">
      <w:pPr>
        <w:spacing w:line="360" w:lineRule="auto"/>
        <w:ind w:firstLine="470"/>
        <w:rPr>
          <w:rFonts w:ascii="仿宋" w:hAnsi="仿宋" w:eastAsia="仿宋" w:cs="仿宋"/>
          <w:sz w:val="24"/>
          <w:szCs w:val="24"/>
        </w:rPr>
      </w:pPr>
      <w:bookmarkStart w:id="8" w:name="_Hlk69823300"/>
      <w:r>
        <w:rPr>
          <w:rFonts w:hint="eastAsia" w:ascii="仿宋" w:hAnsi="仿宋" w:eastAsia="仿宋" w:cs="仿宋"/>
          <w:sz w:val="24"/>
          <w:szCs w:val="24"/>
        </w:rPr>
        <w:t>名称：</w:t>
      </w:r>
      <w:bookmarkEnd w:id="8"/>
      <w:r>
        <w:rPr>
          <w:rFonts w:hint="eastAsia" w:ascii="仿宋" w:hAnsi="仿宋" w:eastAsia="仿宋" w:cs="仿宋"/>
          <w:sz w:val="24"/>
          <w:szCs w:val="24"/>
        </w:rPr>
        <w:t>太仓市第二中学</w:t>
      </w:r>
    </w:p>
    <w:p w14:paraId="4EAFF48F">
      <w:pPr>
        <w:pStyle w:val="24"/>
        <w:spacing w:line="360" w:lineRule="auto"/>
        <w:ind w:firstLine="480"/>
        <w:rPr>
          <w:rFonts w:ascii="仿宋" w:hAnsi="仿宋" w:eastAsia="仿宋" w:cs="仿宋"/>
          <w:sz w:val="24"/>
          <w:szCs w:val="24"/>
        </w:rPr>
      </w:pPr>
      <w:r>
        <w:rPr>
          <w:rFonts w:hint="eastAsia" w:ascii="仿宋" w:hAnsi="仿宋" w:eastAsia="仿宋" w:cs="仿宋"/>
          <w:sz w:val="24"/>
          <w:szCs w:val="24"/>
        </w:rPr>
        <w:t>地址：太仓市城厢镇长春南路209号</w:t>
      </w:r>
    </w:p>
    <w:p w14:paraId="4BF7A3C4">
      <w:pPr>
        <w:pStyle w:val="24"/>
        <w:spacing w:line="360" w:lineRule="auto"/>
        <w:ind w:firstLine="480"/>
        <w:rPr>
          <w:rFonts w:hint="default" w:ascii="仿宋" w:hAnsi="仿宋" w:eastAsia="仿宋" w:cs="仿宋"/>
          <w:sz w:val="24"/>
          <w:szCs w:val="24"/>
          <w:lang w:val="en-US" w:eastAsia="zh-CN"/>
        </w:rPr>
      </w:pPr>
      <w:r>
        <w:rPr>
          <w:rFonts w:hint="eastAsia" w:ascii="仿宋" w:hAnsi="仿宋" w:eastAsia="仿宋" w:cs="仿宋"/>
          <w:sz w:val="24"/>
          <w:szCs w:val="24"/>
        </w:rPr>
        <w:t>联系方式：</w:t>
      </w:r>
      <w:r>
        <w:rPr>
          <w:rFonts w:hint="eastAsia" w:ascii="仿宋" w:hAnsi="仿宋" w:eastAsia="仿宋" w:cs="仿宋"/>
          <w:sz w:val="24"/>
          <w:szCs w:val="24"/>
          <w:lang w:val="en-US" w:eastAsia="zh-CN"/>
        </w:rPr>
        <w:t>龚宇</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18352762636</w:t>
      </w:r>
    </w:p>
    <w:p w14:paraId="4248D171">
      <w:pPr>
        <w:spacing w:line="360" w:lineRule="auto"/>
        <w:ind w:firstLine="470"/>
        <w:rPr>
          <w:rFonts w:ascii="仿宋" w:hAnsi="仿宋" w:eastAsia="仿宋" w:cs="仿宋"/>
          <w:sz w:val="24"/>
          <w:szCs w:val="24"/>
        </w:rPr>
      </w:pPr>
      <w:r>
        <w:rPr>
          <w:rFonts w:hint="eastAsia" w:ascii="仿宋" w:hAnsi="仿宋" w:eastAsia="仿宋" w:cs="仿宋"/>
          <w:sz w:val="24"/>
          <w:szCs w:val="24"/>
        </w:rPr>
        <w:t>2.采购代理机构信息</w:t>
      </w:r>
    </w:p>
    <w:p w14:paraId="1B029324">
      <w:pPr>
        <w:spacing w:line="360" w:lineRule="auto"/>
        <w:ind w:firstLine="470"/>
        <w:rPr>
          <w:rFonts w:ascii="仿宋" w:hAnsi="仿宋" w:eastAsia="仿宋" w:cs="仿宋"/>
          <w:sz w:val="24"/>
          <w:szCs w:val="24"/>
        </w:rPr>
      </w:pPr>
      <w:r>
        <w:rPr>
          <w:rFonts w:hint="eastAsia" w:ascii="仿宋" w:hAnsi="仿宋" w:eastAsia="仿宋" w:cs="仿宋"/>
          <w:sz w:val="24"/>
          <w:szCs w:val="24"/>
        </w:rPr>
        <w:t>名称：苏州乐鑫诚项目管理有限公司</w:t>
      </w:r>
    </w:p>
    <w:p w14:paraId="1B898D23">
      <w:pPr>
        <w:spacing w:line="360" w:lineRule="auto"/>
        <w:ind w:firstLine="470"/>
        <w:rPr>
          <w:rFonts w:ascii="仿宋" w:hAnsi="仿宋" w:eastAsia="仿宋" w:cs="仿宋"/>
          <w:sz w:val="24"/>
          <w:szCs w:val="24"/>
        </w:rPr>
      </w:pPr>
      <w:r>
        <w:rPr>
          <w:rFonts w:hint="eastAsia" w:ascii="仿宋" w:hAnsi="仿宋" w:eastAsia="仿宋" w:cs="仿宋"/>
          <w:sz w:val="24"/>
          <w:szCs w:val="24"/>
        </w:rPr>
        <w:t>地址：太仓市北京东路77号中德大厦B座9楼</w:t>
      </w:r>
    </w:p>
    <w:p w14:paraId="04DC85BD">
      <w:pPr>
        <w:spacing w:line="360" w:lineRule="auto"/>
        <w:ind w:firstLine="470"/>
        <w:rPr>
          <w:rFonts w:ascii="仿宋" w:hAnsi="仿宋" w:eastAsia="仿宋" w:cs="仿宋"/>
          <w:sz w:val="24"/>
          <w:szCs w:val="24"/>
        </w:rPr>
      </w:pPr>
      <w:r>
        <w:rPr>
          <w:rFonts w:hint="eastAsia" w:ascii="仿宋" w:hAnsi="仿宋" w:eastAsia="仿宋" w:cs="仿宋"/>
          <w:sz w:val="24"/>
          <w:szCs w:val="24"/>
        </w:rPr>
        <w:t>联系方式：15162590330</w:t>
      </w:r>
    </w:p>
    <w:p w14:paraId="2F08AA7A">
      <w:pPr>
        <w:spacing w:line="360" w:lineRule="auto"/>
        <w:ind w:firstLine="470"/>
        <w:rPr>
          <w:rFonts w:ascii="仿宋" w:hAnsi="仿宋" w:eastAsia="仿宋" w:cs="仿宋"/>
          <w:sz w:val="24"/>
          <w:szCs w:val="24"/>
        </w:rPr>
      </w:pPr>
      <w:r>
        <w:rPr>
          <w:rFonts w:hint="eastAsia" w:ascii="仿宋" w:hAnsi="仿宋" w:eastAsia="仿宋" w:cs="仿宋"/>
          <w:sz w:val="24"/>
          <w:szCs w:val="24"/>
        </w:rPr>
        <w:t>3.项目联系方式</w:t>
      </w:r>
    </w:p>
    <w:p w14:paraId="425B6F83">
      <w:pPr>
        <w:spacing w:line="360" w:lineRule="auto"/>
        <w:ind w:firstLine="470"/>
        <w:rPr>
          <w:rFonts w:ascii="仿宋" w:hAnsi="仿宋" w:eastAsia="仿宋" w:cs="仿宋"/>
          <w:sz w:val="24"/>
          <w:szCs w:val="24"/>
        </w:rPr>
      </w:pPr>
      <w:r>
        <w:rPr>
          <w:rFonts w:hint="eastAsia" w:ascii="仿宋" w:hAnsi="仿宋" w:eastAsia="仿宋" w:cs="仿宋"/>
          <w:sz w:val="24"/>
          <w:szCs w:val="24"/>
        </w:rPr>
        <w:t>项目联系人：樊爽</w:t>
      </w:r>
    </w:p>
    <w:p w14:paraId="198A9391">
      <w:pPr>
        <w:spacing w:line="360" w:lineRule="auto"/>
        <w:ind w:firstLine="470"/>
        <w:rPr>
          <w:rFonts w:ascii="仿宋" w:hAnsi="仿宋" w:eastAsia="仿宋" w:cs="仿宋"/>
          <w:sz w:val="24"/>
          <w:szCs w:val="24"/>
        </w:rPr>
      </w:pPr>
      <w:r>
        <w:rPr>
          <w:rFonts w:hint="eastAsia" w:ascii="仿宋" w:hAnsi="仿宋" w:eastAsia="仿宋" w:cs="仿宋"/>
          <w:sz w:val="24"/>
          <w:szCs w:val="24"/>
        </w:rPr>
        <w:t>电话：15162590330</w:t>
      </w:r>
      <w:bookmarkEnd w:id="4"/>
      <w:bookmarkEnd w:id="5"/>
      <w:bookmarkEnd w:id="6"/>
      <w:bookmarkEnd w:id="7"/>
    </w:p>
    <w:p w14:paraId="52F177F5">
      <w:pPr>
        <w:pStyle w:val="24"/>
        <w:spacing w:line="480" w:lineRule="auto"/>
        <w:jc w:val="center"/>
        <w:rPr>
          <w:rFonts w:ascii="仿宋" w:hAnsi="仿宋" w:eastAsia="仿宋" w:cs="仿宋"/>
          <w:b/>
          <w:sz w:val="44"/>
          <w:szCs w:val="44"/>
        </w:rPr>
      </w:pPr>
      <w:bookmarkStart w:id="9" w:name="_Toc315868051"/>
      <w:bookmarkStart w:id="10" w:name="_Toc467507030"/>
      <w:bookmarkStart w:id="11" w:name="_Toc158691767"/>
      <w:bookmarkStart w:id="12" w:name="_Toc315875314"/>
      <w:r>
        <w:rPr>
          <w:rFonts w:hAnsi="宋体"/>
          <w:b/>
          <w:sz w:val="44"/>
          <w:szCs w:val="44"/>
        </w:rPr>
        <w:br w:type="page" w:clear="all"/>
      </w:r>
      <w:r>
        <w:rPr>
          <w:rFonts w:hint="eastAsia" w:ascii="仿宋" w:hAnsi="仿宋" w:eastAsia="仿宋" w:cs="仿宋"/>
          <w:b/>
          <w:sz w:val="44"/>
          <w:szCs w:val="44"/>
        </w:rPr>
        <w:t>第二部分  投标人须知</w:t>
      </w:r>
      <w:bookmarkEnd w:id="9"/>
      <w:bookmarkEnd w:id="10"/>
      <w:bookmarkEnd w:id="11"/>
      <w:bookmarkEnd w:id="12"/>
    </w:p>
    <w:p w14:paraId="0A8B21D6">
      <w:pPr>
        <w:spacing w:line="360" w:lineRule="auto"/>
        <w:rPr>
          <w:rFonts w:ascii="仿宋" w:hAnsi="仿宋" w:eastAsia="仿宋" w:cs="仿宋"/>
          <w:sz w:val="24"/>
          <w:szCs w:val="24"/>
        </w:rPr>
      </w:pPr>
      <w:r>
        <w:rPr>
          <w:rFonts w:hint="eastAsia" w:ascii="仿宋" w:hAnsi="仿宋" w:eastAsia="仿宋" w:cs="仿宋"/>
          <w:b/>
          <w:sz w:val="24"/>
          <w:szCs w:val="24"/>
        </w:rPr>
        <w:t>一、说明和释义</w:t>
      </w:r>
    </w:p>
    <w:p w14:paraId="46876B94">
      <w:pPr>
        <w:spacing w:line="360" w:lineRule="auto"/>
        <w:rPr>
          <w:rFonts w:ascii="仿宋" w:hAnsi="仿宋" w:eastAsia="仿宋" w:cs="仿宋"/>
          <w:b/>
          <w:sz w:val="24"/>
          <w:szCs w:val="24"/>
        </w:rPr>
      </w:pPr>
      <w:r>
        <w:rPr>
          <w:rFonts w:hint="eastAsia" w:ascii="仿宋" w:hAnsi="仿宋" w:eastAsia="仿宋" w:cs="仿宋"/>
          <w:b/>
          <w:sz w:val="24"/>
          <w:szCs w:val="24"/>
        </w:rPr>
        <w:t>1. 说明</w:t>
      </w:r>
    </w:p>
    <w:p w14:paraId="33E7565F">
      <w:pPr>
        <w:spacing w:line="360" w:lineRule="auto"/>
        <w:ind w:firstLine="360"/>
        <w:rPr>
          <w:rFonts w:ascii="仿宋" w:hAnsi="仿宋" w:eastAsia="仿宋" w:cs="仿宋"/>
          <w:sz w:val="24"/>
          <w:szCs w:val="24"/>
        </w:rPr>
      </w:pPr>
      <w:r>
        <w:rPr>
          <w:rFonts w:hint="eastAsia" w:ascii="仿宋" w:hAnsi="仿宋" w:eastAsia="仿宋" w:cs="仿宋"/>
          <w:sz w:val="24"/>
          <w:szCs w:val="24"/>
        </w:rPr>
        <w:t>1.1本招标文件仅适用于苏州乐鑫诚项目管理有限公司组织的招标活动。</w:t>
      </w:r>
    </w:p>
    <w:p w14:paraId="570B3BF4">
      <w:pPr>
        <w:spacing w:line="360" w:lineRule="auto"/>
        <w:ind w:firstLine="360"/>
        <w:rPr>
          <w:rFonts w:ascii="仿宋" w:hAnsi="仿宋" w:eastAsia="仿宋" w:cs="仿宋"/>
          <w:sz w:val="24"/>
          <w:szCs w:val="24"/>
        </w:rPr>
      </w:pPr>
      <w:r>
        <w:rPr>
          <w:rFonts w:hint="eastAsia" w:ascii="仿宋" w:hAnsi="仿宋" w:eastAsia="仿宋" w:cs="仿宋"/>
          <w:sz w:val="24"/>
          <w:szCs w:val="24"/>
        </w:rPr>
        <w:t>1.2本次招标活动及因本次招标产生的合同受中国法律制约和保护。</w:t>
      </w:r>
    </w:p>
    <w:p w14:paraId="473A033C">
      <w:pPr>
        <w:spacing w:line="360" w:lineRule="auto"/>
        <w:ind w:firstLine="360"/>
        <w:rPr>
          <w:rFonts w:ascii="仿宋" w:hAnsi="仿宋" w:eastAsia="仿宋" w:cs="仿宋"/>
          <w:sz w:val="24"/>
          <w:szCs w:val="24"/>
        </w:rPr>
      </w:pPr>
      <w:r>
        <w:rPr>
          <w:rFonts w:hint="eastAsia" w:ascii="仿宋" w:hAnsi="仿宋" w:eastAsia="仿宋" w:cs="仿宋"/>
          <w:sz w:val="24"/>
          <w:szCs w:val="24"/>
        </w:rPr>
        <w:t>1.3本招标文件的解释权属于苏州乐鑫诚项目管理有限公司。</w:t>
      </w:r>
    </w:p>
    <w:p w14:paraId="6819D9C1">
      <w:pPr>
        <w:spacing w:line="360" w:lineRule="auto"/>
        <w:rPr>
          <w:rFonts w:ascii="仿宋" w:hAnsi="仿宋" w:eastAsia="仿宋" w:cs="仿宋"/>
          <w:b/>
          <w:sz w:val="24"/>
          <w:szCs w:val="24"/>
        </w:rPr>
      </w:pPr>
      <w:r>
        <w:rPr>
          <w:rFonts w:hint="eastAsia" w:ascii="仿宋" w:hAnsi="仿宋" w:eastAsia="仿宋" w:cs="仿宋"/>
          <w:b/>
          <w:sz w:val="24"/>
          <w:szCs w:val="24"/>
        </w:rPr>
        <w:t>2. 词语释义</w:t>
      </w:r>
    </w:p>
    <w:p w14:paraId="1284092E">
      <w:pPr>
        <w:spacing w:line="360" w:lineRule="auto"/>
        <w:ind w:firstLine="360"/>
        <w:rPr>
          <w:rFonts w:ascii="仿宋" w:hAnsi="仿宋" w:eastAsia="仿宋" w:cs="仿宋"/>
          <w:sz w:val="24"/>
          <w:szCs w:val="24"/>
        </w:rPr>
      </w:pPr>
      <w:r>
        <w:rPr>
          <w:rFonts w:hint="eastAsia" w:ascii="仿宋" w:hAnsi="仿宋" w:eastAsia="仿宋" w:cs="仿宋"/>
          <w:sz w:val="24"/>
          <w:szCs w:val="24"/>
        </w:rPr>
        <w:t>2.1采购代理机构：具体组织实施招标活动的法人。本项目采购代理机构是苏州乐鑫诚项目管理有限公司。</w:t>
      </w:r>
    </w:p>
    <w:p w14:paraId="3943595C">
      <w:pPr>
        <w:spacing w:line="360" w:lineRule="auto"/>
        <w:ind w:firstLine="360"/>
        <w:rPr>
          <w:rFonts w:ascii="仿宋" w:hAnsi="仿宋" w:eastAsia="仿宋" w:cs="仿宋"/>
          <w:sz w:val="24"/>
          <w:szCs w:val="24"/>
        </w:rPr>
      </w:pPr>
      <w:r>
        <w:rPr>
          <w:rFonts w:hint="eastAsia" w:ascii="仿宋" w:hAnsi="仿宋" w:eastAsia="仿宋" w:cs="仿宋"/>
          <w:sz w:val="24"/>
          <w:szCs w:val="24"/>
        </w:rPr>
        <w:t>2.2投标人：经认定有资格响应招标，参加投标竞争的法人或其他组织和自然人。</w:t>
      </w:r>
    </w:p>
    <w:p w14:paraId="3D456ABC">
      <w:pPr>
        <w:spacing w:line="360" w:lineRule="auto"/>
        <w:ind w:firstLine="360"/>
        <w:rPr>
          <w:rFonts w:ascii="仿宋" w:hAnsi="仿宋" w:eastAsia="仿宋" w:cs="仿宋"/>
          <w:sz w:val="24"/>
          <w:szCs w:val="24"/>
        </w:rPr>
      </w:pPr>
      <w:r>
        <w:rPr>
          <w:rFonts w:hint="eastAsia" w:ascii="仿宋" w:hAnsi="仿宋" w:eastAsia="仿宋" w:cs="仿宋"/>
          <w:sz w:val="24"/>
          <w:szCs w:val="24"/>
        </w:rPr>
        <w:t>2.3响应：投标人根据采购人或采购代理机构发布的招标文件，编制投标文件并按规定投标的行为。</w:t>
      </w:r>
    </w:p>
    <w:p w14:paraId="35AB93BB">
      <w:pPr>
        <w:spacing w:line="360" w:lineRule="auto"/>
        <w:ind w:firstLine="360"/>
        <w:rPr>
          <w:rFonts w:ascii="仿宋" w:hAnsi="仿宋" w:eastAsia="仿宋" w:cs="仿宋"/>
          <w:sz w:val="24"/>
          <w:szCs w:val="24"/>
        </w:rPr>
      </w:pPr>
      <w:r>
        <w:rPr>
          <w:rFonts w:hint="eastAsia" w:ascii="仿宋" w:hAnsi="仿宋" w:eastAsia="仿宋" w:cs="仿宋"/>
          <w:sz w:val="24"/>
          <w:szCs w:val="24"/>
        </w:rPr>
        <w:t>2.4合同：采供双方根据招标文件和中标的投标文件及中标通知书规定的内容签署的以书面形式所达成的协议，包括所有的附件、附录和构成协议的所有文件。</w:t>
      </w:r>
    </w:p>
    <w:p w14:paraId="696ED936">
      <w:pPr>
        <w:spacing w:line="360" w:lineRule="auto"/>
        <w:ind w:firstLine="360"/>
        <w:rPr>
          <w:rFonts w:ascii="仿宋" w:hAnsi="仿宋" w:eastAsia="仿宋" w:cs="仿宋"/>
          <w:sz w:val="24"/>
          <w:szCs w:val="24"/>
        </w:rPr>
      </w:pPr>
      <w:r>
        <w:rPr>
          <w:rFonts w:hint="eastAsia" w:ascii="仿宋" w:hAnsi="仿宋" w:eastAsia="仿宋" w:cs="仿宋"/>
          <w:sz w:val="24"/>
          <w:szCs w:val="24"/>
        </w:rPr>
        <w:t>2.5甲方（采购方）：合同中明确规定的实际购买货物和服务的法人或其他组织和自然人（采购人）</w:t>
      </w:r>
    </w:p>
    <w:p w14:paraId="3AAB8107">
      <w:pPr>
        <w:spacing w:line="360" w:lineRule="auto"/>
        <w:ind w:firstLine="360"/>
        <w:rPr>
          <w:rFonts w:ascii="仿宋" w:hAnsi="仿宋" w:eastAsia="仿宋" w:cs="仿宋"/>
          <w:sz w:val="24"/>
          <w:szCs w:val="24"/>
        </w:rPr>
      </w:pPr>
      <w:r>
        <w:rPr>
          <w:rFonts w:hint="eastAsia" w:ascii="仿宋" w:hAnsi="仿宋" w:eastAsia="仿宋" w:cs="仿宋"/>
          <w:sz w:val="24"/>
          <w:szCs w:val="24"/>
        </w:rPr>
        <w:t>2.6乙方（供应商）：合同中规定的向采购方提供货物和服务的法人或其他组织和自然人（中标人）</w:t>
      </w:r>
    </w:p>
    <w:p w14:paraId="758335AB">
      <w:pPr>
        <w:spacing w:line="360" w:lineRule="auto"/>
        <w:ind w:firstLine="360"/>
        <w:rPr>
          <w:rFonts w:ascii="仿宋" w:hAnsi="仿宋" w:eastAsia="仿宋" w:cs="仿宋"/>
          <w:sz w:val="24"/>
          <w:szCs w:val="24"/>
        </w:rPr>
      </w:pPr>
      <w:r>
        <w:rPr>
          <w:rFonts w:hint="eastAsia" w:ascii="仿宋" w:hAnsi="仿宋" w:eastAsia="仿宋" w:cs="仿宋"/>
          <w:sz w:val="24"/>
          <w:szCs w:val="24"/>
        </w:rPr>
        <w:t>2.7货物：系指乙方按招标采购文件规定，应向甲方提供的一切设备、备品、备件、工具、手册及其他有关技术资料和材料。</w:t>
      </w:r>
    </w:p>
    <w:p w14:paraId="70F9DAF7">
      <w:pPr>
        <w:spacing w:line="360" w:lineRule="auto"/>
        <w:ind w:firstLine="360"/>
        <w:rPr>
          <w:rFonts w:ascii="仿宋" w:hAnsi="仿宋" w:eastAsia="仿宋" w:cs="仿宋"/>
          <w:sz w:val="24"/>
          <w:szCs w:val="24"/>
        </w:rPr>
      </w:pPr>
      <w:r>
        <w:rPr>
          <w:rFonts w:hint="eastAsia" w:ascii="仿宋" w:hAnsi="仿宋" w:eastAsia="仿宋" w:cs="仿宋"/>
          <w:sz w:val="24"/>
          <w:szCs w:val="24"/>
        </w:rPr>
        <w:t>2.8服务：系指本次招标采购文件规定乙方应承担的与提供货物和服务有关的辅助服务，比如运输、保险、安装、调试、验收、提供技术援助、培训、配合措施、维修响应及合同中规定乙方应承担的其它义务。</w:t>
      </w:r>
    </w:p>
    <w:p w14:paraId="7829DBCD">
      <w:pPr>
        <w:spacing w:line="360" w:lineRule="auto"/>
        <w:ind w:firstLine="360"/>
        <w:rPr>
          <w:rFonts w:ascii="仿宋" w:hAnsi="仿宋" w:eastAsia="仿宋" w:cs="仿宋"/>
          <w:sz w:val="24"/>
          <w:szCs w:val="24"/>
        </w:rPr>
      </w:pPr>
      <w:r>
        <w:rPr>
          <w:rFonts w:hint="eastAsia" w:ascii="仿宋" w:hAnsi="仿宋" w:eastAsia="仿宋" w:cs="仿宋"/>
          <w:sz w:val="24"/>
          <w:szCs w:val="24"/>
        </w:rPr>
        <w:t>2.9知识产权：指专利权、商标权、著作权等无形财产专有权的统称。</w:t>
      </w:r>
    </w:p>
    <w:p w14:paraId="5E032C0E">
      <w:pPr>
        <w:spacing w:line="360" w:lineRule="auto"/>
        <w:ind w:firstLine="360"/>
        <w:rPr>
          <w:rFonts w:ascii="仿宋" w:hAnsi="仿宋" w:eastAsia="仿宋" w:cs="仿宋"/>
          <w:sz w:val="24"/>
          <w:szCs w:val="24"/>
        </w:rPr>
      </w:pPr>
      <w:r>
        <w:rPr>
          <w:rFonts w:hint="eastAsia" w:ascii="仿宋" w:hAnsi="仿宋" w:eastAsia="仿宋" w:cs="仿宋"/>
          <w:sz w:val="24"/>
          <w:szCs w:val="24"/>
        </w:rPr>
        <w:t>2.10天：日历日。</w:t>
      </w:r>
    </w:p>
    <w:p w14:paraId="01A849F3">
      <w:pPr>
        <w:spacing w:line="360" w:lineRule="auto"/>
        <w:ind w:firstLine="360"/>
        <w:rPr>
          <w:rFonts w:ascii="仿宋" w:hAnsi="仿宋" w:eastAsia="仿宋" w:cs="仿宋"/>
          <w:sz w:val="24"/>
          <w:szCs w:val="24"/>
        </w:rPr>
      </w:pPr>
      <w:r>
        <w:rPr>
          <w:rFonts w:hint="eastAsia" w:ascii="仿宋" w:hAnsi="仿宋" w:eastAsia="仿宋" w:cs="仿宋"/>
          <w:sz w:val="24"/>
          <w:szCs w:val="24"/>
        </w:rPr>
        <w:t>2.11交货地点：合同中明确约定的乙方提交的货物和服务最终到达地点。</w:t>
      </w:r>
    </w:p>
    <w:p w14:paraId="57F27382">
      <w:pPr>
        <w:spacing w:line="360" w:lineRule="auto"/>
        <w:ind w:firstLine="360"/>
        <w:rPr>
          <w:rFonts w:ascii="仿宋" w:hAnsi="仿宋" w:eastAsia="仿宋" w:cs="仿宋"/>
          <w:sz w:val="24"/>
          <w:szCs w:val="24"/>
        </w:rPr>
      </w:pPr>
      <w:r>
        <w:rPr>
          <w:rFonts w:hint="eastAsia" w:ascii="仿宋" w:hAnsi="仿宋" w:eastAsia="仿宋" w:cs="仿宋"/>
          <w:sz w:val="24"/>
          <w:szCs w:val="24"/>
        </w:rPr>
        <w:t>2.12 合同价款：根据合同规定，乙方在正确地履行合同义务后甲方应支付乙方的价款。</w:t>
      </w:r>
    </w:p>
    <w:p w14:paraId="1CE14E8F">
      <w:pPr>
        <w:spacing w:line="360" w:lineRule="auto"/>
        <w:ind w:firstLine="360"/>
        <w:rPr>
          <w:rFonts w:ascii="仿宋" w:hAnsi="仿宋" w:eastAsia="仿宋" w:cs="仿宋"/>
          <w:sz w:val="24"/>
          <w:szCs w:val="24"/>
        </w:rPr>
      </w:pPr>
      <w:r>
        <w:rPr>
          <w:rFonts w:hint="eastAsia" w:ascii="仿宋" w:hAnsi="仿宋" w:eastAsia="仿宋" w:cs="仿宋"/>
          <w:sz w:val="24"/>
          <w:szCs w:val="24"/>
        </w:rPr>
        <w:t>2.13 产地：货物开采、生长、生产、最终制造、加工或提供服务的来源地。</w:t>
      </w:r>
    </w:p>
    <w:p w14:paraId="4B14E15F">
      <w:pPr>
        <w:spacing w:line="360" w:lineRule="auto"/>
        <w:ind w:firstLine="360"/>
        <w:rPr>
          <w:rFonts w:ascii="仿宋" w:hAnsi="仿宋" w:eastAsia="仿宋" w:cs="仿宋"/>
          <w:sz w:val="24"/>
          <w:szCs w:val="24"/>
        </w:rPr>
      </w:pPr>
      <w:r>
        <w:rPr>
          <w:rFonts w:hint="eastAsia" w:ascii="仿宋" w:hAnsi="仿宋" w:eastAsia="仿宋" w:cs="仿宋"/>
          <w:sz w:val="24"/>
          <w:szCs w:val="24"/>
        </w:rPr>
        <w:t>2.14不可抗力：不能预见、不能避免并且不能克服的客观情况。</w:t>
      </w:r>
    </w:p>
    <w:p w14:paraId="16222DE5">
      <w:pPr>
        <w:spacing w:line="360" w:lineRule="auto"/>
        <w:ind w:firstLine="360"/>
        <w:rPr>
          <w:rFonts w:ascii="仿宋" w:hAnsi="仿宋" w:eastAsia="仿宋" w:cs="仿宋"/>
          <w:sz w:val="24"/>
          <w:szCs w:val="24"/>
        </w:rPr>
      </w:pPr>
      <w:r>
        <w:rPr>
          <w:rFonts w:hint="eastAsia" w:ascii="仿宋" w:hAnsi="仿宋" w:eastAsia="仿宋" w:cs="仿宋"/>
          <w:sz w:val="24"/>
          <w:szCs w:val="24"/>
        </w:rPr>
        <w:t>2.15 实质性响应：满足有关本次采购标的、数量、质量、价款或者报酬、履行期限、履行地点和方式、违约责任和解决争议方法等要求。</w:t>
      </w:r>
    </w:p>
    <w:p w14:paraId="37F61F26">
      <w:pPr>
        <w:spacing w:line="360" w:lineRule="auto"/>
        <w:ind w:firstLine="360"/>
        <w:rPr>
          <w:rFonts w:ascii="仿宋" w:hAnsi="仿宋" w:eastAsia="仿宋" w:cs="仿宋"/>
          <w:sz w:val="24"/>
          <w:szCs w:val="24"/>
        </w:rPr>
      </w:pPr>
      <w:r>
        <w:rPr>
          <w:rFonts w:hint="eastAsia" w:ascii="仿宋" w:hAnsi="仿宋" w:eastAsia="仿宋" w:cs="仿宋"/>
          <w:sz w:val="24"/>
          <w:szCs w:val="24"/>
        </w:rPr>
        <w:t>2.16 损失：本合同所指损失是指合同任何一方因对方不履行合同义务或履行不当而遭致的各种损害，包括直接和间接的一切损害，还包括守约一方为减轻损害或维护权利而需要支付的各种调查费用，车旅费用、律师费用等。</w:t>
      </w:r>
    </w:p>
    <w:p w14:paraId="012457EC">
      <w:pPr>
        <w:spacing w:line="360" w:lineRule="auto"/>
        <w:ind w:firstLine="360"/>
        <w:rPr>
          <w:rFonts w:ascii="仿宋" w:hAnsi="仿宋" w:eastAsia="仿宋" w:cs="仿宋"/>
          <w:sz w:val="24"/>
          <w:szCs w:val="24"/>
        </w:rPr>
      </w:pPr>
      <w:r>
        <w:rPr>
          <w:rFonts w:hint="eastAsia" w:ascii="仿宋" w:hAnsi="仿宋" w:eastAsia="仿宋" w:cs="仿宋"/>
          <w:sz w:val="24"/>
          <w:szCs w:val="24"/>
        </w:rPr>
        <w:t>2.17进口产品：指通过中国海关报关验收进入中国境内且产自境外的产品。本项目不接受进口产品投标。</w:t>
      </w:r>
    </w:p>
    <w:p w14:paraId="4EAFD66C">
      <w:pPr>
        <w:spacing w:line="360" w:lineRule="auto"/>
        <w:ind w:firstLine="360"/>
        <w:rPr>
          <w:rFonts w:ascii="仿宋" w:hAnsi="仿宋" w:eastAsia="仿宋" w:cs="仿宋"/>
          <w:sz w:val="24"/>
          <w:szCs w:val="24"/>
        </w:rPr>
      </w:pPr>
      <w:r>
        <w:rPr>
          <w:rFonts w:hint="eastAsia" w:ascii="仿宋" w:hAnsi="仿宋" w:eastAsia="仿宋" w:cs="仿宋"/>
          <w:sz w:val="24"/>
          <w:szCs w:val="24"/>
        </w:rPr>
        <w:t>2.18书面形式：指书面文字、合同书、信件和传真等可以有形地表现所载内容的形式。</w:t>
      </w:r>
    </w:p>
    <w:p w14:paraId="3B139403">
      <w:pPr>
        <w:spacing w:line="360" w:lineRule="auto"/>
        <w:rPr>
          <w:rFonts w:ascii="仿宋" w:hAnsi="仿宋" w:eastAsia="仿宋" w:cs="仿宋"/>
          <w:b/>
          <w:sz w:val="24"/>
          <w:szCs w:val="24"/>
        </w:rPr>
      </w:pPr>
      <w:r>
        <w:rPr>
          <w:rFonts w:hint="eastAsia" w:ascii="仿宋" w:hAnsi="仿宋" w:eastAsia="仿宋" w:cs="仿宋"/>
          <w:b/>
          <w:sz w:val="24"/>
          <w:szCs w:val="24"/>
        </w:rPr>
        <w:t>二、 投标人</w:t>
      </w:r>
    </w:p>
    <w:p w14:paraId="29C93A08">
      <w:pPr>
        <w:spacing w:line="360" w:lineRule="auto"/>
        <w:rPr>
          <w:rFonts w:ascii="仿宋" w:hAnsi="仿宋" w:eastAsia="仿宋" w:cs="仿宋"/>
          <w:b/>
          <w:sz w:val="24"/>
          <w:szCs w:val="24"/>
        </w:rPr>
      </w:pPr>
      <w:r>
        <w:rPr>
          <w:rFonts w:hint="eastAsia" w:ascii="仿宋" w:hAnsi="仿宋" w:eastAsia="仿宋" w:cs="仿宋"/>
          <w:b/>
          <w:sz w:val="24"/>
          <w:szCs w:val="24"/>
        </w:rPr>
        <w:t>3. 合格投标人的基本条件</w:t>
      </w:r>
    </w:p>
    <w:p w14:paraId="7041D293">
      <w:pPr>
        <w:spacing w:line="360" w:lineRule="auto"/>
        <w:ind w:firstLine="360"/>
        <w:rPr>
          <w:rFonts w:ascii="仿宋" w:hAnsi="仿宋" w:eastAsia="仿宋" w:cs="仿宋"/>
          <w:sz w:val="24"/>
          <w:szCs w:val="24"/>
        </w:rPr>
      </w:pPr>
      <w:r>
        <w:rPr>
          <w:rFonts w:hint="eastAsia" w:ascii="仿宋" w:hAnsi="仿宋" w:eastAsia="仿宋" w:cs="仿宋"/>
          <w:sz w:val="24"/>
          <w:szCs w:val="24"/>
        </w:rPr>
        <w:t>3.1符合《中华人民共和国政府采购法》第二十二条第一款之规定；</w:t>
      </w:r>
    </w:p>
    <w:p w14:paraId="2DC56AAD">
      <w:pPr>
        <w:spacing w:line="360" w:lineRule="auto"/>
        <w:ind w:firstLine="360"/>
        <w:rPr>
          <w:rFonts w:ascii="仿宋" w:hAnsi="仿宋" w:eastAsia="仿宋" w:cs="仿宋"/>
          <w:sz w:val="24"/>
          <w:szCs w:val="24"/>
        </w:rPr>
      </w:pPr>
      <w:r>
        <w:rPr>
          <w:rFonts w:hint="eastAsia" w:ascii="仿宋" w:hAnsi="仿宋" w:eastAsia="仿宋" w:cs="仿宋"/>
          <w:sz w:val="24"/>
          <w:szCs w:val="24"/>
        </w:rPr>
        <w:t>3.2满足本文件实质性条款的规定。</w:t>
      </w:r>
    </w:p>
    <w:p w14:paraId="33329966">
      <w:pPr>
        <w:spacing w:line="360" w:lineRule="auto"/>
        <w:rPr>
          <w:rFonts w:ascii="仿宋" w:hAnsi="仿宋" w:eastAsia="仿宋" w:cs="仿宋"/>
          <w:b/>
          <w:sz w:val="24"/>
          <w:szCs w:val="24"/>
        </w:rPr>
      </w:pPr>
      <w:r>
        <w:rPr>
          <w:rFonts w:hint="eastAsia" w:ascii="仿宋" w:hAnsi="仿宋" w:eastAsia="仿宋" w:cs="仿宋"/>
          <w:b/>
          <w:sz w:val="24"/>
          <w:szCs w:val="24"/>
        </w:rPr>
        <w:t>4．合格投标人的特定条件</w:t>
      </w:r>
    </w:p>
    <w:p w14:paraId="65CD7DC9">
      <w:pPr>
        <w:spacing w:line="360" w:lineRule="auto"/>
        <w:ind w:firstLine="360"/>
        <w:rPr>
          <w:rFonts w:ascii="仿宋" w:hAnsi="仿宋" w:eastAsia="仿宋" w:cs="仿宋"/>
          <w:sz w:val="24"/>
          <w:szCs w:val="24"/>
        </w:rPr>
      </w:pPr>
      <w:r>
        <w:rPr>
          <w:rFonts w:hint="eastAsia" w:ascii="仿宋" w:hAnsi="仿宋" w:eastAsia="仿宋" w:cs="仿宋"/>
          <w:sz w:val="24"/>
          <w:szCs w:val="24"/>
        </w:rPr>
        <w:t>4.1 按招标公告规定。</w:t>
      </w:r>
    </w:p>
    <w:p w14:paraId="48CB3DC6">
      <w:pPr>
        <w:spacing w:line="360" w:lineRule="auto"/>
        <w:rPr>
          <w:rFonts w:ascii="仿宋" w:hAnsi="仿宋" w:eastAsia="仿宋" w:cs="仿宋"/>
          <w:b/>
          <w:sz w:val="24"/>
          <w:szCs w:val="24"/>
        </w:rPr>
      </w:pPr>
      <w:r>
        <w:rPr>
          <w:rFonts w:hint="eastAsia" w:ascii="仿宋" w:hAnsi="仿宋" w:eastAsia="仿宋" w:cs="仿宋"/>
          <w:b/>
          <w:sz w:val="24"/>
          <w:szCs w:val="24"/>
        </w:rPr>
        <w:t>5. 投标人代表</w:t>
      </w:r>
    </w:p>
    <w:p w14:paraId="17CE117A">
      <w:pPr>
        <w:spacing w:line="360" w:lineRule="auto"/>
        <w:ind w:firstLine="360"/>
        <w:rPr>
          <w:rFonts w:ascii="仿宋" w:hAnsi="仿宋" w:eastAsia="仿宋" w:cs="仿宋"/>
          <w:sz w:val="24"/>
          <w:szCs w:val="24"/>
        </w:rPr>
      </w:pPr>
      <w:r>
        <w:rPr>
          <w:rFonts w:hint="eastAsia" w:ascii="仿宋" w:hAnsi="仿宋" w:eastAsia="仿宋" w:cs="仿宋"/>
          <w:sz w:val="24"/>
          <w:szCs w:val="24"/>
        </w:rPr>
        <w:t>5.1指全权代表投标人参加投标活动并签署投标文件的人，如果投标人代表不是法人代表，须持有《法人代表授权委托书》（详见统一格式）。</w:t>
      </w:r>
    </w:p>
    <w:p w14:paraId="4A7CC908">
      <w:pPr>
        <w:spacing w:line="360" w:lineRule="auto"/>
        <w:rPr>
          <w:rFonts w:ascii="仿宋" w:hAnsi="仿宋" w:eastAsia="仿宋" w:cs="仿宋"/>
          <w:b/>
          <w:sz w:val="24"/>
          <w:szCs w:val="24"/>
        </w:rPr>
      </w:pPr>
      <w:r>
        <w:rPr>
          <w:rFonts w:hint="eastAsia" w:ascii="仿宋" w:hAnsi="仿宋" w:eastAsia="仿宋" w:cs="仿宋"/>
          <w:b/>
          <w:sz w:val="24"/>
          <w:szCs w:val="24"/>
        </w:rPr>
        <w:t>6. 联合投标</w:t>
      </w:r>
    </w:p>
    <w:p w14:paraId="490E2156">
      <w:pPr>
        <w:spacing w:line="360" w:lineRule="auto"/>
        <w:ind w:firstLine="360"/>
        <w:rPr>
          <w:rFonts w:ascii="仿宋" w:hAnsi="仿宋" w:eastAsia="仿宋" w:cs="仿宋"/>
          <w:sz w:val="24"/>
          <w:szCs w:val="24"/>
        </w:rPr>
      </w:pPr>
      <w:r>
        <w:rPr>
          <w:rFonts w:hint="eastAsia" w:ascii="仿宋" w:hAnsi="仿宋" w:eastAsia="仿宋" w:cs="仿宋"/>
          <w:sz w:val="24"/>
          <w:szCs w:val="24"/>
        </w:rPr>
        <w:t>6.1本项目接受联合体投标，以联合体形式进行政府采购的，参加联合体的供应商均应当具备《中华人民共和国政府采购法》第二十二条规定的条件，并应当向采购人提交联合协议，载明联合体各方</w:t>
      </w:r>
      <w:r>
        <w:rPr>
          <w:rFonts w:hint="default" w:ascii="仿宋" w:hAnsi="仿宋" w:eastAsia="仿宋" w:cs="仿宋"/>
          <w:sz w:val="24"/>
          <w:szCs w:val="24"/>
          <w:lang w:val="en-US" w:eastAsia="zh-CN"/>
        </w:rPr>
        <w:t>承担的工作、相应的责任、资金所占比例</w:t>
      </w:r>
      <w:r>
        <w:rPr>
          <w:rFonts w:hint="eastAsia" w:ascii="仿宋" w:hAnsi="仿宋" w:eastAsia="仿宋" w:cs="仿宋"/>
          <w:sz w:val="24"/>
          <w:szCs w:val="24"/>
        </w:rPr>
        <w:t>。</w:t>
      </w:r>
    </w:p>
    <w:p w14:paraId="56BAD987">
      <w:pPr>
        <w:spacing w:line="360" w:lineRule="auto"/>
        <w:rPr>
          <w:rFonts w:ascii="仿宋" w:hAnsi="仿宋" w:eastAsia="仿宋" w:cs="仿宋"/>
          <w:b/>
          <w:sz w:val="24"/>
          <w:szCs w:val="24"/>
        </w:rPr>
      </w:pPr>
      <w:r>
        <w:rPr>
          <w:rFonts w:hint="eastAsia" w:ascii="仿宋" w:hAnsi="仿宋" w:eastAsia="仿宋" w:cs="仿宋"/>
          <w:b/>
          <w:sz w:val="24"/>
          <w:szCs w:val="24"/>
        </w:rPr>
        <w:t xml:space="preserve">7. 投标费用 </w:t>
      </w:r>
    </w:p>
    <w:p w14:paraId="1FF9D991">
      <w:pPr>
        <w:spacing w:line="360" w:lineRule="auto"/>
        <w:ind w:firstLine="360"/>
        <w:rPr>
          <w:rFonts w:ascii="仿宋" w:hAnsi="仿宋" w:eastAsia="仿宋" w:cs="仿宋"/>
          <w:sz w:val="24"/>
          <w:szCs w:val="24"/>
        </w:rPr>
      </w:pPr>
      <w:r>
        <w:rPr>
          <w:rFonts w:hint="eastAsia" w:ascii="仿宋" w:hAnsi="仿宋" w:eastAsia="仿宋" w:cs="仿宋"/>
          <w:sz w:val="24"/>
          <w:szCs w:val="24"/>
        </w:rPr>
        <w:t>7.1投标人应自行承担所有准备及参加投标的相关费用。不论投标结果如何，采购代理机构在任何情况下均无义务也无责任承担这些费用。</w:t>
      </w:r>
    </w:p>
    <w:p w14:paraId="7176D574">
      <w:pPr>
        <w:spacing w:line="360" w:lineRule="auto"/>
        <w:rPr>
          <w:rFonts w:ascii="仿宋" w:hAnsi="仿宋" w:eastAsia="仿宋" w:cs="仿宋"/>
          <w:b/>
          <w:sz w:val="24"/>
          <w:szCs w:val="24"/>
        </w:rPr>
      </w:pPr>
      <w:r>
        <w:rPr>
          <w:rFonts w:hint="eastAsia" w:ascii="仿宋" w:hAnsi="仿宋" w:eastAsia="仿宋" w:cs="仿宋"/>
          <w:b/>
          <w:sz w:val="24"/>
          <w:szCs w:val="24"/>
        </w:rPr>
        <w:t>三、招标文件说明</w:t>
      </w:r>
    </w:p>
    <w:p w14:paraId="2730DF58">
      <w:pPr>
        <w:spacing w:line="360" w:lineRule="auto"/>
        <w:rPr>
          <w:rFonts w:ascii="仿宋" w:hAnsi="仿宋" w:eastAsia="仿宋" w:cs="仿宋"/>
          <w:b/>
          <w:sz w:val="24"/>
          <w:szCs w:val="24"/>
        </w:rPr>
      </w:pPr>
      <w:r>
        <w:rPr>
          <w:rFonts w:hint="eastAsia" w:ascii="仿宋" w:hAnsi="仿宋" w:eastAsia="仿宋" w:cs="仿宋"/>
          <w:b/>
          <w:sz w:val="24"/>
          <w:szCs w:val="24"/>
        </w:rPr>
        <w:t>8. 招标文件</w:t>
      </w:r>
    </w:p>
    <w:p w14:paraId="177962F3">
      <w:pPr>
        <w:spacing w:line="360" w:lineRule="auto"/>
        <w:ind w:firstLine="360"/>
        <w:rPr>
          <w:rFonts w:ascii="仿宋" w:hAnsi="仿宋" w:eastAsia="仿宋" w:cs="仿宋"/>
          <w:sz w:val="24"/>
          <w:szCs w:val="24"/>
        </w:rPr>
      </w:pPr>
      <w:r>
        <w:rPr>
          <w:rFonts w:hint="eastAsia" w:ascii="仿宋" w:hAnsi="仿宋" w:eastAsia="仿宋" w:cs="仿宋"/>
          <w:sz w:val="24"/>
          <w:szCs w:val="24"/>
        </w:rPr>
        <w:t>8.1招标文件由招标文件目录所列内容组成，投标人获得招标文件后，应仔细检查招标文件的所有内容，如有缺漏，请立即与采购代理机构联系解决，否则由此产生的影响由投标人自己承担。投标人同时应认真审阅招标文件中所有的事项、格式、条款和规范要求等，若投标人的投标文件没有按招标文件要求提交全部资料，或投标文件没有对招标文件做出实质性响应，其风险由投标人自行承担，并根据有关条款规定，该投标有可能被拒绝。</w:t>
      </w:r>
    </w:p>
    <w:p w14:paraId="3C0171A3">
      <w:pPr>
        <w:spacing w:line="360" w:lineRule="auto"/>
        <w:ind w:firstLine="360"/>
        <w:rPr>
          <w:rFonts w:ascii="仿宋" w:hAnsi="仿宋" w:eastAsia="仿宋" w:cs="仿宋"/>
          <w:sz w:val="24"/>
          <w:szCs w:val="24"/>
        </w:rPr>
      </w:pPr>
      <w:r>
        <w:rPr>
          <w:rFonts w:hint="eastAsia" w:ascii="仿宋" w:hAnsi="仿宋" w:eastAsia="仿宋" w:cs="仿宋"/>
          <w:sz w:val="24"/>
          <w:szCs w:val="24"/>
        </w:rPr>
        <w:t>8.2招标文件及其更正文件不是直接从采购代理机构或指定媒体获得的，采购代理机构对招标文件及其补遗的真实性、完整性不承担任何责任。</w:t>
      </w:r>
    </w:p>
    <w:p w14:paraId="155614F0">
      <w:pPr>
        <w:spacing w:line="360" w:lineRule="auto"/>
        <w:rPr>
          <w:rFonts w:ascii="仿宋" w:hAnsi="仿宋" w:eastAsia="仿宋" w:cs="仿宋"/>
          <w:b/>
          <w:sz w:val="24"/>
          <w:szCs w:val="24"/>
        </w:rPr>
      </w:pPr>
      <w:r>
        <w:rPr>
          <w:rFonts w:hint="eastAsia" w:ascii="仿宋" w:hAnsi="仿宋" w:eastAsia="仿宋" w:cs="仿宋"/>
          <w:b/>
          <w:sz w:val="24"/>
          <w:szCs w:val="24"/>
        </w:rPr>
        <w:t>9. 招标文件的澄清</w:t>
      </w:r>
    </w:p>
    <w:p w14:paraId="0AE2258B">
      <w:pPr>
        <w:spacing w:line="360" w:lineRule="auto"/>
        <w:ind w:firstLine="360"/>
        <w:rPr>
          <w:rFonts w:ascii="仿宋" w:hAnsi="仿宋" w:eastAsia="仿宋" w:cs="仿宋"/>
          <w:sz w:val="24"/>
          <w:szCs w:val="24"/>
        </w:rPr>
      </w:pPr>
      <w:r>
        <w:rPr>
          <w:rFonts w:hint="eastAsia" w:ascii="仿宋" w:hAnsi="仿宋" w:eastAsia="仿宋" w:cs="仿宋"/>
          <w:sz w:val="24"/>
          <w:szCs w:val="24"/>
        </w:rPr>
        <w:t>9.1投标人在获取招标文件后，若有疑问，应于网上投标截止时间之前，向采购代理机构提出，采购代理机构将予以解答。</w:t>
      </w:r>
    </w:p>
    <w:p w14:paraId="7C23DDB0">
      <w:pPr>
        <w:spacing w:line="360" w:lineRule="auto"/>
        <w:ind w:firstLine="360"/>
        <w:rPr>
          <w:rFonts w:ascii="仿宋" w:hAnsi="仿宋" w:eastAsia="仿宋" w:cs="仿宋"/>
          <w:sz w:val="24"/>
          <w:szCs w:val="24"/>
        </w:rPr>
      </w:pPr>
      <w:r>
        <w:rPr>
          <w:rFonts w:hint="eastAsia" w:ascii="仿宋" w:hAnsi="仿宋" w:eastAsia="仿宋" w:cs="仿宋"/>
          <w:sz w:val="24"/>
          <w:szCs w:val="24"/>
        </w:rPr>
        <w:t>9.2如有必要，问题答复将以“变更公告”形式由采购代理机构按照本须知第10条的规定发出。</w:t>
      </w:r>
    </w:p>
    <w:p w14:paraId="27F102BA">
      <w:pPr>
        <w:spacing w:line="360" w:lineRule="auto"/>
        <w:rPr>
          <w:rFonts w:ascii="仿宋" w:hAnsi="仿宋" w:eastAsia="仿宋" w:cs="仿宋"/>
          <w:sz w:val="24"/>
          <w:szCs w:val="24"/>
        </w:rPr>
      </w:pPr>
      <w:r>
        <w:rPr>
          <w:rFonts w:hint="eastAsia" w:ascii="仿宋" w:hAnsi="仿宋" w:eastAsia="仿宋" w:cs="仿宋"/>
          <w:b/>
          <w:sz w:val="24"/>
          <w:szCs w:val="24"/>
        </w:rPr>
        <w:t>10.招标文件的修改</w:t>
      </w:r>
    </w:p>
    <w:p w14:paraId="4BD2A2F9">
      <w:pPr>
        <w:spacing w:line="360" w:lineRule="auto"/>
        <w:ind w:firstLine="360"/>
        <w:rPr>
          <w:rFonts w:ascii="仿宋" w:hAnsi="仿宋" w:eastAsia="仿宋" w:cs="仿宋"/>
          <w:sz w:val="24"/>
          <w:szCs w:val="24"/>
        </w:rPr>
      </w:pPr>
      <w:r>
        <w:rPr>
          <w:rFonts w:hint="eastAsia" w:ascii="仿宋" w:hAnsi="仿宋" w:eastAsia="仿宋" w:cs="仿宋"/>
          <w:sz w:val="24"/>
          <w:szCs w:val="24"/>
        </w:rPr>
        <w:t>10.1采购人无论出于自己的考虑，还是出于对投标人提问的澄清，均可对已发出的招标文件用</w:t>
      </w:r>
      <w:r>
        <w:rPr>
          <w:rFonts w:hint="eastAsia" w:ascii="仿宋" w:hAnsi="仿宋" w:eastAsia="仿宋" w:cs="仿宋"/>
          <w:sz w:val="24"/>
          <w:szCs w:val="24"/>
          <w:lang w:val="zh-CN"/>
        </w:rPr>
        <w:t>补充文件的方式</w:t>
      </w:r>
      <w:r>
        <w:rPr>
          <w:rFonts w:hint="eastAsia" w:ascii="仿宋" w:hAnsi="仿宋" w:eastAsia="仿宋" w:cs="仿宋"/>
          <w:sz w:val="24"/>
          <w:szCs w:val="24"/>
        </w:rPr>
        <w:t>进行必要澄清或者修改。</w:t>
      </w:r>
    </w:p>
    <w:p w14:paraId="665B4ADA">
      <w:pPr>
        <w:spacing w:line="360" w:lineRule="auto"/>
        <w:ind w:firstLine="360"/>
        <w:rPr>
          <w:rFonts w:ascii="仿宋" w:hAnsi="仿宋" w:eastAsia="仿宋" w:cs="仿宋"/>
          <w:sz w:val="24"/>
          <w:szCs w:val="24"/>
        </w:rPr>
      </w:pPr>
      <w:r>
        <w:rPr>
          <w:rFonts w:hint="eastAsia" w:ascii="仿宋" w:hAnsi="仿宋" w:eastAsia="仿宋" w:cs="仿宋"/>
          <w:sz w:val="24"/>
          <w:szCs w:val="24"/>
        </w:rPr>
        <w:t>10.2为使投标人有足够的时间按招标文件的修改要求考虑修正投标文件，或出于其他原因，采购人有权推迟投标截止日期和开标日期，并将此变更以补充通知的形式在网上发布公告。</w:t>
      </w:r>
    </w:p>
    <w:p w14:paraId="60D12180">
      <w:pPr>
        <w:spacing w:line="360" w:lineRule="auto"/>
        <w:ind w:firstLine="360"/>
        <w:rPr>
          <w:rFonts w:ascii="仿宋" w:hAnsi="仿宋" w:eastAsia="仿宋" w:cs="仿宋"/>
          <w:sz w:val="24"/>
          <w:szCs w:val="24"/>
        </w:rPr>
      </w:pPr>
      <w:r>
        <w:rPr>
          <w:rFonts w:hint="eastAsia" w:ascii="仿宋" w:hAnsi="仿宋" w:eastAsia="仿宋" w:cs="仿宋"/>
          <w:sz w:val="24"/>
          <w:szCs w:val="24"/>
        </w:rPr>
        <w:t>10.3招标文件的更正（含澄清、修改等）内容与原招标文件在同一内容上表述不一致时，以发出日期最接近开标时间的公告为准。</w:t>
      </w:r>
    </w:p>
    <w:p w14:paraId="18B27CB8">
      <w:pPr>
        <w:spacing w:line="360" w:lineRule="auto"/>
        <w:ind w:firstLine="360"/>
        <w:rPr>
          <w:rFonts w:ascii="仿宋" w:hAnsi="仿宋" w:eastAsia="仿宋" w:cs="仿宋"/>
          <w:sz w:val="24"/>
          <w:szCs w:val="24"/>
        </w:rPr>
      </w:pPr>
      <w:r>
        <w:rPr>
          <w:rFonts w:hint="eastAsia" w:ascii="仿宋" w:hAnsi="仿宋" w:eastAsia="仿宋" w:cs="仿宋"/>
          <w:sz w:val="24"/>
          <w:szCs w:val="24"/>
        </w:rPr>
        <w:t>10.4招标文件的更正（含澄清、修改等）内容将在财政部门指定的政府采购信息发布媒体上（苏州市政府采购网、江苏省政府采购网、苏州市公共资源交易平台）发布，请投标人及时查询，更正（含澄清、修改等）内容作为招标文件的组成部分，对投标人起约束作用。</w:t>
      </w:r>
    </w:p>
    <w:p w14:paraId="599C8AAA">
      <w:pPr>
        <w:spacing w:line="360" w:lineRule="auto"/>
        <w:ind w:firstLine="361"/>
        <w:rPr>
          <w:rFonts w:ascii="仿宋" w:hAnsi="仿宋" w:eastAsia="仿宋" w:cs="仿宋"/>
          <w:b/>
          <w:sz w:val="24"/>
          <w:szCs w:val="24"/>
        </w:rPr>
      </w:pPr>
      <w:r>
        <w:rPr>
          <w:rFonts w:hint="eastAsia" w:ascii="仿宋" w:hAnsi="仿宋" w:eastAsia="仿宋" w:cs="仿宋"/>
          <w:b/>
          <w:sz w:val="24"/>
          <w:szCs w:val="24"/>
        </w:rPr>
        <w:t>10.5招标文件若有最新的答疑文件，投标供应商必须下载并使用该文件制作新的电子投标文件，否则将无法完成电子投标文件的上传及投标。</w:t>
      </w:r>
    </w:p>
    <w:p w14:paraId="68CB0959">
      <w:pPr>
        <w:spacing w:line="360" w:lineRule="auto"/>
        <w:rPr>
          <w:rFonts w:ascii="仿宋" w:hAnsi="仿宋" w:eastAsia="仿宋" w:cs="仿宋"/>
          <w:b/>
          <w:sz w:val="24"/>
          <w:szCs w:val="24"/>
        </w:rPr>
      </w:pPr>
      <w:r>
        <w:rPr>
          <w:rFonts w:hint="eastAsia" w:ascii="仿宋" w:hAnsi="仿宋" w:eastAsia="仿宋" w:cs="仿宋"/>
          <w:b/>
          <w:sz w:val="24"/>
          <w:szCs w:val="24"/>
        </w:rPr>
        <w:t>11.质疑</w:t>
      </w:r>
    </w:p>
    <w:p w14:paraId="04F28EF5">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11.1 供应商认为采购文件使自己的权益受到损害的，可以在知道或者应知其权益受到损害之日起七个工作日内，以书面形式向采购人提出质疑。采购人应当在收到供应商书面质疑函后七个工作日内作出答复。</w:t>
      </w:r>
    </w:p>
    <w:p w14:paraId="3FC8E597">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11.2 提出质疑的供应商应当是参与所质疑项目采购活动的供应商，未参加投标活动的供应商或在投标活动中自身权益未受到损害的供应商所提出的质疑不予受理。</w:t>
      </w:r>
    </w:p>
    <w:p w14:paraId="4E88A760">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11.3上述应知其权益受到损害之日是指：</w:t>
      </w:r>
    </w:p>
    <w:p w14:paraId="462A0707">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11.3.1对采购文件提出质疑的，为获取采购文件或者采购文件公告期限届满之日起计算；</w:t>
      </w:r>
    </w:p>
    <w:p w14:paraId="232792E3">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11.3.2对采购过程提出质疑的，自采购程序环节结束之日起计算；</w:t>
      </w:r>
    </w:p>
    <w:p w14:paraId="06A36006">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11.3.3对中标结果提出质疑的，自中标结果公告期限届满之日起计算。</w:t>
      </w:r>
    </w:p>
    <w:p w14:paraId="07737284">
      <w:pPr>
        <w:tabs>
          <w:tab w:val="left" w:pos="851"/>
        </w:tabs>
        <w:spacing w:line="360" w:lineRule="auto"/>
        <w:ind w:firstLine="360"/>
        <w:rPr>
          <w:rFonts w:ascii="仿宋" w:hAnsi="仿宋" w:eastAsia="仿宋" w:cs="仿宋"/>
          <w:sz w:val="24"/>
          <w:szCs w:val="24"/>
        </w:rPr>
      </w:pPr>
      <w:r>
        <w:rPr>
          <w:rFonts w:hint="eastAsia" w:ascii="仿宋" w:hAnsi="仿宋" w:eastAsia="仿宋" w:cs="仿宋"/>
          <w:sz w:val="24"/>
          <w:szCs w:val="24"/>
        </w:rPr>
        <w:t>11.4 供应商提出质疑应当提交质疑函和必要的证明材料。质疑函应当包括下列内容：</w:t>
      </w:r>
    </w:p>
    <w:p w14:paraId="38C7CDA2">
      <w:pPr>
        <w:spacing w:line="360" w:lineRule="auto"/>
        <w:ind w:firstLine="360"/>
        <w:rPr>
          <w:rFonts w:ascii="仿宋" w:hAnsi="仿宋" w:eastAsia="仿宋" w:cs="仿宋"/>
          <w:sz w:val="24"/>
          <w:szCs w:val="24"/>
        </w:rPr>
      </w:pPr>
      <w:r>
        <w:rPr>
          <w:rFonts w:hint="eastAsia" w:ascii="仿宋" w:hAnsi="仿宋" w:eastAsia="仿宋" w:cs="仿宋"/>
          <w:sz w:val="24"/>
          <w:szCs w:val="24"/>
        </w:rPr>
        <w:t>11.4.1 供应商的姓名或者名称、地址、邮编、联系人及联系电话；</w:t>
      </w:r>
    </w:p>
    <w:p w14:paraId="4FC3C912">
      <w:pPr>
        <w:spacing w:line="360" w:lineRule="auto"/>
        <w:ind w:firstLine="360"/>
        <w:rPr>
          <w:rFonts w:ascii="仿宋" w:hAnsi="仿宋" w:eastAsia="仿宋" w:cs="仿宋"/>
          <w:sz w:val="24"/>
          <w:szCs w:val="24"/>
        </w:rPr>
      </w:pPr>
      <w:r>
        <w:rPr>
          <w:rFonts w:hint="eastAsia" w:ascii="仿宋" w:hAnsi="仿宋" w:eastAsia="仿宋" w:cs="仿宋"/>
          <w:sz w:val="24"/>
          <w:szCs w:val="24"/>
        </w:rPr>
        <w:t>11.4.2 质疑项目的名称、编号；</w:t>
      </w:r>
    </w:p>
    <w:p w14:paraId="79569B8D">
      <w:pPr>
        <w:spacing w:line="360" w:lineRule="auto"/>
        <w:ind w:firstLine="360"/>
        <w:rPr>
          <w:rFonts w:ascii="仿宋" w:hAnsi="仿宋" w:eastAsia="仿宋" w:cs="仿宋"/>
          <w:sz w:val="24"/>
          <w:szCs w:val="24"/>
        </w:rPr>
      </w:pPr>
      <w:r>
        <w:rPr>
          <w:rFonts w:hint="eastAsia" w:ascii="仿宋" w:hAnsi="仿宋" w:eastAsia="仿宋" w:cs="仿宋"/>
          <w:sz w:val="24"/>
          <w:szCs w:val="24"/>
        </w:rPr>
        <w:t>11.4.3 具体、明确的质疑事项和与质疑事项相关的请求；</w:t>
      </w:r>
    </w:p>
    <w:p w14:paraId="21CA7455">
      <w:pPr>
        <w:spacing w:line="360" w:lineRule="auto"/>
        <w:ind w:firstLine="360"/>
        <w:rPr>
          <w:rFonts w:ascii="仿宋" w:hAnsi="仿宋" w:eastAsia="仿宋" w:cs="仿宋"/>
          <w:sz w:val="24"/>
          <w:szCs w:val="24"/>
        </w:rPr>
      </w:pPr>
      <w:r>
        <w:rPr>
          <w:rFonts w:hint="eastAsia" w:ascii="仿宋" w:hAnsi="仿宋" w:eastAsia="仿宋" w:cs="仿宋"/>
          <w:sz w:val="24"/>
          <w:szCs w:val="24"/>
        </w:rPr>
        <w:t>11.4.4 事实依据；</w:t>
      </w:r>
    </w:p>
    <w:p w14:paraId="03C29CF4">
      <w:pPr>
        <w:spacing w:line="360" w:lineRule="auto"/>
        <w:ind w:firstLine="360"/>
        <w:rPr>
          <w:rFonts w:ascii="仿宋" w:hAnsi="仿宋" w:eastAsia="仿宋" w:cs="仿宋"/>
          <w:sz w:val="24"/>
          <w:szCs w:val="24"/>
        </w:rPr>
      </w:pPr>
      <w:r>
        <w:rPr>
          <w:rFonts w:hint="eastAsia" w:ascii="仿宋" w:hAnsi="仿宋" w:eastAsia="仿宋" w:cs="仿宋"/>
          <w:sz w:val="24"/>
          <w:szCs w:val="24"/>
        </w:rPr>
        <w:t>11.4.5 必要的法律依据；</w:t>
      </w:r>
    </w:p>
    <w:p w14:paraId="0C0A4146">
      <w:pPr>
        <w:spacing w:line="360" w:lineRule="auto"/>
        <w:ind w:firstLine="360"/>
        <w:rPr>
          <w:rFonts w:ascii="仿宋" w:hAnsi="仿宋" w:eastAsia="仿宋" w:cs="仿宋"/>
          <w:sz w:val="24"/>
          <w:szCs w:val="24"/>
        </w:rPr>
      </w:pPr>
      <w:r>
        <w:rPr>
          <w:rFonts w:hint="eastAsia" w:ascii="仿宋" w:hAnsi="仿宋" w:eastAsia="仿宋" w:cs="仿宋"/>
          <w:sz w:val="24"/>
          <w:szCs w:val="24"/>
        </w:rPr>
        <w:t>11.4.6 提出质疑的日期。</w:t>
      </w:r>
    </w:p>
    <w:p w14:paraId="59232E55">
      <w:pPr>
        <w:spacing w:line="360" w:lineRule="auto"/>
        <w:ind w:firstLine="360"/>
        <w:rPr>
          <w:rFonts w:ascii="仿宋" w:hAnsi="仿宋" w:eastAsia="仿宋" w:cs="仿宋"/>
          <w:sz w:val="24"/>
          <w:szCs w:val="24"/>
        </w:rPr>
      </w:pPr>
      <w:r>
        <w:rPr>
          <w:rFonts w:hint="eastAsia" w:ascii="仿宋" w:hAnsi="仿宋" w:eastAsia="仿宋" w:cs="仿宋"/>
          <w:sz w:val="24"/>
          <w:szCs w:val="24"/>
        </w:rPr>
        <w:t>11.5质疑函的格式和内容应当符合财政部《政府采购供应商质疑函范本》</w:t>
      </w:r>
      <w:bookmarkStart w:id="13" w:name="baidusnap5"/>
      <w:bookmarkEnd w:id="13"/>
      <w:r>
        <w:rPr>
          <w:rFonts w:hint="eastAsia" w:ascii="仿宋" w:hAnsi="仿宋" w:eastAsia="仿宋" w:cs="仿宋"/>
          <w:sz w:val="24"/>
          <w:szCs w:val="24"/>
        </w:rPr>
        <w:t>要求，质疑函范本在财政部官网上提供下载。</w:t>
      </w:r>
    </w:p>
    <w:p w14:paraId="092D2830">
      <w:pPr>
        <w:spacing w:line="360" w:lineRule="auto"/>
        <w:ind w:firstLine="360"/>
        <w:rPr>
          <w:rFonts w:ascii="仿宋" w:hAnsi="仿宋" w:eastAsia="仿宋" w:cs="仿宋"/>
          <w:sz w:val="24"/>
          <w:szCs w:val="24"/>
        </w:rPr>
      </w:pPr>
      <w:r>
        <w:rPr>
          <w:rFonts w:hint="eastAsia" w:ascii="仿宋" w:hAnsi="仿宋" w:eastAsia="仿宋" w:cs="仿宋"/>
          <w:sz w:val="24"/>
          <w:szCs w:val="24"/>
        </w:rPr>
        <w:t>11.6 提交质疑函同时应当附如下证明材料：</w:t>
      </w:r>
    </w:p>
    <w:p w14:paraId="39AB1F4A">
      <w:pPr>
        <w:spacing w:line="360" w:lineRule="auto"/>
        <w:ind w:firstLine="360"/>
        <w:rPr>
          <w:rFonts w:ascii="仿宋" w:hAnsi="仿宋" w:eastAsia="仿宋" w:cs="仿宋"/>
          <w:sz w:val="24"/>
          <w:szCs w:val="24"/>
        </w:rPr>
      </w:pPr>
      <w:r>
        <w:rPr>
          <w:rFonts w:hint="eastAsia" w:ascii="仿宋" w:hAnsi="仿宋" w:eastAsia="仿宋" w:cs="仿宋"/>
          <w:sz w:val="24"/>
          <w:szCs w:val="24"/>
        </w:rPr>
        <w:t>11.6.1对采购文件提出质疑的供应商提供参加本项目的“交易文件下载确认单”；</w:t>
      </w:r>
    </w:p>
    <w:p w14:paraId="15375115">
      <w:pPr>
        <w:spacing w:line="360" w:lineRule="auto"/>
        <w:ind w:firstLine="360"/>
        <w:rPr>
          <w:rFonts w:ascii="仿宋" w:hAnsi="仿宋" w:eastAsia="仿宋" w:cs="仿宋"/>
          <w:sz w:val="24"/>
          <w:szCs w:val="24"/>
        </w:rPr>
      </w:pPr>
      <w:r>
        <w:rPr>
          <w:rFonts w:hint="eastAsia" w:ascii="仿宋" w:hAnsi="仿宋" w:eastAsia="仿宋" w:cs="仿宋"/>
          <w:sz w:val="24"/>
          <w:szCs w:val="24"/>
        </w:rPr>
        <w:t>11.6.2质疑供应商的营业执照扫描件加盖单位公章；</w:t>
      </w:r>
    </w:p>
    <w:p w14:paraId="05C3EB66">
      <w:pPr>
        <w:spacing w:line="360" w:lineRule="auto"/>
        <w:ind w:firstLine="360"/>
        <w:rPr>
          <w:rFonts w:hint="default" w:ascii="仿宋" w:hAnsi="仿宋" w:eastAsia="仿宋" w:cs="仿宋"/>
          <w:sz w:val="24"/>
          <w:szCs w:val="24"/>
          <w:lang w:val="en-US" w:eastAsia="zh-CN"/>
        </w:rPr>
      </w:pPr>
      <w:r>
        <w:rPr>
          <w:rFonts w:hint="eastAsia" w:ascii="仿宋" w:hAnsi="仿宋" w:eastAsia="仿宋" w:cs="仿宋"/>
          <w:sz w:val="24"/>
          <w:szCs w:val="24"/>
        </w:rPr>
        <w:t>11.6.3质疑供应商</w:t>
      </w:r>
      <w:r>
        <w:rPr>
          <w:rFonts w:hint="eastAsia" w:ascii="仿宋" w:hAnsi="仿宋" w:eastAsia="仿宋" w:cs="仿宋"/>
          <w:sz w:val="24"/>
          <w:szCs w:val="24"/>
          <w:lang w:val="en-US" w:eastAsia="zh-CN"/>
        </w:rPr>
        <w:t>满足本项目特定资格条件要求的证明材料扫描件加盖单位公章；</w:t>
      </w:r>
    </w:p>
    <w:p w14:paraId="371DE41F">
      <w:pPr>
        <w:spacing w:line="360" w:lineRule="auto"/>
        <w:ind w:firstLine="360"/>
        <w:rPr>
          <w:rFonts w:ascii="仿宋" w:hAnsi="仿宋" w:eastAsia="仿宋" w:cs="仿宋"/>
          <w:sz w:val="24"/>
          <w:szCs w:val="24"/>
        </w:rPr>
      </w:pPr>
      <w:r>
        <w:rPr>
          <w:rFonts w:hint="eastAsia" w:ascii="仿宋" w:hAnsi="仿宋" w:eastAsia="仿宋" w:cs="仿宋"/>
          <w:sz w:val="24"/>
          <w:szCs w:val="24"/>
          <w:lang w:val="en-US" w:eastAsia="zh-CN"/>
        </w:rPr>
        <w:t>11.6.4</w:t>
      </w:r>
      <w:r>
        <w:rPr>
          <w:rFonts w:hint="eastAsia" w:ascii="仿宋" w:hAnsi="仿宋" w:eastAsia="仿宋" w:cs="仿宋"/>
          <w:sz w:val="24"/>
          <w:szCs w:val="24"/>
        </w:rPr>
        <w:t>质疑供应商法定代表人身份证扫描件加盖单位公章；</w:t>
      </w:r>
    </w:p>
    <w:p w14:paraId="30D74E9F">
      <w:pPr>
        <w:spacing w:line="360" w:lineRule="auto"/>
        <w:ind w:firstLine="360"/>
        <w:rPr>
          <w:rFonts w:ascii="仿宋" w:hAnsi="仿宋" w:eastAsia="仿宋" w:cs="仿宋"/>
          <w:sz w:val="24"/>
          <w:szCs w:val="24"/>
        </w:rPr>
      </w:pPr>
      <w:r>
        <w:rPr>
          <w:rFonts w:hint="eastAsia" w:ascii="仿宋" w:hAnsi="仿宋" w:eastAsia="仿宋" w:cs="仿宋"/>
          <w:sz w:val="24"/>
          <w:szCs w:val="24"/>
        </w:rPr>
        <w:t>11.6.</w:t>
      </w:r>
      <w:r>
        <w:rPr>
          <w:rFonts w:hint="eastAsia" w:ascii="仿宋" w:hAnsi="仿宋" w:eastAsia="仿宋" w:cs="仿宋"/>
          <w:sz w:val="24"/>
          <w:szCs w:val="24"/>
          <w:lang w:val="en-US" w:eastAsia="zh-CN"/>
        </w:rPr>
        <w:t>5</w:t>
      </w:r>
      <w:r>
        <w:rPr>
          <w:rFonts w:hint="eastAsia" w:ascii="仿宋" w:hAnsi="仿宋" w:eastAsia="仿宋" w:cs="仿宋"/>
          <w:sz w:val="24"/>
          <w:szCs w:val="24"/>
        </w:rPr>
        <w:t>质疑供应商若委托代理人进行质疑的，提供法人授权委托书及代理人身份证扫描件加盖单位公章，授权委托书应载明代理人的姓名或者名称、代理事项、具体权限、期限和相关事项。</w:t>
      </w:r>
    </w:p>
    <w:p w14:paraId="67669B8D">
      <w:pPr>
        <w:spacing w:line="360" w:lineRule="auto"/>
        <w:ind w:firstLine="360"/>
        <w:rPr>
          <w:rFonts w:ascii="仿宋" w:hAnsi="仿宋" w:eastAsia="仿宋" w:cs="仿宋"/>
          <w:sz w:val="24"/>
          <w:szCs w:val="24"/>
        </w:rPr>
      </w:pPr>
      <w:r>
        <w:rPr>
          <w:rFonts w:hint="eastAsia" w:ascii="仿宋" w:hAnsi="仿宋" w:eastAsia="仿宋" w:cs="仿宋"/>
          <w:sz w:val="24"/>
          <w:szCs w:val="24"/>
        </w:rPr>
        <w:t xml:space="preserve">11.7 供应商为自然人的，应当由本人签字；供应商为法人或者其他组织的，应当由法定代表人、主要负责人，或者其授权代表签字或者盖章，并加盖公章。 </w:t>
      </w:r>
    </w:p>
    <w:p w14:paraId="499923AD">
      <w:pPr>
        <w:spacing w:line="360" w:lineRule="auto"/>
        <w:ind w:firstLine="360"/>
        <w:rPr>
          <w:rFonts w:ascii="仿宋" w:hAnsi="仿宋" w:eastAsia="仿宋" w:cs="仿宋"/>
          <w:sz w:val="24"/>
          <w:szCs w:val="24"/>
        </w:rPr>
      </w:pPr>
      <w:r>
        <w:rPr>
          <w:rFonts w:hint="eastAsia" w:ascii="仿宋" w:hAnsi="仿宋" w:eastAsia="仿宋" w:cs="仿宋"/>
          <w:sz w:val="24"/>
          <w:szCs w:val="24"/>
        </w:rPr>
        <w:t>11.8供应商对招标项目技术、商务及其他要求，以及评审细则、标准提出询问或质疑的，应向采购人提出；供应商对采购过程及中标结果提出询问或质疑的，应向采购代理机构提出；</w:t>
      </w:r>
    </w:p>
    <w:p w14:paraId="186C9D17">
      <w:pPr>
        <w:spacing w:line="360" w:lineRule="auto"/>
        <w:ind w:firstLine="360"/>
        <w:rPr>
          <w:rFonts w:ascii="仿宋" w:hAnsi="仿宋" w:eastAsia="仿宋" w:cs="仿宋"/>
          <w:sz w:val="24"/>
          <w:szCs w:val="24"/>
        </w:rPr>
      </w:pPr>
      <w:r>
        <w:rPr>
          <w:rFonts w:hint="eastAsia" w:ascii="仿宋" w:hAnsi="仿宋" w:eastAsia="仿宋" w:cs="仿宋"/>
          <w:sz w:val="24"/>
          <w:szCs w:val="24"/>
        </w:rPr>
        <w:t>11.9 供应商如对本项目提出质疑须在法定质疑期内一次性提出针对同一采购程序环节的质疑。</w:t>
      </w:r>
    </w:p>
    <w:p w14:paraId="35C7EF50">
      <w:pPr>
        <w:spacing w:line="360" w:lineRule="auto"/>
        <w:ind w:firstLine="360"/>
        <w:rPr>
          <w:rFonts w:ascii="仿宋" w:hAnsi="仿宋" w:eastAsia="仿宋" w:cs="仿宋"/>
          <w:sz w:val="24"/>
          <w:szCs w:val="24"/>
        </w:rPr>
      </w:pPr>
      <w:r>
        <w:rPr>
          <w:rFonts w:hint="eastAsia" w:ascii="仿宋" w:hAnsi="仿宋" w:eastAsia="仿宋" w:cs="仿宋"/>
          <w:sz w:val="24"/>
          <w:szCs w:val="24"/>
        </w:rPr>
        <w:t>11.10接受质疑函联系方式见采购公告联系事项。</w:t>
      </w:r>
    </w:p>
    <w:p w14:paraId="62880FB7">
      <w:pPr>
        <w:spacing w:line="360" w:lineRule="auto"/>
        <w:rPr>
          <w:rFonts w:ascii="仿宋" w:hAnsi="仿宋" w:eastAsia="仿宋" w:cs="仿宋"/>
          <w:b/>
          <w:sz w:val="24"/>
          <w:szCs w:val="24"/>
        </w:rPr>
      </w:pPr>
      <w:r>
        <w:rPr>
          <w:rFonts w:hint="eastAsia" w:ascii="仿宋" w:hAnsi="仿宋" w:eastAsia="仿宋" w:cs="仿宋"/>
          <w:b/>
          <w:sz w:val="24"/>
          <w:szCs w:val="24"/>
        </w:rPr>
        <w:t>四、 投标文件说明</w:t>
      </w:r>
    </w:p>
    <w:p w14:paraId="670E71C7">
      <w:pPr>
        <w:spacing w:line="360" w:lineRule="auto"/>
        <w:rPr>
          <w:rFonts w:ascii="仿宋" w:hAnsi="仿宋" w:eastAsia="仿宋" w:cs="仿宋"/>
          <w:b/>
          <w:sz w:val="24"/>
          <w:szCs w:val="24"/>
        </w:rPr>
      </w:pPr>
      <w:r>
        <w:rPr>
          <w:rFonts w:hint="eastAsia" w:ascii="仿宋" w:hAnsi="仿宋" w:eastAsia="仿宋" w:cs="仿宋"/>
          <w:b/>
          <w:sz w:val="24"/>
          <w:szCs w:val="24"/>
        </w:rPr>
        <w:t>12.提示与要求</w:t>
      </w:r>
    </w:p>
    <w:p w14:paraId="316BBFD6">
      <w:pPr>
        <w:spacing w:line="360" w:lineRule="auto"/>
        <w:ind w:firstLine="360"/>
        <w:rPr>
          <w:rFonts w:ascii="仿宋" w:hAnsi="仿宋" w:eastAsia="仿宋" w:cs="仿宋"/>
          <w:sz w:val="24"/>
          <w:szCs w:val="24"/>
        </w:rPr>
      </w:pPr>
      <w:r>
        <w:rPr>
          <w:rFonts w:hint="eastAsia" w:ascii="仿宋" w:hAnsi="仿宋" w:eastAsia="仿宋" w:cs="仿宋"/>
          <w:sz w:val="24"/>
          <w:szCs w:val="24"/>
        </w:rPr>
        <w:t>12.1投标人应仔细阅读招标文件的所有内容，按招标文件的要求提供投标文件，并保证所提供的全部资料的真实性，以使其投标对招标文件做出实质性响应，否则，其投标可能被拒绝。</w:t>
      </w:r>
    </w:p>
    <w:p w14:paraId="3588870B">
      <w:pPr>
        <w:spacing w:line="360" w:lineRule="auto"/>
        <w:ind w:firstLine="360"/>
        <w:rPr>
          <w:rFonts w:ascii="仿宋" w:hAnsi="仿宋" w:eastAsia="仿宋" w:cs="仿宋"/>
          <w:sz w:val="24"/>
          <w:szCs w:val="24"/>
        </w:rPr>
      </w:pPr>
      <w:r>
        <w:rPr>
          <w:rFonts w:hint="eastAsia" w:ascii="仿宋" w:hAnsi="仿宋" w:eastAsia="仿宋" w:cs="仿宋"/>
          <w:sz w:val="24"/>
          <w:szCs w:val="24"/>
        </w:rPr>
        <w:t>12.2无论是否递交投标文件，投标人都应将招标文件及以后的所有通知、文件等视为保密文件。</w:t>
      </w:r>
    </w:p>
    <w:p w14:paraId="1F25FB3C">
      <w:pPr>
        <w:spacing w:line="360" w:lineRule="auto"/>
        <w:rPr>
          <w:rFonts w:ascii="仿宋" w:hAnsi="仿宋" w:eastAsia="仿宋" w:cs="仿宋"/>
          <w:b/>
          <w:sz w:val="24"/>
          <w:szCs w:val="24"/>
        </w:rPr>
      </w:pPr>
      <w:r>
        <w:rPr>
          <w:rFonts w:hint="eastAsia" w:ascii="仿宋" w:hAnsi="仿宋" w:eastAsia="仿宋" w:cs="仿宋"/>
          <w:b/>
          <w:sz w:val="24"/>
          <w:szCs w:val="24"/>
        </w:rPr>
        <w:t>13. 投标文件计量单位和使用文字</w:t>
      </w:r>
    </w:p>
    <w:p w14:paraId="1FDE693E">
      <w:pPr>
        <w:spacing w:line="360" w:lineRule="auto"/>
        <w:ind w:firstLine="360"/>
        <w:rPr>
          <w:rFonts w:ascii="仿宋" w:hAnsi="仿宋" w:eastAsia="仿宋" w:cs="仿宋"/>
          <w:sz w:val="24"/>
          <w:szCs w:val="24"/>
        </w:rPr>
      </w:pPr>
      <w:r>
        <w:rPr>
          <w:rFonts w:hint="eastAsia" w:ascii="仿宋" w:hAnsi="仿宋" w:eastAsia="仿宋" w:cs="仿宋"/>
          <w:sz w:val="24"/>
          <w:szCs w:val="24"/>
        </w:rPr>
        <w:t>13.1投标文件中所使用的计量单位，除招标文件中有特殊要求外，均应使用中华人民共和国法定计量单位。</w:t>
      </w:r>
    </w:p>
    <w:p w14:paraId="47BE2572">
      <w:pPr>
        <w:spacing w:line="360" w:lineRule="auto"/>
        <w:ind w:firstLine="360"/>
        <w:rPr>
          <w:rFonts w:ascii="仿宋" w:hAnsi="仿宋" w:eastAsia="仿宋" w:cs="仿宋"/>
          <w:sz w:val="24"/>
          <w:szCs w:val="24"/>
        </w:rPr>
      </w:pPr>
      <w:r>
        <w:rPr>
          <w:rFonts w:hint="eastAsia" w:ascii="仿宋" w:hAnsi="仿宋" w:eastAsia="仿宋" w:cs="仿宋"/>
          <w:sz w:val="24"/>
          <w:szCs w:val="24"/>
        </w:rPr>
        <w:t>13.2投标文件应使用中文编制，投标文件中必须使用其他文字的，必须附有中文译本，且以中文译本为准。对于未附有中文译本和中文译本不准确的投标文件可能引起的对投标人不利的后果，采购代理机构概不负责。</w:t>
      </w:r>
    </w:p>
    <w:p w14:paraId="14EAAD59">
      <w:pPr>
        <w:spacing w:line="360" w:lineRule="auto"/>
        <w:rPr>
          <w:rFonts w:ascii="仿宋" w:hAnsi="仿宋" w:eastAsia="仿宋" w:cs="仿宋"/>
          <w:b/>
          <w:sz w:val="24"/>
          <w:szCs w:val="24"/>
        </w:rPr>
      </w:pPr>
      <w:r>
        <w:rPr>
          <w:rFonts w:hint="eastAsia" w:ascii="仿宋" w:hAnsi="仿宋" w:eastAsia="仿宋" w:cs="仿宋"/>
          <w:b/>
          <w:sz w:val="24"/>
          <w:szCs w:val="24"/>
        </w:rPr>
        <w:t>14. 知识产权</w:t>
      </w:r>
    </w:p>
    <w:p w14:paraId="7043F870">
      <w:pPr>
        <w:spacing w:line="360" w:lineRule="auto"/>
        <w:ind w:firstLine="360"/>
        <w:rPr>
          <w:rFonts w:ascii="仿宋" w:hAnsi="仿宋" w:eastAsia="仿宋" w:cs="仿宋"/>
          <w:sz w:val="24"/>
          <w:szCs w:val="24"/>
        </w:rPr>
      </w:pPr>
      <w:r>
        <w:rPr>
          <w:rFonts w:hint="eastAsia" w:ascii="仿宋" w:hAnsi="仿宋" w:eastAsia="仿宋" w:cs="仿宋"/>
          <w:sz w:val="24"/>
          <w:szCs w:val="24"/>
        </w:rPr>
        <w:t>14.1 投标人应保证在本项目使用的任何产品（包括部分使用）时，不会产生因第三方提出侵犯其专利权、商标权或其他知识产权而引起的法律和经济纠纷，如因专利权、商标权或其他知识产权而引起法律和经济纠纷，由投标人承担所有相关责任。</w:t>
      </w:r>
    </w:p>
    <w:p w14:paraId="2F87734A">
      <w:pPr>
        <w:spacing w:line="360" w:lineRule="auto"/>
        <w:rPr>
          <w:rFonts w:ascii="仿宋" w:hAnsi="仿宋" w:eastAsia="仿宋" w:cs="仿宋"/>
          <w:b/>
          <w:sz w:val="24"/>
          <w:szCs w:val="24"/>
        </w:rPr>
      </w:pPr>
      <w:r>
        <w:rPr>
          <w:rFonts w:hint="eastAsia" w:ascii="仿宋" w:hAnsi="仿宋" w:eastAsia="仿宋" w:cs="仿宋"/>
          <w:b/>
          <w:sz w:val="24"/>
          <w:szCs w:val="24"/>
        </w:rPr>
        <w:t>15. 投标文件的组成和顺序</w:t>
      </w:r>
    </w:p>
    <w:p w14:paraId="2B7BDE6B">
      <w:pPr>
        <w:spacing w:line="360" w:lineRule="auto"/>
        <w:ind w:firstLine="120"/>
        <w:rPr>
          <w:rFonts w:ascii="仿宋" w:hAnsi="仿宋" w:eastAsia="仿宋" w:cs="仿宋"/>
          <w:b/>
          <w:sz w:val="24"/>
          <w:szCs w:val="24"/>
        </w:rPr>
      </w:pPr>
      <w:r>
        <w:rPr>
          <w:rFonts w:hint="eastAsia" w:ascii="仿宋" w:hAnsi="仿宋" w:eastAsia="仿宋" w:cs="仿宋"/>
          <w:b/>
          <w:sz w:val="24"/>
          <w:szCs w:val="24"/>
        </w:rPr>
        <w:t>15.1报价部分（详见投标文件格式）：</w:t>
      </w:r>
    </w:p>
    <w:p w14:paraId="148AADA7">
      <w:pPr>
        <w:spacing w:line="360" w:lineRule="auto"/>
        <w:ind w:firstLine="360"/>
        <w:rPr>
          <w:rFonts w:ascii="仿宋" w:hAnsi="仿宋" w:eastAsia="仿宋" w:cs="仿宋"/>
          <w:sz w:val="24"/>
          <w:szCs w:val="24"/>
        </w:rPr>
      </w:pPr>
      <w:r>
        <w:rPr>
          <w:rFonts w:hint="eastAsia" w:ascii="仿宋" w:hAnsi="仿宋" w:eastAsia="仿宋" w:cs="仿宋"/>
          <w:sz w:val="24"/>
          <w:szCs w:val="24"/>
        </w:rPr>
        <w:t>15.1.1封面</w:t>
      </w:r>
    </w:p>
    <w:p w14:paraId="3F01DFFB">
      <w:pPr>
        <w:spacing w:line="360" w:lineRule="auto"/>
        <w:ind w:firstLine="360"/>
        <w:rPr>
          <w:rFonts w:ascii="仿宋" w:hAnsi="仿宋" w:eastAsia="仿宋" w:cs="仿宋"/>
          <w:sz w:val="24"/>
          <w:szCs w:val="24"/>
        </w:rPr>
      </w:pPr>
      <w:r>
        <w:rPr>
          <w:rFonts w:hint="eastAsia" w:ascii="仿宋" w:hAnsi="仿宋" w:eastAsia="仿宋" w:cs="仿宋"/>
          <w:sz w:val="24"/>
          <w:szCs w:val="24"/>
        </w:rPr>
        <w:t>15.1.2《开标一览表》（统一格式）；</w:t>
      </w:r>
    </w:p>
    <w:p w14:paraId="214A00FB">
      <w:pPr>
        <w:spacing w:line="360" w:lineRule="auto"/>
        <w:ind w:firstLine="360"/>
        <w:rPr>
          <w:rFonts w:ascii="仿宋" w:hAnsi="仿宋" w:eastAsia="仿宋" w:cs="仿宋"/>
          <w:sz w:val="24"/>
          <w:szCs w:val="24"/>
        </w:rPr>
      </w:pPr>
      <w:r>
        <w:rPr>
          <w:rFonts w:hint="eastAsia" w:ascii="仿宋" w:hAnsi="仿宋" w:eastAsia="仿宋" w:cs="仿宋"/>
          <w:sz w:val="24"/>
          <w:szCs w:val="24"/>
        </w:rPr>
        <w:t>15.1.3投标报价明细表；</w:t>
      </w:r>
    </w:p>
    <w:p w14:paraId="615E0061">
      <w:pPr>
        <w:spacing w:line="360" w:lineRule="auto"/>
        <w:ind w:firstLine="120"/>
        <w:rPr>
          <w:rFonts w:ascii="仿宋" w:hAnsi="仿宋" w:eastAsia="仿宋" w:cs="仿宋"/>
          <w:b/>
          <w:sz w:val="24"/>
          <w:szCs w:val="24"/>
        </w:rPr>
      </w:pPr>
      <w:r>
        <w:rPr>
          <w:rFonts w:hint="eastAsia" w:ascii="仿宋" w:hAnsi="仿宋" w:eastAsia="仿宋" w:cs="仿宋"/>
          <w:b/>
          <w:sz w:val="24"/>
          <w:szCs w:val="24"/>
        </w:rPr>
        <w:t>15.2资质证明和技术部分</w:t>
      </w:r>
    </w:p>
    <w:p w14:paraId="23F2CAFC">
      <w:pPr>
        <w:spacing w:line="360" w:lineRule="auto"/>
        <w:ind w:firstLine="361"/>
        <w:rPr>
          <w:rFonts w:ascii="仿宋" w:hAnsi="仿宋" w:eastAsia="仿宋" w:cs="仿宋"/>
          <w:b/>
          <w:sz w:val="24"/>
          <w:szCs w:val="24"/>
        </w:rPr>
      </w:pPr>
      <w:r>
        <w:rPr>
          <w:rFonts w:hint="eastAsia" w:ascii="仿宋" w:hAnsi="仿宋" w:eastAsia="仿宋" w:cs="仿宋"/>
          <w:b/>
          <w:sz w:val="24"/>
          <w:szCs w:val="24"/>
        </w:rPr>
        <w:t>15.2.1资质证明文件部分</w:t>
      </w:r>
    </w:p>
    <w:p w14:paraId="58C84B25">
      <w:pPr>
        <w:spacing w:line="360" w:lineRule="auto"/>
        <w:ind w:firstLine="360"/>
        <w:rPr>
          <w:rFonts w:ascii="仿宋" w:hAnsi="仿宋" w:eastAsia="仿宋" w:cs="仿宋"/>
          <w:sz w:val="24"/>
          <w:szCs w:val="24"/>
        </w:rPr>
      </w:pPr>
      <w:r>
        <w:rPr>
          <w:rFonts w:hint="eastAsia" w:ascii="仿宋" w:hAnsi="仿宋" w:eastAsia="仿宋" w:cs="仿宋"/>
          <w:sz w:val="24"/>
          <w:szCs w:val="24"/>
        </w:rPr>
        <w:t>15.2.1.1投标函；</w:t>
      </w:r>
    </w:p>
    <w:p w14:paraId="72D4F485">
      <w:pPr>
        <w:spacing w:line="360" w:lineRule="auto"/>
        <w:ind w:firstLine="360"/>
        <w:rPr>
          <w:rFonts w:ascii="仿宋" w:hAnsi="仿宋" w:eastAsia="仿宋" w:cs="仿宋"/>
          <w:sz w:val="24"/>
          <w:szCs w:val="24"/>
        </w:rPr>
      </w:pPr>
      <w:r>
        <w:rPr>
          <w:rFonts w:hint="eastAsia" w:ascii="仿宋" w:hAnsi="仿宋" w:eastAsia="仿宋" w:cs="仿宋"/>
          <w:sz w:val="24"/>
          <w:szCs w:val="24"/>
        </w:rPr>
        <w:t>15.2.1.2关于资格文件的声明函；</w:t>
      </w:r>
    </w:p>
    <w:p w14:paraId="17E74576">
      <w:pPr>
        <w:spacing w:line="360" w:lineRule="auto"/>
        <w:ind w:firstLine="360"/>
        <w:rPr>
          <w:rFonts w:ascii="仿宋" w:hAnsi="仿宋" w:eastAsia="仿宋" w:cs="仿宋"/>
          <w:sz w:val="24"/>
          <w:szCs w:val="24"/>
        </w:rPr>
      </w:pPr>
      <w:r>
        <w:rPr>
          <w:rFonts w:hint="eastAsia" w:ascii="仿宋" w:hAnsi="仿宋" w:eastAsia="仿宋" w:cs="仿宋"/>
          <w:sz w:val="24"/>
          <w:szCs w:val="24"/>
        </w:rPr>
        <w:t>15.2.1.3投标单位营业执照副本或三证合一营业执照扫描件；</w:t>
      </w:r>
    </w:p>
    <w:p w14:paraId="6D19624D">
      <w:pPr>
        <w:spacing w:line="360" w:lineRule="auto"/>
        <w:ind w:firstLine="360"/>
        <w:rPr>
          <w:rFonts w:ascii="仿宋" w:hAnsi="仿宋" w:eastAsia="仿宋" w:cs="仿宋"/>
          <w:sz w:val="24"/>
          <w:szCs w:val="24"/>
        </w:rPr>
      </w:pPr>
      <w:r>
        <w:rPr>
          <w:rFonts w:hint="eastAsia" w:ascii="仿宋" w:hAnsi="仿宋" w:eastAsia="仿宋" w:cs="仿宋"/>
          <w:sz w:val="24"/>
          <w:szCs w:val="24"/>
        </w:rPr>
        <w:t>15.2.1.4投标人参加本次政府采购活动前的财务状况报告或者银行出具的资信证明；</w:t>
      </w:r>
    </w:p>
    <w:p w14:paraId="206B85A5">
      <w:pPr>
        <w:spacing w:line="360" w:lineRule="auto"/>
        <w:ind w:firstLine="360"/>
        <w:rPr>
          <w:rFonts w:ascii="仿宋" w:hAnsi="仿宋" w:eastAsia="仿宋" w:cs="仿宋"/>
          <w:sz w:val="24"/>
          <w:szCs w:val="24"/>
        </w:rPr>
      </w:pPr>
      <w:r>
        <w:rPr>
          <w:rFonts w:hint="eastAsia" w:ascii="仿宋" w:hAnsi="仿宋" w:eastAsia="仿宋" w:cs="仿宋"/>
          <w:sz w:val="24"/>
          <w:szCs w:val="24"/>
        </w:rPr>
        <w:t>15.2.1.5投标人根据项目需求提供履行合同所必需的设备和专业技术能力的证明材料；</w:t>
      </w:r>
    </w:p>
    <w:p w14:paraId="21AB3A2C">
      <w:pPr>
        <w:spacing w:line="360" w:lineRule="auto"/>
        <w:ind w:firstLine="360"/>
        <w:rPr>
          <w:rFonts w:ascii="仿宋" w:hAnsi="仿宋" w:eastAsia="仿宋" w:cs="仿宋"/>
          <w:sz w:val="24"/>
          <w:szCs w:val="24"/>
        </w:rPr>
      </w:pPr>
      <w:r>
        <w:rPr>
          <w:rFonts w:hint="eastAsia" w:ascii="仿宋" w:hAnsi="仿宋" w:eastAsia="仿宋" w:cs="仿宋"/>
          <w:sz w:val="24"/>
          <w:szCs w:val="24"/>
        </w:rPr>
        <w:t>15.2.1.6投标人参加本次政府采购活动前半年（至少一个月）依法缴纳税收和社会保障资金的证明材料；</w:t>
      </w:r>
    </w:p>
    <w:p w14:paraId="23E2FFA1">
      <w:pPr>
        <w:spacing w:line="360" w:lineRule="auto"/>
        <w:ind w:firstLine="360"/>
        <w:rPr>
          <w:rFonts w:ascii="仿宋" w:hAnsi="仿宋" w:eastAsia="仿宋" w:cs="仿宋"/>
          <w:sz w:val="24"/>
          <w:szCs w:val="24"/>
        </w:rPr>
      </w:pPr>
      <w:r>
        <w:rPr>
          <w:rFonts w:hint="eastAsia" w:ascii="仿宋" w:hAnsi="仿宋" w:eastAsia="仿宋" w:cs="仿宋"/>
          <w:sz w:val="24"/>
          <w:szCs w:val="24"/>
        </w:rPr>
        <w:t>15.2.1.7投标人参加政府采购活动前三年在经营活动中没有重大违法记录的书面申明；</w:t>
      </w:r>
    </w:p>
    <w:p w14:paraId="1A67F130">
      <w:pPr>
        <w:spacing w:line="360" w:lineRule="auto"/>
        <w:ind w:firstLine="360"/>
        <w:rPr>
          <w:rFonts w:ascii="仿宋" w:hAnsi="仿宋" w:eastAsia="仿宋" w:cs="仿宋"/>
          <w:sz w:val="24"/>
          <w:szCs w:val="24"/>
        </w:rPr>
      </w:pPr>
      <w:r>
        <w:rPr>
          <w:rFonts w:hint="eastAsia" w:ascii="仿宋" w:hAnsi="仿宋" w:eastAsia="仿宋" w:cs="仿宋"/>
          <w:sz w:val="24"/>
          <w:szCs w:val="24"/>
        </w:rPr>
        <w:t>15.2.1.8投标人证明其符合招标文件规定的投标人特定资格条件的证书、证明和文件材料；</w:t>
      </w:r>
    </w:p>
    <w:p w14:paraId="18F25D31">
      <w:pPr>
        <w:spacing w:line="360" w:lineRule="auto"/>
        <w:ind w:firstLine="360"/>
        <w:rPr>
          <w:rFonts w:ascii="仿宋" w:hAnsi="仿宋" w:eastAsia="仿宋" w:cs="仿宋"/>
          <w:sz w:val="24"/>
          <w:szCs w:val="24"/>
        </w:rPr>
      </w:pPr>
      <w:r>
        <w:rPr>
          <w:rFonts w:hint="eastAsia" w:ascii="仿宋" w:hAnsi="仿宋" w:eastAsia="仿宋" w:cs="仿宋"/>
          <w:sz w:val="24"/>
          <w:szCs w:val="24"/>
        </w:rPr>
        <w:t>15.2.1.9投标人基本情况表；</w:t>
      </w:r>
    </w:p>
    <w:p w14:paraId="79A95274">
      <w:pPr>
        <w:spacing w:line="360" w:lineRule="auto"/>
        <w:ind w:firstLine="360"/>
        <w:rPr>
          <w:rFonts w:ascii="仿宋" w:hAnsi="仿宋" w:eastAsia="仿宋" w:cs="仿宋"/>
          <w:sz w:val="24"/>
          <w:szCs w:val="24"/>
        </w:rPr>
      </w:pPr>
      <w:r>
        <w:rPr>
          <w:rFonts w:hint="eastAsia" w:ascii="仿宋" w:hAnsi="仿宋" w:eastAsia="仿宋" w:cs="仿宋"/>
          <w:sz w:val="24"/>
          <w:szCs w:val="24"/>
        </w:rPr>
        <w:t>15.2.1.10投标人法定代表人身份证扫描件；</w:t>
      </w:r>
    </w:p>
    <w:p w14:paraId="7435180C">
      <w:pPr>
        <w:spacing w:line="360" w:lineRule="auto"/>
        <w:ind w:firstLine="360"/>
        <w:rPr>
          <w:rFonts w:ascii="仿宋" w:hAnsi="仿宋" w:eastAsia="仿宋" w:cs="仿宋"/>
          <w:sz w:val="24"/>
          <w:szCs w:val="24"/>
        </w:rPr>
      </w:pPr>
      <w:r>
        <w:rPr>
          <w:rFonts w:hint="eastAsia" w:ascii="仿宋" w:hAnsi="仿宋" w:eastAsia="仿宋" w:cs="仿宋"/>
          <w:sz w:val="24"/>
          <w:szCs w:val="24"/>
        </w:rPr>
        <w:t>15.2.1.11投标人法定代表人授权委托书原件（如有授权）；</w:t>
      </w:r>
    </w:p>
    <w:p w14:paraId="53BDF523">
      <w:pPr>
        <w:spacing w:line="360" w:lineRule="auto"/>
        <w:ind w:firstLine="360"/>
        <w:rPr>
          <w:rFonts w:ascii="仿宋" w:hAnsi="仿宋" w:eastAsia="仿宋" w:cs="仿宋"/>
          <w:sz w:val="24"/>
          <w:szCs w:val="24"/>
        </w:rPr>
      </w:pPr>
      <w:r>
        <w:rPr>
          <w:rFonts w:hint="eastAsia" w:ascii="仿宋" w:hAnsi="仿宋" w:eastAsia="仿宋" w:cs="仿宋"/>
          <w:sz w:val="24"/>
          <w:szCs w:val="24"/>
        </w:rPr>
        <w:t>15.2.1.12投标人授权代理人身份证扫描件（如有授权）；</w:t>
      </w:r>
    </w:p>
    <w:p w14:paraId="18F3D4C5">
      <w:pPr>
        <w:spacing w:line="360" w:lineRule="auto"/>
        <w:ind w:firstLine="360"/>
        <w:rPr>
          <w:rFonts w:ascii="仿宋" w:hAnsi="仿宋" w:eastAsia="仿宋" w:cs="仿宋"/>
          <w:sz w:val="24"/>
          <w:szCs w:val="24"/>
        </w:rPr>
      </w:pPr>
      <w:r>
        <w:rPr>
          <w:rFonts w:hint="eastAsia" w:ascii="仿宋" w:hAnsi="仿宋" w:eastAsia="仿宋" w:cs="仿宋"/>
          <w:sz w:val="24"/>
          <w:szCs w:val="24"/>
        </w:rPr>
        <w:t>15.2.1.13中小企业声明函；</w:t>
      </w:r>
    </w:p>
    <w:p w14:paraId="3C3417BF">
      <w:pPr>
        <w:spacing w:line="360" w:lineRule="auto"/>
        <w:ind w:firstLine="360"/>
        <w:rPr>
          <w:rFonts w:ascii="仿宋" w:hAnsi="仿宋" w:eastAsia="仿宋" w:cs="仿宋"/>
          <w:sz w:val="24"/>
          <w:szCs w:val="24"/>
        </w:rPr>
      </w:pPr>
      <w:r>
        <w:rPr>
          <w:rFonts w:hint="eastAsia" w:ascii="仿宋" w:hAnsi="仿宋" w:eastAsia="仿宋" w:cs="仿宋"/>
          <w:sz w:val="24"/>
          <w:szCs w:val="24"/>
        </w:rPr>
        <w:t>15.2.1.14残疾人福利性单位声明函（如有）；</w:t>
      </w:r>
    </w:p>
    <w:p w14:paraId="473B8353">
      <w:pPr>
        <w:spacing w:line="360" w:lineRule="auto"/>
        <w:ind w:firstLine="360"/>
        <w:rPr>
          <w:rFonts w:hint="eastAsia" w:ascii="仿宋" w:hAnsi="仿宋" w:eastAsia="仿宋" w:cs="仿宋"/>
          <w:sz w:val="24"/>
          <w:szCs w:val="24"/>
        </w:rPr>
      </w:pPr>
      <w:r>
        <w:rPr>
          <w:rFonts w:hint="eastAsia" w:ascii="仿宋" w:hAnsi="仿宋" w:eastAsia="仿宋" w:cs="仿宋"/>
          <w:sz w:val="24"/>
          <w:szCs w:val="24"/>
        </w:rPr>
        <w:t>15.2.1.15联合体投标协议书（如有）。</w:t>
      </w:r>
    </w:p>
    <w:p w14:paraId="7D0CB927">
      <w:pPr>
        <w:spacing w:line="360" w:lineRule="auto"/>
        <w:ind w:firstLine="360"/>
        <w:rPr>
          <w:rFonts w:hint="eastAsia" w:ascii="仿宋" w:hAnsi="仿宋" w:eastAsia="仿宋" w:cs="仿宋"/>
          <w:sz w:val="24"/>
          <w:szCs w:val="24"/>
        </w:rPr>
      </w:pPr>
      <w:r>
        <w:rPr>
          <w:rFonts w:hint="eastAsia" w:ascii="仿宋" w:hAnsi="仿宋" w:eastAsia="仿宋" w:cs="仿宋"/>
          <w:b/>
          <w:bCs/>
          <w:sz w:val="24"/>
          <w:szCs w:val="24"/>
          <w:lang w:val="en-US" w:eastAsia="zh-CN"/>
        </w:rPr>
        <w:t>注：</w:t>
      </w:r>
      <w:r>
        <w:rPr>
          <w:rFonts w:hint="eastAsia" w:ascii="仿宋" w:hAnsi="仿宋" w:eastAsia="仿宋" w:cs="仿宋"/>
          <w:b/>
          <w:bCs/>
          <w:sz w:val="24"/>
          <w:szCs w:val="24"/>
        </w:rPr>
        <w:t>若为联合体须提供</w:t>
      </w:r>
      <w:r>
        <w:rPr>
          <w:rFonts w:hint="eastAsia" w:ascii="仿宋" w:hAnsi="仿宋" w:eastAsia="仿宋" w:cs="仿宋"/>
          <w:b/>
          <w:bCs/>
          <w:sz w:val="24"/>
          <w:szCs w:val="24"/>
          <w:lang w:val="en-US" w:eastAsia="zh-CN"/>
        </w:rPr>
        <w:t>各</w:t>
      </w:r>
      <w:r>
        <w:rPr>
          <w:rFonts w:hint="eastAsia" w:ascii="仿宋" w:hAnsi="仿宋" w:eastAsia="仿宋" w:cs="仿宋"/>
          <w:b/>
          <w:bCs/>
          <w:sz w:val="24"/>
          <w:szCs w:val="24"/>
        </w:rPr>
        <w:t>方对应的</w:t>
      </w:r>
      <w:r>
        <w:rPr>
          <w:rFonts w:hint="eastAsia" w:ascii="仿宋" w:hAnsi="仿宋" w:eastAsia="仿宋" w:cs="仿宋"/>
          <w:b/>
          <w:bCs/>
          <w:sz w:val="24"/>
          <w:szCs w:val="24"/>
          <w:lang w:val="en-US" w:eastAsia="zh-CN"/>
        </w:rPr>
        <w:t>15.2.1.3-15.2.1.10</w:t>
      </w:r>
      <w:r>
        <w:rPr>
          <w:rFonts w:hint="eastAsia" w:ascii="仿宋" w:hAnsi="仿宋" w:eastAsia="仿宋" w:cs="仿宋"/>
          <w:b/>
          <w:bCs/>
          <w:sz w:val="24"/>
          <w:szCs w:val="24"/>
        </w:rPr>
        <w:t>材料</w:t>
      </w:r>
    </w:p>
    <w:p w14:paraId="6B044B79">
      <w:pPr>
        <w:spacing w:line="360" w:lineRule="auto"/>
        <w:ind w:firstLine="361"/>
        <w:rPr>
          <w:rFonts w:ascii="仿宋" w:hAnsi="仿宋" w:eastAsia="仿宋" w:cs="仿宋"/>
          <w:b/>
          <w:sz w:val="24"/>
          <w:szCs w:val="24"/>
        </w:rPr>
      </w:pPr>
      <w:r>
        <w:rPr>
          <w:rFonts w:hint="eastAsia" w:ascii="仿宋" w:hAnsi="仿宋" w:eastAsia="仿宋" w:cs="仿宋"/>
          <w:b/>
          <w:sz w:val="24"/>
          <w:szCs w:val="24"/>
        </w:rPr>
        <w:t>15.2.2技术部分</w:t>
      </w:r>
    </w:p>
    <w:p w14:paraId="7B47A969">
      <w:pPr>
        <w:spacing w:line="360" w:lineRule="auto"/>
        <w:ind w:firstLine="360"/>
        <w:rPr>
          <w:rFonts w:ascii="仿宋" w:hAnsi="仿宋" w:eastAsia="仿宋" w:cs="仿宋"/>
          <w:sz w:val="24"/>
          <w:szCs w:val="24"/>
        </w:rPr>
      </w:pPr>
      <w:r>
        <w:rPr>
          <w:rFonts w:hint="eastAsia" w:ascii="仿宋" w:hAnsi="仿宋" w:eastAsia="仿宋" w:cs="仿宋"/>
          <w:sz w:val="24"/>
          <w:szCs w:val="24"/>
        </w:rPr>
        <w:t>15.2.2.1技术要求偏离表；</w:t>
      </w:r>
    </w:p>
    <w:p w14:paraId="6D3B6F91">
      <w:pPr>
        <w:spacing w:line="360" w:lineRule="auto"/>
        <w:ind w:firstLine="360"/>
        <w:rPr>
          <w:rFonts w:ascii="仿宋" w:hAnsi="仿宋" w:eastAsia="仿宋" w:cs="仿宋"/>
          <w:sz w:val="24"/>
          <w:szCs w:val="24"/>
        </w:rPr>
      </w:pPr>
      <w:r>
        <w:rPr>
          <w:rFonts w:hint="eastAsia" w:ascii="仿宋" w:hAnsi="仿宋" w:eastAsia="仿宋" w:cs="仿宋"/>
          <w:sz w:val="24"/>
          <w:szCs w:val="24"/>
        </w:rPr>
        <w:t>15.2.2.2商务要求偏离表；</w:t>
      </w:r>
    </w:p>
    <w:p w14:paraId="7AAAD756">
      <w:pPr>
        <w:spacing w:line="360" w:lineRule="auto"/>
        <w:ind w:firstLine="360"/>
        <w:rPr>
          <w:rFonts w:ascii="仿宋" w:hAnsi="仿宋" w:eastAsia="仿宋" w:cs="仿宋"/>
          <w:sz w:val="24"/>
          <w:szCs w:val="24"/>
        </w:rPr>
      </w:pPr>
      <w:r>
        <w:rPr>
          <w:rFonts w:hint="eastAsia" w:ascii="仿宋" w:hAnsi="仿宋" w:eastAsia="仿宋" w:cs="仿宋"/>
          <w:sz w:val="24"/>
          <w:szCs w:val="24"/>
        </w:rPr>
        <w:t>15.2.2.3项目的技术及服务方案；</w:t>
      </w:r>
    </w:p>
    <w:p w14:paraId="2A951CD7">
      <w:pPr>
        <w:spacing w:line="360" w:lineRule="auto"/>
        <w:ind w:firstLine="360"/>
        <w:rPr>
          <w:rFonts w:ascii="仿宋" w:hAnsi="仿宋" w:eastAsia="仿宋" w:cs="仿宋"/>
          <w:sz w:val="24"/>
          <w:szCs w:val="24"/>
        </w:rPr>
      </w:pPr>
      <w:r>
        <w:rPr>
          <w:rFonts w:hint="eastAsia" w:ascii="仿宋" w:hAnsi="仿宋" w:eastAsia="仿宋" w:cs="仿宋"/>
          <w:sz w:val="24"/>
          <w:szCs w:val="24"/>
        </w:rPr>
        <w:t>15.2.2.4类似项目业绩一览表及相关证明材料；</w:t>
      </w:r>
    </w:p>
    <w:p w14:paraId="1B486260">
      <w:pPr>
        <w:spacing w:line="360" w:lineRule="auto"/>
        <w:ind w:firstLine="360"/>
        <w:rPr>
          <w:rFonts w:ascii="仿宋" w:hAnsi="仿宋" w:eastAsia="仿宋" w:cs="仿宋"/>
          <w:sz w:val="24"/>
          <w:szCs w:val="24"/>
        </w:rPr>
      </w:pPr>
      <w:r>
        <w:rPr>
          <w:rFonts w:hint="eastAsia" w:ascii="仿宋" w:hAnsi="仿宋" w:eastAsia="仿宋" w:cs="仿宋"/>
          <w:sz w:val="24"/>
          <w:szCs w:val="24"/>
        </w:rPr>
        <w:t>15.2.2.5投入本项目技术（服务）人员一览表及相关证明材料；</w:t>
      </w:r>
    </w:p>
    <w:p w14:paraId="4294EFC0">
      <w:pPr>
        <w:spacing w:line="360" w:lineRule="auto"/>
        <w:ind w:firstLine="360"/>
        <w:rPr>
          <w:rFonts w:ascii="仿宋" w:hAnsi="仿宋" w:eastAsia="仿宋" w:cs="仿宋"/>
          <w:sz w:val="24"/>
          <w:szCs w:val="24"/>
        </w:rPr>
      </w:pPr>
      <w:r>
        <w:rPr>
          <w:rFonts w:hint="eastAsia" w:ascii="仿宋" w:hAnsi="仿宋" w:eastAsia="仿宋" w:cs="仿宋"/>
          <w:sz w:val="24"/>
          <w:szCs w:val="24"/>
        </w:rPr>
        <w:t>15.2.2.6招标文件及评分标准中要求提供的其他相关材料；</w:t>
      </w:r>
    </w:p>
    <w:p w14:paraId="27E662E9">
      <w:pPr>
        <w:spacing w:line="360" w:lineRule="auto"/>
        <w:ind w:firstLine="360"/>
        <w:rPr>
          <w:rFonts w:ascii="仿宋" w:hAnsi="仿宋" w:eastAsia="仿宋" w:cs="仿宋"/>
          <w:sz w:val="24"/>
          <w:szCs w:val="24"/>
        </w:rPr>
      </w:pPr>
      <w:r>
        <w:rPr>
          <w:rFonts w:hint="eastAsia" w:ascii="仿宋" w:hAnsi="仿宋" w:eastAsia="仿宋" w:cs="仿宋"/>
          <w:sz w:val="24"/>
          <w:szCs w:val="24"/>
        </w:rPr>
        <w:t>15.2.2.7其他需投标人对本次投标的详细说明（投标人视各自的情况自行编制）。</w:t>
      </w:r>
    </w:p>
    <w:p w14:paraId="1C06DD21">
      <w:pPr>
        <w:spacing w:line="360" w:lineRule="auto"/>
        <w:ind w:firstLine="360"/>
        <w:rPr>
          <w:rFonts w:ascii="仿宋" w:hAnsi="仿宋" w:eastAsia="仿宋" w:cs="仿宋"/>
          <w:sz w:val="24"/>
          <w:szCs w:val="24"/>
        </w:rPr>
      </w:pPr>
      <w:r>
        <w:rPr>
          <w:rFonts w:hint="eastAsia" w:ascii="仿宋" w:hAnsi="仿宋" w:eastAsia="仿宋" w:cs="仿宋"/>
          <w:sz w:val="24"/>
          <w:szCs w:val="24"/>
        </w:rPr>
        <w:t>注：投标单位按上述要求提交相关资料，投标单位所提交的资格文件的完整与否，将直接影响投标单位的评分。投标单位必须保证全部投标资料的真实性，如有虚假或对招标文件所要求说明的情况故意隐瞒或虚报，视为不实质性响应招标文件，为无效投标，并报政府监管部门按政府采购法相关规定给予处罚。</w:t>
      </w:r>
    </w:p>
    <w:p w14:paraId="688418C2">
      <w:pPr>
        <w:spacing w:line="360" w:lineRule="auto"/>
        <w:ind w:firstLine="142"/>
        <w:rPr>
          <w:rFonts w:ascii="仿宋" w:hAnsi="仿宋" w:eastAsia="仿宋" w:cs="仿宋"/>
          <w:dstrike/>
          <w:sz w:val="24"/>
          <w:szCs w:val="24"/>
        </w:rPr>
      </w:pPr>
      <w:r>
        <w:rPr>
          <w:rFonts w:hint="eastAsia" w:ascii="仿宋" w:hAnsi="仿宋" w:eastAsia="仿宋" w:cs="仿宋"/>
          <w:b/>
          <w:sz w:val="24"/>
          <w:szCs w:val="24"/>
        </w:rPr>
        <w:t>15.3投标文件由15.1、15.2款规定的内容共同组成。</w:t>
      </w:r>
    </w:p>
    <w:p w14:paraId="5F18F98E">
      <w:pPr>
        <w:spacing w:line="360" w:lineRule="auto"/>
        <w:rPr>
          <w:rFonts w:ascii="仿宋" w:hAnsi="仿宋" w:eastAsia="仿宋" w:cs="仿宋"/>
          <w:sz w:val="24"/>
          <w:szCs w:val="24"/>
        </w:rPr>
      </w:pPr>
      <w:r>
        <w:rPr>
          <w:rFonts w:hint="eastAsia" w:ascii="仿宋" w:hAnsi="仿宋" w:eastAsia="仿宋" w:cs="仿宋"/>
          <w:b/>
          <w:sz w:val="24"/>
          <w:szCs w:val="24"/>
        </w:rPr>
        <w:t xml:space="preserve">16. 投标文件编制要求   </w:t>
      </w:r>
    </w:p>
    <w:p w14:paraId="107E64B4">
      <w:pPr>
        <w:spacing w:line="360" w:lineRule="auto"/>
        <w:ind w:firstLine="424"/>
        <w:rPr>
          <w:rFonts w:ascii="仿宋" w:hAnsi="仿宋" w:eastAsia="仿宋" w:cs="仿宋"/>
          <w:b/>
          <w:sz w:val="24"/>
          <w:szCs w:val="24"/>
        </w:rPr>
      </w:pPr>
      <w:r>
        <w:rPr>
          <w:rFonts w:hint="eastAsia" w:ascii="仿宋" w:hAnsi="仿宋" w:eastAsia="仿宋" w:cs="仿宋"/>
          <w:sz w:val="24"/>
          <w:szCs w:val="24"/>
        </w:rPr>
        <w:t>16.1</w:t>
      </w:r>
      <w:r>
        <w:rPr>
          <w:rFonts w:hint="eastAsia" w:ascii="仿宋" w:hAnsi="仿宋" w:eastAsia="仿宋" w:cs="仿宋"/>
          <w:b/>
          <w:sz w:val="24"/>
        </w:rPr>
        <w:t>电子投标文件编制要求：</w:t>
      </w:r>
      <w:r>
        <w:rPr>
          <w:rFonts w:hint="eastAsia" w:ascii="仿宋" w:hAnsi="仿宋" w:eastAsia="仿宋" w:cs="仿宋"/>
          <w:sz w:val="24"/>
        </w:rPr>
        <w:t>投标人应使用</w:t>
      </w:r>
      <w:r>
        <w:rPr>
          <w:rFonts w:hint="eastAsia" w:ascii="仿宋" w:hAnsi="仿宋" w:eastAsia="仿宋" w:cs="仿宋"/>
          <w:b/>
          <w:sz w:val="24"/>
        </w:rPr>
        <w:t>招标文件要求的投标文件制作软件制作电子投标文件</w:t>
      </w:r>
      <w:r>
        <w:rPr>
          <w:rFonts w:hint="eastAsia" w:ascii="仿宋" w:hAnsi="仿宋" w:eastAsia="仿宋" w:cs="仿宋"/>
          <w:sz w:val="24"/>
        </w:rPr>
        <w:t>，电子投标文件按招标文件规定的格式制作，如果未按要求制作上传，可能导致投标无效。</w:t>
      </w:r>
    </w:p>
    <w:p w14:paraId="365E4EDC">
      <w:pPr>
        <w:spacing w:line="360" w:lineRule="auto"/>
        <w:rPr>
          <w:rFonts w:ascii="仿宋" w:hAnsi="仿宋" w:eastAsia="仿宋" w:cs="仿宋"/>
          <w:b/>
          <w:sz w:val="24"/>
          <w:szCs w:val="24"/>
        </w:rPr>
      </w:pPr>
      <w:r>
        <w:rPr>
          <w:rFonts w:hint="eastAsia" w:ascii="仿宋" w:hAnsi="仿宋" w:eastAsia="仿宋" w:cs="仿宋"/>
          <w:b/>
          <w:sz w:val="24"/>
          <w:szCs w:val="24"/>
        </w:rPr>
        <w:t>17. 投标报价（编制）要求的说明</w:t>
      </w:r>
    </w:p>
    <w:p w14:paraId="10D0A696">
      <w:pPr>
        <w:spacing w:line="360" w:lineRule="auto"/>
        <w:ind w:firstLine="360"/>
        <w:rPr>
          <w:rFonts w:ascii="仿宋" w:hAnsi="仿宋" w:eastAsia="仿宋" w:cs="仿宋"/>
          <w:sz w:val="24"/>
          <w:szCs w:val="24"/>
        </w:rPr>
      </w:pPr>
      <w:r>
        <w:rPr>
          <w:rFonts w:hint="eastAsia" w:ascii="仿宋" w:hAnsi="仿宋" w:eastAsia="仿宋" w:cs="仿宋"/>
          <w:sz w:val="24"/>
          <w:szCs w:val="24"/>
        </w:rPr>
        <w:t>17.1除非合同中另有规定，投标人对《开标一览表》中的全部货物和服务的报价应包括但不限于完成该项工作所需的服务管理内容、耗材、通讯、服装、胸卡、办公设备、巡检器材、工具、各种税费、人工、保险、劳保、维护、利润、税金、政策性文件规定及合同包含的所有风险、责任等各项应有费用。投标报价为最终报价，除非因特殊原因并经买卖双方协商同意，投标人不得再要求追加任何费用。</w:t>
      </w:r>
    </w:p>
    <w:p w14:paraId="5A9DD3A6">
      <w:pPr>
        <w:spacing w:line="360" w:lineRule="auto"/>
        <w:ind w:firstLine="360"/>
        <w:rPr>
          <w:rFonts w:ascii="仿宋" w:hAnsi="仿宋" w:eastAsia="仿宋" w:cs="仿宋"/>
          <w:sz w:val="24"/>
          <w:szCs w:val="24"/>
        </w:rPr>
      </w:pPr>
      <w:r>
        <w:rPr>
          <w:rFonts w:hint="eastAsia" w:ascii="仿宋" w:hAnsi="仿宋" w:eastAsia="仿宋" w:cs="仿宋"/>
          <w:sz w:val="24"/>
          <w:szCs w:val="24"/>
        </w:rPr>
        <w:t>17.2投标人应对招标文件内所要采购的全部内容进行报价，只投其中部分内容者，其标书将被拒绝。但如果招标文件要求分标段投标的，则投标人可以按招标文件要求有选择地只投其中一个或几个标段，也可以投全部标段，但各标段应分别计算填写单价和总价。</w:t>
      </w:r>
    </w:p>
    <w:p w14:paraId="3B1C158D">
      <w:pPr>
        <w:spacing w:line="360" w:lineRule="auto"/>
        <w:ind w:firstLine="360"/>
        <w:rPr>
          <w:rFonts w:ascii="仿宋" w:hAnsi="仿宋" w:eastAsia="仿宋" w:cs="仿宋"/>
          <w:sz w:val="24"/>
          <w:szCs w:val="24"/>
        </w:rPr>
      </w:pPr>
      <w:r>
        <w:rPr>
          <w:rFonts w:hint="eastAsia" w:ascii="仿宋" w:hAnsi="仿宋" w:eastAsia="仿宋" w:cs="仿宋"/>
          <w:sz w:val="24"/>
          <w:szCs w:val="24"/>
        </w:rPr>
        <w:t>17.3 一项投标内容只允许一个报价，采购代理机构不接受任何有选择性的投标报价。</w:t>
      </w:r>
    </w:p>
    <w:p w14:paraId="39DDEBF1">
      <w:pPr>
        <w:spacing w:line="360" w:lineRule="auto"/>
        <w:ind w:firstLine="360"/>
        <w:rPr>
          <w:rFonts w:ascii="仿宋" w:hAnsi="仿宋" w:eastAsia="仿宋" w:cs="仿宋"/>
          <w:sz w:val="24"/>
          <w:szCs w:val="24"/>
        </w:rPr>
      </w:pPr>
      <w:r>
        <w:rPr>
          <w:rFonts w:hint="eastAsia" w:ascii="仿宋" w:hAnsi="仿宋" w:eastAsia="仿宋" w:cs="仿宋"/>
          <w:sz w:val="24"/>
          <w:szCs w:val="24"/>
        </w:rPr>
        <w:t>17.4投标文件报价中的单价和总价全部采用人民币表示，除非合同的特殊条款另有规定。</w:t>
      </w:r>
    </w:p>
    <w:p w14:paraId="4C2ED53D">
      <w:pPr>
        <w:spacing w:line="360" w:lineRule="auto"/>
        <w:ind w:firstLine="360"/>
        <w:rPr>
          <w:rFonts w:ascii="仿宋" w:hAnsi="仿宋" w:eastAsia="仿宋" w:cs="仿宋"/>
          <w:sz w:val="24"/>
          <w:szCs w:val="24"/>
        </w:rPr>
      </w:pPr>
      <w:r>
        <w:rPr>
          <w:rFonts w:hint="eastAsia" w:ascii="仿宋" w:hAnsi="仿宋" w:eastAsia="仿宋" w:cs="仿宋"/>
          <w:sz w:val="24"/>
          <w:szCs w:val="24"/>
        </w:rPr>
        <w:t>17.5最低的投标报价或最高的折扣比例是中标的重要条件，但不是中标的唯一条件。</w:t>
      </w:r>
    </w:p>
    <w:p w14:paraId="7F1CFF8C">
      <w:pPr>
        <w:spacing w:line="360" w:lineRule="auto"/>
        <w:rPr>
          <w:rFonts w:ascii="仿宋" w:hAnsi="仿宋" w:eastAsia="仿宋" w:cs="仿宋"/>
          <w:b/>
          <w:sz w:val="24"/>
          <w:szCs w:val="24"/>
        </w:rPr>
      </w:pPr>
      <w:r>
        <w:rPr>
          <w:rFonts w:hint="eastAsia" w:ascii="仿宋" w:hAnsi="仿宋" w:eastAsia="仿宋" w:cs="仿宋"/>
          <w:b/>
          <w:sz w:val="24"/>
          <w:szCs w:val="24"/>
        </w:rPr>
        <w:t>18. 投标保证金</w:t>
      </w:r>
    </w:p>
    <w:p w14:paraId="0DA984E5">
      <w:pPr>
        <w:spacing w:line="360" w:lineRule="auto"/>
        <w:ind w:firstLine="480"/>
        <w:rPr>
          <w:rFonts w:ascii="仿宋" w:hAnsi="仿宋" w:eastAsia="仿宋" w:cs="仿宋"/>
          <w:sz w:val="24"/>
          <w:szCs w:val="24"/>
        </w:rPr>
      </w:pPr>
      <w:r>
        <w:rPr>
          <w:rFonts w:hint="eastAsia" w:ascii="仿宋" w:hAnsi="仿宋" w:eastAsia="仿宋" w:cs="仿宋"/>
          <w:sz w:val="24"/>
          <w:szCs w:val="24"/>
        </w:rPr>
        <w:t>无</w:t>
      </w:r>
    </w:p>
    <w:p w14:paraId="017841E0">
      <w:pPr>
        <w:spacing w:line="360" w:lineRule="auto"/>
        <w:rPr>
          <w:rFonts w:ascii="仿宋" w:hAnsi="仿宋" w:eastAsia="仿宋" w:cs="仿宋"/>
          <w:b/>
          <w:sz w:val="24"/>
          <w:szCs w:val="24"/>
        </w:rPr>
      </w:pPr>
      <w:r>
        <w:rPr>
          <w:rFonts w:hint="eastAsia" w:ascii="仿宋" w:hAnsi="仿宋" w:eastAsia="仿宋" w:cs="仿宋"/>
          <w:b/>
          <w:sz w:val="24"/>
          <w:szCs w:val="24"/>
        </w:rPr>
        <w:t>19. 投标文件的有效期</w:t>
      </w:r>
    </w:p>
    <w:p w14:paraId="4A3A7FC3">
      <w:pPr>
        <w:spacing w:line="360" w:lineRule="auto"/>
        <w:ind w:firstLine="360"/>
        <w:rPr>
          <w:rFonts w:ascii="仿宋" w:hAnsi="仿宋" w:eastAsia="仿宋" w:cs="仿宋"/>
          <w:sz w:val="24"/>
          <w:szCs w:val="24"/>
        </w:rPr>
      </w:pPr>
      <w:r>
        <w:rPr>
          <w:rFonts w:hint="eastAsia" w:ascii="仿宋" w:hAnsi="仿宋" w:eastAsia="仿宋" w:cs="仿宋"/>
          <w:sz w:val="24"/>
          <w:szCs w:val="24"/>
        </w:rPr>
        <w:t>19.1在本招标文件规定的开标之日起六十（60）天内，投标人所提交的投标文件应保持有效。</w:t>
      </w:r>
      <w:r>
        <w:rPr>
          <w:rFonts w:hint="eastAsia" w:ascii="仿宋" w:hAnsi="仿宋" w:eastAsia="仿宋" w:cs="仿宋"/>
          <w:b/>
          <w:sz w:val="24"/>
          <w:szCs w:val="24"/>
        </w:rPr>
        <w:t>有效期短于这个规定期限的投标文件，将被认定为未实质性响应招标文件要求。</w:t>
      </w:r>
    </w:p>
    <w:p w14:paraId="0DD8916A">
      <w:pPr>
        <w:spacing w:line="360" w:lineRule="auto"/>
        <w:ind w:firstLine="360"/>
        <w:rPr>
          <w:rFonts w:ascii="仿宋" w:hAnsi="仿宋" w:eastAsia="仿宋" w:cs="仿宋"/>
          <w:sz w:val="24"/>
          <w:szCs w:val="24"/>
        </w:rPr>
      </w:pPr>
      <w:r>
        <w:rPr>
          <w:rFonts w:hint="eastAsia" w:ascii="仿宋" w:hAnsi="仿宋" w:eastAsia="仿宋" w:cs="仿宋"/>
          <w:sz w:val="24"/>
          <w:szCs w:val="24"/>
        </w:rPr>
        <w:t>19.2在特殊情况下，采购代理机构可与投标人协商延长投标书的有效期。这种要求和答复都应以书面形式进行。同意延长有效期的投标人不能修改投标文件。拒绝接受延期要求的投标人的投标将被拒绝。</w:t>
      </w:r>
    </w:p>
    <w:p w14:paraId="525836A0">
      <w:pPr>
        <w:spacing w:line="360" w:lineRule="auto"/>
        <w:rPr>
          <w:rFonts w:ascii="仿宋" w:hAnsi="仿宋" w:eastAsia="仿宋" w:cs="仿宋"/>
          <w:b/>
          <w:sz w:val="24"/>
          <w:szCs w:val="24"/>
        </w:rPr>
      </w:pPr>
      <w:r>
        <w:rPr>
          <w:rFonts w:hint="eastAsia" w:ascii="仿宋" w:hAnsi="仿宋" w:eastAsia="仿宋" w:cs="仿宋"/>
          <w:b/>
          <w:sz w:val="24"/>
          <w:szCs w:val="24"/>
        </w:rPr>
        <w:t>五、 投标文件的提交、撤回和修改</w:t>
      </w:r>
    </w:p>
    <w:p w14:paraId="50962D04">
      <w:pPr>
        <w:spacing w:line="360" w:lineRule="auto"/>
        <w:rPr>
          <w:rFonts w:ascii="仿宋" w:hAnsi="仿宋" w:eastAsia="仿宋" w:cs="仿宋"/>
          <w:sz w:val="24"/>
          <w:szCs w:val="24"/>
        </w:rPr>
      </w:pPr>
      <w:r>
        <w:rPr>
          <w:rFonts w:hint="eastAsia" w:ascii="仿宋" w:hAnsi="仿宋" w:eastAsia="仿宋" w:cs="仿宋"/>
          <w:b/>
          <w:sz w:val="24"/>
          <w:szCs w:val="24"/>
        </w:rPr>
        <w:t>20. 投标文件的上传、提交</w:t>
      </w:r>
    </w:p>
    <w:p w14:paraId="14DC2F27">
      <w:pPr>
        <w:tabs>
          <w:tab w:val="left" w:pos="426"/>
        </w:tabs>
        <w:spacing w:line="360" w:lineRule="auto"/>
        <w:rPr>
          <w:rFonts w:ascii="仿宋" w:hAnsi="仿宋" w:eastAsia="仿宋" w:cs="仿宋"/>
          <w:b/>
          <w:sz w:val="24"/>
          <w:szCs w:val="24"/>
        </w:rPr>
      </w:pPr>
      <w:r>
        <w:rPr>
          <w:rFonts w:hint="eastAsia" w:ascii="仿宋" w:hAnsi="仿宋" w:eastAsia="仿宋" w:cs="仿宋"/>
          <w:sz w:val="24"/>
          <w:szCs w:val="24"/>
        </w:rPr>
        <w:t>20.</w:t>
      </w:r>
      <w:r>
        <w:rPr>
          <w:rFonts w:hint="eastAsia" w:ascii="仿宋" w:hAnsi="仿宋" w:eastAsia="仿宋" w:cs="仿宋"/>
          <w:b/>
          <w:sz w:val="24"/>
          <w:szCs w:val="24"/>
        </w:rPr>
        <w:t>1投标人应将制作好的加密电子投标文件按要求在投标截止时间前上传到交易系统平台中。</w:t>
      </w:r>
    </w:p>
    <w:p w14:paraId="03D3745D">
      <w:pPr>
        <w:spacing w:line="360" w:lineRule="auto"/>
        <w:rPr>
          <w:rFonts w:ascii="仿宋" w:hAnsi="仿宋" w:eastAsia="仿宋" w:cs="仿宋"/>
          <w:b/>
          <w:sz w:val="24"/>
          <w:szCs w:val="24"/>
        </w:rPr>
      </w:pPr>
      <w:r>
        <w:rPr>
          <w:rFonts w:hint="eastAsia" w:ascii="仿宋" w:hAnsi="仿宋" w:eastAsia="仿宋" w:cs="仿宋"/>
          <w:b/>
          <w:sz w:val="24"/>
          <w:szCs w:val="24"/>
        </w:rPr>
        <w:t>21. 投标截止时间</w:t>
      </w:r>
    </w:p>
    <w:p w14:paraId="058C78B8">
      <w:pPr>
        <w:tabs>
          <w:tab w:val="left" w:pos="284"/>
        </w:tabs>
        <w:spacing w:line="360" w:lineRule="auto"/>
        <w:rPr>
          <w:rFonts w:ascii="仿宋" w:hAnsi="仿宋" w:eastAsia="仿宋" w:cs="仿宋"/>
          <w:b/>
          <w:sz w:val="24"/>
          <w:szCs w:val="24"/>
        </w:rPr>
      </w:pPr>
      <w:r>
        <w:rPr>
          <w:rFonts w:hint="eastAsia" w:ascii="仿宋" w:hAnsi="仿宋" w:eastAsia="仿宋" w:cs="仿宋"/>
          <w:sz w:val="24"/>
          <w:szCs w:val="24"/>
        </w:rPr>
        <w:t>21.1</w:t>
      </w:r>
      <w:r>
        <w:rPr>
          <w:rFonts w:hint="eastAsia" w:ascii="仿宋" w:hAnsi="仿宋" w:eastAsia="仿宋" w:cs="仿宋"/>
          <w:b/>
          <w:sz w:val="24"/>
          <w:szCs w:val="24"/>
        </w:rPr>
        <w:t>电子投标文件必须按招标公告中规定的网上投标截止时间前提交</w:t>
      </w:r>
      <w:r>
        <w:rPr>
          <w:rFonts w:hint="eastAsia" w:ascii="仿宋" w:hAnsi="仿宋" w:eastAsia="仿宋" w:cs="仿宋"/>
          <w:sz w:val="24"/>
          <w:szCs w:val="24"/>
        </w:rPr>
        <w:t>，</w:t>
      </w:r>
      <w:r>
        <w:rPr>
          <w:rFonts w:hint="eastAsia" w:ascii="仿宋" w:hAnsi="仿宋" w:eastAsia="仿宋" w:cs="仿宋"/>
          <w:b/>
          <w:sz w:val="24"/>
          <w:szCs w:val="24"/>
        </w:rPr>
        <w:t>否则投标无效</w:t>
      </w:r>
      <w:r>
        <w:rPr>
          <w:rFonts w:hint="eastAsia" w:ascii="仿宋" w:hAnsi="仿宋" w:eastAsia="仿宋" w:cs="仿宋"/>
          <w:sz w:val="24"/>
          <w:szCs w:val="24"/>
        </w:rPr>
        <w:t>。</w:t>
      </w:r>
    </w:p>
    <w:p w14:paraId="366FD407">
      <w:pPr>
        <w:spacing w:line="360" w:lineRule="auto"/>
        <w:ind w:firstLine="360"/>
        <w:rPr>
          <w:rFonts w:ascii="仿宋" w:hAnsi="仿宋" w:eastAsia="仿宋" w:cs="仿宋"/>
          <w:sz w:val="24"/>
          <w:szCs w:val="24"/>
        </w:rPr>
      </w:pPr>
      <w:r>
        <w:rPr>
          <w:rFonts w:hint="eastAsia" w:ascii="仿宋" w:hAnsi="仿宋" w:eastAsia="仿宋" w:cs="仿宋"/>
          <w:sz w:val="24"/>
          <w:szCs w:val="24"/>
        </w:rPr>
        <w:t>21.2采购代理机构推迟投标截止时间时，应以更正公告的形式，通知所有投标人。在这种情况下，采购代理机构和投标人的权利和义务将受到新的截止期的约束。</w:t>
      </w:r>
    </w:p>
    <w:p w14:paraId="5EF6E9AD">
      <w:pPr>
        <w:spacing w:line="360" w:lineRule="auto"/>
        <w:ind w:firstLine="360"/>
        <w:rPr>
          <w:rFonts w:ascii="仿宋" w:hAnsi="仿宋" w:eastAsia="仿宋" w:cs="仿宋"/>
          <w:sz w:val="24"/>
          <w:szCs w:val="24"/>
        </w:rPr>
      </w:pPr>
      <w:r>
        <w:rPr>
          <w:rFonts w:hint="eastAsia" w:ascii="仿宋" w:hAnsi="仿宋" w:eastAsia="仿宋" w:cs="仿宋"/>
          <w:sz w:val="24"/>
          <w:szCs w:val="24"/>
        </w:rPr>
        <w:t>21.3在投标截止时间止，采购代理机构于本项目（或标段）收到的电子投标文件少于三份的，采购代理机构有权宣布本项目（或标段）招标失败。</w:t>
      </w:r>
    </w:p>
    <w:p w14:paraId="5D8B7A61">
      <w:pPr>
        <w:spacing w:line="360" w:lineRule="auto"/>
        <w:rPr>
          <w:rFonts w:ascii="仿宋" w:hAnsi="仿宋" w:eastAsia="仿宋" w:cs="仿宋"/>
          <w:b/>
          <w:sz w:val="24"/>
          <w:szCs w:val="24"/>
        </w:rPr>
      </w:pPr>
      <w:r>
        <w:rPr>
          <w:rFonts w:hint="eastAsia" w:ascii="仿宋" w:hAnsi="仿宋" w:eastAsia="仿宋" w:cs="仿宋"/>
          <w:b/>
          <w:sz w:val="24"/>
          <w:szCs w:val="24"/>
        </w:rPr>
        <w:t>22. 投标文件的修改和撤回</w:t>
      </w:r>
    </w:p>
    <w:p w14:paraId="278ED205">
      <w:pPr>
        <w:spacing w:line="360" w:lineRule="auto"/>
        <w:ind w:firstLine="360"/>
        <w:rPr>
          <w:rFonts w:ascii="仿宋" w:hAnsi="仿宋" w:eastAsia="仿宋" w:cs="仿宋"/>
          <w:sz w:val="24"/>
          <w:szCs w:val="24"/>
        </w:rPr>
      </w:pPr>
      <w:r>
        <w:rPr>
          <w:rFonts w:hint="eastAsia" w:ascii="仿宋" w:hAnsi="仿宋" w:eastAsia="仿宋" w:cs="仿宋"/>
          <w:sz w:val="24"/>
          <w:szCs w:val="24"/>
        </w:rPr>
        <w:t>22.1投标人在提交投标文件截止时间前，可对其投标文件进行撤回或修改。</w:t>
      </w:r>
    </w:p>
    <w:p w14:paraId="08C5E608">
      <w:pPr>
        <w:spacing w:line="360" w:lineRule="auto"/>
        <w:ind w:firstLine="360"/>
        <w:rPr>
          <w:rFonts w:ascii="仿宋" w:hAnsi="仿宋" w:eastAsia="仿宋" w:cs="仿宋"/>
          <w:sz w:val="24"/>
          <w:szCs w:val="24"/>
        </w:rPr>
      </w:pPr>
      <w:r>
        <w:rPr>
          <w:rFonts w:hint="eastAsia" w:ascii="仿宋" w:hAnsi="仿宋" w:eastAsia="仿宋" w:cs="仿宋"/>
          <w:sz w:val="24"/>
          <w:szCs w:val="24"/>
        </w:rPr>
        <w:t>23.2开标后投标人不得撤回投标。</w:t>
      </w:r>
    </w:p>
    <w:p w14:paraId="1DA97395">
      <w:pPr>
        <w:spacing w:line="360" w:lineRule="auto"/>
        <w:rPr>
          <w:rFonts w:ascii="仿宋" w:hAnsi="仿宋" w:eastAsia="仿宋" w:cs="仿宋"/>
          <w:b/>
          <w:sz w:val="24"/>
          <w:szCs w:val="24"/>
        </w:rPr>
      </w:pPr>
      <w:r>
        <w:rPr>
          <w:rFonts w:hint="eastAsia" w:ascii="仿宋" w:hAnsi="仿宋" w:eastAsia="仿宋" w:cs="仿宋"/>
          <w:b/>
          <w:sz w:val="24"/>
          <w:szCs w:val="24"/>
        </w:rPr>
        <w:t>六、开标和评标</w:t>
      </w:r>
    </w:p>
    <w:p w14:paraId="4E41AB73">
      <w:pPr>
        <w:spacing w:line="360" w:lineRule="auto"/>
        <w:rPr>
          <w:rFonts w:ascii="仿宋" w:hAnsi="仿宋" w:eastAsia="仿宋" w:cs="仿宋"/>
          <w:b/>
          <w:sz w:val="24"/>
          <w:szCs w:val="24"/>
        </w:rPr>
      </w:pPr>
      <w:r>
        <w:rPr>
          <w:rFonts w:hint="eastAsia" w:ascii="仿宋" w:hAnsi="仿宋" w:eastAsia="仿宋" w:cs="仿宋"/>
          <w:b/>
          <w:sz w:val="24"/>
          <w:szCs w:val="24"/>
        </w:rPr>
        <w:t>23. 开标</w:t>
      </w:r>
    </w:p>
    <w:p w14:paraId="2CD4D996">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rPr>
      </w:pPr>
      <w:r>
        <w:rPr>
          <w:rFonts w:hint="eastAsia" w:ascii="仿宋" w:hAnsi="仿宋" w:eastAsia="仿宋" w:cs="仿宋"/>
          <w:sz w:val="24"/>
        </w:rPr>
        <w:t>23.1采购代理机构按采购公告规定的时间、地点主持不见面开标活动。开标仪式由采购代理机构、采购人等主持。</w:t>
      </w:r>
    </w:p>
    <w:p w14:paraId="399680E1">
      <w:pPr>
        <w:pBdr>
          <w:top w:val="none" w:color="000000" w:sz="0" w:space="0"/>
          <w:left w:val="none" w:color="000000" w:sz="0" w:space="0"/>
          <w:bottom w:val="none" w:color="000000" w:sz="0" w:space="0"/>
          <w:right w:val="none" w:color="000000" w:sz="0" w:space="0"/>
        </w:pBdr>
        <w:spacing w:line="360" w:lineRule="auto"/>
        <w:ind w:firstLine="363"/>
        <w:rPr>
          <w:rFonts w:ascii="仿宋" w:hAnsi="仿宋" w:eastAsia="仿宋" w:cs="仿宋"/>
        </w:rPr>
      </w:pPr>
      <w:r>
        <w:rPr>
          <w:rFonts w:hint="eastAsia" w:ascii="仿宋" w:hAnsi="仿宋" w:eastAsia="仿宋" w:cs="仿宋"/>
          <w:sz w:val="24"/>
        </w:rPr>
        <w:t>23.2</w:t>
      </w:r>
      <w:r>
        <w:rPr>
          <w:rFonts w:hint="eastAsia" w:ascii="仿宋" w:hAnsi="仿宋" w:eastAsia="仿宋" w:cs="仿宋"/>
          <w:b/>
          <w:sz w:val="24"/>
        </w:rPr>
        <w:t>参加开标的投标法定代表人或授权代理人须在项目开标前登录苏采云不见面开标系统，进入网上不见面开标大厅，做好相关准备工作。</w:t>
      </w:r>
    </w:p>
    <w:p w14:paraId="1F8C62ED">
      <w:pPr>
        <w:pBdr>
          <w:top w:val="none" w:color="000000" w:sz="0" w:space="0"/>
          <w:left w:val="none" w:color="000000" w:sz="0" w:space="0"/>
          <w:bottom w:val="none" w:color="000000" w:sz="0" w:space="0"/>
          <w:right w:val="none" w:color="000000" w:sz="0" w:space="0"/>
        </w:pBdr>
        <w:spacing w:line="360" w:lineRule="auto"/>
        <w:ind w:firstLine="363"/>
        <w:rPr>
          <w:rFonts w:ascii="仿宋" w:hAnsi="仿宋" w:eastAsia="仿宋" w:cs="仿宋"/>
        </w:rPr>
      </w:pPr>
      <w:r>
        <w:rPr>
          <w:rFonts w:hint="eastAsia" w:ascii="仿宋" w:hAnsi="仿宋" w:eastAsia="仿宋" w:cs="仿宋"/>
          <w:sz w:val="24"/>
        </w:rPr>
        <w:t>23.3</w:t>
      </w:r>
      <w:r>
        <w:rPr>
          <w:rFonts w:hint="eastAsia" w:ascii="仿宋" w:hAnsi="仿宋" w:eastAsia="仿宋" w:cs="仿宋"/>
          <w:b/>
          <w:sz w:val="24"/>
        </w:rPr>
        <w:t>本项目开标后在规定的解密时间内，投标人须自行登录网上开标大厅解密投标文件，解密时间为15分钟，因自身原因导致解密失败的，由投标人自行承担相关责任。</w:t>
      </w:r>
    </w:p>
    <w:p w14:paraId="3C35744A">
      <w:pPr>
        <w:spacing w:line="360" w:lineRule="auto"/>
        <w:ind w:firstLine="363"/>
        <w:rPr>
          <w:rFonts w:ascii="仿宋" w:hAnsi="仿宋" w:eastAsia="仿宋" w:cs="仿宋"/>
          <w:sz w:val="24"/>
          <w:szCs w:val="24"/>
        </w:rPr>
      </w:pPr>
      <w:r>
        <w:rPr>
          <w:rFonts w:hint="eastAsia" w:ascii="仿宋" w:hAnsi="仿宋" w:eastAsia="仿宋" w:cs="仿宋"/>
          <w:sz w:val="24"/>
          <w:szCs w:val="24"/>
        </w:rPr>
        <w:t>23.4采购代理机构在开标仪式上，将公布投标人的名称、投标价格，并将作唱标记录。</w:t>
      </w:r>
    </w:p>
    <w:p w14:paraId="11531889">
      <w:pPr>
        <w:spacing w:line="360" w:lineRule="auto"/>
        <w:ind w:firstLine="363"/>
        <w:rPr>
          <w:rFonts w:ascii="仿宋" w:hAnsi="仿宋" w:eastAsia="仿宋" w:cs="仿宋"/>
          <w:sz w:val="24"/>
          <w:szCs w:val="24"/>
        </w:rPr>
      </w:pPr>
      <w:r>
        <w:rPr>
          <w:rFonts w:hint="eastAsia" w:ascii="仿宋" w:hAnsi="仿宋" w:eastAsia="仿宋" w:cs="仿宋"/>
          <w:sz w:val="24"/>
          <w:szCs w:val="24"/>
        </w:rPr>
        <w:t>23.5投标人代表对开标过程和开标记录有疑义，以及认为采购人、采购代理机构相关工</w:t>
      </w:r>
      <w:r>
        <w:rPr>
          <w:rFonts w:hint="eastAsia" w:ascii="仿宋" w:hAnsi="仿宋" w:eastAsia="仿宋" w:cs="仿宋"/>
          <w:sz w:val="24"/>
        </w:rPr>
        <w:t>作人员有需要回避的情形的，</w:t>
      </w:r>
      <w:r>
        <w:rPr>
          <w:rFonts w:hint="eastAsia" w:ascii="仿宋" w:hAnsi="仿宋" w:eastAsia="仿宋" w:cs="仿宋"/>
          <w:b/>
          <w:sz w:val="24"/>
        </w:rPr>
        <w:t>应通过不见面开标大厅提出</w:t>
      </w:r>
      <w:r>
        <w:rPr>
          <w:rFonts w:hint="eastAsia" w:ascii="仿宋" w:hAnsi="仿宋" w:eastAsia="仿宋" w:cs="仿宋"/>
          <w:sz w:val="24"/>
        </w:rPr>
        <w:t>询问或者回避申请。采购人、采购代理机构对投标人代表提出的询问或者回避申请应当及时处理。</w:t>
      </w:r>
    </w:p>
    <w:p w14:paraId="6D23EE91">
      <w:pPr>
        <w:spacing w:line="360" w:lineRule="auto"/>
        <w:rPr>
          <w:rFonts w:ascii="仿宋" w:hAnsi="仿宋" w:eastAsia="仿宋" w:cs="仿宋"/>
          <w:b/>
          <w:sz w:val="24"/>
          <w:szCs w:val="24"/>
        </w:rPr>
      </w:pPr>
      <w:r>
        <w:rPr>
          <w:rFonts w:hint="eastAsia" w:ascii="仿宋" w:hAnsi="仿宋" w:eastAsia="仿宋" w:cs="仿宋"/>
          <w:b/>
          <w:sz w:val="24"/>
          <w:szCs w:val="24"/>
        </w:rPr>
        <w:t>24. 评标委员会</w:t>
      </w:r>
      <w:r>
        <w:rPr>
          <w:rFonts w:hint="eastAsia" w:ascii="仿宋" w:hAnsi="仿宋" w:eastAsia="仿宋" w:cs="仿宋"/>
          <w:b/>
          <w:sz w:val="24"/>
          <w:szCs w:val="24"/>
        </w:rPr>
        <w:tab/>
      </w:r>
    </w:p>
    <w:p w14:paraId="1070B6E2">
      <w:pPr>
        <w:spacing w:line="360" w:lineRule="auto"/>
        <w:ind w:firstLine="360"/>
        <w:rPr>
          <w:rFonts w:ascii="仿宋" w:hAnsi="仿宋" w:eastAsia="仿宋" w:cs="仿宋"/>
          <w:sz w:val="24"/>
          <w:szCs w:val="24"/>
        </w:rPr>
      </w:pPr>
      <w:r>
        <w:rPr>
          <w:rFonts w:hint="eastAsia" w:ascii="仿宋" w:hAnsi="仿宋" w:eastAsia="仿宋" w:cs="仿宋"/>
          <w:sz w:val="24"/>
          <w:szCs w:val="24"/>
        </w:rPr>
        <w:t>24.1评标委员会由采购人或委托采购代理机构依法组建，负责本项目的评标事务。</w:t>
      </w:r>
    </w:p>
    <w:p w14:paraId="6515BC85">
      <w:pPr>
        <w:spacing w:line="360" w:lineRule="auto"/>
        <w:ind w:firstLine="360"/>
        <w:rPr>
          <w:rFonts w:ascii="仿宋" w:hAnsi="仿宋" w:eastAsia="仿宋" w:cs="仿宋"/>
          <w:sz w:val="24"/>
          <w:szCs w:val="24"/>
        </w:rPr>
      </w:pPr>
      <w:r>
        <w:rPr>
          <w:rFonts w:hint="eastAsia" w:ascii="仿宋" w:hAnsi="仿宋" w:eastAsia="仿宋" w:cs="仿宋"/>
          <w:sz w:val="24"/>
          <w:szCs w:val="24"/>
        </w:rPr>
        <w:t>24.2评标委员会独立履行下列职责：</w:t>
      </w:r>
    </w:p>
    <w:p w14:paraId="64BD2768">
      <w:pPr>
        <w:spacing w:line="360" w:lineRule="auto"/>
        <w:ind w:firstLine="360"/>
        <w:rPr>
          <w:rFonts w:ascii="仿宋" w:hAnsi="仿宋" w:eastAsia="仿宋" w:cs="仿宋"/>
          <w:sz w:val="24"/>
          <w:szCs w:val="24"/>
        </w:rPr>
      </w:pPr>
      <w:r>
        <w:rPr>
          <w:rFonts w:hint="eastAsia" w:ascii="仿宋" w:hAnsi="仿宋" w:eastAsia="仿宋" w:cs="仿宋"/>
          <w:sz w:val="24"/>
          <w:szCs w:val="24"/>
        </w:rPr>
        <w:t>24.2.1审查投标文件是否符合招标文件的要求，并作出评价；</w:t>
      </w:r>
    </w:p>
    <w:p w14:paraId="6FD69EA2">
      <w:pPr>
        <w:spacing w:line="360" w:lineRule="auto"/>
        <w:ind w:firstLine="360"/>
        <w:rPr>
          <w:rFonts w:ascii="仿宋" w:hAnsi="仿宋" w:eastAsia="仿宋" w:cs="仿宋"/>
          <w:sz w:val="24"/>
          <w:szCs w:val="24"/>
        </w:rPr>
      </w:pPr>
      <w:r>
        <w:rPr>
          <w:rFonts w:hint="eastAsia" w:ascii="仿宋" w:hAnsi="仿宋" w:eastAsia="仿宋" w:cs="仿宋"/>
          <w:sz w:val="24"/>
          <w:szCs w:val="24"/>
        </w:rPr>
        <w:t>24.2.2可以要求投标供应商对投标文件有关事项作出解释或澄清；</w:t>
      </w:r>
    </w:p>
    <w:p w14:paraId="3BDD5BA0">
      <w:pPr>
        <w:spacing w:line="360" w:lineRule="auto"/>
        <w:ind w:firstLine="360"/>
        <w:rPr>
          <w:rFonts w:ascii="仿宋" w:hAnsi="仿宋" w:eastAsia="仿宋" w:cs="仿宋"/>
          <w:sz w:val="24"/>
          <w:szCs w:val="24"/>
        </w:rPr>
      </w:pPr>
      <w:r>
        <w:rPr>
          <w:rFonts w:hint="eastAsia" w:ascii="仿宋" w:hAnsi="仿宋" w:eastAsia="仿宋" w:cs="仿宋"/>
          <w:sz w:val="24"/>
          <w:szCs w:val="24"/>
        </w:rPr>
        <w:t>24.2.3推荐中标候选供应商名单，或者受采购人委托按照事先确定的办法直接确定中标供应商；</w:t>
      </w:r>
    </w:p>
    <w:p w14:paraId="42C5B3A6">
      <w:pPr>
        <w:spacing w:line="360" w:lineRule="auto"/>
        <w:ind w:firstLine="360"/>
        <w:rPr>
          <w:rFonts w:ascii="仿宋" w:hAnsi="仿宋" w:eastAsia="仿宋" w:cs="仿宋"/>
          <w:sz w:val="24"/>
          <w:szCs w:val="24"/>
        </w:rPr>
      </w:pPr>
      <w:r>
        <w:rPr>
          <w:rFonts w:hint="eastAsia" w:ascii="仿宋" w:hAnsi="仿宋" w:eastAsia="仿宋" w:cs="仿宋"/>
          <w:sz w:val="24"/>
          <w:szCs w:val="24"/>
        </w:rPr>
        <w:t>24.2.4向采购代理机构或者有关部门报告非法干预评标工作的行为；</w:t>
      </w:r>
    </w:p>
    <w:p w14:paraId="38C09416">
      <w:pPr>
        <w:spacing w:line="360" w:lineRule="auto"/>
        <w:ind w:firstLine="360"/>
        <w:rPr>
          <w:rFonts w:ascii="仿宋" w:hAnsi="仿宋" w:eastAsia="仿宋" w:cs="仿宋"/>
          <w:sz w:val="24"/>
          <w:szCs w:val="24"/>
        </w:rPr>
      </w:pPr>
      <w:r>
        <w:rPr>
          <w:rFonts w:hint="eastAsia" w:ascii="仿宋" w:hAnsi="仿宋" w:eastAsia="仿宋" w:cs="仿宋"/>
          <w:sz w:val="24"/>
          <w:szCs w:val="24"/>
        </w:rPr>
        <w:t>24.3评标委员会成员应当履行下列义务：</w:t>
      </w:r>
    </w:p>
    <w:p w14:paraId="263D1CE9">
      <w:pPr>
        <w:spacing w:line="360" w:lineRule="auto"/>
        <w:ind w:firstLine="360"/>
        <w:rPr>
          <w:rFonts w:ascii="仿宋" w:hAnsi="仿宋" w:eastAsia="仿宋" w:cs="仿宋"/>
          <w:sz w:val="24"/>
          <w:szCs w:val="24"/>
        </w:rPr>
      </w:pPr>
      <w:r>
        <w:rPr>
          <w:rFonts w:hint="eastAsia" w:ascii="仿宋" w:hAnsi="仿宋" w:eastAsia="仿宋" w:cs="仿宋"/>
          <w:sz w:val="24"/>
          <w:szCs w:val="24"/>
        </w:rPr>
        <w:t>24.3.1遵纪守法，客观、公正、廉洁地履行职责；</w:t>
      </w:r>
    </w:p>
    <w:p w14:paraId="6C1463E3">
      <w:pPr>
        <w:spacing w:line="360" w:lineRule="auto"/>
        <w:ind w:firstLine="360"/>
        <w:rPr>
          <w:rFonts w:ascii="仿宋" w:hAnsi="仿宋" w:eastAsia="仿宋" w:cs="仿宋"/>
          <w:sz w:val="24"/>
          <w:szCs w:val="24"/>
        </w:rPr>
      </w:pPr>
      <w:r>
        <w:rPr>
          <w:rFonts w:hint="eastAsia" w:ascii="仿宋" w:hAnsi="仿宋" w:eastAsia="仿宋" w:cs="仿宋"/>
          <w:sz w:val="24"/>
          <w:szCs w:val="24"/>
        </w:rPr>
        <w:t>24.3.2按照招标文件规定的评标办法和评标标准进行评标，对评审意见承担个人责任；</w:t>
      </w:r>
    </w:p>
    <w:p w14:paraId="61D68A43">
      <w:pPr>
        <w:spacing w:line="360" w:lineRule="auto"/>
        <w:ind w:firstLine="360"/>
        <w:rPr>
          <w:rFonts w:ascii="仿宋" w:hAnsi="仿宋" w:eastAsia="仿宋" w:cs="仿宋"/>
          <w:sz w:val="24"/>
          <w:szCs w:val="24"/>
        </w:rPr>
      </w:pPr>
      <w:r>
        <w:rPr>
          <w:rFonts w:hint="eastAsia" w:ascii="仿宋" w:hAnsi="仿宋" w:eastAsia="仿宋" w:cs="仿宋"/>
          <w:sz w:val="24"/>
          <w:szCs w:val="24"/>
        </w:rPr>
        <w:t>24.3.3对评标过程和结果，以及投标人的商业秘密保密；</w:t>
      </w:r>
    </w:p>
    <w:p w14:paraId="45919C25">
      <w:pPr>
        <w:spacing w:line="360" w:lineRule="auto"/>
        <w:ind w:firstLine="360"/>
        <w:rPr>
          <w:rFonts w:ascii="仿宋" w:hAnsi="仿宋" w:eastAsia="仿宋" w:cs="仿宋"/>
          <w:sz w:val="24"/>
          <w:szCs w:val="24"/>
        </w:rPr>
      </w:pPr>
      <w:r>
        <w:rPr>
          <w:rFonts w:hint="eastAsia" w:ascii="仿宋" w:hAnsi="仿宋" w:eastAsia="仿宋" w:cs="仿宋"/>
          <w:sz w:val="24"/>
          <w:szCs w:val="24"/>
        </w:rPr>
        <w:t>24.3.4参与评标报告的起草；</w:t>
      </w:r>
    </w:p>
    <w:p w14:paraId="7035714C">
      <w:pPr>
        <w:spacing w:line="360" w:lineRule="auto"/>
        <w:ind w:firstLine="360"/>
        <w:rPr>
          <w:rFonts w:ascii="仿宋" w:hAnsi="仿宋" w:eastAsia="仿宋" w:cs="仿宋"/>
          <w:sz w:val="24"/>
          <w:szCs w:val="24"/>
        </w:rPr>
      </w:pPr>
      <w:r>
        <w:rPr>
          <w:rFonts w:hint="eastAsia" w:ascii="仿宋" w:hAnsi="仿宋" w:eastAsia="仿宋" w:cs="仿宋"/>
          <w:sz w:val="24"/>
          <w:szCs w:val="24"/>
        </w:rPr>
        <w:t>24.3.5配合采购代理机构答复投标供应商提出的质疑；</w:t>
      </w:r>
    </w:p>
    <w:p w14:paraId="1F6D2312">
      <w:pPr>
        <w:spacing w:line="360" w:lineRule="auto"/>
        <w:ind w:firstLine="360"/>
        <w:rPr>
          <w:rFonts w:ascii="仿宋" w:hAnsi="仿宋" w:eastAsia="仿宋" w:cs="仿宋"/>
          <w:sz w:val="24"/>
          <w:szCs w:val="24"/>
        </w:rPr>
      </w:pPr>
      <w:r>
        <w:rPr>
          <w:rFonts w:hint="eastAsia" w:ascii="仿宋" w:hAnsi="仿宋" w:eastAsia="仿宋" w:cs="仿宋"/>
          <w:sz w:val="24"/>
          <w:szCs w:val="24"/>
        </w:rPr>
        <w:t>24.3.6配合相关部门的投诉处理工作；</w:t>
      </w:r>
    </w:p>
    <w:p w14:paraId="5F54291A">
      <w:pPr>
        <w:spacing w:line="360" w:lineRule="auto"/>
        <w:rPr>
          <w:rFonts w:ascii="仿宋" w:hAnsi="仿宋" w:eastAsia="仿宋" w:cs="仿宋"/>
          <w:b/>
          <w:sz w:val="24"/>
          <w:szCs w:val="24"/>
        </w:rPr>
      </w:pPr>
      <w:r>
        <w:rPr>
          <w:rFonts w:hint="eastAsia" w:ascii="仿宋" w:hAnsi="仿宋" w:eastAsia="仿宋" w:cs="仿宋"/>
          <w:b/>
          <w:sz w:val="24"/>
          <w:szCs w:val="24"/>
        </w:rPr>
        <w:t>25. 评标内容的保密</w:t>
      </w:r>
    </w:p>
    <w:p w14:paraId="1CBCC162">
      <w:pPr>
        <w:spacing w:line="360" w:lineRule="auto"/>
        <w:ind w:firstLine="360"/>
        <w:rPr>
          <w:rFonts w:ascii="仿宋" w:hAnsi="仿宋" w:eastAsia="仿宋" w:cs="仿宋"/>
          <w:sz w:val="24"/>
          <w:szCs w:val="24"/>
        </w:rPr>
      </w:pPr>
      <w:r>
        <w:rPr>
          <w:rFonts w:hint="eastAsia" w:ascii="仿宋" w:hAnsi="仿宋" w:eastAsia="仿宋" w:cs="仿宋"/>
          <w:sz w:val="24"/>
          <w:szCs w:val="24"/>
        </w:rPr>
        <w:t>25.1公开开标后，直到宣布授予中标供应商合同为止，凡属于审查、澄清、评价和比较投标的所有资料，有关授予合同的信息都不应向投标人或与评标无关的其他人泄露。</w:t>
      </w:r>
    </w:p>
    <w:p w14:paraId="39197B13">
      <w:pPr>
        <w:spacing w:line="360" w:lineRule="auto"/>
        <w:ind w:firstLine="360"/>
        <w:rPr>
          <w:rFonts w:ascii="仿宋" w:hAnsi="仿宋" w:eastAsia="仿宋" w:cs="仿宋"/>
          <w:sz w:val="24"/>
          <w:szCs w:val="24"/>
        </w:rPr>
      </w:pPr>
      <w:r>
        <w:rPr>
          <w:rFonts w:hint="eastAsia" w:ascii="仿宋" w:hAnsi="仿宋" w:eastAsia="仿宋" w:cs="仿宋"/>
          <w:sz w:val="24"/>
          <w:szCs w:val="24"/>
        </w:rPr>
        <w:t>25.2 在投标文件的审查、澄清、评价和比较以及授予合同的过程中，投标人对采购代理机构和评标委员会成员施加影响的任何行为，都将取消其投标资格。</w:t>
      </w:r>
    </w:p>
    <w:p w14:paraId="095F8113">
      <w:pPr>
        <w:spacing w:line="360" w:lineRule="auto"/>
        <w:ind w:firstLine="360"/>
        <w:rPr>
          <w:rFonts w:ascii="仿宋" w:hAnsi="仿宋" w:eastAsia="仿宋" w:cs="仿宋"/>
          <w:sz w:val="24"/>
          <w:szCs w:val="24"/>
        </w:rPr>
      </w:pPr>
      <w:r>
        <w:rPr>
          <w:rFonts w:hint="eastAsia" w:ascii="仿宋" w:hAnsi="仿宋" w:eastAsia="仿宋" w:cs="仿宋"/>
          <w:sz w:val="24"/>
          <w:szCs w:val="24"/>
        </w:rPr>
        <w:t>25.3在评标期间，采购代理机构将通过指定联络人与投标人进行联系。</w:t>
      </w:r>
    </w:p>
    <w:p w14:paraId="198F14B7">
      <w:pPr>
        <w:spacing w:line="360" w:lineRule="auto"/>
        <w:rPr>
          <w:rFonts w:ascii="仿宋" w:hAnsi="仿宋" w:eastAsia="仿宋" w:cs="仿宋"/>
          <w:b/>
          <w:sz w:val="24"/>
          <w:szCs w:val="24"/>
        </w:rPr>
      </w:pPr>
      <w:r>
        <w:rPr>
          <w:rFonts w:hint="eastAsia" w:ascii="仿宋" w:hAnsi="仿宋" w:eastAsia="仿宋" w:cs="仿宋"/>
          <w:b/>
          <w:sz w:val="24"/>
          <w:szCs w:val="24"/>
        </w:rPr>
        <w:t>26.对投标文件初审</w:t>
      </w:r>
    </w:p>
    <w:p w14:paraId="308032B2">
      <w:pPr>
        <w:spacing w:line="360" w:lineRule="auto"/>
        <w:ind w:firstLine="360"/>
        <w:rPr>
          <w:rFonts w:ascii="仿宋" w:hAnsi="仿宋" w:eastAsia="仿宋" w:cs="仿宋"/>
          <w:sz w:val="24"/>
          <w:szCs w:val="24"/>
        </w:rPr>
      </w:pPr>
      <w:r>
        <w:rPr>
          <w:rFonts w:hint="eastAsia" w:ascii="仿宋" w:hAnsi="仿宋" w:eastAsia="仿宋" w:cs="仿宋"/>
          <w:sz w:val="24"/>
          <w:szCs w:val="24"/>
        </w:rPr>
        <w:t>26.1投标文件初审分为资格性检查和符合性检查。</w:t>
      </w:r>
    </w:p>
    <w:p w14:paraId="44217EFE">
      <w:pPr>
        <w:spacing w:line="360" w:lineRule="auto"/>
        <w:ind w:firstLine="360"/>
        <w:rPr>
          <w:rFonts w:ascii="仿宋" w:hAnsi="仿宋" w:eastAsia="仿宋" w:cs="仿宋"/>
          <w:sz w:val="24"/>
          <w:szCs w:val="24"/>
        </w:rPr>
      </w:pPr>
      <w:r>
        <w:rPr>
          <w:rFonts w:hint="eastAsia" w:ascii="仿宋" w:hAnsi="仿宋" w:eastAsia="仿宋" w:cs="仿宋"/>
          <w:sz w:val="24"/>
          <w:szCs w:val="24"/>
        </w:rPr>
        <w:t>26.1.1资格性检查。依据法律法规和招标文件的规定，采购人或者采购代理机构依法对投标人的资格进行审查。对投标文件中的资格证明、投标保证金承诺书等进行审查，以确定投标供应商是否具备投标资格。</w:t>
      </w:r>
    </w:p>
    <w:p w14:paraId="392A501A">
      <w:pPr>
        <w:spacing w:line="360" w:lineRule="auto"/>
        <w:ind w:firstLine="360"/>
        <w:rPr>
          <w:rFonts w:ascii="仿宋" w:hAnsi="仿宋" w:eastAsia="仿宋" w:cs="仿宋"/>
          <w:sz w:val="24"/>
          <w:szCs w:val="24"/>
          <w:lang w:val="zh-CN"/>
        </w:rPr>
      </w:pPr>
      <w:r>
        <w:rPr>
          <w:rFonts w:hint="eastAsia" w:ascii="仿宋" w:hAnsi="仿宋" w:eastAsia="仿宋" w:cs="仿宋"/>
          <w:sz w:val="24"/>
          <w:szCs w:val="24"/>
        </w:rPr>
        <w:t xml:space="preserve">26.1.2 </w:t>
      </w:r>
      <w:r>
        <w:rPr>
          <w:rFonts w:hint="eastAsia" w:ascii="仿宋" w:hAnsi="仿宋" w:eastAsia="仿宋" w:cs="仿宋"/>
          <w:sz w:val="24"/>
          <w:szCs w:val="24"/>
          <w:lang w:val="zh-CN"/>
        </w:rPr>
        <w:t>关于信用记录查询：</w:t>
      </w:r>
    </w:p>
    <w:p w14:paraId="17397503">
      <w:pPr>
        <w:spacing w:line="360" w:lineRule="auto"/>
        <w:ind w:firstLine="505"/>
        <w:rPr>
          <w:rFonts w:ascii="仿宋" w:hAnsi="仿宋" w:eastAsia="仿宋" w:cs="仿宋"/>
          <w:sz w:val="24"/>
          <w:szCs w:val="24"/>
          <w:lang w:val="zh-CN"/>
        </w:rPr>
      </w:pPr>
      <w:r>
        <w:rPr>
          <w:rFonts w:hint="eastAsia" w:ascii="仿宋" w:hAnsi="仿宋" w:eastAsia="仿宋" w:cs="仿宋"/>
          <w:sz w:val="24"/>
        </w:rPr>
        <w:t>根据政府采购法及相关法规，以及《国务院关于建立完善守信联合激励和失信联合惩戒制度加快推进社会诚信建设的指导意见》（国发〔2016〕33号）、《财政部关于在政府采购活动中查询及使用信用记录有关问题的通知》（财库（2016）125）文件规定，采购人将对供应商进行信用查询。对列入失信被执行人名单、重大税收违法案件当事人名单、政府采购严重违法失信行为记录名单的供应商，拒绝其参与政府采购活动。</w:t>
      </w:r>
    </w:p>
    <w:p w14:paraId="66074C21">
      <w:pPr>
        <w:spacing w:line="360" w:lineRule="auto"/>
        <w:ind w:firstLine="360"/>
        <w:rPr>
          <w:rFonts w:ascii="仿宋" w:hAnsi="仿宋" w:eastAsia="仿宋" w:cs="仿宋"/>
          <w:sz w:val="24"/>
          <w:szCs w:val="24"/>
          <w:lang w:val="zh-CN"/>
        </w:rPr>
      </w:pPr>
      <w:r>
        <w:rPr>
          <w:rFonts w:hint="eastAsia" w:ascii="仿宋" w:hAnsi="仿宋" w:eastAsia="仿宋" w:cs="仿宋"/>
          <w:sz w:val="24"/>
          <w:szCs w:val="24"/>
        </w:rPr>
        <w:t>26.1.2.1</w:t>
      </w:r>
      <w:r>
        <w:rPr>
          <w:rFonts w:hint="eastAsia" w:ascii="仿宋" w:hAnsi="仿宋" w:eastAsia="仿宋" w:cs="仿宋"/>
          <w:sz w:val="24"/>
          <w:szCs w:val="24"/>
          <w:lang w:val="zh-CN"/>
        </w:rPr>
        <w:t>查询时间：</w:t>
      </w:r>
      <w:r>
        <w:rPr>
          <w:rFonts w:hint="eastAsia" w:ascii="仿宋" w:hAnsi="仿宋" w:eastAsia="仿宋" w:cs="仿宋"/>
          <w:sz w:val="24"/>
        </w:rPr>
        <w:t>评标开始前</w:t>
      </w:r>
      <w:r>
        <w:rPr>
          <w:rFonts w:hint="eastAsia" w:ascii="仿宋" w:hAnsi="仿宋" w:eastAsia="仿宋" w:cs="仿宋"/>
          <w:sz w:val="24"/>
          <w:szCs w:val="24"/>
          <w:lang w:val="zh-CN"/>
        </w:rPr>
        <w:t>。</w:t>
      </w:r>
    </w:p>
    <w:p w14:paraId="492A3202">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sz w:val="24"/>
          <w:szCs w:val="24"/>
          <w:lang w:val="zh-CN"/>
        </w:rPr>
      </w:pPr>
      <w:r>
        <w:rPr>
          <w:rFonts w:hint="eastAsia" w:ascii="仿宋" w:hAnsi="仿宋" w:eastAsia="仿宋" w:cs="仿宋"/>
          <w:sz w:val="24"/>
          <w:szCs w:val="24"/>
        </w:rPr>
        <w:t>26.1.2.2</w:t>
      </w:r>
      <w:r>
        <w:rPr>
          <w:rFonts w:hint="eastAsia" w:ascii="仿宋" w:hAnsi="仿宋" w:eastAsia="仿宋" w:cs="仿宋"/>
          <w:sz w:val="24"/>
          <w:szCs w:val="24"/>
          <w:lang w:val="zh-CN"/>
        </w:rPr>
        <w:t>查询渠道：</w:t>
      </w:r>
      <w:r>
        <w:rPr>
          <w:rFonts w:hint="eastAsia" w:ascii="仿宋" w:hAnsi="仿宋" w:eastAsia="仿宋" w:cs="仿宋"/>
          <w:sz w:val="24"/>
        </w:rPr>
        <w:t>信用中国。</w:t>
      </w:r>
    </w:p>
    <w:p w14:paraId="60C364E3">
      <w:pPr>
        <w:spacing w:line="360" w:lineRule="auto"/>
        <w:ind w:firstLine="360"/>
        <w:rPr>
          <w:rFonts w:ascii="仿宋" w:hAnsi="仿宋" w:eastAsia="仿宋" w:cs="仿宋"/>
          <w:sz w:val="24"/>
          <w:szCs w:val="24"/>
          <w:lang w:val="zh-CN"/>
        </w:rPr>
      </w:pPr>
      <w:r>
        <w:rPr>
          <w:rFonts w:hint="eastAsia" w:ascii="仿宋" w:hAnsi="仿宋" w:eastAsia="仿宋" w:cs="仿宋"/>
          <w:sz w:val="24"/>
          <w:szCs w:val="24"/>
        </w:rPr>
        <w:t>26.1.2.3</w:t>
      </w:r>
      <w:r>
        <w:rPr>
          <w:rFonts w:hint="eastAsia" w:ascii="仿宋" w:hAnsi="仿宋" w:eastAsia="仿宋" w:cs="仿宋"/>
          <w:sz w:val="24"/>
          <w:szCs w:val="24"/>
          <w:lang w:val="zh-CN"/>
        </w:rPr>
        <w:t>查询证据留存方式：采购代理机构工作人员登录来源网站页面进行复核并打印，作为证据留存。</w:t>
      </w:r>
    </w:p>
    <w:p w14:paraId="7C4E3363">
      <w:pPr>
        <w:spacing w:line="360" w:lineRule="auto"/>
        <w:ind w:firstLine="360"/>
        <w:rPr>
          <w:rFonts w:ascii="仿宋" w:hAnsi="仿宋" w:eastAsia="仿宋" w:cs="仿宋"/>
          <w:sz w:val="24"/>
          <w:szCs w:val="24"/>
          <w:lang w:val="zh-CN"/>
        </w:rPr>
      </w:pPr>
      <w:r>
        <w:rPr>
          <w:rFonts w:hint="eastAsia" w:ascii="仿宋" w:hAnsi="仿宋" w:eastAsia="仿宋" w:cs="仿宋"/>
          <w:sz w:val="24"/>
          <w:szCs w:val="24"/>
        </w:rPr>
        <w:t>26.1.2.4</w:t>
      </w:r>
      <w:r>
        <w:rPr>
          <w:rFonts w:hint="eastAsia" w:ascii="仿宋" w:hAnsi="仿宋" w:eastAsia="仿宋" w:cs="仿宋"/>
          <w:sz w:val="24"/>
          <w:szCs w:val="24"/>
          <w:lang w:val="zh-CN"/>
        </w:rPr>
        <w:t>信用记录使用规则：评审小组在对供应商进行资格性审查时，应根据查询结果对供应商的不良信用记录逐项甄别确认。</w:t>
      </w:r>
    </w:p>
    <w:p w14:paraId="159035F7">
      <w:pPr>
        <w:spacing w:line="360" w:lineRule="auto"/>
        <w:ind w:firstLine="360"/>
        <w:rPr>
          <w:rFonts w:ascii="仿宋" w:hAnsi="仿宋" w:eastAsia="仿宋" w:cs="仿宋"/>
          <w:sz w:val="24"/>
          <w:szCs w:val="24"/>
        </w:rPr>
      </w:pPr>
      <w:r>
        <w:rPr>
          <w:rFonts w:hint="eastAsia" w:ascii="仿宋" w:hAnsi="仿宋" w:eastAsia="仿宋" w:cs="仿宋"/>
          <w:sz w:val="24"/>
          <w:szCs w:val="24"/>
        </w:rPr>
        <w:t>26.1.3符合性检查。依据招标文件的规定，从投标文件的有效性、完整性和对招标文件的响应程度进行审查，以确定是否对招标文件的实质性要求作出响应。</w:t>
      </w:r>
    </w:p>
    <w:p w14:paraId="726863FA">
      <w:pPr>
        <w:spacing w:line="360" w:lineRule="auto"/>
        <w:ind w:firstLine="360"/>
        <w:rPr>
          <w:rFonts w:ascii="仿宋" w:hAnsi="仿宋" w:eastAsia="仿宋" w:cs="仿宋"/>
          <w:sz w:val="24"/>
          <w:szCs w:val="24"/>
        </w:rPr>
      </w:pPr>
      <w:r>
        <w:rPr>
          <w:rFonts w:hint="eastAsia" w:ascii="仿宋" w:hAnsi="仿宋" w:eastAsia="仿宋" w:cs="仿宋"/>
          <w:sz w:val="24"/>
          <w:szCs w:val="24"/>
        </w:rPr>
        <w:t>26.2开标后，评标委员会将审查投标文件是否实质性响应招标文件的要求、内容是否完整、价格构成有无计算错误、文件签署是否齐全等。投标文件属下列情况之一的，评标委员会将按无效投标处理：</w:t>
      </w:r>
    </w:p>
    <w:p w14:paraId="4039FEC5">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26.2.1 不同投标人的投标文件由同一单位或者个人编制；</w:t>
      </w:r>
    </w:p>
    <w:p w14:paraId="119C6748">
      <w:pPr>
        <w:spacing w:line="360" w:lineRule="auto"/>
        <w:ind w:firstLine="360"/>
        <w:rPr>
          <w:rFonts w:ascii="仿宋" w:hAnsi="仿宋" w:eastAsia="仿宋" w:cs="仿宋"/>
          <w:sz w:val="24"/>
          <w:szCs w:val="24"/>
        </w:rPr>
      </w:pPr>
      <w:r>
        <w:rPr>
          <w:rFonts w:hint="eastAsia" w:ascii="仿宋" w:hAnsi="仿宋" w:eastAsia="仿宋" w:cs="仿宋"/>
          <w:sz w:val="24"/>
          <w:szCs w:val="24"/>
          <w:lang w:val="zh-CN"/>
        </w:rPr>
        <w:t>26.2.2不同投</w:t>
      </w:r>
      <w:r>
        <w:rPr>
          <w:rFonts w:hint="eastAsia" w:ascii="仿宋" w:hAnsi="仿宋" w:eastAsia="仿宋" w:cs="仿宋"/>
          <w:sz w:val="24"/>
          <w:szCs w:val="24"/>
        </w:rPr>
        <w:t>标人委托同一单位或者个人办理投标事宜；</w:t>
      </w:r>
    </w:p>
    <w:p w14:paraId="68D8F126">
      <w:pPr>
        <w:spacing w:line="360" w:lineRule="auto"/>
        <w:ind w:firstLine="360"/>
        <w:rPr>
          <w:rFonts w:ascii="仿宋" w:hAnsi="仿宋" w:eastAsia="仿宋" w:cs="仿宋"/>
          <w:sz w:val="24"/>
          <w:szCs w:val="24"/>
        </w:rPr>
      </w:pPr>
      <w:r>
        <w:rPr>
          <w:rFonts w:hint="eastAsia" w:ascii="仿宋" w:hAnsi="仿宋" w:eastAsia="仿宋" w:cs="仿宋"/>
          <w:sz w:val="24"/>
          <w:szCs w:val="24"/>
        </w:rPr>
        <w:t>26.2.3不同投标人的投标文件载明的项目管理成员或者联系人员为同一人；</w:t>
      </w:r>
    </w:p>
    <w:p w14:paraId="1CC03161">
      <w:pPr>
        <w:spacing w:line="360" w:lineRule="auto"/>
        <w:ind w:firstLine="360"/>
        <w:rPr>
          <w:rFonts w:ascii="仿宋" w:hAnsi="仿宋" w:eastAsia="仿宋" w:cs="仿宋"/>
          <w:sz w:val="24"/>
          <w:szCs w:val="24"/>
        </w:rPr>
      </w:pPr>
      <w:r>
        <w:rPr>
          <w:rFonts w:hint="eastAsia" w:ascii="仿宋" w:hAnsi="仿宋" w:eastAsia="仿宋" w:cs="仿宋"/>
          <w:sz w:val="24"/>
          <w:szCs w:val="24"/>
        </w:rPr>
        <w:t>26.2.4不同投标人的投标文件异常一致或者投标报价呈规律性差异；</w:t>
      </w:r>
    </w:p>
    <w:p w14:paraId="635DCB87">
      <w:pPr>
        <w:spacing w:line="360" w:lineRule="auto"/>
        <w:ind w:firstLine="360"/>
        <w:rPr>
          <w:rFonts w:ascii="仿宋" w:hAnsi="仿宋" w:eastAsia="仿宋" w:cs="仿宋"/>
          <w:sz w:val="24"/>
          <w:szCs w:val="24"/>
        </w:rPr>
      </w:pPr>
      <w:r>
        <w:rPr>
          <w:rFonts w:hint="eastAsia" w:ascii="仿宋" w:hAnsi="仿宋" w:eastAsia="仿宋" w:cs="仿宋"/>
          <w:sz w:val="24"/>
          <w:szCs w:val="24"/>
        </w:rPr>
        <w:t>26.2.5不同投标人的投标文件相互混装；</w:t>
      </w:r>
    </w:p>
    <w:p w14:paraId="609A8F27">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26.3在详细评标之前，</w:t>
      </w:r>
      <w:r>
        <w:rPr>
          <w:rFonts w:hint="eastAsia" w:ascii="仿宋" w:hAnsi="仿宋" w:eastAsia="仿宋" w:cs="仿宋"/>
          <w:sz w:val="24"/>
          <w:szCs w:val="24"/>
        </w:rPr>
        <w:t>评标委员会</w:t>
      </w:r>
      <w:r>
        <w:rPr>
          <w:rFonts w:hint="eastAsia" w:ascii="仿宋" w:hAnsi="仿宋" w:eastAsia="仿宋" w:cs="仿宋"/>
          <w:sz w:val="24"/>
          <w:szCs w:val="24"/>
          <w:lang w:val="zh-CN"/>
        </w:rPr>
        <w:t>将首先审查每份投标书是否实质响应了招标文件的要求。实质上响应的投标应该是与招标文件的全部条款、条件和规格相符，没有重大偏离或保留。所谓重大偏离或保留是指影响合同的供货范围、质量和性能等；或者在实质上与招标文件不一致〔如货物和服务的质量、数量明显不能满足招标文件的要求〕，而且限制了合同中买方的权利或投标单位的义务。这些偏离或保留将会对其他实质上响应要求的投标单位的竞争地位产生不公正的影响。</w:t>
      </w:r>
    </w:p>
    <w:p w14:paraId="6C6F2DBB">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26.4招标文件提供的工艺、材料、设备、参考的商标或样本目录号码等仅作为说明并没有限制性，投标供应商在投标中可以选用替代标准，但这些替代标准要优于或相当于技术规格中要求的标准，以满足采购单位的需要。</w:t>
      </w:r>
    </w:p>
    <w:p w14:paraId="5F4EB04B">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26.5</w:t>
      </w:r>
      <w:r>
        <w:rPr>
          <w:rFonts w:hint="eastAsia" w:ascii="仿宋" w:hAnsi="仿宋" w:eastAsia="仿宋" w:cs="仿宋"/>
          <w:sz w:val="24"/>
          <w:szCs w:val="24"/>
        </w:rPr>
        <w:t>评标委员会</w:t>
      </w:r>
      <w:r>
        <w:rPr>
          <w:rFonts w:hint="eastAsia" w:ascii="仿宋" w:hAnsi="仿宋" w:eastAsia="仿宋" w:cs="仿宋"/>
          <w:sz w:val="24"/>
          <w:szCs w:val="24"/>
          <w:lang w:val="zh-CN"/>
        </w:rPr>
        <w:t>将允许修改投标中不构成重大偏离的微小的、非正规、不一致或不规则的地方，但这些修改不能影响任何投标单位的名次相应排列。投标单位不得对招标文件进行实质性修改，否则投标文件将被拒绝。</w:t>
      </w:r>
    </w:p>
    <w:p w14:paraId="5DC09389">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26.6</w:t>
      </w:r>
      <w:r>
        <w:rPr>
          <w:rFonts w:hint="eastAsia" w:ascii="仿宋" w:hAnsi="仿宋" w:eastAsia="仿宋" w:cs="仿宋"/>
          <w:sz w:val="24"/>
          <w:szCs w:val="24"/>
        </w:rPr>
        <w:t>评标委员会</w:t>
      </w:r>
      <w:r>
        <w:rPr>
          <w:rFonts w:hint="eastAsia" w:ascii="仿宋" w:hAnsi="仿宋" w:eastAsia="仿宋" w:cs="仿宋"/>
          <w:sz w:val="24"/>
          <w:szCs w:val="24"/>
          <w:lang w:val="zh-CN"/>
        </w:rPr>
        <w:t>将对确定为实质性响应的投标进行审核，看其是否有计算上或累加上的算术错误，修正错误的原则如下：</w:t>
      </w:r>
    </w:p>
    <w:p w14:paraId="26250835">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26.6.1投标文件中开标一览表（报价表）内容与投标文件中相应内容不一致的，以开标一览表（报价表）为准；</w:t>
      </w:r>
    </w:p>
    <w:p w14:paraId="1A5063BB">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26.6.2大写金额和小写金额不一致的，以大写金额为准；</w:t>
      </w:r>
    </w:p>
    <w:p w14:paraId="32CA7943">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26.6.3单价金额小数点或者百分比有明显错位的，以开标一览表的总价为准，并修改单价；</w:t>
      </w:r>
    </w:p>
    <w:p w14:paraId="196B1FE7">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26.6.4总价金额与按单价汇总金额不一致的，以单价金额计算结果为准。</w:t>
      </w:r>
    </w:p>
    <w:p w14:paraId="3D4FF121">
      <w:pPr>
        <w:spacing w:line="360" w:lineRule="auto"/>
        <w:ind w:firstLine="360"/>
        <w:rPr>
          <w:rFonts w:ascii="仿宋" w:hAnsi="仿宋" w:eastAsia="仿宋" w:cs="仿宋"/>
          <w:sz w:val="24"/>
          <w:szCs w:val="24"/>
          <w:lang w:val="zh-CN"/>
        </w:rPr>
      </w:pPr>
      <w:r>
        <w:rPr>
          <w:rFonts w:hint="eastAsia" w:ascii="仿宋" w:hAnsi="仿宋" w:eastAsia="仿宋" w:cs="仿宋"/>
          <w:sz w:val="24"/>
          <w:szCs w:val="24"/>
          <w:lang w:val="zh-CN"/>
        </w:rPr>
        <w:t>同时出现两种以上不一致的，按照前款规定的顺序修正。修正后的报价按照本须知26.6条规定经投标人确认后产生约束力，投标人不确认的，其投标无效。</w:t>
      </w:r>
    </w:p>
    <w:p w14:paraId="5A5FF1F5">
      <w:pPr>
        <w:spacing w:line="360" w:lineRule="auto"/>
        <w:ind w:firstLine="482"/>
        <w:jc w:val="left"/>
        <w:rPr>
          <w:rFonts w:ascii="仿宋" w:hAnsi="仿宋" w:eastAsia="仿宋" w:cs="仿宋"/>
          <w:b/>
          <w:sz w:val="24"/>
          <w:szCs w:val="24"/>
        </w:rPr>
      </w:pPr>
      <w:r>
        <w:rPr>
          <w:rFonts w:hint="eastAsia" w:ascii="仿宋" w:hAnsi="仿宋" w:eastAsia="仿宋" w:cs="仿宋"/>
          <w:b/>
          <w:sz w:val="24"/>
          <w:szCs w:val="24"/>
        </w:rPr>
        <w:t>26.7评标委员会认为投标人的报价明显低于其他通过符合性审查投标人的报价，有可能影响产品质量或者不能诚信履约的，根据财政部《关于推动解决政府采购异常低价问题的通知》（财库〔2026〕2号），应当要求其在不见面开标大厅内合理的时间内提供说明，必要时提交相关证明材料：投标人不能证明其报价合理性的，评标委员会应当将其作为无效投标处理。</w:t>
      </w:r>
    </w:p>
    <w:p w14:paraId="4768B519">
      <w:pPr>
        <w:spacing w:line="360" w:lineRule="auto"/>
        <w:ind w:firstLine="482"/>
        <w:jc w:val="left"/>
        <w:rPr>
          <w:rFonts w:ascii="仿宋" w:hAnsi="仿宋" w:eastAsia="仿宋" w:cs="仿宋"/>
          <w:b/>
          <w:sz w:val="24"/>
          <w:szCs w:val="24"/>
        </w:rPr>
      </w:pPr>
      <w:r>
        <w:rPr>
          <w:rFonts w:hint="eastAsia" w:ascii="仿宋" w:hAnsi="仿宋" w:eastAsia="仿宋" w:cs="仿宋"/>
          <w:b/>
          <w:sz w:val="24"/>
          <w:szCs w:val="24"/>
        </w:rPr>
        <w:t>异常低价投标（响应）审查的情形和具体要求如下：</w:t>
      </w:r>
    </w:p>
    <w:p w14:paraId="5EAA4D7D">
      <w:pPr>
        <w:spacing w:line="360" w:lineRule="auto"/>
        <w:ind w:firstLine="482"/>
        <w:jc w:val="left"/>
        <w:rPr>
          <w:rFonts w:ascii="仿宋" w:hAnsi="仿宋" w:eastAsia="仿宋" w:cs="仿宋"/>
          <w:b/>
          <w:sz w:val="24"/>
          <w:szCs w:val="24"/>
        </w:rPr>
      </w:pPr>
      <w:r>
        <w:rPr>
          <w:rFonts w:ascii="仿宋" w:hAnsi="仿宋" w:eastAsia="仿宋" w:cs="仿宋"/>
          <w:b/>
          <w:sz w:val="24"/>
          <w:szCs w:val="24"/>
        </w:rPr>
        <w:t>26.7.1 投标</w:t>
      </w:r>
      <w:r>
        <w:rPr>
          <w:rFonts w:hint="eastAsia" w:ascii="仿宋" w:hAnsi="仿宋" w:eastAsia="仿宋" w:cs="仿宋"/>
          <w:b/>
          <w:sz w:val="24"/>
          <w:szCs w:val="24"/>
        </w:rPr>
        <w:t>（响应）报价低于全部通过符合性审查供应商投标（响应）报价平均值65</w:t>
      </w:r>
      <w:r>
        <w:rPr>
          <w:rFonts w:ascii="仿宋" w:hAnsi="仿宋" w:eastAsia="仿宋" w:cs="仿宋"/>
          <w:b/>
          <w:sz w:val="24"/>
          <w:szCs w:val="24"/>
        </w:rPr>
        <w:t>%的，即投标（响应）报价&lt;全部通过符合性审查供应商投标（响应）报价平均值×</w:t>
      </w:r>
      <w:r>
        <w:rPr>
          <w:rFonts w:hint="eastAsia" w:ascii="仿宋" w:hAnsi="仿宋" w:eastAsia="仿宋" w:cs="仿宋"/>
          <w:b/>
          <w:sz w:val="24"/>
          <w:szCs w:val="24"/>
        </w:rPr>
        <w:t>65</w:t>
      </w:r>
      <w:r>
        <w:rPr>
          <w:rFonts w:ascii="仿宋" w:hAnsi="仿宋" w:eastAsia="仿宋" w:cs="仿宋"/>
          <w:b/>
          <w:sz w:val="24"/>
          <w:szCs w:val="24"/>
        </w:rPr>
        <w:t>%；</w:t>
      </w:r>
    </w:p>
    <w:p w14:paraId="113C0DDF">
      <w:pPr>
        <w:spacing w:line="360" w:lineRule="auto"/>
        <w:ind w:firstLine="482"/>
        <w:jc w:val="left"/>
        <w:rPr>
          <w:rFonts w:ascii="仿宋" w:hAnsi="仿宋" w:eastAsia="仿宋" w:cs="仿宋"/>
          <w:b/>
          <w:sz w:val="24"/>
          <w:szCs w:val="24"/>
        </w:rPr>
      </w:pPr>
      <w:r>
        <w:rPr>
          <w:rFonts w:ascii="仿宋" w:hAnsi="仿宋" w:eastAsia="仿宋" w:cs="仿宋"/>
          <w:b/>
          <w:sz w:val="24"/>
          <w:szCs w:val="24"/>
        </w:rPr>
        <w:t>26.7.2 投标</w:t>
      </w:r>
      <w:r>
        <w:rPr>
          <w:rFonts w:hint="eastAsia" w:ascii="仿宋" w:hAnsi="仿宋" w:eastAsia="仿宋" w:cs="仿宋"/>
          <w:b/>
          <w:sz w:val="24"/>
          <w:szCs w:val="24"/>
        </w:rPr>
        <w:t>（响应）报价低于通过符合性审查的次低报价供应商投标（响应）报价65</w:t>
      </w:r>
      <w:r>
        <w:rPr>
          <w:rFonts w:ascii="仿宋" w:hAnsi="仿宋" w:eastAsia="仿宋" w:cs="仿宋"/>
          <w:b/>
          <w:sz w:val="24"/>
          <w:szCs w:val="24"/>
        </w:rPr>
        <w:t>%的，即投标（响应）报价&lt;通过符合性审查的次低报价供应商投标（响应）报价×</w:t>
      </w:r>
      <w:r>
        <w:rPr>
          <w:rFonts w:hint="eastAsia" w:ascii="仿宋" w:hAnsi="仿宋" w:eastAsia="仿宋" w:cs="仿宋"/>
          <w:b/>
          <w:sz w:val="24"/>
          <w:szCs w:val="24"/>
        </w:rPr>
        <w:t>65</w:t>
      </w:r>
      <w:r>
        <w:rPr>
          <w:rFonts w:ascii="仿宋" w:hAnsi="仿宋" w:eastAsia="仿宋" w:cs="仿宋"/>
          <w:b/>
          <w:sz w:val="24"/>
          <w:szCs w:val="24"/>
        </w:rPr>
        <w:t>%；</w:t>
      </w:r>
    </w:p>
    <w:p w14:paraId="03F42B3B">
      <w:pPr>
        <w:spacing w:line="360" w:lineRule="auto"/>
        <w:ind w:firstLine="482"/>
        <w:jc w:val="left"/>
        <w:rPr>
          <w:rFonts w:ascii="仿宋" w:hAnsi="仿宋" w:eastAsia="仿宋" w:cs="仿宋"/>
          <w:b/>
          <w:sz w:val="24"/>
          <w:szCs w:val="24"/>
        </w:rPr>
      </w:pPr>
      <w:r>
        <w:rPr>
          <w:rFonts w:ascii="仿宋" w:hAnsi="仿宋" w:eastAsia="仿宋" w:cs="仿宋"/>
          <w:b/>
          <w:sz w:val="24"/>
          <w:szCs w:val="24"/>
        </w:rPr>
        <w:t>26.7.3 投标</w:t>
      </w:r>
      <w:r>
        <w:rPr>
          <w:rFonts w:hint="eastAsia" w:ascii="仿宋" w:hAnsi="仿宋" w:eastAsia="仿宋" w:cs="仿宋"/>
          <w:b/>
          <w:sz w:val="24"/>
          <w:szCs w:val="24"/>
        </w:rPr>
        <w:t>（响应）报价低于采购项目最高限价65</w:t>
      </w:r>
      <w:r>
        <w:rPr>
          <w:rFonts w:ascii="仿宋" w:hAnsi="仿宋" w:eastAsia="仿宋" w:cs="仿宋"/>
          <w:b/>
          <w:sz w:val="24"/>
          <w:szCs w:val="24"/>
        </w:rPr>
        <w:t>%的，即投标（响应）报价&lt;采购项目最高限价×</w:t>
      </w:r>
      <w:r>
        <w:rPr>
          <w:rFonts w:hint="eastAsia" w:ascii="仿宋" w:hAnsi="仿宋" w:eastAsia="仿宋" w:cs="仿宋"/>
          <w:b/>
          <w:sz w:val="24"/>
          <w:szCs w:val="24"/>
        </w:rPr>
        <w:t>65</w:t>
      </w:r>
      <w:r>
        <w:rPr>
          <w:rFonts w:ascii="仿宋" w:hAnsi="仿宋" w:eastAsia="仿宋" w:cs="仿宋"/>
          <w:b/>
          <w:sz w:val="24"/>
          <w:szCs w:val="24"/>
        </w:rPr>
        <w:t>%；</w:t>
      </w:r>
    </w:p>
    <w:p w14:paraId="605F3052">
      <w:pPr>
        <w:spacing w:line="360" w:lineRule="auto"/>
        <w:ind w:firstLine="482"/>
        <w:jc w:val="left"/>
        <w:rPr>
          <w:rFonts w:ascii="仿宋" w:hAnsi="仿宋" w:eastAsia="仿宋" w:cs="仿宋"/>
          <w:b/>
          <w:sz w:val="24"/>
          <w:szCs w:val="24"/>
        </w:rPr>
      </w:pPr>
      <w:r>
        <w:rPr>
          <w:rFonts w:hint="eastAsia" w:ascii="仿宋" w:hAnsi="仿宋" w:eastAsia="仿宋" w:cs="仿宋"/>
          <w:b/>
          <w:sz w:val="24"/>
          <w:szCs w:val="24"/>
        </w:rPr>
        <w:t>26.7.4 评审委员会基于专业判断，认为供应商报价过低，有可能影响产品质量或者不能诚信履约的其他情形。</w:t>
      </w:r>
    </w:p>
    <w:p w14:paraId="413CA2C6">
      <w:pPr>
        <w:spacing w:line="360" w:lineRule="auto"/>
        <w:ind w:firstLine="482"/>
        <w:jc w:val="left"/>
        <w:rPr>
          <w:rFonts w:ascii="仿宋" w:hAnsi="仿宋" w:eastAsia="仿宋" w:cs="仿宋"/>
          <w:b/>
          <w:sz w:val="24"/>
          <w:szCs w:val="24"/>
        </w:rPr>
      </w:pPr>
      <w:r>
        <w:rPr>
          <w:rFonts w:hint="eastAsia" w:ascii="仿宋" w:hAnsi="仿宋" w:eastAsia="仿宋" w:cs="仿宋"/>
          <w:b/>
          <w:sz w:val="24"/>
          <w:szCs w:val="24"/>
        </w:rPr>
        <w:t xml:space="preserve">26.8 </w:t>
      </w:r>
      <w:r>
        <w:rPr>
          <w:rFonts w:hint="eastAsia" w:ascii="仿宋" w:hAnsi="仿宋" w:eastAsia="仿宋" w:cs="仿宋"/>
          <w:b/>
          <w:bCs/>
          <w:sz w:val="24"/>
          <w:szCs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w:t>
      </w:r>
      <w:r>
        <w:rPr>
          <w:rFonts w:hint="eastAsia" w:ascii="仿宋" w:hAnsi="仿宋" w:eastAsia="仿宋" w:cs="仿宋"/>
          <w:b/>
          <w:bCs/>
          <w:sz w:val="24"/>
          <w:szCs w:val="24"/>
          <w:lang w:eastAsia="zh-CN"/>
        </w:rPr>
        <w:t>供应商</w:t>
      </w:r>
      <w:r>
        <w:rPr>
          <w:rFonts w:hint="eastAsia" w:ascii="仿宋" w:hAnsi="仿宋" w:eastAsia="仿宋" w:cs="仿宋"/>
          <w:b/>
          <w:bCs/>
          <w:sz w:val="24"/>
          <w:szCs w:val="24"/>
        </w:rPr>
        <w:t>合理时间。其中，属于第3项情形，供应商已随投标（响应）文件一并提交相关书面说明及必要的证明材料的，在评审现场可不再重复提交。</w:t>
      </w:r>
      <w:r>
        <w:rPr>
          <w:rFonts w:hint="eastAsia" w:ascii="仿宋" w:hAnsi="仿宋" w:eastAsia="仿宋" w:cs="仿宋"/>
          <w:b/>
          <w:sz w:val="24"/>
          <w:szCs w:val="24"/>
        </w:rPr>
        <w:br w:type="textWrapping"/>
      </w:r>
      <w:r>
        <w:rPr>
          <w:rFonts w:hint="eastAsia" w:ascii="仿宋" w:hAnsi="仿宋" w:eastAsia="仿宋" w:cs="仿宋"/>
          <w:b/>
          <w:sz w:val="24"/>
          <w:szCs w:val="24"/>
        </w:rPr>
        <w:t xml:space="preserve">    26.9 </w:t>
      </w:r>
      <w:r>
        <w:rPr>
          <w:rFonts w:hint="eastAsia" w:ascii="仿宋" w:hAnsi="仿宋" w:eastAsia="仿宋" w:cs="仿宋"/>
          <w:b/>
          <w:bCs/>
          <w:sz w:val="24"/>
          <w:szCs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B7CBDEF">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26.10 评标委员会对投标文件的判定，只依据投标内容本身，不依靠开标后的任何外来证明。</w:t>
      </w:r>
    </w:p>
    <w:p w14:paraId="1DBC04CE">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26.11 评标委员会将拒绝被确定为非实质性响应的投标，投标人不能通过修正或撤销不符之处而使其投标成为实质性响应的投标。</w:t>
      </w:r>
    </w:p>
    <w:p w14:paraId="31C441D4">
      <w:pPr>
        <w:spacing w:line="360" w:lineRule="auto"/>
        <w:rPr>
          <w:rFonts w:ascii="仿宋" w:hAnsi="仿宋" w:eastAsia="仿宋" w:cs="仿宋"/>
          <w:b/>
          <w:sz w:val="24"/>
          <w:szCs w:val="24"/>
        </w:rPr>
      </w:pPr>
      <w:r>
        <w:rPr>
          <w:rFonts w:hint="eastAsia" w:ascii="仿宋" w:hAnsi="仿宋" w:eastAsia="仿宋" w:cs="仿宋"/>
          <w:b/>
          <w:sz w:val="24"/>
          <w:szCs w:val="24"/>
        </w:rPr>
        <w:t>27.投标的澄清</w:t>
      </w:r>
    </w:p>
    <w:p w14:paraId="0C626D08">
      <w:pPr>
        <w:spacing w:line="360" w:lineRule="auto"/>
        <w:ind w:firstLine="360"/>
        <w:rPr>
          <w:rFonts w:ascii="仿宋" w:hAnsi="仿宋" w:eastAsia="仿宋" w:cs="仿宋"/>
          <w:sz w:val="24"/>
          <w:szCs w:val="24"/>
        </w:rPr>
      </w:pPr>
      <w:r>
        <w:rPr>
          <w:rFonts w:hint="eastAsia" w:ascii="仿宋" w:hAnsi="仿宋" w:eastAsia="仿宋" w:cs="仿宋"/>
          <w:sz w:val="24"/>
          <w:szCs w:val="24"/>
        </w:rPr>
        <w:t>27.1在投标文件中含有不明确、同类问题表述不一致或者有明显文字和计算错误的内容，评标委员会应当以书面（或电子件）形式（应当由评标委员会专家签字）要求投标人作出必要的澄清、说明或者纠正。投标人的澄清、说明或者补正应当采用书面（或电子件）形式，由其授权的代理人签字，并不得超出投标文件的范围或者改变投标文件的实质性内容。</w:t>
      </w:r>
    </w:p>
    <w:p w14:paraId="48B3CB34">
      <w:pPr>
        <w:spacing w:line="360" w:lineRule="auto"/>
        <w:rPr>
          <w:rFonts w:ascii="仿宋" w:hAnsi="仿宋" w:eastAsia="仿宋" w:cs="仿宋"/>
          <w:b/>
          <w:sz w:val="24"/>
          <w:szCs w:val="24"/>
        </w:rPr>
      </w:pPr>
      <w:r>
        <w:rPr>
          <w:rFonts w:hint="eastAsia" w:ascii="仿宋" w:hAnsi="仿宋" w:eastAsia="仿宋" w:cs="仿宋"/>
          <w:b/>
          <w:sz w:val="24"/>
          <w:szCs w:val="24"/>
        </w:rPr>
        <w:t>28.无效投标和废标</w:t>
      </w:r>
    </w:p>
    <w:p w14:paraId="4C6D1350">
      <w:pPr>
        <w:spacing w:line="360" w:lineRule="auto"/>
        <w:ind w:firstLine="360"/>
        <w:rPr>
          <w:rFonts w:ascii="仿宋" w:hAnsi="仿宋" w:eastAsia="仿宋" w:cs="仿宋"/>
          <w:sz w:val="24"/>
          <w:szCs w:val="24"/>
        </w:rPr>
      </w:pPr>
      <w:r>
        <w:rPr>
          <w:rFonts w:hint="eastAsia" w:ascii="仿宋" w:hAnsi="仿宋" w:eastAsia="仿宋" w:cs="仿宋"/>
          <w:sz w:val="24"/>
          <w:szCs w:val="24"/>
        </w:rPr>
        <w:t xml:space="preserve">28.1无效投标的具体情形有：  </w:t>
      </w:r>
    </w:p>
    <w:p w14:paraId="69730672">
      <w:pPr>
        <w:spacing w:line="360" w:lineRule="auto"/>
        <w:ind w:firstLine="360"/>
        <w:rPr>
          <w:rFonts w:ascii="仿宋" w:hAnsi="仿宋" w:eastAsia="仿宋" w:cs="仿宋"/>
          <w:sz w:val="24"/>
          <w:szCs w:val="24"/>
        </w:rPr>
      </w:pPr>
      <w:r>
        <w:rPr>
          <w:rFonts w:hint="eastAsia" w:ascii="仿宋" w:hAnsi="仿宋" w:eastAsia="仿宋" w:cs="仿宋"/>
          <w:sz w:val="24"/>
          <w:szCs w:val="24"/>
        </w:rPr>
        <w:t>28.1.1投标文件未按招标文件要求签署、盖章或电子签章的；</w:t>
      </w:r>
    </w:p>
    <w:p w14:paraId="59A00449">
      <w:pPr>
        <w:spacing w:line="360" w:lineRule="auto"/>
        <w:ind w:firstLine="360"/>
        <w:rPr>
          <w:rFonts w:ascii="仿宋" w:hAnsi="仿宋" w:eastAsia="仿宋" w:cs="仿宋"/>
          <w:sz w:val="24"/>
          <w:szCs w:val="24"/>
        </w:rPr>
      </w:pPr>
      <w:r>
        <w:rPr>
          <w:rFonts w:hint="eastAsia" w:ascii="仿宋" w:hAnsi="仿宋" w:eastAsia="仿宋" w:cs="仿宋"/>
          <w:sz w:val="24"/>
          <w:szCs w:val="24"/>
        </w:rPr>
        <w:t>28.1.2不具备招标文件中规定的资格要求的；</w:t>
      </w:r>
    </w:p>
    <w:p w14:paraId="5DBFEAC9">
      <w:pPr>
        <w:spacing w:line="360" w:lineRule="auto"/>
        <w:ind w:firstLine="360"/>
        <w:rPr>
          <w:rFonts w:ascii="仿宋" w:hAnsi="仿宋" w:eastAsia="仿宋" w:cs="仿宋"/>
          <w:sz w:val="24"/>
          <w:szCs w:val="24"/>
        </w:rPr>
      </w:pPr>
      <w:r>
        <w:rPr>
          <w:rFonts w:hint="eastAsia" w:ascii="仿宋" w:hAnsi="仿宋" w:eastAsia="仿宋" w:cs="仿宋"/>
          <w:sz w:val="24"/>
          <w:szCs w:val="24"/>
        </w:rPr>
        <w:t>28.1.3报价超过招标文件中规定的预算金额或者最高限价的；</w:t>
      </w:r>
    </w:p>
    <w:p w14:paraId="22B79E0D">
      <w:pPr>
        <w:spacing w:line="360" w:lineRule="auto"/>
        <w:ind w:firstLine="360"/>
        <w:rPr>
          <w:rFonts w:ascii="仿宋" w:hAnsi="仿宋" w:eastAsia="仿宋" w:cs="仿宋"/>
          <w:sz w:val="24"/>
          <w:szCs w:val="24"/>
        </w:rPr>
      </w:pPr>
      <w:r>
        <w:rPr>
          <w:rFonts w:hint="eastAsia" w:ascii="仿宋" w:hAnsi="仿宋" w:eastAsia="仿宋" w:cs="仿宋"/>
          <w:sz w:val="24"/>
          <w:szCs w:val="24"/>
        </w:rPr>
        <w:t>28.1.4</w:t>
      </w:r>
      <w:r>
        <w:rPr>
          <w:rFonts w:hint="eastAsia" w:ascii="仿宋" w:hAnsi="仿宋" w:eastAsia="仿宋" w:cs="仿宋"/>
          <w:b/>
          <w:bCs/>
          <w:sz w:val="24"/>
          <w:szCs w:val="24"/>
        </w:rPr>
        <w:t>不同投标人的投标文件使用同一台电脑编制的</w:t>
      </w:r>
      <w:r>
        <w:rPr>
          <w:rFonts w:hint="eastAsia" w:ascii="仿宋" w:hAnsi="仿宋" w:eastAsia="仿宋" w:cs="仿宋"/>
          <w:sz w:val="24"/>
          <w:szCs w:val="24"/>
        </w:rPr>
        <w:t>；</w:t>
      </w:r>
    </w:p>
    <w:p w14:paraId="692B8B83">
      <w:pPr>
        <w:spacing w:line="360" w:lineRule="auto"/>
        <w:ind w:firstLine="360"/>
        <w:rPr>
          <w:rFonts w:ascii="仿宋" w:hAnsi="仿宋" w:eastAsia="仿宋" w:cs="仿宋"/>
          <w:sz w:val="24"/>
          <w:szCs w:val="24"/>
        </w:rPr>
      </w:pPr>
      <w:r>
        <w:rPr>
          <w:rFonts w:hint="eastAsia" w:ascii="仿宋" w:hAnsi="仿宋" w:eastAsia="仿宋" w:cs="仿宋"/>
          <w:sz w:val="24"/>
          <w:szCs w:val="24"/>
        </w:rPr>
        <w:t>28.1.5投标文件含有采购人不能接受的附加条件的；</w:t>
      </w:r>
    </w:p>
    <w:p w14:paraId="1BBFF49C">
      <w:pPr>
        <w:spacing w:line="360" w:lineRule="auto"/>
        <w:ind w:firstLine="360"/>
        <w:rPr>
          <w:rFonts w:ascii="仿宋" w:hAnsi="仿宋" w:eastAsia="仿宋" w:cs="仿宋"/>
          <w:sz w:val="24"/>
          <w:szCs w:val="24"/>
        </w:rPr>
      </w:pPr>
      <w:r>
        <w:rPr>
          <w:rFonts w:hint="eastAsia" w:ascii="仿宋" w:hAnsi="仿宋" w:eastAsia="仿宋" w:cs="仿宋"/>
          <w:sz w:val="24"/>
          <w:szCs w:val="24"/>
        </w:rPr>
        <w:t>28.1.6法律法规和招标文件规定的其他无效情形。</w:t>
      </w:r>
    </w:p>
    <w:p w14:paraId="37B17688">
      <w:pPr>
        <w:spacing w:line="360" w:lineRule="auto"/>
        <w:ind w:firstLine="360"/>
        <w:rPr>
          <w:rFonts w:ascii="仿宋" w:hAnsi="仿宋" w:eastAsia="仿宋" w:cs="仿宋"/>
          <w:sz w:val="24"/>
          <w:szCs w:val="24"/>
        </w:rPr>
      </w:pPr>
      <w:r>
        <w:rPr>
          <w:rFonts w:hint="eastAsia" w:ascii="仿宋" w:hAnsi="仿宋" w:eastAsia="仿宋" w:cs="仿宋"/>
          <w:sz w:val="24"/>
          <w:szCs w:val="24"/>
        </w:rPr>
        <w:t>28.2 在招标采购中，出现下列情形之一的，应予废标：</w:t>
      </w:r>
    </w:p>
    <w:p w14:paraId="326CE994">
      <w:pPr>
        <w:spacing w:line="360" w:lineRule="auto"/>
        <w:ind w:firstLine="360"/>
        <w:rPr>
          <w:rFonts w:ascii="仿宋" w:hAnsi="仿宋" w:eastAsia="仿宋" w:cs="仿宋"/>
          <w:sz w:val="24"/>
          <w:szCs w:val="24"/>
        </w:rPr>
      </w:pPr>
      <w:r>
        <w:rPr>
          <w:rFonts w:hint="eastAsia" w:ascii="仿宋" w:hAnsi="仿宋" w:eastAsia="仿宋" w:cs="仿宋"/>
          <w:sz w:val="24"/>
          <w:szCs w:val="24"/>
        </w:rPr>
        <w:t>28.2.1符合专业条件的供应商或者对招标文件作实质响应的供应商不足三家的；</w:t>
      </w:r>
    </w:p>
    <w:p w14:paraId="43807CA2">
      <w:pPr>
        <w:spacing w:line="360" w:lineRule="auto"/>
        <w:ind w:firstLine="360"/>
        <w:rPr>
          <w:rFonts w:ascii="仿宋" w:hAnsi="仿宋" w:eastAsia="仿宋" w:cs="仿宋"/>
          <w:sz w:val="24"/>
          <w:szCs w:val="24"/>
        </w:rPr>
      </w:pPr>
      <w:r>
        <w:rPr>
          <w:rFonts w:hint="eastAsia" w:ascii="仿宋" w:hAnsi="仿宋" w:eastAsia="仿宋" w:cs="仿宋"/>
          <w:sz w:val="24"/>
          <w:szCs w:val="24"/>
        </w:rPr>
        <w:t>28.2.2出现影响采购公正的违法、违规行为的；</w:t>
      </w:r>
    </w:p>
    <w:p w14:paraId="5F1A0E02">
      <w:pPr>
        <w:spacing w:line="360" w:lineRule="auto"/>
        <w:ind w:firstLine="360"/>
        <w:rPr>
          <w:rFonts w:ascii="仿宋" w:hAnsi="仿宋" w:eastAsia="仿宋" w:cs="仿宋"/>
          <w:sz w:val="24"/>
          <w:szCs w:val="24"/>
        </w:rPr>
      </w:pPr>
      <w:r>
        <w:rPr>
          <w:rFonts w:hint="eastAsia" w:ascii="仿宋" w:hAnsi="仿宋" w:eastAsia="仿宋" w:cs="仿宋"/>
          <w:sz w:val="24"/>
          <w:szCs w:val="24"/>
        </w:rPr>
        <w:t>28.2.3投标人的报价均超过了采购预算，采购人不能支付的；</w:t>
      </w:r>
    </w:p>
    <w:p w14:paraId="654426A6">
      <w:pPr>
        <w:spacing w:line="360" w:lineRule="auto"/>
        <w:ind w:firstLine="360"/>
        <w:rPr>
          <w:rFonts w:ascii="仿宋" w:hAnsi="仿宋" w:eastAsia="仿宋" w:cs="仿宋"/>
          <w:sz w:val="24"/>
          <w:szCs w:val="24"/>
        </w:rPr>
      </w:pPr>
      <w:r>
        <w:rPr>
          <w:rFonts w:hint="eastAsia" w:ascii="仿宋" w:hAnsi="仿宋" w:eastAsia="仿宋" w:cs="仿宋"/>
          <w:sz w:val="24"/>
          <w:szCs w:val="24"/>
        </w:rPr>
        <w:t>28.2.4因重大变故，采购任务取消的。</w:t>
      </w:r>
    </w:p>
    <w:p w14:paraId="36081F19">
      <w:pPr>
        <w:spacing w:line="360" w:lineRule="auto"/>
        <w:ind w:firstLine="360"/>
        <w:rPr>
          <w:rFonts w:ascii="仿宋" w:hAnsi="仿宋" w:eastAsia="仿宋" w:cs="仿宋"/>
          <w:sz w:val="24"/>
          <w:szCs w:val="24"/>
        </w:rPr>
      </w:pPr>
      <w:r>
        <w:rPr>
          <w:rFonts w:hint="eastAsia" w:ascii="仿宋" w:hAnsi="仿宋" w:eastAsia="仿宋" w:cs="仿宋"/>
          <w:sz w:val="24"/>
          <w:szCs w:val="24"/>
        </w:rPr>
        <w:t>28.3 废标后，采购人应当将废标理由通知所有投标人。</w:t>
      </w:r>
    </w:p>
    <w:p w14:paraId="04BCE948">
      <w:pPr>
        <w:spacing w:line="360" w:lineRule="auto"/>
        <w:rPr>
          <w:rFonts w:ascii="仿宋" w:hAnsi="仿宋" w:eastAsia="仿宋" w:cs="仿宋"/>
          <w:b/>
          <w:sz w:val="24"/>
          <w:szCs w:val="24"/>
        </w:rPr>
      </w:pPr>
      <w:r>
        <w:rPr>
          <w:rFonts w:hint="eastAsia" w:ascii="仿宋" w:hAnsi="仿宋" w:eastAsia="仿宋" w:cs="仿宋"/>
          <w:b/>
          <w:sz w:val="24"/>
          <w:szCs w:val="24"/>
        </w:rPr>
        <w:t>29. 投标文件的评价和比较</w:t>
      </w:r>
    </w:p>
    <w:p w14:paraId="62717240">
      <w:pPr>
        <w:spacing w:line="360" w:lineRule="auto"/>
        <w:ind w:firstLine="360"/>
        <w:rPr>
          <w:rFonts w:ascii="仿宋" w:hAnsi="仿宋" w:eastAsia="仿宋" w:cs="仿宋"/>
          <w:sz w:val="24"/>
          <w:szCs w:val="24"/>
        </w:rPr>
      </w:pPr>
      <w:r>
        <w:rPr>
          <w:rFonts w:hint="eastAsia" w:ascii="仿宋" w:hAnsi="仿宋" w:eastAsia="仿宋" w:cs="仿宋"/>
          <w:sz w:val="24"/>
          <w:szCs w:val="24"/>
        </w:rPr>
        <w:t>29.1评标委员会按招标文件规定的评标方法和标准，仅对资格性检查和符合性检查合格的投标文件进行商务和技术评估，综合比较与评价。</w:t>
      </w:r>
    </w:p>
    <w:p w14:paraId="59F20F51">
      <w:pPr>
        <w:spacing w:line="360" w:lineRule="auto"/>
        <w:ind w:firstLine="360"/>
        <w:rPr>
          <w:rFonts w:ascii="仿宋" w:hAnsi="仿宋" w:eastAsia="仿宋" w:cs="仿宋"/>
          <w:sz w:val="24"/>
          <w:szCs w:val="24"/>
        </w:rPr>
      </w:pPr>
      <w:r>
        <w:rPr>
          <w:rFonts w:hint="eastAsia" w:ascii="仿宋" w:hAnsi="仿宋" w:eastAsia="仿宋" w:cs="仿宋"/>
          <w:sz w:val="24"/>
          <w:szCs w:val="24"/>
        </w:rPr>
        <w:t xml:space="preserve">29.2评价和比较采用综合评分法，评标委员会严格按照招标文件的要求、条件、评分标准，对投标单位所提供货物和服务的先进性、可靠性、售后服务承诺、质量保证承诺等实质性响应内容进行比较报价，同时考虑以下因素：    </w:t>
      </w:r>
    </w:p>
    <w:p w14:paraId="71B83868">
      <w:pPr>
        <w:spacing w:line="360" w:lineRule="auto"/>
        <w:ind w:firstLine="360"/>
        <w:rPr>
          <w:rFonts w:ascii="仿宋" w:hAnsi="仿宋" w:eastAsia="仿宋" w:cs="仿宋"/>
          <w:sz w:val="24"/>
          <w:szCs w:val="24"/>
        </w:rPr>
      </w:pPr>
      <w:r>
        <w:rPr>
          <w:rFonts w:hint="eastAsia" w:ascii="仿宋" w:hAnsi="仿宋" w:eastAsia="仿宋" w:cs="仿宋"/>
          <w:sz w:val="24"/>
          <w:szCs w:val="24"/>
        </w:rPr>
        <w:t>29.2.1服务的质量保证（保障）内容；</w:t>
      </w:r>
    </w:p>
    <w:p w14:paraId="394CA252">
      <w:pPr>
        <w:spacing w:line="360" w:lineRule="auto"/>
        <w:ind w:firstLine="360"/>
        <w:rPr>
          <w:rFonts w:ascii="仿宋" w:hAnsi="仿宋" w:eastAsia="仿宋" w:cs="仿宋"/>
          <w:sz w:val="24"/>
          <w:szCs w:val="24"/>
        </w:rPr>
      </w:pPr>
      <w:r>
        <w:rPr>
          <w:rFonts w:hint="eastAsia" w:ascii="仿宋" w:hAnsi="仿宋" w:eastAsia="仿宋" w:cs="仿宋"/>
          <w:sz w:val="24"/>
          <w:szCs w:val="24"/>
        </w:rPr>
        <w:t>29.2.2服务配备的人员；</w:t>
      </w:r>
    </w:p>
    <w:p w14:paraId="6DD18BCC">
      <w:pPr>
        <w:spacing w:line="360" w:lineRule="auto"/>
        <w:ind w:firstLine="360"/>
        <w:rPr>
          <w:rFonts w:ascii="仿宋" w:hAnsi="仿宋" w:eastAsia="仿宋" w:cs="仿宋"/>
          <w:sz w:val="24"/>
          <w:szCs w:val="24"/>
        </w:rPr>
      </w:pPr>
      <w:r>
        <w:rPr>
          <w:rFonts w:hint="eastAsia" w:ascii="仿宋" w:hAnsi="仿宋" w:eastAsia="仿宋" w:cs="仿宋"/>
          <w:sz w:val="24"/>
          <w:szCs w:val="24"/>
        </w:rPr>
        <w:t>29.2.3投标者的资信情况和履约能力；</w:t>
      </w:r>
    </w:p>
    <w:p w14:paraId="54082155">
      <w:pPr>
        <w:spacing w:line="360" w:lineRule="auto"/>
        <w:ind w:firstLine="360"/>
        <w:rPr>
          <w:rFonts w:ascii="仿宋" w:hAnsi="仿宋" w:eastAsia="仿宋" w:cs="仿宋"/>
          <w:sz w:val="24"/>
          <w:szCs w:val="24"/>
        </w:rPr>
      </w:pPr>
      <w:r>
        <w:rPr>
          <w:rFonts w:hint="eastAsia" w:ascii="仿宋" w:hAnsi="仿宋" w:eastAsia="仿宋" w:cs="仿宋"/>
          <w:sz w:val="24"/>
          <w:szCs w:val="24"/>
        </w:rPr>
        <w:t>29.2.4投标者提供的其他优惠条件；</w:t>
      </w:r>
    </w:p>
    <w:p w14:paraId="589D649B">
      <w:pPr>
        <w:spacing w:line="360" w:lineRule="auto"/>
        <w:ind w:firstLine="360"/>
        <w:rPr>
          <w:rFonts w:ascii="仿宋" w:hAnsi="仿宋" w:eastAsia="仿宋" w:cs="仿宋"/>
          <w:sz w:val="24"/>
          <w:szCs w:val="24"/>
        </w:rPr>
      </w:pPr>
      <w:r>
        <w:rPr>
          <w:rFonts w:hint="eastAsia" w:ascii="仿宋" w:hAnsi="仿宋" w:eastAsia="仿宋" w:cs="仿宋"/>
          <w:sz w:val="24"/>
          <w:szCs w:val="24"/>
        </w:rPr>
        <w:t>29.2.5参与本项目政府采购工作的态度及信誉；</w:t>
      </w:r>
    </w:p>
    <w:p w14:paraId="751C560D">
      <w:pPr>
        <w:spacing w:line="360" w:lineRule="auto"/>
        <w:ind w:firstLine="360"/>
        <w:rPr>
          <w:rFonts w:ascii="仿宋" w:hAnsi="仿宋" w:eastAsia="仿宋" w:cs="仿宋"/>
          <w:sz w:val="24"/>
          <w:szCs w:val="24"/>
        </w:rPr>
      </w:pPr>
      <w:r>
        <w:rPr>
          <w:rFonts w:hint="eastAsia" w:ascii="仿宋" w:hAnsi="仿宋" w:eastAsia="仿宋" w:cs="仿宋"/>
          <w:sz w:val="24"/>
          <w:szCs w:val="24"/>
        </w:rPr>
        <w:t>29.2.6最低的投标报价或最高的折扣比例是中标的重要条件，但不是唯一条件。</w:t>
      </w:r>
    </w:p>
    <w:p w14:paraId="7F6DA6C4">
      <w:pPr>
        <w:spacing w:line="360" w:lineRule="auto"/>
        <w:rPr>
          <w:rFonts w:ascii="仿宋" w:hAnsi="仿宋" w:eastAsia="仿宋" w:cs="仿宋"/>
          <w:b/>
          <w:sz w:val="24"/>
          <w:szCs w:val="24"/>
        </w:rPr>
      </w:pPr>
      <w:r>
        <w:rPr>
          <w:rFonts w:hint="eastAsia" w:ascii="仿宋" w:hAnsi="仿宋" w:eastAsia="仿宋" w:cs="仿宋"/>
          <w:b/>
          <w:sz w:val="24"/>
          <w:szCs w:val="24"/>
        </w:rPr>
        <w:t>七、授予合同</w:t>
      </w:r>
    </w:p>
    <w:p w14:paraId="4681324D">
      <w:pPr>
        <w:spacing w:line="360" w:lineRule="auto"/>
        <w:rPr>
          <w:rFonts w:ascii="仿宋" w:hAnsi="仿宋" w:eastAsia="仿宋" w:cs="仿宋"/>
          <w:b/>
          <w:sz w:val="24"/>
          <w:szCs w:val="24"/>
        </w:rPr>
      </w:pPr>
      <w:r>
        <w:rPr>
          <w:rFonts w:hint="eastAsia" w:ascii="仿宋" w:hAnsi="仿宋" w:eastAsia="仿宋" w:cs="仿宋"/>
          <w:b/>
          <w:sz w:val="24"/>
          <w:szCs w:val="24"/>
        </w:rPr>
        <w:t xml:space="preserve">30. 中标供应商的确认          </w:t>
      </w:r>
    </w:p>
    <w:p w14:paraId="676CA1D6">
      <w:pPr>
        <w:spacing w:line="360" w:lineRule="auto"/>
        <w:ind w:firstLine="360"/>
        <w:rPr>
          <w:rFonts w:ascii="仿宋" w:hAnsi="仿宋" w:eastAsia="仿宋" w:cs="仿宋"/>
          <w:sz w:val="24"/>
          <w:szCs w:val="24"/>
        </w:rPr>
      </w:pPr>
      <w:r>
        <w:rPr>
          <w:rFonts w:hint="eastAsia" w:ascii="仿宋" w:hAnsi="仿宋" w:eastAsia="仿宋" w:cs="仿宋"/>
          <w:sz w:val="24"/>
          <w:szCs w:val="24"/>
        </w:rPr>
        <w:t>30.1评标委员会按招标文件规定的评标方法和标准进行详细评审后，按采购人的委托向采购人推荐中标候选单位或根据采购人授权直接确定中标供应商。</w:t>
      </w:r>
    </w:p>
    <w:p w14:paraId="4C200D00">
      <w:pPr>
        <w:spacing w:line="360" w:lineRule="auto"/>
        <w:ind w:firstLine="360"/>
        <w:rPr>
          <w:rFonts w:ascii="仿宋" w:hAnsi="仿宋" w:eastAsia="仿宋" w:cs="仿宋"/>
          <w:sz w:val="24"/>
          <w:szCs w:val="24"/>
        </w:rPr>
      </w:pPr>
      <w:r>
        <w:rPr>
          <w:rFonts w:hint="eastAsia" w:ascii="仿宋" w:hAnsi="仿宋" w:eastAsia="仿宋" w:cs="仿宋"/>
          <w:sz w:val="24"/>
          <w:szCs w:val="24"/>
        </w:rPr>
        <w:t>30.2经评标委员会评审并确定中标供应商后，采购人或授权采购代理机构将在规定的时间内将中标结果在相关媒体上予以公告。</w:t>
      </w:r>
    </w:p>
    <w:p w14:paraId="47D49FD8">
      <w:pPr>
        <w:spacing w:line="360" w:lineRule="auto"/>
        <w:ind w:firstLine="360"/>
        <w:rPr>
          <w:rFonts w:ascii="仿宋" w:hAnsi="仿宋" w:eastAsia="仿宋" w:cs="仿宋"/>
          <w:sz w:val="24"/>
          <w:szCs w:val="24"/>
        </w:rPr>
      </w:pPr>
      <w:r>
        <w:rPr>
          <w:rFonts w:hint="eastAsia" w:ascii="仿宋" w:hAnsi="仿宋" w:eastAsia="仿宋" w:cs="仿宋"/>
          <w:sz w:val="24"/>
          <w:szCs w:val="24"/>
        </w:rPr>
        <w:t>30.3各投标单位如对公告结果有异议，应在中标公告期届满起七个工作日内，以书面形式向采购人或采购代理机构提出质疑，该质疑须按《政府采购质疑和投诉办法》、《江苏省政府采购供应商监督管理暂行办法》的规定提交。采购代理机构将在收到经投标单位法定代表人或参加投标的代理人签署的书面质疑后七个工作日内，对质疑内容作出答复。在此期限后向采购人或采购代理机构提出质疑或质疑未经投标人法定代表人或参加投标的代理人签署和加盖公章（原件），采购人或采购代理机构有权对该质疑不予答复。</w:t>
      </w:r>
    </w:p>
    <w:p w14:paraId="25D01D92">
      <w:pPr>
        <w:spacing w:line="360" w:lineRule="auto"/>
        <w:ind w:firstLine="360"/>
        <w:rPr>
          <w:rFonts w:ascii="仿宋" w:hAnsi="仿宋" w:eastAsia="仿宋" w:cs="仿宋"/>
          <w:sz w:val="24"/>
          <w:szCs w:val="24"/>
        </w:rPr>
      </w:pPr>
      <w:r>
        <w:rPr>
          <w:rFonts w:hint="eastAsia" w:ascii="仿宋" w:hAnsi="仿宋" w:eastAsia="仿宋" w:cs="仿宋"/>
          <w:sz w:val="24"/>
          <w:szCs w:val="24"/>
        </w:rPr>
        <w:t>30.4质疑函递交地点及联系方式详见公告内容</w:t>
      </w:r>
    </w:p>
    <w:p w14:paraId="302068C1">
      <w:pPr>
        <w:spacing w:line="360" w:lineRule="auto"/>
        <w:rPr>
          <w:rFonts w:ascii="仿宋" w:hAnsi="仿宋" w:eastAsia="仿宋" w:cs="仿宋"/>
          <w:b/>
          <w:sz w:val="24"/>
          <w:szCs w:val="24"/>
        </w:rPr>
      </w:pPr>
      <w:r>
        <w:rPr>
          <w:rFonts w:hint="eastAsia" w:ascii="仿宋" w:hAnsi="仿宋" w:eastAsia="仿宋" w:cs="仿宋"/>
          <w:b/>
          <w:sz w:val="24"/>
          <w:szCs w:val="24"/>
        </w:rPr>
        <w:t>31. 合同授予标准</w:t>
      </w:r>
    </w:p>
    <w:p w14:paraId="19C8207C">
      <w:pPr>
        <w:spacing w:line="360" w:lineRule="auto"/>
        <w:ind w:firstLine="360"/>
        <w:rPr>
          <w:rFonts w:ascii="仿宋" w:hAnsi="仿宋" w:eastAsia="仿宋" w:cs="仿宋"/>
          <w:sz w:val="24"/>
          <w:szCs w:val="24"/>
        </w:rPr>
      </w:pPr>
      <w:r>
        <w:rPr>
          <w:rFonts w:hint="eastAsia" w:ascii="仿宋" w:hAnsi="仿宋" w:eastAsia="仿宋" w:cs="仿宋"/>
          <w:sz w:val="24"/>
          <w:szCs w:val="24"/>
        </w:rPr>
        <w:t>31.1采购人将把合同授予其投标文件在实质上响应招标文件要求和按本须知规定评选出的投标人。确定为中标的投标人必须具有实施本合同的能力和资源。</w:t>
      </w:r>
    </w:p>
    <w:p w14:paraId="4798C3C6">
      <w:pPr>
        <w:spacing w:line="360" w:lineRule="auto"/>
        <w:ind w:firstLine="360"/>
        <w:rPr>
          <w:rFonts w:ascii="仿宋" w:hAnsi="仿宋" w:eastAsia="仿宋" w:cs="仿宋"/>
          <w:sz w:val="24"/>
          <w:szCs w:val="24"/>
        </w:rPr>
      </w:pPr>
      <w:r>
        <w:rPr>
          <w:rFonts w:hint="eastAsia" w:ascii="仿宋" w:hAnsi="仿宋" w:eastAsia="仿宋" w:cs="仿宋"/>
          <w:sz w:val="24"/>
          <w:szCs w:val="24"/>
        </w:rPr>
        <w:t>31.2政府采购合同履行中，采购人需追加与合同标的物相同的货物、工程或者服务的，在不改变合同其他条款的前提下，可以与中标供应商签订补充合同，但所有补充合同的采购金额不得超过原合同采购金额的百分之十。</w:t>
      </w:r>
    </w:p>
    <w:p w14:paraId="62794F65">
      <w:pPr>
        <w:spacing w:line="360" w:lineRule="auto"/>
        <w:rPr>
          <w:rFonts w:ascii="仿宋" w:hAnsi="仿宋" w:eastAsia="仿宋" w:cs="仿宋"/>
          <w:b/>
          <w:sz w:val="24"/>
          <w:szCs w:val="24"/>
        </w:rPr>
      </w:pPr>
      <w:r>
        <w:rPr>
          <w:rFonts w:hint="eastAsia" w:ascii="仿宋" w:hAnsi="仿宋" w:eastAsia="仿宋" w:cs="仿宋"/>
          <w:b/>
          <w:sz w:val="24"/>
          <w:szCs w:val="24"/>
        </w:rPr>
        <w:t>32. 中标通知书</w:t>
      </w:r>
    </w:p>
    <w:p w14:paraId="6EFE1201">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rPr>
      </w:pPr>
      <w:r>
        <w:rPr>
          <w:rFonts w:hint="eastAsia" w:ascii="仿宋" w:hAnsi="仿宋" w:eastAsia="仿宋" w:cs="仿宋"/>
          <w:sz w:val="24"/>
        </w:rPr>
        <w:t>32.1确定中标供应商后投标文件有效期截止前，采购代理机构应当向中标供应商发出中标通知书，中标通知书对采购人和中标供应商具有同等法律效力。中标通知书发出后，采购人改变中标结果，或者中标供应商放弃中标，应当承担相应的法律责任。</w:t>
      </w:r>
    </w:p>
    <w:p w14:paraId="261B853E">
      <w:pPr>
        <w:pBdr>
          <w:top w:val="none" w:color="000000" w:sz="0" w:space="0"/>
          <w:left w:val="none" w:color="000000" w:sz="0" w:space="0"/>
          <w:bottom w:val="none" w:color="000000" w:sz="0" w:space="0"/>
          <w:right w:val="none" w:color="000000" w:sz="0" w:space="0"/>
        </w:pBdr>
        <w:spacing w:line="360" w:lineRule="auto"/>
        <w:ind w:firstLine="361"/>
        <w:rPr>
          <w:rFonts w:ascii="仿宋" w:hAnsi="仿宋" w:eastAsia="仿宋" w:cs="仿宋"/>
        </w:rPr>
      </w:pPr>
      <w:r>
        <w:rPr>
          <w:rFonts w:hint="eastAsia" w:ascii="仿宋" w:hAnsi="仿宋" w:eastAsia="仿宋" w:cs="仿宋"/>
          <w:b/>
          <w:sz w:val="24"/>
        </w:rPr>
        <w:t>32.2中标通知书在中标公告发布后将发布在业务系统中，中标通知书发布之日视为中标供应商领取之日，中标供应商自行在业务系统中下载打印。</w:t>
      </w:r>
    </w:p>
    <w:p w14:paraId="285BBA17">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rPr>
      </w:pPr>
      <w:r>
        <w:rPr>
          <w:rFonts w:hint="eastAsia" w:ascii="仿宋" w:hAnsi="仿宋" w:eastAsia="仿宋" w:cs="仿宋"/>
          <w:sz w:val="24"/>
        </w:rPr>
        <w:t>32.3中标通知书将成为合同的组成部分。</w:t>
      </w:r>
    </w:p>
    <w:p w14:paraId="0A42316C">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sz w:val="24"/>
        </w:rPr>
      </w:pPr>
      <w:r>
        <w:rPr>
          <w:rFonts w:hint="eastAsia" w:ascii="仿宋" w:hAnsi="仿宋" w:eastAsia="仿宋" w:cs="仿宋"/>
          <w:sz w:val="24"/>
        </w:rPr>
        <w:t>32.4采购代理机构对未中标供应商不承担解释未中标原因的义务。</w:t>
      </w:r>
    </w:p>
    <w:p w14:paraId="4F27BD66">
      <w:pPr>
        <w:spacing w:line="360" w:lineRule="auto"/>
        <w:rPr>
          <w:rFonts w:ascii="仿宋" w:hAnsi="仿宋" w:eastAsia="仿宋" w:cs="仿宋"/>
          <w:b/>
          <w:sz w:val="24"/>
          <w:szCs w:val="24"/>
        </w:rPr>
      </w:pPr>
      <w:r>
        <w:rPr>
          <w:rFonts w:hint="eastAsia" w:ascii="仿宋" w:hAnsi="仿宋" w:eastAsia="仿宋" w:cs="仿宋"/>
          <w:b/>
          <w:sz w:val="24"/>
          <w:szCs w:val="24"/>
        </w:rPr>
        <w:t>33.履约保证金</w:t>
      </w:r>
    </w:p>
    <w:p w14:paraId="6D77A795">
      <w:pPr>
        <w:spacing w:line="360" w:lineRule="auto"/>
        <w:ind w:firstLine="360"/>
        <w:rPr>
          <w:rFonts w:ascii="仿宋" w:hAnsi="仿宋" w:cs="仿宋"/>
          <w:sz w:val="24"/>
          <w:szCs w:val="24"/>
        </w:rPr>
      </w:pPr>
      <w:r>
        <w:rPr>
          <w:rFonts w:hint="eastAsia" w:ascii="仿宋" w:hAnsi="仿宋" w:eastAsia="仿宋" w:cs="仿宋"/>
          <w:sz w:val="24"/>
          <w:szCs w:val="24"/>
        </w:rPr>
        <w:t>33.1中标供应商按合同金额的3%提交履约保证金。</w:t>
      </w:r>
    </w:p>
    <w:p w14:paraId="7820B093">
      <w:pPr>
        <w:spacing w:line="360" w:lineRule="auto"/>
        <w:ind w:firstLine="360"/>
        <w:rPr>
          <w:rFonts w:ascii="仿宋" w:hAnsi="仿宋" w:eastAsia="仿宋" w:cs="仿宋"/>
          <w:sz w:val="24"/>
          <w:szCs w:val="24"/>
        </w:rPr>
      </w:pPr>
      <w:r>
        <w:rPr>
          <w:rFonts w:hint="eastAsia" w:ascii="仿宋" w:hAnsi="仿宋" w:eastAsia="仿宋" w:cs="仿宋"/>
          <w:sz w:val="24"/>
          <w:szCs w:val="24"/>
        </w:rPr>
        <w:t>33.2履约保证金用以约束供应商在合同履行中的行为，弥补合同执行中由于自身行为可能给采购人带来的各种损失。</w:t>
      </w:r>
    </w:p>
    <w:p w14:paraId="1AC3B8B5">
      <w:pPr>
        <w:spacing w:line="360" w:lineRule="auto"/>
        <w:ind w:firstLine="360"/>
        <w:rPr>
          <w:rFonts w:ascii="仿宋" w:hAnsi="仿宋" w:eastAsia="仿宋" w:cs="仿宋"/>
          <w:sz w:val="24"/>
          <w:szCs w:val="24"/>
        </w:rPr>
      </w:pPr>
      <w:r>
        <w:rPr>
          <w:rFonts w:hint="eastAsia" w:ascii="仿宋" w:hAnsi="仿宋" w:eastAsia="仿宋" w:cs="仿宋"/>
          <w:sz w:val="24"/>
          <w:szCs w:val="24"/>
        </w:rPr>
        <w:t>33.3履约保证金将在中标供应商合同履行完毕且项目验收合格满1年无息退还。</w:t>
      </w:r>
    </w:p>
    <w:p w14:paraId="5C1B6B27">
      <w:pPr>
        <w:spacing w:line="360" w:lineRule="auto"/>
        <w:rPr>
          <w:rFonts w:ascii="仿宋" w:hAnsi="仿宋" w:eastAsia="仿宋" w:cs="仿宋"/>
          <w:b/>
          <w:sz w:val="24"/>
          <w:szCs w:val="24"/>
        </w:rPr>
      </w:pPr>
      <w:r>
        <w:rPr>
          <w:rFonts w:hint="eastAsia" w:ascii="仿宋" w:hAnsi="仿宋" w:eastAsia="仿宋" w:cs="仿宋"/>
          <w:b/>
          <w:sz w:val="24"/>
          <w:szCs w:val="24"/>
        </w:rPr>
        <w:t>34. 合同的签订</w:t>
      </w:r>
    </w:p>
    <w:p w14:paraId="2A78B6C1">
      <w:pPr>
        <w:spacing w:line="360" w:lineRule="auto"/>
        <w:ind w:firstLine="360"/>
        <w:rPr>
          <w:rFonts w:ascii="仿宋" w:hAnsi="仿宋" w:eastAsia="仿宋" w:cs="仿宋"/>
          <w:sz w:val="24"/>
          <w:szCs w:val="24"/>
        </w:rPr>
      </w:pPr>
      <w:r>
        <w:rPr>
          <w:rFonts w:hint="eastAsia" w:ascii="仿宋" w:hAnsi="仿宋" w:eastAsia="仿宋" w:cs="仿宋"/>
          <w:sz w:val="24"/>
          <w:szCs w:val="24"/>
        </w:rPr>
        <w:t>34.1按照《关于做好政府采购支持企业发展有关事项的通知》（苏财购〔2020〕52号）文件精神，采购人原则上应当在中标通知书发出之日起三十日内，按照招标文件及投标文件确定的事项与中标供应商签订政府采购合同。</w:t>
      </w:r>
    </w:p>
    <w:p w14:paraId="293CA9F8">
      <w:pPr>
        <w:pStyle w:val="24"/>
        <w:spacing w:line="360" w:lineRule="auto"/>
        <w:rPr>
          <w:rFonts w:ascii="仿宋" w:hAnsi="仿宋" w:eastAsia="仿宋" w:cs="仿宋"/>
        </w:rPr>
      </w:pPr>
      <w:r>
        <w:rPr>
          <w:rFonts w:hint="eastAsia" w:ascii="仿宋" w:hAnsi="仿宋" w:eastAsia="仿宋" w:cs="仿宋"/>
          <w:sz w:val="24"/>
          <w:szCs w:val="24"/>
        </w:rPr>
        <w:t xml:space="preserve">   34.2中标供应商应按中标通知书中规定，由法定代表人或授权代理人与采购人代表签订合同，否则按放弃中标权处理。</w:t>
      </w:r>
    </w:p>
    <w:p w14:paraId="499C64B6">
      <w:pPr>
        <w:spacing w:line="360" w:lineRule="auto"/>
        <w:ind w:firstLine="360"/>
        <w:rPr>
          <w:rFonts w:ascii="仿宋" w:hAnsi="仿宋" w:eastAsia="仿宋" w:cs="仿宋"/>
          <w:sz w:val="24"/>
          <w:szCs w:val="24"/>
        </w:rPr>
      </w:pPr>
      <w:r>
        <w:rPr>
          <w:rFonts w:hint="eastAsia" w:ascii="仿宋" w:hAnsi="仿宋" w:eastAsia="仿宋" w:cs="仿宋"/>
          <w:sz w:val="24"/>
          <w:szCs w:val="24"/>
        </w:rPr>
        <w:t>34.3签订合同及合同条款应以招标文件和中标供应商的投标文件及其澄清文件为依据。</w:t>
      </w:r>
    </w:p>
    <w:p w14:paraId="6053EFE2">
      <w:pPr>
        <w:spacing w:line="360" w:lineRule="auto"/>
        <w:ind w:firstLine="360"/>
        <w:rPr>
          <w:rFonts w:ascii="仿宋" w:hAnsi="仿宋" w:eastAsia="仿宋" w:cs="仿宋"/>
          <w:sz w:val="24"/>
          <w:szCs w:val="24"/>
        </w:rPr>
      </w:pPr>
      <w:r>
        <w:rPr>
          <w:rFonts w:hint="eastAsia" w:ascii="仿宋" w:hAnsi="仿宋" w:eastAsia="仿宋" w:cs="仿宋"/>
          <w:sz w:val="24"/>
          <w:szCs w:val="24"/>
        </w:rPr>
        <w:t>34.4中标人无正当理由拒签合同的，或在签订合同时向采购人提出附加条件或者更改合同实质性内容的，采购人可取消其中标资格，同时由中标人承担相应的法律责任。</w:t>
      </w:r>
    </w:p>
    <w:p w14:paraId="62D53D12">
      <w:pPr>
        <w:spacing w:line="360" w:lineRule="auto"/>
        <w:ind w:firstLine="360"/>
        <w:rPr>
          <w:rFonts w:ascii="仿宋" w:hAnsi="仿宋" w:eastAsia="仿宋" w:cs="仿宋"/>
          <w:sz w:val="24"/>
          <w:szCs w:val="24"/>
        </w:rPr>
      </w:pPr>
      <w:r>
        <w:rPr>
          <w:rFonts w:hint="eastAsia" w:ascii="仿宋" w:hAnsi="仿宋" w:eastAsia="仿宋" w:cs="仿宋"/>
          <w:sz w:val="24"/>
          <w:szCs w:val="24"/>
        </w:rPr>
        <w:t>34.5签订合同后，中标人不得将货物及其他相关服务进行转包。未经采购人同意，中标人也不得采用分包的形式履行合同，否则采购人有权终止合同。转包或分包造成采购人损失的，中标人应承担相应赔偿责任。</w:t>
      </w:r>
    </w:p>
    <w:p w14:paraId="6CCB6DC0">
      <w:pPr>
        <w:pBdr>
          <w:top w:val="none" w:color="000000" w:sz="0" w:space="0"/>
          <w:left w:val="none" w:color="000000" w:sz="0" w:space="0"/>
          <w:bottom w:val="none" w:color="000000" w:sz="0" w:space="0"/>
          <w:right w:val="none" w:color="000000" w:sz="0" w:space="0"/>
        </w:pBdr>
        <w:spacing w:line="360" w:lineRule="auto"/>
        <w:rPr>
          <w:rFonts w:ascii="仿宋" w:hAnsi="仿宋" w:eastAsia="仿宋" w:cs="仿宋"/>
          <w:b/>
          <w:sz w:val="24"/>
        </w:rPr>
      </w:pPr>
      <w:bookmarkStart w:id="14" w:name="_Toc467507043"/>
      <w:bookmarkStart w:id="15" w:name="_Toc467507037"/>
      <w:bookmarkStart w:id="16" w:name="_Toc315875321"/>
      <w:bookmarkStart w:id="17" w:name="_Toc158691774"/>
      <w:bookmarkStart w:id="18" w:name="_Toc315868058"/>
      <w:r>
        <w:rPr>
          <w:rFonts w:hint="eastAsia" w:ascii="仿宋" w:hAnsi="仿宋" w:eastAsia="仿宋" w:cs="仿宋"/>
          <w:b/>
          <w:sz w:val="24"/>
        </w:rPr>
        <w:t>八、其他事项</w:t>
      </w:r>
    </w:p>
    <w:p w14:paraId="22ACAC95">
      <w:pPr>
        <w:pBdr>
          <w:top w:val="none" w:color="000000" w:sz="0" w:space="0"/>
          <w:left w:val="none" w:color="000000" w:sz="0" w:space="0"/>
          <w:bottom w:val="none" w:color="000000" w:sz="0" w:space="0"/>
          <w:right w:val="none" w:color="000000" w:sz="0" w:space="0"/>
        </w:pBdr>
        <w:spacing w:line="360" w:lineRule="auto"/>
        <w:rPr>
          <w:rFonts w:ascii="仿宋" w:hAnsi="仿宋" w:eastAsia="仿宋" w:cs="仿宋"/>
        </w:rPr>
      </w:pPr>
      <w:r>
        <w:rPr>
          <w:rFonts w:hint="eastAsia" w:ascii="仿宋" w:hAnsi="仿宋" w:eastAsia="仿宋" w:cs="仿宋"/>
          <w:b/>
          <w:sz w:val="24"/>
        </w:rPr>
        <w:t>35. 监督和公证</w:t>
      </w:r>
    </w:p>
    <w:p w14:paraId="2F56FCB2">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rPr>
      </w:pPr>
      <w:r>
        <w:rPr>
          <w:rFonts w:hint="eastAsia" w:ascii="仿宋" w:hAnsi="仿宋" w:eastAsia="仿宋" w:cs="仿宋"/>
          <w:sz w:val="24"/>
        </w:rPr>
        <w:t>35.1政府有关监督部门将对招投标全过程进行监督。</w:t>
      </w:r>
    </w:p>
    <w:p w14:paraId="099C3EEA">
      <w:pPr>
        <w:pBdr>
          <w:top w:val="none" w:color="000000" w:sz="0" w:space="0"/>
          <w:left w:val="none" w:color="000000" w:sz="0" w:space="0"/>
          <w:bottom w:val="none" w:color="000000" w:sz="0" w:space="0"/>
          <w:right w:val="none" w:color="000000" w:sz="0" w:space="0"/>
        </w:pBdr>
        <w:spacing w:line="360" w:lineRule="auto"/>
        <w:rPr>
          <w:rFonts w:ascii="仿宋" w:hAnsi="仿宋" w:eastAsia="仿宋" w:cs="仿宋"/>
        </w:rPr>
      </w:pPr>
      <w:r>
        <w:rPr>
          <w:rFonts w:hint="eastAsia" w:ascii="仿宋" w:hAnsi="仿宋" w:eastAsia="仿宋" w:cs="仿宋"/>
          <w:b/>
          <w:sz w:val="24"/>
        </w:rPr>
        <w:t>36.未尽事宜</w:t>
      </w:r>
    </w:p>
    <w:p w14:paraId="67A952F9">
      <w:pPr>
        <w:pBdr>
          <w:top w:val="none" w:color="000000" w:sz="0" w:space="0"/>
          <w:left w:val="none" w:color="000000" w:sz="0" w:space="0"/>
          <w:bottom w:val="none" w:color="000000" w:sz="0" w:space="0"/>
          <w:right w:val="none" w:color="000000" w:sz="0" w:space="0"/>
        </w:pBdr>
        <w:spacing w:line="360" w:lineRule="auto"/>
        <w:ind w:firstLine="360"/>
        <w:rPr>
          <w:rFonts w:ascii="仿宋" w:hAnsi="仿宋" w:eastAsia="仿宋" w:cs="仿宋"/>
        </w:rPr>
      </w:pPr>
      <w:r>
        <w:rPr>
          <w:rFonts w:hint="eastAsia" w:ascii="仿宋" w:hAnsi="仿宋" w:eastAsia="仿宋" w:cs="仿宋"/>
          <w:sz w:val="24"/>
        </w:rPr>
        <w:t>36.1按《中华人民共和国政府采购法》及其他有关法律法规的规定执行。</w:t>
      </w:r>
    </w:p>
    <w:p w14:paraId="72CEF399">
      <w:pPr>
        <w:jc w:val="center"/>
        <w:rPr>
          <w:rFonts w:ascii="仿宋" w:hAnsi="仿宋" w:eastAsia="仿宋" w:cs="仿宋"/>
          <w:b/>
          <w:bCs/>
          <w:sz w:val="32"/>
          <w:szCs w:val="32"/>
        </w:rPr>
      </w:pPr>
      <w:r>
        <w:rPr>
          <w:rFonts w:hint="eastAsia" w:ascii="仿宋" w:hAnsi="仿宋" w:eastAsia="仿宋" w:cs="仿宋"/>
        </w:rPr>
        <w:br w:type="page" w:clear="all"/>
      </w:r>
      <w:r>
        <w:rPr>
          <w:rFonts w:hint="eastAsia" w:ascii="仿宋" w:hAnsi="仿宋" w:eastAsia="仿宋" w:cs="仿宋"/>
          <w:b/>
          <w:bCs/>
          <w:sz w:val="44"/>
          <w:szCs w:val="44"/>
        </w:rPr>
        <w:t>第三部分  项目需求</w:t>
      </w:r>
    </w:p>
    <w:p w14:paraId="062CC41E">
      <w:pPr>
        <w:spacing w:line="360" w:lineRule="auto"/>
        <w:rPr>
          <w:rFonts w:ascii="仿宋" w:hAnsi="仿宋" w:eastAsia="仿宋" w:cs="仿宋"/>
          <w:sz w:val="24"/>
          <w:szCs w:val="24"/>
        </w:rPr>
      </w:pPr>
      <w:r>
        <w:rPr>
          <w:rFonts w:hint="eastAsia" w:ascii="仿宋" w:hAnsi="仿宋" w:eastAsia="仿宋" w:cs="仿宋"/>
          <w:b/>
          <w:sz w:val="24"/>
          <w:szCs w:val="24"/>
        </w:rPr>
        <w:t>一、项目基本情况</w:t>
      </w:r>
    </w:p>
    <w:p w14:paraId="310B089E">
      <w:pPr>
        <w:spacing w:line="360" w:lineRule="auto"/>
        <w:ind w:firstLine="480"/>
        <w:rPr>
          <w:rFonts w:hint="eastAsia" w:ascii="仿宋" w:hAnsi="仿宋" w:eastAsia="仿宋" w:cs="仿宋"/>
          <w:sz w:val="24"/>
          <w:szCs w:val="24"/>
          <w:lang w:eastAsia="zh-CN"/>
        </w:rPr>
      </w:pPr>
      <w:r>
        <w:rPr>
          <w:rFonts w:hint="eastAsia" w:ascii="仿宋" w:hAnsi="仿宋" w:eastAsia="仿宋" w:cs="仿宋"/>
          <w:sz w:val="24"/>
          <w:szCs w:val="24"/>
        </w:rPr>
        <w:t>项目编号：</w:t>
      </w:r>
      <w:r>
        <w:rPr>
          <w:rFonts w:hint="eastAsia" w:ascii="仿宋" w:hAnsi="仿宋" w:eastAsia="仿宋" w:cs="仿宋"/>
          <w:sz w:val="24"/>
          <w:szCs w:val="24"/>
          <w:lang w:eastAsia="zh-CN"/>
        </w:rPr>
        <w:t>JSZC-320585-YXCZ-G2026-0008</w:t>
      </w:r>
    </w:p>
    <w:p w14:paraId="3E3B30D0">
      <w:pPr>
        <w:spacing w:line="360" w:lineRule="auto"/>
        <w:ind w:firstLine="480"/>
        <w:rPr>
          <w:rFonts w:ascii="仿宋" w:hAnsi="仿宋" w:eastAsia="仿宋" w:cs="仿宋"/>
          <w:sz w:val="24"/>
          <w:szCs w:val="24"/>
        </w:rPr>
      </w:pPr>
      <w:r>
        <w:rPr>
          <w:rFonts w:hint="eastAsia" w:ascii="仿宋" w:hAnsi="仿宋" w:eastAsia="仿宋" w:cs="仿宋"/>
          <w:sz w:val="24"/>
          <w:szCs w:val="24"/>
        </w:rPr>
        <w:t>项目名称：太仓市第二中学新校区体育器材采购</w:t>
      </w:r>
    </w:p>
    <w:p w14:paraId="5F1AB72F">
      <w:pPr>
        <w:spacing w:line="360" w:lineRule="auto"/>
        <w:ind w:firstLine="480"/>
        <w:rPr>
          <w:rFonts w:ascii="仿宋" w:hAnsi="仿宋" w:eastAsia="仿宋" w:cs="仿宋"/>
          <w:sz w:val="24"/>
          <w:szCs w:val="24"/>
        </w:rPr>
      </w:pPr>
      <w:r>
        <w:rPr>
          <w:rFonts w:hint="eastAsia" w:ascii="仿宋" w:hAnsi="仿宋" w:eastAsia="仿宋" w:cs="仿宋"/>
          <w:sz w:val="24"/>
          <w:szCs w:val="24"/>
        </w:rPr>
        <w:t>预算金额：187.23万元</w:t>
      </w:r>
    </w:p>
    <w:p w14:paraId="60B0EC87">
      <w:pPr>
        <w:spacing w:line="360" w:lineRule="auto"/>
        <w:ind w:firstLine="480"/>
        <w:rPr>
          <w:rFonts w:ascii="仿宋" w:hAnsi="仿宋" w:eastAsia="仿宋" w:cs="仿宋"/>
          <w:sz w:val="24"/>
          <w:szCs w:val="24"/>
        </w:rPr>
      </w:pPr>
      <w:r>
        <w:rPr>
          <w:rFonts w:hint="eastAsia" w:ascii="仿宋" w:hAnsi="仿宋" w:eastAsia="仿宋" w:cs="仿宋"/>
          <w:sz w:val="24"/>
          <w:szCs w:val="24"/>
        </w:rPr>
        <w:t>最高限价：187.23万元</w:t>
      </w:r>
    </w:p>
    <w:p w14:paraId="6D25FD88">
      <w:pPr>
        <w:spacing w:line="360" w:lineRule="auto"/>
        <w:ind w:firstLine="480"/>
        <w:rPr>
          <w:rFonts w:ascii="仿宋" w:hAnsi="仿宋" w:eastAsia="仿宋" w:cs="仿宋"/>
          <w:sz w:val="24"/>
          <w:szCs w:val="24"/>
        </w:rPr>
      </w:pPr>
      <w:r>
        <w:rPr>
          <w:rFonts w:hint="eastAsia" w:ascii="仿宋" w:hAnsi="仿宋" w:eastAsia="仿宋" w:cs="仿宋"/>
          <w:sz w:val="24"/>
          <w:szCs w:val="24"/>
        </w:rPr>
        <w:t>供货期限：合同签订生效之后45日历天内交货并安装调试完毕。</w:t>
      </w:r>
    </w:p>
    <w:p w14:paraId="1EE4D1A0">
      <w:pPr>
        <w:spacing w:line="440" w:lineRule="exact"/>
        <w:contextualSpacing/>
        <w:rPr>
          <w:rFonts w:ascii="仿宋" w:hAnsi="仿宋" w:eastAsia="仿宋" w:cs="仿宋"/>
          <w:b/>
          <w:bCs/>
          <w:sz w:val="24"/>
          <w:szCs w:val="24"/>
        </w:rPr>
      </w:pPr>
      <w:r>
        <w:rPr>
          <w:rFonts w:hint="eastAsia" w:ascii="仿宋" w:hAnsi="仿宋" w:eastAsia="仿宋" w:cs="仿宋"/>
          <w:b/>
          <w:bCs/>
          <w:sz w:val="24"/>
          <w:szCs w:val="24"/>
        </w:rPr>
        <w:t>二、采购清单</w:t>
      </w:r>
    </w:p>
    <w:tbl>
      <w:tblPr>
        <w:tblStyle w:val="65"/>
        <w:tblW w:w="9729" w:type="dxa"/>
        <w:jc w:val="center"/>
        <w:tblLayout w:type="autofit"/>
        <w:tblCellMar>
          <w:top w:w="0" w:type="dxa"/>
          <w:left w:w="108" w:type="dxa"/>
          <w:bottom w:w="0" w:type="dxa"/>
          <w:right w:w="108" w:type="dxa"/>
        </w:tblCellMar>
      </w:tblPr>
      <w:tblGrid>
        <w:gridCol w:w="648"/>
        <w:gridCol w:w="1966"/>
        <w:gridCol w:w="780"/>
        <w:gridCol w:w="752"/>
        <w:gridCol w:w="5583"/>
      </w:tblGrid>
      <w:tr w14:paraId="45339E28">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363B35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序号</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BB2B49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品名</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CA66FD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数量</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2D71EF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单位</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183E7C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技术要求</w:t>
            </w:r>
          </w:p>
        </w:tc>
      </w:tr>
      <w:tr w14:paraId="25ED298F">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26179E78">
            <w:pPr>
              <w:widowControl/>
              <w:jc w:val="center"/>
              <w:rPr>
                <w:rFonts w:ascii="仿宋" w:hAnsi="仿宋" w:eastAsia="仿宋" w:cs="仿宋"/>
                <w:color w:val="auto"/>
                <w:szCs w:val="21"/>
                <w:highlight w:val="none"/>
                <w:lang w:bidi="ar"/>
              </w:rPr>
            </w:pPr>
            <w:r>
              <w:rPr>
                <w:rFonts w:hint="eastAsia" w:ascii="仿宋" w:hAnsi="仿宋" w:eastAsia="仿宋" w:cs="仿宋"/>
                <w:b/>
                <w:bCs/>
                <w:color w:val="auto"/>
                <w:szCs w:val="21"/>
                <w:highlight w:val="none"/>
                <w:lang w:bidi="ar"/>
              </w:rPr>
              <w:t>室外</w:t>
            </w:r>
          </w:p>
        </w:tc>
      </w:tr>
      <w:tr w14:paraId="6B471A32">
        <w:tblPrEx>
          <w:tblCellMar>
            <w:top w:w="0" w:type="dxa"/>
            <w:left w:w="108" w:type="dxa"/>
            <w:bottom w:w="0" w:type="dxa"/>
            <w:right w:w="108" w:type="dxa"/>
          </w:tblCellMar>
        </w:tblPrEx>
        <w:trPr>
          <w:trHeight w:val="827"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20D6B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73D1F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地埋篮球架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A540D4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A13E99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B019228">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1.地埋式篮球架，伸臂1850mm，篮圈上沿离地面3.05m，螺丝采用达克罗螺丝。</w:t>
            </w:r>
          </w:p>
          <w:p w14:paraId="7265465D">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2.篮球架立柱下面采用≥180mm×180mm×3.0mm大圆弧方管</w:t>
            </w:r>
            <w:r>
              <w:rPr>
                <w:rStyle w:val="76"/>
                <w:rFonts w:hint="eastAsia" w:ascii="仿宋" w:hAnsi="仿宋" w:eastAsia="仿宋" w:cs="仿宋"/>
                <w:color w:val="auto"/>
                <w:highlight w:val="none"/>
                <w:lang w:eastAsia="zh-CN" w:bidi="ar"/>
              </w:rPr>
              <w:t>，</w:t>
            </w:r>
            <w:r>
              <w:rPr>
                <w:rStyle w:val="76"/>
                <w:rFonts w:hint="eastAsia" w:ascii="仿宋" w:hAnsi="仿宋" w:eastAsia="仿宋" w:cs="仿宋"/>
                <w:color w:val="auto"/>
                <w:highlight w:val="none"/>
                <w:lang w:bidi="ar"/>
              </w:rPr>
              <w:t>上端采用≥200mm×100mm×3.0mm矩形管拼焊而成。</w:t>
            </w:r>
          </w:p>
          <w:p w14:paraId="3FD686C7">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3.篮球架横梁采用≥4mm厚钢板经凹型折边，相互对扣然后拼焊而成</w:t>
            </w:r>
            <w:r>
              <w:rPr>
                <w:rStyle w:val="76"/>
                <w:rFonts w:hint="eastAsia" w:ascii="仿宋" w:hAnsi="仿宋" w:eastAsia="仿宋" w:cs="仿宋"/>
                <w:color w:val="auto"/>
                <w:highlight w:val="none"/>
                <w:lang w:eastAsia="zh-CN" w:bidi="ar"/>
              </w:rPr>
              <w:t>，</w:t>
            </w:r>
            <w:r>
              <w:rPr>
                <w:rStyle w:val="76"/>
                <w:rFonts w:hint="eastAsia" w:ascii="仿宋" w:hAnsi="仿宋" w:eastAsia="仿宋" w:cs="仿宋"/>
                <w:color w:val="auto"/>
                <w:highlight w:val="none"/>
                <w:lang w:bidi="ar"/>
              </w:rPr>
              <w:t xml:space="preserve"> 圆弧过渡可有效均分应力，后宽前窄的锥形体结构，安全牢固，大大降低了篮球架的晃动，增强了篮球架的稳定性。外形尺寸为：后宽≥180mm×140mm、前宽≥115mm×115mm。</w:t>
            </w:r>
          </w:p>
          <w:p w14:paraId="4B3D76CC">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4.篮球架上拉杆采用≥Φ42mm×3mm圆管在自动弯管机上一次折弯成型</w:t>
            </w:r>
            <w:r>
              <w:rPr>
                <w:rStyle w:val="76"/>
                <w:rFonts w:hint="eastAsia" w:ascii="仿宋" w:hAnsi="仿宋" w:eastAsia="仿宋" w:cs="仿宋"/>
                <w:color w:val="auto"/>
                <w:highlight w:val="none"/>
                <w:lang w:eastAsia="zh-CN" w:bidi="ar"/>
              </w:rPr>
              <w:t>，</w:t>
            </w:r>
            <w:r>
              <w:rPr>
                <w:rStyle w:val="76"/>
                <w:rFonts w:hint="eastAsia" w:ascii="仿宋" w:hAnsi="仿宋" w:eastAsia="仿宋" w:cs="仿宋"/>
                <w:color w:val="auto"/>
                <w:highlight w:val="none"/>
                <w:lang w:bidi="ar"/>
              </w:rPr>
              <w:t>拉杆前端采用调节丝调节，安装要求不苛刻。通过调节拉杆，可调节篮圈与地面的平行度。</w:t>
            </w:r>
          </w:p>
          <w:p w14:paraId="1F04A19A">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5.后拉杆采用≥40mm×40mm方管，在自动弯管机上一次折弯成型</w:t>
            </w:r>
            <w:r>
              <w:rPr>
                <w:rStyle w:val="76"/>
                <w:rFonts w:hint="eastAsia" w:ascii="仿宋" w:hAnsi="仿宋" w:eastAsia="仿宋" w:cs="仿宋"/>
                <w:color w:val="auto"/>
                <w:highlight w:val="none"/>
                <w:lang w:eastAsia="zh-CN" w:bidi="ar"/>
              </w:rPr>
              <w:t>，</w:t>
            </w:r>
            <w:r>
              <w:rPr>
                <w:rStyle w:val="76"/>
                <w:rFonts w:hint="eastAsia" w:ascii="仿宋" w:hAnsi="仿宋" w:eastAsia="仿宋" w:cs="仿宋"/>
                <w:color w:val="auto"/>
                <w:highlight w:val="none"/>
                <w:lang w:bidi="ar"/>
              </w:rPr>
              <w:t>免调节设计，中间设有多孔连接板，安装更方便。后拉杆两端采用封口焊接防水、防腐、防锈、防划伤。</w:t>
            </w:r>
          </w:p>
          <w:p w14:paraId="0D2C458A">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6.篮板规格：1800mm×1050mm，篮板配用国际通用的高强度安全钢化玻璃篮板，具有透明度高、</w:t>
            </w:r>
            <w:r>
              <w:rPr>
                <w:rStyle w:val="76"/>
                <w:rFonts w:hint="eastAsia" w:ascii="仿宋" w:hAnsi="仿宋" w:eastAsia="仿宋" w:cs="仿宋"/>
                <w:color w:val="auto"/>
                <w:highlight w:val="none"/>
                <w:lang w:eastAsia="zh-CN" w:bidi="ar"/>
              </w:rPr>
              <w:t>耐候性</w:t>
            </w:r>
            <w:r>
              <w:rPr>
                <w:rStyle w:val="76"/>
                <w:rFonts w:hint="eastAsia" w:ascii="仿宋" w:hAnsi="仿宋" w:eastAsia="仿宋" w:cs="仿宋"/>
                <w:color w:val="auto"/>
                <w:highlight w:val="none"/>
                <w:lang w:bidi="ar"/>
              </w:rPr>
              <w:t>好、抗老化、耐腐蚀、不易模糊等特点，篮板外框采用≥40mm×40mm铝合金型材，并在篮板下沿安装安全保护条，能保护运动员扣篮时不受伤害。</w:t>
            </w:r>
          </w:p>
          <w:p w14:paraId="219A22E3">
            <w:pPr>
              <w:widowControl/>
              <w:jc w:val="left"/>
              <w:rPr>
                <w:rStyle w:val="76"/>
                <w:rFonts w:ascii="仿宋" w:hAnsi="仿宋" w:eastAsia="仿宋" w:cs="仿宋"/>
                <w:color w:val="auto"/>
                <w:highlight w:val="none"/>
                <w:lang w:bidi="ar"/>
              </w:rPr>
            </w:pPr>
            <w:r>
              <w:rPr>
                <w:rStyle w:val="76"/>
                <w:rFonts w:hint="eastAsia" w:ascii="仿宋" w:hAnsi="仿宋" w:eastAsia="仿宋" w:cs="仿宋"/>
                <w:color w:val="auto"/>
                <w:highlight w:val="none"/>
                <w:lang w:bidi="ar"/>
              </w:rPr>
              <w:t>7.篮筐采用≥Φ18mm实心圆钢制作，圈下均匀焊有十二个成型挂钩，间隙不大于8mm，抗弯性能好。配尼龙篮球网。</w:t>
            </w:r>
          </w:p>
          <w:p w14:paraId="330DD8E8">
            <w:pPr>
              <w:widowControl/>
              <w:jc w:val="left"/>
              <w:rPr>
                <w:rFonts w:ascii="仿宋" w:hAnsi="仿宋" w:eastAsia="仿宋" w:cs="仿宋"/>
                <w:color w:val="auto"/>
                <w:szCs w:val="21"/>
                <w:highlight w:val="none"/>
                <w:lang w:bidi="ar"/>
              </w:rPr>
            </w:pPr>
            <w:r>
              <w:rPr>
                <w:rStyle w:val="76"/>
                <w:rFonts w:hint="eastAsia" w:ascii="仿宋" w:hAnsi="仿宋" w:eastAsia="仿宋" w:cs="仿宋"/>
                <w:color w:val="auto"/>
                <w:highlight w:val="none"/>
                <w:lang w:bidi="ar"/>
              </w:rPr>
              <w:t>8.篮球架螺丝采用达克罗螺丝，所有钢制件表面均经抛丸除锈处理，后在自动喷涂流水线上采用静电环氧基粉末喷涂完成表面处理，有良好的耐酸碱性、耐湿热性、抗老化等优点。</w:t>
            </w:r>
          </w:p>
          <w:p w14:paraId="1EF1E0F9">
            <w:pPr>
              <w:widowControl/>
              <w:jc w:val="left"/>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w:t>
            </w:r>
            <w:r>
              <w:rPr>
                <w:rFonts w:hint="eastAsia" w:ascii="仿宋" w:hAnsi="仿宋" w:eastAsia="仿宋" w:cs="仿宋"/>
                <w:b/>
                <w:bCs/>
                <w:color w:val="auto"/>
                <w:szCs w:val="21"/>
                <w:highlight w:val="none"/>
                <w:lang w:bidi="ar"/>
              </w:rPr>
              <w:t>GB/T 23176-2008《篮球架》</w:t>
            </w:r>
            <w:r>
              <w:rPr>
                <w:rFonts w:hint="eastAsia" w:ascii="仿宋" w:hAnsi="仿宋" w:eastAsia="仿宋" w:cs="仿宋"/>
                <w:b/>
                <w:bCs/>
                <w:color w:val="auto"/>
                <w:szCs w:val="21"/>
                <w:highlight w:val="none"/>
              </w:rPr>
              <w:t>或GB/T 19851.3-2005《中小学体育器材和场地第3部分:篮球架》</w:t>
            </w:r>
            <w:r>
              <w:rPr>
                <w:rFonts w:hint="eastAsia" w:ascii="仿宋" w:hAnsi="仿宋" w:eastAsia="仿宋" w:cs="仿宋"/>
                <w:b/>
                <w:bCs/>
                <w:color w:val="auto"/>
                <w:szCs w:val="21"/>
                <w:highlight w:val="none"/>
                <w:lang w:val="en-US" w:eastAsia="zh-CN"/>
              </w:rPr>
              <w:t>或</w:t>
            </w:r>
            <w:r>
              <w:rPr>
                <w:rFonts w:hint="eastAsia" w:ascii="仿宋" w:hAnsi="仿宋" w:eastAsia="仿宋" w:cs="仿宋"/>
                <w:b/>
                <w:bCs/>
                <w:color w:val="auto"/>
                <w:szCs w:val="21"/>
                <w:highlight w:val="none"/>
              </w:rPr>
              <w:t>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）全项检测，须体现伸臂尺寸。</w:t>
            </w:r>
          </w:p>
        </w:tc>
      </w:tr>
      <w:tr w14:paraId="62E7C48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E0375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30C188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插地式排球柱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8711E3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CB9737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E99420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1.排球柱由内外立柱，高度调节销和紧线机构组成。</w:t>
            </w:r>
          </w:p>
          <w:p w14:paraId="2845209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2.排球柱外立柱选用</w:t>
            </w:r>
            <w:r>
              <w:rPr>
                <w:rFonts w:hint="eastAsia" w:ascii="仿宋" w:hAnsi="仿宋" w:eastAsia="仿宋" w:cs="仿宋"/>
                <w:b w:val="0"/>
                <w:bCs w:val="0"/>
                <w:color w:val="auto"/>
                <w:szCs w:val="21"/>
                <w:highlight w:val="none"/>
                <w:lang w:bidi="ar"/>
              </w:rPr>
              <w:t>φ≥89mm</w:t>
            </w:r>
            <w:r>
              <w:rPr>
                <w:rFonts w:hint="eastAsia" w:ascii="仿宋" w:hAnsi="仿宋" w:eastAsia="仿宋" w:cs="仿宋"/>
                <w:color w:val="auto"/>
                <w:szCs w:val="21"/>
                <w:highlight w:val="none"/>
                <w:lang w:bidi="ar"/>
              </w:rPr>
              <w:t>×≥3</w:t>
            </w:r>
            <w:r>
              <w:rPr>
                <w:rFonts w:hint="eastAsia" w:ascii="仿宋" w:hAnsi="仿宋" w:eastAsia="仿宋" w:cs="仿宋"/>
                <w:b w:val="0"/>
                <w:bCs w:val="0"/>
                <w:color w:val="auto"/>
                <w:szCs w:val="21"/>
                <w:highlight w:val="none"/>
                <w:lang w:bidi="ar"/>
              </w:rPr>
              <w:t>mm</w:t>
            </w:r>
            <w:r>
              <w:rPr>
                <w:rFonts w:hint="eastAsia" w:ascii="仿宋" w:hAnsi="仿宋" w:eastAsia="仿宋" w:cs="仿宋"/>
                <w:color w:val="auto"/>
                <w:szCs w:val="21"/>
                <w:highlight w:val="none"/>
                <w:lang w:bidi="ar"/>
              </w:rPr>
              <w:t>的焊管材，内立柱选用φ≥75mm×≥2.5mm管材制作，通过内置高强度弹簧调节装置，使内立柱上下移动，实现网高调节高度。</w:t>
            </w:r>
          </w:p>
          <w:p w14:paraId="004A948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 xml:space="preserve">3.排球柱立柱上部设有特制封套，能防止高度调节时内立柱外管与外立柱内管摩擦而引起漆膜脱落，从而影响整体美观。 </w:t>
            </w:r>
          </w:p>
          <w:p w14:paraId="40E565F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4.排球柱配备有专用的预埋件，采用φ≥108</w:t>
            </w:r>
            <w:r>
              <w:rPr>
                <w:rFonts w:hint="eastAsia" w:ascii="仿宋" w:hAnsi="仿宋" w:eastAsia="仿宋" w:cs="仿宋"/>
                <w:b w:val="0"/>
                <w:bCs w:val="0"/>
                <w:color w:val="auto"/>
                <w:szCs w:val="21"/>
                <w:highlight w:val="none"/>
                <w:lang w:bidi="ar"/>
              </w:rPr>
              <w:t>mm×≥2.75mm</w:t>
            </w:r>
            <w:r>
              <w:rPr>
                <w:rFonts w:hint="eastAsia" w:ascii="仿宋" w:hAnsi="仿宋" w:eastAsia="仿宋" w:cs="仿宋"/>
                <w:color w:val="auto"/>
                <w:szCs w:val="21"/>
                <w:highlight w:val="none"/>
                <w:lang w:bidi="ar"/>
              </w:rPr>
              <w:t>圆管，预埋件底部托底和顶部盖帽均采用≥δ3mm铁板制作，使用时把立柱插入预埋孔即可，不用时，取出排球柱立柱，盖上预埋盖即可，使用方便。</w:t>
            </w:r>
          </w:p>
          <w:p w14:paraId="71782DC2">
            <w:pPr>
              <w:widowControl/>
              <w:jc w:val="left"/>
              <w:rPr>
                <w:rFonts w:hint="eastAsia" w:ascii="仿宋" w:hAnsi="仿宋" w:eastAsia="仿宋" w:cs="仿宋"/>
                <w:b/>
                <w:bCs/>
                <w:color w:val="auto"/>
                <w:szCs w:val="21"/>
                <w:highlight w:val="none"/>
                <w:lang w:eastAsia="zh-CN" w:bidi="ar"/>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，依据GB/T19851.13-2007《中小学体育器材和场地第13部分:排球网柱、羽毛球网柱、网球网柱》或其他现行有效标准（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64654CA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05316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82BBE6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排球网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478925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2D4DCF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0517B8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1.排球网规格：长9500mm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 xml:space="preserve">高1000mm。 </w:t>
            </w:r>
            <w:r>
              <w:rPr>
                <w:rFonts w:hint="eastAsia" w:ascii="仿宋" w:hAnsi="仿宋" w:eastAsia="仿宋" w:cs="仿宋"/>
                <w:b w:val="0"/>
                <w:bCs w:val="0"/>
                <w:color w:val="auto"/>
                <w:szCs w:val="21"/>
                <w:highlight w:val="none"/>
              </w:rPr>
              <w:t>材质：合成纤维</w:t>
            </w:r>
          </w:p>
          <w:p w14:paraId="6C9C62B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2.排球网为黑色，网眼为正方形：100×100mm（±5），网线直径为φ4-φ5mm。</w:t>
            </w:r>
          </w:p>
          <w:p w14:paraId="1487B88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3.排球网的上下两边全长缝有双层白色PVC布包边，上包边宽为</w:t>
            </w:r>
            <w:r>
              <w:rPr>
                <w:rFonts w:ascii="仿宋" w:hAnsi="仿宋" w:eastAsia="仿宋" w:cs="仿宋"/>
                <w:color w:val="auto"/>
                <w:szCs w:val="21"/>
                <w:highlight w:val="none"/>
                <w:lang w:bidi="ar"/>
              </w:rPr>
              <w:t>65</w:t>
            </w:r>
            <w:r>
              <w:rPr>
                <w:rFonts w:hint="eastAsia" w:ascii="仿宋" w:hAnsi="仿宋" w:eastAsia="仿宋" w:cs="仿宋"/>
                <w:color w:val="auto"/>
                <w:szCs w:val="21"/>
                <w:highlight w:val="none"/>
                <w:lang w:eastAsia="zh-CN" w:bidi="ar"/>
              </w:rPr>
              <w:t>～</w:t>
            </w:r>
            <w:r>
              <w:rPr>
                <w:rFonts w:ascii="仿宋" w:hAnsi="仿宋" w:eastAsia="仿宋" w:cs="仿宋"/>
                <w:color w:val="auto"/>
                <w:szCs w:val="21"/>
                <w:highlight w:val="none"/>
                <w:lang w:bidi="ar"/>
              </w:rPr>
              <w:t>75mm</w:t>
            </w:r>
            <w:r>
              <w:rPr>
                <w:rFonts w:hint="eastAsia" w:ascii="仿宋" w:hAnsi="仿宋" w:eastAsia="仿宋" w:cs="仿宋"/>
                <w:color w:val="auto"/>
                <w:szCs w:val="21"/>
                <w:highlight w:val="none"/>
                <w:lang w:bidi="ar"/>
              </w:rPr>
              <w:t>，下包边宽为</w:t>
            </w:r>
            <w:r>
              <w:rPr>
                <w:rFonts w:ascii="仿宋" w:hAnsi="仿宋" w:eastAsia="仿宋" w:cs="仿宋"/>
                <w:color w:val="auto"/>
                <w:szCs w:val="21"/>
                <w:highlight w:val="none"/>
                <w:lang w:bidi="ar"/>
              </w:rPr>
              <w:t>45</w:t>
            </w:r>
            <w:r>
              <w:rPr>
                <w:rFonts w:hint="eastAsia" w:ascii="仿宋" w:hAnsi="仿宋" w:eastAsia="仿宋" w:cs="仿宋"/>
                <w:color w:val="auto"/>
                <w:szCs w:val="21"/>
                <w:highlight w:val="none"/>
                <w:lang w:eastAsia="zh-CN" w:bidi="ar"/>
              </w:rPr>
              <w:t>～</w:t>
            </w:r>
            <w:r>
              <w:rPr>
                <w:rFonts w:ascii="仿宋" w:hAnsi="仿宋" w:eastAsia="仿宋" w:cs="仿宋"/>
                <w:color w:val="auto"/>
                <w:szCs w:val="21"/>
                <w:highlight w:val="none"/>
                <w:lang w:bidi="ar"/>
              </w:rPr>
              <w:t>55mm</w:t>
            </w:r>
            <w:r>
              <w:rPr>
                <w:rFonts w:hint="eastAsia" w:ascii="仿宋" w:hAnsi="仿宋" w:eastAsia="仿宋" w:cs="仿宋"/>
                <w:color w:val="auto"/>
                <w:szCs w:val="21"/>
                <w:highlight w:val="none"/>
                <w:lang w:bidi="ar"/>
              </w:rPr>
              <w:t>，上下包边两端均铆接有橡胶块，橡胶块上设有圆孔，用于铆接气眼，方便于穿拉网绳。</w:t>
            </w:r>
          </w:p>
          <w:p w14:paraId="17FC0A6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4.排球网的两端采用一根6mm白色涤纶绳和三根3mm黑色网绳线缠绕交织制成，上面系双根2米长白色空扁绳，便于整个网片展开张紧后保持网片的整齐美观。</w:t>
            </w:r>
          </w:p>
          <w:p w14:paraId="7B89CB9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5.排球网的上下两边均配有拉绳，绳长14-15米，两端套热塑管，防止绳头松散。</w:t>
            </w:r>
          </w:p>
        </w:tc>
      </w:tr>
      <w:tr w14:paraId="1903C98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19D06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2BC218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标志杆</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D4DFEE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E5C2D1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FD776DC">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1.规格：直径φ</w:t>
            </w:r>
            <w:r>
              <w:rPr>
                <w:rFonts w:ascii="仿宋" w:hAnsi="仿宋" w:eastAsia="仿宋" w:cs="仿宋"/>
                <w:color w:val="auto"/>
                <w:szCs w:val="21"/>
                <w:highlight w:val="none"/>
                <w:lang w:bidi="ar"/>
              </w:rPr>
              <w:t>8</w:t>
            </w:r>
            <w:r>
              <w:rPr>
                <w:rFonts w:hint="eastAsia" w:ascii="仿宋" w:hAnsi="仿宋" w:eastAsia="仿宋" w:cs="仿宋"/>
                <w:color w:val="auto"/>
                <w:szCs w:val="21"/>
                <w:highlight w:val="none"/>
                <w:lang w:bidi="ar"/>
              </w:rPr>
              <w:t>-10</w:t>
            </w:r>
            <w:r>
              <w:rPr>
                <w:rFonts w:ascii="仿宋" w:hAnsi="仿宋" w:eastAsia="仿宋" w:cs="仿宋"/>
                <w:color w:val="auto"/>
                <w:szCs w:val="21"/>
                <w:highlight w:val="none"/>
                <w:lang w:bidi="ar"/>
              </w:rPr>
              <w:t>mm</w:t>
            </w:r>
            <w:r>
              <w:rPr>
                <w:rFonts w:hint="eastAsia" w:ascii="仿宋" w:hAnsi="仿宋" w:eastAsia="仿宋" w:cs="仿宋"/>
                <w:color w:val="auto"/>
                <w:szCs w:val="21"/>
                <w:highlight w:val="none"/>
                <w:lang w:bidi="ar"/>
              </w:rPr>
              <w:t xml:space="preserve">，长1800mm。 </w:t>
            </w:r>
          </w:p>
          <w:p w14:paraId="351663C8">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2.材质：玻璃钢。</w:t>
            </w:r>
          </w:p>
          <w:p w14:paraId="59D36194">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3.颜色：标志杆总长</w:t>
            </w:r>
            <w:r>
              <w:rPr>
                <w:rFonts w:ascii="仿宋" w:hAnsi="仿宋" w:eastAsia="仿宋" w:cs="仿宋"/>
                <w:color w:val="auto"/>
                <w:szCs w:val="21"/>
                <w:highlight w:val="none"/>
                <w:lang w:bidi="ar"/>
              </w:rPr>
              <w:t>1800mm（其中高出球网部分约800mm）</w:t>
            </w:r>
            <w:r>
              <w:rPr>
                <w:rFonts w:hint="eastAsia" w:ascii="仿宋" w:hAnsi="仿宋" w:eastAsia="仿宋" w:cs="仿宋"/>
                <w:color w:val="auto"/>
                <w:szCs w:val="21"/>
                <w:highlight w:val="none"/>
                <w:lang w:bidi="ar"/>
              </w:rPr>
              <w:t>，高出部分每10厘米涂有明显对比的红白相间色。</w:t>
            </w:r>
          </w:p>
        </w:tc>
      </w:tr>
      <w:tr w14:paraId="2789A7A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75F692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C60108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高单杠</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BAC916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023D50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4EBBDA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1.单杠由支架、杠面</w:t>
            </w:r>
            <w:r>
              <w:rPr>
                <w:rFonts w:hint="eastAsia" w:ascii="仿宋" w:hAnsi="仿宋" w:eastAsia="仿宋" w:cs="仿宋"/>
                <w:b w:val="0"/>
                <w:bCs w:val="0"/>
                <w:color w:val="auto"/>
                <w:szCs w:val="21"/>
                <w:highlight w:val="none"/>
              </w:rPr>
              <w:t>（钢管）</w:t>
            </w:r>
            <w:r>
              <w:rPr>
                <w:rFonts w:hint="eastAsia" w:ascii="仿宋" w:hAnsi="仿宋" w:eastAsia="仿宋" w:cs="仿宋"/>
                <w:color w:val="auto"/>
                <w:szCs w:val="21"/>
                <w:highlight w:val="none"/>
              </w:rPr>
              <w:t>、调节销和杠托四部分组成。</w:t>
            </w:r>
          </w:p>
          <w:p w14:paraId="3F173D2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2.单杠杠面长1900mm，选用≥φ</w:t>
            </w:r>
            <w:r>
              <w:rPr>
                <w:rFonts w:ascii="仿宋" w:hAnsi="仿宋" w:eastAsia="仿宋" w:cs="仿宋"/>
                <w:color w:val="auto"/>
                <w:szCs w:val="21"/>
                <w:highlight w:val="none"/>
              </w:rPr>
              <w:t>28mm</w:t>
            </w:r>
            <w:r>
              <w:rPr>
                <w:rFonts w:hint="eastAsia" w:ascii="仿宋" w:hAnsi="仿宋" w:eastAsia="仿宋" w:cs="仿宋"/>
                <w:color w:val="auto"/>
                <w:szCs w:val="21"/>
                <w:highlight w:val="none"/>
              </w:rPr>
              <w:t>的拉光圆制作，调节范围为2200-2500mm。立柱选用≥φ</w:t>
            </w:r>
            <w:r>
              <w:rPr>
                <w:rFonts w:ascii="仿宋" w:hAnsi="仿宋" w:eastAsia="仿宋" w:cs="仿宋"/>
                <w:color w:val="auto"/>
                <w:szCs w:val="21"/>
                <w:highlight w:val="none"/>
              </w:rPr>
              <w:t>89×3mm</w:t>
            </w:r>
            <w:r>
              <w:rPr>
                <w:rFonts w:hint="eastAsia" w:ascii="仿宋" w:hAnsi="仿宋" w:eastAsia="仿宋" w:cs="仿宋"/>
                <w:color w:val="auto"/>
                <w:szCs w:val="21"/>
                <w:highlight w:val="none"/>
              </w:rPr>
              <w:t>的钢管制作，立柱埋入地下深度≥</w:t>
            </w:r>
            <w:r>
              <w:rPr>
                <w:rFonts w:ascii="仿宋" w:hAnsi="仿宋" w:eastAsia="仿宋" w:cs="仿宋"/>
                <w:color w:val="auto"/>
                <w:szCs w:val="21"/>
                <w:highlight w:val="none"/>
              </w:rPr>
              <w:t>800mm</w:t>
            </w:r>
            <w:r>
              <w:rPr>
                <w:rFonts w:hint="eastAsia" w:ascii="仿宋" w:hAnsi="仿宋" w:eastAsia="仿宋" w:cs="仿宋"/>
                <w:color w:val="auto"/>
                <w:szCs w:val="21"/>
                <w:highlight w:val="none"/>
              </w:rPr>
              <w:t>，下端焊有加强筋，增强单杠整体的稳定性。</w:t>
            </w:r>
          </w:p>
          <w:p w14:paraId="7E414570">
            <w:pPr>
              <w:jc w:val="left"/>
              <w:rPr>
                <w:rFonts w:hint="eastAsia" w:ascii="仿宋" w:hAnsi="仿宋" w:eastAsia="仿宋" w:cs="仿宋"/>
                <w:b/>
                <w:bCs/>
                <w:color w:val="auto"/>
                <w:szCs w:val="21"/>
                <w:highlight w:val="none"/>
                <w:lang w:eastAsia="zh-CN" w:bidi="ar"/>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19851.2-2005《中小学体育器材和场地第2部分：体操器材》或其他现行有效标准（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2AD63F9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52588E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38795D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单杠</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716EC4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C9DD3B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516D660">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.单杠调节范围</w:t>
            </w:r>
            <w:r>
              <w:rPr>
                <w:rFonts w:ascii="仿宋" w:hAnsi="仿宋" w:eastAsia="仿宋" w:cs="仿宋"/>
                <w:color w:val="auto"/>
                <w:szCs w:val="21"/>
                <w:highlight w:val="none"/>
              </w:rPr>
              <w:t>1.85</w:t>
            </w:r>
            <w:r>
              <w:rPr>
                <w:rFonts w:hint="eastAsia" w:ascii="仿宋" w:hAnsi="仿宋" w:eastAsia="仿宋" w:cs="仿宋"/>
                <w:color w:val="auto"/>
                <w:szCs w:val="21"/>
                <w:highlight w:val="none"/>
                <w:lang w:eastAsia="zh-CN"/>
              </w:rPr>
              <w:t>～</w:t>
            </w:r>
            <w:r>
              <w:rPr>
                <w:rFonts w:ascii="仿宋" w:hAnsi="仿宋" w:eastAsia="仿宋" w:cs="仿宋"/>
                <w:color w:val="auto"/>
                <w:szCs w:val="21"/>
                <w:highlight w:val="none"/>
              </w:rPr>
              <w:t>2.15m</w:t>
            </w:r>
            <w:r>
              <w:rPr>
                <w:rFonts w:hint="eastAsia" w:ascii="仿宋" w:hAnsi="仿宋" w:eastAsia="仿宋" w:cs="仿宋"/>
                <w:color w:val="auto"/>
                <w:szCs w:val="21"/>
                <w:highlight w:val="none"/>
              </w:rPr>
              <w:t>，立柱直径≥</w:t>
            </w:r>
            <w:r>
              <w:rPr>
                <w:rFonts w:ascii="仿宋" w:hAnsi="仿宋" w:eastAsia="仿宋" w:cs="仿宋"/>
                <w:color w:val="auto"/>
                <w:szCs w:val="21"/>
                <w:highlight w:val="none"/>
              </w:rPr>
              <w:t>60mm</w:t>
            </w:r>
            <w:r>
              <w:rPr>
                <w:rFonts w:hint="eastAsia" w:ascii="仿宋" w:hAnsi="仿宋" w:eastAsia="仿宋" w:cs="仿宋"/>
                <w:color w:val="auto"/>
                <w:szCs w:val="21"/>
                <w:highlight w:val="none"/>
              </w:rPr>
              <w:t>，杠面长度≥</w:t>
            </w:r>
            <w:r>
              <w:rPr>
                <w:rFonts w:ascii="仿宋" w:hAnsi="仿宋" w:eastAsia="仿宋" w:cs="仿宋"/>
                <w:color w:val="auto"/>
                <w:szCs w:val="21"/>
                <w:highlight w:val="none"/>
              </w:rPr>
              <w:t>1.9m</w:t>
            </w:r>
            <w:r>
              <w:rPr>
                <w:rFonts w:hint="eastAsia" w:ascii="仿宋" w:hAnsi="仿宋" w:eastAsia="仿宋" w:cs="仿宋"/>
                <w:b w:val="0"/>
                <w:bCs w:val="0"/>
                <w:color w:val="auto"/>
                <w:szCs w:val="21"/>
                <w:highlight w:val="none"/>
              </w:rPr>
              <w:t>（钢管）</w:t>
            </w:r>
            <w:r>
              <w:rPr>
                <w:rFonts w:hint="eastAsia" w:ascii="仿宋" w:hAnsi="仿宋" w:eastAsia="仿宋" w:cs="仿宋"/>
                <w:color w:val="auto"/>
                <w:szCs w:val="21"/>
                <w:highlight w:val="none"/>
              </w:rPr>
              <w:t>，杠面直径≥</w:t>
            </w:r>
            <w:r>
              <w:rPr>
                <w:rFonts w:ascii="仿宋" w:hAnsi="仿宋" w:eastAsia="仿宋" w:cs="仿宋"/>
                <w:color w:val="auto"/>
                <w:szCs w:val="21"/>
                <w:highlight w:val="none"/>
              </w:rPr>
              <w:t>28mm</w:t>
            </w:r>
            <w:r>
              <w:rPr>
                <w:rFonts w:hint="eastAsia" w:ascii="仿宋" w:hAnsi="仿宋" w:eastAsia="仿宋" w:cs="仿宋"/>
                <w:color w:val="auto"/>
                <w:szCs w:val="21"/>
                <w:highlight w:val="none"/>
              </w:rPr>
              <w:t>。</w:t>
            </w:r>
          </w:p>
          <w:p w14:paraId="525DC9D0">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.杠面采用实心弹簧钢或碳素钢，弹性适中，表面镀铬处理，光滑耐磨防锈。</w:t>
            </w:r>
          </w:p>
          <w:p w14:paraId="32BDA350">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.立柱采用无缝钢管，壁厚≥3mm，表面喷塑或静电喷涂处理，色泽均匀，附着力强，防锈防腐。</w:t>
            </w:r>
          </w:p>
          <w:p w14:paraId="7683AA43">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.埋入地下部分≥600mm，并采取防锈防腐处理，底部设混凝土基础固定，确保使用稳固；横杠与立柱连接牢固，转动灵活无异响。</w:t>
            </w:r>
          </w:p>
          <w:p w14:paraId="56B1AF53">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.器材整体设计无锐角、无毛刺，使用安全。</w:t>
            </w:r>
          </w:p>
          <w:p w14:paraId="175E425E">
            <w:pPr>
              <w:jc w:val="left"/>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19851.2-2005《中小学体育器材和场地第2部分：体操器材》或其他现行有效标准（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010B00F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6EE8D4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25101E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高双杠</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4EFADC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6F1C5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E55792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1.双杠杠面基本尺寸：长×横截面=≥</w:t>
            </w:r>
            <w:r>
              <w:rPr>
                <w:rFonts w:ascii="仿宋" w:hAnsi="仿宋" w:eastAsia="仿宋" w:cs="仿宋"/>
                <w:color w:val="auto"/>
                <w:szCs w:val="21"/>
                <w:highlight w:val="none"/>
              </w:rPr>
              <w:t>3000×42mm</w:t>
            </w:r>
            <w:r>
              <w:rPr>
                <w:rFonts w:hint="eastAsia" w:ascii="仿宋" w:hAnsi="仿宋" w:eastAsia="仿宋" w:cs="仿宋"/>
                <w:color w:val="auto"/>
                <w:szCs w:val="21"/>
                <w:highlight w:val="none"/>
              </w:rPr>
              <w:t>。杠面高度≥</w:t>
            </w:r>
            <w:r>
              <w:rPr>
                <w:rFonts w:ascii="仿宋" w:hAnsi="仿宋" w:eastAsia="仿宋" w:cs="仿宋"/>
                <w:color w:val="auto"/>
                <w:szCs w:val="21"/>
                <w:highlight w:val="none"/>
              </w:rPr>
              <w:t>1600mm</w:t>
            </w:r>
            <w:r>
              <w:rPr>
                <w:rFonts w:hint="eastAsia" w:ascii="仿宋" w:hAnsi="仿宋" w:eastAsia="仿宋" w:cs="仿宋"/>
                <w:color w:val="auto"/>
                <w:szCs w:val="21"/>
                <w:highlight w:val="none"/>
              </w:rPr>
              <w:t>。</w:t>
            </w:r>
          </w:p>
          <w:p w14:paraId="72CAA96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2.双杠立柱采用≥89×≥3mm的圆管制作，埋入地下部分长500mm。</w:t>
            </w:r>
          </w:p>
          <w:p w14:paraId="7F7C10B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3.杠面采用≥42mm×≥3mm的圆管制作。</w:t>
            </w:r>
          </w:p>
          <w:p w14:paraId="09EF3DA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4.双杠</w:t>
            </w:r>
            <w:r>
              <w:rPr>
                <w:rFonts w:hint="eastAsia" w:ascii="仿宋" w:hAnsi="仿宋" w:eastAsia="仿宋" w:cs="仿宋"/>
                <w:color w:val="auto"/>
                <w:szCs w:val="21"/>
                <w:highlight w:val="none"/>
                <w:lang w:eastAsia="zh-CN"/>
              </w:rPr>
              <w:t>埋入</w:t>
            </w:r>
            <w:r>
              <w:rPr>
                <w:rFonts w:hint="eastAsia" w:ascii="仿宋" w:hAnsi="仿宋" w:eastAsia="仿宋" w:cs="仿宋"/>
                <w:color w:val="auto"/>
                <w:szCs w:val="21"/>
                <w:highlight w:val="none"/>
              </w:rPr>
              <w:t>地下部分焊有加强筋，具有较强的稳定性。</w:t>
            </w:r>
          </w:p>
          <w:p w14:paraId="42BF82B0">
            <w:pPr>
              <w:jc w:val="left"/>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19851.2-2005《中小学体育器材和场地第2部分：体操器材》或其他现行有效标准（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0A8F07C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B1AC6D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314DE5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双杠</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76B4DA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C95E0F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E93E45C">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rPr>
              <w:t>.杠面采用铁质材料，外包高压聚乙烯塑料，断面为鸭蛋圆形，防滑耐磨，手感舒适。</w:t>
            </w:r>
          </w:p>
          <w:p w14:paraId="29B482C1">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.杠面长度3.0米，宽度调节范围395-535mm，高度≥</w:t>
            </w:r>
            <w:r>
              <w:rPr>
                <w:rFonts w:ascii="仿宋" w:hAnsi="仿宋" w:eastAsia="仿宋" w:cs="仿宋"/>
                <w:color w:val="auto"/>
                <w:szCs w:val="21"/>
                <w:highlight w:val="none"/>
              </w:rPr>
              <w:t>1.4m（埋入式固定）</w:t>
            </w:r>
            <w:r>
              <w:rPr>
                <w:rFonts w:hint="eastAsia" w:ascii="仿宋" w:hAnsi="仿宋" w:eastAsia="仿宋" w:cs="仿宋"/>
                <w:color w:val="auto"/>
                <w:szCs w:val="21"/>
                <w:highlight w:val="none"/>
              </w:rPr>
              <w:t>。</w:t>
            </w:r>
          </w:p>
          <w:p w14:paraId="721703D9">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.立柱采用无缝钢管，壁厚≥3mm，表面喷塑或静电喷涂处理，色泽均匀，附着力强，防锈防腐。</w:t>
            </w:r>
          </w:p>
          <w:p w14:paraId="07E5D638">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.埋入地下部分≥600mm，并采取防锈防腐处理，底部设混凝土基础固定，包括基础开挖、水泥混凝土浇筑及周边塑胶修补，确保使用稳固无晃动</w:t>
            </w:r>
            <w:r>
              <w:rPr>
                <w:rFonts w:hint="eastAsia" w:ascii="仿宋" w:hAnsi="仿宋" w:eastAsia="仿宋" w:cs="仿宋"/>
                <w:color w:val="auto"/>
                <w:szCs w:val="21"/>
                <w:highlight w:val="none"/>
                <w:lang w:eastAsia="zh-CN"/>
              </w:rPr>
              <w:t>。</w:t>
            </w:r>
          </w:p>
          <w:p w14:paraId="489EAA2B">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.器材整体设计无锐角、无毛刺，使用安全。</w:t>
            </w:r>
          </w:p>
          <w:p w14:paraId="7077CCF7">
            <w:pPr>
              <w:jc w:val="left"/>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19851.2-2005《中小学体育器材和场地第2部分：体操器材》或其他现行有效标准（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3C877D7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712751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CCC872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云梯</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670599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05346E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50D927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1.平梯埋入地下后基本尺寸：长×高×宽≥4000×714×2290（㎜）；支撑立柱混凝土基坑为≥</w:t>
            </w:r>
            <w:r>
              <w:rPr>
                <w:rFonts w:ascii="仿宋" w:hAnsi="仿宋" w:eastAsia="仿宋" w:cs="仿宋"/>
                <w:color w:val="auto"/>
                <w:szCs w:val="21"/>
                <w:highlight w:val="none"/>
              </w:rPr>
              <w:t>1270×400×600mm</w:t>
            </w:r>
            <w:r>
              <w:rPr>
                <w:rFonts w:hint="eastAsia" w:ascii="仿宋" w:hAnsi="仿宋" w:eastAsia="仿宋" w:cs="仿宋"/>
                <w:color w:val="auto"/>
                <w:szCs w:val="21"/>
                <w:highlight w:val="none"/>
              </w:rPr>
              <w:t>，埋入地下部分长500mm；所</w:t>
            </w:r>
            <w:r>
              <w:rPr>
                <w:rFonts w:hint="eastAsia" w:ascii="仿宋" w:hAnsi="仿宋" w:eastAsia="仿宋" w:cs="仿宋"/>
                <w:color w:val="auto"/>
                <w:szCs w:val="21"/>
                <w:highlight w:val="none"/>
                <w:lang w:eastAsia="zh-CN"/>
              </w:rPr>
              <w:t>浇筑的混凝土</w:t>
            </w:r>
            <w:r>
              <w:rPr>
                <w:rFonts w:hint="eastAsia" w:ascii="仿宋" w:hAnsi="仿宋" w:eastAsia="仿宋" w:cs="仿宋"/>
                <w:color w:val="auto"/>
                <w:szCs w:val="21"/>
                <w:highlight w:val="none"/>
              </w:rPr>
              <w:t>为C20，并配有安装说明书，确保所有器材与地面的紧固。</w:t>
            </w:r>
          </w:p>
          <w:p w14:paraId="343D1DE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2.平梯由上部横梯和框架立柱组成。框架立柱主要材料采用Φ≥76mm×≥2.75mm、Φ≥42mm×≥2.5mm圆管制作</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下部横梯采用Ф≥32mm×≥2.5mm、Φ≥25mm×≥2mm圆管拼焊而成；天梯两边有护栏，可作单杠用；立柱顶端设计采用防钩挂结构，立柱与横梯采用不锈钢防盗螺栓连接；所有焊接采用CO2气体保护焊，焊接后采用局部高频加热法消除应力。焊缝光滑、饱满，表面静电喷涂烤漆处理，保证长期使用不变色。</w:t>
            </w:r>
          </w:p>
        </w:tc>
      </w:tr>
      <w:tr w14:paraId="4A4121F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54E0CE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8AA3B0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双格肋木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28CBD1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3E0E2F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AC3D44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1.肋木埋入地下后基本尺寸：长×宽×高=≥</w:t>
            </w:r>
            <w:r>
              <w:rPr>
                <w:rFonts w:ascii="仿宋" w:hAnsi="仿宋" w:eastAsia="仿宋" w:cs="仿宋"/>
                <w:color w:val="auto"/>
                <w:szCs w:val="21"/>
                <w:highlight w:val="none"/>
              </w:rPr>
              <w:t>2000×365×2640mm</w:t>
            </w:r>
            <w:r>
              <w:rPr>
                <w:rFonts w:hint="eastAsia" w:ascii="仿宋" w:hAnsi="仿宋" w:eastAsia="仿宋" w:cs="仿宋"/>
                <w:color w:val="auto"/>
                <w:szCs w:val="21"/>
                <w:highlight w:val="none"/>
              </w:rPr>
              <w:t>；埋入地下部分长≥</w:t>
            </w:r>
            <w:r>
              <w:rPr>
                <w:rFonts w:ascii="仿宋" w:hAnsi="仿宋" w:eastAsia="仿宋" w:cs="仿宋"/>
                <w:color w:val="auto"/>
                <w:szCs w:val="21"/>
                <w:highlight w:val="none"/>
              </w:rPr>
              <w:t>500mm</w:t>
            </w:r>
            <w:r>
              <w:rPr>
                <w:rFonts w:hint="eastAsia" w:ascii="仿宋" w:hAnsi="仿宋" w:eastAsia="仿宋" w:cs="仿宋"/>
                <w:color w:val="auto"/>
                <w:szCs w:val="21"/>
                <w:highlight w:val="none"/>
              </w:rPr>
              <w:t>。</w:t>
            </w:r>
          </w:p>
          <w:p w14:paraId="3FE2D6A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2.肋木由3根立柱，1根横梁和12根横杆组成，立柱和横梁采用</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□80×40×3焊管，通过M10螺栓连接，横杆采用Φ≥32mm×2mm焊管，三根立柱两根侧立柱打单边孔，一根中立柱打双边通孔，横杆穿过中立柱置于侧立柱孔内。</w:t>
            </w:r>
          </w:p>
          <w:p w14:paraId="7A088F3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3.肋木中设有限位件，使得横杆自身不能转动；所用紧固螺栓都采用螺栓装饰盖，具有防松功能。</w:t>
            </w:r>
          </w:p>
        </w:tc>
      </w:tr>
      <w:tr w14:paraId="50D1F06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B359B4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A35579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室外乒乓球桌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A1863E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C9ED6E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56258D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1.球台尺寸：1525*2740*760mm。</w:t>
            </w:r>
          </w:p>
          <w:p w14:paraId="4DACF4EC">
            <w:pPr>
              <w:jc w:val="left"/>
              <w:rPr>
                <w:rFonts w:ascii="仿宋" w:hAnsi="仿宋" w:eastAsia="仿宋" w:cs="仿宋"/>
                <w:color w:val="auto"/>
                <w:szCs w:val="21"/>
                <w:highlight w:val="none"/>
              </w:rPr>
            </w:pPr>
            <w:r>
              <w:rPr>
                <w:rFonts w:ascii="仿宋" w:hAnsi="仿宋" w:eastAsia="仿宋" w:cs="仿宋"/>
                <w:color w:val="auto"/>
                <w:szCs w:val="21"/>
                <w:highlight w:val="none"/>
              </w:rPr>
              <w:t>2.</w:t>
            </w:r>
            <w:r>
              <w:rPr>
                <w:rFonts w:hint="eastAsia" w:ascii="仿宋" w:hAnsi="仿宋" w:eastAsia="仿宋" w:cs="仿宋"/>
                <w:color w:val="auto"/>
                <w:szCs w:val="21"/>
                <w:highlight w:val="none"/>
              </w:rPr>
              <w:t>台面颜色：蓝面白线。</w:t>
            </w:r>
          </w:p>
          <w:p w14:paraId="7B0FBF9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3.面板材质：SMC材质大包边一体面板。</w:t>
            </w:r>
          </w:p>
          <w:p w14:paraId="2EC69E8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4.球台支架：拱形底座。</w:t>
            </w:r>
          </w:p>
          <w:p w14:paraId="0640946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5.重量：≥120KG。</w:t>
            </w:r>
          </w:p>
          <w:p w14:paraId="674A3A9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6.金属件色泽均匀，无起皮脱落等缺陷。</w:t>
            </w:r>
          </w:p>
          <w:p w14:paraId="1AB0832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7.每块面板支撑均有4横4纵相连接。</w:t>
            </w:r>
          </w:p>
          <w:p w14:paraId="1BED1C25">
            <w:pPr>
              <w:jc w:val="left"/>
              <w:rPr>
                <w:rFonts w:ascii="仿宋" w:hAnsi="仿宋" w:eastAsia="仿宋" w:cs="仿宋"/>
                <w:color w:val="auto"/>
                <w:szCs w:val="21"/>
                <w:highlight w:val="none"/>
              </w:rPr>
            </w:pPr>
            <w:r>
              <w:rPr>
                <w:rFonts w:hint="eastAsia" w:ascii="仿宋" w:hAnsi="仿宋" w:eastAsia="仿宋" w:cs="仿宋"/>
                <w:b w:val="0"/>
                <w:bCs w:val="0"/>
                <w:color w:val="auto"/>
                <w:szCs w:val="21"/>
                <w:highlight w:val="none"/>
              </w:rPr>
              <w:t>8.</w:t>
            </w:r>
            <w:r>
              <w:rPr>
                <w:rFonts w:hint="eastAsia" w:ascii="仿宋" w:hAnsi="仿宋" w:eastAsia="仿宋" w:cs="仿宋"/>
                <w:color w:val="auto"/>
                <w:szCs w:val="21"/>
                <w:highlight w:val="none"/>
              </w:rPr>
              <w:t>含室外铁质网架一副。</w:t>
            </w:r>
          </w:p>
        </w:tc>
      </w:tr>
      <w:tr w14:paraId="5CA3B30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D66FD0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4112D2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11人制移动足球门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A69046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5F8FEE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92F772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w:t>
            </w:r>
            <w:r>
              <w:rPr>
                <w:rFonts w:ascii="仿宋" w:hAnsi="仿宋" w:eastAsia="仿宋" w:cs="仿宋"/>
                <w:color w:val="auto"/>
                <w:szCs w:val="21"/>
                <w:highlight w:val="none"/>
              </w:rPr>
              <w:t>球门内净基本尺寸（长×高×深）：7320mm × 2440mm × ≥3000mm</w:t>
            </w:r>
            <w:r>
              <w:rPr>
                <w:rFonts w:hint="eastAsia" w:ascii="仿宋" w:hAnsi="仿宋" w:eastAsia="仿宋" w:cs="仿宋"/>
                <w:color w:val="auto"/>
                <w:szCs w:val="21"/>
                <w:highlight w:val="none"/>
              </w:rPr>
              <w:t>。</w:t>
            </w:r>
          </w:p>
          <w:p w14:paraId="0B31772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2.足球门由立杆、横梁、两侧撑杆、两侧横杆和后侧横杆组成。</w:t>
            </w:r>
          </w:p>
          <w:p w14:paraId="7FB0FA9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3.球门立杆和横梁均采用φ≥120mm×≥3mm钢管制成，上设网</w:t>
            </w:r>
            <w:r>
              <w:rPr>
                <w:rFonts w:hint="eastAsia" w:ascii="仿宋" w:hAnsi="仿宋" w:eastAsia="仿宋" w:cs="仿宋"/>
                <w:color w:val="auto"/>
                <w:szCs w:val="21"/>
                <w:highlight w:val="none"/>
                <w:lang w:eastAsia="zh-CN"/>
              </w:rPr>
              <w:t>钩</w:t>
            </w:r>
            <w:r>
              <w:rPr>
                <w:rFonts w:hint="eastAsia" w:ascii="仿宋" w:hAnsi="仿宋" w:eastAsia="仿宋" w:cs="仿宋"/>
                <w:color w:val="auto"/>
                <w:szCs w:val="21"/>
                <w:highlight w:val="none"/>
              </w:rPr>
              <w:t>，置网方便，球网系线柱两侧撑杆采用φ≥48×≥2mm的镀锌管制成，两侧横杆和后侧横杆均采用□≥100×≥40×≥2.0mm镀锌管方管制作。</w:t>
            </w:r>
          </w:p>
          <w:p w14:paraId="741BA05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4.横梁和立杆上没有可能危害到运动员安全的连接物件露在外面。球门组装完成后，立杆与地面垂直，横梁与立杆的夹角为90°，连接件周边处理圆滑，无棱角。</w:t>
            </w:r>
          </w:p>
          <w:p w14:paraId="3A3C38D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5.球门两侧撑杆采用钢丝绳连接紧固，既可增强球门整体稳定性，又可起到撑网的作用。</w:t>
            </w:r>
          </w:p>
          <w:p w14:paraId="157BD68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6.为保证球门的整体稳定性，在球门后侧横杆位置配置球门固定压板，保证球门的位置不因运动员的冲撞而移动位置。</w:t>
            </w:r>
          </w:p>
          <w:p w14:paraId="1FC2109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7.球门整体可装拆，便于运输和安装。</w:t>
            </w:r>
          </w:p>
          <w:p w14:paraId="021D84B0">
            <w:pPr>
              <w:jc w:val="left"/>
              <w:rPr>
                <w:rFonts w:hint="eastAsia" w:ascii="仿宋" w:hAnsi="仿宋" w:eastAsia="仿宋" w:cs="仿宋"/>
                <w:b/>
                <w:bCs/>
                <w:color w:val="auto"/>
                <w:szCs w:val="21"/>
                <w:highlight w:val="none"/>
                <w:lang w:eastAsia="zh-CN" w:bidi="ar"/>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19851.15-2007《中小学体育器材和场地第15部分：足球门》或其他现行有效标准（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54AF2C8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052B56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C2F673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7人制移动足球门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6416C2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B84BF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6F3816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1.球门内净基本尺寸：长×高≥5000×≥2000（㎜）。 </w:t>
            </w:r>
          </w:p>
          <w:p w14:paraId="739CE15B">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2.足球门由立杆、横梁、两侧撑杆、两侧横杆和后侧横杆组成。</w:t>
            </w:r>
          </w:p>
          <w:p w14:paraId="0056106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3.球门立杆和横梁均采用φ≥89×≥2钢管制成，上设网</w:t>
            </w:r>
            <w:r>
              <w:rPr>
                <w:rFonts w:hint="eastAsia" w:ascii="仿宋" w:hAnsi="仿宋" w:eastAsia="仿宋" w:cs="仿宋"/>
                <w:color w:val="auto"/>
                <w:szCs w:val="21"/>
                <w:highlight w:val="none"/>
                <w:lang w:eastAsia="zh-CN"/>
              </w:rPr>
              <w:t>钩</w:t>
            </w:r>
            <w:r>
              <w:rPr>
                <w:rFonts w:hint="eastAsia" w:ascii="仿宋" w:hAnsi="仿宋" w:eastAsia="仿宋" w:cs="仿宋"/>
                <w:color w:val="auto"/>
                <w:szCs w:val="21"/>
                <w:highlight w:val="none"/>
              </w:rPr>
              <w:t>，置网方便，球网系线柱两侧撑杆采用φ≥32×≥2的镀锌管制成，两侧横杆和后侧横杆均采用□≥60×≥40×≥2镀锌方管制作。</w:t>
            </w:r>
          </w:p>
          <w:p w14:paraId="468D9E6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4.横梁和立杆上没有可能危害到运动员安全的连接物件露在外面。球门组装完成后，立杆与地面垂直，横梁与立杆的夹角为90°，连接件周边处理圆滑，无棱角。</w:t>
            </w:r>
          </w:p>
          <w:p w14:paraId="33D7AC0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5.球门两侧撑杆采用钢丝绳连接紧固，既可增强球门整体稳定性，又可起到撑网的作用。</w:t>
            </w:r>
          </w:p>
          <w:p w14:paraId="367DA6A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6.为保证球门的整体稳定性，在球门后侧横杆位置配置球门固定压板，保证球门的位置不因运动员的冲撞而移动位置。</w:t>
            </w:r>
          </w:p>
          <w:p w14:paraId="2A22701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7.球门整体可装拆，便于运输和安装。</w:t>
            </w:r>
          </w:p>
          <w:p w14:paraId="783979DA">
            <w:pPr>
              <w:jc w:val="left"/>
              <w:rPr>
                <w:rFonts w:hint="eastAsia" w:ascii="仿宋" w:hAnsi="仿宋" w:eastAsia="仿宋" w:cs="仿宋"/>
                <w:color w:val="auto"/>
                <w:szCs w:val="21"/>
                <w:highlight w:val="none"/>
                <w:lang w:eastAsia="zh-CN"/>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19851.15-2007《中小学体育器材和场地第15部分：足球门》或其他现行有效标准（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4F479D2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7ACD9A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62A1F4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11人制足球网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9DAAC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99556F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C2986D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1.规格：移动式网长7500mm，高2600mm，宽2370mm。</w:t>
            </w:r>
          </w:p>
          <w:p w14:paraId="5859C52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2.足球网为白色，网眼为正方形：100±5×100±5mm，网线直径为≥φ3.5mm。</w:t>
            </w:r>
          </w:p>
          <w:p w14:paraId="3F6D50C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3.足球网采用≥φ6mm涤纶丝四周拷边，球门四角采用空扁绳方便于穿拉网绳。</w:t>
            </w:r>
          </w:p>
          <w:p w14:paraId="6B1EB0C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4.移动式足球网固定方式：球门网片直接采用网销穿于网内，均匀分布固定在球门立柱、横梁和底部横杆上即可。</w:t>
            </w:r>
          </w:p>
        </w:tc>
      </w:tr>
      <w:tr w14:paraId="324DDA6E">
        <w:tblPrEx>
          <w:tblCellMar>
            <w:top w:w="0" w:type="dxa"/>
            <w:left w:w="108" w:type="dxa"/>
            <w:bottom w:w="0" w:type="dxa"/>
            <w:right w:w="108" w:type="dxa"/>
          </w:tblCellMar>
        </w:tblPrEx>
        <w:trPr>
          <w:trHeight w:val="1097"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591AB1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1DBDE8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7人制足球网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ABA212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04D06A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2CF08B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1.移动式足球网规格：长5200mm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高2100mm、宽1500mm。</w:t>
            </w:r>
          </w:p>
          <w:p w14:paraId="111FE35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2.足球网为白色，网眼为正方形：100±5×100±5mm，网线直径为≥φ3.5mm。</w:t>
            </w:r>
          </w:p>
          <w:p w14:paraId="0A044A4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3.足球网采用≥φ6mm涤纶丝四周拷边，球门四角采用空扁绳方便于穿拉网绳。</w:t>
            </w:r>
          </w:p>
        </w:tc>
      </w:tr>
      <w:tr w14:paraId="609AD3A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C27D3C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D5A8CC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足球示教板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46DB1D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C8B8D6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F3FB43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1.规格：示教板约</w:t>
            </w:r>
            <w:r>
              <w:rPr>
                <w:rFonts w:ascii="仿宋" w:hAnsi="仿宋" w:eastAsia="仿宋" w:cs="仿宋"/>
                <w:color w:val="auto"/>
                <w:szCs w:val="21"/>
                <w:highlight w:val="none"/>
              </w:rPr>
              <w:t>120×90cm</w:t>
            </w:r>
            <w:r>
              <w:rPr>
                <w:rFonts w:hint="eastAsia" w:ascii="仿宋" w:hAnsi="仿宋" w:eastAsia="仿宋" w:cs="仿宋"/>
                <w:color w:val="auto"/>
                <w:szCs w:val="21"/>
                <w:highlight w:val="none"/>
              </w:rPr>
              <w:t>，厚</w:t>
            </w:r>
            <w:r>
              <w:rPr>
                <w:rFonts w:ascii="仿宋" w:hAnsi="仿宋" w:eastAsia="仿宋" w:cs="仿宋"/>
                <w:color w:val="auto"/>
                <w:szCs w:val="21"/>
                <w:highlight w:val="none"/>
              </w:rPr>
              <w:t>10</w:t>
            </w:r>
            <w:r>
              <w:rPr>
                <w:rFonts w:hint="eastAsia" w:ascii="仿宋" w:hAnsi="仿宋" w:eastAsia="仿宋" w:cs="仿宋"/>
                <w:color w:val="auto"/>
                <w:szCs w:val="21"/>
                <w:highlight w:val="none"/>
                <w:lang w:eastAsia="zh-CN"/>
              </w:rPr>
              <w:t>～</w:t>
            </w:r>
            <w:r>
              <w:rPr>
                <w:rFonts w:ascii="仿宋" w:hAnsi="仿宋" w:eastAsia="仿宋" w:cs="仿宋"/>
                <w:color w:val="auto"/>
                <w:szCs w:val="21"/>
                <w:highlight w:val="none"/>
              </w:rPr>
              <w:t>20mm</w:t>
            </w:r>
            <w:r>
              <w:rPr>
                <w:rFonts w:hint="eastAsia" w:ascii="仿宋" w:hAnsi="仿宋" w:eastAsia="仿宋" w:cs="仿宋"/>
                <w:color w:val="auto"/>
                <w:szCs w:val="21"/>
                <w:highlight w:val="none"/>
              </w:rPr>
              <w:t>（误差 ±1%），支架高度80-120cm可调。</w:t>
            </w:r>
          </w:p>
          <w:p w14:paraId="0770179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2.材质：示教板基板为金属或高强度塑料，覆高质量白板材料；支架用坚固金属。</w:t>
            </w:r>
          </w:p>
          <w:p w14:paraId="18A0454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3.功能：双面可擦写，配至少3支不同色油性笔、大擦拭面积白板擦、至少20个带吸附力球员标志棋子。</w:t>
            </w:r>
          </w:p>
          <w:p w14:paraId="3EA32AA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4.外观：示教板白底色，边框黑或银色；支架防锈处理，整体无尖锐边角。</w:t>
            </w:r>
          </w:p>
        </w:tc>
      </w:tr>
      <w:tr w14:paraId="7647645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18D5FC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15765D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足球换人牌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7F72B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6917FD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37F3968">
            <w:pPr>
              <w:jc w:val="left"/>
              <w:rPr>
                <w:rFonts w:ascii="仿宋" w:hAnsi="仿宋" w:eastAsia="仿宋" w:cs="仿宋"/>
                <w:color w:val="auto"/>
                <w:szCs w:val="21"/>
                <w:highlight w:val="none"/>
              </w:rPr>
            </w:pPr>
            <w:r>
              <w:rPr>
                <w:rFonts w:ascii="仿宋" w:hAnsi="仿宋" w:eastAsia="仿宋" w:cs="仿宋"/>
                <w:color w:val="auto"/>
                <w:szCs w:val="21"/>
                <w:highlight w:val="none"/>
              </w:rPr>
              <w:t>1.四位手动翻牌式换人牌，PVC材质，双面可翻，号码0</w:t>
            </w:r>
            <w:r>
              <w:rPr>
                <w:rFonts w:hint="eastAsia" w:ascii="仿宋" w:hAnsi="仿宋" w:eastAsia="仿宋" w:cs="仿宋"/>
                <w:color w:val="auto"/>
                <w:szCs w:val="21"/>
                <w:highlight w:val="none"/>
                <w:lang w:eastAsia="zh-CN"/>
              </w:rPr>
              <w:t>～</w:t>
            </w:r>
            <w:r>
              <w:rPr>
                <w:rFonts w:ascii="仿宋" w:hAnsi="仿宋" w:eastAsia="仿宋" w:cs="仿宋"/>
                <w:color w:val="auto"/>
                <w:szCs w:val="21"/>
                <w:highlight w:val="none"/>
              </w:rPr>
              <w:t>9及补时显示。</w:t>
            </w:r>
          </w:p>
          <w:p w14:paraId="5201391E">
            <w:pPr>
              <w:jc w:val="left"/>
              <w:rPr>
                <w:rFonts w:ascii="仿宋" w:hAnsi="仿宋" w:eastAsia="仿宋" w:cs="仿宋"/>
                <w:color w:val="auto"/>
                <w:szCs w:val="21"/>
                <w:highlight w:val="none"/>
              </w:rPr>
            </w:pPr>
            <w:r>
              <w:rPr>
                <w:rFonts w:ascii="仿宋" w:hAnsi="仿宋" w:eastAsia="仿宋" w:cs="仿宋"/>
                <w:color w:val="auto"/>
                <w:szCs w:val="21"/>
                <w:highlight w:val="none"/>
              </w:rPr>
              <w:t>2.外形尺寸</w:t>
            </w:r>
            <w:r>
              <w:rPr>
                <w:rFonts w:hint="eastAsia" w:ascii="仿宋" w:hAnsi="仿宋" w:eastAsia="仿宋" w:cs="仿宋"/>
                <w:color w:val="auto"/>
                <w:szCs w:val="21"/>
                <w:highlight w:val="none"/>
              </w:rPr>
              <w:t>≥</w:t>
            </w:r>
            <w:r>
              <w:rPr>
                <w:rFonts w:ascii="仿宋" w:hAnsi="仿宋" w:eastAsia="仿宋" w:cs="仿宋"/>
                <w:color w:val="auto"/>
                <w:szCs w:val="21"/>
                <w:highlight w:val="none"/>
              </w:rPr>
              <w:t>500×350mm，翻牌区域≥300×200mm，数字高度≥150mm，远距离清晰可辨。</w:t>
            </w:r>
          </w:p>
          <w:p w14:paraId="0CF6BFA8">
            <w:pPr>
              <w:jc w:val="left"/>
              <w:rPr>
                <w:rFonts w:ascii="仿宋" w:hAnsi="仿宋" w:eastAsia="仿宋" w:cs="仿宋"/>
                <w:color w:val="auto"/>
                <w:szCs w:val="21"/>
                <w:highlight w:val="none"/>
              </w:rPr>
            </w:pPr>
            <w:r>
              <w:rPr>
                <w:rFonts w:ascii="仿宋" w:hAnsi="仿宋" w:eastAsia="仿宋" w:cs="仿宋"/>
                <w:color w:val="auto"/>
                <w:szCs w:val="21"/>
                <w:highlight w:val="none"/>
              </w:rPr>
              <w:t>3.配手提式支架或挂墙安装孔，室外使用不变形不褪色。</w:t>
            </w:r>
          </w:p>
        </w:tc>
      </w:tr>
      <w:tr w14:paraId="22A2A19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FAEBB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2F60E4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角旗</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含旗杆</w:t>
            </w:r>
            <w:r>
              <w:rPr>
                <w:rFonts w:hint="eastAsia" w:ascii="仿宋" w:hAnsi="仿宋" w:eastAsia="仿宋" w:cs="仿宋"/>
                <w:color w:val="auto"/>
                <w:szCs w:val="21"/>
                <w:highlight w:val="none"/>
                <w:lang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FDEDFA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9FDB68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面</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8EC6FB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1.由旗杆、旗面和预埋件组成，旗杆高：≥1500（㎜）。 2.材质：玻璃钢，规格：≥φ</w:t>
            </w:r>
            <w:r>
              <w:rPr>
                <w:rFonts w:ascii="仿宋" w:hAnsi="仿宋" w:eastAsia="仿宋" w:cs="仿宋"/>
                <w:color w:val="auto"/>
                <w:szCs w:val="21"/>
                <w:highlight w:val="none"/>
              </w:rPr>
              <w:t>31.5×3mm</w:t>
            </w:r>
            <w:r>
              <w:rPr>
                <w:rFonts w:hint="eastAsia" w:ascii="仿宋" w:hAnsi="仿宋" w:eastAsia="仿宋" w:cs="仿宋"/>
                <w:color w:val="auto"/>
                <w:szCs w:val="21"/>
                <w:highlight w:val="none"/>
              </w:rPr>
              <w:t>圆管，旗杆顶端用塑料盖封顶，底部设计有弹簧，确保受力后能迅速复位 旗面规格：约</w:t>
            </w:r>
            <w:r>
              <w:rPr>
                <w:rFonts w:ascii="仿宋" w:hAnsi="仿宋" w:eastAsia="仿宋" w:cs="仿宋"/>
                <w:color w:val="auto"/>
                <w:szCs w:val="21"/>
                <w:highlight w:val="none"/>
              </w:rPr>
              <w:t>500×400mm</w:t>
            </w:r>
            <w:r>
              <w:rPr>
                <w:rFonts w:hint="eastAsia" w:ascii="仿宋" w:hAnsi="仿宋" w:eastAsia="仿宋" w:cs="仿宋"/>
                <w:color w:val="auto"/>
                <w:szCs w:val="21"/>
                <w:highlight w:val="none"/>
              </w:rPr>
              <w:t>，旗面采用黄色旗布，边缘埋头对折，旗套下边缘缝有黄色旗带。</w:t>
            </w:r>
          </w:p>
          <w:p w14:paraId="169DBBB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3.材质：Q235B</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规格：≥φ</w:t>
            </w:r>
            <w:r>
              <w:rPr>
                <w:rFonts w:ascii="仿宋" w:hAnsi="仿宋" w:eastAsia="仿宋" w:cs="仿宋"/>
                <w:color w:val="auto"/>
                <w:szCs w:val="21"/>
                <w:highlight w:val="none"/>
              </w:rPr>
              <w:t>32×2mm</w:t>
            </w:r>
            <w:r>
              <w:rPr>
                <w:rFonts w:hint="eastAsia" w:ascii="仿宋" w:hAnsi="仿宋" w:eastAsia="仿宋" w:cs="仿宋"/>
                <w:color w:val="auto"/>
                <w:szCs w:val="21"/>
                <w:highlight w:val="none"/>
              </w:rPr>
              <w:t>热镀锌管，底部铁板封口，设有漏水孔，顶部有螺纹套，方便连接旗杆 角旗使用时，将旗杆拧进预埋件顶部的螺纹孔中即可 角旗不使用时，将旗杆退出预埋件顶部的螺纹孔，拧上标准螺栓中即可。</w:t>
            </w:r>
          </w:p>
          <w:p w14:paraId="0D915F9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4.具有耐酸碱、耐湿热、抗老化、外观美观等优点，能适合潮湿和酸雨环境，涂料均为绿色环保无毒产品，避免损害使用者的健康。</w:t>
            </w:r>
          </w:p>
        </w:tc>
      </w:tr>
      <w:tr w14:paraId="7B87ACF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C57059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135D20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训练足球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10B7FE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1F6531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F8B723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5号足球</w:t>
            </w:r>
          </w:p>
          <w:p w14:paraId="7FF471E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1.尺寸圆周：680mm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700mm。</w:t>
            </w:r>
          </w:p>
          <w:p w14:paraId="55B3BA7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2.重量区间：标准400g </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 xml:space="preserve"> 430g，日常训练优选轻重适中，适合反复盘带、射门练习。</w:t>
            </w:r>
          </w:p>
          <w:p w14:paraId="664B867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3.充气气压：0.6</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0.8Bar（8.7</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11.6PSI），1.8米自由下落回弹高度约</w:t>
            </w:r>
            <w:r>
              <w:rPr>
                <w:rFonts w:hint="eastAsia" w:ascii="仿宋" w:hAnsi="仿宋" w:eastAsia="仿宋" w:cs="仿宋"/>
                <w:color w:val="auto"/>
                <w:szCs w:val="21"/>
                <w:highlight w:val="none"/>
                <w:lang w:eastAsia="zh-CN"/>
              </w:rPr>
              <w:t>60%～65%</w:t>
            </w:r>
            <w:r>
              <w:rPr>
                <w:rFonts w:hint="eastAsia" w:ascii="仿宋" w:hAnsi="仿宋" w:eastAsia="仿宋" w:cs="仿宋"/>
                <w:color w:val="auto"/>
                <w:szCs w:val="21"/>
                <w:highlight w:val="none"/>
              </w:rPr>
              <w:t>。</w:t>
            </w:r>
          </w:p>
          <w:p w14:paraId="3111066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4.适用场地：人工草坪、天然草坪、塑胶操场，也可短期在水泥地简单练习。</w:t>
            </w:r>
          </w:p>
          <w:p w14:paraId="3D89C21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5.普通聚氨酯PU，厚度0.9</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1.2mm，表面浅纹路颗粒机械缝合拼接，缝线牢固 适用于日常训练球配置。</w:t>
            </w:r>
          </w:p>
        </w:tc>
      </w:tr>
      <w:tr w14:paraId="06FB2B1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C76FA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BA288D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边裁旗</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858F8E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738821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38E75E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1.2面/套，配袋，由旗杆、旗面和把套组成。</w:t>
            </w:r>
          </w:p>
          <w:p w14:paraId="3FBD299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2.铝合金管，规格：≥Φ</w:t>
            </w:r>
            <w:r>
              <w:rPr>
                <w:rFonts w:ascii="仿宋" w:hAnsi="仿宋" w:eastAsia="仿宋" w:cs="仿宋"/>
                <w:color w:val="auto"/>
                <w:szCs w:val="21"/>
                <w:highlight w:val="none"/>
              </w:rPr>
              <w:t>16×1mm</w:t>
            </w:r>
            <w:r>
              <w:rPr>
                <w:rFonts w:hint="eastAsia" w:ascii="仿宋" w:hAnsi="仿宋" w:eastAsia="仿宋" w:cs="仿宋"/>
                <w:color w:val="auto"/>
                <w:szCs w:val="21"/>
                <w:highlight w:val="none"/>
              </w:rPr>
              <w:t>，涤纶布料，规格：≥</w:t>
            </w:r>
            <w:r>
              <w:rPr>
                <w:rFonts w:ascii="仿宋" w:hAnsi="仿宋" w:eastAsia="仿宋" w:cs="仿宋"/>
                <w:color w:val="auto"/>
                <w:szCs w:val="21"/>
                <w:highlight w:val="none"/>
              </w:rPr>
              <w:t>400×≥500</w:t>
            </w:r>
            <w:r>
              <w:rPr>
                <w:rFonts w:hint="eastAsia" w:ascii="仿宋" w:hAnsi="仿宋" w:eastAsia="仿宋" w:cs="仿宋"/>
                <w:color w:val="auto"/>
                <w:szCs w:val="21"/>
                <w:highlight w:val="none"/>
              </w:rPr>
              <w:t>（㎜），橡塑软把套，防滑性能好，手感舒适。</w:t>
            </w:r>
          </w:p>
          <w:p w14:paraId="515EC35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3.红、黄混合色，避免与运动员服装颜色重复，配合部分设计成活络机构，避免在使用时旗面与旗杆绞</w:t>
            </w:r>
            <w:r>
              <w:rPr>
                <w:rFonts w:hint="eastAsia" w:ascii="仿宋" w:hAnsi="仿宋" w:eastAsia="仿宋" w:cs="仿宋"/>
                <w:color w:val="auto"/>
                <w:szCs w:val="21"/>
                <w:highlight w:val="none"/>
                <w:lang w:eastAsia="zh-CN"/>
              </w:rPr>
              <w:t>合在一起</w:t>
            </w:r>
            <w:r>
              <w:rPr>
                <w:rFonts w:hint="eastAsia" w:ascii="仿宋" w:hAnsi="仿宋" w:eastAsia="仿宋" w:cs="仿宋"/>
                <w:color w:val="auto"/>
                <w:szCs w:val="21"/>
                <w:highlight w:val="none"/>
              </w:rPr>
              <w:t>，手旗配有小包，外观精致。</w:t>
            </w:r>
          </w:p>
        </w:tc>
      </w:tr>
      <w:tr w14:paraId="2AA860B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D6C579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0400B1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秒表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934741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00061D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5BD180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1.基础计时：支持24小时计时，精确度达1/100秒（最大显示：23:59'59.99"）。</w:t>
            </w:r>
          </w:p>
          <w:p w14:paraId="6958ED6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2.分段计时（Lap Time）：可记录≥60组分段成绩。 倒计时：支持预设倒计时（通常为1分钟至24小时范围）。</w:t>
            </w:r>
          </w:p>
          <w:p w14:paraId="27A55C1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3.屏幕：LCD数字显示屏，可能配备背光功能（便于暗光环境使用）。</w:t>
            </w:r>
          </w:p>
          <w:p w14:paraId="25F8E0F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4.按键：防滑设计，适应运动场景操作。</w:t>
            </w:r>
          </w:p>
          <w:p w14:paraId="50F1C0E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5.外壳材质：抗冲击树脂，轻便耐用。</w:t>
            </w:r>
          </w:p>
          <w:p w14:paraId="6F2DA46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6.电池与续航 电池类型：</w:t>
            </w:r>
            <w:r>
              <w:rPr>
                <w:rFonts w:ascii="仿宋" w:hAnsi="仿宋" w:eastAsia="仿宋" w:cs="仿宋"/>
                <w:color w:val="auto"/>
                <w:szCs w:val="21"/>
                <w:highlight w:val="none"/>
              </w:rPr>
              <w:t>CR2032或等效纽扣电池</w:t>
            </w:r>
            <w:r>
              <w:rPr>
                <w:rFonts w:hint="eastAsia" w:ascii="仿宋" w:hAnsi="仿宋" w:eastAsia="仿宋" w:cs="仿宋"/>
                <w:color w:val="auto"/>
                <w:szCs w:val="21"/>
                <w:highlight w:val="none"/>
              </w:rPr>
              <w:t>。</w:t>
            </w:r>
          </w:p>
          <w:p w14:paraId="50D52E4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7.电池寿命：≥5年（依使用频率而异）。</w:t>
            </w:r>
          </w:p>
          <w:p w14:paraId="53A45A3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8.防水等级：IPX4或类似生活防水（防汗、防小雨）。</w:t>
            </w:r>
          </w:p>
          <w:p w14:paraId="1E80584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9.自动保存功能：断电后保留最后一次计时数据。</w:t>
            </w:r>
          </w:p>
        </w:tc>
      </w:tr>
      <w:tr w14:paraId="235893E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35EEE8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897AAF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篮球口哨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56E028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AD364D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08E80A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1.核心材质 主体：ABS 树脂。 配件：附带挂绳、护齿（3 个）及收纳盒。</w:t>
            </w:r>
          </w:p>
          <w:p w14:paraId="62696DA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2.尺寸与重量 长度：≤ 8cm（直柄设计，便于握持）。 重量：20-30g（轻量便携）。</w:t>
            </w:r>
          </w:p>
          <w:p w14:paraId="1446779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3.无核结构：无内部滚动部件，避免杂音，哨声响亮、穿透性强。</w:t>
            </w:r>
          </w:p>
          <w:p w14:paraId="217BDD3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4.多场景适配：适用于篮球、足球、排球等运动裁判及训练。</w:t>
            </w:r>
          </w:p>
          <w:p w14:paraId="0139C6B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5.防脱落设计：可调节挂绳，防止使用中意外掉落。</w:t>
            </w:r>
          </w:p>
          <w:p w14:paraId="41214F1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6.高音哨声：音量大且尖锐，适合嘈杂环境（如比赛场馆）。</w:t>
            </w:r>
          </w:p>
          <w:p w14:paraId="1D6C7BB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7.人体工学：半圆弧形吹嘴贴合唇部，减少吹奏疲劳。</w:t>
            </w:r>
          </w:p>
          <w:p w14:paraId="0F8FF7B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8.适用场景 体育赛事：专业比赛裁判判罚信号。日常训练：学校、健身房等集体活动指挥。</w:t>
            </w:r>
          </w:p>
        </w:tc>
      </w:tr>
      <w:tr w14:paraId="5487A8C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48062D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0BEA39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起跑器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BBACA6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AD314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8D52EC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1.总体长宽高：≥90cm*33cm*16cm。</w:t>
            </w:r>
            <w:r>
              <w:rPr>
                <w:rFonts w:hint="eastAsia" w:ascii="仿宋" w:hAnsi="仿宋" w:eastAsia="仿宋" w:cs="仿宋"/>
                <w:b w:val="0"/>
                <w:bCs w:val="0"/>
                <w:color w:val="auto"/>
                <w:szCs w:val="21"/>
                <w:highlight w:val="none"/>
              </w:rPr>
              <w:t>材质：铝合金</w:t>
            </w:r>
          </w:p>
          <w:p w14:paraId="4E5DAE8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2.主体：长≥90cm，宽≥8cm，厚≥6mm。</w:t>
            </w:r>
          </w:p>
          <w:p w14:paraId="0723AB5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3.后垫</w:t>
            </w:r>
            <w:r>
              <w:rPr>
                <w:rFonts w:hint="eastAsia" w:ascii="仿宋" w:hAnsi="仿宋" w:eastAsia="仿宋" w:cs="仿宋"/>
                <w:color w:val="auto"/>
                <w:szCs w:val="21"/>
                <w:highlight w:val="none"/>
                <w:lang w:eastAsia="zh-CN"/>
              </w:rPr>
              <w:t>板</w:t>
            </w:r>
            <w:r>
              <w:rPr>
                <w:rFonts w:hint="eastAsia" w:ascii="仿宋" w:hAnsi="仿宋" w:eastAsia="仿宋" w:cs="仿宋"/>
                <w:color w:val="auto"/>
                <w:szCs w:val="21"/>
                <w:highlight w:val="none"/>
              </w:rPr>
              <w:t>：≥长24cm，宽≥8cm，厚≥12mm。</w:t>
            </w:r>
          </w:p>
          <w:p w14:paraId="6E8F44B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4.脚踏板：长≥17.7cm，宽≥12.2cm，≥高16cm （≥4档调节）。</w:t>
            </w:r>
          </w:p>
          <w:p w14:paraId="24E7360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5.提手不锈钢材质。</w:t>
            </w:r>
          </w:p>
        </w:tc>
      </w:tr>
      <w:tr w14:paraId="7AD56CC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B1E035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E50C14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钉鞋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22C8BB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4865A8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双</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8E281A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1.适用场景</w:t>
            </w:r>
          </w:p>
          <w:p w14:paraId="1810C59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①短跑项目：100米、200米、400米比赛及训练。</w:t>
            </w:r>
          </w:p>
          <w:p w14:paraId="6086FD3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②跳远/跨栏：助跑阶段提供爆发力和抓地力。</w:t>
            </w:r>
          </w:p>
          <w:p w14:paraId="0BACFB3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③塑胶跑道：短钉设计（5-7mm）适配标准场地。</w:t>
            </w:r>
          </w:p>
          <w:p w14:paraId="32E7AA1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2.核心材质</w:t>
            </w:r>
          </w:p>
          <w:p w14:paraId="6F4BD5C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①鞋面：透气网布、合成革或 PU 材质，鞋面部分采用透气网布或合成材料。</w:t>
            </w:r>
          </w:p>
          <w:p w14:paraId="254C370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②中底：轻量回弹材料：如 </w:t>
            </w:r>
            <w:r>
              <w:rPr>
                <w:rFonts w:ascii="仿宋" w:hAnsi="仿宋" w:eastAsia="仿宋" w:cs="仿宋"/>
                <w:color w:val="auto"/>
                <w:szCs w:val="21"/>
                <w:highlight w:val="none"/>
              </w:rPr>
              <w:t>EVA、轻量发泡材料</w:t>
            </w:r>
            <w:r>
              <w:rPr>
                <w:rFonts w:hint="eastAsia" w:ascii="仿宋" w:hAnsi="仿宋" w:eastAsia="仿宋" w:cs="仿宋"/>
                <w:color w:val="auto"/>
                <w:szCs w:val="21"/>
                <w:highlight w:val="none"/>
              </w:rPr>
              <w:t>（缓震性强）。</w:t>
            </w:r>
          </w:p>
          <w:p w14:paraId="159E531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③外底：耐磨材料：尼龙 + 复合材料或高密度橡胶，增强抓地力。</w:t>
            </w:r>
          </w:p>
          <w:p w14:paraId="3954037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3.钉鞋设计</w:t>
            </w:r>
          </w:p>
          <w:p w14:paraId="14396A4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①钉数：7颗（前掌6钉+后跟1钉）。</w:t>
            </w:r>
          </w:p>
          <w:p w14:paraId="06475C9B">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②钉材质：钢钉（训练用）或碳钉（专业比赛，轻量且抓地力强）。 </w:t>
            </w:r>
          </w:p>
          <w:p w14:paraId="4E4C800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③钉长：5-7mm（塑胶跑道），可更换长钉适配煤渣跑道。</w:t>
            </w:r>
          </w:p>
          <w:p w14:paraId="00CADC0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 4.重量与尺寸</w:t>
            </w:r>
          </w:p>
          <w:p w14:paraId="49DB2BF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①单鞋重量：200-250g。</w:t>
            </w:r>
          </w:p>
          <w:p w14:paraId="02638F8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②尺码范围：35-45码。</w:t>
            </w:r>
          </w:p>
        </w:tc>
      </w:tr>
      <w:tr w14:paraId="0E8E7D88">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E4BDCA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61A700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道次牌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D3E164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6AED4D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A474D3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1.道次墩采用δ≥3mm玻璃钢材料制作，底座呈正三角形，基本尺寸：底座x高度≥边长</w:t>
            </w:r>
            <w:r>
              <w:rPr>
                <w:rFonts w:ascii="仿宋" w:hAnsi="仿宋" w:eastAsia="仿宋" w:cs="仿宋"/>
                <w:color w:val="auto"/>
                <w:szCs w:val="21"/>
                <w:highlight w:val="none"/>
                <w:lang w:bidi="ar"/>
              </w:rPr>
              <w:t>470×435mm</w:t>
            </w:r>
            <w:r>
              <w:rPr>
                <w:rFonts w:hint="eastAsia" w:ascii="仿宋" w:hAnsi="仿宋" w:eastAsia="仿宋" w:cs="仿宋"/>
                <w:color w:val="auto"/>
                <w:szCs w:val="21"/>
                <w:highlight w:val="none"/>
                <w:lang w:bidi="ar"/>
              </w:rPr>
              <w:t>。</w:t>
            </w:r>
          </w:p>
          <w:p w14:paraId="3C4C9B3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2.道次墩可坐人，每套共8只，号码为1-8号。其中两面为红色号码，另一面为黑色号码。</w:t>
            </w:r>
          </w:p>
        </w:tc>
      </w:tr>
      <w:tr w14:paraId="12A4860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A240F9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FCD6A5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接力棒</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AD0E1B4">
            <w:pPr>
              <w:widowControl/>
              <w:jc w:val="center"/>
              <w:rPr>
                <w:rFonts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bidi="ar"/>
              </w:rPr>
              <w:t>8</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D7AF942">
            <w:pPr>
              <w:widowControl/>
              <w:jc w:val="center"/>
              <w:rPr>
                <w:rFonts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bidi="ar"/>
              </w:rPr>
              <w:t>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50002C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1.接力棒尺寸：φ≥38mm，长度280-300（mm）。</w:t>
            </w:r>
          </w:p>
          <w:p w14:paraId="6B5E9AE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2.接力棒采用δ≥0.5mm的铝合金制作，棒的两端倒角卷边处理。</w:t>
            </w:r>
          </w:p>
          <w:p w14:paraId="45E35CF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3.接力棒的重量至少为50g。</w:t>
            </w:r>
          </w:p>
          <w:p w14:paraId="4FB539C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4.棒的表面经氧化处理，颜色分红、黄、蓝、青、降红、黑色等。 </w:t>
            </w:r>
          </w:p>
        </w:tc>
      </w:tr>
      <w:tr w14:paraId="6B54037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99C58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36D619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100米钢卷尺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035AB4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C53CC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78372F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1.量程与精度</w:t>
            </w:r>
          </w:p>
          <w:p w14:paraId="245341A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①量程：100米（明确标注）。</w:t>
            </w:r>
          </w:p>
          <w:p w14:paraId="52BB121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②精度等级：按QB/T 2443-2024要求，误差应符合</w:t>
            </w:r>
            <w:r>
              <w:rPr>
                <w:rFonts w:ascii="仿宋" w:hAnsi="仿宋" w:eastAsia="仿宋" w:cs="仿宋"/>
                <w:color w:val="auto"/>
                <w:szCs w:val="21"/>
                <w:highlight w:val="none"/>
              </w:rPr>
              <w:t>QB/T 2443-2024要求</w:t>
            </w:r>
            <w:r>
              <w:rPr>
                <w:rFonts w:hint="eastAsia" w:ascii="仿宋" w:hAnsi="仿宋" w:eastAsia="仿宋" w:cs="仿宋"/>
                <w:color w:val="auto"/>
                <w:szCs w:val="21"/>
                <w:highlight w:val="none"/>
              </w:rPr>
              <w:t>。</w:t>
            </w:r>
          </w:p>
          <w:p w14:paraId="694BC77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③示值误差：100mm内：±0.06mm；1000mm内：±0.08mm；超过1000mm：±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0.03mm +3×10⁻⁵L</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，L为实际长度（米分段计算）。</w:t>
            </w:r>
          </w:p>
          <w:p w14:paraId="490D0E0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2.尺带规格</w:t>
            </w:r>
          </w:p>
          <w:p w14:paraId="1098B5D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①宽度：12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15 mm（宽度差≤0.2mm）。</w:t>
            </w:r>
          </w:p>
          <w:p w14:paraId="516D6A1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②厚度：0.22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0.50 mm（厚度差≤0.02mm）。</w:t>
            </w:r>
          </w:p>
          <w:p w14:paraId="4E47B45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③材质：热轧卷钢或不锈钢。</w:t>
            </w:r>
          </w:p>
          <w:p w14:paraId="14F7B01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3.线纹与标识</w:t>
            </w:r>
          </w:p>
          <w:p w14:paraId="1985886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①线纹宽度：0.08</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0.12 mm（宽度差≤0.02mm）。</w:t>
            </w:r>
          </w:p>
          <w:p w14:paraId="0181FE6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②刻度制式：公制（cm/m），刻度清晰耐磨。</w:t>
            </w:r>
          </w:p>
        </w:tc>
      </w:tr>
      <w:tr w14:paraId="51232ED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71431C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F901F0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50米钢卷尺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795B6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C0866C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24EDA3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1.量程与精度</w:t>
            </w:r>
          </w:p>
          <w:p w14:paraId="66D4DAC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①量程：50米（明确标注）。</w:t>
            </w:r>
          </w:p>
          <w:p w14:paraId="1DFF639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②精度等级：按QB/T2443-2024要求，误差应符合</w:t>
            </w:r>
            <w:r>
              <w:rPr>
                <w:rFonts w:ascii="仿宋" w:hAnsi="仿宋" w:eastAsia="仿宋" w:cs="仿宋"/>
                <w:color w:val="auto"/>
                <w:szCs w:val="21"/>
                <w:highlight w:val="none"/>
              </w:rPr>
              <w:t>QB/T 2443-2024要求</w:t>
            </w:r>
            <w:r>
              <w:rPr>
                <w:rFonts w:hint="eastAsia" w:ascii="仿宋" w:hAnsi="仿宋" w:eastAsia="仿宋" w:cs="仿宋"/>
                <w:color w:val="auto"/>
                <w:szCs w:val="21"/>
                <w:highlight w:val="none"/>
              </w:rPr>
              <w:t>。</w:t>
            </w:r>
          </w:p>
          <w:p w14:paraId="2A88618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③示值误差：100mm内：±0.06mm；1000mm内：±0.08mm；超过1000mm：±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0.03mm+3×10⁻⁵L</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，L为实际长度（米分段计算）。</w:t>
            </w:r>
          </w:p>
          <w:p w14:paraId="414F33C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2.尺带规格</w:t>
            </w:r>
          </w:p>
          <w:p w14:paraId="248E752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①宽度：12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15 mm（宽度差≤0.2mm）。</w:t>
            </w:r>
          </w:p>
          <w:p w14:paraId="2013B25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②厚度：0.22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0.50 mm（厚度差≤0.02mm）。</w:t>
            </w:r>
          </w:p>
          <w:p w14:paraId="6C59D4B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③材质：热轧卷钢（需明确标注）。</w:t>
            </w:r>
          </w:p>
          <w:p w14:paraId="76ABA5E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3.线纹与标识</w:t>
            </w:r>
          </w:p>
          <w:p w14:paraId="4F0AFBA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①线纹宽度：0.08</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0.12 mm（宽度差≤0.02mm）。</w:t>
            </w:r>
          </w:p>
          <w:p w14:paraId="341D0BA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②刻度制式：公制（cm/m），刻度清晰耐磨。</w:t>
            </w:r>
          </w:p>
        </w:tc>
      </w:tr>
      <w:tr w14:paraId="0FCA450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7D23C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09291C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20米钢卷尺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398D40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02A42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DA7E41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1.量程与精度</w:t>
            </w:r>
          </w:p>
          <w:p w14:paraId="6C2F711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①量程：20米（明确标注）。</w:t>
            </w:r>
          </w:p>
          <w:p w14:paraId="7913D30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②精度等级：按QB/T2443-2024要求，误差应符合</w:t>
            </w:r>
            <w:r>
              <w:rPr>
                <w:rFonts w:ascii="仿宋" w:hAnsi="仿宋" w:eastAsia="仿宋" w:cs="仿宋"/>
                <w:color w:val="auto"/>
                <w:szCs w:val="21"/>
                <w:highlight w:val="none"/>
              </w:rPr>
              <w:t>QB/T 2443-2024要求</w:t>
            </w:r>
            <w:r>
              <w:rPr>
                <w:rFonts w:hint="eastAsia" w:ascii="仿宋" w:hAnsi="仿宋" w:eastAsia="仿宋" w:cs="仿宋"/>
                <w:color w:val="auto"/>
                <w:szCs w:val="21"/>
                <w:highlight w:val="none"/>
              </w:rPr>
              <w:t>。</w:t>
            </w:r>
          </w:p>
          <w:p w14:paraId="3881533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③示值误差：100mm内：±0.06mm；1000mm内：±0.08mm；超过1000mm：±(0.03mm+3×10⁻⁵L</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，L为实际长度（米分段计算）。</w:t>
            </w:r>
          </w:p>
          <w:p w14:paraId="0740F33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2.尺带规格</w:t>
            </w:r>
          </w:p>
          <w:p w14:paraId="67447F6B">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①宽度：10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15mm。</w:t>
            </w:r>
          </w:p>
          <w:p w14:paraId="1D05AC5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②厚度：0.22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0.50 mm（厚度差≤0.02mm）。</w:t>
            </w:r>
          </w:p>
          <w:p w14:paraId="2EB83E7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③材质：热轧卷钢（需明确标注）。 </w:t>
            </w:r>
          </w:p>
          <w:p w14:paraId="5903D41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3.线纹与标识</w:t>
            </w:r>
          </w:p>
          <w:p w14:paraId="32DF8C7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①线纹宽度：0.08</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0.12mm（宽度差≤0.02mm）。</w:t>
            </w:r>
          </w:p>
          <w:p w14:paraId="641D5A5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②刻度制式：公制（cm/m），刻度清晰耐磨。</w:t>
            </w:r>
          </w:p>
        </w:tc>
      </w:tr>
      <w:tr w14:paraId="4F12F8FD">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577EDA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5D22AE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50米皮尺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9CFA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63F8B0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C035D4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1.量程与精度</w:t>
            </w:r>
          </w:p>
          <w:p w14:paraId="3BB390E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①量程：50米（明确标注）。</w:t>
            </w:r>
          </w:p>
          <w:p w14:paraId="29D7689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②示值误差：≤±2mm。</w:t>
            </w:r>
          </w:p>
          <w:p w14:paraId="7A378DA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③最小分度值：5mm（需清晰标注）。</w:t>
            </w:r>
          </w:p>
          <w:p w14:paraId="4C90E51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2.尺带规格</w:t>
            </w:r>
          </w:p>
          <w:p w14:paraId="62A34B6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①材质：包胶纤维、布质或其他柔性材料。</w:t>
            </w:r>
          </w:p>
          <w:p w14:paraId="3FBF7CC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②宽度/厚度：常见为10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15mm宽，厚度根据材质调整。</w:t>
            </w:r>
          </w:p>
          <w:p w14:paraId="45CEA9D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3.线纹与标识</w:t>
            </w:r>
          </w:p>
          <w:p w14:paraId="0CB7E7F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①刻度制式：公制（cm/m），双面刻度；</w:t>
            </w:r>
          </w:p>
          <w:p w14:paraId="462673F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②刻度要求：整厘米处印制清晰数值，半厘米刻度以长短线区分；刻线均匀、垂直纵边，无断线，刻度值耐磨不易脱落。</w:t>
            </w:r>
          </w:p>
        </w:tc>
      </w:tr>
      <w:tr w14:paraId="3506DCA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076942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B94C83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15米皮尺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C8FA6F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2821AA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6A5B3E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1.量程与精度</w:t>
            </w:r>
          </w:p>
          <w:p w14:paraId="0E65FA8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①量程：15米（明确标注）。</w:t>
            </w:r>
          </w:p>
          <w:p w14:paraId="0696730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②示值误差：≤±3mm（参考 QB/T2443-2024 钢卷尺标准，需根据采购方需求调整）。</w:t>
            </w:r>
          </w:p>
          <w:p w14:paraId="33806BF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③最小分度值：5mm或1cm（需清晰标注）。</w:t>
            </w:r>
          </w:p>
          <w:p w14:paraId="10E873C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2.尺带规格</w:t>
            </w:r>
          </w:p>
          <w:p w14:paraId="2FDBA7B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①材质：包胶纤维、布质或柔性复合材料。</w:t>
            </w:r>
          </w:p>
          <w:p w14:paraId="1D1BC9E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②宽度/厚度：常见为10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15mm宽（需明确标注）。</w:t>
            </w:r>
          </w:p>
          <w:p w14:paraId="6C48CF9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3.线纹与标识</w:t>
            </w:r>
          </w:p>
          <w:p w14:paraId="5B87086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①刻度制式：公制（cm/m），单面或双面刻度。</w:t>
            </w:r>
          </w:p>
          <w:p w14:paraId="08CC52A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②刻度要求：整厘米处印制数值，半厘米刻度以长短线区分； 刻线均匀、垂直纵边，无断线，刻度值耐磨不易脱落。</w:t>
            </w:r>
          </w:p>
        </w:tc>
      </w:tr>
      <w:tr w14:paraId="2EABCF2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21E83E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925924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画线推车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967E0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34943E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辆</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F43CDDB">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1.单道划线车划线宽度可调：5cm-12cm。</w:t>
            </w:r>
          </w:p>
          <w:p w14:paraId="4A227D5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2.划线车主要由料斗、料斗架、走轮架、手柄和线宽调节结构组成。</w:t>
            </w:r>
          </w:p>
          <w:p w14:paraId="50A702C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3.料斗采用≥1mm冷轧板在专用模具上制作。料斗架与走轮架主要采用Ф≥25mm×2mm、Ф≥30mm×1.5mm、3mm铁板、□≥150mm×15mm0×3mm管材拼焊而成。</w:t>
            </w:r>
          </w:p>
          <w:p w14:paraId="60470E7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4.手柄采用φ≥32mm×1.5mm圆管在弯管机上一次成型，整洁实用。手柄上装有巴套，手感舒适。</w:t>
            </w:r>
          </w:p>
          <w:p w14:paraId="63C0EDD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5.划线车走轮共3只，均为PU轮。能有效保护地面不受损伤，并且推行平稳。</w:t>
            </w:r>
          </w:p>
          <w:p w14:paraId="7F67E2C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6.划线车所有紧固件均采用达克锈处理或热镀锌处理，适用于户外，能保证长年不生锈。 </w:t>
            </w:r>
          </w:p>
        </w:tc>
      </w:tr>
      <w:tr w14:paraId="48D04A6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DE49C2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397225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1.5Kg实心球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F5371B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951EA0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7C9929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1.重量与规格</w:t>
            </w:r>
          </w:p>
          <w:p w14:paraId="304AEA0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①重量：1.5kg（明确标注，误差 ±0.05kg）。</w:t>
            </w:r>
          </w:p>
          <w:p w14:paraId="70CC44D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②直径：约13</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14cm（需符合人体工学设计，方便握持）。</w:t>
            </w:r>
          </w:p>
          <w:p w14:paraId="513056F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③外皮材质：防滑橡胶； PU材质。</w:t>
            </w:r>
          </w:p>
        </w:tc>
      </w:tr>
      <w:tr w14:paraId="0F52EE58">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A32F66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81FCFB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3米跳高丈量尺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04F124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E7027F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根</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9B6570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1.跳高丈量尺主要由立杆和测高器二部分组成。</w:t>
            </w:r>
          </w:p>
          <w:p w14:paraId="34FABA9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2.跳高丈量尺立杆采用铝合金型材制作，上面标有刻度，调高范围：600-2900㎜。</w:t>
            </w:r>
          </w:p>
        </w:tc>
      </w:tr>
      <w:tr w14:paraId="362B9B5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800B1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E350B5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2kg实心球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F3F1D4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3FA884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E20A27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1.重量</w:t>
            </w:r>
          </w:p>
          <w:p w14:paraId="3C67E7F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①标准重量：2kg（明确标注，误差 ±0.05kg）。</w:t>
            </w:r>
          </w:p>
          <w:p w14:paraId="2D9C92A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w:t>
            </w:r>
          </w:p>
          <w:p w14:paraId="3157FB7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①外壳：橡胶（高密度生胶铸造）或硬塑料，表面带规则防滑小刺（中考专用球要求）。</w:t>
            </w:r>
          </w:p>
          <w:p w14:paraId="0445AB7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③填充物：沙子，球体内无滚动物体。</w:t>
            </w:r>
          </w:p>
          <w:p w14:paraId="032B1FC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3.尺寸</w:t>
            </w:r>
          </w:p>
          <w:p w14:paraId="7746527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①直径：约14cm（2kg规格）。</w:t>
            </w:r>
          </w:p>
        </w:tc>
      </w:tr>
      <w:tr w14:paraId="7123455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BFFCDA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22DC87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跳高架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76D4AD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209F05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BA729A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1.跳高架由底座、固定立柱、移动立柱、横杆托架、微调支脚构成。产品形式简洁，结构合理，可装拆，便于运输和包装。</w:t>
            </w:r>
          </w:p>
          <w:p w14:paraId="12B0E8B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2.固定立柱与移动立柱选用铝合金型材，型材之间采用燕尾槽配合，合并尺寸为：45（±5%）*90（±5%）mm，表面氧化处理。固定立柱上贴有不锈钢标尺，刻度调节范围：600-2600mm。</w:t>
            </w:r>
          </w:p>
          <w:p w14:paraId="3675129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3.底座长405（±5%）*335（±5%）*40（±5%）mm，选用δ8（±5%）厚铸钢浇筑一次成型，避免了焊接造成的接口腐蚀；单只底座重量≥10kg；底部设有PU滚轮，移动方便。</w:t>
            </w:r>
          </w:p>
          <w:p w14:paraId="6DDCD5B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4.跳高架横杆托架采用铝压铸件，具有防腐蚀性、安全、牢固等优点且上下移动方便。</w:t>
            </w:r>
          </w:p>
          <w:p w14:paraId="410DAB40">
            <w:pPr>
              <w:jc w:val="left"/>
              <w:rPr>
                <w:rFonts w:ascii="仿宋" w:hAnsi="仿宋" w:eastAsia="仿宋" w:cs="仿宋"/>
                <w:b/>
                <w:bCs/>
                <w:color w:val="auto"/>
                <w:szCs w:val="21"/>
                <w:highlight w:val="none"/>
              </w:rPr>
            </w:pPr>
            <w:r>
              <w:rPr>
                <w:rFonts w:hint="eastAsia" w:ascii="仿宋" w:hAnsi="仿宋" w:eastAsia="仿宋" w:cs="仿宋"/>
                <w:color w:val="auto"/>
                <w:szCs w:val="21"/>
                <w:highlight w:val="none"/>
              </w:rPr>
              <w:t>5.跳高架底座底部设有微调机构，通过调节微调机构可满足场地不平整引起的跳高架的稳定性和横杆的高度要求。</w:t>
            </w:r>
          </w:p>
        </w:tc>
      </w:tr>
      <w:tr w14:paraId="421A0C2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8B2DD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994326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移动式跳高海绵包</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6790F4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3531F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B09D13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1.跳高海绵包主体由三层重磅发泡海绵组成。</w:t>
            </w:r>
          </w:p>
          <w:p w14:paraId="2864470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2.海绵密度25±3kg/m³弹力均衡，柔软适中。</w:t>
            </w:r>
          </w:p>
          <w:p w14:paraId="643315F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3.基本尺寸：长≥4000㎜，宽≥2000㎜，厚≥400㎜。</w:t>
            </w:r>
          </w:p>
          <w:p w14:paraId="43420F61">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5.海绵垫中层人体落地区域配有“井”字形框架结构，用以满足落地时人体对弹性及缓冲的要求。</w:t>
            </w:r>
          </w:p>
          <w:p w14:paraId="5C2571B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6.海绵垫表面罩有防水帆布套，套子侧面装有拉链及拉手攀，且四周设有排气孔。</w:t>
            </w:r>
          </w:p>
        </w:tc>
      </w:tr>
      <w:tr w14:paraId="78C2D396">
        <w:tblPrEx>
          <w:tblCellMar>
            <w:top w:w="0" w:type="dxa"/>
            <w:left w:w="108" w:type="dxa"/>
            <w:bottom w:w="0" w:type="dxa"/>
            <w:right w:w="108" w:type="dxa"/>
          </w:tblCellMar>
        </w:tblPrEx>
        <w:trPr>
          <w:trHeight w:val="1975"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44DB17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D68BBE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背跃式跳高海绵包</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1BB9F9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DE6929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EB8C4B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1.海绵垫主体由三层重磅发泡海绵组成，弹力均衡，柔软适中。</w:t>
            </w:r>
          </w:p>
          <w:p w14:paraId="27D1AEC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2.海绵垫基本尺寸：长</w:t>
            </w:r>
            <w:r>
              <w:rPr>
                <w:rFonts w:ascii="仿宋" w:hAnsi="仿宋" w:eastAsia="仿宋" w:cs="仿宋"/>
                <w:color w:val="auto"/>
                <w:szCs w:val="21"/>
                <w:highlight w:val="none"/>
              </w:rPr>
              <w:t>x宽x厚≥5×3×0.7（米）</w:t>
            </w:r>
            <w:r>
              <w:rPr>
                <w:rFonts w:hint="eastAsia" w:ascii="仿宋" w:hAnsi="仿宋" w:eastAsia="仿宋" w:cs="仿宋"/>
                <w:color w:val="auto"/>
                <w:szCs w:val="21"/>
                <w:highlight w:val="none"/>
              </w:rPr>
              <w:t>。</w:t>
            </w:r>
          </w:p>
          <w:p w14:paraId="20A82F8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3.海绵垫的中层配以“#”字形框架结构组合，用以满足落地时人体对弹性及缓冲的要求。</w:t>
            </w:r>
          </w:p>
          <w:p w14:paraId="16B699C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4.海绵垫表面罩防水帆布套，套子侧面装有拉链及拉手攀，且四周设有排气孔。</w:t>
            </w:r>
          </w:p>
        </w:tc>
      </w:tr>
      <w:tr w14:paraId="32639B0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2A8ED2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5599DF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跳高海绵垫底架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FBCD8B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59B3DD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96A071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1.此产品置于</w:t>
            </w:r>
            <w:r>
              <w:rPr>
                <w:rFonts w:hint="eastAsia" w:ascii="仿宋" w:hAnsi="仿宋" w:eastAsia="仿宋" w:cs="仿宋"/>
                <w:color w:val="auto"/>
                <w:szCs w:val="21"/>
                <w:highlight w:val="none"/>
                <w:lang w:bidi="ar"/>
              </w:rPr>
              <w:t>背跃式跳高海绵包</w:t>
            </w:r>
            <w:r>
              <w:rPr>
                <w:rFonts w:hint="eastAsia" w:ascii="仿宋" w:hAnsi="仿宋" w:eastAsia="仿宋" w:cs="仿宋"/>
                <w:color w:val="auto"/>
                <w:szCs w:val="21"/>
                <w:highlight w:val="none"/>
              </w:rPr>
              <w:t>底部。</w:t>
            </w:r>
          </w:p>
          <w:p w14:paraId="22F21D3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2.基本尺寸：约</w:t>
            </w:r>
            <w:r>
              <w:rPr>
                <w:rFonts w:ascii="仿宋" w:hAnsi="仿宋" w:eastAsia="仿宋" w:cs="仿宋"/>
                <w:color w:val="auto"/>
                <w:szCs w:val="21"/>
                <w:highlight w:val="none"/>
              </w:rPr>
              <w:t>4.8</w:t>
            </w:r>
            <w:r>
              <w:rPr>
                <w:rFonts w:hint="eastAsia" w:ascii="仿宋" w:hAnsi="仿宋" w:eastAsia="仿宋" w:cs="仿宋"/>
                <w:color w:val="auto"/>
                <w:szCs w:val="21"/>
                <w:highlight w:val="none"/>
              </w:rPr>
              <w:t>（±5%）</w:t>
            </w:r>
            <w:r>
              <w:rPr>
                <w:rFonts w:ascii="仿宋" w:hAnsi="仿宋" w:eastAsia="仿宋" w:cs="仿宋"/>
                <w:color w:val="auto"/>
                <w:szCs w:val="21"/>
                <w:highlight w:val="none"/>
              </w:rPr>
              <w:t>×2.8</w:t>
            </w:r>
            <w:r>
              <w:rPr>
                <w:rFonts w:hint="eastAsia" w:ascii="仿宋" w:hAnsi="仿宋" w:eastAsia="仿宋" w:cs="仿宋"/>
                <w:color w:val="auto"/>
                <w:szCs w:val="21"/>
                <w:highlight w:val="none"/>
              </w:rPr>
              <w:t>（±5%）</w:t>
            </w:r>
            <w:r>
              <w:rPr>
                <w:rFonts w:ascii="仿宋" w:hAnsi="仿宋" w:eastAsia="仿宋" w:cs="仿宋"/>
                <w:color w:val="auto"/>
                <w:szCs w:val="21"/>
                <w:highlight w:val="none"/>
              </w:rPr>
              <w:t>×0.1</w:t>
            </w:r>
            <w:r>
              <w:rPr>
                <w:rFonts w:hint="eastAsia" w:ascii="仿宋" w:hAnsi="仿宋" w:eastAsia="仿宋" w:cs="仿宋"/>
                <w:color w:val="auto"/>
                <w:szCs w:val="21"/>
                <w:highlight w:val="none"/>
              </w:rPr>
              <w:t>（±5%）</w:t>
            </w:r>
            <w:r>
              <w:rPr>
                <w:rFonts w:ascii="仿宋" w:hAnsi="仿宋" w:eastAsia="仿宋" w:cs="仿宋"/>
                <w:color w:val="auto"/>
                <w:szCs w:val="21"/>
                <w:highlight w:val="none"/>
              </w:rPr>
              <w:t>（m）</w:t>
            </w:r>
            <w:r>
              <w:rPr>
                <w:rFonts w:hint="eastAsia" w:ascii="仿宋" w:hAnsi="仿宋" w:eastAsia="仿宋" w:cs="仿宋"/>
                <w:color w:val="auto"/>
                <w:szCs w:val="21"/>
                <w:highlight w:val="none"/>
              </w:rPr>
              <w:t>。</w:t>
            </w:r>
          </w:p>
          <w:p w14:paraId="624265E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3.跳高海绵垫底架由五小块底架通过连接片连接而成。防锈蚀性强，每块底架主要采用口≥30×20mm、口≥20×20 mm方管拼焊组成，焊接牢固，焊缝表面均匀光滑，无虚焊。</w:t>
            </w:r>
          </w:p>
        </w:tc>
      </w:tr>
      <w:tr w14:paraId="676CDEE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94DC8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2EC7CE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跳高横竿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D7FE7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A9C3B0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根</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918EB82">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1.调高横杆由横杆和横杆接头组成。</w:t>
            </w:r>
          </w:p>
          <w:p w14:paraId="657E317D">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2.横杆采用φ30mm（±5%）的玻璃钢材料制作，横杆接头采用特殊的外形结构。</w:t>
            </w:r>
          </w:p>
          <w:p w14:paraId="07F355FA">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3.跳高横杆总长为4000MM。</w:t>
            </w:r>
          </w:p>
          <w:p w14:paraId="7BA68F23">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4.横杆表面喷白、暗红双色漆，中间段为白色。</w:t>
            </w:r>
          </w:p>
        </w:tc>
      </w:tr>
      <w:tr w14:paraId="56C99568">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4E784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FE3BEC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摸高器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355A51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8443C1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15D6AF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1.材质：主立柱 φ</w:t>
            </w:r>
            <w:r>
              <w:rPr>
                <w:rFonts w:ascii="仿宋" w:hAnsi="仿宋" w:eastAsia="仿宋" w:cs="仿宋"/>
                <w:color w:val="auto"/>
                <w:szCs w:val="21"/>
                <w:highlight w:val="none"/>
              </w:rPr>
              <w:t>114</w:t>
            </w:r>
            <w:r>
              <w:rPr>
                <w:rFonts w:hint="eastAsia" w:ascii="仿宋" w:hAnsi="仿宋" w:eastAsia="仿宋" w:cs="仿宋"/>
                <w:color w:val="auto"/>
                <w:szCs w:val="21"/>
                <w:highlight w:val="none"/>
                <w:lang w:bidi="ar"/>
              </w:rPr>
              <w:t>（±5%）</w:t>
            </w:r>
            <w:r>
              <w:rPr>
                <w:rFonts w:ascii="仿宋" w:hAnsi="仿宋" w:eastAsia="仿宋" w:cs="仿宋"/>
                <w:color w:val="auto"/>
                <w:szCs w:val="21"/>
                <w:highlight w:val="none"/>
              </w:rPr>
              <w:t>×3</w:t>
            </w:r>
            <w:r>
              <w:rPr>
                <w:rFonts w:hint="eastAsia" w:ascii="仿宋" w:hAnsi="仿宋" w:eastAsia="仿宋" w:cs="仿宋"/>
                <w:color w:val="auto"/>
                <w:szCs w:val="21"/>
                <w:highlight w:val="none"/>
                <w:lang w:bidi="ar"/>
              </w:rPr>
              <w:t>（±5%）</w:t>
            </w:r>
            <w:r>
              <w:rPr>
                <w:rFonts w:ascii="仿宋" w:hAnsi="仿宋" w:eastAsia="仿宋" w:cs="仿宋"/>
                <w:color w:val="auto"/>
                <w:szCs w:val="21"/>
                <w:highlight w:val="none"/>
              </w:rPr>
              <w:t>mm</w:t>
            </w:r>
            <w:r>
              <w:rPr>
                <w:rFonts w:hint="eastAsia" w:ascii="仿宋" w:hAnsi="仿宋" w:eastAsia="仿宋" w:cs="仿宋"/>
                <w:color w:val="auto"/>
                <w:szCs w:val="21"/>
                <w:highlight w:val="none"/>
              </w:rPr>
              <w:t xml:space="preserve"> Q235B 碳素结构钢，摸高球PE材质。</w:t>
            </w:r>
          </w:p>
          <w:p w14:paraId="6D933A1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2.外形尺寸：（长×宽×高）≥990×110×2715mm；摸高范围：1960-2460mm，每100±5mm一档，共6个球。</w:t>
            </w:r>
          </w:p>
          <w:p w14:paraId="70E8B76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3.安装方式：直埋式，埋地深度≥600mm，地基尺寸≥</w:t>
            </w:r>
            <w:r>
              <w:rPr>
                <w:rFonts w:ascii="仿宋" w:hAnsi="仿宋" w:eastAsia="仿宋" w:cs="仿宋"/>
                <w:color w:val="auto"/>
                <w:szCs w:val="21"/>
                <w:highlight w:val="none"/>
              </w:rPr>
              <w:t>500×500×700mm</w:t>
            </w:r>
            <w:r>
              <w:rPr>
                <w:rFonts w:hint="eastAsia" w:ascii="仿宋" w:hAnsi="仿宋" w:eastAsia="仿宋" w:cs="仿宋"/>
                <w:color w:val="auto"/>
                <w:szCs w:val="21"/>
                <w:highlight w:val="none"/>
              </w:rPr>
              <w:t>（C20混凝土）；最大承载120KG。</w:t>
            </w:r>
          </w:p>
          <w:p w14:paraId="1906FB6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4.表面处理：酸洗+磷化+静电环氧粉末喷涂，涂层厚度 60-130um，铅笔硬度3H+。</w:t>
            </w:r>
          </w:p>
          <w:p w14:paraId="3F5D7AE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5.安全要求：无尖锐棱角，部件间距≥30mm/＜8mm，无钩挂结构，外露紧固件不锈钢防盗设计。</w:t>
            </w:r>
          </w:p>
        </w:tc>
      </w:tr>
      <w:tr w14:paraId="59AE8AD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77A17A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4A68B9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平砂板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BEBEA0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D094AE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把</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8F584E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1.尺寸：≥1.65×0.90（m）。</w:t>
            </w:r>
            <w:r>
              <w:rPr>
                <w:rFonts w:hint="eastAsia" w:ascii="仿宋" w:hAnsi="仿宋" w:eastAsia="仿宋" w:cs="仿宋"/>
                <w:color w:val="auto"/>
                <w:szCs w:val="21"/>
                <w:highlight w:val="none"/>
              </w:rPr>
              <w:br w:type="textWrapping"/>
            </w:r>
            <w:r>
              <w:rPr>
                <w:rFonts w:hint="eastAsia" w:ascii="仿宋" w:hAnsi="仿宋" w:eastAsia="仿宋" w:cs="仿宋"/>
                <w:color w:val="auto"/>
                <w:szCs w:val="21"/>
                <w:highlight w:val="none"/>
              </w:rPr>
              <w:t>2.铝合金平砂板主要由手柄、支撑杆与平砂板三部分拼装而成。</w:t>
            </w:r>
          </w:p>
          <w:p w14:paraId="3800172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3.支撑杆与平砂板采用铝合金型材，表面氧化。手柄采用≥Φ30×2mm铝管，长度为≥1650mm。 </w:t>
            </w:r>
          </w:p>
          <w:p w14:paraId="7F692106">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4.手柄处装有巴套，握持舒适。</w:t>
            </w:r>
          </w:p>
        </w:tc>
      </w:tr>
      <w:tr w14:paraId="2F1A169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F49A8A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2FACF3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海绵垫</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ADD1A8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476DE6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36B438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1.海绵垫主体由压缩海绵组成，弹力均衡，柔软适中。</w:t>
            </w:r>
          </w:p>
          <w:p w14:paraId="1332662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2.海绵垫基本尺寸：长x宽x厚=2</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rPr>
              <w:t>×1</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rPr>
              <w:t>×0.1</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rPr>
              <w:t>（米）。</w:t>
            </w:r>
          </w:p>
          <w:p w14:paraId="2E7C08B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3.海绵垫表面罩PVC套，套子侧面装有拉链及拉手攀，且四周设有排气孔。</w:t>
            </w:r>
          </w:p>
        </w:tc>
      </w:tr>
      <w:tr w14:paraId="4DB8A74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33EA8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DEF34E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记圈牌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7AFAD2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6D6C5A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D6176D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1.记圈牌主要由记录板和支架组成。</w:t>
            </w:r>
          </w:p>
          <w:p w14:paraId="6602088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2.记圈牌记录板采用复合玻璃钢板四周铝合金包边制成，外形基本尺寸：长×宽≥1200×900（mm）。</w:t>
            </w:r>
          </w:p>
          <w:p w14:paraId="0DB8615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3.记圈牌支架采用Φ32×2圆管和口25×25×2方管制作，整体可装拆，运输方便。</w:t>
            </w:r>
          </w:p>
          <w:p w14:paraId="44B9EEC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4.计圈牌支架底部配有万向轮，移动方便。</w:t>
            </w:r>
          </w:p>
          <w:p w14:paraId="2B20823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5.计圈牌配备</w:t>
            </w:r>
            <w:r>
              <w:rPr>
                <w:rFonts w:hint="eastAsia" w:ascii="仿宋" w:hAnsi="仿宋" w:eastAsia="仿宋" w:cs="仿宋"/>
                <w:color w:val="auto"/>
                <w:szCs w:val="21"/>
                <w:highlight w:val="none"/>
                <w:lang w:eastAsia="zh-CN"/>
              </w:rPr>
              <w:t>蓝色</w:t>
            </w:r>
            <w:r>
              <w:rPr>
                <w:rFonts w:hint="eastAsia" w:ascii="仿宋" w:hAnsi="仿宋" w:eastAsia="仿宋" w:cs="仿宋"/>
                <w:color w:val="auto"/>
                <w:szCs w:val="21"/>
                <w:highlight w:val="none"/>
              </w:rPr>
              <w:t>磁性珠16颗，珠子上印有黄色号码1-16号。</w:t>
            </w:r>
          </w:p>
          <w:p w14:paraId="49F5A98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6.产品涂层厚度70—80um，铅笔硬度达3H+。具有耐酸碱、耐湿热、抗老化、外观整洁等优点，能适合潮湿和酸雨环境，且前处理过程以及产品涂料配方均不含有毒元素，避免损害使用者的健康。</w:t>
            </w:r>
          </w:p>
        </w:tc>
      </w:tr>
      <w:tr w14:paraId="5B12CCC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F83158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317029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海绵垫</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928B7F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C02B25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D81636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1.海绵垫主体由重泡海绵组成，弹力均衡，柔软适中。</w:t>
            </w:r>
          </w:p>
          <w:p w14:paraId="768B64C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2.海绵垫基本尺寸：长x宽x厚=1.2</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rPr>
              <w:t>×0.6</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rPr>
              <w:t>×0.05</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rPr>
              <w:t>（米），可折叠。</w:t>
            </w:r>
          </w:p>
          <w:p w14:paraId="0F8A144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3.海绵垫表面罩防水帆布套，套子侧面装有拉链及拉手攀。</w:t>
            </w:r>
          </w:p>
        </w:tc>
      </w:tr>
      <w:tr w14:paraId="482F606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972D6F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7C5978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信号旗</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140ED8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E179B1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面</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F83D7F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1.1面/套，配袋，由旗杆、旗面和把套组成。</w:t>
            </w:r>
          </w:p>
          <w:p w14:paraId="7263920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2.铝合金管，规格：≥Φ</w:t>
            </w:r>
            <w:r>
              <w:rPr>
                <w:rFonts w:ascii="仿宋" w:hAnsi="仿宋" w:eastAsia="仿宋" w:cs="仿宋"/>
                <w:color w:val="auto"/>
                <w:szCs w:val="21"/>
                <w:highlight w:val="none"/>
              </w:rPr>
              <w:t>16×1mm</w:t>
            </w:r>
            <w:r>
              <w:rPr>
                <w:rFonts w:hint="eastAsia" w:ascii="仿宋" w:hAnsi="仿宋" w:eastAsia="仿宋" w:cs="仿宋"/>
                <w:color w:val="auto"/>
                <w:szCs w:val="21"/>
                <w:highlight w:val="none"/>
              </w:rPr>
              <w:t>，涤纶布料，规格：≥</w:t>
            </w:r>
            <w:r>
              <w:rPr>
                <w:rFonts w:ascii="仿宋" w:hAnsi="仿宋" w:eastAsia="仿宋" w:cs="仿宋"/>
                <w:color w:val="auto"/>
                <w:szCs w:val="21"/>
                <w:highlight w:val="none"/>
              </w:rPr>
              <w:t>400×≥500</w:t>
            </w:r>
            <w:r>
              <w:rPr>
                <w:rFonts w:hint="eastAsia" w:ascii="仿宋" w:hAnsi="仿宋" w:eastAsia="仿宋" w:cs="仿宋"/>
                <w:color w:val="auto"/>
                <w:szCs w:val="21"/>
                <w:highlight w:val="none"/>
              </w:rPr>
              <w:t>（㎜），橡塑软把套，防滑性能好，手感舒适。</w:t>
            </w:r>
          </w:p>
        </w:tc>
      </w:tr>
      <w:tr w14:paraId="6F91F0E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6585C4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502247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铅球架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CF6D5D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D359C8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辆</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0F131B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1.器材主要由铅球框架和上、下摆放架组成长×宽×高≥1000×580×820（mm）</w:t>
            </w:r>
          </w:p>
          <w:p w14:paraId="009C888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2.框架材质：Q235B、规格：≥φ32×2mm焊管、≥口30×30×2mm方管，框架圆管在专用弯管机上弯曲成形后拼焊而成，外形精致，小巧玲珑，框架底部分别配置2只φ100PU万向轮和定向轮，移动方便。</w:t>
            </w:r>
          </w:p>
          <w:p w14:paraId="034559B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3.摆放架材质：Q235B、主要规格：≥φ22×2mm焊管、≥φ19×2mm焊管，上下摆放架可置放铅球不少于30个，摆放架两端设有拉手，置放方便。</w:t>
            </w:r>
          </w:p>
        </w:tc>
      </w:tr>
      <w:tr w14:paraId="401CA0D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F4258C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2B700B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3Kg铅球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C0CBB9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6B7107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980E19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1.基本规格：重量3.005-3.025kg；直径95-110mm。</w:t>
            </w:r>
          </w:p>
          <w:p w14:paraId="494BCCA7">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2.材料：铸铁。</w:t>
            </w:r>
          </w:p>
        </w:tc>
      </w:tr>
      <w:tr w14:paraId="72CD084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6C8CA9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8BA845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4Kg铅球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18AB2B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80605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CF42C8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1.基本规格：重量4.005-4.025kg；直径95-110mm。</w:t>
            </w:r>
          </w:p>
          <w:p w14:paraId="61AAEFD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2.材料：铸铁。</w:t>
            </w:r>
          </w:p>
        </w:tc>
      </w:tr>
      <w:tr w14:paraId="0B25152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DA5439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2B45D8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5Kg铅球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AF7298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57F5B6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F7F8303">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1.基本规格：重量5.005-5.025kg；直径100-120mm。</w:t>
            </w:r>
          </w:p>
          <w:p w14:paraId="1F0F19B2">
            <w:pPr>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2.材料：铸铁。</w:t>
            </w:r>
          </w:p>
        </w:tc>
      </w:tr>
      <w:tr w14:paraId="54F2AEC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FC70D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20E74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铅球插牌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8174AF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051F1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96639D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1.宽*高≥</w:t>
            </w:r>
            <w:r>
              <w:rPr>
                <w:rFonts w:ascii="仿宋" w:hAnsi="仿宋" w:eastAsia="仿宋" w:cs="仿宋"/>
                <w:color w:val="auto"/>
                <w:szCs w:val="21"/>
                <w:highlight w:val="none"/>
              </w:rPr>
              <w:t>270×365mm</w:t>
            </w:r>
            <w:r>
              <w:rPr>
                <w:rFonts w:hint="eastAsia" w:ascii="仿宋" w:hAnsi="仿宋" w:eastAsia="仿宋" w:cs="仿宋"/>
                <w:color w:val="auto"/>
                <w:szCs w:val="21"/>
                <w:highlight w:val="none"/>
              </w:rPr>
              <w:t>，长*宽≥</w:t>
            </w:r>
            <w:r>
              <w:rPr>
                <w:rFonts w:ascii="仿宋" w:hAnsi="仿宋" w:eastAsia="仿宋" w:cs="仿宋"/>
                <w:color w:val="auto"/>
                <w:szCs w:val="21"/>
                <w:highlight w:val="none"/>
              </w:rPr>
              <w:t>200×100mm</w:t>
            </w:r>
            <w:r>
              <w:rPr>
                <w:rFonts w:hint="eastAsia" w:ascii="仿宋" w:hAnsi="仿宋" w:eastAsia="仿宋" w:cs="仿宋"/>
                <w:color w:val="auto"/>
                <w:szCs w:val="21"/>
                <w:highlight w:val="none"/>
              </w:rPr>
              <w:t>。</w:t>
            </w:r>
          </w:p>
          <w:p w14:paraId="49D33BA3">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2.材质：Q235B、规格：δ1.6铁板、φ9圆钢，插牌表面喷黑漆，插牌表面可写字，插牌插尖呈削尖状，插拔方便。</w:t>
            </w:r>
          </w:p>
        </w:tc>
      </w:tr>
      <w:tr w14:paraId="6094ACE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F4C75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E6FD5B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铅球回送架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34E049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F18BD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CD8157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1.基本尺寸：长×宽×高≥</w:t>
            </w:r>
            <w:r>
              <w:rPr>
                <w:rFonts w:ascii="仿宋" w:hAnsi="仿宋" w:eastAsia="仿宋" w:cs="仿宋"/>
                <w:color w:val="auto"/>
                <w:szCs w:val="21"/>
                <w:highlight w:val="none"/>
              </w:rPr>
              <w:t>18850×525×700mm</w:t>
            </w:r>
            <w:r>
              <w:rPr>
                <w:rFonts w:hint="eastAsia" w:ascii="仿宋" w:hAnsi="仿宋" w:eastAsia="仿宋" w:cs="仿宋"/>
                <w:color w:val="auto"/>
                <w:szCs w:val="21"/>
                <w:highlight w:val="none"/>
              </w:rPr>
              <w:t>。</w:t>
            </w:r>
          </w:p>
          <w:p w14:paraId="65BCBC9A">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2.铅球回送器分四段组成，前三段为直段，由高往低，每段长约</w:t>
            </w:r>
            <w:r>
              <w:rPr>
                <w:rFonts w:ascii="仿宋" w:hAnsi="仿宋" w:eastAsia="仿宋" w:cs="仿宋"/>
                <w:color w:val="auto"/>
                <w:szCs w:val="21"/>
                <w:highlight w:val="none"/>
              </w:rPr>
              <w:t>5950㎜</w:t>
            </w:r>
            <w:r>
              <w:rPr>
                <w:rFonts w:hint="eastAsia" w:ascii="仿宋" w:hAnsi="仿宋" w:eastAsia="仿宋" w:cs="仿宋"/>
                <w:color w:val="auto"/>
                <w:szCs w:val="21"/>
                <w:highlight w:val="none"/>
              </w:rPr>
              <w:t>，第四段呈弯曲状，长1000㎜，确保铅球凭借第一、二、三段从上而下的冲力再缓缓由下而上到达终点。</w:t>
            </w:r>
          </w:p>
        </w:tc>
      </w:tr>
      <w:tr w14:paraId="01CE880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99AE1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179547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起跳板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BDCEE8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F14FD6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F30E2C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1.尺寸规格：长度：1220mm±5mm，宽度：200mm±3mm，厚度：100mm±2mm。</w:t>
            </w:r>
          </w:p>
          <w:p w14:paraId="5B31DCC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2.起跳线至前端距离：300mm±5mm。</w:t>
            </w:r>
          </w:p>
          <w:p w14:paraId="266C22B8">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3.起跳板带螺丝调节固定功能。  </w:t>
            </w:r>
          </w:p>
          <w:p w14:paraId="2F47479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4.重量：单块重量≥15kg，重心稳定无偏移。</w:t>
            </w:r>
          </w:p>
        </w:tc>
      </w:tr>
      <w:tr w14:paraId="3B03ED3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31A14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4B76E7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敏捷圈1</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B857FD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3F35A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1F3B3D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1.规格：直径为</w:t>
            </w:r>
            <w:r>
              <w:rPr>
                <w:rFonts w:ascii="仿宋" w:hAnsi="仿宋" w:eastAsia="仿宋" w:cs="仿宋"/>
                <w:color w:val="auto"/>
                <w:szCs w:val="21"/>
                <w:highlight w:val="none"/>
              </w:rPr>
              <w:t>30</w:t>
            </w:r>
            <w:r>
              <w:rPr>
                <w:rFonts w:hint="eastAsia" w:ascii="仿宋" w:hAnsi="仿宋" w:eastAsia="仿宋" w:cs="仿宋"/>
                <w:color w:val="auto"/>
                <w:szCs w:val="21"/>
                <w:highlight w:val="none"/>
              </w:rPr>
              <w:t>（±0.5）</w:t>
            </w:r>
            <w:r>
              <w:rPr>
                <w:rFonts w:ascii="仿宋" w:hAnsi="仿宋" w:eastAsia="仿宋" w:cs="仿宋"/>
                <w:color w:val="auto"/>
                <w:szCs w:val="21"/>
                <w:highlight w:val="none"/>
              </w:rPr>
              <w:t>cm</w:t>
            </w:r>
            <w:r>
              <w:rPr>
                <w:rFonts w:hint="eastAsia" w:ascii="仿宋" w:hAnsi="仿宋" w:eastAsia="仿宋" w:cs="仿宋"/>
                <w:color w:val="auto"/>
                <w:szCs w:val="21"/>
                <w:highlight w:val="none"/>
              </w:rPr>
              <w:t>，5 个为一组。</w:t>
            </w:r>
          </w:p>
          <w:p w14:paraId="7D17752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2.材质：采用耐用、环保</w:t>
            </w:r>
            <w:r>
              <w:rPr>
                <w:rFonts w:hint="eastAsia" w:ascii="仿宋" w:hAnsi="仿宋" w:eastAsia="仿宋" w:cs="仿宋"/>
                <w:b w:val="0"/>
                <w:bCs w:val="0"/>
                <w:color w:val="auto"/>
                <w:szCs w:val="21"/>
                <w:highlight w:val="none"/>
              </w:rPr>
              <w:t>合成纤维</w:t>
            </w:r>
            <w:r>
              <w:rPr>
                <w:rFonts w:hint="eastAsia" w:ascii="仿宋" w:hAnsi="仿宋" w:eastAsia="仿宋" w:cs="仿宋"/>
                <w:color w:val="auto"/>
                <w:szCs w:val="21"/>
                <w:highlight w:val="none"/>
              </w:rPr>
              <w:t>材料。</w:t>
            </w:r>
          </w:p>
        </w:tc>
      </w:tr>
      <w:tr w14:paraId="3EE6705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3D5B9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F90560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敏捷圈2</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446D5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889A82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FC0896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1.规格尺寸：直径为 50（±0.5）cm，每组包含5个敏捷圈。</w:t>
            </w:r>
          </w:p>
          <w:p w14:paraId="73D1DD11">
            <w:pPr>
              <w:widowControl/>
              <w:jc w:val="left"/>
              <w:rPr>
                <w:rFonts w:ascii="仿宋" w:hAnsi="仿宋" w:eastAsia="仿宋" w:cs="仿宋"/>
                <w:color w:val="auto"/>
                <w:szCs w:val="21"/>
                <w:highlight w:val="none"/>
              </w:rPr>
            </w:pPr>
            <w:r>
              <w:rPr>
                <w:rFonts w:ascii="仿宋" w:hAnsi="仿宋" w:eastAsia="仿宋" w:cs="仿宋"/>
                <w:color w:val="auto"/>
                <w:szCs w:val="21"/>
                <w:highlight w:val="none"/>
              </w:rPr>
              <w:t>2.材质：采用耐用、环保合成纤维材料</w:t>
            </w:r>
          </w:p>
        </w:tc>
      </w:tr>
      <w:tr w14:paraId="7291D92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B004AF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AD4024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小拦架1</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B24E5F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0C1110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AB3E3F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1.规格：高度30cm（±0.5cm），5个一组。</w:t>
            </w:r>
          </w:p>
          <w:p w14:paraId="406A7E0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2.材质：主体用高强度工程塑料（如 ABS或聚碳酸酯）。</w:t>
            </w:r>
          </w:p>
          <w:p w14:paraId="740A60E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3.结构：底座设计稳固（如三角或梯形，带防滑橡胶垫），栏板宽3-5cm 且与底座连接牢固、表面光滑。</w:t>
            </w:r>
          </w:p>
        </w:tc>
      </w:tr>
      <w:tr w14:paraId="0EF9070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861426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123D6D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小拦架2</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76014B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90C29A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80574E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1.规格：高度 23cm（±0.5cm），5个一组。</w:t>
            </w:r>
          </w:p>
          <w:p w14:paraId="5D619B3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2.材质：主体用高强度工程塑料（如ABS或聚碳酸酯）。</w:t>
            </w:r>
          </w:p>
          <w:p w14:paraId="44BFF75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3.结构：底座设计稳固（如三角或梯形，带防滑橡胶垫），栏板宽3-5cm 且与底座连接牢固、表面光滑。</w:t>
            </w:r>
          </w:p>
        </w:tc>
      </w:tr>
      <w:tr w14:paraId="35670D9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7014E7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028584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落地反弹板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FD872B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B548D1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1360C9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1.规格：长≥</w:t>
            </w:r>
            <w:r>
              <w:rPr>
                <w:rFonts w:ascii="仿宋" w:hAnsi="仿宋" w:eastAsia="仿宋" w:cs="仿宋"/>
                <w:color w:val="auto"/>
                <w:szCs w:val="21"/>
                <w:highlight w:val="none"/>
              </w:rPr>
              <w:t>100cm</w:t>
            </w:r>
            <w:r>
              <w:rPr>
                <w:rFonts w:hint="eastAsia" w:ascii="仿宋" w:hAnsi="仿宋" w:eastAsia="仿宋" w:cs="仿宋"/>
                <w:color w:val="auto"/>
                <w:szCs w:val="21"/>
                <w:highlight w:val="none"/>
              </w:rPr>
              <w:t>、宽≥</w:t>
            </w:r>
            <w:r>
              <w:rPr>
                <w:rFonts w:ascii="仿宋" w:hAnsi="仿宋" w:eastAsia="仿宋" w:cs="仿宋"/>
                <w:color w:val="auto"/>
                <w:szCs w:val="21"/>
                <w:highlight w:val="none"/>
              </w:rPr>
              <w:t>40cm</w:t>
            </w:r>
            <w:r>
              <w:rPr>
                <w:rFonts w:hint="eastAsia" w:ascii="仿宋" w:hAnsi="仿宋" w:eastAsia="仿宋" w:cs="仿宋"/>
                <w:color w:val="auto"/>
                <w:szCs w:val="21"/>
                <w:highlight w:val="none"/>
              </w:rPr>
              <w:t>、厚≥</w:t>
            </w:r>
            <w:r>
              <w:rPr>
                <w:rFonts w:ascii="仿宋" w:hAnsi="仿宋" w:eastAsia="仿宋" w:cs="仿宋"/>
                <w:color w:val="auto"/>
                <w:szCs w:val="21"/>
                <w:highlight w:val="none"/>
              </w:rPr>
              <w:t>20cm</w:t>
            </w:r>
            <w:r>
              <w:rPr>
                <w:rFonts w:hint="eastAsia" w:ascii="仿宋" w:hAnsi="仿宋" w:eastAsia="仿宋" w:cs="仿宋"/>
                <w:color w:val="auto"/>
                <w:szCs w:val="21"/>
                <w:highlight w:val="none"/>
              </w:rPr>
              <w:t>，尺寸误差±1%。</w:t>
            </w:r>
          </w:p>
          <w:p w14:paraId="5938F24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2.材质：板面用高强度复合材料（如 FRP 或聚氨酯复合材料），框架为金属（铝合金或钢材）。</w:t>
            </w:r>
          </w:p>
        </w:tc>
      </w:tr>
      <w:tr w14:paraId="070DD93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5E7773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E67E72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手持反弹网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065043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47DD70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7BE6A6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1.规格：长、宽均≥</w:t>
            </w:r>
            <w:r>
              <w:rPr>
                <w:rFonts w:ascii="仿宋" w:hAnsi="仿宋" w:eastAsia="仿宋" w:cs="仿宋"/>
                <w:color w:val="auto"/>
                <w:szCs w:val="21"/>
                <w:highlight w:val="none"/>
              </w:rPr>
              <w:t>50cm</w:t>
            </w:r>
            <w:r>
              <w:rPr>
                <w:rFonts w:hint="eastAsia" w:ascii="仿宋" w:hAnsi="仿宋" w:eastAsia="仿宋" w:cs="仿宋"/>
                <w:color w:val="auto"/>
                <w:szCs w:val="21"/>
                <w:highlight w:val="none"/>
              </w:rPr>
              <w:t>，厚度≥</w:t>
            </w:r>
            <w:r>
              <w:rPr>
                <w:rFonts w:ascii="仿宋" w:hAnsi="仿宋" w:eastAsia="仿宋" w:cs="仿宋"/>
                <w:color w:val="auto"/>
                <w:szCs w:val="21"/>
                <w:highlight w:val="none"/>
              </w:rPr>
              <w:t>4cm</w:t>
            </w:r>
            <w:r>
              <w:rPr>
                <w:rFonts w:hint="eastAsia" w:ascii="仿宋" w:hAnsi="仿宋" w:eastAsia="仿宋" w:cs="仿宋"/>
                <w:color w:val="auto"/>
                <w:szCs w:val="21"/>
                <w:highlight w:val="none"/>
              </w:rPr>
              <w:t>，允许尺寸误差±0.5cm。</w:t>
            </w:r>
          </w:p>
          <w:p w14:paraId="34A834D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2.材质：网面采用高强度尼龙绳或聚酯纤维材质，坚韧耐磨，耐候性好；框架使用轻质且坚固的塑料（如ABS工程塑料）或金属（如铝合金），保证手持使用时轻便且耐用。</w:t>
            </w:r>
          </w:p>
        </w:tc>
      </w:tr>
      <w:tr w14:paraId="15C1D50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5486E9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6137E3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充气人墙</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0CEF7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F1BA73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平米</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6C84CB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1.规格：一组10个，单个充气后高度为170cm，高度允许误差范围在±2cm。</w:t>
            </w:r>
          </w:p>
          <w:p w14:paraId="53F7AD0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w:t>
            </w:r>
          </w:p>
          <w:p w14:paraId="79E9447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①外皮：选用耐磨、耐撕扯的高强度PVC材料，具备良好的抗老化和耐候性，能适应不同户外环境。</w:t>
            </w:r>
          </w:p>
          <w:p w14:paraId="21758ED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②内部气囊：采用橡胶材质，具有良好的密封性，保障长时间使用不漏气。</w:t>
            </w:r>
          </w:p>
        </w:tc>
      </w:tr>
      <w:tr w14:paraId="08D7C40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F20E9A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6FC1B0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波速球</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平衡</w:t>
            </w:r>
            <w:r>
              <w:rPr>
                <w:rFonts w:hint="eastAsia" w:ascii="仿宋" w:hAnsi="仿宋" w:eastAsia="仿宋" w:cs="仿宋"/>
                <w:color w:val="auto"/>
                <w:szCs w:val="21"/>
                <w:highlight w:val="none"/>
                <w:lang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6B914F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43A119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50C166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1.规格：底部平面直径≥</w:t>
            </w:r>
            <w:r>
              <w:rPr>
                <w:rFonts w:ascii="仿宋" w:hAnsi="仿宋" w:eastAsia="仿宋" w:cs="仿宋"/>
                <w:color w:val="auto"/>
                <w:szCs w:val="21"/>
                <w:highlight w:val="none"/>
              </w:rPr>
              <w:t>60cm</w:t>
            </w:r>
            <w:r>
              <w:rPr>
                <w:rFonts w:hint="eastAsia" w:ascii="仿宋" w:hAnsi="仿宋" w:eastAsia="仿宋" w:cs="仿宋"/>
                <w:color w:val="auto"/>
                <w:szCs w:val="21"/>
                <w:highlight w:val="none"/>
              </w:rPr>
              <w:t>。</w:t>
            </w:r>
          </w:p>
          <w:p w14:paraId="62095E8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2.材质：球体采用环保、耐磨且有弹性的橡胶或热塑性弹性体材料；底部采用防滑、稳定性好的硬质塑料材质。</w:t>
            </w:r>
          </w:p>
          <w:p w14:paraId="56D84F6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3.性能：具有良好的弹性和缓冲性，能提供多样的不稳定支撑，帮助训练平衡感与核心力量；球体与底部连接牢固，承受人体重量及训练动作时不会分离或损坏。</w:t>
            </w:r>
          </w:p>
          <w:p w14:paraId="144C4C6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4.外观：颜色以明亮、醒目的色调为主，表面光滑无瑕疵，球体与底部结合处过渡自然。</w:t>
            </w:r>
          </w:p>
        </w:tc>
      </w:tr>
      <w:tr w14:paraId="1CF2329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973094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6CD0B0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大战术板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3645C8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D30227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B5FE91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1.规格：示教板≥</w:t>
            </w:r>
            <w:r>
              <w:rPr>
                <w:rFonts w:ascii="仿宋" w:hAnsi="仿宋" w:eastAsia="仿宋" w:cs="仿宋"/>
                <w:color w:val="auto"/>
                <w:szCs w:val="21"/>
                <w:highlight w:val="none"/>
              </w:rPr>
              <w:t>120×90cm</w:t>
            </w:r>
            <w:r>
              <w:rPr>
                <w:rFonts w:hint="eastAsia" w:ascii="仿宋" w:hAnsi="仿宋" w:eastAsia="仿宋" w:cs="仿宋"/>
                <w:color w:val="auto"/>
                <w:szCs w:val="21"/>
                <w:highlight w:val="none"/>
              </w:rPr>
              <w:t>，厚1-2cm（误差±1%），支架高度80-120cm可调。</w:t>
            </w:r>
          </w:p>
          <w:p w14:paraId="21A7927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2.材质：示教板基板为金属或高强度塑料，覆高质量白板材料；支架用坚固金属。</w:t>
            </w:r>
          </w:p>
          <w:p w14:paraId="0879116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3.功能：双面可擦写，配至少3支不同色油性笔、大擦拭面积白板擦、至少20个带吸附力球员标志棋子。</w:t>
            </w:r>
          </w:p>
          <w:p w14:paraId="5C67FD8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4.外观：示教板白底色，边框黑或银色；支架防锈处理，整体无尖锐边角。</w:t>
            </w:r>
          </w:p>
        </w:tc>
      </w:tr>
      <w:tr w14:paraId="7C7D7EC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0F0DE5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7F7B2E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小战术板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2CA316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C6199F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77B156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1.规格：战术板≥</w:t>
            </w:r>
            <w:r>
              <w:rPr>
                <w:rFonts w:ascii="仿宋" w:hAnsi="仿宋" w:eastAsia="仿宋" w:cs="仿宋"/>
                <w:color w:val="auto"/>
                <w:szCs w:val="21"/>
                <w:highlight w:val="none"/>
              </w:rPr>
              <w:t>70×50cm</w:t>
            </w:r>
            <w:r>
              <w:rPr>
                <w:rFonts w:hint="eastAsia" w:ascii="仿宋" w:hAnsi="仿宋" w:eastAsia="仿宋" w:cs="仿宋"/>
                <w:color w:val="auto"/>
                <w:szCs w:val="21"/>
                <w:highlight w:val="none"/>
              </w:rPr>
              <w:t>（误差±1cm），三角支架高度适配站立讲解，可收纳。</w:t>
            </w:r>
          </w:p>
          <w:p w14:paraId="0B4D4AF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2.材质：战术板基板为高强度塑料或金属，覆白板涂层；三角支架用铝合金或塑料；磁石棋子耐用，磁吸力适中；携带包用耐磨防水尼龙或牛津布。</w:t>
            </w:r>
          </w:p>
          <w:p w14:paraId="5F110E9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3.配件：33个磁石棋子、1个橡皮擦、4只不同色水性笔、1个带合理分区携带包。</w:t>
            </w:r>
          </w:p>
          <w:p w14:paraId="5DF1B62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4.外观：战术板白底色、边框简洁无尖角；三角支架防锈处理；携带包设计简洁，拉链等配件好用。</w:t>
            </w:r>
          </w:p>
        </w:tc>
      </w:tr>
      <w:tr w14:paraId="2A90550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F22744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969731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敏捷梯</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0D6B10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6AF582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88CA3D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rPr>
              <w:t>规格：长度10米，允许误差范围在±0.1米。梯格形状为多边形，单个梯格尺寸设计合理，符合敏捷训练基本要求，相邻梯格间距均匀。</w:t>
            </w:r>
          </w:p>
          <w:p w14:paraId="68F12AE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2.材质：用高强度、耐磨损的塑料材质，如增强型聚丙烯（PP），具备良好的柔韧性与抗老化性能，能适应户外不同环境条件。材料符合环保标准，无毒无味，对人体健康无危害。</w:t>
            </w:r>
          </w:p>
          <w:p w14:paraId="5ED4C4B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3.性能：具备一定的承重能力，在正常训练使用过程中，能承受人体踩踏而不变形、不损坏。梯格与梯身连接牢固，不会在使用时出现松动、脱落现象。</w:t>
            </w:r>
          </w:p>
        </w:tc>
      </w:tr>
      <w:tr w14:paraId="668D5AE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25128A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5B4953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小足球门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D3F517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C2A05A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84B3FE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1.尺寸规格：内口尺寸为1.2 米（宽）×0.8 米（高），深度0.47米，尺寸误差范围在±2%以内。</w:t>
            </w:r>
          </w:p>
          <w:p w14:paraId="032BD63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2.材质要求：气囊可采用高强度 PVC 夹网布，具备良好的耐磨性、抗撕裂性和气密性。外层可选用牛津布等耐磨防水材质，保护气囊并增加耐用性。</w:t>
            </w:r>
          </w:p>
          <w:p w14:paraId="2222ECF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3.充气性能：需配备快速充气装置，能在较短时间（10秒左右）完成充气。充气后应能保持稳定形状，在正常使用环境下不会出现明显漏气现象。</w:t>
            </w:r>
          </w:p>
          <w:p w14:paraId="553EED5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4.稳定性：可设计有可注水或装沙的底座，或配备地钉、拉绳等固定装置，确保足球门在使用时不易被撞倒或移位。</w:t>
            </w:r>
          </w:p>
        </w:tc>
      </w:tr>
      <w:tr w14:paraId="13A5204D">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DC306B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755E94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比赛足球1</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BE458E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14908B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A2EE57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1.规格尺寸：5号球，圆周68.5-69.5厘米（误差±0.2厘米），重400-410克（误差±2克）。</w:t>
            </w:r>
          </w:p>
          <w:p w14:paraId="46F3B75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2.材质：外皮PU，耐磨柔软防水似真皮；内胆丁基橡胶，气密性好气压稳；球胎高强度尼龙缠纱，增韧性抗变形。</w:t>
            </w:r>
          </w:p>
          <w:p w14:paraId="0CA6E7A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3.工艺：表面纹理增摩擦稳飞行，无缝热粘合球面光滑减阻防水。</w:t>
            </w:r>
          </w:p>
          <w:p w14:paraId="1673358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4.性能：2米自由落体反弹1.3-1.4米（误差±0.05米）；正常环境（15-35℃、湿度40%-60%）充气0.6-1.1个大气压。</w:t>
            </w:r>
          </w:p>
          <w:p w14:paraId="18DF7C9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5.外观标识：颜色鲜艳易辨识，品牌型号认证标志清晰牢固不褪色脱落。</w:t>
            </w:r>
          </w:p>
        </w:tc>
      </w:tr>
      <w:tr w14:paraId="7D73D7A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FF0D2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52F25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比赛足球2</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22C0DE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0EBE2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BB4094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1.规格尺寸：5号球，圆周68.5-69.5厘米（误差±0.2 厘米），重400-410克（误差±2 克）。</w:t>
            </w:r>
          </w:p>
          <w:p w14:paraId="7FB8819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2.材质：外皮高品质合成皮革（如 PU），耐磨、柔韧、防水；内胆丁基橡胶，气密性好；球胎高强度尼龙缠纱，增强韧性与抗变形。</w:t>
            </w:r>
          </w:p>
          <w:p w14:paraId="2734B74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3.工艺：表面纹理处理增摩擦控旋转稳飞行，热粘合或高质量缝线工艺，热粘合无缝降阻，缝线均匀牢固。</w:t>
            </w:r>
          </w:p>
          <w:p w14:paraId="4A6F7C8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4.性能：2米自由落体反弹1.3-1.4米（误差±0.05 米）。</w:t>
            </w:r>
          </w:p>
          <w:p w14:paraId="4AF1C13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5.外观：颜色鲜艳易辨识，品牌等标识清晰牢固不易脱落。</w:t>
            </w:r>
          </w:p>
        </w:tc>
      </w:tr>
      <w:tr w14:paraId="1F3678A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86A932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C596D4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阻力伞</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6B0359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B86737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69652E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1.材质：伞面用高强度轻质尼龙或聚酯纤维，牵引绳为耐磨抗拉涤纶绳或防锈钢丝绳，连接部件用金属或高强度塑料。</w:t>
            </w:r>
          </w:p>
          <w:p w14:paraId="3868157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2.性能：可调节阻力，伞面稳定张开，整体便携，配收纳袋。</w:t>
            </w:r>
          </w:p>
        </w:tc>
      </w:tr>
      <w:tr w14:paraId="13A1B99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3885A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5F66F3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对讲机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C7DBCF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867DC0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52A1F1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1.基本要求‌</w:t>
            </w:r>
          </w:p>
          <w:p w14:paraId="3CB3A53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①‌频率范围‌：</w:t>
            </w:r>
          </w:p>
          <w:p w14:paraId="7B49896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VHF：136-174 MHz</w:t>
            </w:r>
          </w:p>
          <w:p w14:paraId="5BAAD00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UHF：400-520 MHz</w:t>
            </w:r>
          </w:p>
          <w:p w14:paraId="27E19B2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支持FM收音机接收（65-108 MHz）。</w:t>
            </w:r>
          </w:p>
          <w:p w14:paraId="76C62DC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②‌功率输出‌：高功率≥4W，低功率≥1W（应能满足上述性能要求）。</w:t>
            </w:r>
          </w:p>
          <w:p w14:paraId="4B276CE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③‌信道容量‌：≥128个可编程信道，支持分组管理。</w:t>
            </w:r>
          </w:p>
          <w:p w14:paraId="390877B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‌2.功能要求‌</w:t>
            </w:r>
          </w:p>
          <w:p w14:paraId="614BC46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①支持双频监听（主频+副频同步接收）。</w:t>
            </w:r>
          </w:p>
          <w:p w14:paraId="5115709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②具备CTCSS/DCS编解码功能，抗干扰能力强。</w:t>
            </w:r>
          </w:p>
          <w:p w14:paraId="71E5C53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③集成VOX声控发射（灵敏度可调）。</w:t>
            </w:r>
          </w:p>
          <w:p w14:paraId="1973A9B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④内置LED应急手电筒。</w:t>
            </w:r>
          </w:p>
          <w:p w14:paraId="3BEBBB6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⑤支持宽窄带切换（12.5kHz/25kHz）。</w:t>
            </w:r>
          </w:p>
          <w:p w14:paraId="5C805B4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‌3.硬件配置‌</w:t>
            </w:r>
          </w:p>
          <w:p w14:paraId="149050B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①‌电池‌：锂离子电池，容量≥1500mAh，续航时间≥8小时（标准使用条件下）。</w:t>
            </w:r>
          </w:p>
          <w:p w14:paraId="6CD667E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②‌天线接口‌：SMA-Female，标配可拆卸天线（需提供增益参数）。</w:t>
            </w:r>
          </w:p>
          <w:p w14:paraId="6D5E0ED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③‌显示屏‌：背光LCD，实时显示频率、信道、信号强度等信息。</w:t>
            </w:r>
          </w:p>
        </w:tc>
      </w:tr>
      <w:tr w14:paraId="24E71F80">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12CBEFCD">
            <w:pPr>
              <w:widowControl/>
              <w:jc w:val="center"/>
              <w:rPr>
                <w:rFonts w:ascii="仿宋" w:hAnsi="仿宋" w:eastAsia="仿宋" w:cs="仿宋"/>
                <w:b/>
                <w:bCs/>
                <w:color w:val="auto"/>
                <w:szCs w:val="21"/>
                <w:highlight w:val="none"/>
              </w:rPr>
            </w:pPr>
            <w:r>
              <w:rPr>
                <w:rFonts w:hint="eastAsia" w:ascii="仿宋" w:hAnsi="仿宋" w:eastAsia="仿宋" w:cs="仿宋"/>
                <w:b/>
                <w:bCs/>
                <w:color w:val="auto"/>
                <w:szCs w:val="21"/>
                <w:highlight w:val="none"/>
                <w:lang w:bidi="ar"/>
              </w:rPr>
              <w:t>室内</w:t>
            </w:r>
          </w:p>
        </w:tc>
      </w:tr>
      <w:tr w14:paraId="35C143B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74CB3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4C6B51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电动悬空篮架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1C9333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9B62C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CC7580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1.产品规格：篮架伸臂3-6m，篮圈上沿离地面高3.05m，屋架高度7-12m。</w:t>
            </w:r>
          </w:p>
          <w:p w14:paraId="4F4BBBE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产品用材：减速电机电压为220V，I=225:1，电机功率1.5KW。支撑管采用≥100×80×2.5mm方管、横梁采用≥120×120×2.5mm方管，主支架采用≥120×120×2.5mm、≥70×70×2.5mm、≥50×50×2.5mm等方管焊接而成。保险带为高强丝保险带。</w:t>
            </w:r>
          </w:p>
          <w:p w14:paraId="21DF7CD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3.产品结构</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 xml:space="preserve">电动悬空篮球架主要由减速电机、传动系统、主支架、保险带及篮板、篮圈组成。具有结构简单、操作方便、安全可靠、噪音小等特点。 </w:t>
            </w:r>
          </w:p>
          <w:p w14:paraId="69660B4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4.篮板：规格：1800×1050（㎜），篮板配用国际通用的高强度安全玻璃篮板（≥13mm双层夹胶玻璃），具有透明度高、</w:t>
            </w:r>
            <w:r>
              <w:rPr>
                <w:rFonts w:hint="eastAsia" w:ascii="仿宋" w:hAnsi="仿宋" w:eastAsia="仿宋" w:cs="仿宋"/>
                <w:color w:val="auto"/>
                <w:szCs w:val="21"/>
                <w:highlight w:val="none"/>
                <w:lang w:eastAsia="zh-CN" w:bidi="ar"/>
              </w:rPr>
              <w:t>耐候性</w:t>
            </w:r>
            <w:r>
              <w:rPr>
                <w:rFonts w:hint="eastAsia" w:ascii="仿宋" w:hAnsi="仿宋" w:eastAsia="仿宋" w:cs="仿宋"/>
                <w:color w:val="auto"/>
                <w:szCs w:val="21"/>
                <w:highlight w:val="none"/>
                <w:lang w:bidi="ar"/>
              </w:rPr>
              <w:t>好、抗老化、耐腐蚀、不易模糊等特点，并在篮板下沿侧面覆盖有保护圈，保护圈前后表面高度、厚度均≥20mm，底面厚度≥50mm，符合FIBA规则，能有效保护运动员扣篮时不受伤害。篮板弹性500N、1m，中心挠度≤6㎜，取消外力1min后篮板恢复原状。</w:t>
            </w:r>
          </w:p>
          <w:p w14:paraId="1A1749B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篮圈：篮圈采用φ19（±0.1）mm实心圆钢制作，圈下焊有冲压成型的圆弧形网钩，十二段均匀分布留适当间隙，配篮网。篮圈抗弯性能好，水平固定在篮板上，与篮架连接的钢板和篮圈盖板均采用钢板一次冲压成型，造型美观。</w:t>
            </w:r>
          </w:p>
          <w:p w14:paraId="26B20ABD">
            <w:pPr>
              <w:widowControl/>
              <w:jc w:val="left"/>
              <w:rPr>
                <w:rFonts w:hint="eastAsia" w:ascii="仿宋" w:hAnsi="仿宋" w:eastAsia="仿宋" w:cs="仿宋"/>
                <w:b/>
                <w:bCs/>
                <w:color w:val="auto"/>
                <w:szCs w:val="21"/>
                <w:highlight w:val="none"/>
                <w:lang w:eastAsia="zh-CN" w:bidi="ar"/>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 23176-2008《篮球架》或其他现行有效标准（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r>
              <w:rPr>
                <w:rFonts w:hint="eastAsia" w:ascii="仿宋" w:hAnsi="仿宋" w:eastAsia="仿宋" w:cs="仿宋"/>
                <w:b/>
                <w:bCs/>
                <w:color w:val="auto"/>
                <w:szCs w:val="21"/>
                <w:highlight w:val="none"/>
                <w:lang w:eastAsia="zh-CN"/>
              </w:rPr>
              <w:t>。</w:t>
            </w:r>
          </w:p>
        </w:tc>
      </w:tr>
      <w:tr w14:paraId="3D18150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03D5F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CE5EB2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二十四秒显示器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54C088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B57DB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4DBE12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产品规格：≥600MM*500MM*100MM</w:t>
            </w:r>
          </w:p>
          <w:p w14:paraId="45BBC5A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产品信号：无线 （无线控制距离 ≥100 米）</w:t>
            </w:r>
          </w:p>
          <w:p w14:paraId="3D5E5EC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产品功率：60-80W单个显示屏：单面显示</w:t>
            </w:r>
          </w:p>
          <w:p w14:paraId="5D6BDCE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产品电源：◊显示屏 AC</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190-250V</w:t>
            </w:r>
          </w:p>
          <w:p w14:paraId="4D9E3C7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◊控制台 AC</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110-250V 或充电宝（DC5V）供电</w:t>
            </w:r>
          </w:p>
          <w:p w14:paraId="1FBD731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产品功能：</w:t>
            </w:r>
          </w:p>
          <w:p w14:paraId="7AFD829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1.全场时间、24 秒进攻时间</w:t>
            </w:r>
          </w:p>
          <w:p w14:paraId="6E22C1C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①分计时：能实现 0—99 分、0—59 秒和 1/10 秒任意调整，具有启动、暂停、复位功能。</w:t>
            </w:r>
          </w:p>
          <w:p w14:paraId="1E664D1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②秒计时：能实现 0—99 秒任意调整，具有启动、暂停、复位、14 秒功能。</w:t>
            </w:r>
          </w:p>
          <w:p w14:paraId="2AEC2C5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③报警：24 秒违例自动声、光报警、终场自动声响</w:t>
            </w:r>
          </w:p>
          <w:p w14:paraId="5533C8A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2.特点</w:t>
            </w:r>
          </w:p>
          <w:p w14:paraId="18BAA63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1&gt;控制台液晶显示</w:t>
            </w:r>
          </w:p>
          <w:p w14:paraId="1EAB004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2&gt;显示屏全场时间为 5 位，带有十分之一秒，并且十分之一秒可调。</w:t>
            </w:r>
          </w:p>
          <w:p w14:paraId="342289E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3&gt;24 秒倒计时 5 秒后精确至 1/10 秒</w:t>
            </w:r>
          </w:p>
          <w:p w14:paraId="053B3BD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3.进攻时间到零时显示屏部分能给出红色的报警信号。</w:t>
            </w:r>
          </w:p>
          <w:p w14:paraId="014545F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4.控制方面全场时间和进攻时间能够实现单独控制。</w:t>
            </w:r>
          </w:p>
          <w:p w14:paraId="6D1F37D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5.高刷芯片，拍摄不闪烁</w:t>
            </w:r>
          </w:p>
        </w:tc>
      </w:tr>
      <w:tr w14:paraId="669A5DA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0A1A51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1EBF58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篮球赛全队犯规显示器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CAD646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31858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02EAB0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1.控制电缆线&gt;5米。</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2.电源线&gt;1.8米。</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3.电源交流：220V50Hz。</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4.功率：80-100W。</w:t>
            </w:r>
          </w:p>
        </w:tc>
      </w:tr>
      <w:tr w14:paraId="2F33E21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811892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F4D5C6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篮球发球权显示器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38101E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69FEB1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F8086F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1.产品规格：约</w:t>
            </w:r>
            <w:r>
              <w:rPr>
                <w:rFonts w:ascii="仿宋" w:hAnsi="仿宋" w:eastAsia="仿宋" w:cs="仿宋"/>
                <w:color w:val="auto"/>
                <w:szCs w:val="21"/>
                <w:highlight w:val="none"/>
                <w:lang w:bidi="ar"/>
              </w:rPr>
              <w:t>350mm×200mm×50mm</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2.供电方式：220V。</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3.整机功率：10-15W。</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4.结构材质：全钣金机箱。</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5.产品重量：2-2.5Kg。</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6.产品功能：显示主队或客队得球后进攻的方向。</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7.控制方式：使用按钮控制/联动记分牌打分台控制。</w:t>
            </w:r>
          </w:p>
        </w:tc>
      </w:tr>
      <w:tr w14:paraId="412632E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D24C96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F1E35C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篮球赛记录员讯响器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80C3E2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CB3CB7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74B5B4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1.控制电缆长：≥5m。</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2.电源线长：≥1.7m。</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3.电源：交流220V50HZ。</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4.功率：50-60W。</w:t>
            </w:r>
          </w:p>
        </w:tc>
      </w:tr>
      <w:tr w14:paraId="3BF56C72">
        <w:tblPrEx>
          <w:tblCellMar>
            <w:top w:w="0" w:type="dxa"/>
            <w:left w:w="108" w:type="dxa"/>
            <w:bottom w:w="0" w:type="dxa"/>
            <w:right w:w="108" w:type="dxa"/>
          </w:tblCellMar>
        </w:tblPrEx>
        <w:trPr>
          <w:trHeight w:val="2252"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49D8D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EA60C0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篮球示教图</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0C0E96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9A1AC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本</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3AB1F4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1.尺寸：板面规格长×宽×厚度≥400×300×15mm。</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2.材质：磁性镀锌铁皮板面，ABS工程塑料边框；加厚硬纸板背板。</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3.配套记号笔，笔身长度约160mm，笔杆直径约10mm，环保ABS塑料笔杆，可擦水性墨水；笔帽带笔夹，可夹在示教图边框或口袋，方便携带。磁性珠共13颗，含红5颗、绿色5颗、蓝色3颗单颗直径约9mm；环保PP塑料外壳，永磁体内芯。</w:t>
            </w:r>
          </w:p>
        </w:tc>
      </w:tr>
      <w:tr w14:paraId="2552C543">
        <w:tblPrEx>
          <w:tblCellMar>
            <w:top w:w="0" w:type="dxa"/>
            <w:left w:w="108" w:type="dxa"/>
            <w:bottom w:w="0" w:type="dxa"/>
            <w:right w:w="108" w:type="dxa"/>
          </w:tblCellMar>
        </w:tblPrEx>
        <w:trPr>
          <w:trHeight w:val="891"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9371E4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03712E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篮球示教板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63FCEC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80AB67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8484B0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1.尺寸≥</w:t>
            </w:r>
            <w:r>
              <w:rPr>
                <w:rFonts w:ascii="仿宋" w:hAnsi="仿宋" w:eastAsia="仿宋" w:cs="仿宋"/>
                <w:color w:val="auto"/>
                <w:szCs w:val="21"/>
                <w:highlight w:val="none"/>
                <w:lang w:bidi="ar"/>
              </w:rPr>
              <w:t>1.2×0.9m</w:t>
            </w:r>
            <w:r>
              <w:rPr>
                <w:rFonts w:hint="eastAsia" w:ascii="仿宋" w:hAnsi="仿宋" w:eastAsia="仿宋" w:cs="仿宋"/>
                <w:color w:val="auto"/>
                <w:szCs w:val="21"/>
                <w:highlight w:val="none"/>
                <w:lang w:bidi="ar"/>
              </w:rPr>
              <w:t>，复合玻璃钢板四周铝合金包边，配备磁性珠。</w:t>
            </w:r>
          </w:p>
          <w:p w14:paraId="2A13ABD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2.配备5枚红色、5枚</w:t>
            </w:r>
            <w:r>
              <w:rPr>
                <w:rFonts w:hint="eastAsia" w:ascii="仿宋" w:hAnsi="仿宋" w:eastAsia="仿宋" w:cs="仿宋"/>
                <w:color w:val="auto"/>
                <w:szCs w:val="21"/>
                <w:highlight w:val="none"/>
                <w:lang w:eastAsia="zh-CN" w:bidi="ar"/>
              </w:rPr>
              <w:t>蓝色</w:t>
            </w:r>
            <w:r>
              <w:rPr>
                <w:rFonts w:hint="eastAsia" w:ascii="仿宋" w:hAnsi="仿宋" w:eastAsia="仿宋" w:cs="仿宋"/>
                <w:color w:val="auto"/>
                <w:szCs w:val="21"/>
                <w:highlight w:val="none"/>
                <w:lang w:bidi="ar"/>
              </w:rPr>
              <w:t>、2枚黑</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黄）色棋子。</w:t>
            </w:r>
          </w:p>
        </w:tc>
      </w:tr>
      <w:tr w14:paraId="6BD8CB43">
        <w:tblPrEx>
          <w:tblCellMar>
            <w:top w:w="0" w:type="dxa"/>
            <w:left w:w="108" w:type="dxa"/>
            <w:bottom w:w="0" w:type="dxa"/>
            <w:right w:w="108" w:type="dxa"/>
          </w:tblCellMar>
        </w:tblPrEx>
        <w:trPr>
          <w:trHeight w:val="1980"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60ED7B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B31D54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篮球记分牌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FC6D64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60F42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F69860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1.篮球赛记分器为立式记分器，主要由支架、记分方框和记分牌组成，外形尺寸：长×宽×高≥1380×540×1630（mm）。</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2.记分器下支架主要由口≥25×25的方管与φ≥32×2焊管拼焊而成，上支架主要由口≥25×25的方管和δ≥2铁板拼焊而成，队名牌为白色雪覆板。</w:t>
            </w:r>
            <w:r>
              <w:rPr>
                <w:rFonts w:hint="eastAsia" w:ascii="仿宋" w:hAnsi="仿宋" w:eastAsia="仿宋" w:cs="仿宋"/>
                <w:color w:val="auto"/>
                <w:szCs w:val="21"/>
                <w:highlight w:val="none"/>
                <w:lang w:bidi="ar"/>
              </w:rPr>
              <w:br w:type="textWrapping"/>
            </w:r>
            <w:r>
              <w:rPr>
                <w:rFonts w:hint="eastAsia" w:ascii="仿宋" w:hAnsi="仿宋" w:eastAsia="仿宋" w:cs="仿宋"/>
                <w:color w:val="auto"/>
                <w:szCs w:val="21"/>
                <w:highlight w:val="none"/>
                <w:lang w:bidi="ar"/>
              </w:rPr>
              <w:t>3．记分牌为手推式记分盒，采用PVC板制作。</w:t>
            </w:r>
          </w:p>
        </w:tc>
      </w:tr>
      <w:tr w14:paraId="3ACF765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C0AAE4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88B9B9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收放式球类推车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E8A189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FF5441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AC8F2D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1.推车外形基本尺寸：长×宽×高=950×750×800(㎜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p w14:paraId="1B1AFF1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2.推车主要采用Φ≥19x2mm圆管在专用弯管机上弯曲成形后与Φ≥12x1mm圆管拼焊而成，推车整体可折叠，存放时可减少空间。</w:t>
            </w:r>
          </w:p>
          <w:p w14:paraId="6C37F91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3.推车支脚底部装有滚轮，移动方便。</w:t>
            </w:r>
          </w:p>
          <w:p w14:paraId="4F11AD0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4.可放置篮球 20 只，整体可折叠，底部设有走轮。</w:t>
            </w:r>
          </w:p>
        </w:tc>
      </w:tr>
      <w:tr w14:paraId="292ECAB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2047E1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47BC4C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场地拖把</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E794DF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28E83A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把</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CED875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1.拖把头部基本尺寸：长×宽=750×110(mm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，拖把柄长1500mm。</w:t>
            </w:r>
          </w:p>
          <w:p w14:paraId="047DA63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2.拖把手柄采用≥φ</w:t>
            </w:r>
            <w:r>
              <w:rPr>
                <w:rFonts w:ascii="仿宋" w:hAnsi="仿宋" w:eastAsia="仿宋" w:cs="仿宋"/>
                <w:color w:val="auto"/>
                <w:szCs w:val="21"/>
                <w:highlight w:val="none"/>
                <w:lang w:bidi="ar"/>
              </w:rPr>
              <w:t>25×2.5铝管</w:t>
            </w:r>
            <w:r>
              <w:rPr>
                <w:rFonts w:hint="eastAsia" w:ascii="仿宋" w:hAnsi="仿宋" w:eastAsia="仿宋" w:cs="仿宋"/>
                <w:color w:val="auto"/>
                <w:szCs w:val="21"/>
                <w:highlight w:val="none"/>
                <w:lang w:bidi="ar"/>
              </w:rPr>
              <w:t>，拖把头部采用φ≥6mm圆钢拼焊成形，拖把头为棉质。</w:t>
            </w:r>
          </w:p>
          <w:p w14:paraId="31E0054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3.拖把手柄与头部连接处为活络件，可方便控制操纵方向。</w:t>
            </w:r>
          </w:p>
        </w:tc>
      </w:tr>
      <w:tr w14:paraId="47B480A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3BE856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D9DBFC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训练篮球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E8DF0E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85617F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8B475D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1.适用场景</w:t>
            </w:r>
          </w:p>
          <w:p w14:paraId="4AC715D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①室内/室外通用：适合水泥地、塑胶场地及室内场馆。</w:t>
            </w:r>
          </w:p>
          <w:p w14:paraId="6656C4F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②日常训练：学生基础练习。</w:t>
            </w:r>
          </w:p>
          <w:p w14:paraId="39F613D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2.核心材质</w:t>
            </w:r>
          </w:p>
          <w:p w14:paraId="422985D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①表皮：</w:t>
            </w:r>
            <w:r>
              <w:rPr>
                <w:rFonts w:ascii="仿宋" w:hAnsi="仿宋" w:eastAsia="仿宋" w:cs="仿宋"/>
                <w:color w:val="auto"/>
                <w:szCs w:val="21"/>
                <w:highlight w:val="none"/>
                <w:lang w:bidi="ar"/>
              </w:rPr>
              <w:t>PU或合成皮革</w:t>
            </w:r>
            <w:r>
              <w:rPr>
                <w:rFonts w:hint="eastAsia" w:ascii="仿宋" w:hAnsi="仿宋" w:eastAsia="仿宋" w:cs="仿宋"/>
                <w:color w:val="auto"/>
                <w:szCs w:val="21"/>
                <w:highlight w:val="none"/>
                <w:lang w:bidi="ar"/>
              </w:rPr>
              <w:t>（耐磨防滑，适应多种场地）。</w:t>
            </w:r>
          </w:p>
          <w:p w14:paraId="2C6CE7F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②内胆：天然橡胶内胆（气密性良好，弹性稳定）。</w:t>
            </w:r>
          </w:p>
          <w:p w14:paraId="514150E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3.规格参数</w:t>
            </w:r>
          </w:p>
          <w:p w14:paraId="550A5C7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①尺寸：</w:t>
            </w:r>
            <w:r>
              <w:rPr>
                <w:rFonts w:ascii="仿宋" w:hAnsi="仿宋" w:eastAsia="仿宋" w:cs="仿宋"/>
                <w:color w:val="auto"/>
                <w:szCs w:val="21"/>
                <w:highlight w:val="none"/>
                <w:lang w:bidi="ar"/>
              </w:rPr>
              <w:t>7号（</w:t>
            </w:r>
            <w:r>
              <w:rPr>
                <w:rFonts w:hint="eastAsia" w:ascii="仿宋" w:hAnsi="仿宋" w:eastAsia="仿宋" w:cs="仿宋"/>
                <w:color w:val="auto"/>
                <w:szCs w:val="21"/>
                <w:highlight w:val="none"/>
                <w:lang w:bidi="ar"/>
              </w:rPr>
              <w:t>男子用球）。</w:t>
            </w:r>
          </w:p>
          <w:p w14:paraId="68A677F3">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②重量：约600-620g。</w:t>
            </w:r>
          </w:p>
        </w:tc>
      </w:tr>
      <w:tr w14:paraId="5AB0686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EC17BF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70B329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比赛篮球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5B4D0B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F78651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679DA5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1.适用场景</w:t>
            </w:r>
          </w:p>
          <w:p w14:paraId="767B80F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①国际赛事：适合全运会等大型比赛。</w:t>
            </w:r>
          </w:p>
          <w:p w14:paraId="2DE3415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②专业训练：职业球队及高水平赛事训练。</w:t>
            </w:r>
          </w:p>
          <w:p w14:paraId="6C67E48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③室内场馆：配合木地板或塑胶场地使用，避免室外磨损。</w:t>
            </w:r>
          </w:p>
          <w:p w14:paraId="7AE1FF2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2.核心材质</w:t>
            </w:r>
          </w:p>
          <w:p w14:paraId="5B87B90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①表皮：超纤（表面扁平粒状设计，增强持球稳定性）。</w:t>
            </w:r>
          </w:p>
          <w:p w14:paraId="73F9B25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②内胆：丁基橡胶内胆（气密性强，弹性持久）。</w:t>
            </w:r>
          </w:p>
          <w:p w14:paraId="12DEC03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3.结构：内置发泡层，提升球体回弹性与触感。</w:t>
            </w:r>
          </w:p>
          <w:p w14:paraId="2EC298D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4.规格参数</w:t>
            </w:r>
          </w:p>
          <w:p w14:paraId="233C020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①尺寸：</w:t>
            </w:r>
            <w:r>
              <w:rPr>
                <w:rFonts w:ascii="仿宋" w:hAnsi="仿宋" w:eastAsia="仿宋" w:cs="仿宋"/>
                <w:color w:val="auto"/>
                <w:szCs w:val="21"/>
                <w:highlight w:val="none"/>
                <w:lang w:bidi="ar"/>
              </w:rPr>
              <w:t>7号（</w:t>
            </w:r>
            <w:r>
              <w:rPr>
                <w:rFonts w:hint="eastAsia" w:ascii="仿宋" w:hAnsi="仿宋" w:eastAsia="仿宋" w:cs="仿宋"/>
                <w:color w:val="auto"/>
                <w:szCs w:val="21"/>
                <w:highlight w:val="none"/>
                <w:lang w:bidi="ar"/>
              </w:rPr>
              <w:t>男子比赛用球）。</w:t>
            </w:r>
          </w:p>
          <w:p w14:paraId="74EB8A8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②重量：约600-650g。</w:t>
            </w:r>
          </w:p>
          <w:p w14:paraId="28A867D3">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③周长：749-780mm。</w:t>
            </w:r>
          </w:p>
        </w:tc>
      </w:tr>
      <w:tr w14:paraId="5294C38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889AD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B858BB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篮球假人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6A45E3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B57142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85E657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1.主体采用高密度环保PE塑料，一体吹塑成型，坚固耐冲击，不变形不开裂；整体高度≥1.9米，模拟真人防守站位。</w:t>
            </w:r>
          </w:p>
          <w:p w14:paraId="66B5FC6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2.底座可注水或注沙，注水后重量≥80kg，注沙后重量≥100kg，底座底部设防滑垫，抓地牢固，训练中不易移位。</w:t>
            </w:r>
          </w:p>
          <w:p w14:paraId="1CA2019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3.假人双臂可拆卸，双臂展开宽度可调（调节范围≥60cm），模拟不同防守干扰面积。</w:t>
            </w:r>
          </w:p>
        </w:tc>
      </w:tr>
      <w:tr w14:paraId="2F3233C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29E4C7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A31170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篮球网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6F9A9A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30DFCA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F198C6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1.篮球网规格：长度不短于400mm，也不长于450mm。</w:t>
            </w:r>
          </w:p>
          <w:p w14:paraId="49AFFC8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2.篮球网为白色，设有12个环孔，便于悬挂在篮圈上。</w:t>
            </w:r>
          </w:p>
          <w:p w14:paraId="2AD1597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3.篮球网软硬适中，能使篮球穿过篮圈时稍受阻力。</w:t>
            </w:r>
          </w:p>
        </w:tc>
      </w:tr>
      <w:tr w14:paraId="1C2FBE4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B98E6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2B0EFC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排球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C3900A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63E84F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567033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1.适用场景</w:t>
            </w:r>
          </w:p>
          <w:p w14:paraId="01E19A0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①中考训练：符合国内中学生体育考试标准，适合基础技能练习。</w:t>
            </w:r>
          </w:p>
          <w:p w14:paraId="03D2C7A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②室内/室外通用：PU材质适应塑胶地、水泥地等多种场地。</w:t>
            </w:r>
          </w:p>
          <w:p w14:paraId="4BF431B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③比赛训练：支持业余比赛及日常训练，兼顾专业性与性价比。</w:t>
            </w:r>
          </w:p>
          <w:p w14:paraId="2FE33FD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2.核心材质</w:t>
            </w:r>
          </w:p>
          <w:p w14:paraId="07B871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①表皮：PU贴皮。</w:t>
            </w:r>
          </w:p>
          <w:p w14:paraId="5DD7812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②内胆：丁基橡胶内胆。</w:t>
            </w:r>
          </w:p>
          <w:p w14:paraId="05B5F7C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3.规格参数</w:t>
            </w:r>
          </w:p>
          <w:p w14:paraId="4B6A748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①尺寸：5号（标准成人/中学生用球）。</w:t>
            </w:r>
          </w:p>
          <w:p w14:paraId="11385EE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②重量：260-280g。</w:t>
            </w:r>
          </w:p>
        </w:tc>
      </w:tr>
      <w:tr w14:paraId="3A1862C3">
        <w:tblPrEx>
          <w:tblCellMar>
            <w:top w:w="0" w:type="dxa"/>
            <w:left w:w="108" w:type="dxa"/>
            <w:bottom w:w="0" w:type="dxa"/>
            <w:right w:w="108" w:type="dxa"/>
          </w:tblCellMar>
        </w:tblPrEx>
        <w:trPr>
          <w:trHeight w:val="4512"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764398">
            <w:pPr>
              <w:widowControl/>
              <w:jc w:val="center"/>
              <w:rPr>
                <w:rFonts w:ascii="仿宋" w:hAnsi="仿宋" w:eastAsia="仿宋" w:cs="仿宋"/>
                <w:color w:val="auto"/>
                <w:szCs w:val="21"/>
                <w:highlight w:val="none"/>
              </w:rPr>
            </w:pPr>
            <w:r>
              <w:rPr>
                <w:rFonts w:ascii="仿宋" w:hAnsi="仿宋" w:eastAsia="仿宋" w:cs="仿宋"/>
                <w:color w:val="auto"/>
                <w:szCs w:val="21"/>
                <w:highlight w:val="none"/>
                <w:lang w:bidi="ar"/>
              </w:rPr>
              <w:t xml:space="preserve">16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F3D03A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训练乒乓球台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391075E">
            <w:pPr>
              <w:widowControl/>
              <w:jc w:val="center"/>
              <w:rPr>
                <w:rFonts w:ascii="仿宋" w:hAnsi="仿宋" w:eastAsia="仿宋" w:cs="仿宋"/>
                <w:color w:val="auto"/>
                <w:szCs w:val="21"/>
                <w:highlight w:val="none"/>
              </w:rPr>
            </w:pPr>
            <w:r>
              <w:rPr>
                <w:rFonts w:ascii="仿宋" w:hAnsi="仿宋" w:eastAsia="仿宋" w:cs="仿宋"/>
                <w:color w:val="auto"/>
                <w:szCs w:val="21"/>
                <w:highlight w:val="none"/>
                <w:lang w:bidi="ar"/>
              </w:rPr>
              <w:t xml:space="preserve">18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43D281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827538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1.球台尺寸：1525*2740*760mm。</w:t>
            </w:r>
          </w:p>
          <w:p w14:paraId="43E007B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2.台面颜色：蓝面白线。</w:t>
            </w:r>
          </w:p>
          <w:p w14:paraId="715857A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3.面板厚度：25±1mm。</w:t>
            </w:r>
          </w:p>
          <w:p w14:paraId="65F23CB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4.球台支架：≥60mm圆管及≥50mm方管。</w:t>
            </w:r>
          </w:p>
          <w:p w14:paraId="4667774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5.重量：≥150KG。</w:t>
            </w:r>
          </w:p>
          <w:p w14:paraId="569A61C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6.脚轮：≥125mm直径tpr医用静音万向轮。</w:t>
            </w:r>
          </w:p>
          <w:p w14:paraId="666C07D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7.边框高度：60±1mm。</w:t>
            </w:r>
          </w:p>
          <w:p w14:paraId="2519C41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8.整体金属件采用≥1.3mm壁厚钢管，由静电粉末喷塑完成，表面光滑饱满，防锈防腐蚀耐刮痕。</w:t>
            </w:r>
          </w:p>
          <w:p w14:paraId="68413DDF">
            <w:pPr>
              <w:widowControl/>
              <w:jc w:val="left"/>
              <w:rPr>
                <w:rFonts w:ascii="仿宋" w:hAnsi="仿宋" w:eastAsia="仿宋" w:cs="仿宋"/>
                <w:color w:val="auto"/>
                <w:szCs w:val="21"/>
                <w:highlight w:val="none"/>
              </w:rPr>
            </w:pPr>
            <w:r>
              <w:rPr>
                <w:rFonts w:hint="eastAsia" w:ascii="仿宋" w:hAnsi="仿宋" w:eastAsia="仿宋" w:cs="仿宋"/>
                <w:b w:val="0"/>
                <w:bCs w:val="0"/>
                <w:strike w:val="0"/>
                <w:color w:val="auto"/>
                <w:szCs w:val="21"/>
                <w:highlight w:val="none"/>
                <w:lang w:val="en-US" w:eastAsia="zh-CN"/>
              </w:rPr>
              <w:t>9</w:t>
            </w:r>
            <w:r>
              <w:rPr>
                <w:rFonts w:hint="eastAsia" w:ascii="仿宋" w:hAnsi="仿宋" w:eastAsia="仿宋" w:cs="仿宋"/>
                <w:color w:val="auto"/>
                <w:szCs w:val="21"/>
                <w:highlight w:val="none"/>
              </w:rPr>
              <w:t>.球台属于单折式结构，由2个半付拼装组成，含高档赛事网架一副。</w:t>
            </w:r>
          </w:p>
          <w:p w14:paraId="31F388A1">
            <w:pPr>
              <w:widowControl/>
              <w:jc w:val="left"/>
              <w:rPr>
                <w:rFonts w:hint="eastAsia" w:ascii="仿宋" w:hAnsi="仿宋" w:eastAsia="仿宋" w:cs="仿宋"/>
                <w:b/>
                <w:bCs/>
                <w:color w:val="auto"/>
                <w:szCs w:val="21"/>
                <w:highlight w:val="none"/>
                <w:lang w:eastAsia="zh-CN" w:bidi="ar"/>
              </w:rPr>
            </w:pPr>
            <w:r>
              <w:rPr>
                <w:rFonts w:hint="eastAsia" w:ascii="仿宋" w:hAnsi="仿宋" w:eastAsia="仿宋" w:cs="仿宋"/>
                <w:b/>
                <w:bCs/>
                <w:color w:val="auto"/>
                <w:szCs w:val="21"/>
                <w:highlight w:val="none"/>
              </w:rPr>
              <w:t>▲提供国家认可机构出具的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，依据GB/T32597</w:t>
            </w:r>
            <w:r>
              <w:rPr>
                <w:rFonts w:hint="eastAsia" w:ascii="仿宋" w:hAnsi="仿宋" w:eastAsia="仿宋" w:cs="仿宋"/>
                <w:b/>
                <w:bCs/>
                <w:color w:val="auto"/>
                <w:szCs w:val="21"/>
                <w:highlight w:val="none"/>
                <w:lang w:val="en-US" w:eastAsia="zh-CN"/>
              </w:rPr>
              <w:t>-</w:t>
            </w:r>
            <w:r>
              <w:rPr>
                <w:rFonts w:hint="eastAsia" w:ascii="仿宋" w:hAnsi="仿宋" w:eastAsia="仿宋" w:cs="仿宋"/>
                <w:b/>
                <w:bCs/>
                <w:color w:val="auto"/>
                <w:szCs w:val="21"/>
                <w:highlight w:val="none"/>
              </w:rPr>
              <w:t>2016《乒乓球台的安全、性能要求和试验方法》或QB/T2700</w:t>
            </w:r>
            <w:r>
              <w:rPr>
                <w:rFonts w:hint="eastAsia" w:ascii="仿宋" w:hAnsi="仿宋" w:eastAsia="仿宋" w:cs="仿宋"/>
                <w:b/>
                <w:bCs/>
                <w:color w:val="auto"/>
                <w:szCs w:val="21"/>
                <w:highlight w:val="none"/>
                <w:lang w:val="en-US" w:eastAsia="zh-CN"/>
              </w:rPr>
              <w:t>-</w:t>
            </w:r>
            <w:r>
              <w:rPr>
                <w:rFonts w:hint="eastAsia" w:ascii="仿宋" w:hAnsi="仿宋" w:eastAsia="仿宋" w:cs="仿宋"/>
                <w:b/>
                <w:bCs/>
                <w:color w:val="auto"/>
                <w:szCs w:val="21"/>
                <w:highlight w:val="none"/>
              </w:rPr>
              <w:t>2005《乒乓球台》</w:t>
            </w:r>
            <w:r>
              <w:rPr>
                <w:rFonts w:hint="eastAsia" w:ascii="仿宋" w:hAnsi="仿宋" w:eastAsia="仿宋" w:cs="仿宋"/>
                <w:b/>
                <w:bCs/>
                <w:color w:val="auto"/>
                <w:szCs w:val="21"/>
                <w:highlight w:val="none"/>
                <w:lang w:val="en-US" w:eastAsia="zh-CN"/>
              </w:rPr>
              <w:t>或</w:t>
            </w:r>
            <w:r>
              <w:rPr>
                <w:rFonts w:hint="eastAsia" w:ascii="仿宋" w:hAnsi="仿宋" w:eastAsia="仿宋" w:cs="仿宋"/>
                <w:b/>
                <w:bCs/>
                <w:color w:val="auto"/>
                <w:szCs w:val="21"/>
                <w:highlight w:val="none"/>
              </w:rPr>
              <w:t>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）全项检测。</w:t>
            </w:r>
          </w:p>
        </w:tc>
      </w:tr>
      <w:tr w14:paraId="07B7651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EB71EA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C911D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6号篮球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A42F79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20BCC44">
            <w:pPr>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1A5BC6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6号标准用球</w:t>
            </w:r>
          </w:p>
          <w:p w14:paraId="3EFB8F1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 xml:space="preserve">圆周：720mm </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 xml:space="preserve"> 735mm（28.5英寸），球体直径约231</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 xml:space="preserve">235mm，重量510g </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 xml:space="preserve"> 567g，气压：7.0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8.0PSI（0.48</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0.55Bar），表面颗粒磨砂纹理，摩擦系数≥0.65，手心出汗不打滑，皮料厚度：1.2</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1.5mm，涤纶高密度无纺布基底。</w:t>
            </w:r>
          </w:p>
        </w:tc>
      </w:tr>
      <w:tr w14:paraId="093CA7F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BE7193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D99D39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比赛乒乓球台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C53B55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49B87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36713C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1.产品类型：可折叠移动式乒乓球台，适用于室内训练、比赛。</w:t>
            </w:r>
          </w:p>
          <w:p w14:paraId="1B6FB8F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2.核心尺寸</w:t>
            </w:r>
          </w:p>
          <w:p w14:paraId="29F91EF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①台面尺寸：2740mm×1525mm（标准比赛尺寸）。</w:t>
            </w:r>
          </w:p>
          <w:p w14:paraId="1898AB9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②台高：760mm（±5mm）。</w:t>
            </w:r>
          </w:p>
          <w:p w14:paraId="67EF987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③折叠尺寸：≤1.65m×1.46m×0.24m。</w:t>
            </w:r>
          </w:p>
          <w:p w14:paraId="7F98223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3.材质与结构</w:t>
            </w:r>
          </w:p>
          <w:p w14:paraId="3E024F3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①台面材质：高密度纤维板（厚度≥25mm），表面防滑涂层。</w:t>
            </w:r>
          </w:p>
          <w:p w14:paraId="20190ED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②台架材质：Q235碳素钢框架，表面静电喷塑防锈处理。</w:t>
            </w:r>
          </w:p>
          <w:p w14:paraId="30D9ECA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③脚轮配置：带刹车功能的聚氨酯万向轮（≥4个）。</w:t>
            </w:r>
          </w:p>
          <w:p w14:paraId="30175A8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4.性能指标</w:t>
            </w:r>
          </w:p>
          <w:p w14:paraId="17E96AF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①弹性：300mm自由落体反弹高度220-250mm。</w:t>
            </w:r>
          </w:p>
          <w:p w14:paraId="045D00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②弹性均匀度：≤5mm。</w:t>
            </w:r>
          </w:p>
          <w:p w14:paraId="1FBE14F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③台面稳定性：晃动幅度≤3mm。</w:t>
            </w:r>
          </w:p>
          <w:p w14:paraId="69EABE5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④摩擦系数：≤0.4。</w:t>
            </w:r>
          </w:p>
          <w:p w14:paraId="7E374EA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5.功能设计</w:t>
            </w:r>
          </w:p>
          <w:p w14:paraId="6EB0D75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①折叠方式：双折式结构，支持单人操作展开/收纳。</w:t>
            </w:r>
          </w:p>
          <w:p w14:paraId="01CAB25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②调节功能：台面角度可调（0-15°），适应不同训练需求。</w:t>
            </w:r>
          </w:p>
          <w:p w14:paraId="0C8E312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6.附件配置：标配金属网架、乒乓球网（高度152.5mm）。</w:t>
            </w:r>
          </w:p>
          <w:p w14:paraId="23B438F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7.边缘处理：台面四边倒圆角设计，防碰撞。</w:t>
            </w:r>
          </w:p>
        </w:tc>
      </w:tr>
      <w:tr w14:paraId="1546B2F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51496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2D6A09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乒乓球网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DAA721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99A729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付</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BBD6E6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1.产品类型：便携式乒乓球网架，适用于标准乒乓球台，支持室内外比赛及训练场景。</w:t>
            </w:r>
          </w:p>
          <w:p w14:paraId="44679F2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2.核心规格</w:t>
            </w:r>
          </w:p>
          <w:p w14:paraId="6FC4574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①可夹厚度：≥4cm。</w:t>
            </w:r>
          </w:p>
          <w:p w14:paraId="2905030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②网柱高度：152.5mm（国际标准网高）。</w:t>
            </w:r>
          </w:p>
          <w:p w14:paraId="4A8D2AB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③网架长度：151-170cm（覆盖球台宽度）。</w:t>
            </w:r>
          </w:p>
          <w:p w14:paraId="7528B1F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3.材质与结构</w:t>
            </w:r>
          </w:p>
          <w:p w14:paraId="27141A4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①网柱材质：合金框架，表面防锈处理。</w:t>
            </w:r>
          </w:p>
          <w:p w14:paraId="6054366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②球网材质：高密度锦纶纤维，耐拉伸抗老化。</w:t>
            </w:r>
          </w:p>
          <w:p w14:paraId="1A162DE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③安装方式：螺旋式夹紧设计，支持快速拆装。</w:t>
            </w:r>
          </w:p>
          <w:p w14:paraId="258710D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4.功能配置</w:t>
            </w:r>
          </w:p>
          <w:p w14:paraId="3E85756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①调节功能：网高可微调（±5mm）。</w:t>
            </w:r>
          </w:p>
          <w:p w14:paraId="644A806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②便携设计：可折叠收纳，重量≤1kg（含配件）。</w:t>
            </w:r>
          </w:p>
          <w:p w14:paraId="4269982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5.附件配置：标配网高测量尺，确保安装精度。</w:t>
            </w:r>
          </w:p>
          <w:p w14:paraId="79BCD44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6.边缘处理：网柱底部防滑垫，避免划伤球台。</w:t>
            </w:r>
          </w:p>
        </w:tc>
      </w:tr>
      <w:tr w14:paraId="2DC5922D">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B68AC7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168512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乒乓球地胶</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蓝</w:t>
            </w:r>
            <w:r>
              <w:rPr>
                <w:rFonts w:hint="eastAsia" w:ascii="仿宋" w:hAnsi="仿宋" w:eastAsia="仿宋" w:cs="仿宋"/>
                <w:color w:val="auto"/>
                <w:szCs w:val="21"/>
                <w:highlight w:val="none"/>
                <w:lang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C97625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135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322447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平米</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3357D9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1.厚度≥6.0mm，纯PVC耐磨层表面纹理满足防滑功能纹理。耐磨层≥1.3m，高密度玻璃纤维层加黑网，背层低钙密闭式发泡背层，增加材料的柔韧性。</w:t>
            </w:r>
          </w:p>
          <w:p w14:paraId="2FCD4FE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2.冲击吸收</w:t>
            </w:r>
            <w:r>
              <w:rPr>
                <w:rFonts w:hint="eastAsia" w:ascii="仿宋" w:hAnsi="仿宋" w:eastAsia="仿宋" w:cs="仿宋"/>
                <w:color w:val="auto"/>
                <w:szCs w:val="21"/>
                <w:highlight w:val="none"/>
                <w:lang w:eastAsia="zh-CN" w:bidi="ar"/>
              </w:rPr>
              <w:t>：20%～50%</w:t>
            </w:r>
            <w:r>
              <w:rPr>
                <w:rFonts w:hint="eastAsia" w:ascii="仿宋" w:hAnsi="仿宋" w:eastAsia="仿宋" w:cs="仿宋"/>
                <w:color w:val="auto"/>
                <w:szCs w:val="21"/>
                <w:highlight w:val="none"/>
                <w:lang w:bidi="ar"/>
              </w:rPr>
              <w:t>；垂直变形0. 6mm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3. 0mm；球反弹率≥75%；拉伸强度≥1.3MPa；拉断伸长率≥90%；抗滑值（20℃）80BPN</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110BPN</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干测</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；阻燃性能I级；色牢度干、湿两种条件下均无脱色；短链氯化石蜡（C10-C13）；4,4＇—二氨基-3，3＇—二氯二苯甲烷（MOCA）未检出。3.（1）18种多环芳烃总量：表面层≤0.1mg/kg，5mm以内深层≤0.1mg/kg；</w:t>
            </w:r>
          </w:p>
          <w:p w14:paraId="5AC2D7C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（2）苯并[a]芘：≤0.1mg/kg；</w:t>
            </w:r>
          </w:p>
          <w:p w14:paraId="2379783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（3）短链氯化石蜡</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SCCPs</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：&lt;0.1g/kg；</w:t>
            </w:r>
          </w:p>
          <w:p w14:paraId="13B7BC1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（4）MOCA：&lt;0.001g/kg；</w:t>
            </w:r>
          </w:p>
          <w:p w14:paraId="3285F2B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（5）游离二异氰酸酯</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TDI+HDI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总和：≤0.3g/kg；</w:t>
            </w:r>
          </w:p>
          <w:p w14:paraId="761313C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（6）二苯基甲烷二异氰酸酯</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MDI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：≤0.5g/kg；</w:t>
            </w:r>
          </w:p>
          <w:p w14:paraId="5BE9E6F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（7）可溶性铅(Pb)≤3mg/kg；</w:t>
            </w:r>
          </w:p>
          <w:p w14:paraId="418A0C8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（8）可溶性镉(Cd)≤2mg/kg；</w:t>
            </w:r>
          </w:p>
          <w:p w14:paraId="1079579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（9）可溶性汞(Hg)≤2mg/kg；</w:t>
            </w:r>
          </w:p>
          <w:p w14:paraId="34EFA63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（10）可溶性铬(Cr)≤2mg/kg。</w:t>
            </w:r>
          </w:p>
        </w:tc>
      </w:tr>
      <w:tr w14:paraId="2E95303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609D3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2D1CD7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训练乒乓球拍</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88CFFE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935D7D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00CA70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1.类型：成品乒乓球拍（直拍）。</w:t>
            </w:r>
          </w:p>
          <w:p w14:paraId="0B8D6F1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2.适用人群：进阶型训练与娱乐。</w:t>
            </w:r>
          </w:p>
          <w:p w14:paraId="215C1E47">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3.套胶配置：双面反胶拍柄设计：直拍柄型二、核心结构底板材质：5层纯木厚芯。</w:t>
            </w:r>
          </w:p>
        </w:tc>
      </w:tr>
      <w:tr w14:paraId="309D682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0EA7EA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8A81E3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比赛乒乓球拍</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7922C3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A12222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EDB065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1.类型：成品乒乓球拍（直拍）。</w:t>
            </w:r>
          </w:p>
          <w:p w14:paraId="38EC44C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2.适用人群：专业级选手/高水平业余爱好者。</w:t>
            </w:r>
          </w:p>
          <w:p w14:paraId="7E468939">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3.套胶配置：双面反胶拍柄设计：直拍柄型二、核心结构底板材质：5层纯木厚芯。</w:t>
            </w:r>
          </w:p>
        </w:tc>
      </w:tr>
      <w:tr w14:paraId="1E6B9DD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53FF6F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C02B16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训练乒乓球网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6FC9CA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68F8F3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6D3ADA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1.球网装置高度：15.25cm。</w:t>
            </w:r>
          </w:p>
          <w:p w14:paraId="68C77FC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2.长度：与球台宽度一致（1.525m）。</w:t>
            </w:r>
          </w:p>
          <w:p w14:paraId="10998BC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3.网眼尺寸：均匀分布，边长≤15mm（抗变形、耐冲击）。</w:t>
            </w:r>
          </w:p>
          <w:p w14:paraId="6C411D1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4.材质：高强度尼龙绳（抗拉强度≥500N）。</w:t>
            </w:r>
          </w:p>
          <w:p w14:paraId="2D3AD1B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5.网架结构材质：全金属框架（碳素钢或铝合金，表面防锈处理）。</w:t>
            </w:r>
          </w:p>
          <w:p w14:paraId="58A3C1C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6.网柱高度：15.25cm（含调节装置）。</w:t>
            </w:r>
          </w:p>
          <w:p w14:paraId="1C6A1A9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7.网柱间距：1.525m（与球台宽度匹配）。</w:t>
            </w:r>
          </w:p>
          <w:p w14:paraId="1DBD23C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8.夹持稳定性：夹钳式设计，夹持力≥5N（确保不晃动）。</w:t>
            </w:r>
          </w:p>
          <w:p w14:paraId="04E816C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9.调节功能</w:t>
            </w:r>
          </w:p>
          <w:p w14:paraId="1AD5283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高度调节：支持±2mm微调。</w:t>
            </w:r>
          </w:p>
          <w:p w14:paraId="027BC52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张力调节：悬网绳张力装置，确保网面紧绷无下垂。</w:t>
            </w:r>
          </w:p>
        </w:tc>
      </w:tr>
      <w:tr w14:paraId="2F96484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C7F2BC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B41135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乒乓球计分牌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4F17DD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70BCF3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162827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1.翻分牌为台式，主要由翻分牌框架和翻分牌组成。</w:t>
            </w:r>
          </w:p>
          <w:p w14:paraId="7C9D5B0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2.翻分牌框架采用塑料件制成。</w:t>
            </w:r>
          </w:p>
          <w:p w14:paraId="4EB4094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3.翻分牌记分牌采用深蓝色PVC板制作，共2组，每组共52张，号码0-50，为白色。</w:t>
            </w:r>
          </w:p>
          <w:p w14:paraId="43D75CA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4.翻分牌局分牌为深蓝色PVC板，共2组，每组9张，号码0-7号，为白色。</w:t>
            </w:r>
          </w:p>
        </w:tc>
      </w:tr>
      <w:tr w14:paraId="4A6B3CD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6F5D4D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316B40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中级训练乒乓球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A03A63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C7305D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盒</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2FC3CE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1.材质与工艺材料：ABS工程塑料。</w:t>
            </w:r>
          </w:p>
          <w:p w14:paraId="3A1D96D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2.结构：有缝设计。</w:t>
            </w:r>
          </w:p>
          <w:p w14:paraId="3DBA26C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3.表面处理：哑光或高光工艺，增强击球摩擦力。</w:t>
            </w:r>
          </w:p>
          <w:p w14:paraId="644E14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4.性能指标弹性：从305mm高度自由落体，回弹高度≥235mm（20℃环境）。</w:t>
            </w:r>
          </w:p>
          <w:p w14:paraId="5E0494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5.圆度误差：≤0.10mm（球体对称性高）。</w:t>
            </w:r>
          </w:p>
          <w:p w14:paraId="521123C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6.耐打性：连续击打≥1000次无破裂或变形。</w:t>
            </w:r>
          </w:p>
          <w:p w14:paraId="33AF3A3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7.旋转与飞行稳定性空气动力学设计：减少风阻，飞行轨迹稳定。</w:t>
            </w:r>
          </w:p>
          <w:p w14:paraId="2D2C4EB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8.重心分布：均匀对称，确保旋转一致性。</w:t>
            </w:r>
          </w:p>
          <w:p w14:paraId="76DCFE75">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9.包装规格：10个装。</w:t>
            </w:r>
          </w:p>
        </w:tc>
      </w:tr>
      <w:tr w14:paraId="71D6941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E92D8B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39B14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比赛乒乓球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3100A6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3B74AE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盒</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FD3C4D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1.球体规格：直径：40.00-40.60mm，6个装。</w:t>
            </w:r>
          </w:p>
          <w:p w14:paraId="7D2F368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2.重量：2.70-2.80g（±0.05g公差）。</w:t>
            </w:r>
          </w:p>
          <w:p w14:paraId="69C98F4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3.颜色：白色/橙色。</w:t>
            </w:r>
          </w:p>
          <w:p w14:paraId="3E4AE78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4.材质与工艺材料：ABS工程塑料。</w:t>
            </w:r>
          </w:p>
          <w:p w14:paraId="76D9104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5.结构：有缝设计。</w:t>
            </w:r>
          </w:p>
          <w:p w14:paraId="731B112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6.表面处理：哑光工艺，增强击球摩擦力及球体飞行稳定性。</w:t>
            </w:r>
          </w:p>
          <w:p w14:paraId="0F25ACD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7.性能指标弹性：从305mm高度自由落体，回弹高度≥235mm（20℃环境）。</w:t>
            </w:r>
          </w:p>
          <w:p w14:paraId="6D96543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8.圆度误差：≤0.10mm（球体对称性高，旋转一致性强）。</w:t>
            </w:r>
          </w:p>
          <w:p w14:paraId="14ED6B2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9.耐打性：连续击打≥1500次无破裂或变形。</w:t>
            </w:r>
          </w:p>
          <w:p w14:paraId="6DD053E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10.空气动力学设计接缝工艺：高精度焊接或无缝成型技术，减少空气阻力。</w:t>
            </w:r>
          </w:p>
          <w:p w14:paraId="079FC23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11.重心分布：均匀对称，确保飞行轨迹稳定。</w:t>
            </w:r>
          </w:p>
          <w:p w14:paraId="1C43B726">
            <w:pPr>
              <w:widowControl/>
              <w:jc w:val="left"/>
              <w:rPr>
                <w:rFonts w:ascii="仿宋" w:hAnsi="仿宋" w:eastAsia="仿宋" w:cs="仿宋"/>
                <w:b/>
                <w:color w:val="auto"/>
                <w:szCs w:val="21"/>
                <w:highlight w:val="none"/>
              </w:rPr>
            </w:pPr>
          </w:p>
        </w:tc>
      </w:tr>
      <w:tr w14:paraId="1BC29EC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2C1E27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034514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初级训练乒乓球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A938D6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A9FCC3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盒</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5A36C7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1.材质与工艺材料：ABS工程塑料。</w:t>
            </w:r>
          </w:p>
          <w:p w14:paraId="35B384D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2.结构：有缝设计。</w:t>
            </w:r>
          </w:p>
          <w:p w14:paraId="5873113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3.表面处理：哑光工艺，增强击球摩擦力。</w:t>
            </w:r>
          </w:p>
          <w:p w14:paraId="456EC80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4.性能指标弹性：从305mm高度自由落体，回弹高度≥220mm（20℃环境）。</w:t>
            </w:r>
          </w:p>
          <w:p w14:paraId="2202E3F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5.圆度误差：≤0.15mm（满足基础训练需求）。</w:t>
            </w:r>
          </w:p>
          <w:p w14:paraId="4117CC8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6.耐打性：连续击打≥800次无破裂或变形。</w:t>
            </w:r>
          </w:p>
          <w:p w14:paraId="614CD34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7.稳定性重心分布：均匀对称，适合初学者掌握基础技术。</w:t>
            </w:r>
          </w:p>
          <w:p w14:paraId="41BE5513">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8.包装规格：100个装</w:t>
            </w:r>
          </w:p>
        </w:tc>
      </w:tr>
      <w:tr w14:paraId="093D546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957880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967E00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乒乓球场地挡板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50B1A5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3FD168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884F08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1.主要由框架、围布和支撑机构组成，单块尺寸：长×高≥1.40×0.75（米），比赛时围成的场地：长×高≥14×7（米）</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[由30块组成]。</w:t>
            </w:r>
          </w:p>
          <w:p w14:paraId="7C28CCC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底部横杆采用□≥25×25×1.5mm方管制作上部支架采用Φ≥22×2mm圆管成一次弯管成形，蓝色牛津布，底部不封口，由上而下套在框架上，拉紧后平整美观支撑机构可90度方向拨转支撑机构底部设有防震垫，保护地面使用时，支撑机构与挡板垂直，存放挡板时，支撑机构与挡板底边重合。</w:t>
            </w:r>
          </w:p>
        </w:tc>
      </w:tr>
      <w:tr w14:paraId="3DC12BA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716E90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CF567D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乒乓球记分桌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332B9D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750853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65883B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1.外形尺寸：长×宽×高≥780×420×735（㎜）。</w:t>
            </w:r>
          </w:p>
          <w:p w14:paraId="79D6D06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2.记分桌主要</w:t>
            </w:r>
            <w:r>
              <w:rPr>
                <w:rFonts w:hint="eastAsia" w:ascii="仿宋" w:hAnsi="仿宋" w:eastAsia="仿宋" w:cs="仿宋"/>
                <w:color w:val="auto"/>
                <w:szCs w:val="21"/>
                <w:highlight w:val="none"/>
                <w:lang w:eastAsia="zh-CN" w:bidi="ar"/>
              </w:rPr>
              <w:t>由</w:t>
            </w:r>
            <w:r>
              <w:rPr>
                <w:rFonts w:hint="eastAsia" w:ascii="仿宋" w:hAnsi="仿宋" w:eastAsia="仿宋" w:cs="仿宋"/>
                <w:color w:val="auto"/>
                <w:szCs w:val="21"/>
                <w:highlight w:val="none"/>
                <w:lang w:bidi="ar"/>
              </w:rPr>
              <w:t>上台板、侧板、前板等组成。</w:t>
            </w:r>
          </w:p>
          <w:p w14:paraId="72194FE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3.记分桌全部采用δ≥15mm层压板制作，整体可折叠，表面喷蓝漆，美观大方。</w:t>
            </w:r>
          </w:p>
        </w:tc>
      </w:tr>
      <w:tr w14:paraId="7933E06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4182A6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BAFF6C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乒乓球裁判椅</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104270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3F99B6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2B5B50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1.基本尺寸：长×宽×高×椅面高≥900×700×1350×850（mm）。</w:t>
            </w:r>
          </w:p>
          <w:p w14:paraId="0D1E5D9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2.乒乓球裁判椅主要由椅架、脚踏座和软包座椅三大部分组成。</w:t>
            </w:r>
          </w:p>
          <w:p w14:paraId="18B7E3A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3.裁判椅椅架、脚踏座均采用φ</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32x2（㎜），φ</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19x2（㎜）圆管制作，扶手方管上设有搁手板，搁手板为木制板，采用螺钉连接，整体美观大气。</w:t>
            </w:r>
          </w:p>
          <w:p w14:paraId="333D492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4.裁判椅座椅采用软包座椅，通过螺钉等紧固件与座椅连接板连接，软包座椅比普通的中空吹塑椅更加舒适，柔软。</w:t>
            </w:r>
          </w:p>
          <w:p w14:paraId="31109E5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5.裁判椅整体可折叠，踏板可上翻，便于运输存放</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减少空间。</w:t>
            </w:r>
          </w:p>
        </w:tc>
      </w:tr>
      <w:tr w14:paraId="3A4B8B3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3DCBF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E71FAF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红黄白牌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7557F6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48553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6E10F5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 xml:space="preserve">1.数量：三块； </w:t>
            </w:r>
            <w:r>
              <w:rPr>
                <w:rFonts w:ascii="仿宋" w:hAnsi="仿宋" w:eastAsia="仿宋" w:cs="仿宋"/>
                <w:color w:val="auto"/>
                <w:szCs w:val="21"/>
                <w:highlight w:val="none"/>
                <w:lang w:bidi="ar"/>
              </w:rPr>
              <w:t>105×75mm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±5%</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p w14:paraId="0863C86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2.颜色：红、黄、白各一块。</w:t>
            </w:r>
          </w:p>
          <w:p w14:paraId="2F44918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3.材质：0.8mm信用卡基材。</w:t>
            </w:r>
          </w:p>
          <w:p w14:paraId="26E5FA62">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4.配件：插片夹一个。</w:t>
            </w:r>
          </w:p>
        </w:tc>
      </w:tr>
      <w:tr w14:paraId="6990DD2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686C5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D38E9E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暂停标志</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D79F84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6E99DF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D23D9A4">
            <w:pPr>
              <w:widowControl/>
              <w:numPr>
                <w:ilvl w:val="0"/>
                <w:numId w:val="0"/>
              </w:numPr>
              <w:jc w:val="left"/>
              <w:rPr>
                <w:rFonts w:hint="eastAsia" w:ascii="仿宋" w:hAnsi="仿宋" w:eastAsia="仿宋" w:cs="仿宋"/>
                <w:b w:val="0"/>
                <w:bCs w:val="0"/>
                <w:color w:val="auto"/>
                <w:szCs w:val="21"/>
                <w:highlight w:val="none"/>
                <w:lang w:bidi="ar"/>
              </w:rPr>
            </w:pPr>
            <w:r>
              <w:rPr>
                <w:rFonts w:hint="eastAsia" w:ascii="仿宋" w:hAnsi="仿宋" w:eastAsia="仿宋" w:cs="仿宋"/>
                <w:b w:val="0"/>
                <w:bCs w:val="0"/>
                <w:color w:val="auto"/>
                <w:sz w:val="21"/>
                <w:szCs w:val="21"/>
                <w:highlight w:val="none"/>
                <w:lang w:val="en-US" w:eastAsia="zh-CN" w:bidi="ar"/>
              </w:rPr>
              <w:t>1.</w:t>
            </w:r>
            <w:r>
              <w:rPr>
                <w:rFonts w:hint="eastAsia" w:ascii="仿宋" w:hAnsi="仿宋" w:eastAsia="仿宋" w:cs="仿宋"/>
                <w:color w:val="auto"/>
                <w:szCs w:val="21"/>
                <w:highlight w:val="none"/>
                <w:lang w:bidi="ar"/>
              </w:rPr>
              <w:t>每套两小一大，双面显示。</w:t>
            </w:r>
          </w:p>
          <w:p w14:paraId="11F57BF1">
            <w:pPr>
              <w:widowControl/>
              <w:numPr>
                <w:ilvl w:val="0"/>
                <w:numId w:val="0"/>
              </w:numPr>
              <w:jc w:val="left"/>
              <w:rPr>
                <w:rFonts w:ascii="仿宋" w:hAnsi="仿宋" w:eastAsia="仿宋" w:cs="仿宋"/>
                <w:b/>
                <w:bCs/>
                <w:color w:val="auto"/>
                <w:szCs w:val="21"/>
                <w:highlight w:val="none"/>
              </w:rPr>
            </w:pPr>
            <w:r>
              <w:rPr>
                <w:rFonts w:hint="eastAsia" w:ascii="仿宋" w:hAnsi="仿宋" w:eastAsia="仿宋" w:cs="仿宋"/>
                <w:b w:val="0"/>
                <w:bCs w:val="0"/>
                <w:color w:val="auto"/>
                <w:sz w:val="21"/>
                <w:szCs w:val="21"/>
                <w:highlight w:val="none"/>
                <w:lang w:val="en-US" w:eastAsia="zh-CN" w:bidi="ar"/>
              </w:rPr>
              <w:t>2.</w:t>
            </w:r>
            <w:r>
              <w:rPr>
                <w:rFonts w:hint="eastAsia" w:ascii="仿宋" w:hAnsi="仿宋" w:eastAsia="仿宋" w:cs="仿宋"/>
                <w:b w:val="0"/>
                <w:bCs w:val="0"/>
                <w:color w:val="auto"/>
                <w:szCs w:val="21"/>
                <w:highlight w:val="none"/>
                <w:lang w:bidi="ar"/>
              </w:rPr>
              <w:t>主体采用加厚板材，表面防水覆膜，三角自立折叠式；大号宽≥135mm、高≥150mm；小号宽≥95mm、高≥105mm；白底黑色T形图案，标识清晰、不易掉色。</w:t>
            </w:r>
          </w:p>
        </w:tc>
      </w:tr>
      <w:tr w14:paraId="57668C3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6416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79C913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训练羽毛球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10C78D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3746A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筒</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0A2B7F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1.材质与工艺</w:t>
            </w:r>
          </w:p>
          <w:p w14:paraId="554989D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①球头：高密度软木或环保泡沫，击球稳定性强。</w:t>
            </w:r>
          </w:p>
          <w:p w14:paraId="3B9161E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②羽毛：精选禽羽毛，经防水处理。</w:t>
            </w:r>
          </w:p>
          <w:p w14:paraId="41C56F5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③胶水：环保树脂胶，确保羽毛与球头粘合牢固。</w:t>
            </w:r>
          </w:p>
          <w:p w14:paraId="79D8FC6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2.性能指标</w:t>
            </w:r>
          </w:p>
          <w:p w14:paraId="53235FA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①飞行稳定性：在风速≤3m/s的室外环境下，落点偏差≤30cm。</w:t>
            </w:r>
          </w:p>
          <w:p w14:paraId="281B793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②耐打性：正常击打≥50次无羽毛断裂或球头脱落。</w:t>
            </w:r>
          </w:p>
          <w:p w14:paraId="480C515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③球速：76-77速（标准气压环境）。</w:t>
            </w:r>
          </w:p>
          <w:p w14:paraId="51CE18A6">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3.包装：标准纸质圆筒装（50筒/箱），每筒12只</w:t>
            </w:r>
          </w:p>
        </w:tc>
      </w:tr>
      <w:tr w14:paraId="6488C0F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905355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6D69A9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比赛羽毛球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C31A14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F8619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筒</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061A23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1.规格：球头类型：合成软木球头（高密度复合材质）。2.羽毛类型：精选鸭毛（毛杆粗壮，排列整齐）。</w:t>
            </w:r>
          </w:p>
          <w:p w14:paraId="740A19F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3.重量/球速：4.74-5.50g，球速76-77速（标准气压环境）。</w:t>
            </w:r>
          </w:p>
          <w:p w14:paraId="6F43A380">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4.包装：标准纸质圆筒装（50筒/箱），每筒12只。</w:t>
            </w:r>
          </w:p>
        </w:tc>
      </w:tr>
      <w:tr w14:paraId="069D9B2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8C473F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FCD832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羽毛球地胶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B9B72B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216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E60D83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平米</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726E48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1.厚度≥6.0mm，纯PVC耐磨层表面纹理满足防滑功能纹理。耐磨层≥1.3m，高密度玻璃纤维层加黑网，背层低钙密闭式发泡背层，增加材料的柔韧性。</w:t>
            </w:r>
          </w:p>
          <w:p w14:paraId="05CD171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2.冲击吸收</w:t>
            </w:r>
            <w:r>
              <w:rPr>
                <w:rFonts w:hint="eastAsia" w:ascii="仿宋" w:hAnsi="仿宋" w:eastAsia="仿宋" w:cs="仿宋"/>
                <w:color w:val="auto"/>
                <w:szCs w:val="21"/>
                <w:highlight w:val="none"/>
                <w:lang w:eastAsia="zh-CN" w:bidi="ar"/>
              </w:rPr>
              <w:t>：20%～50%</w:t>
            </w:r>
            <w:r>
              <w:rPr>
                <w:rFonts w:hint="eastAsia" w:ascii="仿宋" w:hAnsi="仿宋" w:eastAsia="仿宋" w:cs="仿宋"/>
                <w:color w:val="auto"/>
                <w:szCs w:val="21"/>
                <w:highlight w:val="none"/>
                <w:lang w:bidi="ar"/>
              </w:rPr>
              <w:t>；垂直变形0. 6mm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3. 0mm；球反弹率≥75%；拉伸强度≥1.3MPa；拉断伸长率≥90%；抗滑值（20℃）80BPN</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110BPN</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干测</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；阻燃性能I级；色牢度干、湿两种条件下均无脱色；短链氯化石蜡（C10-C13）；4,4＇—二氨基-3，3＇—二氯二苯甲烷（MOCA）未检出。3.（1）18种多环芳烃总量：表面层≤0.1mg/kg，5mm以内深层≤0.1mg/kg；</w:t>
            </w:r>
          </w:p>
          <w:p w14:paraId="57BFEAC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（2）苯并[a]芘：≤0.1mg/kg；</w:t>
            </w:r>
          </w:p>
          <w:p w14:paraId="3256323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（3）短链氯化石蜡</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SCCPs</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：&lt;0.1g/kg；</w:t>
            </w:r>
          </w:p>
          <w:p w14:paraId="3F33BEC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（4）MOCA：&lt;0.001g/kg；</w:t>
            </w:r>
          </w:p>
          <w:p w14:paraId="2534429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（5）游离二异氰酸酯</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TDI+HDI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总和：≤0.3g/kg；</w:t>
            </w:r>
          </w:p>
          <w:p w14:paraId="0B91B31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（6）二苯基甲烷二异氰酸酯</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MDI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：≤0.5g/kg；</w:t>
            </w:r>
          </w:p>
          <w:p w14:paraId="773F5B4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（7）可溶性铅(Pb)≤3mg/kg；</w:t>
            </w:r>
          </w:p>
          <w:p w14:paraId="1AB8F79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（8）可溶性镉(Cd)≤2mg/kg；</w:t>
            </w:r>
          </w:p>
          <w:p w14:paraId="690E169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（9）可溶性汞(Hg)≤2mg/kg；</w:t>
            </w:r>
          </w:p>
          <w:p w14:paraId="6B4D94B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（10）可溶性铬(Cr)≤2mg/kg。</w:t>
            </w:r>
          </w:p>
        </w:tc>
      </w:tr>
      <w:tr w14:paraId="21FE421D">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11330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4EDB3C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地胶收卷器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EEA534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47E9BE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A84198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1.基本构成：由收卷芯轴、固定夹头（或卡塞）及摇柄（如有）组成，用于PVC羽毛球运动地胶的手动收卷、搬运与存放。</w:t>
            </w:r>
          </w:p>
          <w:p w14:paraId="443E09AD">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2.材质要求：收卷芯轴采用硬质PVC管材，壁厚≥3mm，管材外径≥50mm，芯轴表面光滑，无毛刺、裂纹、明显划痕，端面切割平整。</w:t>
            </w:r>
          </w:p>
          <w:p w14:paraId="29480125">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3.规格尺寸：芯轴有效收卷长度：≥5400mm（适配标准5.4米宽羽毛球场地地胶），两端须配备固定装置（如卡塞、夹头），防止地胶收卷后松散滑脱。</w:t>
            </w:r>
          </w:p>
          <w:p w14:paraId="066C4D0C">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4.承载能力：收卷完成后，芯轴无明显弯曲变形，能承载整卷地胶的立式存放。</w:t>
            </w:r>
          </w:p>
          <w:p w14:paraId="7485DF42">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5.配件：须配地胶起头撬板1件，材质为金属或硬质塑料，便于将地胶端头从地面掀起。</w:t>
            </w:r>
          </w:p>
        </w:tc>
      </w:tr>
      <w:tr w14:paraId="63652F4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34BE7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D71F05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移动式羽毛球球柱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A3CC8B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E07AD8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付</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7D3A42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1.产品结构：由底座、立柱、锁绳装置、高度微调装置和羽毛球网组成，</w:t>
            </w:r>
            <w:r>
              <w:rPr>
                <w:rFonts w:hint="eastAsia" w:ascii="仿宋" w:hAnsi="仿宋" w:eastAsia="仿宋" w:cs="仿宋"/>
                <w:color w:val="auto"/>
                <w:szCs w:val="21"/>
                <w:highlight w:val="none"/>
                <w:lang w:eastAsia="zh-CN"/>
              </w:rPr>
              <w:t>适</w:t>
            </w:r>
            <w:r>
              <w:rPr>
                <w:rFonts w:hint="eastAsia" w:ascii="仿宋" w:hAnsi="仿宋" w:eastAsia="仿宋" w:cs="仿宋"/>
                <w:color w:val="auto"/>
                <w:szCs w:val="21"/>
                <w:highlight w:val="none"/>
              </w:rPr>
              <w:t>合两片场地之间尺寸≥1200mm。</w:t>
            </w:r>
          </w:p>
          <w:p w14:paraId="3989507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2.底座材料是高密度聚乙烯材料（HDPE），中空吹塑制造一次加工成型。底座铁板材料采用≥10mm的钢板，材质是Q235B，激光切割一次成型。走轮采用Φ50低摩擦软性宽幅PU轮。每只底座设5块防震垫</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满足底座摩擦力要求。底座尺寸：≥710*400*215mm，单只底座配重≥85kg，满足产品稳定性要求。</w:t>
            </w:r>
          </w:p>
          <w:p w14:paraId="7E349EC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3.立柱总高度≥1550mm ，主要材料采用φ≥40×≥5mm无缝管，材质：35#。球网被拉紧时，网柱能稳固地与地面保持垂直，立柱轴线对水平面的垂直公差≤1/500，且网柱各部位均不侵入场地内边线的垂直线内。网柱能承受≥200N的外力，球柱不产生永久变形，无倾倒现象。</w:t>
            </w:r>
          </w:p>
          <w:p w14:paraId="032FBF5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4.球网是咖啡色，长度≥6100mm，宽度≥760mm，网眼为正方形，边长15～20mm ，16-18股网片，坛白布，70-75mm宽对折包边。网绳采用φ≥5硬绳线，棱边采用≥12股网线拷边。</w:t>
            </w:r>
          </w:p>
          <w:p w14:paraId="0BB37C3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5.锁绳装置：紧线方便，锁定可靠，无卡滞或自动返松现象。</w:t>
            </w:r>
          </w:p>
          <w:p w14:paraId="4C40D5C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6.高度微调装置：顶部螺纹无极微调，实现网的高度要求。</w:t>
            </w:r>
          </w:p>
        </w:tc>
      </w:tr>
      <w:tr w14:paraId="56FA2BB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03DBC2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90523B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折叠球类推车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86BA8C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36EE8C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辆</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94D227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1.推车外形基本尺寸：长×宽×高≥950×750×800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p w14:paraId="4C10856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2.推车主要采用Φ≥19x2mm圆管在专用弯管机上弯曲成形后与Φ≥12x1mm圆管拼焊而成，推车整体可折叠，存放时可减少空间。</w:t>
            </w:r>
          </w:p>
          <w:p w14:paraId="54F9C77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3.推车支脚底部装有滚轮，移动方便。</w:t>
            </w:r>
          </w:p>
          <w:p w14:paraId="776E5E9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4.可放置篮球 20 只，整体可折叠，底部设有走轮。</w:t>
            </w:r>
          </w:p>
        </w:tc>
      </w:tr>
      <w:tr w14:paraId="4ACDAF0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1DEF4F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40E875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露营车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1B5469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161B02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FFBB60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1.体结构框架材质：高强度铝合金，管壁厚度≥1.5mm，表面处理工艺为阳极氧化（膜厚≥10μm）。</w:t>
            </w:r>
          </w:p>
          <w:p w14:paraId="13E7167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2.折叠机构：四向折叠，展开尺寸：≥</w:t>
            </w:r>
            <w:r>
              <w:rPr>
                <w:rFonts w:ascii="仿宋" w:hAnsi="仿宋" w:eastAsia="仿宋" w:cs="仿宋"/>
                <w:color w:val="auto"/>
                <w:szCs w:val="21"/>
                <w:highlight w:val="none"/>
                <w:lang w:bidi="ar"/>
              </w:rPr>
              <w:t>120</w:t>
            </w:r>
            <w:r>
              <w:rPr>
                <w:rFonts w:hint="eastAsia" w:ascii="仿宋" w:hAnsi="仿宋" w:eastAsia="仿宋" w:cs="仿宋"/>
                <w:color w:val="auto"/>
                <w:szCs w:val="21"/>
                <w:highlight w:val="none"/>
                <w:lang w:bidi="ar"/>
              </w:rPr>
              <w:t>cm×60cm×100cm，折叠后尺寸≤60cm×30cm×20cm。</w:t>
            </w:r>
          </w:p>
          <w:p w14:paraId="6623C70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3.整备质量：≤12kg。</w:t>
            </w:r>
          </w:p>
          <w:p w14:paraId="1BAB0D0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4.载重与容量最大静态承重：≥200kg（水平硬质地面测试），动态行进承重：≥150kg（测试条件：柏油路面/砂石路面，坡度≤15°）。</w:t>
            </w:r>
          </w:p>
          <w:p w14:paraId="2748348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5.装载箱容积：≥250L（几何容积法测量，内部尺寸：≥110cm×50cm×40cm）。</w:t>
            </w:r>
          </w:p>
          <w:p w14:paraId="28E0995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6.车轮系统车轮直径：≥12英寸。</w:t>
            </w:r>
          </w:p>
          <w:p w14:paraId="2B46E08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7.轮胎类型：橡胶充气胎，胎压范围35-50PSI，胎面纹路为越野锯齿纹。</w:t>
            </w:r>
          </w:p>
          <w:p w14:paraId="02A4BC6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8.轴承类型：双排密封滚珠轴承（防水等级IP54）。</w:t>
            </w:r>
          </w:p>
          <w:p w14:paraId="574C13F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9.避震系统：弹簧液压复合避震（行程≥5cm）。</w:t>
            </w:r>
          </w:p>
          <w:p w14:paraId="3E0174C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10.功能性配置</w:t>
            </w:r>
          </w:p>
          <w:p w14:paraId="0F1292F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①把手调节：高度可调范围80-110cm，材质为防滑TPU包裹。</w:t>
            </w:r>
          </w:p>
          <w:p w14:paraId="3FF1467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②刹车系统：脚踩式驻车制动，制动响应时间≤1秒。</w:t>
            </w:r>
          </w:p>
          <w:p w14:paraId="174502C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③配件接口：标配外挂织带（宽度5cm，承重≥20kg）、侧边桌板插槽（兼容厚度1-2cm板材）。</w:t>
            </w:r>
          </w:p>
        </w:tc>
      </w:tr>
      <w:tr w14:paraId="209C067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24EDD4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EA81B3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气排球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82E39C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B8128F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5A1097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1810825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①球体直径：120±1mm（周长750-760mm，符合GB/T22868-2008标准）。</w:t>
            </w:r>
          </w:p>
          <w:p w14:paraId="39053CB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②球体重量：120±5g（未充气状态）。</w:t>
            </w:r>
          </w:p>
          <w:p w14:paraId="7089E3D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③球体材质：TPU复合层（外层厚度≥1.2mm，内层丁基橡胶气密层）。</w:t>
            </w:r>
          </w:p>
        </w:tc>
      </w:tr>
      <w:tr w14:paraId="3418625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8C43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878841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气排球网</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086B65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B7DBFB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5F7203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2252A1D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①网孔尺寸：100×100mm±2mm（正方形，符合GB/T19851.11-2005标准）。</w:t>
            </w:r>
          </w:p>
          <w:p w14:paraId="3367DBB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②网体材质：高密度聚乙烯（HDPE，单丝直径≥2.0mm，密度≥0.95g/cm³）。</w:t>
            </w:r>
          </w:p>
          <w:p w14:paraId="5A7E8EA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③网体颜色：深蓝色。</w:t>
            </w:r>
          </w:p>
          <w:p w14:paraId="51E06D8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2.网体结构</w:t>
            </w:r>
          </w:p>
          <w:p w14:paraId="7A259E0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①网长×网高：7.0m×0.8m（网高可调节范围0.8-1.2m，误差±1cm）。</w:t>
            </w:r>
          </w:p>
          <w:p w14:paraId="1AAC5A4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②网带宽度：上/下网带宽度≥5cm，双层加厚帆布包边（抗拉强度≥3000N）。</w:t>
            </w:r>
          </w:p>
        </w:tc>
      </w:tr>
      <w:tr w14:paraId="240481D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D5EDC4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5DA878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气排球移动网架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3B9B95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50DEDD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64F7B5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1.产品结构：由底座、立柱和排球网组成。</w:t>
            </w:r>
          </w:p>
          <w:p w14:paraId="2D50972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2.调节高度：网高调节范围：1800-2200mm。</w:t>
            </w:r>
          </w:p>
          <w:p w14:paraId="41EB6FD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3.气排球柱外立柱选用φ≥89×3mm的管材，内立柱选用φ≥76×2.5mm管材制作，通过高度调节装置，使内立柱上下移动，实现网高调节高度：女子球网高度1.9米、男子球网高度2.1米。</w:t>
            </w:r>
          </w:p>
          <w:p w14:paraId="5CCA545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4.高度调节装置采用高强度内置弹簧助推，手柄锁紧，操作方便，高度调节升降灵活，无卡滞现象。</w:t>
            </w:r>
          </w:p>
          <w:p w14:paraId="7AE1758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5.紧线机构采用棘爪式紧线锁紧机构，紧线方便，锁定可靠，无卡滞或自动返松现象。</w:t>
            </w:r>
          </w:p>
          <w:p w14:paraId="0B705BE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6.立柱垂直度性能：球网被拉紧时，网柱能稳固地与地面保持垂直，立柱轴线对水平面的垂直公差≤1/500，且网柱各部位均不侵入场地内边线的垂直线内。</w:t>
            </w:r>
          </w:p>
          <w:p w14:paraId="28E8A85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7.立柱刚性要求：网柱能承受≥600N的外力，球柱不产生永久变形，无倾倒现象。</w:t>
            </w:r>
          </w:p>
          <w:p w14:paraId="6E0CA6F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8.气排球柱立柱上部设有专用封套，材质：ABS，防止立柱内管摩擦而引起表面漆膜脱落，从而影响整体美观。</w:t>
            </w:r>
          </w:p>
          <w:p w14:paraId="7C90797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9.气排球柱底座规格：长</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800mm，宽</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500mm，高</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260mm，采用口</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120x80x2.5mm方管、口</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80x80x2.5mm</w:t>
            </w:r>
          </w:p>
          <w:p w14:paraId="2576776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rPr>
              <w:t>方管和4mm铁板焊接制作，配重箱四角呈圆弧形，底座单只配置水泥配重块</w:t>
            </w:r>
            <w:r>
              <w:rPr>
                <w:rFonts w:hint="eastAsia" w:ascii="仿宋" w:hAnsi="仿宋" w:eastAsia="仿宋" w:cs="仿宋"/>
                <w:color w:val="auto"/>
                <w:szCs w:val="21"/>
                <w:highlight w:val="none"/>
                <w:lang w:bidi="ar"/>
              </w:rPr>
              <w:t>≥</w:t>
            </w:r>
            <w:r>
              <w:rPr>
                <w:rFonts w:hint="eastAsia" w:ascii="仿宋" w:hAnsi="仿宋" w:eastAsia="仿宋" w:cs="仿宋"/>
                <w:color w:val="auto"/>
                <w:szCs w:val="21"/>
                <w:highlight w:val="none"/>
              </w:rPr>
              <w:t>175kg，满足产品稳定性要求，上罩装饰盖，造型美观。</w:t>
            </w:r>
          </w:p>
        </w:tc>
      </w:tr>
      <w:tr w14:paraId="1790D3A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57BB4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4A2DC7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手持气筒</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6AD771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6DAC61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EE6AB7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1.便携式电动充气泵。</w:t>
            </w:r>
          </w:p>
          <w:p w14:paraId="58F74BA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2.最大气压≥150PSI。</w:t>
            </w:r>
          </w:p>
          <w:p w14:paraId="6C106BB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3.充气速度（185/65R15轮胎）≤8分钟。</w:t>
            </w:r>
          </w:p>
          <w:p w14:paraId="1501178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4.电池容量≥2000mAh，无线设计。</w:t>
            </w:r>
          </w:p>
          <w:p w14:paraId="6DB4CC0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5.预设模式≥6种（汽车、摩托、自行车、球类等），自动停止功能。</w:t>
            </w:r>
          </w:p>
          <w:p w14:paraId="2558953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6.数字压力显示屏。</w:t>
            </w:r>
          </w:p>
          <w:p w14:paraId="5FC8191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7.Type-C充电接口。</w:t>
            </w:r>
          </w:p>
          <w:p w14:paraId="712AC1B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8.重量400-500g。</w:t>
            </w:r>
          </w:p>
          <w:p w14:paraId="15875F5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9.含充气软管、法式/美式气嘴转换头、球针。</w:t>
            </w:r>
          </w:p>
        </w:tc>
      </w:tr>
      <w:tr w14:paraId="521044D5">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7915ADD0">
            <w:pPr>
              <w:widowControl/>
              <w:jc w:val="center"/>
              <w:rPr>
                <w:rFonts w:ascii="仿宋" w:hAnsi="仿宋" w:eastAsia="仿宋" w:cs="仿宋"/>
                <w:b/>
                <w:bCs/>
                <w:color w:val="auto"/>
                <w:szCs w:val="21"/>
                <w:highlight w:val="none"/>
              </w:rPr>
            </w:pPr>
            <w:r>
              <w:rPr>
                <w:rFonts w:hint="eastAsia" w:ascii="仿宋" w:hAnsi="仿宋" w:eastAsia="仿宋" w:cs="仿宋"/>
                <w:b/>
                <w:bCs/>
                <w:color w:val="auto"/>
                <w:szCs w:val="21"/>
                <w:highlight w:val="none"/>
                <w:lang w:bidi="ar"/>
              </w:rPr>
              <w:t>健身与体操</w:t>
            </w:r>
          </w:p>
        </w:tc>
      </w:tr>
      <w:tr w14:paraId="20EDC16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6566A2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534F90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深蹲架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0F3793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236E10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194C352">
            <w:pPr>
              <w:jc w:val="left"/>
              <w:rPr>
                <w:rFonts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1.</w:t>
            </w:r>
            <w:r>
              <w:rPr>
                <w:rFonts w:hint="eastAsia" w:ascii="仿宋" w:hAnsi="仿宋" w:eastAsia="仿宋" w:cs="仿宋"/>
                <w:b w:val="0"/>
                <w:bCs w:val="0"/>
                <w:color w:val="auto"/>
                <w:szCs w:val="21"/>
                <w:highlight w:val="none"/>
              </w:rPr>
              <w:t>主体框架采用钢管制作。</w:t>
            </w:r>
          </w:p>
          <w:p w14:paraId="3AA24DBD">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.杠铃片储存位≥4。</w:t>
            </w:r>
          </w:p>
          <w:p w14:paraId="1B0EA9C8">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.储存位容量：每个储存位≥4*25kg。</w:t>
            </w:r>
          </w:p>
          <w:p w14:paraId="60219050">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.产品尺寸：≤1800*1800*1900</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w:t>
            </w:r>
          </w:p>
          <w:p w14:paraId="7EAB5919">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.产品净重：≥100kg</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最大人体质量：≥150kg。</w:t>
            </w:r>
          </w:p>
          <w:p w14:paraId="79E60BAB">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.最大训练载荷：≥300kg。</w:t>
            </w:r>
          </w:p>
          <w:p w14:paraId="11FEBA82">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 xml:space="preserve">.阻力形式：杠铃片。                                                                                                        </w:t>
            </w:r>
          </w:p>
          <w:p w14:paraId="1330A054">
            <w:pPr>
              <w:jc w:val="left"/>
              <w:rPr>
                <w:rFonts w:ascii="仿宋" w:hAnsi="仿宋" w:eastAsia="仿宋" w:cs="仿宋"/>
                <w:b/>
                <w:bCs/>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.表面处理：主架采用烤漆工艺，表面涂层依据 GB/T 10125-2021《人造气氛腐蚀试验 盐雾试验》、GB/T 6461-2002《金属基体上金属和其他无机覆盖层 经腐蚀试验后的试样和试件的评级》或其他现行有效标准（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）进行检测，深蹲架主架表面涂层通过中性盐雾试验≥336h，且外观评级、保护评级均≥9 级。提供国家认可机构出具的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 xml:space="preserve"> </w:t>
            </w:r>
          </w:p>
        </w:tc>
      </w:tr>
      <w:tr w14:paraId="7CDFD45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EB3C04C">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92BBF58">
            <w:pPr>
              <w:widowControl/>
              <w:jc w:val="center"/>
              <w:rPr>
                <w:rFonts w:ascii="仿宋" w:hAnsi="仿宋" w:eastAsia="仿宋" w:cs="仿宋"/>
                <w:color w:val="auto"/>
                <w:szCs w:val="21"/>
                <w:highlight w:val="none"/>
                <w:lang w:bidi="ar"/>
              </w:rPr>
            </w:pPr>
            <w:r>
              <w:rPr>
                <w:rFonts w:ascii="仿宋" w:hAnsi="仿宋" w:eastAsia="仿宋" w:cs="仿宋"/>
                <w:color w:val="auto"/>
                <w:szCs w:val="21"/>
                <w:highlight w:val="none"/>
                <w:lang w:bidi="ar"/>
              </w:rPr>
              <w:t>奥林匹克水平推举椅</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A231004">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AF86694">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E382DD0">
            <w:pPr>
              <w:jc w:val="left"/>
              <w:rPr>
                <w:rFonts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1.</w:t>
            </w:r>
            <w:r>
              <w:rPr>
                <w:rFonts w:hint="eastAsia" w:ascii="仿宋" w:hAnsi="仿宋" w:eastAsia="仿宋" w:cs="仿宋"/>
                <w:b w:val="0"/>
                <w:bCs w:val="0"/>
                <w:color w:val="auto"/>
                <w:szCs w:val="21"/>
                <w:highlight w:val="none"/>
              </w:rPr>
              <w:t>主体框架采用钢管制作。</w:t>
            </w:r>
          </w:p>
          <w:p w14:paraId="4FB03BC5">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 xml:space="preserve">.杠铃片储存位≥4个，储存位容量：4*25kg                                       </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.管材：厚度≥2.5mm，主立管：≥50mm*100mm*2.5mm</w:t>
            </w:r>
          </w:p>
          <w:p w14:paraId="6C37A5B3">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.产品尺寸：≤1800*1800*1300（mm）</w:t>
            </w:r>
          </w:p>
          <w:p w14:paraId="2978198E">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.产品净重：≥70kg</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最大人体质量：≥150kg，</w:t>
            </w:r>
          </w:p>
          <w:p w14:paraId="3045DA51">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.最大训练载荷：≥200kg，</w:t>
            </w:r>
          </w:p>
          <w:p w14:paraId="7E9EEC75">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 xml:space="preserve">.阻力形式：杠铃片。                                                                                                    </w:t>
            </w:r>
          </w:p>
        </w:tc>
      </w:tr>
      <w:tr w14:paraId="1AA22D1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5FD0E1A">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72514B4">
            <w:pPr>
              <w:widowControl/>
              <w:jc w:val="center"/>
              <w:rPr>
                <w:rFonts w:ascii="仿宋" w:hAnsi="仿宋" w:eastAsia="仿宋" w:cs="仿宋"/>
                <w:color w:val="auto"/>
                <w:szCs w:val="21"/>
                <w:highlight w:val="none"/>
                <w:lang w:bidi="ar"/>
              </w:rPr>
            </w:pPr>
            <w:r>
              <w:rPr>
                <w:rFonts w:ascii="仿宋" w:hAnsi="仿宋" w:eastAsia="仿宋" w:cs="仿宋"/>
                <w:color w:val="auto"/>
                <w:szCs w:val="21"/>
                <w:highlight w:val="none"/>
                <w:lang w:bidi="ar"/>
              </w:rPr>
              <w:t>可调式双滑轮多功能训练机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0D46D7F">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E3BF286">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82E0CB3">
            <w:pPr>
              <w:jc w:val="left"/>
              <w:rPr>
                <w:rFonts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1.</w:t>
            </w:r>
            <w:r>
              <w:rPr>
                <w:rFonts w:hint="eastAsia" w:ascii="仿宋" w:hAnsi="仿宋" w:eastAsia="仿宋" w:cs="仿宋"/>
                <w:b w:val="0"/>
                <w:bCs w:val="0"/>
                <w:color w:val="auto"/>
                <w:szCs w:val="21"/>
                <w:highlight w:val="none"/>
              </w:rPr>
              <w:t>主体框架采用钢管制作。</w:t>
            </w:r>
          </w:p>
          <w:p w14:paraId="3E2BD02A">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.管材壁厚≥2mm.</w:t>
            </w:r>
          </w:p>
          <w:p w14:paraId="3F5E30E3">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.护罩材质：铁质护罩；</w:t>
            </w:r>
          </w:p>
          <w:p w14:paraId="2D87B4C4">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.双侧滑轮高度可调，并且调节便利，适合各类人士需求</w:t>
            </w:r>
          </w:p>
          <w:p w14:paraId="0F99C3EE">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.产品尺寸≤1800×1100×2200（mm）；</w:t>
            </w:r>
          </w:p>
          <w:p w14:paraId="5E7CD0B4">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.最大人体质量≥150KG</w:t>
            </w:r>
          </w:p>
          <w:p w14:paraId="1B71612C">
            <w:pPr>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rPr>
              <w:t>.配重铁：≥2×90kg；</w:t>
            </w:r>
          </w:p>
          <w:p w14:paraId="4B77A06E">
            <w:pPr>
              <w:jc w:val="left"/>
              <w:rPr>
                <w:rFonts w:ascii="仿宋" w:hAnsi="仿宋" w:eastAsia="仿宋" w:cs="仿宋"/>
                <w:color w:val="auto"/>
                <w:szCs w:val="21"/>
                <w:highlight w:val="none"/>
              </w:rPr>
            </w:pPr>
            <w:r>
              <w:rPr>
                <w:rFonts w:hint="eastAsia" w:ascii="仿宋" w:hAnsi="仿宋" w:eastAsia="仿宋" w:cs="仿宋"/>
                <w:b/>
                <w:bCs/>
                <w:color w:val="auto"/>
                <w:szCs w:val="21"/>
                <w:highlight w:val="none"/>
              </w:rPr>
              <w:t>▲</w:t>
            </w:r>
            <w:r>
              <w:rPr>
                <w:rFonts w:hint="eastAsia" w:ascii="仿宋" w:hAnsi="仿宋" w:eastAsia="仿宋" w:cs="仿宋"/>
                <w:b/>
                <w:bCs/>
                <w:color w:val="auto"/>
                <w:szCs w:val="21"/>
                <w:highlight w:val="none"/>
                <w:lang w:val="en-US" w:eastAsia="zh-CN"/>
              </w:rPr>
              <w:t>8</w:t>
            </w:r>
            <w:r>
              <w:rPr>
                <w:rFonts w:hint="eastAsia" w:ascii="仿宋" w:hAnsi="仿宋" w:eastAsia="仿宋" w:cs="仿宋"/>
                <w:b/>
                <w:bCs/>
                <w:color w:val="auto"/>
                <w:szCs w:val="21"/>
                <w:highlight w:val="none"/>
              </w:rPr>
              <w:t>.阻力形式：配重铁；牵索形式：钢索，其中钢索依据 GB/T 8358-2023《钢丝绳 破断拉力测定方法》或其他现行有效标准（</w:t>
            </w:r>
            <w:r>
              <w:rPr>
                <w:rFonts w:hint="eastAsia" w:ascii="仿宋" w:hAnsi="仿宋" w:eastAsia="仿宋" w:cs="仿宋"/>
                <w:b/>
                <w:bCs/>
                <w:color w:val="auto"/>
                <w:szCs w:val="21"/>
                <w:highlight w:val="none"/>
                <w:lang w:eastAsia="zh-CN"/>
              </w:rPr>
              <w:t>检测依据、判定依据必须在市场监管总局的一单一库内</w:t>
            </w:r>
            <w:r>
              <w:rPr>
                <w:rFonts w:hint="eastAsia" w:ascii="仿宋" w:hAnsi="仿宋" w:eastAsia="仿宋" w:cs="仿宋"/>
                <w:b/>
                <w:bCs/>
                <w:color w:val="auto"/>
                <w:szCs w:val="21"/>
                <w:highlight w:val="none"/>
              </w:rPr>
              <w:t>）进行检测，检测结果钢索破断拉力≥5.3KN（该限值系依据 GB 17498.2-2008《固定式健身器材 第 2 部分：力量型训练器材 附加的特殊安全要求和试验方法》中“拉索抵抗破坏的拉力应不低于使用中所能产生最大负荷的 6 倍”的安全系数要求，按所投产品单侧配重 90kg 核定：90kg×9.8m/s²×6≈5.3kN；该标准仅作为本项限值的计算依据，不作为本项的检测依据要求）。 提供国家认可机构出具的</w:t>
            </w:r>
            <w:r>
              <w:rPr>
                <w:rFonts w:hint="eastAsia" w:ascii="仿宋" w:hAnsi="仿宋" w:eastAsia="仿宋" w:cs="仿宋"/>
                <w:b/>
                <w:bCs/>
                <w:color w:val="auto"/>
                <w:szCs w:val="21"/>
                <w:highlight w:val="none"/>
                <w:lang w:eastAsia="zh-CN"/>
              </w:rPr>
              <w:t>带有CMA标识的合格检测报告复印件。</w:t>
            </w:r>
            <w:r>
              <w:rPr>
                <w:rFonts w:hint="eastAsia" w:ascii="仿宋" w:hAnsi="仿宋" w:eastAsia="仿宋" w:cs="仿宋"/>
                <w:b/>
                <w:bCs/>
                <w:color w:val="auto"/>
                <w:szCs w:val="21"/>
                <w:highlight w:val="none"/>
              </w:rPr>
              <w:t xml:space="preserve"> </w:t>
            </w:r>
          </w:p>
        </w:tc>
      </w:tr>
      <w:tr w14:paraId="00657BA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FBAE6B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4</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D99343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可调式训练椅</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FDC02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C2E493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26E283C">
            <w:pPr>
              <w:widowControl/>
              <w:jc w:val="left"/>
              <w:rPr>
                <w:rFonts w:ascii="仿宋" w:hAnsi="仿宋" w:eastAsia="仿宋" w:cs="仿宋"/>
                <w:b w:val="0"/>
                <w:bCs w:val="0"/>
                <w:color w:val="auto"/>
                <w:szCs w:val="21"/>
                <w:highlight w:val="none"/>
              </w:rPr>
            </w:pPr>
            <w:r>
              <w:rPr>
                <w:rFonts w:hint="eastAsia" w:ascii="仿宋" w:hAnsi="仿宋" w:eastAsia="仿宋" w:cs="仿宋"/>
                <w:b w:val="0"/>
                <w:bCs w:val="0"/>
                <w:color w:val="auto"/>
                <w:szCs w:val="21"/>
                <w:highlight w:val="none"/>
                <w:lang w:val="en-US" w:eastAsia="zh-CN"/>
              </w:rPr>
              <w:t>1.</w:t>
            </w:r>
            <w:r>
              <w:rPr>
                <w:rFonts w:hint="eastAsia" w:ascii="仿宋" w:hAnsi="仿宋" w:eastAsia="仿宋" w:cs="仿宋"/>
                <w:b w:val="0"/>
                <w:bCs w:val="0"/>
                <w:color w:val="auto"/>
                <w:szCs w:val="21"/>
                <w:highlight w:val="none"/>
              </w:rPr>
              <w:t>主体框架采用钢管制作。</w:t>
            </w:r>
          </w:p>
          <w:p w14:paraId="5AE6BE3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.产品尺寸：≤1500*700*500（mm）。</w:t>
            </w:r>
          </w:p>
          <w:p w14:paraId="6AEC92D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.产品净重：≥40kg</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最大人体质量：≥150kg。</w:t>
            </w:r>
          </w:p>
          <w:p w14:paraId="43C2626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rPr>
              <w:t xml:space="preserve">.最大训练载荷：≥150kg。                    </w:t>
            </w:r>
          </w:p>
          <w:p w14:paraId="61EBA47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rPr>
              <w:t>.坐垫调节≥3档可调。</w:t>
            </w:r>
          </w:p>
          <w:p w14:paraId="5623687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 xml:space="preserve">.背垫调节≥6档可调。                                    </w:t>
            </w:r>
          </w:p>
        </w:tc>
      </w:tr>
      <w:tr w14:paraId="226168C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40D89C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1AEACA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体操垫</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F6199F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C30E16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D829100">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1.采用泡沫塑料或泡沫乳胶，帆布或人造革外皮。</w:t>
            </w:r>
          </w:p>
          <w:p w14:paraId="3D594C74">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2.长800mm±5mm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宽600mm±5mm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厚≥100mm。</w:t>
            </w:r>
          </w:p>
        </w:tc>
      </w:tr>
      <w:tr w14:paraId="1D50A18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AE2A0D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6</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069228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大体操垫</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6F1338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A4C832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E85892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1.采用泡沫塑料或泡沫乳胶，帆布或人造革外皮。</w:t>
            </w:r>
          </w:p>
          <w:p w14:paraId="61F1D3FF">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2.长2000mm±5mm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宽1200mm±5mm</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rPr>
              <w:t>厚≥100mm。</w:t>
            </w:r>
          </w:p>
          <w:p w14:paraId="6F0C99F9">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3.在长度方向可对半折叠，两侧应各有提手，四周加装  粘扣。</w:t>
            </w:r>
          </w:p>
        </w:tc>
      </w:tr>
      <w:tr w14:paraId="578C0B82">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09F2CD96">
            <w:pPr>
              <w:widowControl/>
              <w:jc w:val="center"/>
              <w:rPr>
                <w:rFonts w:ascii="仿宋" w:hAnsi="仿宋" w:eastAsia="仿宋" w:cs="仿宋"/>
                <w:color w:val="auto"/>
                <w:szCs w:val="21"/>
                <w:highlight w:val="none"/>
              </w:rPr>
            </w:pPr>
            <w:r>
              <w:rPr>
                <w:rFonts w:hint="eastAsia" w:ascii="仿宋" w:hAnsi="仿宋" w:eastAsia="仿宋" w:cs="仿宋"/>
                <w:b/>
                <w:bCs/>
                <w:color w:val="auto"/>
                <w:szCs w:val="21"/>
                <w:highlight w:val="none"/>
                <w:lang w:bidi="ar"/>
              </w:rPr>
              <w:t>体测类</w:t>
            </w:r>
          </w:p>
        </w:tc>
      </w:tr>
      <w:tr w14:paraId="51EE65B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4B5A9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37C663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身高体重测试一体机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BD8974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3C8D0D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E5A2C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1.身高测量方式：高精度超声波探头并实现温差补偿检测。</w:t>
            </w:r>
          </w:p>
          <w:p w14:paraId="29AC51A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2.体重测量方式：精密平衡梁式压力传感器称重（具有偏心负载功能，灵敏度高，线性好，测量快速精准，耐疲劳，寿命长等特点</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p w14:paraId="6F17D8B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3.体型：国际通用体格指数</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BMI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p w14:paraId="10C189D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4.显示方式：≥19寸高清液晶触摸屏。</w:t>
            </w:r>
          </w:p>
          <w:p w14:paraId="480CFAD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5.屏幕分辨率≥1920*1080。</w:t>
            </w:r>
          </w:p>
          <w:p w14:paraId="0FA7367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6.运行内存：≥2G，存储</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 xml:space="preserve"> ≥16G。</w:t>
            </w:r>
          </w:p>
          <w:p w14:paraId="1478085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7.测量范围：身高：20cm－200cm，体重：1kg－500kg。</w:t>
            </w:r>
          </w:p>
          <w:p w14:paraId="162633A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8.精确度：身高：±0.1cm，体重：±0.1kg。</w:t>
            </w:r>
          </w:p>
          <w:p w14:paraId="57CA5E6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9.摄像头像素：≥500万像素内置摄像头。</w:t>
            </w:r>
          </w:p>
          <w:p w14:paraId="044A666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10.人脸识别功能：集人脸检测、人脸跟踪、人脸对比、人脸查找、人脸属性、RGB/IR活体检测等多项能力</w:t>
            </w:r>
            <w:r>
              <w:rPr>
                <w:rFonts w:hint="eastAsia" w:ascii="仿宋" w:hAnsi="仿宋" w:eastAsia="仿宋" w:cs="仿宋"/>
                <w:color w:val="auto"/>
                <w:szCs w:val="21"/>
                <w:highlight w:val="none"/>
                <w:lang w:eastAsia="zh-CN" w:bidi="ar"/>
              </w:rPr>
              <w:t>于</w:t>
            </w:r>
            <w:r>
              <w:rPr>
                <w:rFonts w:hint="eastAsia" w:ascii="仿宋" w:hAnsi="仿宋" w:eastAsia="仿宋" w:cs="仿宋"/>
                <w:color w:val="auto"/>
                <w:szCs w:val="21"/>
                <w:highlight w:val="none"/>
                <w:lang w:bidi="ar"/>
              </w:rPr>
              <w:t>一身。支持离线服务，可在无网络环境下使用，本地化部署，保证数据的安全。毫秒级识别、服务高效。</w:t>
            </w:r>
          </w:p>
          <w:p w14:paraId="24AC06E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11.语音提示：测量过程提示及测量结果播报，可根据客户需求定制播报。</w:t>
            </w:r>
          </w:p>
          <w:p w14:paraId="567AAA9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12.使用温湿度</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温度-20-40℃，湿度20%-85%RH。</w:t>
            </w:r>
          </w:p>
          <w:p w14:paraId="3C992D2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13.电源电压</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AC220V50HZ，平均功耗</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≤20W。</w:t>
            </w:r>
          </w:p>
          <w:p w14:paraId="01E0A78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14.外形设计</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测量、显示一体化，模具一次成型的铝合金机身，符合人体工程学。</w:t>
            </w:r>
          </w:p>
          <w:p w14:paraId="0895B67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15.外形尺寸：整机高度：220-240CM。</w:t>
            </w:r>
          </w:p>
          <w:p w14:paraId="788D52E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16.支持学生自助进行测试，点击主屏幕即可快速进入人脸识别界面，通过识别后进入个人界面。</w:t>
            </w:r>
          </w:p>
          <w:p w14:paraId="4FE570F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17.完成测试后系统自动生成个人成绩报告，分别显示学生身高、体重、BMI数据等，并分别给出BMI区间建议及健康分析。</w:t>
            </w:r>
          </w:p>
          <w:p w14:paraId="7C40339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18.支持测试记录自动上传智慧体育校级数据系统/智慧体育自助体测系统，可查看具体成绩记录，并支持体测表单一键导出。</w:t>
            </w:r>
          </w:p>
        </w:tc>
      </w:tr>
      <w:tr w14:paraId="2230D19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B87E9C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D0345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肺活量测试一体机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6E5FBF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7D2D6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2CC90D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1.屏幕显示方式：≥19寸高清液晶触摸屏。</w:t>
            </w:r>
          </w:p>
          <w:p w14:paraId="192A64E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2.屏幕分辨率：≥1920*1080。</w:t>
            </w:r>
          </w:p>
          <w:p w14:paraId="0E59A40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3.运行内存：≥2G，存储</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 xml:space="preserve"> ≥16G。</w:t>
            </w:r>
          </w:p>
          <w:p w14:paraId="3C27908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4.测量范围</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9999ml，测试分度值：≤1ml。</w:t>
            </w:r>
          </w:p>
          <w:p w14:paraId="510FFBC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5.精度：≥2.5%FS，误差：≤2.5%FS。</w:t>
            </w:r>
          </w:p>
          <w:p w14:paraId="53AF061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6.摄像头：≥500万像素内置摄像头。</w:t>
            </w:r>
          </w:p>
          <w:p w14:paraId="6DC4F29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7.人脸识别功能：集人脸检测、人脸跟踪、人脸对比、人脸查找、人脸属性、RGB/IR活体检测等多项能力</w:t>
            </w:r>
            <w:r>
              <w:rPr>
                <w:rFonts w:hint="eastAsia" w:ascii="仿宋" w:hAnsi="仿宋" w:eastAsia="仿宋" w:cs="仿宋"/>
                <w:color w:val="auto"/>
                <w:szCs w:val="21"/>
                <w:highlight w:val="none"/>
                <w:lang w:eastAsia="zh-CN" w:bidi="ar"/>
              </w:rPr>
              <w:t>于</w:t>
            </w:r>
            <w:r>
              <w:rPr>
                <w:rFonts w:hint="eastAsia" w:ascii="仿宋" w:hAnsi="仿宋" w:eastAsia="仿宋" w:cs="仿宋"/>
                <w:color w:val="auto"/>
                <w:szCs w:val="21"/>
                <w:highlight w:val="none"/>
                <w:lang w:bidi="ar"/>
              </w:rPr>
              <w:t>一身。</w:t>
            </w:r>
          </w:p>
          <w:p w14:paraId="0D9581D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8.支持离线服务，可在无网络环境下使用，本地化部署，保证数据的安全，毫秒级识别、服务高效。</w:t>
            </w:r>
          </w:p>
          <w:p w14:paraId="0C72756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9.语音提示：测量过程提示及测量结果播报，可根据客户需求定制播报。</w:t>
            </w:r>
          </w:p>
          <w:p w14:paraId="5B5D929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10.使用温湿度：温度-20-40℃，湿度20%-85%RH。</w:t>
            </w:r>
          </w:p>
          <w:p w14:paraId="0C103FC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11.电源电压：AC220V50HZ，平均功耗</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≤20W。</w:t>
            </w:r>
          </w:p>
          <w:p w14:paraId="2B2C0B6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12.支持学生自助进行测试，点击主屏幕即可快速进入人脸识别界面，通过识别后进入个人界面。</w:t>
            </w:r>
          </w:p>
          <w:p w14:paraId="79D783E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13.测试过程实时显示肺活量（毫升）数值，并分别记录第一次成绩和第二次成绩，测试完成无需操作直接离开。</w:t>
            </w:r>
          </w:p>
          <w:p w14:paraId="0911EF3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14.支持测试记录自动上传智慧体育校级数据系统/智慧体育自助体测系统，可查看具体成绩记录，并支持体测表单一键导出。</w:t>
            </w:r>
          </w:p>
        </w:tc>
      </w:tr>
      <w:tr w14:paraId="1C86900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C553EC9">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9B98D89">
            <w:pPr>
              <w:widowControl/>
              <w:jc w:val="center"/>
              <w:rPr>
                <w:rFonts w:ascii="仿宋" w:hAnsi="仿宋" w:eastAsia="仿宋" w:cs="仿宋"/>
                <w:color w:val="auto"/>
                <w:szCs w:val="21"/>
                <w:highlight w:val="none"/>
                <w:lang w:bidi="ar"/>
              </w:rPr>
            </w:pPr>
            <w:r>
              <w:rPr>
                <w:rFonts w:ascii="仿宋" w:hAnsi="仿宋" w:eastAsia="仿宋" w:cs="仿宋"/>
                <w:color w:val="auto"/>
                <w:szCs w:val="21"/>
                <w:highlight w:val="none"/>
                <w:lang w:bidi="ar"/>
              </w:rPr>
              <w:t>智慧体育教学练测评系统</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03E7BFB">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4665873">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43A9A0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一、系统平台管理</w:t>
            </w:r>
          </w:p>
          <w:p w14:paraId="2DBE9AD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1.1.支持具备体育考试、随堂测试、国家体测、自由练习等功能模块；</w:t>
            </w:r>
          </w:p>
          <w:p w14:paraId="34FA9FA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1.2.支持PC端、Pad端、手机端登录智慧体育管理平台，可操作系统平台发布测试任务、布置体育专项作业；</w:t>
            </w:r>
          </w:p>
          <w:p w14:paraId="0E1E27A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1.3.支持学生个人、班级、年级、全校体测成绩分析及汇总；</w:t>
            </w:r>
          </w:p>
          <w:p w14:paraId="18C5739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1.4.支持学生信息管理、学生体测数据报表导出、体测功能设置；</w:t>
            </w:r>
          </w:p>
          <w:p w14:paraId="2D68207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1.5.支持测试视频存储与测试数据分析服务；</w:t>
            </w:r>
          </w:p>
          <w:p w14:paraId="13841AC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1.6.支持基于老师、班级、学校分别开通管理账号，分层分级管理；</w:t>
            </w:r>
          </w:p>
          <w:p w14:paraId="18749C4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1.7.支持基于班级、学生的运动锻炼数据分析、展示与导出；</w:t>
            </w:r>
          </w:p>
          <w:p w14:paraId="5E2B1D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1.8.支持不少于8个运动项目并行开展测试，且实心球、铅球、立定跳远、引体向上、仰卧起坐、坐位体前屈、跳绳、50米、50*8往返跑、100米、800米/1000米、阳光跑等项目均可同时测试，满足学校各类场景项目同时开启的实际需求。</w:t>
            </w:r>
          </w:p>
          <w:p w14:paraId="313AFB1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二、学生信息管理</w:t>
            </w:r>
          </w:p>
          <w:p w14:paraId="5C04896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2.1.支持行政班与分项班班级信息管理；</w:t>
            </w:r>
          </w:p>
          <w:p w14:paraId="78C2B8C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2.2.支持学生名单管理，可一键导入名单信息；</w:t>
            </w:r>
          </w:p>
          <w:p w14:paraId="487BD8D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2.3.支持可进行人脸信息录入、本地化存储和管理；</w:t>
            </w:r>
          </w:p>
          <w:p w14:paraId="310AA14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2.4.支持可根据学生体育兴趣发展进行分层、项班管理；</w:t>
            </w:r>
          </w:p>
          <w:p w14:paraId="70C03EF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2.5.支持学生信息自动化升学年。</w:t>
            </w:r>
          </w:p>
          <w:p w14:paraId="2A2DBA6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三、体育考试模块</w:t>
            </w:r>
          </w:p>
          <w:p w14:paraId="584AD49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3.1.支持应用于运动会、体育考试、体育中考等场景，自动检测项目测试成绩，智能识别违规动作，自动汇总体育考试成绩；</w:t>
            </w:r>
          </w:p>
          <w:p w14:paraId="08F3D5A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3.2.考试中心支持通过班级名单或人脸识别方式开启测试，最终记录考试成绩并自动匹配学生信息；</w:t>
            </w:r>
          </w:p>
          <w:p w14:paraId="212F798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3.3.支持体育考试模块操作端测试过程中选择重测、修改成绩或选择下一组等操作；</w:t>
            </w:r>
          </w:p>
          <w:p w14:paraId="12641A5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3.4.支持查看测试项目成绩、分数、等级、姿态指标、肌群分析、运动点评及建议、视频回放、动作关键帧等内容，且支持生成定制化运动处方报告；</w:t>
            </w:r>
          </w:p>
          <w:p w14:paraId="478F07C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3.5.支持体育考试当前测试记录查看，测试记录根据分班级、分项目、分时间段进行分类管理；</w:t>
            </w:r>
          </w:p>
          <w:p w14:paraId="5505FFD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3.6.支持体育考试测试项目进度查询，可分析整体测试成绩优秀率、良好率、及格率、不及格率等；</w:t>
            </w:r>
          </w:p>
          <w:p w14:paraId="2531F5D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3.7.支持体育考试成绩管理表查询，可选择分学期、分年级进行筛选、也可选择输入具体学生学号筛选；</w:t>
            </w:r>
          </w:p>
          <w:p w14:paraId="2BE8630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3.8.支持实时筛选并查看考试学生已考项目数，并可通过查看详情查看考试详情；</w:t>
            </w:r>
          </w:p>
          <w:p w14:paraId="7C47CF1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3.9.支持为每一位学生生成个人考试详情，包括学生个人信息及分数详情，分数详情包含考试项目名称、考试成绩（展示历史最好成绩）、项目成绩评分；</w:t>
            </w:r>
          </w:p>
          <w:p w14:paraId="49554EA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3.10.支持选择自由练习模块的学生成绩数据迁移至体育考试模块；</w:t>
            </w:r>
          </w:p>
          <w:p w14:paraId="71B2999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3.11.支持自定义评分标准，体育考试成绩等级和评分根据自定义评分标准进行判定。</w:t>
            </w:r>
          </w:p>
          <w:p w14:paraId="006E967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四、国家体测模块</w:t>
            </w:r>
          </w:p>
          <w:p w14:paraId="437CA49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4.1.支持各阶段学校年度国家体测功能，实现各类运动项目数据自动采集、录入、整理、分析；</w:t>
            </w:r>
          </w:p>
          <w:p w14:paraId="26AC59A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4.2.支持当前测试进度查看，测试记录根据时间进行分类管理；</w:t>
            </w:r>
          </w:p>
          <w:p w14:paraId="40FEA6A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4.3.支持下载上报成绩表格模板，且表格模板符合国家体测平台标准；</w:t>
            </w:r>
          </w:p>
          <w:p w14:paraId="74F594C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4.4.体测成绩实时更新汇总，并支持一键下载体测分析表格；</w:t>
            </w:r>
          </w:p>
          <w:p w14:paraId="79431FE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4.5.支持测试成绩即时更新汇总，电脑端可一键下载国家体测成绩表，表格形式符合国家体测平台上传标准，表格可修改并自动计算本年度学生体测及格情况；</w:t>
            </w:r>
          </w:p>
          <w:p w14:paraId="78EA2A1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4.6.支持教师操作端测试过程中进行重测、修改成绩等操作；</w:t>
            </w:r>
          </w:p>
          <w:p w14:paraId="764C003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4.7.支持体测成绩综合分析，可从年级、班级、项目类型等维度分析当前的及格率、良好率、优秀率等数据情况；</w:t>
            </w:r>
          </w:p>
          <w:p w14:paraId="0F2D233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4.8.支持选择自由练习模块的学生成绩数据迁移至国家体测模块；</w:t>
            </w:r>
          </w:p>
          <w:p w14:paraId="47B320F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4.9.支持所有体测成绩评分以《国家体质健康测试标准》进行评定。</w:t>
            </w:r>
          </w:p>
          <w:p w14:paraId="01B3CC1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五、自由练习模块</w:t>
            </w:r>
          </w:p>
          <w:p w14:paraId="6BC989E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5.1.支持应用于课后学生自主练习场景，无需老师介入指导，学生通过人脸识别或者特定手势自助触发项目测试功能，可实时获取成绩反馈、以及对违规动作的有效检测和提醒；</w:t>
            </w:r>
          </w:p>
          <w:p w14:paraId="4DDA13F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5.2.支持老师在一个操作终端远程一键开启、一键关闭所有自由练习项目；</w:t>
            </w:r>
          </w:p>
          <w:p w14:paraId="029EF95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5.3.支持学生在自由练习项目开启的任意时间段进行练习；</w:t>
            </w:r>
          </w:p>
          <w:p w14:paraId="59FE4CCF">
            <w:pPr>
              <w:widowControl/>
              <w:jc w:val="left"/>
              <w:rPr>
                <w:rFonts w:ascii="仿宋" w:hAnsi="仿宋" w:eastAsia="仿宋" w:cs="仿宋"/>
                <w:b/>
                <w:bCs/>
                <w:color w:val="auto"/>
                <w:szCs w:val="21"/>
                <w:highlight w:val="none"/>
                <w:lang w:bidi="ar"/>
              </w:rPr>
            </w:pPr>
            <w:r>
              <w:rPr>
                <w:rFonts w:hint="eastAsia" w:ascii="仿宋" w:hAnsi="仿宋" w:eastAsia="仿宋" w:cs="仿宋"/>
                <w:color w:val="auto"/>
                <w:szCs w:val="21"/>
                <w:highlight w:val="none"/>
                <w:lang w:bidi="ar"/>
              </w:rPr>
              <w:t>5.4.支持无需操作任何设备的人脸识别方式，测试学生举手向摄像头示意即可刷脸匹配学生信息，自助、无感开启测试任务，测试成绩可实时播报，并记录测试成绩；</w:t>
            </w:r>
          </w:p>
          <w:p w14:paraId="0003CFF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5.5.支持无需操作任何设备开展自由练习，站在测试区域即可触发测试任务；支持实时语音反馈；</w:t>
            </w:r>
          </w:p>
          <w:p w14:paraId="6F25E4C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5.6.支持各项目使用量统计，进行可视化分析；支持分析图下载；</w:t>
            </w:r>
          </w:p>
          <w:p w14:paraId="1CD744E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5.7.支持自由练习模块的学生测试成绩迁移至国家体测模块或体育考试模块；</w:t>
            </w:r>
          </w:p>
          <w:p w14:paraId="412254C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5.8.支持自定义评分标准，自由练习成绩等级和评分根据自定义评分标准进行判定。</w:t>
            </w:r>
          </w:p>
        </w:tc>
      </w:tr>
      <w:tr w14:paraId="16A556C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CC21F52">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53A6F54">
            <w:pPr>
              <w:widowControl/>
              <w:jc w:val="center"/>
              <w:rPr>
                <w:rFonts w:ascii="仿宋" w:hAnsi="仿宋" w:eastAsia="仿宋" w:cs="仿宋"/>
                <w:color w:val="auto"/>
                <w:szCs w:val="21"/>
                <w:highlight w:val="none"/>
                <w:lang w:bidi="ar"/>
              </w:rPr>
            </w:pPr>
            <w:r>
              <w:rPr>
                <w:rFonts w:ascii="仿宋" w:hAnsi="仿宋" w:eastAsia="仿宋" w:cs="仿宋"/>
                <w:color w:val="auto"/>
                <w:szCs w:val="21"/>
                <w:highlight w:val="none"/>
                <w:lang w:bidi="ar"/>
              </w:rPr>
              <w:t>智慧体育校级数据平台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70896F4">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0FF0D4">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689CB3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一、基础信息管理</w:t>
            </w:r>
          </w:p>
          <w:p w14:paraId="1935B7A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1.1.支持智慧体育数据多级管理及分析，具备学生运动数据管理、国家体测管理、体育考试管理、体育课基础数据管理、教学管理；</w:t>
            </w:r>
          </w:p>
          <w:p w14:paraId="27CF032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1.2.支持多级账号登录管理，分级查看体育数据信息，实现精准数据管理。</w:t>
            </w:r>
          </w:p>
          <w:p w14:paraId="63BA7D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二、校级体育数据总览</w:t>
            </w:r>
          </w:p>
          <w:p w14:paraId="02A6C3FD">
            <w:pPr>
              <w:widowControl/>
              <w:jc w:val="left"/>
              <w:rPr>
                <w:rFonts w:ascii="仿宋" w:hAnsi="仿宋" w:eastAsia="仿宋" w:cs="仿宋"/>
                <w:b/>
                <w:bCs/>
                <w:color w:val="auto"/>
                <w:szCs w:val="21"/>
                <w:highlight w:val="none"/>
                <w:lang w:bidi="ar"/>
              </w:rPr>
            </w:pPr>
            <w:r>
              <w:rPr>
                <w:rFonts w:hint="eastAsia" w:ascii="仿宋" w:hAnsi="仿宋" w:eastAsia="仿宋" w:cs="仿宋"/>
                <w:color w:val="auto"/>
                <w:szCs w:val="21"/>
                <w:highlight w:val="none"/>
                <w:lang w:bidi="ar"/>
              </w:rPr>
              <w:t>2.1.支持智慧体育数字大脑数据一览，覆盖全校运动项目、全校全年级学生日常的所有运动数据统计，并对数据进行多维度分析与综合展示；</w:t>
            </w:r>
          </w:p>
          <w:p w14:paraId="30245FA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2.2.支持查看全校运动达标率/优良率趋势图、全部运动项目达标率/优良率，并智能分析本月达标率、达标率月提升情况、本月提升人数等；</w:t>
            </w:r>
          </w:p>
          <w:p w14:paraId="67DA42C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2.3.支持汇总学校今日运动人数/占比、昨日运动人数/占比、本月总运动人数（人次）、学期总运动量（人次）数据，并进行数据实时呈现；</w:t>
            </w:r>
          </w:p>
          <w:p w14:paraId="0C69FE4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2.4.支持全校成绩提升人次、全校运动人数、全校人均运动次数数据分析，并生成相应的趋势图；</w:t>
            </w:r>
          </w:p>
          <w:p w14:paraId="34680CC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2.5.支持选择分年级查看各年级的运动达标率/优良率趋势图、全部运动项目达标率/优良率及班级运动频次&amp;达标率；</w:t>
            </w:r>
          </w:p>
          <w:p w14:paraId="56BFA04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2.6.支持实时显示各运动项目今日运动量、本月运动量数据，并支持学生个人最好成绩截图实时上屏展示。</w:t>
            </w:r>
          </w:p>
          <w:p w14:paraId="552923E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三、学生运动数据管理</w:t>
            </w:r>
          </w:p>
          <w:p w14:paraId="5B7429E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3.1.支持运动一小时管理、校园运动风云榜管理、阳光跑管理、学生测试记录管理、学生运动档案管理；</w:t>
            </w:r>
          </w:p>
          <w:p w14:paraId="44914A2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3.2.支持实时汇总校级每日人均运动时长（单位：分钟），可分本周、本月、本学期进行查看，并呈现完整波线图展示；</w:t>
            </w:r>
          </w:p>
          <w:p w14:paraId="52834C9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3.3.支持每日运动人数占比分析、每日达标人数占比分析、并可分年级、分本周、本月、本学期进行查看班级运动一小时情况明细（包含但不限于班级、总人数、运动人数、达标人数、运动人数占比、达标人数占比；</w:t>
            </w:r>
          </w:p>
          <w:p w14:paraId="0D79799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3.4支持校园运动风云榜数据管理，可分年级、分性别、分项目，按照本周、本月、本学期进行校园运动风云榜的数据查询及批量导出操作；</w:t>
            </w:r>
          </w:p>
          <w:p w14:paraId="588D0E9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3.5支持校园运动风云榜展示，可查看数据包括学生项目排名、项目成绩、学生班级信息、姓名、性别、学号等；</w:t>
            </w:r>
          </w:p>
          <w:p w14:paraId="0D5FD69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3.6支持阳光跑数据管理，可分年级、分班级、分性别、分本周、本月、本学期或任意时段进行阳光跑数据查询及批量导出操作；</w:t>
            </w:r>
          </w:p>
          <w:p w14:paraId="05B293A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3.7支持阳光跑数据查看，可查看数据包括但不限于班级、姓名、性别、学号、累计里程、平均配速等；</w:t>
            </w:r>
          </w:p>
          <w:p w14:paraId="080EEAE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3.8支持展示学生所有累计阳光跑单日跑步记录，可查询并一键导出Excel；</w:t>
            </w:r>
          </w:p>
          <w:p w14:paraId="7C8AFD7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3.9支持分班级、分年级、分项目、分任意时段、分测试模式查看学生练习数据，数据包含学生自由练习记录、并支持成绩的查询、下载、一键迁移至体育考试模块和国家体测模块等操作；</w:t>
            </w:r>
          </w:p>
          <w:p w14:paraId="0C8358A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3.10学生测试记录查看，包括但不限于测试时间、测试班级、测试项目、测试模式、测试人数及已测人数分析；</w:t>
            </w:r>
          </w:p>
          <w:p w14:paraId="2A0EDA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3.11支持以班级为单位汇总学生当天测试记录，可点击查看所有测试学生多次测试记录</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包括但不限于班级、姓名、学号、成绩、评分等级）和个人成绩档案（包括但不限于成绩记录、姿态指标分析、肌群分析、点评及建议、动作关键帧分析）；</w:t>
            </w:r>
          </w:p>
          <w:p w14:paraId="05348AD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3.12支持分年级、分班级、分学年查看学生体育运动档案，档案内容包括：学生基础信息、累计运动天数、时长、测试项目及综合能力图谱，并可分项目查看最佳成绩、得分、等级、排名等数据；</w:t>
            </w:r>
          </w:p>
          <w:p w14:paraId="5E8A63C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3.13支持查看所有学生成长趋势分析、查看分近七天和近30天运动活跃分析、以及体测成绩管理表，查看所有学生运动成绩数据。</w:t>
            </w:r>
          </w:p>
          <w:p w14:paraId="1C96864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四、国家体测管理</w:t>
            </w:r>
          </w:p>
          <w:p w14:paraId="161239D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4.1支持自助式体测功能，实现全部国家体质测试项目的自助测试、数据采集、分析，实现体质测试过程违规自动判定和成绩测试（包括但不限于立定跳远、仰卧起坐、引体向上、坐位体前屈、50米、800/1000米、BMI、肺活量、50*8往返跑等运动项目）；</w:t>
            </w:r>
          </w:p>
          <w:p w14:paraId="57CAC51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4.2支持自定义体测设置，可自助设置体测时间及多个测试时段，支持选择是否开启预约模式，可在一学年内发布多次体测任务分批开展国家体质测试；</w:t>
            </w:r>
          </w:p>
          <w:p w14:paraId="7A1E55E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4.3支持分年级查看当前测试进度，并支持分项目查看总人数、需测人数、免测人数、已测人数、未测人数及测试完成率；</w:t>
            </w:r>
          </w:p>
          <w:p w14:paraId="5130FFD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4.4支持全项目无感人脸方式检录，站在测试位前系统自动检录，无需多余操作，测试结束系统自动提醒并播报“已完成测试”；</w:t>
            </w:r>
          </w:p>
          <w:p w14:paraId="4474E28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4.5支持教师端、国家体测平台端对测试过程中进行成绩补录、修改等操作；</w:t>
            </w:r>
          </w:p>
          <w:p w14:paraId="0F66C37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4.6支持成绩筛选，学生单项目有多条测试记录的，系统自动筛选取最好成绩为体测最终成绩；</w:t>
            </w:r>
          </w:p>
          <w:p w14:paraId="14A40D9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4.7支持测试成绩实时更新汇总，测试数据自动上传，根据体测标准自动计算成绩得分，可一键导出符合国家学生体质健康平台数据格式的成绩表格，表格可修改并自动计算本年度学生体测及格情况；</w:t>
            </w:r>
          </w:p>
          <w:p w14:paraId="50B147EC">
            <w:pPr>
              <w:widowControl/>
              <w:jc w:val="left"/>
              <w:rPr>
                <w:rFonts w:ascii="仿宋" w:hAnsi="仿宋" w:eastAsia="仿宋" w:cs="仿宋"/>
                <w:b/>
                <w:bCs/>
                <w:color w:val="auto"/>
                <w:szCs w:val="21"/>
                <w:highlight w:val="none"/>
                <w:lang w:bidi="ar"/>
              </w:rPr>
            </w:pPr>
            <w:r>
              <w:rPr>
                <w:rFonts w:hint="eastAsia" w:ascii="仿宋" w:hAnsi="仿宋" w:eastAsia="仿宋" w:cs="仿宋"/>
                <w:color w:val="auto"/>
                <w:szCs w:val="21"/>
                <w:highlight w:val="none"/>
                <w:lang w:bidi="ar"/>
              </w:rPr>
              <w:t>4.8支持项目多测位部署，根据要求进行体测中心部署实现多项目、多测位并发测试，多设备独立使用，互不干扰；</w:t>
            </w:r>
          </w:p>
          <w:p w14:paraId="7ED5ADE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4.9支持分年级、分班级、分学期查看学生体测档案，档案内容包括：学生基础信息、身高体重、肺活量、体测成绩详情等；</w:t>
            </w:r>
          </w:p>
          <w:p w14:paraId="02A08F7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4.10支持测试成绩结果仲裁，测试成绩溯源等功能。</w:t>
            </w:r>
          </w:p>
          <w:p w14:paraId="6A0D65E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五、体育课基础数据管理</w:t>
            </w:r>
          </w:p>
          <w:p w14:paraId="1901E42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5.1支持实时展示体育课基础数据，包含学校基础信息（学生总数、体育老师人数、AI智慧体育项目数量、AI智慧体育项目建设情况），以及体育课开课数、开课班级数、参与学生人次；</w:t>
            </w:r>
          </w:p>
          <w:p w14:paraId="439A50C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5.2支持实时展示AI智慧体育项目使用排行情况及使用次数展示。</w:t>
            </w:r>
          </w:p>
          <w:p w14:paraId="257B19F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六、体育考试管理</w:t>
            </w:r>
          </w:p>
          <w:p w14:paraId="55BFB42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6.1支持体育考试成绩管理表查询，可选择分学期、分年级、分班级进行筛选、也可选择输入具体学生学号筛选；</w:t>
            </w:r>
          </w:p>
          <w:p w14:paraId="790FBF6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6.2支持实时筛选并查看考试学生已考项目数，并可通过查看详情查看考试详情；</w:t>
            </w:r>
          </w:p>
          <w:p w14:paraId="6130913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6.3支持为每一位学生生成个人考试详情，包括学生个人信息及分数详情，分数详情包含考试项目名称、考试成绩（展示历史最好成绩）、项目成绩评分。</w:t>
            </w:r>
          </w:p>
          <w:p w14:paraId="326B349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七、教学管理</w:t>
            </w:r>
          </w:p>
          <w:p w14:paraId="1D08FA2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支持根据地区要求，自定义运动项目评分标准。</w:t>
            </w:r>
          </w:p>
        </w:tc>
      </w:tr>
      <w:tr w14:paraId="03AC5CAB">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EAA24FC">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CA4512E">
            <w:pPr>
              <w:widowControl/>
              <w:jc w:val="center"/>
              <w:rPr>
                <w:rFonts w:ascii="仿宋" w:hAnsi="仿宋" w:eastAsia="仿宋" w:cs="仿宋"/>
                <w:color w:val="auto"/>
                <w:szCs w:val="21"/>
                <w:highlight w:val="none"/>
                <w:lang w:bidi="ar"/>
              </w:rPr>
            </w:pPr>
            <w:r>
              <w:rPr>
                <w:rFonts w:ascii="仿宋" w:hAnsi="仿宋" w:eastAsia="仿宋" w:cs="仿宋"/>
                <w:color w:val="auto"/>
                <w:szCs w:val="21"/>
                <w:highlight w:val="none"/>
                <w:lang w:bidi="ar"/>
              </w:rPr>
              <w:t>智慧体育助手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8B1171D">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1479EF3">
            <w:pPr>
              <w:widowControl/>
              <w:jc w:val="center"/>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B1D0FA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1.支持系统分配账号管理权限，</w:t>
            </w:r>
            <w:r>
              <w:rPr>
                <w:rFonts w:hint="eastAsia" w:ascii="仿宋" w:hAnsi="仿宋" w:eastAsia="仿宋" w:cs="仿宋"/>
                <w:color w:val="auto"/>
                <w:szCs w:val="21"/>
                <w:highlight w:val="none"/>
                <w:lang w:eastAsia="zh-CN" w:bidi="ar"/>
              </w:rPr>
              <w:t>登录</w:t>
            </w:r>
            <w:r>
              <w:rPr>
                <w:rFonts w:hint="eastAsia" w:ascii="仿宋" w:hAnsi="仿宋" w:eastAsia="仿宋" w:cs="仿宋"/>
                <w:color w:val="auto"/>
                <w:szCs w:val="21"/>
                <w:highlight w:val="none"/>
                <w:lang w:bidi="ar"/>
              </w:rPr>
              <w:t>智慧体育助手进行学生基础信息管理、平台管理和运动风云榜审核处理等；</w:t>
            </w:r>
          </w:p>
          <w:p w14:paraId="24B526A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2.支持快速创建行政班和分项班，并实时查看各班级录入进度；</w:t>
            </w:r>
          </w:p>
          <w:p w14:paraId="66E9152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3.人脸识别：</w:t>
            </w:r>
          </w:p>
          <w:p w14:paraId="340D8FD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3.1支持多种人脸信息录入方式，如小程序、app、PAD现场拍照，学生照片本地导入等，完成学生身份信息完善，同时支持人脸信息重录；</w:t>
            </w:r>
          </w:p>
          <w:p w14:paraId="17C2C26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3.2支持快速录入人脸信息，不戴眼镜的学生拍照一次性识别；</w:t>
            </w:r>
          </w:p>
          <w:p w14:paraId="6580A2F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3.3特殊人群人脸录入，支持盲人学生闭眼检录，人脸识别率≥99%；</w:t>
            </w:r>
          </w:p>
          <w:p w14:paraId="1C28A4E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4.支持学生姓名、性别、学号、班级、年级等基础信息管理和学生人员删减，支持通过条形码扫码、准考证扫码等方式快速添加学生；</w:t>
            </w:r>
          </w:p>
          <w:p w14:paraId="7300BFB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支持跳绳、50米、50*8往返跑、100米、800米/1000米、计圈跑、定距跑等项目发令操作，可利用智慧体育助手管理项目的开启与关闭，并支持测试成绩记录实时查看、成绩补录及修正，成绩表单可支持一键下载及导出分享。</w:t>
            </w:r>
          </w:p>
          <w:p w14:paraId="377543B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6.支持立定跳远、引体向上、仰卧起坐、坐位体前屈、跳绳、实心球、50米、50*8往返跑、800米/1000米、计圈跑、定距跑等多项目风云榜成绩审核；</w:t>
            </w:r>
          </w:p>
          <w:p w14:paraId="058DBA9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7支持分项目查看举报记录，并对举报记录进行确认、处理及删除，或解除审核等操作；</w:t>
            </w:r>
          </w:p>
          <w:p w14:paraId="4DFE1E5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8.支持所有已建项目的体育作业任务一键发布，可针对每一位学生发布定制化体育作业，且根据每一位学生运动能力匹配体育作业最低达成标准及定制化作业强度等要求；</w:t>
            </w:r>
          </w:p>
          <w:p w14:paraId="3D5C829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9.支持通过移动端智慧体育助手进行自由练习项目管理，并一键控制项目开启与关闭；</w:t>
            </w:r>
          </w:p>
          <w:p w14:paraId="5F4CF6D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10.支持教师班级权限管理，后台为老师分配各自班级使用权限，后台支持隐私信息保护设置；系统提供智慧体育使用视频教程，包含全部项目的测试教学演示视频、测试场景国家体测数据下载视频、小程序布置体育作业视频、智慧体育平台操作视频等；</w:t>
            </w:r>
          </w:p>
          <w:p w14:paraId="2FCBBDF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11.支持体育角设备自定义时间锁定，支持临时锁定并在倒计时结束后自动开启；</w:t>
            </w:r>
          </w:p>
          <w:p w14:paraId="228529F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12.支持开启国家体测模式，开启后通过移动端智慧体育助手开启的任务成绩归属于国家体测成绩；</w:t>
            </w:r>
          </w:p>
          <w:p w14:paraId="5317647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13.支持开启体育考试模式，开启后通过移动端智慧体育助手开启的任务成绩归属于体育考试成绩，支持将非体育考试的任务成绩归档到体育考试成绩；</w:t>
            </w:r>
          </w:p>
          <w:p w14:paraId="1E8E5DD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14.支持查看学生运动档案，包含学生运动时长、阳光跑的里程记录、每日跑步里程和每日平均配速，以及其他项目的最佳运动记录、成绩趋势，支持对最佳成绩进行修改；</w:t>
            </w:r>
          </w:p>
          <w:p w14:paraId="4AD553B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15.支持创建不同角色管理账号，包括校园代理、学校管理员、区管理员、行政老师，并分配相应教师端后台管理权限；</w:t>
            </w:r>
          </w:p>
          <w:p w14:paraId="4086F91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16.支持教师班级权限管理，后台为老师分配各自班级使用权限，后台支持隐私信息保护设置；</w:t>
            </w:r>
          </w:p>
          <w:p w14:paraId="0F66208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17.系统提供智慧体育使用视频教程，包含全部项目的测试教学演示视频、测试场景国家体测数据下载视频、智慧体育平台操作视频等；</w:t>
            </w:r>
          </w:p>
          <w:p w14:paraId="43BA513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18.支持版本更新提醒、确认，以及在线版本信息查看等功能；</w:t>
            </w:r>
          </w:p>
          <w:p w14:paraId="2C93DBC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19.支持在线联系客服反馈产品需求，匹配在线售后服务体系；</w:t>
            </w:r>
          </w:p>
          <w:p w14:paraId="4B9781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20.自定义分项班：支持教师根据不同场景需求，自行创建分项班，通过选择学生添加或扫描准考证添加，快速导入学生信息；</w:t>
            </w:r>
          </w:p>
          <w:p w14:paraId="60BC601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21.支持开启或关闭国家体测、体育考试模式；</w:t>
            </w:r>
          </w:p>
          <w:p w14:paraId="5B09B45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22.支持系统管理员进行分类设置，包括区管理员、学校管理员和行政老师等，且设置人员数量不设限，满足学校多样化管理需求；</w:t>
            </w:r>
          </w:p>
          <w:p w14:paraId="34A7BC3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23.支持开启自动开关机模式，可根据法定节假日和调休日期自动调整；</w:t>
            </w:r>
          </w:p>
          <w:p w14:paraId="7708724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24.节能模式：自由模式开启时，系统自动检测长时间无人使用即可触发熄屏模式。</w:t>
            </w:r>
          </w:p>
        </w:tc>
      </w:tr>
      <w:tr w14:paraId="7388C61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E8CF6E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6</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954F29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体测地胶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1A0D5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18FC48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平米</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F8B034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1.厚度≥6.0mm，纯PVC耐磨层表面纹理满足防滑功能纹理。耐磨层≥1.3m，高密度玻璃纤维层加黑网，背层低钙密闭式发泡背层，增加材料的柔韧性。</w:t>
            </w:r>
          </w:p>
          <w:p w14:paraId="50EFC98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2.冲击吸收</w:t>
            </w:r>
            <w:r>
              <w:rPr>
                <w:rFonts w:hint="eastAsia" w:ascii="仿宋" w:hAnsi="仿宋" w:eastAsia="仿宋" w:cs="仿宋"/>
                <w:color w:val="auto"/>
                <w:szCs w:val="21"/>
                <w:highlight w:val="none"/>
                <w:lang w:eastAsia="zh-CN" w:bidi="ar"/>
              </w:rPr>
              <w:t>：20%～50%</w:t>
            </w:r>
            <w:r>
              <w:rPr>
                <w:rFonts w:hint="eastAsia" w:ascii="仿宋" w:hAnsi="仿宋" w:eastAsia="仿宋" w:cs="仿宋"/>
                <w:color w:val="auto"/>
                <w:szCs w:val="21"/>
                <w:highlight w:val="none"/>
                <w:lang w:bidi="ar"/>
              </w:rPr>
              <w:t>；垂直变形0. 6mm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3. 0mm；球反弹率≥75%；拉伸强度≥1.3MPa；拉断伸长率≥90%；抗滑值（20℃）80BPN</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110BPN</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干测</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；阻燃性能I级；色牢度干、湿两种条件下均无脱色；短链氯化石蜡（C10-C13）；4,4＇—二氨基-3，3＇—二氯二苯甲烷（MOCA）未检出。3.（1）18种多环芳烃总量：表面层≤0.1mg/kg，5mm以内深层≤0.1mg/kg；</w:t>
            </w:r>
          </w:p>
          <w:p w14:paraId="28BF7F9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（2）苯并[a]芘：≤0.1mg/kg；</w:t>
            </w:r>
          </w:p>
          <w:p w14:paraId="1ECD6AE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（3）短链氯化石蜡</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SCCPs</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：&lt;0.1g/kg；</w:t>
            </w:r>
          </w:p>
          <w:p w14:paraId="1F425D8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（4）MOCA：&lt;0.001g/kg；</w:t>
            </w:r>
          </w:p>
          <w:p w14:paraId="4275D1C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（5）游离二异氰酸酯</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TDI+HDI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总和：≤0.3g/kg；</w:t>
            </w:r>
          </w:p>
          <w:p w14:paraId="0F8FBD0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（6）二苯基甲烷二异氰酸酯</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MDI</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：≤0.5g/kg；</w:t>
            </w:r>
          </w:p>
          <w:p w14:paraId="2A37C9A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（7）可溶性铅(Pb)≤3mg/kg；</w:t>
            </w:r>
          </w:p>
          <w:p w14:paraId="738DE3A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（8）可溶性镉(Cd)≤2mg/kg；</w:t>
            </w:r>
          </w:p>
          <w:p w14:paraId="4415CFF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（9）可溶性汞(Hg)≤2mg/kg；</w:t>
            </w:r>
          </w:p>
          <w:p w14:paraId="5A93400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（10）可溶性铬(Cr)≤2mg/kg。</w:t>
            </w:r>
          </w:p>
        </w:tc>
      </w:tr>
      <w:tr w14:paraId="484848D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B0830A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7</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E66098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仰卧起坐测试板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2BF51C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4F877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01A60E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1.长≥1.6*宽≥0.5*厚≥0.04m（勾脚有效高度0.15±0.01m）。</w:t>
            </w:r>
          </w:p>
          <w:p w14:paraId="2B480BA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2.材料：户外防晒防烫皮，整体采用环保材料不含甲醛等有害物质，框架使用Q235材质环保塑粉喷塑，不容易生锈变形，软包使用多层绵海绵，环保PVC皮料，对人体没有化学伤害。</w:t>
            </w:r>
          </w:p>
        </w:tc>
      </w:tr>
      <w:tr w14:paraId="305F4FB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62BD68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8</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7C6D66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肺活量测试仪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9F6D4C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00E9D7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27AD14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1.测量范围0-9999ml，精度±3%或±50ml（以较大值为准）。</w:t>
            </w:r>
          </w:p>
          <w:p w14:paraId="3DF4E0C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2.采样频率≥100次/秒，响应时间≤3秒。</w:t>
            </w:r>
          </w:p>
          <w:p w14:paraId="2BB4D65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3.人性化操作界面，液晶显示屏且有背光。</w:t>
            </w:r>
          </w:p>
          <w:p w14:paraId="75CF2E1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4.存储数据，支持USB、蓝牙传输。</w:t>
            </w:r>
          </w:p>
          <w:p w14:paraId="7315FA8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5.支持交流（220V）与电池供电</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高强度环保耐腐蚀ABS外壳，符合人体工程学设计。</w:t>
            </w:r>
          </w:p>
          <w:p w14:paraId="57E79DA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6.有自动和手动校准功能，标配一次性环保吹嘴。</w:t>
            </w:r>
          </w:p>
        </w:tc>
      </w:tr>
      <w:tr w14:paraId="37F3950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28349F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9</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A20E21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坐位体前屈测试仪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0B3B38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951500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A06682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1.测量范围-20cm至+60cm，精度±0.1cm。</w:t>
            </w:r>
          </w:p>
          <w:p w14:paraId="0975A3E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2.主体框架用≥1.5mm厚镀锌钢板，滑动标尺为耐磨防锈材料。</w:t>
            </w:r>
          </w:p>
          <w:p w14:paraId="02521ED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3.导轨平滑，弹簧弹性合适且稳定，自动复位。</w:t>
            </w:r>
          </w:p>
          <w:p w14:paraId="67B4BDD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4.刻度激光蚀刻或高精度印刷，以厘米为单位、最小0.1cm。</w:t>
            </w:r>
          </w:p>
          <w:p w14:paraId="489681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5.整体稳定不晃动，边角圆润。</w:t>
            </w:r>
          </w:p>
          <w:p w14:paraId="5C03180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6.部分部件可拆卸，重量≤15kg。</w:t>
            </w:r>
          </w:p>
        </w:tc>
      </w:tr>
      <w:tr w14:paraId="5A867F38">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C7A43F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10</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36B3B8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立定跳远测试仪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2299FD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201C85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C50ACE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1.测量范围0-600cm，精度±1cm。</w:t>
            </w:r>
          </w:p>
          <w:p w14:paraId="0539BBE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2.采用高精度红外感应传感器，感应范围覆盖起跳与落地区，灵敏度可调。</w:t>
            </w:r>
          </w:p>
          <w:p w14:paraId="4FE2708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3.简洁操作面板，≥6英寸液晶显示屏带背光。</w:t>
            </w:r>
          </w:p>
          <w:p w14:paraId="7215065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4.至少存储100组数据，支持USB、蓝牙等≥2种传输方式。</w:t>
            </w:r>
          </w:p>
          <w:p w14:paraId="2617AC1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5.支持220V交流电与内置锂电池供电，锂电池续航≥6小时。</w:t>
            </w:r>
          </w:p>
          <w:p w14:paraId="0FEAB3D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6.高强度耐磨防水工程塑料外壳，结构紧凑稳固。</w:t>
            </w:r>
          </w:p>
          <w:p w14:paraId="4B709FD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7.具备智能犯规判定、语音播报、自动及手动校准功能。</w:t>
            </w:r>
          </w:p>
        </w:tc>
      </w:tr>
      <w:tr w14:paraId="62D74F91">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53DCB323">
            <w:pPr>
              <w:widowControl/>
              <w:jc w:val="center"/>
              <w:rPr>
                <w:rFonts w:ascii="仿宋" w:hAnsi="仿宋" w:eastAsia="仿宋" w:cs="仿宋"/>
                <w:color w:val="auto"/>
                <w:szCs w:val="21"/>
                <w:highlight w:val="none"/>
              </w:rPr>
            </w:pPr>
            <w:r>
              <w:rPr>
                <w:rFonts w:hint="eastAsia" w:ascii="仿宋" w:hAnsi="仿宋" w:eastAsia="仿宋" w:cs="仿宋"/>
                <w:b/>
                <w:bCs/>
                <w:color w:val="auto"/>
                <w:szCs w:val="21"/>
                <w:highlight w:val="none"/>
                <w:lang w:bidi="ar"/>
              </w:rPr>
              <w:t>其他类</w:t>
            </w:r>
          </w:p>
        </w:tc>
      </w:tr>
      <w:tr w14:paraId="0590409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E91FA2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CBA567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毽子</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C2009F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800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A3226D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24EED7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val="en-US" w:eastAsia="zh-CN" w:bidi="ar"/>
              </w:rPr>
              <w:t>1.</w:t>
            </w:r>
            <w:r>
              <w:rPr>
                <w:rFonts w:hint="eastAsia" w:ascii="仿宋" w:hAnsi="仿宋" w:eastAsia="仿宋" w:cs="仿宋"/>
                <w:color w:val="auto"/>
                <w:szCs w:val="21"/>
                <w:highlight w:val="none"/>
                <w:lang w:bidi="ar"/>
              </w:rPr>
              <w:t>整体高度：11.5±0.5cm（含底座与鸡毛，自然直立状态）。</w:t>
            </w:r>
          </w:p>
          <w:p w14:paraId="71E5782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val="en-US" w:eastAsia="zh-CN" w:bidi="ar"/>
              </w:rPr>
              <w:t>2.</w:t>
            </w:r>
            <w:r>
              <w:rPr>
                <w:rFonts w:hint="eastAsia" w:ascii="仿宋" w:hAnsi="仿宋" w:eastAsia="仿宋" w:cs="仿宋"/>
                <w:color w:val="auto"/>
                <w:szCs w:val="21"/>
                <w:highlight w:val="none"/>
                <w:lang w:bidi="ar"/>
              </w:rPr>
              <w:t>底座直径：3.8±0.2cm（锌合金镀镍底座，边缘倒圆角半径≥1mm）。</w:t>
            </w:r>
          </w:p>
          <w:p w14:paraId="57E1A92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val="en-US" w:eastAsia="zh-CN" w:bidi="ar"/>
              </w:rPr>
              <w:t>3.</w:t>
            </w:r>
            <w:r>
              <w:rPr>
                <w:rFonts w:hint="eastAsia" w:ascii="仿宋" w:hAnsi="仿宋" w:eastAsia="仿宋" w:cs="仿宋"/>
                <w:color w:val="auto"/>
                <w:szCs w:val="21"/>
                <w:highlight w:val="none"/>
                <w:lang w:bidi="ar"/>
              </w:rPr>
              <w:t>总重量：14±1g（含底座、鸡毛及配重）。</w:t>
            </w:r>
          </w:p>
          <w:p w14:paraId="1188D09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bidi="ar"/>
              </w:rPr>
              <w:t>4.</w:t>
            </w:r>
            <w:r>
              <w:rPr>
                <w:rFonts w:hint="eastAsia" w:ascii="仿宋" w:hAnsi="仿宋" w:eastAsia="仿宋" w:cs="仿宋"/>
                <w:color w:val="auto"/>
                <w:szCs w:val="21"/>
                <w:highlight w:val="none"/>
                <w:lang w:bidi="ar"/>
              </w:rPr>
              <w:t>羽毛数量：多片对称鸡毛（长度7.5±0.3cm，羽枝密度≥18根/cm）。</w:t>
            </w:r>
          </w:p>
        </w:tc>
      </w:tr>
      <w:tr w14:paraId="643C002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8085CF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ED302E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草坪划线器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C50876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5AB4B5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FB684E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1.外形尺寸</w:t>
            </w:r>
          </w:p>
          <w:p w14:paraId="15D7392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①展开状态：长×宽×高：120±2cm×60±1cm×90±1cm。</w:t>
            </w:r>
          </w:p>
          <w:p w14:paraId="5EDDD8C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②折叠后尺寸：65±1cm×30±0.5cm×15±0.5cm。</w:t>
            </w:r>
          </w:p>
          <w:p w14:paraId="320E8D5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③整备质量：≤25kg（含储液罐及划线装置）。</w:t>
            </w:r>
          </w:p>
          <w:p w14:paraId="0C4A17C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2.框架材质</w:t>
            </w:r>
          </w:p>
          <w:p w14:paraId="0655C4F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①主体：Q235B碳钢（管径40mm，壁厚≥2.0mm）。</w:t>
            </w:r>
          </w:p>
          <w:p w14:paraId="6558D00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②连接件：Q235B碳钢。</w:t>
            </w:r>
          </w:p>
        </w:tc>
      </w:tr>
      <w:tr w14:paraId="796A6B6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EC11D1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1E59B5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草坪划线喷雾</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EF2A8D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ED018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瓶</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FBE59C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39E2D16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①规格：罐体容量：500mL±10mL（净含量，压力填充法测量）。</w:t>
            </w:r>
          </w:p>
          <w:p w14:paraId="045B0D4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②喷雾覆盖量：≥3㎡/罐（喷涂宽度10cm，离地高度30cm）。</w:t>
            </w:r>
          </w:p>
          <w:p w14:paraId="26A8621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③适用基材：沥青/混凝土/环氧地坪。</w:t>
            </w:r>
          </w:p>
          <w:p w14:paraId="7C83215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④颜色类型：白/黄/红</w:t>
            </w:r>
            <w:r>
              <w:rPr>
                <w:rFonts w:hint="eastAsia" w:ascii="仿宋" w:hAnsi="仿宋" w:eastAsia="仿宋" w:cs="仿宋"/>
                <w:b/>
                <w:bCs/>
                <w:strike w:val="0"/>
                <w:color w:val="auto"/>
                <w:szCs w:val="21"/>
                <w:highlight w:val="none"/>
                <w:lang w:eastAsia="zh-CN" w:bidi="ar"/>
              </w:rPr>
              <w:t>。</w:t>
            </w:r>
          </w:p>
        </w:tc>
      </w:tr>
      <w:tr w14:paraId="3FFA326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32C553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039199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随身扩音器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B9AE3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4BC5BA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FF9A30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2B14446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①外形尺寸：长×宽×高：18±0.5cm×6±0.2cm×5±0.2cm。</w:t>
            </w:r>
          </w:p>
          <w:p w14:paraId="33484CE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②净重：300±10g（含内置电池）。</w:t>
            </w:r>
          </w:p>
          <w:p w14:paraId="4C6432A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③材质构成：外壳：ABS+PC复合塑料（防火等级UL94V-0），扬声器网罩：304不锈钢冲孔网（孔径1.0mm，开孔率≥45%）。</w:t>
            </w:r>
          </w:p>
          <w:p w14:paraId="6A93DB1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2.音频性能</w:t>
            </w:r>
          </w:p>
          <w:p w14:paraId="4A69D3E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①输出功率：额定功率：5WRMS（THD≤1%）峰值功率：10W。</w:t>
            </w:r>
          </w:p>
          <w:p w14:paraId="43C11F1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②频率响应：80Hz-20kHz（±3dB）。</w:t>
            </w:r>
          </w:p>
          <w:p w14:paraId="7E5D4A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③信噪比：≥80dB（A计权）。</w:t>
            </w:r>
          </w:p>
          <w:p w14:paraId="2FC6FAC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④失真度：≤0.5%。</w:t>
            </w:r>
          </w:p>
          <w:p w14:paraId="41D3541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3.功能配置</w:t>
            </w:r>
          </w:p>
          <w:p w14:paraId="76F9C3D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①无线连接：蓝牙版本：5.0（支持A2DP/AVRCP/HFP协议，有效距离≥10m）NFC快速配对。</w:t>
            </w:r>
          </w:p>
          <w:p w14:paraId="56FC47B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②有线接口：3.5mmAUX输入（支持线控功能）MicroUSB充电接口（DC5V/1A）。</w:t>
            </w:r>
          </w:p>
          <w:p w14:paraId="2D8A47E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③控制按键：物理按键：电源/音量/播放控制（寿命≥10万次按压）。</w:t>
            </w:r>
          </w:p>
          <w:p w14:paraId="3AB26BE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④LED指示灯：三色状态显示（红/蓝/绿）。</w:t>
            </w:r>
          </w:p>
          <w:p w14:paraId="5DD26BF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4.电源与续航</w:t>
            </w:r>
          </w:p>
          <w:p w14:paraId="66ABDF4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①电池容量：≥1200mAh锂聚合物电池（标称电压3.7V）。</w:t>
            </w:r>
          </w:p>
          <w:p w14:paraId="0EBBACD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②续航时间：中等音量播放：≥8小时。</w:t>
            </w:r>
          </w:p>
          <w:p w14:paraId="3170AFF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③待机时间：≥200小时。</w:t>
            </w:r>
          </w:p>
          <w:p w14:paraId="3467EFC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④充电时间：≤3小时（5V/1A输入）。</w:t>
            </w:r>
          </w:p>
          <w:p w14:paraId="666E2611">
            <w:pPr>
              <w:widowControl/>
              <w:jc w:val="left"/>
              <w:rPr>
                <w:rFonts w:ascii="仿宋" w:hAnsi="仿宋" w:eastAsia="仿宋" w:cs="仿宋"/>
                <w:color w:val="auto"/>
                <w:szCs w:val="21"/>
                <w:highlight w:val="none"/>
              </w:rPr>
            </w:pPr>
          </w:p>
        </w:tc>
      </w:tr>
      <w:tr w14:paraId="2A74B6B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92E61C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8F8123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扩音机</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7E7388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10B52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C76F1B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65BB0B6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①外形尺寸：长×宽×高：20±0.5cm×8±0.3cm×7±0.3cm。</w:t>
            </w:r>
          </w:p>
          <w:p w14:paraId="374B6F4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②净重：450±15g（含内置电池）。</w:t>
            </w:r>
          </w:p>
          <w:p w14:paraId="4D491BB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③材质构成：外壳：ABS+金属复合框架（表面喷砂处理，粗糙度Ra≤1.6μm），扬声器网罩：蜂窝状铝合金冲孔（孔径2mm，开孔率≥50%）。</w:t>
            </w:r>
          </w:p>
          <w:p w14:paraId="7AEF43C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2.音频性能</w:t>
            </w:r>
          </w:p>
          <w:p w14:paraId="5D12FD5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①输出功率：额定功率：10WRMS</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峰值功率：≥20W（瞬时脉冲输出）。</w:t>
            </w:r>
          </w:p>
          <w:p w14:paraId="6486F2E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②频率响应：70Hz-20kHz（±3dB，1/3倍频程分析）。</w:t>
            </w:r>
          </w:p>
          <w:p w14:paraId="4EA3C3D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③信噪比：≥85dB（A计权，空载背景噪声≤15dB）。</w:t>
            </w:r>
          </w:p>
          <w:p w14:paraId="1265C8D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3.功能配置</w:t>
            </w:r>
          </w:p>
          <w:p w14:paraId="1986640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①无线连接：蓝牙版本：5.3</w:t>
            </w:r>
          </w:p>
          <w:p w14:paraId="661FB74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②有线接口：3.5mmAUX输入USB-C充电接口。</w:t>
            </w:r>
          </w:p>
          <w:p w14:paraId="236EE73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4.电源与续航</w:t>
            </w:r>
          </w:p>
          <w:p w14:paraId="3F26E52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①电池容量：≥4000mAh锂聚合物电池。</w:t>
            </w:r>
          </w:p>
          <w:p w14:paraId="6C217B9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②续航时间：中等音量播放：≥15小时，最大音量播放：≥6小时。</w:t>
            </w:r>
          </w:p>
          <w:p w14:paraId="0A1CE66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③充电时间：≤2小时。</w:t>
            </w:r>
          </w:p>
        </w:tc>
      </w:tr>
      <w:tr w14:paraId="79F0A63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881599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F29EED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移动大音箱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95CBF9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7A3C39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84B0D4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6D06EB6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①外形尺寸：长×宽×高：60±1cm×30±0.5cm×40±1cm（含支架）。</w:t>
            </w:r>
          </w:p>
          <w:p w14:paraId="7DCC774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②净重：15±0.5kg（不含线材）。</w:t>
            </w:r>
          </w:p>
          <w:p w14:paraId="1E03576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③材质构成：箱体：高密度MDF板（厚度≥15mm，表面环保水性漆），防护网罩：可拆卸金属冲孔网（孔径2mm，开孔率≥55%）。</w:t>
            </w:r>
          </w:p>
          <w:p w14:paraId="7D94962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2.音频性能</w:t>
            </w:r>
          </w:p>
          <w:p w14:paraId="1B39644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①输出功率：额定功率：200WRMS（THD≤1%，频段20Hz-20kHz），峰值功率：≥400W（瞬时动态输出）。</w:t>
            </w:r>
          </w:p>
          <w:p w14:paraId="307C345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②频率响应：35Hz-20kHz（±3dB，1/3倍频程平滑度≤6dB）。</w:t>
            </w:r>
          </w:p>
          <w:p w14:paraId="41A8E27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③灵敏度：90dB/W/m（1kHz测试）。</w:t>
            </w:r>
          </w:p>
          <w:p w14:paraId="0ABD803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④信噪比：≥100dB（A计权，空载背景噪声≤20dB）。</w:t>
            </w:r>
          </w:p>
          <w:p w14:paraId="4CFC188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3.驱动单元配置</w:t>
            </w:r>
          </w:p>
          <w:p w14:paraId="548C92A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①低频单元：尺寸：≥12英寸（304mm）复合纸盆低音（磁钢重量≥1.5kg），冲程：±6mm（线性位移，失真≤5%）。</w:t>
            </w:r>
          </w:p>
          <w:p w14:paraId="50BE1B5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②中高频单元：尺寸：≥2英寸钛膜球顶高音（频响范围1kHz-25kHz），波导设计：90°×60°水平/垂直扩散角。</w:t>
            </w:r>
          </w:p>
          <w:p w14:paraId="0D77DE0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4.接口与功能</w:t>
            </w:r>
          </w:p>
          <w:p w14:paraId="5E5662B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①输入接口：XLR/TRS组合接口（平衡输入，阻抗≥10kΩ）RCA非平衡输入（电平范围0.775V-2VRMS）</w:t>
            </w:r>
          </w:p>
          <w:p w14:paraId="281826C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调节功能：独立高/低音调节（±6dB，中心频率5kHz/80Hz）限幅保护（阈值可调，响应时间≤0.1ms）。</w:t>
            </w:r>
          </w:p>
          <w:p w14:paraId="36E71DB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②扩展接口：LinkOut（并联输出，阻抗匹配≤0.1Ω）外置分频器接口（支持主动/被动模式切换）。</w:t>
            </w:r>
          </w:p>
        </w:tc>
      </w:tr>
      <w:tr w14:paraId="291DE66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574CA9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2F7301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手持喇叭</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4EB4BC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A67411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CE4DF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1.基础参数</w:t>
            </w:r>
          </w:p>
          <w:p w14:paraId="2AA6E86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①类型：手持式多功能扩音器（含喊话、录音、播放等功能）。</w:t>
            </w:r>
          </w:p>
          <w:p w14:paraId="1C8A959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②适用场景：室外小型活动喊话</w:t>
            </w:r>
          </w:p>
          <w:p w14:paraId="5DB2CD7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③尺寸规格：长宽高：≤350mm×250mm×100mm（便携设计）。</w:t>
            </w:r>
          </w:p>
          <w:p w14:paraId="1E2C8C2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④重量：≤3kg。</w:t>
            </w:r>
          </w:p>
          <w:p w14:paraId="07704F7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⑤材质要求：外壳：ABS工程塑料，表面防滑涂层，抗摔高度≥1.5m。</w:t>
            </w:r>
          </w:p>
          <w:p w14:paraId="48C592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2.核心技术参数</w:t>
            </w:r>
          </w:p>
          <w:p w14:paraId="58DF3FD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1）性能参数</w:t>
            </w:r>
          </w:p>
          <w:p w14:paraId="16FF9EB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①输出功率：≥30W（峰值功率≥75W）。</w:t>
            </w:r>
          </w:p>
          <w:p w14:paraId="19365BE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②频响范围：50Hz-20kHz（人声清晰无失真）。</w:t>
            </w:r>
          </w:p>
          <w:p w14:paraId="12DBF8B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③信噪比：≥75dB（环境噪音抑制能力强）。</w:t>
            </w:r>
          </w:p>
          <w:p w14:paraId="32D7832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④有效距离：≥150米（开阔场地）。</w:t>
            </w:r>
          </w:p>
          <w:p w14:paraId="5224F69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2）功能配置</w:t>
            </w:r>
          </w:p>
          <w:p w14:paraId="5E6FA25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①核心功能：一键喊话、120秒录音、循环播放、音量调节支持插卡（SD卡≤32GB）、USB直读、蓝牙连接（4.0及以上）。</w:t>
            </w:r>
          </w:p>
          <w:p w14:paraId="0FD14FB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②扩展功能：折叠式手柄设计，便于携带。</w:t>
            </w:r>
          </w:p>
          <w:p w14:paraId="4F1BCA3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3）电源系统</w:t>
            </w:r>
          </w:p>
          <w:p w14:paraId="6C17098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①电池类型：可更换锂电池。</w:t>
            </w:r>
          </w:p>
          <w:p w14:paraId="5FDBFFC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②续航时间：连续工作≥8小时（满电状态）。</w:t>
            </w:r>
          </w:p>
          <w:p w14:paraId="6267C37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③充电方式：USB充电，支持充电宝直充。</w:t>
            </w:r>
          </w:p>
        </w:tc>
      </w:tr>
      <w:tr w14:paraId="0757B57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A65B16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12DE8A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标志筒</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D36D58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FF7C91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EB3F82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1.基础参数</w:t>
            </w:r>
          </w:p>
          <w:p w14:paraId="37A39E7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①产品类型：高密度聚乙烯（PE）标志筒（用于足球训练、障碍物设置等）。</w:t>
            </w:r>
          </w:p>
          <w:p w14:paraId="2FF4486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②适用场景：足球训练、体能训练、活动场地</w:t>
            </w:r>
          </w:p>
          <w:p w14:paraId="2F34BEC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规划尺寸规格：高度：38cm±1cm底部直径：≥15cm，顶部直径：≥10cm。</w:t>
            </w:r>
          </w:p>
          <w:p w14:paraId="49427BF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③材质要求：主体：全新PE塑料，密度≥0.941g/cm³，抗冲击强度≥25kJ/m²。</w:t>
            </w:r>
          </w:p>
          <w:p w14:paraId="077F5817">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④表面处理：哑光防滑涂层，颜色附着力≥4B级。</w:t>
            </w:r>
          </w:p>
        </w:tc>
      </w:tr>
      <w:tr w14:paraId="2B9ED55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9FC567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6F9AE4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保温箱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76AF90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E31F20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99018A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1.容量≥38L。</w:t>
            </w:r>
          </w:p>
          <w:p w14:paraId="1DDA64A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2.内部尺寸≥40</w:t>
            </w:r>
            <w:r>
              <w:rPr>
                <w:rFonts w:ascii="仿宋" w:hAnsi="仿宋" w:eastAsia="仿宋" w:cs="仿宋"/>
                <w:color w:val="auto"/>
                <w:szCs w:val="21"/>
                <w:highlight w:val="none"/>
                <w:lang w:bidi="ar"/>
              </w:rPr>
              <w:t>×2</w:t>
            </w:r>
            <w:r>
              <w:rPr>
                <w:rFonts w:hint="eastAsia" w:ascii="仿宋" w:hAnsi="仿宋" w:eastAsia="仿宋" w:cs="仿宋"/>
                <w:color w:val="auto"/>
                <w:szCs w:val="21"/>
                <w:highlight w:val="none"/>
                <w:lang w:bidi="ar"/>
              </w:rPr>
              <w:t>5</w:t>
            </w:r>
            <w:r>
              <w:rPr>
                <w:rFonts w:ascii="仿宋" w:hAnsi="仿宋" w:eastAsia="仿宋" w:cs="仿宋"/>
                <w:color w:val="auto"/>
                <w:szCs w:val="21"/>
                <w:highlight w:val="none"/>
                <w:lang w:bidi="ar"/>
              </w:rPr>
              <w:t>×</w:t>
            </w:r>
            <w:r>
              <w:rPr>
                <w:rFonts w:hint="eastAsia" w:ascii="仿宋" w:hAnsi="仿宋" w:eastAsia="仿宋" w:cs="仿宋"/>
                <w:color w:val="auto"/>
                <w:szCs w:val="21"/>
                <w:highlight w:val="none"/>
                <w:lang w:bidi="ar"/>
              </w:rPr>
              <w:t>35</w:t>
            </w:r>
            <w:r>
              <w:rPr>
                <w:rFonts w:ascii="仿宋" w:hAnsi="仿宋" w:eastAsia="仿宋" w:cs="仿宋"/>
                <w:color w:val="auto"/>
                <w:szCs w:val="21"/>
                <w:highlight w:val="none"/>
                <w:lang w:bidi="ar"/>
              </w:rPr>
              <w:t>cm</w:t>
            </w:r>
            <w:r>
              <w:rPr>
                <w:rFonts w:hint="eastAsia" w:ascii="仿宋" w:hAnsi="仿宋" w:eastAsia="仿宋" w:cs="仿宋"/>
                <w:color w:val="auto"/>
                <w:szCs w:val="21"/>
                <w:highlight w:val="none"/>
                <w:lang w:bidi="ar"/>
              </w:rPr>
              <w:t>，外部尺寸约</w:t>
            </w:r>
            <w:r>
              <w:rPr>
                <w:rFonts w:ascii="仿宋" w:hAnsi="仿宋" w:eastAsia="仿宋" w:cs="仿宋"/>
                <w:color w:val="auto"/>
                <w:szCs w:val="21"/>
                <w:highlight w:val="none"/>
                <w:lang w:bidi="ar"/>
              </w:rPr>
              <w:t>52×36×46cm</w:t>
            </w:r>
            <w:r>
              <w:rPr>
                <w:rFonts w:hint="eastAsia" w:ascii="仿宋" w:hAnsi="仿宋" w:eastAsia="仿宋" w:cs="仿宋"/>
                <w:color w:val="auto"/>
                <w:szCs w:val="21"/>
                <w:highlight w:val="none"/>
                <w:lang w:bidi="ar"/>
              </w:rPr>
              <w:t>。</w:t>
            </w:r>
          </w:p>
          <w:p w14:paraId="56C08462">
            <w:pPr>
              <w:widowControl/>
              <w:jc w:val="left"/>
              <w:rPr>
                <w:rFonts w:ascii="仿宋" w:hAnsi="仿宋" w:eastAsia="仿宋" w:cs="仿宋"/>
                <w:b/>
                <w:color w:val="auto"/>
                <w:szCs w:val="21"/>
                <w:highlight w:val="none"/>
              </w:rPr>
            </w:pPr>
            <w:r>
              <w:rPr>
                <w:rFonts w:hint="eastAsia" w:ascii="仿宋" w:hAnsi="仿宋" w:eastAsia="仿宋" w:cs="仿宋"/>
                <w:color w:val="auto"/>
                <w:szCs w:val="21"/>
                <w:highlight w:val="none"/>
                <w:lang w:bidi="ar"/>
              </w:rPr>
              <w:t>3.箱体材质上盖：HDPE（高密度聚乙烯），箱体：PP（聚丙烯），内层：PU（聚氨酯）隔绝材质PU发泡技术，携带方式拉杆+手提设计内部结构单层无隔板。</w:t>
            </w:r>
          </w:p>
        </w:tc>
      </w:tr>
      <w:tr w14:paraId="102E252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54A26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FDA058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蓝牙音箱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AF5071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9E487E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947533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1.基础参数</w:t>
            </w:r>
          </w:p>
          <w:p w14:paraId="310BD0D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①材质主体：塑料框架+可回收织物网罩边缘：弹性橡胶缓冲层（防碰撞）。</w:t>
            </w:r>
          </w:p>
          <w:p w14:paraId="21B698F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②尺寸94±1mm×76±1mm×42±1mm（掌心大小，便携设计）。</w:t>
            </w:r>
          </w:p>
          <w:p w14:paraId="10BEC5E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③重量190±5克（含电池）。</w:t>
            </w:r>
          </w:p>
          <w:p w14:paraId="14D1998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2.功能特性</w:t>
            </w:r>
          </w:p>
          <w:p w14:paraId="3099B35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①蓝牙技术版本：5.3。</w:t>
            </w:r>
          </w:p>
          <w:p w14:paraId="2F97915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②有效距离：10米（无障碍环境）</w:t>
            </w:r>
          </w:p>
          <w:p w14:paraId="3FBE989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③续航能力常规播放：7小时（中等音量）。</w:t>
            </w:r>
          </w:p>
          <w:p w14:paraId="5C93149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④充电时间：≤3小时（Type-C接口，5V/3A）。</w:t>
            </w:r>
          </w:p>
          <w:p w14:paraId="6700668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⑤电池容量：≥850mAh锂离子电池。</w:t>
            </w:r>
          </w:p>
          <w:p w14:paraId="378090C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3.音频性能</w:t>
            </w:r>
          </w:p>
          <w:p w14:paraId="5194B7C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①功率4.2WRMS（全频驱动单元）。</w:t>
            </w:r>
          </w:p>
          <w:p w14:paraId="0C362B8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②频响范围90Hz-20kHz（覆盖中高频，低频通过无源辐射器增强）。</w:t>
            </w:r>
          </w:p>
          <w:p w14:paraId="52CDC22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③失真度≤1%（高保真还原）。</w:t>
            </w:r>
          </w:p>
        </w:tc>
      </w:tr>
      <w:tr w14:paraId="77BB64E9">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1F1A17BE">
            <w:pPr>
              <w:widowControl/>
              <w:jc w:val="center"/>
              <w:rPr>
                <w:rFonts w:ascii="仿宋" w:hAnsi="仿宋" w:eastAsia="仿宋" w:cs="仿宋"/>
                <w:b/>
                <w:bCs/>
                <w:color w:val="auto"/>
                <w:szCs w:val="21"/>
                <w:highlight w:val="none"/>
              </w:rPr>
            </w:pPr>
            <w:r>
              <w:rPr>
                <w:rFonts w:hint="eastAsia" w:ascii="仿宋" w:hAnsi="仿宋" w:eastAsia="仿宋" w:cs="仿宋"/>
                <w:b/>
                <w:bCs/>
                <w:color w:val="auto"/>
                <w:szCs w:val="21"/>
                <w:highlight w:val="none"/>
                <w:lang w:bidi="ar"/>
              </w:rPr>
              <w:t>社团类</w:t>
            </w:r>
          </w:p>
        </w:tc>
      </w:tr>
      <w:tr w14:paraId="166932D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01EA57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843A9D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象棋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FAE961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83362C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CE1F88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1.棋子材质：采用天然原木制作，木质均匀细腻，表面光滑无毛刺、无开裂、无结节。</w:t>
            </w:r>
          </w:p>
          <w:p w14:paraId="1D3B349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2.棋子直径：40mm，厚度均匀一致，误差≤0.5mm。</w:t>
            </w:r>
          </w:p>
          <w:p w14:paraId="01C5343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3.棋子字体：红黑双色，字迹清晰饱满，采用烫印或雕刻工艺，不掉色、不磨损。</w:t>
            </w:r>
          </w:p>
          <w:p w14:paraId="4D5A53A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4.棋子重量：单颗棋子重量适中，手感舒适，落子沉稳。</w:t>
            </w:r>
          </w:p>
          <w:p w14:paraId="7B0CB43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5.棋盘规格：折叠式便携棋盘，展开尺寸不小于400mm×450mm，棋盘格线清晰、工整，采用复合板或密度板基材。</w:t>
            </w:r>
          </w:p>
          <w:p w14:paraId="574C9F8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6.棋盘工艺：棋盘表面覆膜或喷漆处理，耐磨防污，格线颜色鲜明不反光。</w:t>
            </w:r>
          </w:p>
          <w:p w14:paraId="48914BF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7.收纳设计：棋盘折叠后可将棋子收纳于内部，便于携带和存放。</w:t>
            </w:r>
          </w:p>
        </w:tc>
      </w:tr>
      <w:tr w14:paraId="621E6CD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774D3E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D1FAFE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国际象棋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4F9F5D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DAB7A0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E0BB6D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1.产品名称及规格：磁吸式木制国际象棋套装，棋盘尺寸≥390mm×390mm（展开后）。</w:t>
            </w:r>
          </w:p>
          <w:p w14:paraId="1617AEF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2.技术参数</w:t>
            </w:r>
          </w:p>
          <w:p w14:paraId="0087C26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①棋盘材质：采用实木或高密度木质板材，表面贴覆专业国际象棋棋盘纹路，纹理清晰自然，不得使用纸质覆面。</w:t>
            </w:r>
          </w:p>
          <w:p w14:paraId="31147AF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②棋盘尺寸：展开尺寸≥390mm×390mm，厚度不低于10mm，棋盘格线印刷精准，黑白格分明，格线不反光、不褪色。</w:t>
            </w:r>
          </w:p>
          <w:p w14:paraId="0E09A08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③棋盘工艺：折叠式设计，折叠后尺寸≤390mm×195mm，便于收纳携带；折合处采用金属合页加固，开合顺畅无松动；棋盘四角倒角处理，光滑无毛刺。</w:t>
            </w:r>
          </w:p>
          <w:p w14:paraId="16206DF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④棋子材质：实木制作，木质均匀细腻，表面清漆处理，光滑无毛刺、无开裂、无结节。</w:t>
            </w:r>
          </w:p>
          <w:p w14:paraId="4628C05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⑤棋子规格：王高度不低于70mm，底座直径不低于30mm，后高度不低于60mm，底座直径不低于28mm，其余棋子按比例递减，所有棋子大小比例协调，符合国际象棋标准形制。</w:t>
            </w:r>
          </w:p>
          <w:p w14:paraId="06396B3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⑥棋子工艺：棋子内置强力磁铁，磁吸力适中，吸附牢固不易滑落，同时方便拿取移动棋子底部镶嵌软磁垫或金属片，与棋盘磁性匹配，确保摆放平稳棋子底部粘贴毛毡，保护棋盘表面，移动时无噪音。</w:t>
            </w:r>
          </w:p>
          <w:p w14:paraId="4B76489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⑦棋子颜色：浅色棋与深色棋各16枚，共计32枚，颜色对比鲜明。</w:t>
            </w:r>
          </w:p>
        </w:tc>
      </w:tr>
      <w:tr w14:paraId="7ACF4368">
        <w:tblPrEx>
          <w:tblCellMar>
            <w:top w:w="0" w:type="dxa"/>
            <w:left w:w="108" w:type="dxa"/>
            <w:bottom w:w="0" w:type="dxa"/>
            <w:right w:w="108" w:type="dxa"/>
          </w:tblCellMar>
        </w:tblPrEx>
        <w:trPr>
          <w:trHeight w:val="841"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148167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3B41A6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围棋</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9839A7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D0C497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D01B07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1.产品名称及规格：围棋套装，包含2.0cm厚度楠竹双面棋盘（13路）1副、楠竹棋罐2个、仿玉棋子361粒（黑子181粒+白子180粒）。</w:t>
            </w:r>
          </w:p>
          <w:p w14:paraId="7704810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2.技术参数</w:t>
            </w:r>
          </w:p>
          <w:p w14:paraId="2DF47AB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①棋盘材质：采用天然楠竹材质，竹质均匀细腻，表面光滑无毛刺、无开裂、无变形。</w:t>
            </w:r>
          </w:p>
          <w:p w14:paraId="285C043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②棋盘厚度：≥2.0cm，厚度均匀一致，手感扎实稳固。</w:t>
            </w:r>
          </w:p>
        </w:tc>
      </w:tr>
      <w:tr w14:paraId="4E5165F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3FC425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EF82F3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飞盘</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84B3A7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1A8B55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C03212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1.基础规格</w:t>
            </w:r>
          </w:p>
          <w:p w14:paraId="189FE9B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①标准重量：175±3g（静态称重，符合WFDF世界飞盘联合会竞赛标准）。</w:t>
            </w:r>
          </w:p>
          <w:p w14:paraId="725DEF2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②直径×厚度：27.3cm±0.5cm×3.2cm±0.2mm（边缘至中心渐变设计）。</w:t>
            </w:r>
          </w:p>
          <w:p w14:paraId="27D46B7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③材质构成：外层：高弹性TPU（邵氏硬度80±5A，密度1.12g/cm³）；内层：玻纤增强尼龙（纤维含量≥20%，层厚1.5±0.1mm）。</w:t>
            </w:r>
          </w:p>
          <w:p w14:paraId="2AB26DB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2.飞行性能</w:t>
            </w:r>
          </w:p>
          <w:p w14:paraId="54AABA6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①空气动力学参数：升阻比（L/D）：≥1.8（风速5m/s测试）。</w:t>
            </w:r>
          </w:p>
          <w:p w14:paraId="2DB2C38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②滑翔稳定性：30m投掷水平偏移≤1.5m（无风环境）。</w:t>
            </w:r>
          </w:p>
          <w:p w14:paraId="2DB79C2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③旋转保持：初始转速≥1200rpm时，10秒后转速保留≥60%。</w:t>
            </w:r>
          </w:p>
          <w:p w14:paraId="06775A0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④抗风性能：5级风（8.0-10.7m/s）下飞行轨迹偏移率≤20%。</w:t>
            </w:r>
          </w:p>
        </w:tc>
      </w:tr>
      <w:tr w14:paraId="4A8DB51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27BF2A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3BC1C3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花样跳绳</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69746A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742B8C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根</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89AF05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1.4米花样跳绳，绳体长度4-4.2米（可调节）。</w:t>
            </w:r>
          </w:p>
          <w:p w14:paraId="2D9C08D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2.绳体采用PVC或PP环保塑料材质，柔韧性好，耐磨耐用。</w:t>
            </w:r>
          </w:p>
          <w:p w14:paraId="5778CB6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3.绳体结构为竹节式设计（单节长度约30-35mm），打地声音清脆，节奏感强，便于学生掌握摇绳节奏。</w:t>
            </w:r>
          </w:p>
          <w:p w14:paraId="47E851C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4.手柄采用防滑设计，握持舒适，不易脱手。</w:t>
            </w:r>
          </w:p>
          <w:p w14:paraId="0B81F90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5.手柄内置轴承或活扣连接，转动灵活，防止缠绕打结。</w:t>
            </w:r>
          </w:p>
          <w:p w14:paraId="5D27640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6.绳体颜色鲜艳，不易褪色。</w:t>
            </w:r>
          </w:p>
        </w:tc>
      </w:tr>
      <w:tr w14:paraId="44EF37F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BF61C7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0029C3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拔河绳</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E1FF9F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CE6C13E">
            <w:pPr>
              <w:jc w:val="left"/>
              <w:rPr>
                <w:rFonts w:ascii="仿宋" w:hAnsi="仿宋" w:eastAsia="仿宋" w:cs="仿宋"/>
                <w:color w:val="auto"/>
                <w:szCs w:val="21"/>
                <w:highlight w:val="none"/>
              </w:rPr>
            </w:pPr>
            <w:r>
              <w:rPr>
                <w:rFonts w:hint="eastAsia" w:ascii="仿宋" w:hAnsi="仿宋" w:eastAsia="仿宋" w:cs="仿宋"/>
                <w:color w:val="auto"/>
                <w:szCs w:val="21"/>
                <w:highlight w:val="none"/>
              </w:rPr>
              <w:t>根</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039303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1.规格尺寸：长度：28m±0.5m（含两端握把），直径：32mm±2mm；握把长度：≥1.2m。</w:t>
            </w:r>
          </w:p>
          <w:p w14:paraId="29A28D8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2.表面防滑纹路设计（摩擦系数≥0.75）。</w:t>
            </w:r>
          </w:p>
        </w:tc>
      </w:tr>
      <w:tr w14:paraId="4472968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86E837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59CE26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长跳绳</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966485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997BBD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根</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0C4E13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1.绳长500厘米（误差±5厘米），绳径8毫米（误差±0.5毫米）。</w:t>
            </w:r>
          </w:p>
          <w:p w14:paraId="4B58E1E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2.绳体用紧密均匀棉纱，两端牢固锁边防松散。</w:t>
            </w:r>
          </w:p>
          <w:p w14:paraId="01D9700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3.柔韧性好易弯曲转动且能恢复。</w:t>
            </w:r>
          </w:p>
          <w:p w14:paraId="0BA2C3C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4.色泽为棉纱原色无染色褪色，表面光滑无毛刺。</w:t>
            </w:r>
          </w:p>
          <w:p w14:paraId="472A2FAA">
            <w:pPr>
              <w:widowControl/>
              <w:jc w:val="left"/>
              <w:rPr>
                <w:rFonts w:ascii="仿宋" w:hAnsi="仿宋" w:eastAsia="仿宋" w:cs="仿宋"/>
                <w:color w:val="auto"/>
                <w:szCs w:val="21"/>
                <w:highlight w:val="none"/>
              </w:rPr>
            </w:pPr>
            <w:r>
              <w:rPr>
                <w:rFonts w:hint="eastAsia" w:ascii="仿宋" w:hAnsi="仿宋" w:eastAsia="仿宋" w:cs="仿宋"/>
                <w:b w:val="0"/>
                <w:bCs w:val="0"/>
                <w:color w:val="auto"/>
                <w:szCs w:val="21"/>
                <w:highlight w:val="none"/>
                <w:lang w:bidi="ar"/>
              </w:rPr>
              <w:t>5.绳体采用多股天然麻纤维或合成纤维绞制。</w:t>
            </w:r>
          </w:p>
        </w:tc>
      </w:tr>
      <w:tr w14:paraId="58719F2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ED2F2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FF6EE4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平推毽球</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1A2F44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180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F373C2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11C247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1.符合国家GB/T29778-2013《毽球》标准，适用于学校体育教学、训练及比赛使用。</w:t>
            </w:r>
          </w:p>
          <w:p w14:paraId="2A26D3B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2.球体直径4.2cm（误差±0.1cm），总重量14.5g（误差±0.5g），符合赛事要求。</w:t>
            </w:r>
          </w:p>
          <w:p w14:paraId="27D48E7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3.外层羽毛采用8根鹅毛，经高温定型处理，羽毛排列呈螺旋式结构，不易脱落、风阻小、飞行轨迹稳定。</w:t>
            </w:r>
          </w:p>
          <w:p w14:paraId="46707A2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4.内芯为天然橡胶球胆，弹性稳定，耐摔耐磨。</w:t>
            </w:r>
          </w:p>
          <w:p w14:paraId="450E3E2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5.颜色为经典红白配色，色彩鲜明，便于观察飞行轨迹。</w:t>
            </w:r>
          </w:p>
          <w:p w14:paraId="4C0059C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6.整球无明显接缝，手感圆润，重量分布均匀。</w:t>
            </w:r>
          </w:p>
        </w:tc>
      </w:tr>
      <w:tr w14:paraId="6111002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F274E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69196B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啦啦操手花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64C6EF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EE0634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对</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AF6C28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1.啦啦操手花规格为4寸（手柄款），花球直径约4寸（10-12cm），手柄长度8-10cm，加粗防滑设计，便于抓握。</w:t>
            </w:r>
          </w:p>
          <w:p w14:paraId="504D472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2.花瓣采用环保PP材质，柔软有弹性，不易折断，摇晃时律动感强。</w:t>
            </w:r>
          </w:p>
          <w:p w14:paraId="491BB6C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3.手柄内置加粗铁丝或多层固定结构，花瓣紧密排列，不易脱落散开。</w:t>
            </w:r>
          </w:p>
          <w:p w14:paraId="1027D98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4.整体颜色为彩虹蓝（由浅蓝至深蓝渐变或多层次蓝色搭配），色彩鲜艳饱满，阳光下不褪色。</w:t>
            </w:r>
          </w:p>
          <w:p w14:paraId="28657EB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5.单只重量约25-30g，手感轻盈。</w:t>
            </w:r>
          </w:p>
        </w:tc>
      </w:tr>
      <w:tr w14:paraId="1D071567">
        <w:tblPrEx>
          <w:tblCellMar>
            <w:top w:w="0" w:type="dxa"/>
            <w:left w:w="108" w:type="dxa"/>
            <w:bottom w:w="0" w:type="dxa"/>
            <w:right w:w="108" w:type="dxa"/>
          </w:tblCellMar>
        </w:tblPrEx>
        <w:trPr>
          <w:trHeight w:val="454" w:hRule="atLeast"/>
          <w:jc w:val="center"/>
        </w:trPr>
        <w:tc>
          <w:tcPr>
            <w:tcW w:w="9729" w:type="dxa"/>
            <w:gridSpan w:val="5"/>
            <w:tcBorders>
              <w:top w:val="single" w:color="000000" w:sz="4" w:space="0"/>
              <w:left w:val="single" w:color="000000" w:sz="4" w:space="0"/>
              <w:bottom w:val="single" w:color="000000" w:sz="4" w:space="0"/>
              <w:right w:val="single" w:color="000000" w:sz="4" w:space="0"/>
            </w:tcBorders>
            <w:noWrap w:val="0"/>
            <w:vAlign w:val="center"/>
          </w:tcPr>
          <w:p w14:paraId="1F88F720">
            <w:pPr>
              <w:widowControl/>
              <w:jc w:val="center"/>
              <w:rPr>
                <w:rFonts w:ascii="仿宋" w:hAnsi="仿宋" w:eastAsia="仿宋" w:cs="仿宋"/>
                <w:b/>
                <w:bCs/>
                <w:color w:val="auto"/>
                <w:szCs w:val="21"/>
                <w:highlight w:val="none"/>
              </w:rPr>
            </w:pPr>
            <w:r>
              <w:rPr>
                <w:rFonts w:hint="eastAsia" w:ascii="仿宋" w:hAnsi="仿宋" w:eastAsia="仿宋" w:cs="仿宋"/>
                <w:b/>
                <w:bCs/>
                <w:color w:val="auto"/>
                <w:szCs w:val="21"/>
                <w:highlight w:val="none"/>
                <w:lang w:bidi="ar"/>
              </w:rPr>
              <w:t>卫生保健室</w:t>
            </w:r>
          </w:p>
        </w:tc>
      </w:tr>
      <w:tr w14:paraId="5EE5C84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73652F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9DDD39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诊察设备桌</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386083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D2C85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E678B4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主台：≥</w:t>
            </w:r>
            <w:r>
              <w:rPr>
                <w:rFonts w:ascii="仿宋" w:hAnsi="仿宋" w:eastAsia="仿宋" w:cs="仿宋"/>
                <w:color w:val="auto"/>
                <w:szCs w:val="21"/>
                <w:highlight w:val="none"/>
                <w:lang w:bidi="ar"/>
              </w:rPr>
              <w:t>1400×600×750mm</w:t>
            </w:r>
            <w:r>
              <w:rPr>
                <w:rFonts w:hint="eastAsia" w:ascii="仿宋" w:hAnsi="仿宋" w:eastAsia="仿宋" w:cs="仿宋"/>
                <w:color w:val="auto"/>
                <w:szCs w:val="21"/>
                <w:highlight w:val="none"/>
                <w:lang w:bidi="ar"/>
              </w:rPr>
              <w:t>，副台：≥</w:t>
            </w:r>
            <w:r>
              <w:rPr>
                <w:rFonts w:ascii="仿宋" w:hAnsi="仿宋" w:eastAsia="仿宋" w:cs="仿宋"/>
                <w:color w:val="auto"/>
                <w:szCs w:val="21"/>
                <w:highlight w:val="none"/>
                <w:lang w:bidi="ar"/>
              </w:rPr>
              <w:t>1200×450×645mm</w:t>
            </w:r>
            <w:r>
              <w:rPr>
                <w:rFonts w:hint="eastAsia" w:ascii="仿宋" w:hAnsi="仿宋" w:eastAsia="仿宋" w:cs="仿宋"/>
                <w:color w:val="auto"/>
                <w:szCs w:val="21"/>
                <w:highlight w:val="none"/>
                <w:lang w:bidi="ar"/>
              </w:rPr>
              <w:t>，柜体≥</w:t>
            </w:r>
            <w:r>
              <w:rPr>
                <w:rFonts w:ascii="仿宋" w:hAnsi="仿宋" w:eastAsia="仿宋" w:cs="仿宋"/>
                <w:color w:val="auto"/>
                <w:szCs w:val="21"/>
                <w:highlight w:val="none"/>
                <w:lang w:bidi="ar"/>
              </w:rPr>
              <w:t>0.7mm冷轧钢板</w:t>
            </w:r>
            <w:r>
              <w:rPr>
                <w:rFonts w:hint="eastAsia" w:ascii="仿宋" w:hAnsi="仿宋" w:eastAsia="仿宋" w:cs="仿宋"/>
                <w:color w:val="auto"/>
                <w:szCs w:val="21"/>
                <w:highlight w:val="none"/>
                <w:lang w:bidi="ar"/>
              </w:rPr>
              <w:t>，钢架为≥</w:t>
            </w:r>
            <w:r>
              <w:rPr>
                <w:rFonts w:ascii="仿宋" w:hAnsi="仿宋" w:eastAsia="仿宋" w:cs="仿宋"/>
                <w:color w:val="auto"/>
                <w:szCs w:val="21"/>
                <w:highlight w:val="none"/>
                <w:lang w:bidi="ar"/>
              </w:rPr>
              <w:t>1.5mm矩形管</w:t>
            </w:r>
            <w:r>
              <w:rPr>
                <w:rFonts w:hint="eastAsia" w:ascii="仿宋" w:hAnsi="仿宋" w:eastAsia="仿宋" w:cs="仿宋"/>
                <w:color w:val="auto"/>
                <w:szCs w:val="21"/>
                <w:highlight w:val="none"/>
                <w:lang w:bidi="ar"/>
              </w:rPr>
              <w:t>，≥</w:t>
            </w:r>
            <w:r>
              <w:rPr>
                <w:rFonts w:ascii="仿宋" w:hAnsi="仿宋" w:eastAsia="仿宋" w:cs="仿宋"/>
                <w:color w:val="auto"/>
                <w:szCs w:val="21"/>
                <w:highlight w:val="none"/>
                <w:lang w:bidi="ar"/>
              </w:rPr>
              <w:t>25×50×1.2mm方管</w:t>
            </w:r>
            <w:r>
              <w:rPr>
                <w:rFonts w:hint="eastAsia" w:ascii="仿宋" w:hAnsi="仿宋" w:eastAsia="仿宋" w:cs="仿宋"/>
                <w:color w:val="auto"/>
                <w:szCs w:val="21"/>
                <w:highlight w:val="none"/>
                <w:lang w:bidi="ar"/>
              </w:rPr>
              <w:t>，主台含一块钢吊板，副台带一个侧三抽柜，中间一个打印机托盘和一个抽屉，侧面带一个主机箱。</w:t>
            </w:r>
          </w:p>
        </w:tc>
      </w:tr>
      <w:tr w14:paraId="72FD6BBF">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F5B29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E676CE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诊察设备椅</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8E61B3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E02800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097198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网布饰面</w:t>
            </w:r>
          </w:p>
          <w:p w14:paraId="58742E0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1.背框：</w:t>
            </w:r>
            <w:r>
              <w:rPr>
                <w:rFonts w:ascii="仿宋" w:hAnsi="仿宋" w:eastAsia="仿宋" w:cs="仿宋"/>
                <w:color w:val="auto"/>
                <w:szCs w:val="21"/>
                <w:highlight w:val="none"/>
                <w:lang w:bidi="ar"/>
              </w:rPr>
              <w:t>PP+玻纤增强塑料</w:t>
            </w:r>
            <w:r>
              <w:rPr>
                <w:rFonts w:hint="eastAsia" w:ascii="仿宋" w:hAnsi="仿宋" w:eastAsia="仿宋" w:cs="仿宋"/>
                <w:color w:val="auto"/>
                <w:szCs w:val="21"/>
                <w:highlight w:val="none"/>
                <w:lang w:bidi="ar"/>
              </w:rPr>
              <w:t>。</w:t>
            </w:r>
          </w:p>
          <w:p w14:paraId="54EACA9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2.扶手：</w:t>
            </w:r>
            <w:r>
              <w:rPr>
                <w:rFonts w:ascii="仿宋" w:hAnsi="仿宋" w:eastAsia="仿宋" w:cs="仿宋"/>
                <w:color w:val="auto"/>
                <w:szCs w:val="21"/>
                <w:highlight w:val="none"/>
                <w:lang w:bidi="ar"/>
              </w:rPr>
              <w:t>PP+玻纤增强塑料</w:t>
            </w:r>
            <w:r>
              <w:rPr>
                <w:rFonts w:hint="eastAsia" w:ascii="仿宋" w:hAnsi="仿宋" w:eastAsia="仿宋" w:cs="仿宋"/>
                <w:color w:val="auto"/>
                <w:szCs w:val="21"/>
                <w:highlight w:val="none"/>
                <w:lang w:bidi="ar"/>
              </w:rPr>
              <w:t>。</w:t>
            </w:r>
          </w:p>
          <w:p w14:paraId="4A3F54B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3.坐垫绵：</w:t>
            </w:r>
            <w:r>
              <w:rPr>
                <w:rFonts w:ascii="仿宋" w:hAnsi="仿宋" w:eastAsia="仿宋" w:cs="仿宋"/>
                <w:color w:val="auto"/>
                <w:szCs w:val="21"/>
                <w:highlight w:val="none"/>
                <w:lang w:bidi="ar"/>
              </w:rPr>
              <w:t>50密度高回弹一体成形定型海绵</w:t>
            </w:r>
            <w:r>
              <w:rPr>
                <w:rFonts w:hint="eastAsia" w:ascii="仿宋" w:hAnsi="仿宋" w:eastAsia="仿宋" w:cs="仿宋"/>
                <w:color w:val="auto"/>
                <w:szCs w:val="21"/>
                <w:highlight w:val="none"/>
                <w:lang w:bidi="ar"/>
              </w:rPr>
              <w:t>。</w:t>
            </w:r>
          </w:p>
          <w:p w14:paraId="6F582F0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4.底盘：≥</w:t>
            </w:r>
            <w:r>
              <w:rPr>
                <w:rFonts w:ascii="仿宋" w:hAnsi="仿宋" w:eastAsia="仿宋" w:cs="仿宋"/>
                <w:color w:val="auto"/>
                <w:szCs w:val="21"/>
                <w:highlight w:val="none"/>
                <w:lang w:bidi="ar"/>
              </w:rPr>
              <w:t>25mm厚钢制底盘</w:t>
            </w:r>
            <w:r>
              <w:rPr>
                <w:rFonts w:hint="eastAsia" w:ascii="仿宋" w:hAnsi="仿宋" w:eastAsia="仿宋" w:cs="仿宋"/>
                <w:color w:val="auto"/>
                <w:szCs w:val="21"/>
                <w:highlight w:val="none"/>
                <w:lang w:bidi="ar"/>
              </w:rPr>
              <w:t>。</w:t>
            </w:r>
          </w:p>
          <w:p w14:paraId="518DCCA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5.气杆：</w:t>
            </w:r>
            <w:r>
              <w:rPr>
                <w:rFonts w:ascii="仿宋" w:hAnsi="仿宋" w:eastAsia="仿宋" w:cs="仿宋"/>
                <w:color w:val="auto"/>
                <w:szCs w:val="21"/>
                <w:highlight w:val="none"/>
                <w:lang w:bidi="ar"/>
              </w:rPr>
              <w:t>85mm行程黑色升降气压杆</w:t>
            </w:r>
            <w:r>
              <w:rPr>
                <w:rFonts w:hint="eastAsia" w:ascii="仿宋" w:hAnsi="仿宋" w:eastAsia="仿宋" w:cs="仿宋"/>
                <w:color w:val="auto"/>
                <w:szCs w:val="21"/>
                <w:highlight w:val="none"/>
                <w:lang w:bidi="ar"/>
              </w:rPr>
              <w:t>。</w:t>
            </w:r>
          </w:p>
          <w:p w14:paraId="20BFA77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6.脚：</w:t>
            </w:r>
            <w:r>
              <w:rPr>
                <w:rFonts w:ascii="仿宋" w:hAnsi="仿宋" w:eastAsia="仿宋" w:cs="仿宋"/>
                <w:color w:val="auto"/>
                <w:szCs w:val="21"/>
                <w:highlight w:val="none"/>
                <w:lang w:bidi="ar"/>
              </w:rPr>
              <w:t>PA尼龙脚，承重测试≥1100kg</w:t>
            </w:r>
            <w:r>
              <w:rPr>
                <w:rFonts w:hint="eastAsia" w:ascii="仿宋" w:hAnsi="仿宋" w:eastAsia="仿宋" w:cs="仿宋"/>
                <w:color w:val="auto"/>
                <w:szCs w:val="21"/>
                <w:highlight w:val="none"/>
                <w:lang w:bidi="ar"/>
              </w:rPr>
              <w:t>。</w:t>
            </w:r>
          </w:p>
          <w:p w14:paraId="7133A4C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7.轮子：</w:t>
            </w:r>
            <w:r>
              <w:rPr>
                <w:rFonts w:ascii="仿宋" w:hAnsi="仿宋" w:eastAsia="仿宋" w:cs="仿宋"/>
                <w:color w:val="auto"/>
                <w:szCs w:val="21"/>
                <w:highlight w:val="none"/>
                <w:lang w:bidi="ar"/>
              </w:rPr>
              <w:t>PA尼龙万向轮，静音耐磨</w:t>
            </w:r>
            <w:r>
              <w:rPr>
                <w:rFonts w:hint="eastAsia" w:ascii="仿宋" w:hAnsi="仿宋" w:eastAsia="仿宋" w:cs="仿宋"/>
                <w:color w:val="auto"/>
                <w:szCs w:val="21"/>
                <w:highlight w:val="none"/>
                <w:lang w:bidi="ar"/>
              </w:rPr>
              <w:t>。</w:t>
            </w:r>
          </w:p>
        </w:tc>
      </w:tr>
      <w:tr w14:paraId="6193DB4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AEFFDA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389DF3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卫生药品收纳</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D73171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AC22FE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1E6E3E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w:t>
            </w:r>
            <w:r>
              <w:rPr>
                <w:rFonts w:ascii="仿宋" w:hAnsi="仿宋" w:eastAsia="仿宋" w:cs="仿宋"/>
                <w:color w:val="auto"/>
                <w:szCs w:val="21"/>
                <w:highlight w:val="none"/>
                <w:lang w:bidi="ar"/>
              </w:rPr>
              <w:t>450×900×1800mm</w:t>
            </w:r>
            <w:r>
              <w:rPr>
                <w:rFonts w:hint="eastAsia" w:ascii="仿宋" w:hAnsi="仿宋" w:eastAsia="仿宋" w:cs="仿宋"/>
                <w:color w:val="auto"/>
                <w:szCs w:val="21"/>
                <w:highlight w:val="none"/>
                <w:lang w:bidi="ar"/>
              </w:rPr>
              <w:t>。</w:t>
            </w:r>
          </w:p>
          <w:p w14:paraId="68FD127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2.材质：PP材质。</w:t>
            </w:r>
          </w:p>
          <w:p w14:paraId="47D568E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3.柜体：侧板，顶板及底板采用增强型PP材质，一体注塑成型。表面做磨砂处理，结构紧密，耐腐蚀性强。</w:t>
            </w:r>
          </w:p>
          <w:p w14:paraId="31A2500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4.上柜门：采用增强型PP材质一体注塑成型，外嵌4mm钢化烤漆玻璃</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中间玻璃做镂空处理，透明可视。</w:t>
            </w:r>
          </w:p>
          <w:p w14:paraId="2D4B4E7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5.下柜门：采用增强型PP材质一体注塑成型，外嵌4mm钢化烤漆玻璃。</w:t>
            </w:r>
          </w:p>
          <w:p w14:paraId="12EF971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6.层板：配≥</w:t>
            </w:r>
            <w:r>
              <w:rPr>
                <w:rFonts w:ascii="仿宋" w:hAnsi="仿宋" w:eastAsia="仿宋" w:cs="仿宋"/>
                <w:color w:val="auto"/>
                <w:szCs w:val="21"/>
                <w:highlight w:val="none"/>
                <w:lang w:bidi="ar"/>
              </w:rPr>
              <w:t>2块可调活动层板</w:t>
            </w:r>
            <w:r>
              <w:rPr>
                <w:rFonts w:hint="eastAsia" w:ascii="仿宋" w:hAnsi="仿宋" w:eastAsia="仿宋" w:cs="仿宋"/>
                <w:color w:val="auto"/>
                <w:szCs w:val="21"/>
                <w:highlight w:val="none"/>
                <w:lang w:bidi="ar"/>
              </w:rPr>
              <w:t>，层板为增强型PP材质一体注层板加强筋为整体抽芯工艺，抽芯处加入两根1.2mm厚方管，承重不低于20公斤。美观耐用。层板可以抽取，自由组合各层空间。</w:t>
            </w:r>
          </w:p>
          <w:p w14:paraId="23CDDAB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7.门铰链：用增强型PP材质一体注塑成型，内嵌隐藏安装方便，耐腐蚀。</w:t>
            </w:r>
          </w:p>
          <w:p w14:paraId="2E55EEB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8.药品柜内部无可视金属材料，确保了药品柜的耐腐蚀性。</w:t>
            </w:r>
          </w:p>
          <w:p w14:paraId="4C96968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9.柜体预留通风系统，可以与通风管路连接。</w:t>
            </w:r>
          </w:p>
          <w:p w14:paraId="5BA2771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10.阶梯：配一块阶梯；规格≥245*120*800mm</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整体PP材料一体注塑成型（非二次焊接或者拼接）</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牢固耐用，一共两层，每层高度60mm，宽度112mm，同层板组成三层阶梯。</w:t>
            </w:r>
          </w:p>
        </w:tc>
      </w:tr>
      <w:tr w14:paraId="487EF61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D9651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3C549C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卫生专用器材柜</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50026D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BF7B2E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92C4257">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w:t>
            </w:r>
            <w:r>
              <w:rPr>
                <w:rFonts w:ascii="仿宋" w:hAnsi="仿宋" w:eastAsia="仿宋" w:cs="仿宋"/>
                <w:color w:val="auto"/>
                <w:szCs w:val="21"/>
                <w:highlight w:val="none"/>
                <w:lang w:bidi="ar"/>
              </w:rPr>
              <w:t>1000×500×2000mm</w:t>
            </w:r>
          </w:p>
          <w:p w14:paraId="74BCC5B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2.柜体框架：采用模具成型的专用铝合金方管制作，通过ABS专用连接件组装而成，保证连接牢固。铝合金管材壁厚≥</w:t>
            </w:r>
            <w:r>
              <w:rPr>
                <w:rFonts w:ascii="仿宋" w:hAnsi="仿宋" w:eastAsia="仿宋" w:cs="仿宋"/>
                <w:color w:val="auto"/>
                <w:szCs w:val="21"/>
                <w:highlight w:val="none"/>
                <w:lang w:bidi="ar"/>
              </w:rPr>
              <w:t>1.2mm</w:t>
            </w:r>
            <w:r>
              <w:rPr>
                <w:rFonts w:hint="eastAsia" w:ascii="仿宋" w:hAnsi="仿宋" w:eastAsia="仿宋" w:cs="仿宋"/>
                <w:color w:val="auto"/>
                <w:szCs w:val="21"/>
                <w:highlight w:val="none"/>
                <w:lang w:bidi="ar"/>
              </w:rPr>
              <w:t>（误差≤±0.15mm）。铝合金型材带凹槽，凹槽的宽度与柜体衬板（</w:t>
            </w:r>
            <w:r>
              <w:rPr>
                <w:rFonts w:ascii="仿宋" w:hAnsi="仿宋" w:eastAsia="仿宋" w:cs="仿宋"/>
                <w:color w:val="auto"/>
                <w:szCs w:val="21"/>
                <w:highlight w:val="none"/>
                <w:lang w:bidi="ar"/>
              </w:rPr>
              <w:t>E1级环保板材）</w:t>
            </w:r>
            <w:r>
              <w:rPr>
                <w:rFonts w:hint="eastAsia" w:ascii="仿宋" w:hAnsi="仿宋" w:eastAsia="仿宋" w:cs="仿宋"/>
                <w:color w:val="auto"/>
                <w:szCs w:val="21"/>
                <w:highlight w:val="none"/>
                <w:lang w:bidi="ar"/>
              </w:rPr>
              <w:t>相匹配，凹槽的深度足够，保证柜体衬板与铝型材之间接缝严密，无晃动现象，不发生脱落。铝合金型材表面需经</w:t>
            </w:r>
            <w:r>
              <w:rPr>
                <w:rFonts w:hint="eastAsia" w:ascii="仿宋" w:hAnsi="仿宋" w:eastAsia="仿宋" w:cs="仿宋"/>
                <w:color w:val="auto"/>
                <w:szCs w:val="21"/>
                <w:highlight w:val="none"/>
                <w:lang w:eastAsia="zh-CN" w:bidi="ar"/>
              </w:rPr>
              <w:t>静电粉末喷涂</w:t>
            </w:r>
            <w:r>
              <w:rPr>
                <w:rFonts w:hint="eastAsia" w:ascii="仿宋" w:hAnsi="仿宋" w:eastAsia="仿宋" w:cs="仿宋"/>
                <w:color w:val="auto"/>
                <w:szCs w:val="21"/>
                <w:highlight w:val="none"/>
                <w:lang w:bidi="ar"/>
              </w:rPr>
              <w:t>处理，整体耐腐蚀、防火、防潮、稳固耐用。</w:t>
            </w:r>
          </w:p>
          <w:p w14:paraId="76F9195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3.柜体采用E1级16mm的暖白实木颗粒板，所有板材外露面采用不可逆封边工艺，封边耐热、寒、水蒸气、化学品和溶剂，稳定性强，封边后封边条不可剥离，高密封性不吸水、不膨胀，</w:t>
            </w:r>
            <w:r>
              <w:rPr>
                <w:rFonts w:hint="eastAsia" w:ascii="仿宋" w:hAnsi="仿宋" w:eastAsia="仿宋" w:cs="仿宋"/>
                <w:color w:val="auto"/>
                <w:szCs w:val="21"/>
                <w:highlight w:val="none"/>
                <w:lang w:eastAsia="zh-CN" w:bidi="ar"/>
              </w:rPr>
              <w:t>外形</w:t>
            </w:r>
            <w:r>
              <w:rPr>
                <w:rFonts w:hint="eastAsia" w:ascii="仿宋" w:hAnsi="仿宋" w:eastAsia="仿宋" w:cs="仿宋"/>
                <w:color w:val="auto"/>
                <w:szCs w:val="21"/>
                <w:highlight w:val="none"/>
                <w:lang w:bidi="ar"/>
              </w:rPr>
              <w:t>美观、经久耐用。</w:t>
            </w:r>
          </w:p>
          <w:p w14:paraId="328F2AE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4.柜门：上部为专用木框对开玻璃门，下部为对开木门，铝合金拉手。</w:t>
            </w:r>
          </w:p>
          <w:p w14:paraId="15CD362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5.隔板：上柜设置2块活动隔板，下柜设置1块固定隔板。隔板采用E1级18mm的暖白实木多层板制作，可活动升降，为了维护柜子空间完整及美观度，不得使用升降条等突出形态装置。</w:t>
            </w:r>
          </w:p>
          <w:p w14:paraId="6AACC4A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6.支脚：采用直径不小于8mm的不锈钢螺杆与工程塑料一次注塑成型的脚垫。</w:t>
            </w:r>
          </w:p>
        </w:tc>
      </w:tr>
      <w:tr w14:paraId="7E46A95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1C0D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01FA5A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专业洗涤台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5FD4B7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64E70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38DAEB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w:t>
            </w:r>
            <w:r>
              <w:rPr>
                <w:rFonts w:ascii="仿宋" w:hAnsi="仿宋" w:eastAsia="仿宋" w:cs="仿宋"/>
                <w:color w:val="auto"/>
                <w:szCs w:val="21"/>
                <w:highlight w:val="none"/>
                <w:lang w:bidi="ar"/>
              </w:rPr>
              <w:t>1800×600×780mm</w:t>
            </w:r>
            <w:r>
              <w:rPr>
                <w:rFonts w:hint="eastAsia" w:ascii="仿宋" w:hAnsi="仿宋" w:eastAsia="仿宋" w:cs="仿宋"/>
                <w:color w:val="auto"/>
                <w:szCs w:val="21"/>
                <w:highlight w:val="none"/>
                <w:lang w:bidi="ar"/>
              </w:rPr>
              <w:t>。</w:t>
            </w:r>
          </w:p>
          <w:p w14:paraId="2FA23E0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2.台面：采用≥12mm厚实芯理化板，具有耐酸碱腐蚀、抗污染、防水、防火特性，台面立面倒角、打磨，各处光滑。</w:t>
            </w:r>
          </w:p>
          <w:p w14:paraId="0EF5997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3.产品结构：全木结构，现代工艺，结构牢固。</w:t>
            </w:r>
          </w:p>
          <w:p w14:paraId="191469D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4.台身参数：台身主体背板及吊板采用≥16mm厚实木多层板；所有板材截面均采用PUR封边工艺，粘力强、密封性好、外形美观、经久耐用，避免甲醛随意释放，确保达到环保标准。</w:t>
            </w:r>
          </w:p>
          <w:p w14:paraId="1629D0D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5.固定脚：采用ABS工程塑料模具成型制作而成，具有高度可调、耐磨、防潮、耐腐蚀等特点。</w:t>
            </w:r>
          </w:p>
        </w:tc>
      </w:tr>
      <w:tr w14:paraId="2019725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BFA98A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B3AFDF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水槽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190E4E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55EBCE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B909FB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1.规格：420≥</w:t>
            </w:r>
            <w:r>
              <w:rPr>
                <w:rFonts w:ascii="仿宋" w:hAnsi="仿宋" w:eastAsia="仿宋" w:cs="仿宋"/>
                <w:color w:val="auto"/>
                <w:szCs w:val="21"/>
                <w:highlight w:val="none"/>
                <w:lang w:bidi="ar"/>
              </w:rPr>
              <w:t>420×320×200mm，壁厚≥5mm</w:t>
            </w:r>
            <w:r>
              <w:rPr>
                <w:rFonts w:hint="eastAsia" w:ascii="仿宋" w:hAnsi="仿宋" w:eastAsia="仿宋" w:cs="仿宋"/>
                <w:color w:val="auto"/>
                <w:szCs w:val="21"/>
                <w:highlight w:val="none"/>
                <w:lang w:bidi="ar"/>
              </w:rPr>
              <w:t>。</w:t>
            </w:r>
          </w:p>
          <w:p w14:paraId="75268FC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2.高密度黑色</w:t>
            </w:r>
            <w:r>
              <w:rPr>
                <w:rFonts w:ascii="仿宋" w:hAnsi="仿宋" w:eastAsia="仿宋" w:cs="仿宋"/>
                <w:color w:val="auto"/>
                <w:szCs w:val="21"/>
                <w:highlight w:val="none"/>
                <w:lang w:bidi="ar"/>
              </w:rPr>
              <w:t>PP材质一体注塑成型</w:t>
            </w:r>
            <w:r>
              <w:rPr>
                <w:rFonts w:hint="eastAsia" w:ascii="仿宋" w:hAnsi="仿宋" w:eastAsia="仿宋" w:cs="仿宋"/>
                <w:color w:val="auto"/>
                <w:szCs w:val="21"/>
                <w:highlight w:val="none"/>
                <w:lang w:bidi="ar"/>
              </w:rPr>
              <w:t>，具有弹性、耐酸碱、耐有机溶剂、耐热在无外力作用下加热至150℃不变形。</w:t>
            </w:r>
          </w:p>
        </w:tc>
      </w:tr>
      <w:tr w14:paraId="3440A87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B72854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7FFA37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三联水嘴</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7F6C2E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62C22B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4CBBEC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1.鹅颈式实验室专用化验水嘴：要求防酸碱、防锈、防虹吸、防阻塞，表面环氧树脂喷涂。</w:t>
            </w:r>
          </w:p>
          <w:p w14:paraId="6CF34F3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2.出水嘴为铜质瓷芯，高头，便于多用途使用，可拆卸清洗阻塞。</w:t>
            </w:r>
          </w:p>
          <w:p w14:paraId="70634080">
            <w:pPr>
              <w:widowControl/>
              <w:jc w:val="left"/>
              <w:rPr>
                <w:rFonts w:ascii="仿宋" w:hAnsi="仿宋" w:eastAsia="仿宋" w:cs="仿宋"/>
                <w:b/>
                <w:bCs/>
                <w:color w:val="auto"/>
                <w:szCs w:val="21"/>
                <w:highlight w:val="none"/>
              </w:rPr>
            </w:pPr>
            <w:r>
              <w:rPr>
                <w:rFonts w:hint="eastAsia" w:ascii="仿宋" w:hAnsi="仿宋" w:eastAsia="仿宋" w:cs="仿宋"/>
                <w:color w:val="auto"/>
                <w:szCs w:val="21"/>
                <w:highlight w:val="none"/>
                <w:lang w:bidi="ar"/>
              </w:rPr>
              <w:t>3.出水嘴可拆卸，内有成型螺纹，可方便连接循环等特殊用水水管。</w:t>
            </w:r>
          </w:p>
        </w:tc>
      </w:tr>
      <w:tr w14:paraId="2CFA243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97538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32F527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检查床</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807A3F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B3B26A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张</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2590B8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1.规格尺寸：≥</w:t>
            </w:r>
            <w:r>
              <w:rPr>
                <w:rFonts w:ascii="仿宋" w:hAnsi="仿宋" w:eastAsia="仿宋" w:cs="仿宋"/>
                <w:color w:val="auto"/>
                <w:szCs w:val="21"/>
                <w:highlight w:val="none"/>
                <w:lang w:bidi="ar"/>
              </w:rPr>
              <w:t>1880×600×670mm</w:t>
            </w:r>
            <w:r>
              <w:rPr>
                <w:rFonts w:hint="eastAsia" w:ascii="仿宋" w:hAnsi="仿宋" w:eastAsia="仿宋" w:cs="仿宋"/>
                <w:color w:val="auto"/>
                <w:szCs w:val="21"/>
                <w:highlight w:val="none"/>
                <w:lang w:bidi="ar"/>
              </w:rPr>
              <w:t>。</w:t>
            </w:r>
          </w:p>
          <w:p w14:paraId="05AFDF9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2.床框采用≥</w:t>
            </w:r>
            <w:r>
              <w:rPr>
                <w:rFonts w:ascii="仿宋" w:hAnsi="仿宋" w:eastAsia="仿宋" w:cs="仿宋"/>
                <w:color w:val="auto"/>
                <w:szCs w:val="21"/>
                <w:highlight w:val="none"/>
                <w:lang w:bidi="ar"/>
              </w:rPr>
              <w:t>40×20×1.2mm</w:t>
            </w:r>
            <w:r>
              <w:rPr>
                <w:rFonts w:hint="eastAsia" w:ascii="仿宋" w:hAnsi="仿宋" w:eastAsia="仿宋" w:cs="仿宋"/>
                <w:color w:val="auto"/>
                <w:szCs w:val="21"/>
                <w:highlight w:val="none"/>
                <w:lang w:bidi="ar"/>
              </w:rPr>
              <w:t>厚的矩管焊接。</w:t>
            </w:r>
          </w:p>
          <w:p w14:paraId="263BFE2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3.床腿采用圆形管焊接。</w:t>
            </w:r>
          </w:p>
          <w:p w14:paraId="057AB2A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4.床面采用≥</w:t>
            </w:r>
            <w:r>
              <w:rPr>
                <w:rFonts w:ascii="仿宋" w:hAnsi="仿宋" w:eastAsia="仿宋" w:cs="仿宋"/>
                <w:color w:val="auto"/>
                <w:szCs w:val="21"/>
                <w:highlight w:val="none"/>
                <w:lang w:bidi="ar"/>
              </w:rPr>
              <w:t>15mm厚多层实木板</w:t>
            </w:r>
            <w:r>
              <w:rPr>
                <w:rFonts w:hint="eastAsia" w:ascii="仿宋" w:hAnsi="仿宋" w:eastAsia="仿宋" w:cs="仿宋"/>
                <w:color w:val="auto"/>
                <w:szCs w:val="21"/>
                <w:highlight w:val="none"/>
                <w:lang w:bidi="ar"/>
              </w:rPr>
              <w:t>包覆以高密度海绵</w:t>
            </w:r>
            <w:r>
              <w:rPr>
                <w:rFonts w:ascii="仿宋" w:hAnsi="仿宋" w:eastAsia="仿宋" w:cs="仿宋"/>
                <w:color w:val="auto"/>
                <w:szCs w:val="21"/>
                <w:highlight w:val="none"/>
                <w:lang w:bidi="ar"/>
              </w:rPr>
              <w:t>+PU人造革</w:t>
            </w:r>
            <w:r>
              <w:rPr>
                <w:rFonts w:hint="eastAsia" w:ascii="仿宋" w:hAnsi="仿宋" w:eastAsia="仿宋" w:cs="仿宋"/>
                <w:color w:val="auto"/>
                <w:szCs w:val="21"/>
                <w:highlight w:val="none"/>
                <w:lang w:bidi="ar"/>
              </w:rPr>
              <w:t>制成。</w:t>
            </w:r>
          </w:p>
        </w:tc>
      </w:tr>
      <w:tr w14:paraId="211F6A0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CF48F1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41243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隔断</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308ED8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B850AD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0187E6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1.移动式。</w:t>
            </w:r>
          </w:p>
          <w:p w14:paraId="1505CA2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w:t>
            </w:r>
            <w:r>
              <w:rPr>
                <w:rFonts w:ascii="仿宋" w:hAnsi="仿宋" w:eastAsia="仿宋" w:cs="仿宋"/>
                <w:color w:val="auto"/>
                <w:szCs w:val="21"/>
                <w:highlight w:val="none"/>
                <w:lang w:bidi="ar"/>
              </w:rPr>
              <w:t>80×50cm/片，4片/套</w:t>
            </w:r>
            <w:r>
              <w:rPr>
                <w:rFonts w:hint="eastAsia" w:ascii="仿宋" w:hAnsi="仿宋" w:eastAsia="仿宋" w:cs="仿宋"/>
                <w:color w:val="auto"/>
                <w:szCs w:val="21"/>
                <w:highlight w:val="none"/>
                <w:lang w:bidi="ar"/>
              </w:rPr>
              <w:t>，屏风框架采用≥</w:t>
            </w:r>
            <w:r>
              <w:rPr>
                <w:rFonts w:ascii="仿宋" w:hAnsi="仿宋" w:eastAsia="仿宋" w:cs="仿宋"/>
                <w:color w:val="auto"/>
                <w:szCs w:val="21"/>
                <w:highlight w:val="none"/>
                <w:lang w:bidi="ar"/>
              </w:rPr>
              <w:t>2.5cm不锈钢管焊接</w:t>
            </w:r>
            <w:r>
              <w:rPr>
                <w:rFonts w:hint="eastAsia" w:ascii="仿宋" w:hAnsi="仿宋" w:eastAsia="仿宋" w:cs="仿宋"/>
                <w:color w:val="auto"/>
                <w:szCs w:val="21"/>
                <w:highlight w:val="none"/>
                <w:lang w:bidi="ar"/>
              </w:rPr>
              <w:t>，屏风布，底部配万向滑轮，移动平稳。</w:t>
            </w:r>
          </w:p>
        </w:tc>
      </w:tr>
      <w:tr w14:paraId="1D4D09D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FC2DE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80C745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体重秤</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99C9DA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AAA56C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03E82D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1.金属铝制精密指针，表盘≥</w:t>
            </w:r>
            <w:r>
              <w:rPr>
                <w:rFonts w:ascii="仿宋" w:hAnsi="仿宋" w:eastAsia="仿宋" w:cs="仿宋"/>
                <w:color w:val="auto"/>
                <w:szCs w:val="21"/>
                <w:highlight w:val="none"/>
                <w:lang w:bidi="ar"/>
              </w:rPr>
              <w:t>300mm，刻度清晰</w:t>
            </w:r>
            <w:r>
              <w:rPr>
                <w:rFonts w:hint="eastAsia" w:ascii="仿宋" w:hAnsi="仿宋" w:eastAsia="仿宋" w:cs="仿宋"/>
                <w:color w:val="auto"/>
                <w:szCs w:val="21"/>
                <w:highlight w:val="none"/>
                <w:lang w:bidi="ar"/>
              </w:rPr>
              <w:t>，精准，不易断，物理秤抗干扰。</w:t>
            </w:r>
          </w:p>
          <w:p w14:paraId="04690ED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2.表盘清晰明了，精准稳定灵敏。</w:t>
            </w:r>
          </w:p>
          <w:p w14:paraId="73E5458E">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3.静电喷塑，铝制清晰测量杆。</w:t>
            </w:r>
          </w:p>
          <w:p w14:paraId="3C99C5E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4.最大称量≥</w:t>
            </w:r>
            <w:r>
              <w:rPr>
                <w:rFonts w:ascii="仿宋" w:hAnsi="仿宋" w:eastAsia="仿宋" w:cs="仿宋"/>
                <w:color w:val="auto"/>
                <w:szCs w:val="21"/>
                <w:highlight w:val="none"/>
                <w:lang w:bidi="ar"/>
              </w:rPr>
              <w:t>120kg，分度值≤0.5kg</w:t>
            </w:r>
            <w:r>
              <w:rPr>
                <w:rFonts w:hint="eastAsia" w:ascii="仿宋" w:hAnsi="仿宋" w:eastAsia="仿宋" w:cs="仿宋"/>
                <w:color w:val="auto"/>
                <w:szCs w:val="21"/>
                <w:highlight w:val="none"/>
                <w:lang w:bidi="ar"/>
              </w:rPr>
              <w:t>，最小分度值0.5千克</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身高量程</w:t>
            </w:r>
            <w:r>
              <w:rPr>
                <w:rFonts w:ascii="仿宋" w:hAnsi="仿宋" w:eastAsia="仿宋" w:cs="仿宋"/>
                <w:color w:val="auto"/>
                <w:szCs w:val="21"/>
                <w:highlight w:val="none"/>
                <w:lang w:bidi="ar"/>
              </w:rPr>
              <w:t>700</w:t>
            </w:r>
            <w:r>
              <w:rPr>
                <w:rFonts w:hint="eastAsia" w:ascii="仿宋" w:hAnsi="仿宋" w:eastAsia="仿宋" w:cs="仿宋"/>
                <w:color w:val="auto"/>
                <w:szCs w:val="21"/>
                <w:highlight w:val="none"/>
                <w:lang w:eastAsia="zh-CN" w:bidi="ar"/>
              </w:rPr>
              <w:t>～</w:t>
            </w:r>
            <w:r>
              <w:rPr>
                <w:rFonts w:ascii="仿宋" w:hAnsi="仿宋" w:eastAsia="仿宋" w:cs="仿宋"/>
                <w:color w:val="auto"/>
                <w:szCs w:val="21"/>
                <w:highlight w:val="none"/>
                <w:lang w:bidi="ar"/>
              </w:rPr>
              <w:t>1900mm，分度值≤5mm</w:t>
            </w:r>
            <w:r>
              <w:rPr>
                <w:rFonts w:hint="eastAsia" w:ascii="仿宋" w:hAnsi="仿宋" w:eastAsia="仿宋" w:cs="仿宋"/>
                <w:color w:val="auto"/>
                <w:szCs w:val="21"/>
                <w:highlight w:val="none"/>
                <w:lang w:bidi="ar"/>
              </w:rPr>
              <w:t>，最小分度值5mm误差±5mm，身高尺安装稳固，使用灵活。</w:t>
            </w:r>
          </w:p>
        </w:tc>
      </w:tr>
      <w:tr w14:paraId="5BEAF1C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C93FEA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rPr>
              <w:t>11</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DD0400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血压计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BA6C3D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6CB18F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300ED2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1.测量范围：0-300mmHg</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0-40KPa</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p w14:paraId="0C75E27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2.基本误差：±3.75mmHg。</w:t>
            </w:r>
          </w:p>
          <w:p w14:paraId="5F9D77E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3.灵敏度≥2.25mmHg。</w:t>
            </w:r>
          </w:p>
          <w:p w14:paraId="702587B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4.外形尺寸：350*92*50mm（±5%）。</w:t>
            </w:r>
          </w:p>
          <w:p w14:paraId="34F0A74E">
            <w:pPr>
              <w:widowControl/>
              <w:jc w:val="left"/>
              <w:rPr>
                <w:rFonts w:ascii="仿宋" w:hAnsi="仿宋" w:eastAsia="仿宋" w:cs="仿宋"/>
                <w:color w:val="auto"/>
                <w:szCs w:val="21"/>
                <w:highlight w:val="none"/>
                <w:lang w:bidi="ar"/>
              </w:rPr>
            </w:pPr>
            <w:r>
              <w:rPr>
                <w:rFonts w:hint="eastAsia" w:ascii="仿宋" w:hAnsi="仿宋" w:eastAsia="仿宋" w:cs="仿宋"/>
                <w:b w:val="0"/>
                <w:bCs w:val="0"/>
                <w:color w:val="auto"/>
                <w:szCs w:val="21"/>
                <w:highlight w:val="none"/>
                <w:lang w:bidi="ar"/>
              </w:rPr>
              <w:t>5.外形材质：ABS塑料</w:t>
            </w:r>
          </w:p>
        </w:tc>
      </w:tr>
      <w:tr w14:paraId="6697DC14">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7B243D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CEC70D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听诊器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3DCF22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9FE348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付</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E29EF5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单用型听诊器：镀铬金属耳挂，</w:t>
            </w:r>
            <w:r>
              <w:rPr>
                <w:rFonts w:ascii="仿宋" w:hAnsi="仿宋" w:eastAsia="仿宋" w:cs="仿宋"/>
                <w:color w:val="auto"/>
                <w:szCs w:val="21"/>
                <w:highlight w:val="none"/>
                <w:lang w:bidi="ar"/>
              </w:rPr>
              <w:t>PVC或橡胶导管，扁形听头直径≥45mm听诊清晰无杂音</w:t>
            </w:r>
            <w:r>
              <w:rPr>
                <w:rFonts w:hint="eastAsia" w:ascii="仿宋" w:hAnsi="仿宋" w:eastAsia="仿宋" w:cs="仿宋"/>
                <w:color w:val="auto"/>
                <w:szCs w:val="21"/>
                <w:highlight w:val="none"/>
                <w:lang w:bidi="ar"/>
              </w:rPr>
              <w:t>。</w:t>
            </w:r>
          </w:p>
        </w:tc>
      </w:tr>
      <w:tr w14:paraId="10C1CCF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48C46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A02DF9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视力表灯箱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D7286B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EBA1E0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13EAC1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1.5M标准对数。</w:t>
            </w:r>
          </w:p>
          <w:p w14:paraId="0A07F96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2.视力表灯箱采用LED光源，遥控型，三划等长的正方形“E”字视标，光照度应达到200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700Lx，铝合金外框，带导光板，开启方便。</w:t>
            </w:r>
          </w:p>
          <w:p w14:paraId="22C0E89A">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3.电压：220V/50hz</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输入功率：≤60VA+15%，带红绿视标，三合一含附件，分离式安全电源线。</w:t>
            </w:r>
          </w:p>
        </w:tc>
      </w:tr>
      <w:tr w14:paraId="770154C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437A4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2B5F80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落地蛇形灯</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C25D65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00FFC5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8A0622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1.不锈钢反光灯。</w:t>
            </w:r>
          </w:p>
          <w:p w14:paraId="3F4EB98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2升降杆调整范围：</w:t>
            </w:r>
            <w:r>
              <w:rPr>
                <w:rFonts w:ascii="仿宋" w:hAnsi="仿宋" w:eastAsia="仿宋" w:cs="仿宋"/>
                <w:color w:val="auto"/>
                <w:szCs w:val="21"/>
                <w:highlight w:val="none"/>
                <w:lang w:bidi="ar"/>
              </w:rPr>
              <w:t>1380</w:t>
            </w:r>
            <w:r>
              <w:rPr>
                <w:rFonts w:hint="eastAsia" w:ascii="仿宋" w:hAnsi="仿宋" w:eastAsia="仿宋" w:cs="仿宋"/>
                <w:color w:val="auto"/>
                <w:szCs w:val="21"/>
                <w:highlight w:val="none"/>
                <w:lang w:eastAsia="zh-CN" w:bidi="ar"/>
              </w:rPr>
              <w:t>～</w:t>
            </w:r>
            <w:r>
              <w:rPr>
                <w:rFonts w:ascii="仿宋" w:hAnsi="仿宋" w:eastAsia="仿宋" w:cs="仿宋"/>
                <w:color w:val="auto"/>
                <w:szCs w:val="21"/>
                <w:highlight w:val="none"/>
                <w:lang w:bidi="ar"/>
              </w:rPr>
              <w:t>1730mm（可调）</w:t>
            </w:r>
            <w:r>
              <w:rPr>
                <w:rFonts w:hint="eastAsia" w:ascii="仿宋" w:hAnsi="仿宋" w:eastAsia="仿宋" w:cs="仿宋"/>
                <w:color w:val="auto"/>
                <w:szCs w:val="21"/>
                <w:highlight w:val="none"/>
                <w:lang w:bidi="ar"/>
              </w:rPr>
              <w:t>。</w:t>
            </w:r>
          </w:p>
          <w:p w14:paraId="237C2A1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3.电源电压：220V±22V50Hz±1Hz。</w:t>
            </w:r>
          </w:p>
          <w:p w14:paraId="72A0EBE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4.输入功率：≤200VA。</w:t>
            </w:r>
          </w:p>
          <w:p w14:paraId="23C45F5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5.环境温度：5℃--40℃。</w:t>
            </w:r>
          </w:p>
          <w:p w14:paraId="02868BC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6.湿度：≤80%。</w:t>
            </w:r>
          </w:p>
          <w:p w14:paraId="03E2459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7.大气压力：86Kpa--106Kpa。</w:t>
            </w:r>
          </w:p>
          <w:p w14:paraId="52584CCA">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8.使用灯泡功率：≤200W。</w:t>
            </w:r>
          </w:p>
          <w:p w14:paraId="2411D0A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9.电源线长度：1650mm。</w:t>
            </w:r>
          </w:p>
        </w:tc>
      </w:tr>
      <w:tr w14:paraId="6CAA0E8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D441D8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7B1146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担架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3F131F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22027C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付</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490DF5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1.折叠式，≥</w:t>
            </w:r>
            <w:r>
              <w:rPr>
                <w:rFonts w:ascii="仿宋" w:hAnsi="仿宋" w:eastAsia="仿宋" w:cs="仿宋"/>
                <w:color w:val="auto"/>
                <w:szCs w:val="21"/>
                <w:highlight w:val="none"/>
                <w:lang w:bidi="ar"/>
              </w:rPr>
              <w:t>2010×510×160mm</w:t>
            </w:r>
            <w:r>
              <w:rPr>
                <w:rFonts w:hint="eastAsia" w:ascii="仿宋" w:hAnsi="仿宋" w:eastAsia="仿宋" w:cs="仿宋"/>
                <w:color w:val="auto"/>
                <w:szCs w:val="21"/>
                <w:highlight w:val="none"/>
                <w:lang w:bidi="ar"/>
              </w:rPr>
              <w:t>。</w:t>
            </w:r>
          </w:p>
          <w:p w14:paraId="67311F9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2.折叠式担架最大承载≥</w:t>
            </w:r>
            <w:r>
              <w:rPr>
                <w:rFonts w:ascii="仿宋" w:hAnsi="仿宋" w:eastAsia="仿宋" w:cs="仿宋"/>
                <w:color w:val="auto"/>
                <w:szCs w:val="21"/>
                <w:highlight w:val="none"/>
                <w:lang w:bidi="ar"/>
              </w:rPr>
              <w:t>150kg</w:t>
            </w:r>
            <w:r>
              <w:rPr>
                <w:rFonts w:hint="eastAsia" w:ascii="仿宋" w:hAnsi="仿宋" w:eastAsia="仿宋" w:cs="仿宋"/>
                <w:color w:val="auto"/>
                <w:szCs w:val="21"/>
                <w:highlight w:val="none"/>
                <w:lang w:bidi="ar"/>
              </w:rPr>
              <w:t>的力后，担架杆不允许产生永久性变形，帆布面、帆布缝制处及担架脚无开裂、破损现象。</w:t>
            </w:r>
          </w:p>
        </w:tc>
      </w:tr>
      <w:tr w14:paraId="3673F74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DEBE21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BC080A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急救箱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13D71F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6820F36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DAB139D">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1.铝合金材质。</w:t>
            </w:r>
          </w:p>
          <w:p w14:paraId="20B9824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2.尺寸：约</w:t>
            </w:r>
            <w:r>
              <w:rPr>
                <w:rFonts w:ascii="仿宋" w:hAnsi="仿宋" w:eastAsia="仿宋" w:cs="仿宋"/>
                <w:color w:val="auto"/>
                <w:szCs w:val="21"/>
                <w:highlight w:val="none"/>
                <w:lang w:bidi="ar"/>
              </w:rPr>
              <w:t>360×190×210mm</w:t>
            </w:r>
            <w:r>
              <w:rPr>
                <w:rFonts w:hint="eastAsia" w:ascii="仿宋" w:hAnsi="仿宋" w:eastAsia="仿宋" w:cs="仿宋"/>
                <w:color w:val="auto"/>
                <w:szCs w:val="21"/>
                <w:highlight w:val="none"/>
                <w:lang w:bidi="ar"/>
              </w:rPr>
              <w:t>。</w:t>
            </w:r>
          </w:p>
          <w:p w14:paraId="19AFA8F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3.内设多层隔断及弹性插袋，可手提或肩背。</w:t>
            </w:r>
          </w:p>
        </w:tc>
      </w:tr>
      <w:tr w14:paraId="2487E4A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30ADDE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230EA6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外伤处理器械</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D18955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6B014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58E12F4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脱脂纱布1包，药棉1包，绷带1卷，40止血带1根，</w:t>
            </w:r>
            <w:r>
              <w:rPr>
                <w:rFonts w:hint="eastAsia" w:ascii="仿宋" w:hAnsi="仿宋" w:eastAsia="仿宋" w:cs="仿宋"/>
                <w:color w:val="auto"/>
                <w:szCs w:val="21"/>
                <w:highlight w:val="none"/>
                <w:lang w:eastAsia="zh-CN" w:bidi="ar"/>
              </w:rPr>
              <w:t>创可贴</w:t>
            </w:r>
            <w:r>
              <w:rPr>
                <w:rFonts w:hint="eastAsia" w:ascii="仿宋" w:hAnsi="仿宋" w:eastAsia="仿宋" w:cs="仿宋"/>
                <w:color w:val="auto"/>
                <w:szCs w:val="21"/>
                <w:highlight w:val="none"/>
                <w:lang w:bidi="ar"/>
              </w:rPr>
              <w:t>10片，镊子1把，剪刀1把，碘伏1瓶，止血钳1把，缝合针1包，缝合线1捆等。</w:t>
            </w:r>
          </w:p>
        </w:tc>
      </w:tr>
      <w:tr w14:paraId="5DAFE2BA">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2BE9D6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0280D5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医药箱</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7F8041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1BBC6C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2EDF95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1.铝合金材质。</w:t>
            </w:r>
          </w:p>
          <w:p w14:paraId="5D4F5BA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2.尺寸：</w:t>
            </w:r>
            <w:r>
              <w:rPr>
                <w:rFonts w:ascii="仿宋" w:hAnsi="仿宋" w:eastAsia="仿宋" w:cs="仿宋"/>
                <w:color w:val="auto"/>
                <w:szCs w:val="21"/>
                <w:highlight w:val="none"/>
                <w:lang w:bidi="ar"/>
              </w:rPr>
              <w:t>360×190×210mm</w:t>
            </w:r>
            <w:r>
              <w:rPr>
                <w:rFonts w:hint="eastAsia" w:ascii="仿宋" w:hAnsi="仿宋" w:eastAsia="仿宋" w:cs="仿宋"/>
                <w:color w:val="auto"/>
                <w:szCs w:val="21"/>
                <w:highlight w:val="none"/>
                <w:lang w:bidi="ar"/>
              </w:rPr>
              <w:t>（±5%）。</w:t>
            </w:r>
          </w:p>
          <w:p w14:paraId="49AB219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3.内设多层隔断及弹性插袋，可手提或肩背</w:t>
            </w:r>
          </w:p>
        </w:tc>
      </w:tr>
      <w:tr w14:paraId="0B7966D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031D84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F731A5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器械台</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车</w:t>
            </w:r>
            <w:r>
              <w:rPr>
                <w:rFonts w:hint="eastAsia" w:ascii="仿宋" w:hAnsi="仿宋" w:eastAsia="仿宋" w:cs="仿宋"/>
                <w:color w:val="auto"/>
                <w:szCs w:val="21"/>
                <w:highlight w:val="none"/>
                <w:lang w:eastAsia="zh-CN" w:bidi="ar"/>
              </w:rPr>
              <w:t>）</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0EC806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300164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D5CEB4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不锈钢双层，配万向轮，≥</w:t>
            </w:r>
            <w:r>
              <w:rPr>
                <w:rFonts w:ascii="仿宋" w:hAnsi="仿宋" w:eastAsia="仿宋" w:cs="仿宋"/>
                <w:color w:val="auto"/>
                <w:szCs w:val="21"/>
                <w:highlight w:val="none"/>
                <w:lang w:bidi="ar"/>
              </w:rPr>
              <w:t>500×400×850mm</w:t>
            </w:r>
          </w:p>
        </w:tc>
      </w:tr>
      <w:tr w14:paraId="1F7D7867">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FA7973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F3276E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污物桶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C3DDAE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FB4B55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F15FF4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不锈钢材质，直径≥</w:t>
            </w:r>
            <w:r>
              <w:rPr>
                <w:rFonts w:ascii="仿宋" w:hAnsi="仿宋" w:eastAsia="仿宋" w:cs="仿宋"/>
                <w:color w:val="auto"/>
                <w:szCs w:val="21"/>
                <w:highlight w:val="none"/>
                <w:lang w:bidi="ar"/>
              </w:rPr>
              <w:t>300mm，脚踏翻盖式，内桶可取出清洗，桶盖密封无异味泄漏</w:t>
            </w:r>
          </w:p>
        </w:tc>
      </w:tr>
      <w:tr w14:paraId="1AC5F43C">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160466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AE2E2C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敷料缸</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A991E5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D97663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9DB8360">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不锈钢材质，直径≥</w:t>
            </w:r>
            <w:r>
              <w:rPr>
                <w:rFonts w:ascii="仿宋" w:hAnsi="仿宋" w:eastAsia="仿宋" w:cs="仿宋"/>
                <w:color w:val="auto"/>
                <w:szCs w:val="21"/>
                <w:highlight w:val="none"/>
                <w:lang w:bidi="ar"/>
              </w:rPr>
              <w:t>9cm，带盖，表面抛光处理，耐高温消毒</w:t>
            </w:r>
          </w:p>
        </w:tc>
      </w:tr>
      <w:tr w14:paraId="6F91C4A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D5101D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147158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棉球缸</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EA86E2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89E2E4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5D33C0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不锈钢材质，直径≥</w:t>
            </w:r>
            <w:r>
              <w:rPr>
                <w:rFonts w:ascii="仿宋" w:hAnsi="仿宋" w:eastAsia="仿宋" w:cs="仿宋"/>
                <w:color w:val="auto"/>
                <w:szCs w:val="21"/>
                <w:highlight w:val="none"/>
                <w:lang w:bidi="ar"/>
              </w:rPr>
              <w:t>9cm，带盖，表面抛光处理，耐高温消毒</w:t>
            </w:r>
          </w:p>
        </w:tc>
      </w:tr>
      <w:tr w14:paraId="48B0A38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4224AE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15FB98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器械缸</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283B27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E6ED5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D06F983">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不锈钢材质，直径≥</w:t>
            </w:r>
            <w:r>
              <w:rPr>
                <w:rFonts w:ascii="仿宋" w:hAnsi="仿宋" w:eastAsia="仿宋" w:cs="仿宋"/>
                <w:color w:val="auto"/>
                <w:szCs w:val="21"/>
                <w:highlight w:val="none"/>
                <w:lang w:bidi="ar"/>
              </w:rPr>
              <w:t>9cm，带盖，表面抛光处理，耐高温灭菌</w:t>
            </w:r>
          </w:p>
        </w:tc>
      </w:tr>
      <w:tr w14:paraId="4C173FB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1FDD2B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601BB0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贮槽</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8E057B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85C5B2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CF9D6A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不锈钢材质，直径≥</w:t>
            </w:r>
            <w:r>
              <w:rPr>
                <w:rFonts w:ascii="仿宋" w:hAnsi="仿宋" w:eastAsia="仿宋" w:cs="仿宋"/>
                <w:color w:val="auto"/>
                <w:szCs w:val="21"/>
                <w:highlight w:val="none"/>
                <w:lang w:bidi="ar"/>
              </w:rPr>
              <w:t>20cm，带盖，密封性好，适用于器械、敷料的灭菌存储</w:t>
            </w:r>
          </w:p>
        </w:tc>
      </w:tr>
      <w:tr w14:paraId="63A48A5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F2DF43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E49CB4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带盖方盘</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7796CE0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EF4B10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6C20C808">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w:t>
            </w:r>
            <w:r>
              <w:rPr>
                <w:rFonts w:ascii="仿宋" w:hAnsi="仿宋" w:eastAsia="仿宋" w:cs="仿宋"/>
                <w:color w:val="auto"/>
                <w:szCs w:val="21"/>
                <w:highlight w:val="none"/>
                <w:lang w:bidi="ar"/>
              </w:rPr>
              <w:t>23×15cm，带盖，四角圆弧过渡，表面抛光，易清洁消毒</w:t>
            </w:r>
          </w:p>
        </w:tc>
      </w:tr>
      <w:tr w14:paraId="3BAA31CD">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0405418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F37C23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酒精灯</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4D2CC55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AAF163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120047F">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加厚耐热玻璃灯体，容量≥</w:t>
            </w:r>
            <w:r>
              <w:rPr>
                <w:rFonts w:ascii="仿宋" w:hAnsi="仿宋" w:eastAsia="仿宋" w:cs="仿宋"/>
                <w:color w:val="auto"/>
                <w:szCs w:val="21"/>
                <w:highlight w:val="none"/>
                <w:lang w:bidi="ar"/>
              </w:rPr>
              <w:t>250ml，配灯芯及灯帽，灯芯管可调节火焰大小</w:t>
            </w:r>
            <w:r>
              <w:rPr>
                <w:rFonts w:hint="eastAsia" w:ascii="仿宋" w:hAnsi="仿宋" w:eastAsia="仿宋" w:cs="仿宋"/>
                <w:color w:val="auto"/>
                <w:szCs w:val="21"/>
                <w:highlight w:val="none"/>
                <w:lang w:bidi="ar"/>
              </w:rPr>
              <w:t>加厚耐热玻璃，容量≥</w:t>
            </w:r>
            <w:r>
              <w:rPr>
                <w:rFonts w:ascii="仿宋" w:hAnsi="仿宋" w:eastAsia="仿宋" w:cs="仿宋"/>
                <w:color w:val="auto"/>
                <w:szCs w:val="21"/>
                <w:highlight w:val="none"/>
                <w:lang w:bidi="ar"/>
              </w:rPr>
              <w:t>250ml</w:t>
            </w:r>
            <w:r>
              <w:rPr>
                <w:rFonts w:hint="eastAsia" w:ascii="仿宋" w:hAnsi="仿宋" w:eastAsia="仿宋" w:cs="仿宋"/>
                <w:color w:val="auto"/>
                <w:szCs w:val="21"/>
                <w:highlight w:val="none"/>
                <w:lang w:bidi="ar"/>
              </w:rPr>
              <w:t>。</w:t>
            </w:r>
          </w:p>
        </w:tc>
      </w:tr>
      <w:tr w14:paraId="40525F4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F1A5A3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59D07F4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冲眼壶</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007CFBE6">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7E08BB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6E9CF9C">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不锈钢材质，容量≥</w:t>
            </w:r>
            <w:r>
              <w:rPr>
                <w:rFonts w:ascii="仿宋" w:hAnsi="仿宋" w:eastAsia="仿宋" w:cs="仿宋"/>
                <w:color w:val="auto"/>
                <w:szCs w:val="21"/>
                <w:highlight w:val="none"/>
                <w:lang w:bidi="ar"/>
              </w:rPr>
              <w:t>500ml</w:t>
            </w:r>
            <w:r>
              <w:rPr>
                <w:rFonts w:hint="eastAsia" w:ascii="仿宋" w:hAnsi="仿宋" w:eastAsia="仿宋" w:cs="仿宋"/>
                <w:color w:val="auto"/>
                <w:szCs w:val="21"/>
                <w:highlight w:val="none"/>
                <w:lang w:bidi="ar"/>
              </w:rPr>
              <w:t>材质，容量≥</w:t>
            </w:r>
            <w:r>
              <w:rPr>
                <w:rFonts w:ascii="仿宋" w:hAnsi="仿宋" w:eastAsia="仿宋" w:cs="仿宋"/>
                <w:color w:val="auto"/>
                <w:szCs w:val="21"/>
                <w:highlight w:val="none"/>
                <w:lang w:bidi="ar"/>
              </w:rPr>
              <w:t>500ml，壶嘴弧度适合眼部冲洗，表面光滑无毛刺</w:t>
            </w:r>
          </w:p>
        </w:tc>
      </w:tr>
      <w:tr w14:paraId="26E75E9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1906C9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E3674E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受水器</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EC70C7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9DC6EC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082963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医用级</w:t>
            </w:r>
            <w:r>
              <w:rPr>
                <w:rFonts w:ascii="仿宋" w:hAnsi="仿宋" w:eastAsia="仿宋" w:cs="仿宋"/>
                <w:color w:val="auto"/>
                <w:szCs w:val="21"/>
                <w:highlight w:val="none"/>
                <w:lang w:bidi="ar"/>
              </w:rPr>
              <w:t>PP或ABS塑料注塑成型，容量≥300ml，边缘光滑，符合面部轮廓弧度</w:t>
            </w:r>
            <w:r>
              <w:rPr>
                <w:rFonts w:hint="eastAsia" w:ascii="仿宋" w:hAnsi="仿宋" w:eastAsia="仿宋" w:cs="仿宋"/>
                <w:color w:val="auto"/>
                <w:szCs w:val="21"/>
                <w:highlight w:val="none"/>
                <w:lang w:bidi="ar"/>
              </w:rPr>
              <w:t>医用</w:t>
            </w:r>
            <w:r>
              <w:rPr>
                <w:rFonts w:ascii="仿宋" w:hAnsi="仿宋" w:eastAsia="仿宋" w:cs="仿宋"/>
                <w:color w:val="auto"/>
                <w:szCs w:val="21"/>
                <w:highlight w:val="none"/>
                <w:lang w:bidi="ar"/>
              </w:rPr>
              <w:t>PP或ABS注塑成型，容量≥300ml</w:t>
            </w:r>
          </w:p>
        </w:tc>
      </w:tr>
      <w:tr w14:paraId="60605B1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6395AAD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F826B3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医用剪刀</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06574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F4FA6F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DC1AC44">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不锈钢医用剪刀</w:t>
            </w:r>
            <w:r>
              <w:rPr>
                <w:rFonts w:ascii="仿宋" w:hAnsi="仿宋" w:eastAsia="仿宋" w:cs="仿宋"/>
                <w:color w:val="auto"/>
                <w:szCs w:val="21"/>
                <w:highlight w:val="none"/>
                <w:lang w:bidi="ar"/>
              </w:rPr>
              <w:t>12把/套，含直头、弯头、拆线剪等常用型号，长度12.5</w:t>
            </w:r>
            <w:r>
              <w:rPr>
                <w:rFonts w:hint="eastAsia" w:ascii="仿宋" w:hAnsi="仿宋" w:eastAsia="仿宋" w:cs="仿宋"/>
                <w:color w:val="auto"/>
                <w:szCs w:val="21"/>
                <w:highlight w:val="none"/>
                <w:lang w:eastAsia="zh-CN" w:bidi="ar"/>
              </w:rPr>
              <w:t>～</w:t>
            </w:r>
            <w:r>
              <w:rPr>
                <w:rFonts w:ascii="仿宋" w:hAnsi="仿宋" w:eastAsia="仿宋" w:cs="仿宋"/>
                <w:color w:val="auto"/>
                <w:szCs w:val="21"/>
                <w:highlight w:val="none"/>
                <w:lang w:bidi="ar"/>
              </w:rPr>
              <w:t>22cm，刃口锋利无缺口</w:t>
            </w:r>
          </w:p>
        </w:tc>
      </w:tr>
      <w:tr w14:paraId="1D00E5E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4D6775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A50062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医用镊子</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E9213D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7FEED4A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套</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2E371E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不锈钢医用镊子</w:t>
            </w:r>
            <w:r>
              <w:rPr>
                <w:rFonts w:ascii="仿宋" w:hAnsi="仿宋" w:eastAsia="仿宋" w:cs="仿宋"/>
                <w:color w:val="auto"/>
                <w:szCs w:val="21"/>
                <w:highlight w:val="none"/>
                <w:lang w:bidi="ar"/>
              </w:rPr>
              <w:t>6种/套，含直头、弯头、有齿、无齿等规格，长度12.5</w:t>
            </w:r>
            <w:r>
              <w:rPr>
                <w:rFonts w:hint="eastAsia" w:ascii="仿宋" w:hAnsi="仿宋" w:eastAsia="仿宋" w:cs="仿宋"/>
                <w:color w:val="auto"/>
                <w:szCs w:val="21"/>
                <w:highlight w:val="none"/>
                <w:lang w:eastAsia="zh-CN" w:bidi="ar"/>
              </w:rPr>
              <w:t>～</w:t>
            </w:r>
            <w:r>
              <w:rPr>
                <w:rFonts w:ascii="仿宋" w:hAnsi="仿宋" w:eastAsia="仿宋" w:cs="仿宋"/>
                <w:color w:val="auto"/>
                <w:szCs w:val="21"/>
                <w:highlight w:val="none"/>
                <w:lang w:bidi="ar"/>
              </w:rPr>
              <w:t>25cm，尖端对合严密</w:t>
            </w:r>
          </w:p>
        </w:tc>
      </w:tr>
      <w:tr w14:paraId="496B2DB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9FC60C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31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0E9F78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叩诊锤</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7F5DC2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46E9BD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3822F8E">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不锈钢手柄</w:t>
            </w:r>
            <w:r>
              <w:rPr>
                <w:rFonts w:ascii="仿宋" w:hAnsi="仿宋" w:eastAsia="仿宋" w:cs="仿宋"/>
                <w:color w:val="auto"/>
                <w:szCs w:val="21"/>
                <w:highlight w:val="none"/>
                <w:lang w:bidi="ar"/>
              </w:rPr>
              <w:t>+橡胶锤头，手柄带角度刻度标识，锤头柔软适中，适合神经反射检查</w:t>
            </w:r>
          </w:p>
        </w:tc>
      </w:tr>
      <w:tr w14:paraId="1C683EE0">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D8992B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32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3E624D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压舌板</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984AA8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594DCD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0F372039">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不锈钢材质，长度≥</w:t>
            </w:r>
            <w:r>
              <w:rPr>
                <w:rFonts w:ascii="仿宋" w:hAnsi="仿宋" w:eastAsia="仿宋" w:cs="仿宋"/>
                <w:color w:val="auto"/>
                <w:szCs w:val="21"/>
                <w:highlight w:val="none"/>
                <w:lang w:bidi="ar"/>
              </w:rPr>
              <w:t>14cm，两端圆滑处理，表面抛光无毛刺，可高温灭菌重复使用</w:t>
            </w:r>
          </w:p>
        </w:tc>
      </w:tr>
      <w:tr w14:paraId="7EE05DE5">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2773E6E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33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471D4629">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口镜</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6BBFEC2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D94D4F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2000AE2">
            <w:pPr>
              <w:widowControl/>
              <w:jc w:val="left"/>
              <w:rPr>
                <w:rFonts w:ascii="仿宋" w:hAnsi="仿宋" w:eastAsia="仿宋" w:cs="仿宋"/>
                <w:color w:val="auto"/>
                <w:szCs w:val="21"/>
                <w:highlight w:val="none"/>
                <w:lang w:bidi="ar"/>
              </w:rPr>
            </w:pPr>
            <w:r>
              <w:rPr>
                <w:rFonts w:ascii="仿宋" w:hAnsi="仿宋" w:eastAsia="仿宋" w:cs="仿宋"/>
                <w:color w:val="auto"/>
                <w:szCs w:val="21"/>
                <w:highlight w:val="none"/>
                <w:lang w:bidi="ar"/>
              </w:rPr>
              <w:t>1.不锈钢口镜，镜面直径≥22mm，含平面镜片1片</w:t>
            </w:r>
          </w:p>
          <w:p w14:paraId="233F1597">
            <w:pPr>
              <w:widowControl/>
              <w:jc w:val="left"/>
              <w:rPr>
                <w:rFonts w:ascii="仿宋" w:hAnsi="仿宋" w:eastAsia="仿宋" w:cs="仿宋"/>
                <w:color w:val="auto"/>
                <w:szCs w:val="21"/>
                <w:highlight w:val="none"/>
                <w:lang w:bidi="ar"/>
              </w:rPr>
            </w:pPr>
            <w:r>
              <w:rPr>
                <w:rFonts w:ascii="仿宋" w:hAnsi="仿宋" w:eastAsia="仿宋" w:cs="仿宋"/>
                <w:color w:val="auto"/>
                <w:szCs w:val="21"/>
                <w:highlight w:val="none"/>
                <w:lang w:bidi="ar"/>
              </w:rPr>
              <w:t>2.手柄长度≥120mm，表面滚花防滑处理，便于握持操作。</w:t>
            </w:r>
          </w:p>
          <w:p w14:paraId="7BEF672C">
            <w:pPr>
              <w:widowControl/>
              <w:jc w:val="left"/>
              <w:rPr>
                <w:rFonts w:ascii="仿宋" w:hAnsi="仿宋" w:eastAsia="仿宋" w:cs="仿宋"/>
                <w:color w:val="auto"/>
                <w:szCs w:val="21"/>
                <w:highlight w:val="none"/>
              </w:rPr>
            </w:pPr>
            <w:r>
              <w:rPr>
                <w:rFonts w:ascii="仿宋" w:hAnsi="仿宋" w:eastAsia="仿宋" w:cs="仿宋"/>
                <w:color w:val="auto"/>
                <w:szCs w:val="21"/>
                <w:highlight w:val="none"/>
                <w:lang w:bidi="ar"/>
              </w:rPr>
              <w:t>3.镜面与手柄连接牢固，整体可耐高温高压灭菌（134℃）。</w:t>
            </w:r>
          </w:p>
        </w:tc>
      </w:tr>
      <w:tr w14:paraId="0349B116">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3204E2F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34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B4B005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照度计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20FB202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1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34F325D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4648CCA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1.最大测量：100000Lux，准确度高反应速度快，读值锁定功能，可锁定测量值，符号及单位显示，读取方便，自动归零。</w:t>
            </w:r>
          </w:p>
          <w:p w14:paraId="44AAC84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2.测量范围：1Lux-100000Lux。</w:t>
            </w:r>
          </w:p>
          <w:p w14:paraId="2C20E71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3.分辨率：1Lux。</w:t>
            </w:r>
          </w:p>
          <w:p w14:paraId="4200E3B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4.显示：31/2位液晶显示器，显示量大读数1999。</w:t>
            </w:r>
          </w:p>
          <w:p w14:paraId="2B1C0044">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5.量程档位：2000Lux档、20000Lux、100000Lux，Lux档显示之读数需要×10才为正确的照度值，100000Lux档显示之读数需要×100才为正确的照度值。</w:t>
            </w:r>
          </w:p>
          <w:p w14:paraId="034E46B6">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6.准确度：±（4%rdg+2d）0-19999Lux，±（5%rdg+2d）20000-100000Lux，</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以色温2856K标准面灯校正</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w:t>
            </w:r>
          </w:p>
        </w:tc>
      </w:tr>
      <w:tr w14:paraId="5B4C8398">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4AC87765">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35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7D45477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血糖仪</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4934F8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39DA6E4">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7B4FBE5">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外壳材质：ABS工程塑料，250组记忆，8秒快速检测</w:t>
            </w:r>
          </w:p>
        </w:tc>
      </w:tr>
      <w:tr w14:paraId="6C266991">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16B97AF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36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0461D77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体温计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CACD9A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4F2456E8">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支</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7996B062">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玻璃水银制，量程</w:t>
            </w:r>
            <w:r>
              <w:rPr>
                <w:rFonts w:ascii="仿宋" w:hAnsi="仿宋" w:eastAsia="仿宋" w:cs="仿宋"/>
                <w:color w:val="auto"/>
                <w:szCs w:val="21"/>
                <w:highlight w:val="none"/>
                <w:lang w:bidi="ar"/>
              </w:rPr>
              <w:t>35℃到42℃</w:t>
            </w:r>
          </w:p>
        </w:tc>
      </w:tr>
      <w:tr w14:paraId="2EBB1D83">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AC77A6D">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37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259992C7">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电子血压计</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3D461D52">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0C8055A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台</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3857A06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1.显示方式：数字式LCD显示。</w:t>
            </w:r>
          </w:p>
          <w:p w14:paraId="56B90A7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2.测量方式：示波法。</w:t>
            </w:r>
          </w:p>
          <w:p w14:paraId="3F2EEC5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3.电源规格1.5VAA碱性电池4节/MicroUSB5V1A。</w:t>
            </w:r>
          </w:p>
          <w:p w14:paraId="4AEA706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4.测量范围</w:t>
            </w:r>
          </w:p>
          <w:p w14:paraId="224CF8E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血压：（0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260）mmHg/（0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34.67）KPa；脉搏：（40</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200）脉搏次/分钟。</w:t>
            </w:r>
          </w:p>
          <w:p w14:paraId="4AAD7D68">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5.测量精度</w:t>
            </w:r>
          </w:p>
          <w:p w14:paraId="72DA4FF0">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血压：+-3mmHg/+-0.4KPa；脉搏+-5%。</w:t>
            </w:r>
          </w:p>
          <w:p w14:paraId="4E043032">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6.记忆功能：2*120组。</w:t>
            </w:r>
          </w:p>
          <w:p w14:paraId="01AF0F26">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7.记忆时间显示：可显示年份/日期/时间。</w:t>
            </w:r>
          </w:p>
          <w:p w14:paraId="0581652F">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8.低电压指示：电量不足提示自动关机约150秒未使用</w:t>
            </w:r>
          </w:p>
          <w:p w14:paraId="00884BF3">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9.使用环境：温度5°C</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40°C/41°F</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104°F，湿度：15%RH</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80RH。</w:t>
            </w:r>
          </w:p>
          <w:p w14:paraId="0FC80C15">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10.储存环境：温度-20°C</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+55°C/（-4°F</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+131°F），湿度：10%RH</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93RH。</w:t>
            </w:r>
          </w:p>
          <w:p w14:paraId="7D717A7B">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11.尺寸：长130mm*宽81mm*高42mm。</w:t>
            </w:r>
          </w:p>
          <w:p w14:paraId="72F76C0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12.臂带臂围（22</w:t>
            </w:r>
            <w:r>
              <w:rPr>
                <w:rFonts w:hint="eastAsia" w:ascii="仿宋" w:hAnsi="仿宋" w:eastAsia="仿宋" w:cs="仿宋"/>
                <w:color w:val="auto"/>
                <w:szCs w:val="21"/>
                <w:highlight w:val="none"/>
                <w:lang w:eastAsia="zh-CN" w:bidi="ar"/>
              </w:rPr>
              <w:t>～</w:t>
            </w:r>
            <w:r>
              <w:rPr>
                <w:rFonts w:hint="eastAsia" w:ascii="仿宋" w:hAnsi="仿宋" w:eastAsia="仿宋" w:cs="仿宋"/>
                <w:color w:val="auto"/>
                <w:szCs w:val="21"/>
                <w:highlight w:val="none"/>
                <w:lang w:bidi="ar"/>
              </w:rPr>
              <w:t>32）厘米，如有特殊要求可根据需要定制。</w:t>
            </w:r>
          </w:p>
          <w:p w14:paraId="7B566F39">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13.重量：425克（±5%）（包含电池、臂带）。</w:t>
            </w:r>
          </w:p>
          <w:p w14:paraId="42BBA621">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14.附件电池4节，臂带，使用说明书，保修单，合格证。</w:t>
            </w:r>
          </w:p>
        </w:tc>
      </w:tr>
      <w:tr w14:paraId="1D676BFE">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836EF0C">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38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3890FC7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止血带</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5015207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5135CF2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盒</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E09A3E7">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一次性捆扎止血带，点连式设计，</w:t>
            </w:r>
            <w:r>
              <w:rPr>
                <w:rFonts w:ascii="仿宋" w:hAnsi="仿宋" w:eastAsia="仿宋" w:cs="仿宋"/>
                <w:color w:val="auto"/>
                <w:szCs w:val="21"/>
                <w:highlight w:val="none"/>
                <w:lang w:bidi="ar"/>
              </w:rPr>
              <w:t>35</w:t>
            </w:r>
            <w:r>
              <w:rPr>
                <w:rFonts w:hint="eastAsia" w:ascii="仿宋" w:hAnsi="仿宋" w:eastAsia="仿宋" w:cs="仿宋"/>
                <w:color w:val="auto"/>
                <w:szCs w:val="21"/>
                <w:highlight w:val="none"/>
                <w:lang w:bidi="ar"/>
              </w:rPr>
              <w:t>±1</w:t>
            </w:r>
            <w:r>
              <w:rPr>
                <w:rFonts w:ascii="仿宋" w:hAnsi="仿宋" w:eastAsia="仿宋" w:cs="仿宋"/>
                <w:color w:val="auto"/>
                <w:szCs w:val="21"/>
                <w:highlight w:val="none"/>
                <w:lang w:bidi="ar"/>
              </w:rPr>
              <w:t>cm，宽2</w:t>
            </w:r>
            <w:r>
              <w:rPr>
                <w:rFonts w:hint="eastAsia" w:ascii="仿宋" w:hAnsi="仿宋" w:eastAsia="仿宋" w:cs="仿宋"/>
                <w:color w:val="auto"/>
                <w:szCs w:val="21"/>
                <w:highlight w:val="none"/>
                <w:lang w:bidi="ar"/>
              </w:rPr>
              <w:t>±0.2</w:t>
            </w:r>
            <w:r>
              <w:rPr>
                <w:rFonts w:ascii="仿宋" w:hAnsi="仿宋" w:eastAsia="仿宋" w:cs="仿宋"/>
                <w:color w:val="auto"/>
                <w:szCs w:val="21"/>
                <w:highlight w:val="none"/>
                <w:lang w:bidi="ar"/>
              </w:rPr>
              <w:t>cm，50条/盒，弹性适中不回缩，用于暂时阻断静脉回流</w:t>
            </w:r>
          </w:p>
        </w:tc>
      </w:tr>
      <w:tr w14:paraId="21CA3822">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53A05241">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39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6BC0B93A">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一次性床单</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CC6646F">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50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110BCA33">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包</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272E5A4C">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1.医用一次性床单主要由无纺布、多层复合布、聚乙烯薄膜或PVC复塑无纺布制作而成。</w:t>
            </w:r>
          </w:p>
          <w:p w14:paraId="7B00735B">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2.规格多样，长度在≥</w:t>
            </w:r>
            <w:r>
              <w:rPr>
                <w:rFonts w:ascii="仿宋" w:hAnsi="仿宋" w:eastAsia="仿宋" w:cs="仿宋"/>
                <w:color w:val="auto"/>
                <w:szCs w:val="21"/>
                <w:highlight w:val="none"/>
                <w:lang w:bidi="ar"/>
              </w:rPr>
              <w:t>150cm</w:t>
            </w:r>
            <w:r>
              <w:rPr>
                <w:rFonts w:hint="eastAsia" w:ascii="仿宋" w:hAnsi="仿宋" w:eastAsia="仿宋" w:cs="仿宋"/>
                <w:color w:val="auto"/>
                <w:szCs w:val="21"/>
                <w:highlight w:val="none"/>
                <w:lang w:bidi="ar"/>
              </w:rPr>
              <w:t>-</w:t>
            </w:r>
            <w:r>
              <w:rPr>
                <w:rFonts w:ascii="仿宋" w:hAnsi="仿宋" w:eastAsia="仿宋" w:cs="仿宋"/>
                <w:color w:val="auto"/>
                <w:szCs w:val="21"/>
                <w:highlight w:val="none"/>
                <w:lang w:bidi="ar"/>
              </w:rPr>
              <w:t>220cm</w:t>
            </w:r>
            <w:r>
              <w:rPr>
                <w:rFonts w:hint="eastAsia" w:ascii="仿宋" w:hAnsi="仿宋" w:eastAsia="仿宋" w:cs="仿宋"/>
                <w:color w:val="auto"/>
                <w:szCs w:val="21"/>
                <w:highlight w:val="none"/>
                <w:lang w:bidi="ar"/>
              </w:rPr>
              <w:t>之间，宽度在80cm-160cm之间。‌</w:t>
            </w:r>
          </w:p>
        </w:tc>
      </w:tr>
      <w:tr w14:paraId="5D6E7529">
        <w:tblPrEx>
          <w:tblCellMar>
            <w:top w:w="0" w:type="dxa"/>
            <w:left w:w="108" w:type="dxa"/>
            <w:bottom w:w="0" w:type="dxa"/>
            <w:right w:w="108" w:type="dxa"/>
          </w:tblCellMar>
        </w:tblPrEx>
        <w:trPr>
          <w:trHeight w:val="454" w:hRule="atLeast"/>
          <w:jc w:val="center"/>
        </w:trPr>
        <w:tc>
          <w:tcPr>
            <w:tcW w:w="648" w:type="dxa"/>
            <w:tcBorders>
              <w:top w:val="single" w:color="000000" w:sz="4" w:space="0"/>
              <w:left w:val="single" w:color="000000" w:sz="4" w:space="0"/>
              <w:bottom w:val="single" w:color="000000" w:sz="4" w:space="0"/>
              <w:right w:val="single" w:color="000000" w:sz="4" w:space="0"/>
            </w:tcBorders>
            <w:noWrap w:val="0"/>
            <w:vAlign w:val="center"/>
          </w:tcPr>
          <w:p w14:paraId="7EC4351E">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40 </w:t>
            </w:r>
          </w:p>
        </w:tc>
        <w:tc>
          <w:tcPr>
            <w:tcW w:w="1966" w:type="dxa"/>
            <w:tcBorders>
              <w:top w:val="single" w:color="000000" w:sz="4" w:space="0"/>
              <w:left w:val="single" w:color="000000" w:sz="4" w:space="0"/>
              <w:bottom w:val="single" w:color="000000" w:sz="4" w:space="0"/>
              <w:right w:val="single" w:color="000000" w:sz="4" w:space="0"/>
            </w:tcBorders>
            <w:noWrap w:val="0"/>
            <w:vAlign w:val="center"/>
          </w:tcPr>
          <w:p w14:paraId="1818DA9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床帘</w:t>
            </w:r>
          </w:p>
        </w:tc>
        <w:tc>
          <w:tcPr>
            <w:tcW w:w="780" w:type="dxa"/>
            <w:tcBorders>
              <w:top w:val="single" w:color="000000" w:sz="4" w:space="0"/>
              <w:left w:val="single" w:color="000000" w:sz="4" w:space="0"/>
              <w:bottom w:val="single" w:color="000000" w:sz="4" w:space="0"/>
              <w:right w:val="single" w:color="000000" w:sz="4" w:space="0"/>
            </w:tcBorders>
            <w:noWrap w:val="0"/>
            <w:vAlign w:val="center"/>
          </w:tcPr>
          <w:p w14:paraId="1D7C2830">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 xml:space="preserve">2 </w:t>
            </w:r>
          </w:p>
        </w:tc>
        <w:tc>
          <w:tcPr>
            <w:tcW w:w="752" w:type="dxa"/>
            <w:tcBorders>
              <w:top w:val="single" w:color="000000" w:sz="4" w:space="0"/>
              <w:left w:val="single" w:color="000000" w:sz="4" w:space="0"/>
              <w:bottom w:val="single" w:color="000000" w:sz="4" w:space="0"/>
              <w:right w:val="single" w:color="000000" w:sz="4" w:space="0"/>
            </w:tcBorders>
            <w:noWrap w:val="0"/>
            <w:vAlign w:val="center"/>
          </w:tcPr>
          <w:p w14:paraId="2EA0D50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lang w:bidi="ar"/>
              </w:rPr>
              <w:t>个</w:t>
            </w:r>
          </w:p>
        </w:tc>
        <w:tc>
          <w:tcPr>
            <w:tcW w:w="5583" w:type="dxa"/>
            <w:tcBorders>
              <w:top w:val="single" w:color="000000" w:sz="4" w:space="0"/>
              <w:left w:val="single" w:color="000000" w:sz="4" w:space="0"/>
              <w:bottom w:val="single" w:color="000000" w:sz="4" w:space="0"/>
              <w:right w:val="single" w:color="000000" w:sz="4" w:space="0"/>
            </w:tcBorders>
            <w:noWrap w:val="0"/>
            <w:vAlign w:val="center"/>
          </w:tcPr>
          <w:p w14:paraId="129C6611">
            <w:pPr>
              <w:widowControl/>
              <w:jc w:val="left"/>
              <w:rPr>
                <w:rFonts w:ascii="仿宋" w:hAnsi="仿宋" w:eastAsia="仿宋" w:cs="仿宋"/>
                <w:color w:val="auto"/>
                <w:szCs w:val="21"/>
                <w:highlight w:val="none"/>
                <w:lang w:bidi="ar"/>
              </w:rPr>
            </w:pPr>
            <w:r>
              <w:rPr>
                <w:rFonts w:hint="eastAsia" w:ascii="仿宋" w:hAnsi="仿宋" w:eastAsia="仿宋" w:cs="仿宋"/>
                <w:color w:val="auto"/>
                <w:szCs w:val="21"/>
                <w:highlight w:val="none"/>
                <w:lang w:bidi="ar"/>
              </w:rPr>
              <w:t>尺寸：≥8m*1.3m</w:t>
            </w:r>
          </w:p>
          <w:p w14:paraId="433CA6CD">
            <w:pPr>
              <w:widowControl/>
              <w:jc w:val="left"/>
              <w:rPr>
                <w:rFonts w:ascii="仿宋" w:hAnsi="仿宋" w:eastAsia="仿宋" w:cs="仿宋"/>
                <w:color w:val="auto"/>
                <w:szCs w:val="21"/>
                <w:highlight w:val="none"/>
              </w:rPr>
            </w:pPr>
            <w:r>
              <w:rPr>
                <w:rFonts w:hint="eastAsia" w:ascii="仿宋" w:hAnsi="仿宋" w:eastAsia="仿宋" w:cs="仿宋"/>
                <w:color w:val="auto"/>
                <w:szCs w:val="21"/>
                <w:highlight w:val="none"/>
                <w:lang w:bidi="ar"/>
              </w:rPr>
              <w:t>医用隔帘，面料采用高密度聚酯纤维，透气防尘，轨道式悬挂，颜色柔和，展开后有效分隔检查区域，保护患者隐私。</w:t>
            </w:r>
          </w:p>
        </w:tc>
      </w:tr>
    </w:tbl>
    <w:p w14:paraId="2CFC5871">
      <w:pPr>
        <w:pStyle w:val="820"/>
        <w:spacing w:line="360" w:lineRule="auto"/>
        <w:ind w:firstLine="422"/>
        <w:rPr>
          <w:rFonts w:ascii="仿宋" w:hAnsi="仿宋" w:eastAsia="仿宋" w:cs="仿宋"/>
          <w:b/>
          <w:bCs/>
          <w:color w:val="auto"/>
          <w:szCs w:val="21"/>
          <w:lang w:val="en-US"/>
        </w:rPr>
      </w:pPr>
      <w:r>
        <w:rPr>
          <w:rFonts w:hint="eastAsia" w:ascii="仿宋" w:hAnsi="仿宋" w:eastAsia="仿宋" w:cs="仿宋"/>
          <w:b/>
          <w:bCs/>
          <w:color w:val="auto"/>
          <w:szCs w:val="21"/>
          <w:lang w:val="en-US"/>
        </w:rPr>
        <w:t>备注：注：1.核心产品：电动悬空篮球架</w:t>
      </w:r>
    </w:p>
    <w:p w14:paraId="1CED496D">
      <w:pPr>
        <w:spacing w:line="360" w:lineRule="auto"/>
        <w:ind w:firstLine="422"/>
        <w:rPr>
          <w:rFonts w:ascii="仿宋" w:hAnsi="仿宋" w:eastAsia="仿宋" w:cs="仿宋"/>
          <w:b/>
          <w:bCs/>
          <w:color w:val="auto"/>
          <w:szCs w:val="21"/>
        </w:rPr>
      </w:pPr>
      <w:r>
        <w:rPr>
          <w:rFonts w:hint="eastAsia" w:ascii="仿宋" w:hAnsi="仿宋" w:eastAsia="仿宋" w:cs="仿宋"/>
          <w:b/>
          <w:bCs/>
          <w:color w:val="auto"/>
          <w:szCs w:val="21"/>
        </w:rPr>
        <w:t>2.强制节能产品：</w:t>
      </w:r>
      <w:r>
        <w:rPr>
          <w:rFonts w:hint="eastAsia" w:ascii="仿宋" w:hAnsi="仿宋" w:eastAsia="仿宋" w:cs="仿宋"/>
          <w:b/>
          <w:bCs/>
          <w:color w:val="auto"/>
          <w:szCs w:val="21"/>
          <w:lang w:val="en-US" w:eastAsia="zh-CN"/>
        </w:rPr>
        <w:t>三联</w:t>
      </w:r>
      <w:r>
        <w:rPr>
          <w:rFonts w:hint="eastAsia" w:ascii="仿宋" w:hAnsi="仿宋" w:eastAsia="仿宋" w:cs="仿宋"/>
          <w:b/>
          <w:bCs/>
          <w:color w:val="auto"/>
          <w:szCs w:val="21"/>
        </w:rPr>
        <w:t>水嘴。依据</w:t>
      </w:r>
      <w:r>
        <w:rPr>
          <w:rFonts w:hint="eastAsia" w:ascii="仿宋" w:hAnsi="仿宋" w:eastAsia="仿宋" w:cs="仿宋"/>
          <w:b/>
          <w:bCs/>
          <w:color w:val="auto"/>
          <w:szCs w:val="21"/>
          <w:lang w:val="en-US"/>
        </w:rPr>
        <w:t>《关于调整优化节能产品、环境标志产品政府采购执行机制的通知》（财库〔2019〕9号）、《关于贯彻执行绿色采购、促进残疾人就业和支持监狱企业发展有关政策的通知》（苏财购〔2019〕10号）</w:t>
      </w:r>
      <w:r>
        <w:rPr>
          <w:rFonts w:hint="eastAsia" w:ascii="仿宋" w:hAnsi="仿宋" w:eastAsia="仿宋" w:cs="仿宋"/>
          <w:b/>
          <w:bCs/>
          <w:color w:val="auto"/>
          <w:szCs w:val="21"/>
        </w:rPr>
        <w:t>、《关于印发节能产品政府采购品目清单的通知》（财库〔2019〕19号）规定，三联水嘴属于强制节能采购目录内产品，本项为实质性强制性响应要求，供应商应当选择强制采购产品，并提供由国家确定的认证机构出具的、处于有效期之内的《中国节能产品认证证书》，证书上的产品名称及型号须与所投产品完全一致，否则投标无效。</w:t>
      </w:r>
    </w:p>
    <w:p w14:paraId="260A3E5A">
      <w:pPr>
        <w:spacing w:line="360" w:lineRule="auto"/>
        <w:ind w:firstLine="422"/>
        <w:rPr>
          <w:rFonts w:ascii="仿宋" w:hAnsi="仿宋" w:eastAsia="仿宋" w:cs="仿宋"/>
          <w:b/>
          <w:bCs/>
          <w:color w:val="auto"/>
          <w:szCs w:val="21"/>
        </w:rPr>
      </w:pPr>
      <w:r>
        <w:rPr>
          <w:rFonts w:hint="eastAsia" w:ascii="仿宋" w:hAnsi="仿宋" w:eastAsia="仿宋" w:cs="仿宋"/>
          <w:b/>
          <w:bCs/>
          <w:color w:val="auto"/>
          <w:szCs w:val="21"/>
        </w:rPr>
        <w:t>3.卫生保健室中序号11血压计、序号17外伤处理器械、序号35血糖仪、序号36体温计、序号37电子血压计属于二类医疗器械。</w:t>
      </w:r>
    </w:p>
    <w:p w14:paraId="29E1F45D">
      <w:pPr>
        <w:spacing w:line="360" w:lineRule="auto"/>
        <w:ind w:firstLine="422"/>
        <w:rPr>
          <w:rFonts w:ascii="仿宋" w:hAnsi="仿宋" w:eastAsia="仿宋" w:cs="仿宋"/>
          <w:b/>
          <w:bCs/>
          <w:color w:val="auto"/>
        </w:rPr>
      </w:pPr>
      <w:r>
        <w:rPr>
          <w:rFonts w:hint="eastAsia" w:ascii="仿宋" w:hAnsi="仿宋" w:eastAsia="仿宋" w:cs="仿宋"/>
          <w:b/>
          <w:bCs/>
          <w:color w:val="auto"/>
          <w:szCs w:val="21"/>
        </w:rPr>
        <w:t>4.本项目采购清单中的系统属于应用软件，不涉及集采品目。</w:t>
      </w:r>
    </w:p>
    <w:p w14:paraId="39B2B53C">
      <w:pPr>
        <w:spacing w:line="360" w:lineRule="auto"/>
        <w:ind w:firstLine="422"/>
        <w:rPr>
          <w:rFonts w:ascii="仿宋" w:hAnsi="仿宋" w:eastAsia="仿宋" w:cs="仿宋"/>
          <w:b/>
          <w:bCs/>
          <w:color w:val="auto"/>
        </w:rPr>
      </w:pPr>
      <w:r>
        <w:rPr>
          <w:rFonts w:hint="eastAsia" w:ascii="仿宋" w:hAnsi="仿宋" w:eastAsia="仿宋" w:cs="仿宋"/>
          <w:b/>
          <w:bCs/>
          <w:color w:val="auto"/>
          <w:szCs w:val="21"/>
        </w:rPr>
        <w:t>5.本项目不接受进口产品投标，上述货物标的物所属行业均为工业。</w:t>
      </w:r>
    </w:p>
    <w:p w14:paraId="0CA6DD60">
      <w:pPr>
        <w:pStyle w:val="820"/>
        <w:spacing w:line="360" w:lineRule="auto"/>
        <w:ind w:firstLine="422"/>
        <w:rPr>
          <w:rFonts w:hint="eastAsia" w:ascii="仿宋" w:hAnsi="仿宋" w:eastAsia="仿宋" w:cs="仿宋"/>
          <w:b/>
          <w:bCs/>
          <w:color w:val="auto"/>
          <w:szCs w:val="21"/>
          <w:lang w:val="en-US"/>
        </w:rPr>
      </w:pPr>
      <w:r>
        <w:rPr>
          <w:rFonts w:hint="eastAsia" w:ascii="仿宋" w:hAnsi="仿宋" w:eastAsia="仿宋" w:cs="仿宋"/>
          <w:b/>
          <w:bCs/>
          <w:color w:val="auto"/>
          <w:szCs w:val="21"/>
          <w:lang w:val="en-US"/>
        </w:rPr>
        <w:t>6.本项目包含多项货物，供应商需要明确每个采购标的均由中小企业制造才能享受相关扶持政策。如果供应商提供的《中小企业声明函》未对所有标的进行有效响应，则声明函无效。</w:t>
      </w:r>
    </w:p>
    <w:p w14:paraId="7BFD00F1">
      <w:pPr>
        <w:pStyle w:val="820"/>
        <w:spacing w:line="360" w:lineRule="auto"/>
        <w:ind w:firstLine="422"/>
        <w:rPr>
          <w:rFonts w:hint="eastAsia" w:ascii="仿宋" w:hAnsi="仿宋" w:eastAsia="仿宋" w:cs="仿宋"/>
          <w:b/>
          <w:bCs/>
          <w:sz w:val="24"/>
          <w:szCs w:val="24"/>
          <w:lang w:val="en-US"/>
        </w:rPr>
      </w:pPr>
      <w:r>
        <w:rPr>
          <w:rFonts w:hint="eastAsia" w:ascii="仿宋" w:hAnsi="仿宋" w:eastAsia="仿宋" w:cs="仿宋"/>
          <w:b/>
          <w:bCs/>
          <w:color w:val="auto"/>
          <w:sz w:val="21"/>
          <w:szCs w:val="21"/>
          <w:lang w:val="en-US" w:eastAsia="zh-CN" w:bidi="ar-SA"/>
        </w:rPr>
        <w:t>7.关于参数：（1）上表中未标注“▲”的技术参数、材质、外形尺寸，系采购需求的一般性描述，不作为评分依据，但须在投标文件技术偏离表中按招标文件格式完整填写，投标产品满足项目使用功能、主要技术参数不低于采购需求且符合相关现行标准的，视为满足采购需求；偏离构成严重影响采购人实际使用的，评标委员会有权认定为不实质性响应招标文件要求。（2）尺寸类参数的偏差按该产品现行国家、行业标准执行；标准未作规定的，实际尺寸与表列值偏差在±1cm 以内（安装、配合类尺寸除外）视为符合。（3）招标文件文字、参数如存在不影响实质性响应与合同履行的笔误类疏漏，评审与验收时不作缺陷认定；涉及实质性内容的，采购人将依法以更正公告澄清。</w:t>
      </w:r>
    </w:p>
    <w:p w14:paraId="38002842">
      <w:pPr>
        <w:pStyle w:val="820"/>
        <w:spacing w:line="360" w:lineRule="auto"/>
        <w:ind w:firstLine="0"/>
        <w:rPr>
          <w:rFonts w:ascii="仿宋" w:hAnsi="仿宋" w:eastAsia="仿宋" w:cs="仿宋"/>
          <w:sz w:val="24"/>
          <w:szCs w:val="24"/>
          <w:lang w:val="en-US"/>
        </w:rPr>
      </w:pPr>
      <w:r>
        <w:rPr>
          <w:rFonts w:hint="eastAsia" w:ascii="仿宋" w:hAnsi="仿宋" w:eastAsia="仿宋" w:cs="仿宋"/>
          <w:b/>
          <w:bCs/>
          <w:sz w:val="24"/>
          <w:szCs w:val="24"/>
          <w:lang w:val="en-US"/>
        </w:rPr>
        <w:t>三、一般技术要求</w:t>
      </w:r>
    </w:p>
    <w:p w14:paraId="3E8CBCCF">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1.所提供货物的生产、制造、安装等，各项技术标准应当符合国家（强制性）标准、各项规范要求；国家没有相应标准、规范的，可使用行业标准、规定；非标设备按采购文件约定的技术要求和规范。</w:t>
      </w:r>
    </w:p>
    <w:p w14:paraId="09F14422">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2.所有设备、附（配）件应具备该类产品的功能要求，无瑕疵和缺陷，质量为合格产品，同时有明确的生产厂商或制造厂商。</w:t>
      </w:r>
    </w:p>
    <w:p w14:paraId="6A1F81B2">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3.所提供货物是全新的、未使用过的、原包装未拆封的商品，完全符合采购清单规定的质量、规格和性能的要求，投标单位应保证其提供的设备在正确安装、正常使用和保养条件下，在规定的使用寿命期内具有满意的性能。</w:t>
      </w:r>
    </w:p>
    <w:p w14:paraId="5B29B18E">
      <w:pPr>
        <w:pStyle w:val="820"/>
        <w:spacing w:line="360" w:lineRule="auto"/>
        <w:ind w:firstLine="0"/>
        <w:rPr>
          <w:rFonts w:ascii="仿宋" w:hAnsi="仿宋" w:eastAsia="仿宋" w:cs="仿宋"/>
          <w:b/>
          <w:bCs/>
          <w:sz w:val="24"/>
          <w:szCs w:val="24"/>
        </w:rPr>
      </w:pPr>
      <w:r>
        <w:rPr>
          <w:rFonts w:hint="eastAsia" w:ascii="仿宋" w:hAnsi="仿宋" w:eastAsia="仿宋" w:cs="仿宋"/>
          <w:b/>
          <w:bCs/>
          <w:sz w:val="24"/>
          <w:szCs w:val="24"/>
          <w:lang w:val="en-US"/>
        </w:rPr>
        <w:t>四、</w:t>
      </w:r>
      <w:r>
        <w:rPr>
          <w:rFonts w:hint="eastAsia" w:ascii="仿宋" w:hAnsi="仿宋" w:eastAsia="仿宋" w:cs="仿宋"/>
          <w:b/>
          <w:bCs/>
          <w:sz w:val="24"/>
          <w:szCs w:val="24"/>
        </w:rPr>
        <w:t>商务要求</w:t>
      </w:r>
    </w:p>
    <w:p w14:paraId="60D09EAE">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1.交货要求</w:t>
      </w:r>
    </w:p>
    <w:p w14:paraId="7F3EBEC8">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（1）交付期限：合同签订生效后45日历天内将所供产品送至采购人指定地点，安装到位并调试完毕。</w:t>
      </w:r>
    </w:p>
    <w:p w14:paraId="12D015B2">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（2）交货方式及地点：原厂包装免费送货至采购人指定地点。</w:t>
      </w:r>
    </w:p>
    <w:p w14:paraId="7F1948F7">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2.免费保修期：自项目验收合格（以双方在验收报告签订日期为准），提供3年整体免费保修服务</w:t>
      </w:r>
      <w:r>
        <w:rPr>
          <w:rFonts w:hint="eastAsia" w:ascii="仿宋" w:hAnsi="仿宋" w:eastAsia="仿宋" w:cs="仿宋"/>
          <w:sz w:val="24"/>
          <w:szCs w:val="24"/>
          <w:lang w:eastAsia="zh-TW"/>
        </w:rPr>
        <w:t>。免费</w:t>
      </w:r>
      <w:r>
        <w:rPr>
          <w:rFonts w:hint="eastAsia" w:ascii="仿宋" w:hAnsi="仿宋" w:eastAsia="仿宋" w:cs="仿宋"/>
          <w:sz w:val="24"/>
          <w:szCs w:val="24"/>
        </w:rPr>
        <w:t>保修</w:t>
      </w:r>
      <w:r>
        <w:rPr>
          <w:rFonts w:hint="eastAsia" w:ascii="仿宋" w:hAnsi="仿宋" w:eastAsia="仿宋" w:cs="仿宋"/>
          <w:sz w:val="24"/>
          <w:szCs w:val="24"/>
          <w:lang w:eastAsia="zh-TW"/>
        </w:rPr>
        <w:t>期内，除人为损坏和不可抗拒因素外，中标人对物品进行免费维修或更换</w:t>
      </w:r>
      <w:r>
        <w:rPr>
          <w:rFonts w:hint="eastAsia" w:ascii="仿宋" w:hAnsi="仿宋" w:eastAsia="仿宋" w:cs="仿宋"/>
          <w:sz w:val="24"/>
          <w:szCs w:val="24"/>
        </w:rPr>
        <w:t>。</w:t>
      </w:r>
    </w:p>
    <w:p w14:paraId="5D5D5EF6">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3.售后服务</w:t>
      </w:r>
    </w:p>
    <w:p w14:paraId="08D0AD35">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免费保修期内中标人在接到采购人维修要求后，必须在1小时内对采购人所提出的维修要求作出响应，6小时内到达维修现场，并在72小时内修复完毕，如72小时内无法修复完毕应免费更换同样品牌、规格的产品。否则由于故障造成的全部损失由中标人承担。</w:t>
      </w:r>
    </w:p>
    <w:p w14:paraId="4A7BB4C7">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免费保修期内如有质量问题时（使用不当除外），中标人应免费修复、更换，同一问题二次修复后仍有问题时，则全套更换。</w:t>
      </w:r>
    </w:p>
    <w:p w14:paraId="56D8B3D2">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免费保修期满后的维修内容减免上门费及人工费等费用，仅按原材料的价格收取维修费用，零配件应保证5年以上的供应期，合同签订时提供原材料的价格、零配件的优惠价为免费保修期满后的结算依据，未提供在免费保修期满后价格维修清单的内容视为免费维修，不因时间的递增或物价上涨而改变结算价格。</w:t>
      </w:r>
    </w:p>
    <w:p w14:paraId="2D182F92">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中标人应按其投标文件中的承诺，进行其他售后服务工作。包括但不限于免费提供对采购方操作人员的免费应用技术培训，时间、地点协商而定。</w:t>
      </w:r>
    </w:p>
    <w:p w14:paraId="39F960E4">
      <w:pPr>
        <w:spacing w:line="360" w:lineRule="auto"/>
        <w:ind w:firstLine="480"/>
        <w:jc w:val="left"/>
        <w:rPr>
          <w:rFonts w:ascii="仿宋" w:hAnsi="仿宋" w:eastAsia="仿宋" w:cs="仿宋"/>
          <w:sz w:val="24"/>
          <w:szCs w:val="24"/>
          <w:lang w:eastAsia="zh-Hans"/>
        </w:rPr>
      </w:pPr>
      <w:r>
        <w:rPr>
          <w:rFonts w:hint="eastAsia" w:ascii="仿宋" w:hAnsi="仿宋" w:eastAsia="仿宋" w:cs="仿宋"/>
          <w:sz w:val="24"/>
          <w:szCs w:val="24"/>
          <w:lang w:eastAsia="zh-Hans"/>
        </w:rPr>
        <w:t>4.付款</w:t>
      </w:r>
    </w:p>
    <w:p w14:paraId="2117A401">
      <w:pPr>
        <w:spacing w:line="360" w:lineRule="auto"/>
        <w:ind w:firstLine="480"/>
        <w:jc w:val="left"/>
        <w:rPr>
          <w:rFonts w:ascii="仿宋" w:hAnsi="仿宋" w:eastAsia="仿宋" w:cs="仿宋"/>
          <w:sz w:val="24"/>
          <w:szCs w:val="24"/>
          <w:lang w:eastAsia="zh-Hans"/>
        </w:rPr>
      </w:pPr>
      <w:r>
        <w:rPr>
          <w:rFonts w:hint="eastAsia" w:ascii="仿宋" w:hAnsi="仿宋" w:eastAsia="仿宋" w:cs="仿宋"/>
          <w:sz w:val="24"/>
          <w:szCs w:val="24"/>
        </w:rPr>
        <w:t>合同签订生效后预付签约合同价的30%，</w:t>
      </w:r>
      <w:r>
        <w:rPr>
          <w:rFonts w:hint="eastAsia" w:ascii="仿宋" w:hAnsi="仿宋" w:eastAsia="仿宋" w:cs="仿宋"/>
          <w:sz w:val="24"/>
          <w:szCs w:val="24"/>
          <w:lang w:eastAsia="zh-Hans"/>
        </w:rPr>
        <w:t>项目安装调试完毕且</w:t>
      </w:r>
      <w:r>
        <w:rPr>
          <w:rFonts w:hint="eastAsia" w:ascii="仿宋" w:hAnsi="仿宋" w:eastAsia="仿宋" w:cs="仿宋"/>
          <w:sz w:val="24"/>
          <w:szCs w:val="24"/>
        </w:rPr>
        <w:t>经采购人</w:t>
      </w:r>
      <w:r>
        <w:rPr>
          <w:rFonts w:hint="eastAsia" w:ascii="仿宋" w:hAnsi="仿宋" w:eastAsia="仿宋" w:cs="仿宋"/>
          <w:sz w:val="24"/>
          <w:szCs w:val="24"/>
          <w:lang w:eastAsia="zh-Hans"/>
        </w:rPr>
        <w:t>验收合格，支付至</w:t>
      </w:r>
      <w:r>
        <w:rPr>
          <w:rFonts w:hint="eastAsia" w:ascii="仿宋" w:hAnsi="仿宋" w:eastAsia="仿宋" w:cs="仿宋"/>
          <w:sz w:val="24"/>
          <w:szCs w:val="24"/>
        </w:rPr>
        <w:t>签约</w:t>
      </w:r>
      <w:r>
        <w:rPr>
          <w:rFonts w:hint="eastAsia" w:ascii="仿宋" w:hAnsi="仿宋" w:eastAsia="仿宋" w:cs="仿宋"/>
          <w:sz w:val="24"/>
          <w:szCs w:val="24"/>
          <w:lang w:eastAsia="zh-Hans"/>
        </w:rPr>
        <w:t>合同</w:t>
      </w:r>
      <w:r>
        <w:rPr>
          <w:rFonts w:hint="eastAsia" w:ascii="仿宋" w:hAnsi="仿宋" w:eastAsia="仿宋" w:cs="仿宋"/>
          <w:sz w:val="24"/>
          <w:szCs w:val="24"/>
        </w:rPr>
        <w:t>价</w:t>
      </w:r>
      <w:r>
        <w:rPr>
          <w:rFonts w:hint="eastAsia" w:ascii="仿宋" w:hAnsi="仿宋" w:eastAsia="仿宋" w:cs="仿宋"/>
          <w:sz w:val="24"/>
          <w:szCs w:val="24"/>
          <w:lang w:eastAsia="zh-Hans"/>
        </w:rPr>
        <w:t>的60%；</w:t>
      </w:r>
      <w:r>
        <w:rPr>
          <w:rFonts w:hint="eastAsia" w:ascii="仿宋" w:hAnsi="仿宋" w:eastAsia="仿宋" w:cs="仿宋"/>
          <w:sz w:val="24"/>
          <w:szCs w:val="24"/>
        </w:rPr>
        <w:t>结算审计完成付至审计价的80%，余款两年内付清。</w:t>
      </w:r>
    </w:p>
    <w:p w14:paraId="38688BB1">
      <w:pPr>
        <w:spacing w:line="360" w:lineRule="auto"/>
        <w:rPr>
          <w:rFonts w:ascii="仿宋" w:hAnsi="仿宋" w:eastAsia="仿宋" w:cs="仿宋"/>
          <w:b/>
          <w:bCs/>
          <w:sz w:val="24"/>
          <w:szCs w:val="24"/>
        </w:rPr>
      </w:pPr>
      <w:r>
        <w:rPr>
          <w:rFonts w:hint="eastAsia" w:ascii="仿宋" w:hAnsi="仿宋" w:eastAsia="仿宋" w:cs="仿宋"/>
          <w:b/>
          <w:bCs/>
          <w:sz w:val="24"/>
          <w:szCs w:val="24"/>
        </w:rPr>
        <w:t>五、验收要求及标准</w:t>
      </w:r>
    </w:p>
    <w:p w14:paraId="18ADC89D">
      <w:pPr>
        <w:spacing w:line="360" w:lineRule="auto"/>
        <w:ind w:firstLine="420"/>
        <w:jc w:val="left"/>
        <w:rPr>
          <w:rFonts w:ascii="仿宋" w:hAnsi="仿宋" w:eastAsia="仿宋" w:cs="仿宋"/>
          <w:bCs/>
          <w:sz w:val="24"/>
          <w:szCs w:val="24"/>
        </w:rPr>
      </w:pPr>
      <w:r>
        <w:rPr>
          <w:rFonts w:hint="eastAsia" w:ascii="仿宋" w:hAnsi="仿宋" w:eastAsia="仿宋" w:cs="仿宋"/>
          <w:bCs/>
          <w:sz w:val="24"/>
          <w:szCs w:val="24"/>
        </w:rPr>
        <w:t>1.验收：产品运抵采购单位指定地点后，采购人对所供货物就数量、外观、材质、工艺等基本检测项目进行验收，若有产品损坏、丢失或出现其他不符合招标要求的情况，中标人应根据采购人的要求免费补充、更换；安装调试完毕后，采购人组织质量性能验收，若发现中标人提供的设备及其安装有质量、性能方面的问题采购人有权拒收或要求中标人更换、维修直至验收合格。</w:t>
      </w:r>
    </w:p>
    <w:p w14:paraId="6BF27493">
      <w:pPr>
        <w:spacing w:line="360" w:lineRule="auto"/>
        <w:ind w:firstLine="420"/>
        <w:jc w:val="left"/>
        <w:rPr>
          <w:rFonts w:ascii="仿宋" w:hAnsi="仿宋" w:eastAsia="仿宋" w:cs="仿宋"/>
          <w:bCs/>
          <w:sz w:val="24"/>
          <w:szCs w:val="24"/>
        </w:rPr>
      </w:pPr>
      <w:r>
        <w:rPr>
          <w:rFonts w:hint="eastAsia" w:ascii="仿宋" w:hAnsi="仿宋" w:eastAsia="仿宋" w:cs="仿宋"/>
          <w:bCs/>
          <w:sz w:val="24"/>
          <w:szCs w:val="24"/>
        </w:rPr>
        <w:t>2.验收时，中标人必须参加，由双方签署验收单。</w:t>
      </w:r>
    </w:p>
    <w:p w14:paraId="1A751DAA">
      <w:pPr>
        <w:spacing w:line="360" w:lineRule="auto"/>
        <w:ind w:firstLine="420"/>
        <w:jc w:val="left"/>
        <w:rPr>
          <w:rFonts w:ascii="仿宋" w:hAnsi="仿宋" w:eastAsia="仿宋" w:cs="仿宋"/>
          <w:bCs/>
          <w:sz w:val="24"/>
          <w:szCs w:val="24"/>
        </w:rPr>
      </w:pPr>
      <w:r>
        <w:rPr>
          <w:rFonts w:hint="eastAsia" w:ascii="仿宋" w:hAnsi="仿宋" w:eastAsia="仿宋" w:cs="仿宋"/>
          <w:bCs/>
          <w:sz w:val="24"/>
          <w:szCs w:val="24"/>
        </w:rPr>
        <w:t>3.项目完成后，中标人需提供所投产品生产厂家的授权书、质保书、保修证明等书面资料，并按国家制造和安装的标准要求检测验收。</w:t>
      </w:r>
    </w:p>
    <w:p w14:paraId="09B52A26">
      <w:pPr>
        <w:spacing w:line="360" w:lineRule="auto"/>
        <w:ind w:firstLine="420"/>
        <w:jc w:val="left"/>
        <w:rPr>
          <w:rFonts w:ascii="仿宋" w:hAnsi="仿宋" w:eastAsia="仿宋" w:cs="仿宋"/>
          <w:bCs/>
          <w:sz w:val="24"/>
          <w:szCs w:val="24"/>
        </w:rPr>
      </w:pPr>
      <w:r>
        <w:rPr>
          <w:rFonts w:hint="eastAsia" w:ascii="仿宋" w:hAnsi="仿宋" w:eastAsia="仿宋" w:cs="仿宋"/>
          <w:bCs/>
          <w:sz w:val="24"/>
          <w:szCs w:val="24"/>
        </w:rPr>
        <w:t>4.本次采购全部内容为“交钥匙”项目，一切费用均包含在报价内，请各投标单位认真考虑其各种风险。</w:t>
      </w:r>
    </w:p>
    <w:p w14:paraId="62A1172A">
      <w:pPr>
        <w:spacing w:line="360" w:lineRule="auto"/>
        <w:ind w:firstLine="420"/>
        <w:jc w:val="left"/>
        <w:rPr>
          <w:rFonts w:ascii="仿宋" w:hAnsi="仿宋" w:eastAsia="仿宋" w:cs="仿宋"/>
          <w:sz w:val="24"/>
          <w:szCs w:val="24"/>
        </w:rPr>
      </w:pPr>
      <w:r>
        <w:rPr>
          <w:rFonts w:hint="eastAsia" w:ascii="仿宋" w:hAnsi="仿宋" w:eastAsia="仿宋" w:cs="仿宋"/>
          <w:bCs/>
          <w:sz w:val="24"/>
          <w:szCs w:val="24"/>
        </w:rPr>
        <w:t>5.验收标准：按本招标文件、供应商的投标文件、承诺及国家相关标准为准。</w:t>
      </w:r>
    </w:p>
    <w:p w14:paraId="302E8259">
      <w:pPr>
        <w:spacing w:line="360" w:lineRule="auto"/>
        <w:ind w:firstLine="420"/>
        <w:jc w:val="left"/>
        <w:rPr>
          <w:rFonts w:ascii="仿宋" w:hAnsi="仿宋" w:eastAsia="仿宋" w:cs="仿宋"/>
          <w:sz w:val="24"/>
          <w:szCs w:val="24"/>
        </w:rPr>
      </w:pPr>
      <w:r>
        <w:rPr>
          <w:rFonts w:hint="eastAsia" w:ascii="仿宋" w:hAnsi="仿宋" w:eastAsia="仿宋" w:cs="仿宋"/>
          <w:bCs/>
          <w:sz w:val="24"/>
          <w:szCs w:val="24"/>
        </w:rPr>
        <w:t>按《江苏省政府采购履约验收管理办法》（苏财规〔2024〕7号）的通知要求，提供验收通知单、验收书，详见附件。</w:t>
      </w:r>
    </w:p>
    <w:p w14:paraId="0554FDE7">
      <w:pPr>
        <w:spacing w:line="360" w:lineRule="auto"/>
        <w:ind w:firstLine="420"/>
        <w:jc w:val="left"/>
        <w:rPr>
          <w:rFonts w:ascii="仿宋" w:hAnsi="仿宋" w:eastAsia="仿宋" w:cs="仿宋"/>
          <w:sz w:val="24"/>
          <w:szCs w:val="24"/>
        </w:rPr>
      </w:pPr>
      <w:r>
        <w:rPr>
          <w:rFonts w:hint="eastAsia" w:ascii="仿宋" w:hAnsi="仿宋" w:eastAsia="仿宋" w:cs="仿宋"/>
          <w:bCs/>
          <w:sz w:val="24"/>
          <w:szCs w:val="24"/>
        </w:rPr>
        <w:t>如双方对验收结果有分歧，则以苏州市技术质量监督局的检验结果为准，检验费用由有过失的一方支付。</w:t>
      </w:r>
    </w:p>
    <w:p w14:paraId="757B1FD4">
      <w:pPr>
        <w:spacing w:line="360" w:lineRule="auto"/>
        <w:ind w:firstLine="420"/>
        <w:jc w:val="left"/>
        <w:rPr>
          <w:rFonts w:ascii="仿宋" w:hAnsi="仿宋" w:eastAsia="仿宋" w:cs="仿宋"/>
          <w:bCs/>
          <w:sz w:val="24"/>
          <w:szCs w:val="24"/>
        </w:rPr>
      </w:pPr>
      <w:r>
        <w:rPr>
          <w:rFonts w:hint="eastAsia" w:ascii="仿宋" w:hAnsi="仿宋" w:eastAsia="仿宋" w:cs="仿宋"/>
          <w:bCs/>
          <w:sz w:val="24"/>
          <w:szCs w:val="24"/>
        </w:rPr>
        <w:t>6.交货过程中如发现不符合本次招标文件所规定产品，供方应无条件退换。</w:t>
      </w:r>
    </w:p>
    <w:p w14:paraId="6FA217A8">
      <w:pPr>
        <w:spacing w:line="360" w:lineRule="auto"/>
        <w:rPr>
          <w:rFonts w:ascii="仿宋" w:hAnsi="仿宋" w:eastAsia="仿宋" w:cs="仿宋"/>
          <w:b/>
          <w:bCs/>
          <w:sz w:val="24"/>
          <w:szCs w:val="24"/>
        </w:rPr>
      </w:pPr>
      <w:r>
        <w:rPr>
          <w:rFonts w:hint="eastAsia" w:ascii="仿宋" w:hAnsi="仿宋" w:eastAsia="仿宋" w:cs="仿宋"/>
          <w:b/>
          <w:bCs/>
          <w:sz w:val="24"/>
          <w:szCs w:val="24"/>
        </w:rPr>
        <w:t>六、其他要求</w:t>
      </w:r>
    </w:p>
    <w:p w14:paraId="17B74323">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1.中标人须负责其所提供的所有货物的安装调试，以及与之相关的一切必要配套工作。</w:t>
      </w:r>
    </w:p>
    <w:p w14:paraId="189D5361">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2.货物进场后的搬运、成品保护、平面布置优化等措施，费用均在投标报价时自行考虑在内，结算不予增加。</w:t>
      </w:r>
    </w:p>
    <w:p w14:paraId="7AC82927">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3.投标人应认真考虑需配合项目、涉及范围及与其他单位的相关配合工作，如需涉及相关配合等费用投标时自行考虑在投标报价中，中标后不得以任何理由增加费用和延长交货期限。</w:t>
      </w:r>
    </w:p>
    <w:p w14:paraId="2A26CBB8">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4</w:t>
      </w:r>
      <w:r>
        <w:rPr>
          <w:rFonts w:ascii="仿宋" w:hAnsi="仿宋" w:eastAsia="仿宋" w:cs="仿宋"/>
          <w:sz w:val="24"/>
          <w:szCs w:val="24"/>
        </w:rPr>
        <w:t>.</w:t>
      </w:r>
      <w:r>
        <w:rPr>
          <w:rFonts w:hint="eastAsia" w:ascii="仿宋" w:hAnsi="仿宋" w:eastAsia="仿宋" w:cs="仿宋"/>
          <w:sz w:val="24"/>
          <w:szCs w:val="24"/>
        </w:rPr>
        <w:t>货物搬运、安装、调试等过程中需对已有成品进行保护，如有损坏，由中标人负责修复，并承担相关费用。</w:t>
      </w:r>
    </w:p>
    <w:p w14:paraId="4A2F24F3">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5.</w:t>
      </w:r>
      <w:r>
        <w:rPr>
          <w:rFonts w:ascii="仿宋" w:hAnsi="仿宋" w:eastAsia="仿宋" w:cs="仿宋"/>
          <w:sz w:val="24"/>
          <w:szCs w:val="24"/>
        </w:rPr>
        <w:t>中标后，采购</w:t>
      </w:r>
      <w:r>
        <w:rPr>
          <w:rFonts w:hint="eastAsia" w:ascii="仿宋" w:hAnsi="仿宋" w:eastAsia="仿宋" w:cs="仿宋"/>
          <w:sz w:val="24"/>
          <w:szCs w:val="24"/>
        </w:rPr>
        <w:t>人</w:t>
      </w:r>
      <w:r>
        <w:rPr>
          <w:rFonts w:ascii="仿宋" w:hAnsi="仿宋" w:eastAsia="仿宋" w:cs="仿宋"/>
          <w:sz w:val="24"/>
          <w:szCs w:val="24"/>
        </w:rPr>
        <w:t>有权视情况需要（对于采购清单中不同类产品），组织合同相关方从所供货物中随机抽样，送相关检测机构进行检测，按招标文件的技术要求为标准验收，如检测不合格，抽检不合格所有同类货物免费更换、检测费 + 工期损失全部由中标方承担。</w:t>
      </w:r>
    </w:p>
    <w:p w14:paraId="0C7A9B00">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6.投标应以人民币报价，投标总价一次报定，报价均已包括本项目的所有费用，包括但不限于由投标人为实施和完成本合同所承担的全部费用和要求获得的利润，包括货物、辅材、配件、运输、吊装、管理、维护、保险、利润、税金、保险、现场安装调试达到正常可使用状态、政策性文件规定及合同包含的所有风险、责任等各项应有费用。项目实施过程中如果因自身原因造成辅助材料缺漏，投标人负责无条件补齐，不再增加费用。</w:t>
      </w:r>
    </w:p>
    <w:p w14:paraId="4AB46BC3">
      <w:pPr>
        <w:spacing w:line="360" w:lineRule="auto"/>
        <w:ind w:firstLine="360"/>
        <w:rPr>
          <w:rFonts w:ascii="仿宋" w:hAnsi="仿宋" w:eastAsia="仿宋" w:cs="仿宋"/>
          <w:b/>
          <w:bCs/>
          <w:sz w:val="24"/>
          <w:szCs w:val="24"/>
        </w:rPr>
      </w:pPr>
      <w:r>
        <w:rPr>
          <w:rFonts w:ascii="仿宋" w:hAnsi="仿宋" w:eastAsia="仿宋" w:cs="仿宋"/>
          <w:sz w:val="24"/>
          <w:szCs w:val="24"/>
        </w:rPr>
        <w:t>7.</w:t>
      </w:r>
      <w:r>
        <w:rPr>
          <w:rFonts w:hint="eastAsia" w:ascii="仿宋" w:hAnsi="仿宋" w:eastAsia="仿宋" w:cs="仿宋"/>
          <w:b/>
          <w:bCs/>
          <w:sz w:val="24"/>
          <w:szCs w:val="24"/>
        </w:rPr>
        <w:t>履约保证金：</w:t>
      </w:r>
    </w:p>
    <w:p w14:paraId="69059319">
      <w:pPr>
        <w:spacing w:line="360" w:lineRule="auto"/>
        <w:ind w:firstLine="360"/>
        <w:rPr>
          <w:rFonts w:ascii="仿宋" w:hAnsi="仿宋" w:cs="仿宋"/>
          <w:sz w:val="24"/>
          <w:szCs w:val="24"/>
        </w:rPr>
      </w:pPr>
      <w:r>
        <w:rPr>
          <w:rFonts w:hint="eastAsia" w:ascii="仿宋" w:hAnsi="仿宋" w:eastAsia="仿宋" w:cs="仿宋"/>
          <w:sz w:val="24"/>
          <w:szCs w:val="24"/>
        </w:rPr>
        <w:t>（</w:t>
      </w:r>
      <w:r>
        <w:rPr>
          <w:rFonts w:ascii="仿宋" w:hAnsi="仿宋" w:eastAsia="仿宋" w:cs="仿宋"/>
          <w:sz w:val="24"/>
          <w:szCs w:val="24"/>
        </w:rPr>
        <w:t>1）合同签订前，中标人按合同金额的3%提交履约保证金。</w:t>
      </w:r>
    </w:p>
    <w:p w14:paraId="68B30932">
      <w:pPr>
        <w:spacing w:line="360" w:lineRule="auto"/>
        <w:ind w:firstLine="36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2）履约保证金用以约束中标人在合同履行中的行为，弥补合同执行中由于自身行为可能给采购人带来的各种损失。</w:t>
      </w:r>
    </w:p>
    <w:p w14:paraId="76B79525">
      <w:pPr>
        <w:spacing w:line="360" w:lineRule="auto"/>
        <w:ind w:firstLine="360"/>
        <w:rPr>
          <w:rFonts w:ascii="仿宋" w:hAnsi="仿宋" w:eastAsia="仿宋" w:cs="仿宋"/>
          <w:sz w:val="24"/>
          <w:szCs w:val="24"/>
        </w:rPr>
      </w:pPr>
      <w:r>
        <w:rPr>
          <w:rFonts w:hint="eastAsia" w:ascii="仿宋" w:hAnsi="仿宋" w:eastAsia="仿宋" w:cs="仿宋"/>
          <w:sz w:val="24"/>
          <w:szCs w:val="24"/>
        </w:rPr>
        <w:t>（</w:t>
      </w:r>
      <w:r>
        <w:rPr>
          <w:rFonts w:ascii="仿宋" w:hAnsi="仿宋" w:eastAsia="仿宋" w:cs="仿宋"/>
          <w:sz w:val="24"/>
          <w:szCs w:val="24"/>
        </w:rPr>
        <w:t>3）履约保证金将在中标人合同履行完毕且项目验收合格满1年无息退还。</w:t>
      </w:r>
    </w:p>
    <w:p w14:paraId="264FBC2C">
      <w:pPr>
        <w:spacing w:line="360" w:lineRule="auto"/>
        <w:ind w:firstLine="480"/>
        <w:jc w:val="left"/>
        <w:rPr>
          <w:rFonts w:ascii="仿宋" w:hAnsi="仿宋" w:eastAsia="仿宋" w:cs="仿宋"/>
          <w:sz w:val="24"/>
          <w:szCs w:val="24"/>
        </w:rPr>
      </w:pPr>
      <w:r>
        <w:rPr>
          <w:rFonts w:ascii="仿宋" w:hAnsi="仿宋" w:eastAsia="仿宋" w:cs="仿宋"/>
          <w:sz w:val="24"/>
          <w:szCs w:val="24"/>
        </w:rPr>
        <w:t>8.现场踏勘：根据自身投标需要，投标人可对有关现场和周围环境进行勘察，以获取编制投标文件和签署合同所需的信息。勘查现场所发生的费用由投标人自己承担。</w:t>
      </w:r>
    </w:p>
    <w:p w14:paraId="58F49233">
      <w:pPr>
        <w:spacing w:line="360" w:lineRule="auto"/>
        <w:jc w:val="left"/>
        <w:rPr>
          <w:rFonts w:ascii="仿宋" w:hAnsi="仿宋" w:eastAsia="仿宋" w:cs="仿宋"/>
          <w:b/>
          <w:sz w:val="24"/>
          <w:szCs w:val="24"/>
        </w:rPr>
      </w:pPr>
      <w:r>
        <w:rPr>
          <w:rFonts w:hint="eastAsia" w:ascii="仿宋" w:hAnsi="仿宋" w:eastAsia="仿宋" w:cs="仿宋"/>
          <w:b/>
          <w:sz w:val="24"/>
          <w:szCs w:val="24"/>
        </w:rPr>
        <w:t>七、实施方案要求</w:t>
      </w:r>
    </w:p>
    <w:p w14:paraId="322D53A7">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投标文件中需提供项目实施方案，包括以下内容：</w:t>
      </w:r>
    </w:p>
    <w:p w14:paraId="735DA2E8">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1.整体供货组织、到货验收、成品保护方案：包含①全品类器材分区域仓储规划、②物流运输防护措施、③到校卸货流程、④数量外观初验、⑤破损退换应急机制、⑥成品保护方案（列明地胶、玻璃篮板、精密体测仪器、保健设备完工防护措施）等，贴合本项目室外/室内/健身/体测/保健多品类大批量供货需求。</w:t>
      </w:r>
    </w:p>
    <w:p w14:paraId="3380DA14">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2.室外预埋器材混凝土基础专项施工方案：针对预埋篮球架、单双杠、足球门等列明基坑尺寸、C20混凝土配比、钢筋预埋、养护周期、场地复原、安全围挡等施工细节。</w:t>
      </w:r>
    </w:p>
    <w:p w14:paraId="0B4A9E39">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3.智慧体测设备部署实施方案：包括体测一体机、校园体育平台软硬件进场、点位布置、网络布线、人脸设备调试、多终端数据对接、校园系统联调完整流程。</w:t>
      </w:r>
    </w:p>
    <w:p w14:paraId="269158EA">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4.</w:t>
      </w:r>
      <w:r>
        <w:rPr>
          <w:rFonts w:ascii="仿宋" w:hAnsi="仿宋" w:eastAsia="仿宋" w:cs="仿宋"/>
          <w:bCs/>
          <w:sz w:val="24"/>
          <w:szCs w:val="24"/>
        </w:rPr>
        <w:t>PVC运动地胶铺设专项施工方案：地面基层处理、自流平施工、卷材拼接、高温焊缝、边角收边、完工清洁、短期防滑保护全套工序。</w:t>
      </w:r>
    </w:p>
    <w:p w14:paraId="5EE10790">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5.供货安装及到货自检方案：针对本项目全品类制定分阶段到货自检方案，按室外器材、室内场馆、健身体操、智慧体测、卫生保健划分为五大独立自检阶段。方案中每阶段需包含：①自检工作流程、②自检核查指标、③自检抽检比例、④不合格品处置流程</w:t>
      </w:r>
      <w:r>
        <w:rPr>
          <w:rFonts w:hint="eastAsia" w:ascii="仿宋" w:hAnsi="仿宋" w:eastAsia="仿宋" w:cs="仿宋"/>
          <w:bCs/>
          <w:sz w:val="24"/>
          <w:szCs w:val="24"/>
          <w:lang w:val="en-US" w:eastAsia="zh-CN"/>
        </w:rPr>
        <w:t>等。</w:t>
      </w:r>
    </w:p>
    <w:p w14:paraId="572E3965">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6.分层级师生操作培训方案：区分体育教师、班主任、学生三层培训对象，分别制定①大型器材、②地胶、③体测系统、④保健设备实操课程，明确培训时长、考核标准。</w:t>
      </w:r>
    </w:p>
    <w:p w14:paraId="302F8317">
      <w:pPr>
        <w:spacing w:line="360" w:lineRule="auto"/>
        <w:ind w:firstLine="480"/>
        <w:jc w:val="left"/>
        <w:rPr>
          <w:rFonts w:ascii="仿宋" w:hAnsi="仿宋" w:eastAsia="仿宋" w:cs="仿宋"/>
          <w:sz w:val="24"/>
          <w:szCs w:val="24"/>
        </w:rPr>
      </w:pPr>
      <w:r>
        <w:rPr>
          <w:rFonts w:hint="eastAsia" w:ascii="仿宋" w:hAnsi="仿宋" w:eastAsia="仿宋" w:cs="仿宋"/>
          <w:sz w:val="24"/>
          <w:szCs w:val="24"/>
        </w:rPr>
        <w:t>7.售后服务：包含①售后服务人员配备（提供姓名及相关工作经验证明）、②运动会/体育中考等重大活动配合工作、③器材场地保养方案、④故障响应及修复时间、⑤易损件配置、⑥常态化培训计划（</w:t>
      </w:r>
      <w:r>
        <w:rPr>
          <w:rFonts w:ascii="仿宋" w:hAnsi="仿宋" w:eastAsia="仿宋" w:cs="仿宋"/>
          <w:sz w:val="24"/>
          <w:szCs w:val="24"/>
          <w:lang w:bidi="ar"/>
        </w:rPr>
        <w:t>年度免费复训、设备故障简易排查教学、器材日常保养教学、备品更换教学</w:t>
      </w:r>
      <w:r>
        <w:rPr>
          <w:rFonts w:hint="eastAsia" w:ascii="仿宋" w:hAnsi="仿宋" w:eastAsia="仿宋" w:cs="仿宋"/>
          <w:sz w:val="24"/>
          <w:szCs w:val="24"/>
          <w:lang w:bidi="ar"/>
        </w:rPr>
        <w:t>）</w:t>
      </w:r>
      <w:r>
        <w:rPr>
          <w:rFonts w:hint="eastAsia" w:ascii="仿宋" w:hAnsi="仿宋" w:eastAsia="仿宋" w:cs="仿宋"/>
          <w:sz w:val="24"/>
          <w:szCs w:val="24"/>
        </w:rPr>
        <w:t>等。</w:t>
      </w:r>
    </w:p>
    <w:p w14:paraId="72471F12">
      <w:pPr>
        <w:pStyle w:val="725"/>
        <w:spacing w:line="360" w:lineRule="auto"/>
        <w:outlineLvl w:val="1"/>
        <w:rPr>
          <w:rFonts w:ascii="仿宋" w:hAnsi="仿宋" w:eastAsia="仿宋" w:cs="仿宋"/>
          <w:sz w:val="24"/>
          <w:szCs w:val="24"/>
        </w:rPr>
      </w:pPr>
      <w:r>
        <w:rPr>
          <w:rFonts w:hint="eastAsia" w:ascii="仿宋" w:hAnsi="仿宋" w:eastAsia="仿宋" w:cs="仿宋"/>
          <w:b/>
          <w:sz w:val="24"/>
          <w:szCs w:val="24"/>
        </w:rPr>
        <w:t>八、政府采购政策</w:t>
      </w:r>
    </w:p>
    <w:p w14:paraId="676C39AE">
      <w:pPr>
        <w:pStyle w:val="820"/>
        <w:spacing w:line="360" w:lineRule="auto"/>
        <w:rPr>
          <w:rFonts w:ascii="仿宋" w:hAnsi="仿宋" w:eastAsia="仿宋" w:cs="仿宋"/>
          <w:sz w:val="24"/>
          <w:szCs w:val="24"/>
          <w:lang w:val="en-US"/>
        </w:rPr>
      </w:pPr>
      <w:r>
        <w:rPr>
          <w:rFonts w:hint="eastAsia" w:ascii="仿宋" w:hAnsi="仿宋" w:eastAsia="仿宋" w:cs="仿宋"/>
          <w:sz w:val="24"/>
          <w:szCs w:val="24"/>
          <w:lang w:val="en-US"/>
        </w:rPr>
        <w:t>（一）节能产品和环境标志产品</w:t>
      </w:r>
    </w:p>
    <w:p w14:paraId="479BBA47">
      <w:pPr>
        <w:pStyle w:val="820"/>
        <w:spacing w:line="360" w:lineRule="auto"/>
        <w:rPr>
          <w:rFonts w:ascii="仿宋" w:hAnsi="仿宋" w:eastAsia="仿宋" w:cs="仿宋"/>
          <w:sz w:val="24"/>
          <w:szCs w:val="24"/>
          <w:lang w:val="en-US"/>
        </w:rPr>
      </w:pPr>
      <w:r>
        <w:rPr>
          <w:rFonts w:hint="eastAsia" w:ascii="仿宋" w:hAnsi="仿宋" w:eastAsia="仿宋" w:cs="仿宋"/>
          <w:sz w:val="24"/>
          <w:szCs w:val="24"/>
          <w:lang w:val="en-US"/>
        </w:rPr>
        <w:t>根据《关于调整优化节能产品、环境标志产品政府采购执行机制的通知》（财库〔2019〕9号）、《关于贯彻执行绿色采购、促进残疾人就业和支持监狱企业发展有关政策的通知》（苏财购〔2019〕10号）</w:t>
      </w:r>
      <w:r>
        <w:rPr>
          <w:rFonts w:hint="eastAsia" w:ascii="仿宋" w:hAnsi="仿宋" w:eastAsia="仿宋" w:cs="仿宋"/>
          <w:sz w:val="24"/>
          <w:szCs w:val="24"/>
          <w:lang w:val="en-US" w:eastAsia="zh-CN"/>
        </w:rPr>
        <w:t>、《关于印发节能产品政府采购品目清单的通知》（财库〔2019〕19号）</w:t>
      </w:r>
      <w:r>
        <w:rPr>
          <w:rFonts w:hint="eastAsia" w:ascii="仿宋" w:hAnsi="仿宋" w:eastAsia="仿宋" w:cs="仿宋"/>
          <w:sz w:val="24"/>
          <w:szCs w:val="24"/>
          <w:lang w:val="en-US"/>
        </w:rPr>
        <w:t>的文件规定，</w:t>
      </w:r>
      <w:r>
        <w:rPr>
          <w:rFonts w:hint="eastAsia" w:ascii="仿宋" w:hAnsi="仿宋" w:eastAsia="仿宋" w:cs="仿宋"/>
          <w:b/>
          <w:bCs/>
          <w:sz w:val="24"/>
          <w:szCs w:val="24"/>
          <w:lang w:val="en-US"/>
        </w:rPr>
        <w:t>采购清单产品如属于国家节能或环保品目清单的强制采购产品的，投标人应当选择强制采购产品，</w:t>
      </w:r>
      <w:bookmarkStart w:id="19" w:name="_Hlk45012782"/>
      <w:r>
        <w:rPr>
          <w:rFonts w:hint="eastAsia" w:ascii="仿宋" w:hAnsi="仿宋" w:eastAsia="仿宋" w:cs="仿宋"/>
          <w:b/>
          <w:bCs/>
          <w:sz w:val="24"/>
          <w:szCs w:val="24"/>
          <w:lang w:val="en-US"/>
        </w:rPr>
        <w:t>并提供由国家确定的认证机构出具的、处于有效期之内的节能产品或环境标志产品认证证书，否则视为未实质响应。</w:t>
      </w:r>
      <w:bookmarkEnd w:id="19"/>
    </w:p>
    <w:p w14:paraId="2EB29897">
      <w:pPr>
        <w:pStyle w:val="820"/>
        <w:spacing w:line="360" w:lineRule="auto"/>
        <w:rPr>
          <w:rFonts w:ascii="仿宋" w:hAnsi="仿宋" w:eastAsia="仿宋" w:cs="仿宋"/>
          <w:sz w:val="24"/>
          <w:szCs w:val="24"/>
          <w:lang w:val="en-US"/>
        </w:rPr>
      </w:pPr>
      <w:r>
        <w:rPr>
          <w:rFonts w:hint="eastAsia" w:ascii="仿宋" w:hAnsi="仿宋" w:eastAsia="仿宋" w:cs="仿宋"/>
          <w:sz w:val="24"/>
          <w:szCs w:val="24"/>
          <w:lang w:val="en-US"/>
        </w:rPr>
        <w:t>（二）小微企业的价格分评审：</w:t>
      </w:r>
    </w:p>
    <w:p w14:paraId="0A315DC9">
      <w:pPr>
        <w:pStyle w:val="25"/>
        <w:spacing w:line="360" w:lineRule="auto"/>
        <w:ind w:firstLine="482"/>
        <w:rPr>
          <w:rFonts w:ascii="仿宋" w:hAnsi="仿宋" w:eastAsia="仿宋" w:cs="仿宋"/>
          <w:sz w:val="24"/>
          <w:szCs w:val="24"/>
        </w:rPr>
      </w:pPr>
      <w:r>
        <w:rPr>
          <w:rFonts w:hint="eastAsia" w:ascii="仿宋" w:hAnsi="仿宋" w:eastAsia="仿宋" w:cs="仿宋"/>
          <w:b/>
          <w:sz w:val="24"/>
          <w:szCs w:val="24"/>
        </w:rPr>
        <w:t>专门面向中小企业采购的项目，不再执行价格评审优惠的扶持政策。</w:t>
      </w:r>
    </w:p>
    <w:p w14:paraId="510EA40F">
      <w:pPr>
        <w:rPr>
          <w:rFonts w:ascii="宋体" w:hAnsi="宋体"/>
        </w:rPr>
      </w:pPr>
      <w:r>
        <w:rPr>
          <w:rFonts w:ascii="宋体" w:hAnsi="宋体"/>
        </w:rPr>
        <w:br w:type="page" w:clear="all"/>
      </w:r>
    </w:p>
    <w:p w14:paraId="096C2196">
      <w:pPr>
        <w:spacing w:before="234" w:after="120" w:line="207" w:lineRule="auto"/>
        <w:rPr>
          <w:rFonts w:ascii="仿宋" w:hAnsi="仿宋" w:eastAsia="仿宋" w:cs="仿宋"/>
          <w:szCs w:val="24"/>
        </w:rPr>
      </w:pPr>
      <w:r>
        <w:rPr>
          <w:rFonts w:hint="eastAsia" w:ascii="仿宋" w:hAnsi="仿宋" w:eastAsia="仿宋" w:cs="仿宋"/>
          <w:spacing w:val="-17"/>
          <w:szCs w:val="24"/>
        </w:rPr>
        <w:t>附件</w:t>
      </w:r>
      <w:r>
        <w:rPr>
          <w:rFonts w:hint="eastAsia" w:ascii="仿宋" w:hAnsi="仿宋" w:eastAsia="仿宋" w:cs="仿宋"/>
          <w:spacing w:val="-61"/>
          <w:szCs w:val="24"/>
        </w:rPr>
        <w:t xml:space="preserve"> </w:t>
      </w:r>
      <w:r>
        <w:rPr>
          <w:rFonts w:hint="eastAsia" w:ascii="仿宋" w:hAnsi="仿宋" w:eastAsia="仿宋" w:cs="仿宋"/>
          <w:spacing w:val="-17"/>
          <w:szCs w:val="24"/>
        </w:rPr>
        <w:t>1</w:t>
      </w:r>
    </w:p>
    <w:p w14:paraId="540A598E">
      <w:pPr>
        <w:spacing w:before="263" w:line="223" w:lineRule="auto"/>
        <w:ind w:left="1410"/>
        <w:outlineLvl w:val="0"/>
        <w:rPr>
          <w:rFonts w:ascii="仿宋" w:hAnsi="仿宋" w:eastAsia="仿宋" w:cs="仿宋"/>
          <w:sz w:val="36"/>
          <w:szCs w:val="36"/>
        </w:rPr>
      </w:pPr>
      <w:r>
        <w:rPr>
          <w:rFonts w:hint="eastAsia" w:ascii="仿宋" w:hAnsi="仿宋" w:eastAsia="仿宋" w:cs="仿宋"/>
          <w:spacing w:val="17"/>
          <w:sz w:val="36"/>
          <w:szCs w:val="36"/>
        </w:rPr>
        <w:t>政府采购履约验收通知单（参考样本）</w:t>
      </w:r>
    </w:p>
    <w:p w14:paraId="4E8AC92F">
      <w:pPr>
        <w:spacing w:before="216" w:line="214" w:lineRule="auto"/>
        <w:ind w:left="85"/>
        <w:rPr>
          <w:rFonts w:ascii="仿宋" w:hAnsi="仿宋" w:eastAsia="仿宋" w:cs="仿宋"/>
          <w:sz w:val="23"/>
          <w:szCs w:val="23"/>
        </w:rPr>
      </w:pPr>
      <w:r>
        <w:rPr>
          <w:rFonts w:hint="eastAsia" w:ascii="仿宋" w:hAnsi="仿宋" w:eastAsia="仿宋" w:cs="仿宋"/>
          <w:spacing w:val="9"/>
          <w:sz w:val="23"/>
          <w:szCs w:val="23"/>
        </w:rPr>
        <w:t>供应商：</w:t>
      </w:r>
    </w:p>
    <w:p w14:paraId="3D295BF0">
      <w:pPr>
        <w:spacing w:line="44" w:lineRule="exact"/>
        <w:rPr>
          <w:rFonts w:ascii="仿宋" w:hAnsi="仿宋" w:eastAsia="仿宋" w:cs="仿宋"/>
          <w:szCs w:val="24"/>
        </w:rPr>
      </w:pPr>
    </w:p>
    <w:tbl>
      <w:tblPr>
        <w:tblStyle w:val="835"/>
        <w:tblW w:w="9318" w:type="dxa"/>
        <w:tblInd w:w="6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10"/>
        <w:gridCol w:w="1961"/>
        <w:gridCol w:w="2139"/>
        <w:gridCol w:w="2608"/>
      </w:tblGrid>
      <w:tr w14:paraId="4079A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2610" w:type="dxa"/>
            <w:noWrap w:val="0"/>
          </w:tcPr>
          <w:p w14:paraId="55B0C9DB">
            <w:pPr>
              <w:spacing w:before="249" w:line="212" w:lineRule="auto"/>
              <w:ind w:left="961"/>
              <w:rPr>
                <w:rFonts w:ascii="仿宋" w:hAnsi="仿宋" w:eastAsia="仿宋" w:cs="仿宋"/>
                <w:sz w:val="23"/>
                <w:szCs w:val="23"/>
              </w:rPr>
            </w:pPr>
            <w:r>
              <w:rPr>
                <w:rFonts w:hint="eastAsia" w:ascii="仿宋" w:hAnsi="仿宋" w:eastAsia="仿宋" w:cs="仿宋"/>
                <w:spacing w:val="2"/>
                <w:sz w:val="23"/>
                <w:szCs w:val="23"/>
              </w:rPr>
              <w:t>采购人</w:t>
            </w:r>
          </w:p>
        </w:tc>
        <w:tc>
          <w:tcPr>
            <w:tcW w:w="6708" w:type="dxa"/>
            <w:gridSpan w:val="3"/>
            <w:noWrap w:val="0"/>
          </w:tcPr>
          <w:p w14:paraId="333262E6">
            <w:pPr>
              <w:rPr>
                <w:rFonts w:ascii="仿宋" w:hAnsi="仿宋" w:eastAsia="仿宋" w:cs="仿宋"/>
                <w:szCs w:val="21"/>
                <w:lang w:eastAsia="en-US"/>
              </w:rPr>
            </w:pPr>
          </w:p>
        </w:tc>
      </w:tr>
      <w:tr w14:paraId="0E15A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610" w:type="dxa"/>
            <w:noWrap w:val="0"/>
          </w:tcPr>
          <w:p w14:paraId="306CA5DE">
            <w:pPr>
              <w:spacing w:before="249" w:line="211" w:lineRule="auto"/>
              <w:ind w:left="841"/>
              <w:rPr>
                <w:rFonts w:ascii="仿宋" w:hAnsi="仿宋" w:eastAsia="仿宋" w:cs="仿宋"/>
                <w:sz w:val="23"/>
                <w:szCs w:val="23"/>
              </w:rPr>
            </w:pPr>
            <w:r>
              <w:rPr>
                <w:rFonts w:hint="eastAsia" w:ascii="仿宋" w:hAnsi="仿宋" w:eastAsia="仿宋" w:cs="仿宋"/>
                <w:spacing w:val="2"/>
                <w:sz w:val="23"/>
                <w:szCs w:val="23"/>
              </w:rPr>
              <w:t>项目名称</w:t>
            </w:r>
          </w:p>
        </w:tc>
        <w:tc>
          <w:tcPr>
            <w:tcW w:w="6708" w:type="dxa"/>
            <w:gridSpan w:val="3"/>
            <w:noWrap w:val="0"/>
          </w:tcPr>
          <w:p w14:paraId="216FCA29">
            <w:pPr>
              <w:rPr>
                <w:rFonts w:ascii="仿宋" w:hAnsi="仿宋" w:eastAsia="仿宋" w:cs="仿宋"/>
                <w:szCs w:val="21"/>
                <w:lang w:eastAsia="en-US"/>
              </w:rPr>
            </w:pPr>
          </w:p>
        </w:tc>
      </w:tr>
      <w:tr w14:paraId="1B49A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2610" w:type="dxa"/>
            <w:noWrap w:val="0"/>
          </w:tcPr>
          <w:p w14:paraId="1136AE6D">
            <w:pPr>
              <w:spacing w:before="247" w:line="213" w:lineRule="auto"/>
              <w:ind w:left="841"/>
              <w:rPr>
                <w:rFonts w:ascii="仿宋" w:hAnsi="仿宋" w:eastAsia="仿宋" w:cs="仿宋"/>
                <w:sz w:val="23"/>
                <w:szCs w:val="23"/>
              </w:rPr>
            </w:pPr>
            <w:r>
              <w:rPr>
                <w:rFonts w:hint="eastAsia" w:ascii="仿宋" w:hAnsi="仿宋" w:eastAsia="仿宋" w:cs="仿宋"/>
                <w:spacing w:val="2"/>
                <w:sz w:val="23"/>
                <w:szCs w:val="23"/>
              </w:rPr>
              <w:t>合同名称</w:t>
            </w:r>
          </w:p>
        </w:tc>
        <w:tc>
          <w:tcPr>
            <w:tcW w:w="6708" w:type="dxa"/>
            <w:gridSpan w:val="3"/>
            <w:noWrap w:val="0"/>
          </w:tcPr>
          <w:p w14:paraId="57312BC6">
            <w:pPr>
              <w:rPr>
                <w:rFonts w:ascii="仿宋" w:hAnsi="仿宋" w:eastAsia="仿宋" w:cs="仿宋"/>
                <w:szCs w:val="21"/>
                <w:lang w:eastAsia="en-US"/>
              </w:rPr>
            </w:pPr>
          </w:p>
        </w:tc>
      </w:tr>
      <w:tr w14:paraId="2CB65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610" w:type="dxa"/>
            <w:noWrap w:val="0"/>
          </w:tcPr>
          <w:p w14:paraId="1E03B9AF">
            <w:pPr>
              <w:spacing w:before="247" w:line="212" w:lineRule="auto"/>
              <w:ind w:left="841"/>
              <w:rPr>
                <w:rFonts w:ascii="仿宋" w:hAnsi="仿宋" w:eastAsia="仿宋" w:cs="仿宋"/>
                <w:sz w:val="23"/>
                <w:szCs w:val="23"/>
              </w:rPr>
            </w:pPr>
            <w:r>
              <w:rPr>
                <w:rFonts w:hint="eastAsia" w:ascii="仿宋" w:hAnsi="仿宋" w:eastAsia="仿宋" w:cs="仿宋"/>
                <w:spacing w:val="2"/>
                <w:sz w:val="23"/>
                <w:szCs w:val="23"/>
              </w:rPr>
              <w:t>合同编号</w:t>
            </w:r>
          </w:p>
        </w:tc>
        <w:tc>
          <w:tcPr>
            <w:tcW w:w="1961" w:type="dxa"/>
            <w:noWrap w:val="0"/>
          </w:tcPr>
          <w:p w14:paraId="3E7216F5">
            <w:pPr>
              <w:rPr>
                <w:rFonts w:ascii="仿宋" w:hAnsi="仿宋" w:eastAsia="仿宋" w:cs="仿宋"/>
                <w:szCs w:val="21"/>
                <w:lang w:eastAsia="en-US"/>
              </w:rPr>
            </w:pPr>
          </w:p>
        </w:tc>
        <w:tc>
          <w:tcPr>
            <w:tcW w:w="2139" w:type="dxa"/>
            <w:noWrap w:val="0"/>
          </w:tcPr>
          <w:p w14:paraId="2CAFB0DD">
            <w:pPr>
              <w:spacing w:before="247" w:line="213" w:lineRule="auto"/>
              <w:ind w:left="607"/>
              <w:rPr>
                <w:rFonts w:ascii="仿宋" w:hAnsi="仿宋" w:eastAsia="仿宋" w:cs="仿宋"/>
                <w:sz w:val="23"/>
                <w:szCs w:val="23"/>
              </w:rPr>
            </w:pPr>
            <w:r>
              <w:rPr>
                <w:rFonts w:hint="eastAsia" w:ascii="仿宋" w:hAnsi="仿宋" w:eastAsia="仿宋" w:cs="仿宋"/>
                <w:spacing w:val="2"/>
                <w:sz w:val="23"/>
                <w:szCs w:val="23"/>
              </w:rPr>
              <w:t>合同金额</w:t>
            </w:r>
          </w:p>
        </w:tc>
        <w:tc>
          <w:tcPr>
            <w:tcW w:w="2608" w:type="dxa"/>
            <w:noWrap w:val="0"/>
          </w:tcPr>
          <w:p w14:paraId="51176ED7">
            <w:pPr>
              <w:rPr>
                <w:rFonts w:ascii="仿宋" w:hAnsi="仿宋" w:eastAsia="仿宋" w:cs="仿宋"/>
                <w:szCs w:val="21"/>
                <w:lang w:eastAsia="en-US"/>
              </w:rPr>
            </w:pPr>
          </w:p>
        </w:tc>
      </w:tr>
      <w:tr w14:paraId="0B74A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2610" w:type="dxa"/>
            <w:noWrap w:val="0"/>
          </w:tcPr>
          <w:p w14:paraId="3A81CB49">
            <w:pPr>
              <w:spacing w:before="248" w:line="212" w:lineRule="auto"/>
              <w:ind w:left="841"/>
              <w:rPr>
                <w:rFonts w:ascii="仿宋" w:hAnsi="仿宋" w:eastAsia="仿宋" w:cs="仿宋"/>
                <w:sz w:val="23"/>
                <w:szCs w:val="23"/>
              </w:rPr>
            </w:pPr>
            <w:r>
              <w:rPr>
                <w:rFonts w:hint="eastAsia" w:ascii="仿宋" w:hAnsi="仿宋" w:eastAsia="仿宋" w:cs="仿宋"/>
                <w:spacing w:val="4"/>
                <w:sz w:val="23"/>
                <w:szCs w:val="23"/>
              </w:rPr>
              <w:t>验收时间</w:t>
            </w:r>
          </w:p>
        </w:tc>
        <w:tc>
          <w:tcPr>
            <w:tcW w:w="1961" w:type="dxa"/>
            <w:noWrap w:val="0"/>
          </w:tcPr>
          <w:p w14:paraId="4BC475AE">
            <w:pPr>
              <w:rPr>
                <w:rFonts w:ascii="仿宋" w:hAnsi="仿宋" w:eastAsia="仿宋" w:cs="仿宋"/>
                <w:szCs w:val="21"/>
                <w:lang w:eastAsia="en-US"/>
              </w:rPr>
            </w:pPr>
          </w:p>
        </w:tc>
        <w:tc>
          <w:tcPr>
            <w:tcW w:w="2139" w:type="dxa"/>
            <w:noWrap w:val="0"/>
          </w:tcPr>
          <w:p w14:paraId="6EFECFF4">
            <w:pPr>
              <w:spacing w:before="248" w:line="213" w:lineRule="auto"/>
              <w:ind w:left="607"/>
              <w:rPr>
                <w:rFonts w:ascii="仿宋" w:hAnsi="仿宋" w:eastAsia="仿宋" w:cs="仿宋"/>
                <w:sz w:val="23"/>
                <w:szCs w:val="23"/>
              </w:rPr>
            </w:pPr>
            <w:r>
              <w:rPr>
                <w:rFonts w:hint="eastAsia" w:ascii="仿宋" w:hAnsi="仿宋" w:eastAsia="仿宋" w:cs="仿宋"/>
                <w:spacing w:val="4"/>
                <w:sz w:val="23"/>
                <w:szCs w:val="23"/>
              </w:rPr>
              <w:t>验收地点</w:t>
            </w:r>
          </w:p>
        </w:tc>
        <w:tc>
          <w:tcPr>
            <w:tcW w:w="2608" w:type="dxa"/>
            <w:noWrap w:val="0"/>
          </w:tcPr>
          <w:p w14:paraId="04EBC077">
            <w:pPr>
              <w:rPr>
                <w:rFonts w:ascii="仿宋" w:hAnsi="仿宋" w:eastAsia="仿宋" w:cs="仿宋"/>
                <w:szCs w:val="21"/>
                <w:lang w:eastAsia="en-US"/>
              </w:rPr>
            </w:pPr>
          </w:p>
        </w:tc>
      </w:tr>
      <w:tr w14:paraId="225D6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2610" w:type="dxa"/>
            <w:noWrap w:val="0"/>
          </w:tcPr>
          <w:p w14:paraId="2326CC46">
            <w:pPr>
              <w:spacing w:before="248" w:line="213" w:lineRule="auto"/>
              <w:ind w:left="960"/>
              <w:rPr>
                <w:rFonts w:ascii="仿宋" w:hAnsi="仿宋" w:eastAsia="仿宋" w:cs="仿宋"/>
                <w:sz w:val="23"/>
                <w:szCs w:val="23"/>
              </w:rPr>
            </w:pPr>
            <w:r>
              <w:rPr>
                <w:rFonts w:hint="eastAsia" w:ascii="仿宋" w:hAnsi="仿宋" w:eastAsia="仿宋" w:cs="仿宋"/>
                <w:spacing w:val="1"/>
                <w:sz w:val="23"/>
                <w:szCs w:val="23"/>
              </w:rPr>
              <w:t>联系人</w:t>
            </w:r>
          </w:p>
        </w:tc>
        <w:tc>
          <w:tcPr>
            <w:tcW w:w="1961" w:type="dxa"/>
            <w:noWrap w:val="0"/>
          </w:tcPr>
          <w:p w14:paraId="2728CE14">
            <w:pPr>
              <w:rPr>
                <w:rFonts w:ascii="仿宋" w:hAnsi="仿宋" w:eastAsia="仿宋" w:cs="仿宋"/>
                <w:szCs w:val="21"/>
                <w:lang w:eastAsia="en-US"/>
              </w:rPr>
            </w:pPr>
          </w:p>
        </w:tc>
        <w:tc>
          <w:tcPr>
            <w:tcW w:w="2139" w:type="dxa"/>
            <w:noWrap w:val="0"/>
          </w:tcPr>
          <w:p w14:paraId="23DA6976">
            <w:pPr>
              <w:spacing w:before="248" w:line="213" w:lineRule="auto"/>
              <w:ind w:left="605"/>
              <w:rPr>
                <w:rFonts w:ascii="仿宋" w:hAnsi="仿宋" w:eastAsia="仿宋" w:cs="仿宋"/>
                <w:sz w:val="23"/>
                <w:szCs w:val="23"/>
              </w:rPr>
            </w:pPr>
            <w:r>
              <w:rPr>
                <w:rFonts w:hint="eastAsia" w:ascii="仿宋" w:hAnsi="仿宋" w:eastAsia="仿宋" w:cs="仿宋"/>
                <w:spacing w:val="3"/>
                <w:sz w:val="23"/>
                <w:szCs w:val="23"/>
              </w:rPr>
              <w:t>联系电话</w:t>
            </w:r>
          </w:p>
        </w:tc>
        <w:tc>
          <w:tcPr>
            <w:tcW w:w="2608" w:type="dxa"/>
            <w:noWrap w:val="0"/>
          </w:tcPr>
          <w:p w14:paraId="0C43637B">
            <w:pPr>
              <w:rPr>
                <w:rFonts w:ascii="仿宋" w:hAnsi="仿宋" w:eastAsia="仿宋" w:cs="仿宋"/>
                <w:szCs w:val="21"/>
                <w:lang w:eastAsia="en-US"/>
              </w:rPr>
            </w:pPr>
          </w:p>
        </w:tc>
      </w:tr>
      <w:tr w14:paraId="0A5A8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9318" w:type="dxa"/>
            <w:gridSpan w:val="4"/>
            <w:noWrap w:val="0"/>
          </w:tcPr>
          <w:p w14:paraId="3DA254E3">
            <w:pPr>
              <w:spacing w:before="250" w:line="212" w:lineRule="auto"/>
              <w:ind w:left="3353"/>
              <w:rPr>
                <w:rFonts w:ascii="仿宋" w:hAnsi="仿宋" w:eastAsia="仿宋" w:cs="仿宋"/>
                <w:sz w:val="23"/>
                <w:szCs w:val="23"/>
              </w:rPr>
            </w:pPr>
            <w:r>
              <w:rPr>
                <w:rFonts w:hint="eastAsia" w:ascii="仿宋" w:hAnsi="仿宋" w:eastAsia="仿宋" w:cs="仿宋"/>
                <w:spacing w:val="7"/>
                <w:sz w:val="23"/>
                <w:szCs w:val="23"/>
              </w:rPr>
              <w:t>履约验收方案及工作要求</w:t>
            </w:r>
          </w:p>
        </w:tc>
      </w:tr>
      <w:tr w14:paraId="25C4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9" w:hRule="atLeast"/>
        </w:trPr>
        <w:tc>
          <w:tcPr>
            <w:tcW w:w="9318" w:type="dxa"/>
            <w:gridSpan w:val="4"/>
            <w:noWrap w:val="0"/>
          </w:tcPr>
          <w:p w14:paraId="7C0E4FEF">
            <w:pPr>
              <w:spacing w:line="241" w:lineRule="auto"/>
              <w:rPr>
                <w:rFonts w:ascii="仿宋" w:hAnsi="仿宋" w:eastAsia="仿宋" w:cs="仿宋"/>
                <w:szCs w:val="21"/>
              </w:rPr>
            </w:pPr>
          </w:p>
          <w:p w14:paraId="469DB515">
            <w:pPr>
              <w:spacing w:line="241" w:lineRule="auto"/>
              <w:rPr>
                <w:rFonts w:ascii="仿宋" w:hAnsi="仿宋" w:eastAsia="仿宋" w:cs="仿宋"/>
                <w:szCs w:val="21"/>
              </w:rPr>
            </w:pPr>
          </w:p>
          <w:p w14:paraId="1B143FCC">
            <w:pPr>
              <w:spacing w:line="241" w:lineRule="auto"/>
              <w:rPr>
                <w:rFonts w:ascii="仿宋" w:hAnsi="仿宋" w:eastAsia="仿宋" w:cs="仿宋"/>
                <w:szCs w:val="21"/>
              </w:rPr>
            </w:pPr>
          </w:p>
          <w:p w14:paraId="364CBDCE">
            <w:pPr>
              <w:spacing w:line="241" w:lineRule="auto"/>
              <w:rPr>
                <w:rFonts w:ascii="仿宋" w:hAnsi="仿宋" w:eastAsia="仿宋" w:cs="仿宋"/>
                <w:szCs w:val="21"/>
              </w:rPr>
            </w:pPr>
          </w:p>
          <w:p w14:paraId="5851DB1E">
            <w:pPr>
              <w:spacing w:line="241" w:lineRule="auto"/>
              <w:rPr>
                <w:rFonts w:ascii="仿宋" w:hAnsi="仿宋" w:eastAsia="仿宋" w:cs="仿宋"/>
                <w:szCs w:val="21"/>
              </w:rPr>
            </w:pPr>
          </w:p>
          <w:p w14:paraId="0B09CD26">
            <w:pPr>
              <w:spacing w:line="241" w:lineRule="auto"/>
              <w:rPr>
                <w:rFonts w:ascii="仿宋" w:hAnsi="仿宋" w:eastAsia="仿宋" w:cs="仿宋"/>
                <w:szCs w:val="21"/>
              </w:rPr>
            </w:pPr>
          </w:p>
          <w:p w14:paraId="72A430E9">
            <w:pPr>
              <w:spacing w:line="241" w:lineRule="auto"/>
              <w:rPr>
                <w:rFonts w:ascii="仿宋" w:hAnsi="仿宋" w:eastAsia="仿宋" w:cs="仿宋"/>
                <w:szCs w:val="21"/>
              </w:rPr>
            </w:pPr>
          </w:p>
          <w:p w14:paraId="678C8583">
            <w:pPr>
              <w:spacing w:line="241" w:lineRule="auto"/>
              <w:rPr>
                <w:rFonts w:ascii="仿宋" w:hAnsi="仿宋" w:eastAsia="仿宋" w:cs="仿宋"/>
                <w:szCs w:val="21"/>
              </w:rPr>
            </w:pPr>
          </w:p>
          <w:p w14:paraId="45377A8F">
            <w:pPr>
              <w:spacing w:line="241" w:lineRule="auto"/>
              <w:rPr>
                <w:rFonts w:ascii="仿宋" w:hAnsi="仿宋" w:eastAsia="仿宋" w:cs="仿宋"/>
                <w:szCs w:val="21"/>
              </w:rPr>
            </w:pPr>
          </w:p>
          <w:p w14:paraId="2C447FAE">
            <w:pPr>
              <w:spacing w:line="241" w:lineRule="auto"/>
              <w:rPr>
                <w:rFonts w:ascii="仿宋" w:hAnsi="仿宋" w:eastAsia="仿宋" w:cs="仿宋"/>
                <w:szCs w:val="21"/>
              </w:rPr>
            </w:pPr>
          </w:p>
          <w:p w14:paraId="68FE011C">
            <w:pPr>
              <w:spacing w:line="241" w:lineRule="auto"/>
              <w:rPr>
                <w:rFonts w:ascii="仿宋" w:hAnsi="仿宋" w:eastAsia="仿宋" w:cs="仿宋"/>
                <w:szCs w:val="21"/>
              </w:rPr>
            </w:pPr>
          </w:p>
          <w:p w14:paraId="79E0DA72">
            <w:pPr>
              <w:spacing w:line="241" w:lineRule="auto"/>
              <w:rPr>
                <w:rFonts w:ascii="仿宋" w:hAnsi="仿宋" w:eastAsia="仿宋" w:cs="仿宋"/>
                <w:szCs w:val="21"/>
              </w:rPr>
            </w:pPr>
          </w:p>
          <w:p w14:paraId="26BEA976">
            <w:pPr>
              <w:spacing w:line="241" w:lineRule="auto"/>
              <w:rPr>
                <w:rFonts w:ascii="仿宋" w:hAnsi="仿宋" w:eastAsia="仿宋" w:cs="仿宋"/>
                <w:szCs w:val="21"/>
              </w:rPr>
            </w:pPr>
          </w:p>
          <w:p w14:paraId="1C02ABE1">
            <w:pPr>
              <w:spacing w:line="241" w:lineRule="auto"/>
              <w:rPr>
                <w:rFonts w:ascii="仿宋" w:hAnsi="仿宋" w:eastAsia="仿宋" w:cs="仿宋"/>
                <w:szCs w:val="21"/>
              </w:rPr>
            </w:pPr>
          </w:p>
          <w:p w14:paraId="0861939A">
            <w:pPr>
              <w:spacing w:line="241" w:lineRule="auto"/>
              <w:rPr>
                <w:rFonts w:ascii="仿宋" w:hAnsi="仿宋" w:eastAsia="仿宋" w:cs="仿宋"/>
                <w:szCs w:val="21"/>
              </w:rPr>
            </w:pPr>
          </w:p>
          <w:p w14:paraId="2773D633">
            <w:pPr>
              <w:spacing w:line="241" w:lineRule="auto"/>
              <w:rPr>
                <w:rFonts w:ascii="仿宋" w:hAnsi="仿宋" w:eastAsia="仿宋" w:cs="仿宋"/>
                <w:szCs w:val="21"/>
              </w:rPr>
            </w:pPr>
          </w:p>
          <w:p w14:paraId="49CBB00B">
            <w:pPr>
              <w:spacing w:line="242" w:lineRule="auto"/>
              <w:rPr>
                <w:rFonts w:ascii="仿宋" w:hAnsi="仿宋" w:eastAsia="仿宋" w:cs="仿宋"/>
                <w:szCs w:val="21"/>
              </w:rPr>
            </w:pPr>
          </w:p>
          <w:p w14:paraId="392400D4">
            <w:pPr>
              <w:spacing w:line="242" w:lineRule="auto"/>
              <w:rPr>
                <w:rFonts w:ascii="仿宋" w:hAnsi="仿宋" w:eastAsia="仿宋" w:cs="仿宋"/>
                <w:szCs w:val="21"/>
              </w:rPr>
            </w:pPr>
          </w:p>
          <w:p w14:paraId="40BF70FA">
            <w:pPr>
              <w:spacing w:before="75" w:line="507" w:lineRule="auto"/>
              <w:ind w:right="2893" w:firstLine="4720"/>
              <w:rPr>
                <w:rFonts w:ascii="仿宋" w:hAnsi="仿宋" w:eastAsia="仿宋" w:cs="仿宋"/>
                <w:spacing w:val="3"/>
                <w:sz w:val="23"/>
                <w:szCs w:val="23"/>
              </w:rPr>
            </w:pPr>
            <w:r>
              <w:rPr>
                <w:rFonts w:hint="eastAsia" w:ascii="仿宋" w:hAnsi="仿宋" w:eastAsia="仿宋" w:cs="仿宋"/>
                <w:spacing w:val="3"/>
                <w:sz w:val="23"/>
                <w:szCs w:val="23"/>
              </w:rPr>
              <w:t>单位公章</w:t>
            </w:r>
          </w:p>
          <w:p w14:paraId="5B8B7B8B">
            <w:pPr>
              <w:spacing w:before="75" w:line="507" w:lineRule="auto"/>
              <w:ind w:right="2893" w:firstLine="4600"/>
              <w:rPr>
                <w:rFonts w:ascii="仿宋" w:hAnsi="仿宋" w:eastAsia="仿宋" w:cs="仿宋"/>
                <w:sz w:val="23"/>
                <w:szCs w:val="23"/>
              </w:rPr>
            </w:pPr>
            <w:r>
              <w:rPr>
                <w:rFonts w:hint="eastAsia" w:ascii="仿宋" w:hAnsi="仿宋" w:eastAsia="仿宋" w:cs="仿宋"/>
                <w:sz w:val="23"/>
                <w:szCs w:val="23"/>
              </w:rPr>
              <w:t xml:space="preserve">  </w:t>
            </w:r>
            <w:r>
              <w:rPr>
                <w:rFonts w:hint="eastAsia" w:ascii="仿宋" w:hAnsi="仿宋" w:eastAsia="仿宋" w:cs="仿宋"/>
                <w:spacing w:val="-16"/>
                <w:sz w:val="23"/>
                <w:szCs w:val="23"/>
              </w:rPr>
              <w:t>年</w:t>
            </w:r>
            <w:r>
              <w:rPr>
                <w:rFonts w:hint="eastAsia" w:ascii="仿宋" w:hAnsi="仿宋" w:eastAsia="仿宋" w:cs="仿宋"/>
                <w:spacing w:val="18"/>
                <w:sz w:val="23"/>
                <w:szCs w:val="23"/>
              </w:rPr>
              <w:t xml:space="preserve"> </w:t>
            </w:r>
            <w:r>
              <w:rPr>
                <w:rFonts w:hint="eastAsia" w:ascii="仿宋" w:hAnsi="仿宋" w:eastAsia="仿宋" w:cs="仿宋"/>
                <w:spacing w:val="-16"/>
                <w:sz w:val="23"/>
                <w:szCs w:val="23"/>
              </w:rPr>
              <w:t>月</w:t>
            </w:r>
            <w:r>
              <w:rPr>
                <w:rFonts w:hint="eastAsia" w:ascii="仿宋" w:hAnsi="仿宋" w:eastAsia="仿宋" w:cs="仿宋"/>
                <w:spacing w:val="12"/>
                <w:sz w:val="23"/>
                <w:szCs w:val="23"/>
              </w:rPr>
              <w:t xml:space="preserve">  </w:t>
            </w:r>
            <w:r>
              <w:rPr>
                <w:rFonts w:hint="eastAsia" w:ascii="仿宋" w:hAnsi="仿宋" w:eastAsia="仿宋" w:cs="仿宋"/>
                <w:spacing w:val="-16"/>
                <w:sz w:val="23"/>
                <w:szCs w:val="23"/>
              </w:rPr>
              <w:t>日</w:t>
            </w:r>
          </w:p>
        </w:tc>
      </w:tr>
    </w:tbl>
    <w:p w14:paraId="0D2EBF1D">
      <w:pPr>
        <w:jc w:val="left"/>
        <w:rPr>
          <w:rFonts w:ascii="宋体" w:hAnsi="宋体"/>
        </w:rPr>
        <w:sectPr>
          <w:headerReference r:id="rId4" w:type="default"/>
          <w:footerReference r:id="rId5" w:type="default"/>
          <w:pgSz w:w="11906" w:h="16838"/>
          <w:pgMar w:top="1157" w:right="1236" w:bottom="1157" w:left="1236" w:header="851" w:footer="992" w:gutter="0"/>
          <w:pgNumType w:start="1"/>
          <w:cols w:space="425" w:num="1"/>
          <w:docGrid w:linePitch="360" w:charSpace="0"/>
        </w:sectPr>
      </w:pPr>
    </w:p>
    <w:p w14:paraId="76F173E0">
      <w:pPr>
        <w:spacing w:before="101" w:after="120" w:line="207" w:lineRule="auto"/>
        <w:rPr>
          <w:rFonts w:ascii="仿宋" w:hAnsi="仿宋" w:eastAsia="仿宋" w:cs="仿宋"/>
          <w:szCs w:val="24"/>
        </w:rPr>
      </w:pPr>
      <w:r>
        <w:rPr>
          <w:rFonts w:hint="eastAsia" w:ascii="仿宋" w:hAnsi="仿宋" w:eastAsia="仿宋" w:cs="仿宋"/>
          <w:spacing w:val="-4"/>
          <w:szCs w:val="24"/>
        </w:rPr>
        <w:t>附件 2</w:t>
      </w:r>
    </w:p>
    <w:p w14:paraId="2237D91C">
      <w:pPr>
        <w:spacing w:before="104" w:line="185" w:lineRule="auto"/>
        <w:ind w:left="3812"/>
        <w:rPr>
          <w:rFonts w:ascii="仿宋" w:hAnsi="仿宋" w:eastAsia="仿宋" w:cs="仿宋"/>
          <w:sz w:val="36"/>
          <w:szCs w:val="36"/>
        </w:rPr>
      </w:pPr>
      <w:r>
        <w:rPr>
          <w:rFonts w:hint="eastAsia" w:ascii="仿宋" w:hAnsi="仿宋" w:eastAsia="仿宋" w:cs="仿宋"/>
          <w:spacing w:val="19"/>
          <w:sz w:val="36"/>
          <w:szCs w:val="36"/>
        </w:rPr>
        <w:t>政府采购履约验收书参考样本</w:t>
      </w:r>
      <w:r>
        <w:rPr>
          <w:rFonts w:hint="eastAsia" w:ascii="仿宋" w:hAnsi="仿宋" w:eastAsia="仿宋" w:cs="仿宋"/>
          <w:spacing w:val="19"/>
          <w:sz w:val="36"/>
          <w:szCs w:val="36"/>
          <w:lang w:eastAsia="zh-CN"/>
        </w:rPr>
        <w:t>（</w:t>
      </w:r>
      <w:r>
        <w:rPr>
          <w:rFonts w:hint="eastAsia" w:ascii="仿宋" w:hAnsi="仿宋" w:eastAsia="仿宋" w:cs="仿宋"/>
          <w:spacing w:val="19"/>
          <w:sz w:val="36"/>
          <w:szCs w:val="36"/>
        </w:rPr>
        <w:t>货物类</w:t>
      </w:r>
      <w:r>
        <w:rPr>
          <w:rFonts w:hint="eastAsia" w:ascii="仿宋" w:hAnsi="仿宋" w:eastAsia="仿宋" w:cs="仿宋"/>
          <w:spacing w:val="19"/>
          <w:sz w:val="36"/>
          <w:szCs w:val="36"/>
          <w:lang w:eastAsia="zh-CN"/>
        </w:rPr>
        <w:t>）</w:t>
      </w:r>
    </w:p>
    <w:tbl>
      <w:tblPr>
        <w:tblStyle w:val="836"/>
        <w:tblW w:w="1422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5"/>
        <w:gridCol w:w="1138"/>
        <w:gridCol w:w="1860"/>
        <w:gridCol w:w="1620"/>
        <w:gridCol w:w="1308"/>
        <w:gridCol w:w="1356"/>
        <w:gridCol w:w="1500"/>
        <w:gridCol w:w="1548"/>
        <w:gridCol w:w="2270"/>
      </w:tblGrid>
      <w:tr w14:paraId="3F2CA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noWrap w:val="0"/>
            <w:vAlign w:val="center"/>
          </w:tcPr>
          <w:p w14:paraId="5C11A875">
            <w:pPr>
              <w:jc w:val="center"/>
              <w:rPr>
                <w:rFonts w:ascii="仿宋" w:hAnsi="仿宋" w:eastAsia="仿宋" w:cs="仿宋"/>
                <w:szCs w:val="21"/>
                <w:lang w:eastAsia="en-US"/>
              </w:rPr>
            </w:pPr>
            <w:r>
              <w:rPr>
                <w:rFonts w:hint="eastAsia" w:ascii="仿宋" w:hAnsi="仿宋" w:eastAsia="仿宋" w:cs="仿宋"/>
                <w:szCs w:val="21"/>
                <w:lang w:eastAsia="en-US"/>
              </w:rPr>
              <w:t>采购人</w:t>
            </w:r>
          </w:p>
        </w:tc>
        <w:tc>
          <w:tcPr>
            <w:tcW w:w="2998" w:type="dxa"/>
            <w:gridSpan w:val="2"/>
            <w:noWrap w:val="0"/>
            <w:vAlign w:val="center"/>
          </w:tcPr>
          <w:p w14:paraId="5A72C4F4">
            <w:pPr>
              <w:spacing w:before="80" w:after="80"/>
              <w:jc w:val="center"/>
              <w:rPr>
                <w:rFonts w:ascii="仿宋" w:hAnsi="仿宋" w:eastAsia="仿宋" w:cs="仿宋"/>
                <w:szCs w:val="21"/>
                <w:lang w:eastAsia="en-US"/>
              </w:rPr>
            </w:pPr>
          </w:p>
        </w:tc>
        <w:tc>
          <w:tcPr>
            <w:tcW w:w="1620" w:type="dxa"/>
            <w:noWrap w:val="0"/>
            <w:vAlign w:val="center"/>
          </w:tcPr>
          <w:p w14:paraId="18B597BB">
            <w:pPr>
              <w:jc w:val="center"/>
              <w:rPr>
                <w:rFonts w:ascii="仿宋" w:hAnsi="仿宋" w:eastAsia="仿宋" w:cs="仿宋"/>
                <w:szCs w:val="21"/>
                <w:lang w:eastAsia="en-US"/>
              </w:rPr>
            </w:pPr>
            <w:r>
              <w:rPr>
                <w:rFonts w:hint="eastAsia" w:ascii="仿宋" w:hAnsi="仿宋" w:eastAsia="仿宋" w:cs="仿宋"/>
                <w:szCs w:val="21"/>
                <w:lang w:eastAsia="en-US"/>
              </w:rPr>
              <w:t>项目名称</w:t>
            </w:r>
          </w:p>
        </w:tc>
        <w:tc>
          <w:tcPr>
            <w:tcW w:w="2664" w:type="dxa"/>
            <w:gridSpan w:val="2"/>
            <w:noWrap w:val="0"/>
            <w:vAlign w:val="center"/>
          </w:tcPr>
          <w:p w14:paraId="171FFB69">
            <w:pPr>
              <w:spacing w:before="80" w:after="80"/>
              <w:jc w:val="center"/>
              <w:rPr>
                <w:rFonts w:ascii="仿宋" w:hAnsi="仿宋" w:eastAsia="仿宋" w:cs="仿宋"/>
                <w:szCs w:val="21"/>
                <w:lang w:eastAsia="en-US"/>
              </w:rPr>
            </w:pPr>
          </w:p>
        </w:tc>
        <w:tc>
          <w:tcPr>
            <w:tcW w:w="3048" w:type="dxa"/>
            <w:gridSpan w:val="2"/>
            <w:noWrap w:val="0"/>
            <w:vAlign w:val="center"/>
          </w:tcPr>
          <w:p w14:paraId="0BEC1B01">
            <w:pPr>
              <w:jc w:val="center"/>
              <w:rPr>
                <w:rFonts w:ascii="仿宋" w:hAnsi="仿宋" w:eastAsia="仿宋" w:cs="仿宋"/>
                <w:szCs w:val="21"/>
                <w:lang w:eastAsia="en-US"/>
              </w:rPr>
            </w:pPr>
            <w:r>
              <w:rPr>
                <w:rFonts w:hint="eastAsia" w:ascii="仿宋" w:hAnsi="仿宋" w:eastAsia="仿宋" w:cs="仿宋"/>
                <w:szCs w:val="21"/>
                <w:lang w:eastAsia="en-US"/>
              </w:rPr>
              <w:t>合同名称</w:t>
            </w:r>
          </w:p>
        </w:tc>
        <w:tc>
          <w:tcPr>
            <w:tcW w:w="2270" w:type="dxa"/>
            <w:noWrap w:val="0"/>
            <w:vAlign w:val="center"/>
          </w:tcPr>
          <w:p w14:paraId="65F7B88A">
            <w:pPr>
              <w:spacing w:before="80" w:after="80"/>
              <w:jc w:val="center"/>
              <w:rPr>
                <w:rFonts w:ascii="仿宋" w:hAnsi="仿宋" w:eastAsia="仿宋" w:cs="仿宋"/>
                <w:szCs w:val="21"/>
                <w:lang w:eastAsia="en-US"/>
              </w:rPr>
            </w:pPr>
          </w:p>
        </w:tc>
      </w:tr>
      <w:tr w14:paraId="6F3A0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noWrap w:val="0"/>
            <w:vAlign w:val="center"/>
          </w:tcPr>
          <w:p w14:paraId="34621DFA">
            <w:pPr>
              <w:jc w:val="center"/>
              <w:rPr>
                <w:rFonts w:ascii="仿宋" w:hAnsi="仿宋" w:eastAsia="仿宋" w:cs="仿宋"/>
                <w:szCs w:val="21"/>
                <w:lang w:eastAsia="en-US"/>
              </w:rPr>
            </w:pPr>
            <w:r>
              <w:rPr>
                <w:rFonts w:hint="eastAsia" w:ascii="仿宋" w:hAnsi="仿宋" w:eastAsia="仿宋" w:cs="仿宋"/>
                <w:szCs w:val="21"/>
                <w:lang w:eastAsia="en-US"/>
              </w:rPr>
              <w:t>供应商</w:t>
            </w:r>
          </w:p>
        </w:tc>
        <w:tc>
          <w:tcPr>
            <w:tcW w:w="2998" w:type="dxa"/>
            <w:gridSpan w:val="2"/>
            <w:noWrap w:val="0"/>
            <w:vAlign w:val="center"/>
          </w:tcPr>
          <w:p w14:paraId="33DB8F52">
            <w:pPr>
              <w:spacing w:before="80" w:after="80"/>
              <w:jc w:val="center"/>
              <w:rPr>
                <w:rFonts w:ascii="仿宋" w:hAnsi="仿宋" w:eastAsia="仿宋" w:cs="仿宋"/>
                <w:szCs w:val="21"/>
                <w:lang w:eastAsia="en-US"/>
              </w:rPr>
            </w:pPr>
          </w:p>
        </w:tc>
        <w:tc>
          <w:tcPr>
            <w:tcW w:w="1620" w:type="dxa"/>
            <w:noWrap w:val="0"/>
            <w:vAlign w:val="center"/>
          </w:tcPr>
          <w:p w14:paraId="6F958BE8">
            <w:pPr>
              <w:jc w:val="center"/>
              <w:rPr>
                <w:rFonts w:ascii="仿宋" w:hAnsi="仿宋" w:eastAsia="仿宋" w:cs="仿宋"/>
                <w:szCs w:val="21"/>
                <w:lang w:eastAsia="en-US"/>
              </w:rPr>
            </w:pPr>
            <w:r>
              <w:rPr>
                <w:rFonts w:hint="eastAsia" w:ascii="仿宋" w:hAnsi="仿宋" w:eastAsia="仿宋" w:cs="仿宋"/>
                <w:szCs w:val="21"/>
                <w:lang w:eastAsia="en-US"/>
              </w:rPr>
              <w:t>项目及合同编号</w:t>
            </w:r>
          </w:p>
        </w:tc>
        <w:tc>
          <w:tcPr>
            <w:tcW w:w="2664" w:type="dxa"/>
            <w:gridSpan w:val="2"/>
            <w:noWrap w:val="0"/>
            <w:vAlign w:val="center"/>
          </w:tcPr>
          <w:p w14:paraId="29C18C16">
            <w:pPr>
              <w:spacing w:before="80" w:after="80"/>
              <w:jc w:val="center"/>
              <w:rPr>
                <w:rFonts w:ascii="仿宋" w:hAnsi="仿宋" w:eastAsia="仿宋" w:cs="仿宋"/>
                <w:szCs w:val="21"/>
                <w:lang w:eastAsia="en-US"/>
              </w:rPr>
            </w:pPr>
          </w:p>
        </w:tc>
        <w:tc>
          <w:tcPr>
            <w:tcW w:w="3048" w:type="dxa"/>
            <w:gridSpan w:val="2"/>
            <w:noWrap w:val="0"/>
            <w:vAlign w:val="center"/>
          </w:tcPr>
          <w:p w14:paraId="27A0D79C">
            <w:pPr>
              <w:jc w:val="center"/>
              <w:rPr>
                <w:rFonts w:ascii="仿宋" w:hAnsi="仿宋" w:eastAsia="仿宋" w:cs="仿宋"/>
                <w:szCs w:val="21"/>
                <w:lang w:eastAsia="en-US"/>
              </w:rPr>
            </w:pPr>
            <w:r>
              <w:rPr>
                <w:rFonts w:hint="eastAsia" w:ascii="仿宋" w:hAnsi="仿宋" w:eastAsia="仿宋" w:cs="仿宋"/>
                <w:szCs w:val="21"/>
                <w:lang w:eastAsia="en-US"/>
              </w:rPr>
              <w:t>合同金额</w:t>
            </w:r>
          </w:p>
        </w:tc>
        <w:tc>
          <w:tcPr>
            <w:tcW w:w="2270" w:type="dxa"/>
            <w:noWrap w:val="0"/>
            <w:vAlign w:val="center"/>
          </w:tcPr>
          <w:p w14:paraId="490AB4A1">
            <w:pPr>
              <w:spacing w:before="80" w:after="80"/>
              <w:jc w:val="center"/>
              <w:rPr>
                <w:rFonts w:ascii="仿宋" w:hAnsi="仿宋" w:eastAsia="仿宋" w:cs="仿宋"/>
                <w:szCs w:val="21"/>
                <w:lang w:eastAsia="en-US"/>
              </w:rPr>
            </w:pPr>
          </w:p>
        </w:tc>
      </w:tr>
      <w:tr w14:paraId="795EF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noWrap w:val="0"/>
            <w:vAlign w:val="center"/>
          </w:tcPr>
          <w:p w14:paraId="5F4ABDFE">
            <w:pPr>
              <w:jc w:val="center"/>
              <w:rPr>
                <w:rFonts w:ascii="仿宋" w:hAnsi="仿宋" w:eastAsia="仿宋" w:cs="仿宋"/>
                <w:szCs w:val="21"/>
                <w:lang w:eastAsia="en-US"/>
              </w:rPr>
            </w:pPr>
            <w:r>
              <w:rPr>
                <w:rFonts w:hint="eastAsia" w:ascii="仿宋" w:hAnsi="仿宋" w:eastAsia="仿宋" w:cs="仿宋"/>
                <w:szCs w:val="21"/>
                <w:lang w:eastAsia="en-US"/>
              </w:rPr>
              <w:t>分期（段）验收</w:t>
            </w:r>
          </w:p>
        </w:tc>
        <w:tc>
          <w:tcPr>
            <w:tcW w:w="2998" w:type="dxa"/>
            <w:gridSpan w:val="2"/>
            <w:noWrap w:val="0"/>
            <w:vAlign w:val="center"/>
          </w:tcPr>
          <w:p w14:paraId="2B0F45B8">
            <w:pPr>
              <w:jc w:val="center"/>
              <w:rPr>
                <w:rFonts w:ascii="仿宋" w:hAnsi="仿宋" w:eastAsia="仿宋" w:cs="仿宋"/>
                <w:szCs w:val="21"/>
                <w:lang w:eastAsia="en-US"/>
              </w:rPr>
            </w:pPr>
            <w:r>
              <w:rPr>
                <w:rFonts w:hint="eastAsia" w:ascii="仿宋" w:hAnsi="仿宋" w:eastAsia="仿宋" w:cs="仿宋"/>
                <w:szCs w:val="21"/>
                <w:lang w:eastAsia="en-US"/>
              </w:rPr>
              <w:t>是□   否□</w:t>
            </w:r>
          </w:p>
        </w:tc>
        <w:tc>
          <w:tcPr>
            <w:tcW w:w="1620" w:type="dxa"/>
            <w:noWrap w:val="0"/>
            <w:vAlign w:val="center"/>
          </w:tcPr>
          <w:p w14:paraId="28D6D643">
            <w:pPr>
              <w:jc w:val="center"/>
              <w:rPr>
                <w:rFonts w:ascii="仿宋" w:hAnsi="仿宋" w:eastAsia="仿宋" w:cs="仿宋"/>
                <w:szCs w:val="21"/>
                <w:lang w:eastAsia="en-US"/>
              </w:rPr>
            </w:pPr>
            <w:r>
              <w:rPr>
                <w:rFonts w:hint="eastAsia" w:ascii="仿宋" w:hAnsi="仿宋" w:eastAsia="仿宋" w:cs="仿宋"/>
                <w:szCs w:val="21"/>
                <w:lang w:eastAsia="en-US"/>
              </w:rPr>
              <w:t>分期（段）情况</w:t>
            </w:r>
          </w:p>
        </w:tc>
        <w:tc>
          <w:tcPr>
            <w:tcW w:w="7982" w:type="dxa"/>
            <w:gridSpan w:val="5"/>
            <w:noWrap w:val="0"/>
            <w:vAlign w:val="center"/>
          </w:tcPr>
          <w:p w14:paraId="70F439FC">
            <w:pPr>
              <w:jc w:val="center"/>
              <w:rPr>
                <w:rFonts w:ascii="仿宋" w:hAnsi="仿宋" w:eastAsia="仿宋" w:cs="仿宋"/>
                <w:szCs w:val="21"/>
                <w:lang w:eastAsia="zh-CN"/>
              </w:rPr>
            </w:pPr>
            <w:r>
              <w:rPr>
                <w:rFonts w:hint="eastAsia" w:ascii="仿宋" w:hAnsi="仿宋" w:eastAsia="仿宋" w:cs="仿宋"/>
                <w:szCs w:val="21"/>
                <w:lang w:eastAsia="zh-CN"/>
              </w:rPr>
              <w:t>共分   期（段），此为第   期（段）验收</w:t>
            </w:r>
          </w:p>
        </w:tc>
      </w:tr>
      <w:tr w14:paraId="3DAFD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noWrap w:val="0"/>
            <w:vAlign w:val="center"/>
          </w:tcPr>
          <w:p w14:paraId="5CDA3B34">
            <w:pPr>
              <w:jc w:val="center"/>
              <w:rPr>
                <w:rFonts w:ascii="仿宋" w:hAnsi="仿宋" w:eastAsia="仿宋" w:cs="仿宋"/>
                <w:szCs w:val="21"/>
                <w:lang w:eastAsia="en-US"/>
              </w:rPr>
            </w:pPr>
            <w:r>
              <w:rPr>
                <w:rFonts w:hint="eastAsia" w:ascii="仿宋" w:hAnsi="仿宋" w:eastAsia="仿宋" w:cs="仿宋"/>
                <w:szCs w:val="21"/>
                <w:lang w:eastAsia="en-US"/>
              </w:rPr>
              <w:t>验收时间</w:t>
            </w:r>
          </w:p>
        </w:tc>
        <w:tc>
          <w:tcPr>
            <w:tcW w:w="2998" w:type="dxa"/>
            <w:gridSpan w:val="2"/>
            <w:noWrap w:val="0"/>
            <w:vAlign w:val="center"/>
          </w:tcPr>
          <w:p w14:paraId="1E3227C4">
            <w:pPr>
              <w:spacing w:before="80" w:after="80"/>
              <w:jc w:val="center"/>
              <w:rPr>
                <w:rFonts w:ascii="仿宋" w:hAnsi="仿宋" w:eastAsia="仿宋" w:cs="仿宋"/>
                <w:szCs w:val="21"/>
                <w:lang w:eastAsia="en-US"/>
              </w:rPr>
            </w:pPr>
          </w:p>
        </w:tc>
        <w:tc>
          <w:tcPr>
            <w:tcW w:w="1620" w:type="dxa"/>
            <w:noWrap w:val="0"/>
            <w:vAlign w:val="center"/>
          </w:tcPr>
          <w:p w14:paraId="3FB859B8">
            <w:pPr>
              <w:jc w:val="center"/>
              <w:rPr>
                <w:rFonts w:ascii="仿宋" w:hAnsi="仿宋" w:eastAsia="仿宋" w:cs="仿宋"/>
                <w:szCs w:val="21"/>
                <w:lang w:eastAsia="en-US"/>
              </w:rPr>
            </w:pPr>
            <w:r>
              <w:rPr>
                <w:rFonts w:hint="eastAsia" w:ascii="仿宋" w:hAnsi="仿宋" w:eastAsia="仿宋" w:cs="仿宋"/>
                <w:szCs w:val="21"/>
                <w:lang w:eastAsia="en-US"/>
              </w:rPr>
              <w:t>验收地点</w:t>
            </w:r>
          </w:p>
        </w:tc>
        <w:tc>
          <w:tcPr>
            <w:tcW w:w="2664" w:type="dxa"/>
            <w:gridSpan w:val="2"/>
            <w:noWrap w:val="0"/>
            <w:vAlign w:val="center"/>
          </w:tcPr>
          <w:p w14:paraId="662BA3B2">
            <w:pPr>
              <w:spacing w:before="80" w:after="80"/>
              <w:jc w:val="center"/>
              <w:rPr>
                <w:rFonts w:ascii="仿宋" w:hAnsi="仿宋" w:eastAsia="仿宋" w:cs="仿宋"/>
                <w:szCs w:val="21"/>
                <w:lang w:eastAsia="en-US"/>
              </w:rPr>
            </w:pPr>
          </w:p>
        </w:tc>
        <w:tc>
          <w:tcPr>
            <w:tcW w:w="3048" w:type="dxa"/>
            <w:gridSpan w:val="2"/>
            <w:noWrap w:val="0"/>
            <w:vAlign w:val="center"/>
          </w:tcPr>
          <w:p w14:paraId="1C65FAAA">
            <w:pPr>
              <w:jc w:val="center"/>
              <w:rPr>
                <w:rFonts w:ascii="仿宋" w:hAnsi="仿宋" w:eastAsia="仿宋" w:cs="仿宋"/>
                <w:szCs w:val="21"/>
                <w:lang w:eastAsia="en-US"/>
              </w:rPr>
            </w:pPr>
            <w:r>
              <w:rPr>
                <w:rFonts w:hint="eastAsia" w:ascii="仿宋" w:hAnsi="仿宋" w:eastAsia="仿宋" w:cs="仿宋"/>
                <w:szCs w:val="21"/>
                <w:lang w:eastAsia="en-US"/>
              </w:rPr>
              <w:t>验收组织形式</w:t>
            </w:r>
          </w:p>
        </w:tc>
        <w:tc>
          <w:tcPr>
            <w:tcW w:w="2270" w:type="dxa"/>
            <w:noWrap w:val="0"/>
            <w:vAlign w:val="center"/>
          </w:tcPr>
          <w:p w14:paraId="73CB085A">
            <w:pPr>
              <w:rPr>
                <w:rFonts w:ascii="仿宋" w:hAnsi="仿宋" w:eastAsia="仿宋" w:cs="仿宋"/>
                <w:szCs w:val="21"/>
                <w:lang w:eastAsia="zh-CN"/>
              </w:rPr>
            </w:pPr>
            <w:r>
              <w:rPr>
                <w:rFonts w:hint="eastAsia" w:ascii="仿宋" w:hAnsi="仿宋" w:eastAsia="仿宋" w:cs="仿宋"/>
                <w:szCs w:val="21"/>
                <w:lang w:eastAsia="zh-CN"/>
              </w:rPr>
              <w:t>□自行简易验收</w:t>
            </w:r>
          </w:p>
          <w:p w14:paraId="2BCF8BBA">
            <w:pPr>
              <w:rPr>
                <w:rFonts w:ascii="仿宋" w:hAnsi="仿宋" w:eastAsia="仿宋" w:cs="仿宋"/>
                <w:szCs w:val="21"/>
                <w:lang w:eastAsia="zh-CN"/>
              </w:rPr>
            </w:pPr>
            <w:r>
              <w:rPr>
                <w:rFonts w:hint="eastAsia" w:ascii="仿宋" w:hAnsi="仿宋" w:eastAsia="仿宋" w:cs="仿宋"/>
                <w:szCs w:val="21"/>
                <w:lang w:eastAsia="zh-CN"/>
              </w:rPr>
              <w:t>□验收小组验收</w:t>
            </w:r>
          </w:p>
        </w:tc>
      </w:tr>
      <w:tr w14:paraId="188D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vMerge w:val="restart"/>
            <w:tcBorders>
              <w:bottom w:val="nil"/>
            </w:tcBorders>
            <w:noWrap w:val="0"/>
            <w:vAlign w:val="center"/>
          </w:tcPr>
          <w:p w14:paraId="4877FDE3">
            <w:pPr>
              <w:jc w:val="center"/>
              <w:rPr>
                <w:rFonts w:ascii="仿宋" w:hAnsi="仿宋" w:eastAsia="仿宋" w:cs="仿宋"/>
                <w:szCs w:val="21"/>
                <w:lang w:eastAsia="en-US"/>
              </w:rPr>
            </w:pPr>
            <w:r>
              <w:rPr>
                <w:rFonts w:hint="eastAsia" w:ascii="仿宋" w:hAnsi="仿宋" w:eastAsia="仿宋" w:cs="仿宋"/>
                <w:szCs w:val="21"/>
                <w:lang w:eastAsia="en-US"/>
              </w:rPr>
              <w:t>验收内容</w:t>
            </w:r>
          </w:p>
        </w:tc>
        <w:tc>
          <w:tcPr>
            <w:tcW w:w="1138" w:type="dxa"/>
            <w:noWrap w:val="0"/>
            <w:vAlign w:val="center"/>
          </w:tcPr>
          <w:p w14:paraId="08292093">
            <w:pPr>
              <w:jc w:val="center"/>
              <w:rPr>
                <w:rFonts w:ascii="仿宋" w:hAnsi="仿宋" w:eastAsia="仿宋" w:cs="仿宋"/>
                <w:szCs w:val="21"/>
                <w:lang w:eastAsia="en-US"/>
              </w:rPr>
            </w:pPr>
            <w:r>
              <w:rPr>
                <w:rFonts w:hint="eastAsia" w:ascii="仿宋" w:hAnsi="仿宋" w:eastAsia="仿宋" w:cs="仿宋"/>
                <w:szCs w:val="21"/>
                <w:lang w:eastAsia="en-US"/>
              </w:rPr>
              <w:t>货物清单</w:t>
            </w:r>
          </w:p>
        </w:tc>
        <w:tc>
          <w:tcPr>
            <w:tcW w:w="1860" w:type="dxa"/>
            <w:noWrap w:val="0"/>
            <w:vAlign w:val="center"/>
          </w:tcPr>
          <w:p w14:paraId="543FF61F">
            <w:pPr>
              <w:jc w:val="center"/>
              <w:rPr>
                <w:rFonts w:ascii="仿宋" w:hAnsi="仿宋" w:eastAsia="仿宋" w:cs="仿宋"/>
                <w:szCs w:val="21"/>
                <w:lang w:eastAsia="zh-CN"/>
              </w:rPr>
            </w:pPr>
            <w:r>
              <w:rPr>
                <w:rFonts w:hint="eastAsia" w:ascii="仿宋" w:hAnsi="仿宋" w:eastAsia="仿宋" w:cs="仿宋"/>
                <w:szCs w:val="21"/>
                <w:lang w:eastAsia="zh-CN"/>
              </w:rPr>
              <w:t>品牌、型号、规格、数量及外观质量</w:t>
            </w:r>
          </w:p>
        </w:tc>
        <w:tc>
          <w:tcPr>
            <w:tcW w:w="1620" w:type="dxa"/>
            <w:noWrap w:val="0"/>
            <w:vAlign w:val="center"/>
          </w:tcPr>
          <w:p w14:paraId="13749C49">
            <w:pPr>
              <w:jc w:val="center"/>
              <w:rPr>
                <w:rFonts w:ascii="仿宋" w:hAnsi="仿宋" w:eastAsia="仿宋" w:cs="仿宋"/>
                <w:szCs w:val="21"/>
                <w:lang w:eastAsia="en-US"/>
              </w:rPr>
            </w:pPr>
            <w:r>
              <w:rPr>
                <w:rFonts w:hint="eastAsia" w:ascii="仿宋" w:hAnsi="仿宋" w:eastAsia="仿宋" w:cs="仿宋"/>
                <w:szCs w:val="21"/>
                <w:lang w:eastAsia="en-US"/>
              </w:rPr>
              <w:t>技术、性能指标</w:t>
            </w:r>
          </w:p>
        </w:tc>
        <w:tc>
          <w:tcPr>
            <w:tcW w:w="1308" w:type="dxa"/>
            <w:noWrap w:val="0"/>
            <w:vAlign w:val="center"/>
          </w:tcPr>
          <w:p w14:paraId="7F69E26B">
            <w:pPr>
              <w:jc w:val="center"/>
              <w:rPr>
                <w:rFonts w:ascii="仿宋" w:hAnsi="仿宋" w:eastAsia="仿宋" w:cs="仿宋"/>
                <w:szCs w:val="21"/>
                <w:lang w:eastAsia="en-US"/>
              </w:rPr>
            </w:pPr>
            <w:r>
              <w:rPr>
                <w:rFonts w:hint="eastAsia" w:ascii="仿宋" w:hAnsi="仿宋" w:eastAsia="仿宋" w:cs="仿宋"/>
                <w:szCs w:val="21"/>
                <w:lang w:eastAsia="en-US"/>
              </w:rPr>
              <w:t>运行状况及</w:t>
            </w:r>
          </w:p>
          <w:p w14:paraId="7966B975">
            <w:pPr>
              <w:jc w:val="center"/>
              <w:rPr>
                <w:rFonts w:ascii="仿宋" w:hAnsi="仿宋" w:eastAsia="仿宋" w:cs="仿宋"/>
                <w:szCs w:val="21"/>
                <w:lang w:eastAsia="en-US"/>
              </w:rPr>
            </w:pPr>
            <w:r>
              <w:rPr>
                <w:rFonts w:hint="eastAsia" w:ascii="仿宋" w:hAnsi="仿宋" w:eastAsia="仿宋" w:cs="仿宋"/>
                <w:szCs w:val="21"/>
                <w:lang w:eastAsia="en-US"/>
              </w:rPr>
              <w:t>安装调试</w:t>
            </w:r>
          </w:p>
        </w:tc>
        <w:tc>
          <w:tcPr>
            <w:tcW w:w="1356" w:type="dxa"/>
            <w:noWrap w:val="0"/>
            <w:vAlign w:val="center"/>
          </w:tcPr>
          <w:p w14:paraId="63C11D8C">
            <w:pPr>
              <w:jc w:val="center"/>
              <w:rPr>
                <w:rFonts w:ascii="仿宋" w:hAnsi="仿宋" w:eastAsia="仿宋" w:cs="仿宋"/>
                <w:szCs w:val="21"/>
                <w:lang w:eastAsia="en-US"/>
              </w:rPr>
            </w:pPr>
            <w:r>
              <w:rPr>
                <w:rFonts w:hint="eastAsia" w:ascii="仿宋" w:hAnsi="仿宋" w:eastAsia="仿宋" w:cs="仿宋"/>
                <w:szCs w:val="21"/>
                <w:lang w:eastAsia="en-US"/>
              </w:rPr>
              <w:t>质量证明文件</w:t>
            </w:r>
          </w:p>
        </w:tc>
        <w:tc>
          <w:tcPr>
            <w:tcW w:w="1500" w:type="dxa"/>
            <w:noWrap w:val="0"/>
            <w:vAlign w:val="center"/>
          </w:tcPr>
          <w:p w14:paraId="3B02159D">
            <w:pPr>
              <w:jc w:val="center"/>
              <w:rPr>
                <w:rFonts w:ascii="仿宋" w:hAnsi="仿宋" w:eastAsia="仿宋" w:cs="仿宋"/>
                <w:szCs w:val="21"/>
                <w:lang w:eastAsia="en-US"/>
              </w:rPr>
            </w:pPr>
            <w:r>
              <w:rPr>
                <w:rFonts w:hint="eastAsia" w:ascii="仿宋" w:hAnsi="仿宋" w:eastAsia="仿宋" w:cs="仿宋"/>
                <w:szCs w:val="21"/>
                <w:lang w:eastAsia="en-US"/>
              </w:rPr>
              <w:t>售后服务</w:t>
            </w:r>
          </w:p>
        </w:tc>
        <w:tc>
          <w:tcPr>
            <w:tcW w:w="1548" w:type="dxa"/>
            <w:noWrap w:val="0"/>
            <w:vAlign w:val="center"/>
          </w:tcPr>
          <w:p w14:paraId="40020F74">
            <w:pPr>
              <w:jc w:val="center"/>
              <w:rPr>
                <w:rFonts w:ascii="仿宋" w:hAnsi="仿宋" w:eastAsia="仿宋" w:cs="仿宋"/>
                <w:szCs w:val="21"/>
                <w:lang w:eastAsia="en-US"/>
              </w:rPr>
            </w:pPr>
            <w:r>
              <w:rPr>
                <w:rFonts w:hint="eastAsia" w:ascii="仿宋" w:hAnsi="仿宋" w:eastAsia="仿宋" w:cs="仿宋"/>
                <w:szCs w:val="21"/>
                <w:lang w:eastAsia="en-US"/>
              </w:rPr>
              <w:t>安全标准</w:t>
            </w:r>
          </w:p>
        </w:tc>
        <w:tc>
          <w:tcPr>
            <w:tcW w:w="2270" w:type="dxa"/>
            <w:noWrap w:val="0"/>
            <w:vAlign w:val="center"/>
          </w:tcPr>
          <w:p w14:paraId="77248744">
            <w:pPr>
              <w:jc w:val="center"/>
              <w:rPr>
                <w:rFonts w:ascii="仿宋" w:hAnsi="仿宋" w:eastAsia="仿宋" w:cs="仿宋"/>
                <w:szCs w:val="21"/>
                <w:lang w:eastAsia="zh-CN"/>
              </w:rPr>
            </w:pPr>
            <w:r>
              <w:rPr>
                <w:rFonts w:hint="eastAsia" w:ascii="仿宋" w:hAnsi="仿宋" w:eastAsia="仿宋" w:cs="仿宋"/>
                <w:szCs w:val="21"/>
                <w:lang w:eastAsia="zh-CN"/>
              </w:rPr>
              <w:t>合同履约</w:t>
            </w:r>
          </w:p>
          <w:p w14:paraId="424A8521">
            <w:pPr>
              <w:jc w:val="center"/>
              <w:rPr>
                <w:rFonts w:ascii="仿宋" w:hAnsi="仿宋" w:eastAsia="仿宋" w:cs="仿宋"/>
                <w:szCs w:val="21"/>
                <w:lang w:eastAsia="zh-CN"/>
              </w:rPr>
            </w:pPr>
            <w:r>
              <w:rPr>
                <w:rFonts w:hint="eastAsia" w:ascii="仿宋" w:hAnsi="仿宋" w:eastAsia="仿宋" w:cs="仿宋"/>
                <w:szCs w:val="21"/>
                <w:lang w:eastAsia="zh-CN"/>
              </w:rPr>
              <w:t>时间、地点、方式</w:t>
            </w:r>
          </w:p>
        </w:tc>
      </w:tr>
      <w:tr w14:paraId="0FF9E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vMerge w:val="continue"/>
            <w:tcBorders>
              <w:top w:val="nil"/>
            </w:tcBorders>
            <w:noWrap w:val="0"/>
            <w:vAlign w:val="center"/>
          </w:tcPr>
          <w:p w14:paraId="3C2B609E">
            <w:pPr>
              <w:spacing w:before="80" w:after="80"/>
              <w:jc w:val="center"/>
              <w:rPr>
                <w:rFonts w:ascii="仿宋" w:hAnsi="仿宋" w:eastAsia="仿宋" w:cs="仿宋"/>
                <w:szCs w:val="21"/>
                <w:lang w:eastAsia="zh-CN"/>
              </w:rPr>
            </w:pPr>
          </w:p>
        </w:tc>
        <w:tc>
          <w:tcPr>
            <w:tcW w:w="1138" w:type="dxa"/>
            <w:noWrap w:val="0"/>
            <w:vAlign w:val="center"/>
          </w:tcPr>
          <w:p w14:paraId="1B54BBF0">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4234B34C">
            <w:pPr>
              <w:jc w:val="center"/>
              <w:rPr>
                <w:rFonts w:ascii="仿宋" w:hAnsi="仿宋" w:eastAsia="仿宋" w:cs="仿宋"/>
                <w:szCs w:val="21"/>
                <w:lang w:eastAsia="en-US"/>
              </w:rPr>
            </w:pPr>
            <w:r>
              <w:rPr>
                <w:rFonts w:hint="eastAsia" w:ascii="仿宋" w:hAnsi="仿宋" w:eastAsia="仿宋" w:cs="仿宋"/>
                <w:szCs w:val="21"/>
                <w:lang w:eastAsia="en-US"/>
              </w:rPr>
              <w:t>不合格□</w:t>
            </w:r>
          </w:p>
        </w:tc>
        <w:tc>
          <w:tcPr>
            <w:tcW w:w="1860" w:type="dxa"/>
            <w:noWrap w:val="0"/>
            <w:vAlign w:val="center"/>
          </w:tcPr>
          <w:p w14:paraId="4E870C78">
            <w:pPr>
              <w:jc w:val="center"/>
              <w:rPr>
                <w:rFonts w:ascii="仿宋" w:hAnsi="仿宋" w:eastAsia="仿宋" w:cs="仿宋"/>
                <w:szCs w:val="21"/>
                <w:lang w:eastAsia="en-US"/>
              </w:rPr>
            </w:pPr>
            <w:r>
              <w:rPr>
                <w:rFonts w:hint="eastAsia" w:ascii="仿宋" w:hAnsi="仿宋" w:eastAsia="仿宋" w:cs="仿宋"/>
                <w:szCs w:val="21"/>
                <w:lang w:eastAsia="en-US"/>
              </w:rPr>
              <w:t>合 格□ 不合格□</w:t>
            </w:r>
          </w:p>
        </w:tc>
        <w:tc>
          <w:tcPr>
            <w:tcW w:w="1620" w:type="dxa"/>
            <w:noWrap w:val="0"/>
            <w:vAlign w:val="center"/>
          </w:tcPr>
          <w:p w14:paraId="05CD022E">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4E7CC406">
            <w:pPr>
              <w:jc w:val="center"/>
              <w:rPr>
                <w:rFonts w:ascii="仿宋" w:hAnsi="仿宋" w:eastAsia="仿宋" w:cs="仿宋"/>
                <w:szCs w:val="21"/>
                <w:lang w:eastAsia="en-US"/>
              </w:rPr>
            </w:pPr>
            <w:r>
              <w:rPr>
                <w:rFonts w:hint="eastAsia" w:ascii="仿宋" w:hAnsi="仿宋" w:eastAsia="仿宋" w:cs="仿宋"/>
                <w:szCs w:val="21"/>
                <w:lang w:eastAsia="en-US"/>
              </w:rPr>
              <w:t>不合格□</w:t>
            </w:r>
          </w:p>
        </w:tc>
        <w:tc>
          <w:tcPr>
            <w:tcW w:w="1308" w:type="dxa"/>
            <w:noWrap w:val="0"/>
            <w:vAlign w:val="center"/>
          </w:tcPr>
          <w:p w14:paraId="499DF46D">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2A3CA70E">
            <w:pPr>
              <w:jc w:val="center"/>
              <w:rPr>
                <w:rFonts w:ascii="仿宋" w:hAnsi="仿宋" w:eastAsia="仿宋" w:cs="仿宋"/>
                <w:szCs w:val="21"/>
                <w:lang w:eastAsia="en-US"/>
              </w:rPr>
            </w:pPr>
            <w:r>
              <w:rPr>
                <w:rFonts w:hint="eastAsia" w:ascii="仿宋" w:hAnsi="仿宋" w:eastAsia="仿宋" w:cs="仿宋"/>
                <w:szCs w:val="21"/>
                <w:lang w:eastAsia="en-US"/>
              </w:rPr>
              <w:t>不合格□</w:t>
            </w:r>
          </w:p>
        </w:tc>
        <w:tc>
          <w:tcPr>
            <w:tcW w:w="1356" w:type="dxa"/>
            <w:noWrap w:val="0"/>
            <w:vAlign w:val="center"/>
          </w:tcPr>
          <w:p w14:paraId="03328E4E">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61553C06">
            <w:pPr>
              <w:jc w:val="center"/>
              <w:rPr>
                <w:rFonts w:ascii="仿宋" w:hAnsi="仿宋" w:eastAsia="仿宋" w:cs="仿宋"/>
                <w:szCs w:val="21"/>
                <w:lang w:eastAsia="en-US"/>
              </w:rPr>
            </w:pPr>
            <w:r>
              <w:rPr>
                <w:rFonts w:hint="eastAsia" w:ascii="仿宋" w:hAnsi="仿宋" w:eastAsia="仿宋" w:cs="仿宋"/>
                <w:szCs w:val="21"/>
                <w:lang w:eastAsia="en-US"/>
              </w:rPr>
              <w:t>不合格□</w:t>
            </w:r>
          </w:p>
        </w:tc>
        <w:tc>
          <w:tcPr>
            <w:tcW w:w="1500" w:type="dxa"/>
            <w:noWrap w:val="0"/>
            <w:vAlign w:val="center"/>
          </w:tcPr>
          <w:p w14:paraId="2B1F23B3">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15FED782">
            <w:pPr>
              <w:jc w:val="center"/>
              <w:rPr>
                <w:rFonts w:ascii="仿宋" w:hAnsi="仿宋" w:eastAsia="仿宋" w:cs="仿宋"/>
                <w:szCs w:val="21"/>
                <w:lang w:eastAsia="en-US"/>
              </w:rPr>
            </w:pPr>
            <w:r>
              <w:rPr>
                <w:rFonts w:hint="eastAsia" w:ascii="仿宋" w:hAnsi="仿宋" w:eastAsia="仿宋" w:cs="仿宋"/>
                <w:szCs w:val="21"/>
                <w:lang w:eastAsia="en-US"/>
              </w:rPr>
              <w:t>不合格□</w:t>
            </w:r>
          </w:p>
        </w:tc>
        <w:tc>
          <w:tcPr>
            <w:tcW w:w="1548" w:type="dxa"/>
            <w:noWrap w:val="0"/>
            <w:vAlign w:val="center"/>
          </w:tcPr>
          <w:p w14:paraId="10ADECDA">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06DF9102">
            <w:pPr>
              <w:jc w:val="center"/>
              <w:rPr>
                <w:rFonts w:ascii="仿宋" w:hAnsi="仿宋" w:eastAsia="仿宋" w:cs="仿宋"/>
                <w:szCs w:val="21"/>
                <w:lang w:eastAsia="en-US"/>
              </w:rPr>
            </w:pPr>
            <w:r>
              <w:rPr>
                <w:rFonts w:hint="eastAsia" w:ascii="仿宋" w:hAnsi="仿宋" w:eastAsia="仿宋" w:cs="仿宋"/>
                <w:szCs w:val="21"/>
                <w:lang w:eastAsia="en-US"/>
              </w:rPr>
              <w:t>不合格□</w:t>
            </w:r>
          </w:p>
        </w:tc>
        <w:tc>
          <w:tcPr>
            <w:tcW w:w="2270" w:type="dxa"/>
            <w:noWrap w:val="0"/>
            <w:vAlign w:val="center"/>
          </w:tcPr>
          <w:p w14:paraId="226C4965">
            <w:pPr>
              <w:jc w:val="center"/>
              <w:rPr>
                <w:rFonts w:ascii="仿宋" w:hAnsi="仿宋" w:eastAsia="仿宋" w:cs="仿宋"/>
                <w:szCs w:val="21"/>
                <w:lang w:eastAsia="en-US"/>
              </w:rPr>
            </w:pPr>
            <w:r>
              <w:rPr>
                <w:rFonts w:hint="eastAsia" w:ascii="仿宋" w:hAnsi="仿宋" w:eastAsia="仿宋" w:cs="仿宋"/>
                <w:szCs w:val="21"/>
                <w:lang w:eastAsia="en-US"/>
              </w:rPr>
              <w:t xml:space="preserve">合 格□ </w:t>
            </w:r>
          </w:p>
          <w:p w14:paraId="5CB7FDFB">
            <w:pPr>
              <w:jc w:val="center"/>
              <w:rPr>
                <w:rFonts w:ascii="仿宋" w:hAnsi="仿宋" w:eastAsia="仿宋" w:cs="仿宋"/>
                <w:szCs w:val="21"/>
                <w:lang w:eastAsia="en-US"/>
              </w:rPr>
            </w:pPr>
            <w:r>
              <w:rPr>
                <w:rFonts w:hint="eastAsia" w:ascii="仿宋" w:hAnsi="仿宋" w:eastAsia="仿宋" w:cs="仿宋"/>
                <w:szCs w:val="21"/>
                <w:lang w:eastAsia="en-US"/>
              </w:rPr>
              <w:t>不合格□</w:t>
            </w:r>
          </w:p>
        </w:tc>
      </w:tr>
      <w:tr w14:paraId="120C3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noWrap w:val="0"/>
            <w:vAlign w:val="center"/>
          </w:tcPr>
          <w:p w14:paraId="2D14903D">
            <w:pPr>
              <w:jc w:val="center"/>
              <w:rPr>
                <w:rFonts w:ascii="仿宋" w:hAnsi="仿宋" w:eastAsia="仿宋" w:cs="仿宋"/>
                <w:szCs w:val="21"/>
                <w:lang w:eastAsia="zh-CN"/>
              </w:rPr>
            </w:pPr>
            <w:r>
              <w:rPr>
                <w:rFonts w:hint="eastAsia" w:ascii="仿宋" w:hAnsi="仿宋" w:eastAsia="仿宋" w:cs="仿宋"/>
                <w:szCs w:val="21"/>
                <w:lang w:eastAsia="zh-CN"/>
              </w:rPr>
              <w:t>专业检测机构情况说明</w:t>
            </w:r>
          </w:p>
        </w:tc>
        <w:tc>
          <w:tcPr>
            <w:tcW w:w="12600" w:type="dxa"/>
            <w:gridSpan w:val="8"/>
            <w:noWrap w:val="0"/>
            <w:vAlign w:val="center"/>
          </w:tcPr>
          <w:p w14:paraId="61081AFA">
            <w:pPr>
              <w:spacing w:before="80" w:after="80"/>
              <w:jc w:val="center"/>
              <w:rPr>
                <w:rFonts w:ascii="仿宋" w:hAnsi="仿宋" w:eastAsia="仿宋" w:cs="仿宋"/>
                <w:szCs w:val="21"/>
                <w:lang w:eastAsia="zh-CN"/>
              </w:rPr>
            </w:pPr>
          </w:p>
        </w:tc>
      </w:tr>
      <w:tr w14:paraId="581FC9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625" w:type="dxa"/>
            <w:noWrap w:val="0"/>
            <w:vAlign w:val="center"/>
          </w:tcPr>
          <w:p w14:paraId="53FE6A48">
            <w:pPr>
              <w:jc w:val="center"/>
              <w:rPr>
                <w:rFonts w:ascii="仿宋" w:hAnsi="仿宋" w:eastAsia="仿宋" w:cs="仿宋"/>
                <w:szCs w:val="21"/>
                <w:lang w:eastAsia="en-US"/>
              </w:rPr>
            </w:pPr>
            <w:r>
              <w:rPr>
                <w:rFonts w:hint="eastAsia" w:ascii="仿宋" w:hAnsi="仿宋" w:eastAsia="仿宋" w:cs="仿宋"/>
                <w:szCs w:val="21"/>
                <w:lang w:eastAsia="en-US"/>
              </w:rPr>
              <w:t>存在问题</w:t>
            </w:r>
          </w:p>
          <w:p w14:paraId="0B543B05">
            <w:pPr>
              <w:jc w:val="center"/>
              <w:rPr>
                <w:rFonts w:ascii="仿宋" w:hAnsi="仿宋" w:eastAsia="仿宋" w:cs="仿宋"/>
                <w:szCs w:val="21"/>
                <w:lang w:eastAsia="en-US"/>
              </w:rPr>
            </w:pPr>
            <w:r>
              <w:rPr>
                <w:rFonts w:hint="eastAsia" w:ascii="仿宋" w:hAnsi="仿宋" w:eastAsia="仿宋" w:cs="仿宋"/>
                <w:szCs w:val="21"/>
                <w:lang w:eastAsia="en-US"/>
              </w:rPr>
              <w:t>和改进意见</w:t>
            </w:r>
          </w:p>
        </w:tc>
        <w:tc>
          <w:tcPr>
            <w:tcW w:w="12600" w:type="dxa"/>
            <w:gridSpan w:val="8"/>
            <w:noWrap w:val="0"/>
            <w:vAlign w:val="center"/>
          </w:tcPr>
          <w:p w14:paraId="33E9A115">
            <w:pPr>
              <w:spacing w:before="80" w:after="80"/>
              <w:jc w:val="center"/>
              <w:rPr>
                <w:rFonts w:ascii="仿宋" w:hAnsi="仿宋" w:eastAsia="仿宋" w:cs="仿宋"/>
                <w:szCs w:val="21"/>
                <w:lang w:eastAsia="en-US"/>
              </w:rPr>
            </w:pPr>
          </w:p>
        </w:tc>
      </w:tr>
      <w:tr w14:paraId="332F1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jc w:val="center"/>
        </w:trPr>
        <w:tc>
          <w:tcPr>
            <w:tcW w:w="1625" w:type="dxa"/>
            <w:noWrap w:val="0"/>
            <w:vAlign w:val="center"/>
          </w:tcPr>
          <w:p w14:paraId="50B85382">
            <w:pPr>
              <w:jc w:val="center"/>
              <w:rPr>
                <w:rFonts w:ascii="仿宋" w:hAnsi="仿宋" w:eastAsia="仿宋" w:cs="仿宋"/>
                <w:szCs w:val="21"/>
                <w:lang w:eastAsia="en-US"/>
              </w:rPr>
            </w:pPr>
            <w:r>
              <w:rPr>
                <w:rFonts w:hint="eastAsia" w:ascii="仿宋" w:hAnsi="仿宋" w:eastAsia="仿宋" w:cs="仿宋"/>
                <w:szCs w:val="21"/>
                <w:lang w:eastAsia="en-US"/>
              </w:rPr>
              <w:t>最终结论</w:t>
            </w:r>
          </w:p>
        </w:tc>
        <w:tc>
          <w:tcPr>
            <w:tcW w:w="12600" w:type="dxa"/>
            <w:gridSpan w:val="8"/>
            <w:noWrap w:val="0"/>
            <w:vAlign w:val="center"/>
          </w:tcPr>
          <w:p w14:paraId="1C625BE8">
            <w:pPr>
              <w:jc w:val="center"/>
              <w:rPr>
                <w:rFonts w:ascii="仿宋" w:hAnsi="仿宋" w:eastAsia="仿宋" w:cs="仿宋"/>
                <w:szCs w:val="21"/>
                <w:lang w:eastAsia="en-US"/>
              </w:rPr>
            </w:pPr>
            <w:r>
              <w:rPr>
                <w:rFonts w:hint="eastAsia" w:ascii="仿宋" w:hAnsi="仿宋" w:eastAsia="仿宋" w:cs="仿宋"/>
                <w:szCs w:val="21"/>
                <w:lang w:eastAsia="en-US"/>
              </w:rPr>
              <w:t>合  格□                              不合格□</w:t>
            </w:r>
          </w:p>
        </w:tc>
      </w:tr>
      <w:tr w14:paraId="11E0E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jc w:val="center"/>
        </w:trPr>
        <w:tc>
          <w:tcPr>
            <w:tcW w:w="1625" w:type="dxa"/>
            <w:noWrap w:val="0"/>
            <w:vAlign w:val="center"/>
          </w:tcPr>
          <w:p w14:paraId="151793F0">
            <w:pPr>
              <w:jc w:val="center"/>
              <w:rPr>
                <w:rFonts w:ascii="仿宋" w:hAnsi="仿宋" w:eastAsia="仿宋" w:cs="仿宋"/>
                <w:szCs w:val="21"/>
                <w:lang w:eastAsia="en-US"/>
              </w:rPr>
            </w:pPr>
            <w:r>
              <w:rPr>
                <w:rFonts w:hint="eastAsia" w:ascii="仿宋" w:hAnsi="仿宋" w:eastAsia="仿宋" w:cs="仿宋"/>
                <w:spacing w:val="-2"/>
                <w:szCs w:val="21"/>
                <w:lang w:eastAsia="en-US"/>
              </w:rPr>
              <w:t>验收小组成员</w:t>
            </w:r>
            <w:r>
              <w:rPr>
                <w:rFonts w:hint="eastAsia" w:ascii="仿宋" w:hAnsi="仿宋" w:eastAsia="仿宋" w:cs="仿宋"/>
                <w:spacing w:val="-4"/>
                <w:szCs w:val="21"/>
                <w:lang w:eastAsia="en-US"/>
              </w:rPr>
              <w:t>签字</w:t>
            </w:r>
          </w:p>
        </w:tc>
        <w:tc>
          <w:tcPr>
            <w:tcW w:w="12600" w:type="dxa"/>
            <w:gridSpan w:val="8"/>
            <w:noWrap w:val="0"/>
          </w:tcPr>
          <w:p w14:paraId="1C09A751">
            <w:pPr>
              <w:spacing w:before="80" w:after="80"/>
              <w:rPr>
                <w:rFonts w:ascii="仿宋" w:hAnsi="仿宋" w:eastAsia="仿宋" w:cs="仿宋"/>
                <w:szCs w:val="21"/>
                <w:lang w:eastAsia="en-US"/>
              </w:rPr>
            </w:pPr>
          </w:p>
        </w:tc>
      </w:tr>
      <w:tr w14:paraId="539CA1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14225" w:type="dxa"/>
            <w:gridSpan w:val="9"/>
            <w:noWrap w:val="0"/>
          </w:tcPr>
          <w:p w14:paraId="43F74E59">
            <w:pPr>
              <w:spacing w:before="80" w:after="80" w:line="255" w:lineRule="auto"/>
              <w:ind w:firstLine="257"/>
              <w:rPr>
                <w:rFonts w:ascii="仿宋" w:hAnsi="仿宋" w:eastAsia="仿宋" w:cs="仿宋"/>
                <w:szCs w:val="21"/>
                <w:lang w:eastAsia="zh-CN"/>
              </w:rPr>
            </w:pPr>
            <w:r>
              <w:rPr>
                <w:rFonts w:hint="eastAsia" w:ascii="仿宋" w:hAnsi="仿宋" w:eastAsia="仿宋" w:cs="仿宋"/>
                <w:spacing w:val="-2"/>
                <w:szCs w:val="21"/>
                <w:lang w:eastAsia="zh-CN"/>
              </w:rPr>
              <w:t>采购人意见</w:t>
            </w:r>
          </w:p>
          <w:p w14:paraId="2CD8D646">
            <w:pPr>
              <w:spacing w:before="80" w:after="80" w:line="255" w:lineRule="auto"/>
              <w:ind w:firstLine="262"/>
              <w:rPr>
                <w:rFonts w:ascii="仿宋" w:hAnsi="仿宋" w:eastAsia="仿宋" w:cs="仿宋"/>
                <w:szCs w:val="21"/>
                <w:lang w:eastAsia="zh-CN"/>
              </w:rPr>
            </w:pPr>
          </w:p>
          <w:p w14:paraId="2E890953">
            <w:pPr>
              <w:spacing w:before="59" w:line="238" w:lineRule="exact"/>
              <w:ind w:firstLine="265"/>
              <w:jc w:val="right"/>
              <w:rPr>
                <w:rFonts w:ascii="仿宋" w:hAnsi="仿宋" w:eastAsia="仿宋" w:cs="仿宋"/>
                <w:szCs w:val="21"/>
                <w:lang w:eastAsia="zh-CN"/>
              </w:rPr>
            </w:pPr>
            <w:r>
              <w:rPr>
                <w:rFonts w:hint="eastAsia" w:ascii="仿宋" w:hAnsi="仿宋" w:eastAsia="仿宋" w:cs="仿宋"/>
                <w:spacing w:val="1"/>
                <w:position w:val="1"/>
                <w:szCs w:val="21"/>
                <w:lang w:eastAsia="zh-CN"/>
              </w:rPr>
              <w:t>经办人：         负责人</w:t>
            </w:r>
            <w:r>
              <w:rPr>
                <w:rFonts w:hint="eastAsia" w:ascii="仿宋" w:hAnsi="仿宋" w:eastAsia="仿宋" w:cs="仿宋"/>
                <w:spacing w:val="-17"/>
                <w:position w:val="1"/>
                <w:szCs w:val="21"/>
                <w:lang w:eastAsia="zh-CN"/>
              </w:rPr>
              <w:t>：</w:t>
            </w:r>
            <w:r>
              <w:rPr>
                <w:rFonts w:hint="eastAsia" w:ascii="仿宋" w:hAnsi="仿宋" w:eastAsia="仿宋" w:cs="仿宋"/>
                <w:position w:val="1"/>
                <w:szCs w:val="21"/>
                <w:lang w:eastAsia="zh-CN"/>
              </w:rPr>
              <w:t xml:space="preserve">               </w:t>
            </w:r>
            <w:r>
              <w:rPr>
                <w:rFonts w:hint="eastAsia" w:ascii="仿宋" w:hAnsi="仿宋" w:eastAsia="仿宋" w:cs="仿宋"/>
                <w:spacing w:val="-17"/>
                <w:position w:val="1"/>
                <w:szCs w:val="21"/>
                <w:lang w:eastAsia="zh-CN"/>
              </w:rPr>
              <w:t>（</w:t>
            </w:r>
            <w:r>
              <w:rPr>
                <w:rFonts w:hint="eastAsia" w:ascii="仿宋" w:hAnsi="仿宋" w:eastAsia="仿宋" w:cs="仿宋"/>
                <w:spacing w:val="1"/>
                <w:position w:val="1"/>
                <w:szCs w:val="21"/>
                <w:lang w:eastAsia="zh-CN"/>
              </w:rPr>
              <w:t>采购人公章）</w:t>
            </w:r>
          </w:p>
        </w:tc>
      </w:tr>
      <w:tr w14:paraId="37B48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3" w:hRule="atLeast"/>
          <w:jc w:val="center"/>
        </w:trPr>
        <w:tc>
          <w:tcPr>
            <w:tcW w:w="14225" w:type="dxa"/>
            <w:gridSpan w:val="9"/>
            <w:noWrap w:val="0"/>
          </w:tcPr>
          <w:p w14:paraId="0A064CD9">
            <w:pPr>
              <w:spacing w:before="299" w:line="207" w:lineRule="auto"/>
              <w:ind w:firstLine="257"/>
              <w:jc w:val="left"/>
              <w:rPr>
                <w:rFonts w:ascii="仿宋" w:hAnsi="仿宋" w:eastAsia="仿宋" w:cs="仿宋"/>
                <w:szCs w:val="21"/>
                <w:lang w:eastAsia="zh-CN"/>
              </w:rPr>
            </w:pPr>
            <w:r>
              <w:rPr>
                <w:rFonts w:hint="eastAsia" w:ascii="仿宋" w:hAnsi="仿宋" w:eastAsia="仿宋" w:cs="仿宋"/>
                <w:spacing w:val="-2"/>
                <w:szCs w:val="21"/>
                <w:lang w:eastAsia="zh-CN"/>
              </w:rPr>
              <w:t>供应商确认：</w:t>
            </w:r>
          </w:p>
          <w:p w14:paraId="709A2690">
            <w:pPr>
              <w:spacing w:before="59" w:line="238" w:lineRule="exact"/>
              <w:ind w:firstLine="260"/>
              <w:jc w:val="left"/>
              <w:rPr>
                <w:rFonts w:ascii="仿宋" w:hAnsi="仿宋" w:eastAsia="仿宋" w:cs="仿宋"/>
                <w:spacing w:val="1"/>
                <w:position w:val="1"/>
                <w:szCs w:val="21"/>
                <w:lang w:eastAsia="zh-CN"/>
              </w:rPr>
            </w:pPr>
            <w:r>
              <w:rPr>
                <w:rFonts w:hint="eastAsia" w:ascii="仿宋" w:hAnsi="仿宋" w:eastAsia="仿宋" w:cs="仿宋"/>
                <w:spacing w:val="-1"/>
                <w:position w:val="1"/>
                <w:szCs w:val="21"/>
                <w:lang w:eastAsia="zh-CN"/>
              </w:rPr>
              <w:t>（单位公章或授权代表签字）</w:t>
            </w:r>
          </w:p>
        </w:tc>
      </w:tr>
    </w:tbl>
    <w:p w14:paraId="6B65720B">
      <w:pPr>
        <w:jc w:val="left"/>
        <w:rPr>
          <w:rFonts w:ascii="宋体" w:hAnsi="宋体"/>
          <w:b/>
          <w:sz w:val="44"/>
          <w:szCs w:val="44"/>
        </w:rPr>
      </w:pPr>
      <w:r>
        <w:rPr>
          <w:rFonts w:ascii="宋体" w:hAnsi="宋体"/>
        </w:rPr>
        <w:br w:type="page" w:clear="all"/>
      </w:r>
    </w:p>
    <w:p w14:paraId="5B213BA3">
      <w:pPr>
        <w:pStyle w:val="400"/>
        <w:rPr>
          <w:rFonts w:ascii="仿宋" w:hAnsi="仿宋" w:eastAsia="仿宋" w:cs="仿宋"/>
        </w:rPr>
        <w:sectPr>
          <w:pgSz w:w="16838" w:h="11906" w:orient="landscape"/>
          <w:pgMar w:top="1236" w:right="1157" w:bottom="1236" w:left="1157" w:header="851" w:footer="992" w:gutter="0"/>
          <w:cols w:space="425" w:num="1"/>
          <w:docGrid w:linePitch="360" w:charSpace="0"/>
        </w:sectPr>
      </w:pPr>
    </w:p>
    <w:p w14:paraId="6ECEED1A">
      <w:pPr>
        <w:pStyle w:val="400"/>
        <w:rPr>
          <w:rFonts w:ascii="仿宋" w:hAnsi="仿宋" w:eastAsia="仿宋" w:cs="仿宋"/>
        </w:rPr>
      </w:pPr>
      <w:r>
        <w:rPr>
          <w:rFonts w:hint="eastAsia" w:ascii="仿宋" w:hAnsi="仿宋" w:eastAsia="仿宋" w:cs="仿宋"/>
        </w:rPr>
        <w:t>第四部分 投标文件格式</w:t>
      </w:r>
    </w:p>
    <w:p w14:paraId="139CD40E">
      <w:pPr>
        <w:spacing w:line="360" w:lineRule="auto"/>
        <w:jc w:val="left"/>
        <w:rPr>
          <w:rFonts w:ascii="仿宋" w:hAnsi="仿宋" w:eastAsia="仿宋" w:cs="仿宋"/>
          <w:sz w:val="24"/>
          <w:szCs w:val="24"/>
        </w:rPr>
      </w:pPr>
      <w:r>
        <w:rPr>
          <w:rFonts w:hint="eastAsia" w:ascii="仿宋" w:hAnsi="仿宋" w:eastAsia="仿宋" w:cs="仿宋"/>
          <w:sz w:val="24"/>
          <w:szCs w:val="24"/>
        </w:rPr>
        <w:t>说明：</w:t>
      </w:r>
    </w:p>
    <w:p w14:paraId="4A5D3D75">
      <w:pPr>
        <w:spacing w:line="360" w:lineRule="auto"/>
        <w:jc w:val="left"/>
        <w:rPr>
          <w:rFonts w:ascii="仿宋" w:hAnsi="仿宋" w:eastAsia="仿宋" w:cs="仿宋"/>
          <w:sz w:val="24"/>
          <w:szCs w:val="24"/>
        </w:rPr>
      </w:pPr>
      <w:r>
        <w:rPr>
          <w:rFonts w:hint="eastAsia" w:ascii="仿宋" w:hAnsi="仿宋" w:eastAsia="仿宋" w:cs="仿宋"/>
          <w:sz w:val="24"/>
          <w:szCs w:val="24"/>
        </w:rPr>
        <w:t>对本章所有的投标书格式，投标方可根据自身情况进行补充和修改，但补充和修改不得造成与本格式内容有实质性的违背。</w:t>
      </w:r>
      <w:bookmarkEnd w:id="14"/>
    </w:p>
    <w:p w14:paraId="7D4D10B3">
      <w:pPr>
        <w:jc w:val="left"/>
        <w:rPr>
          <w:rFonts w:ascii="宋体" w:hAnsi="宋体"/>
          <w:b/>
          <w:sz w:val="24"/>
          <w:szCs w:val="24"/>
        </w:rPr>
      </w:pPr>
    </w:p>
    <w:p w14:paraId="6360BF85">
      <w:pPr>
        <w:pStyle w:val="4"/>
        <w:keepNext w:val="0"/>
        <w:spacing w:line="420" w:lineRule="exact"/>
        <w:jc w:val="both"/>
        <w:rPr>
          <w:rFonts w:ascii="仿宋" w:hAnsi="仿宋" w:eastAsia="仿宋" w:cs="仿宋"/>
          <w:sz w:val="21"/>
          <w:szCs w:val="21"/>
        </w:rPr>
      </w:pPr>
      <w:r>
        <w:rPr>
          <w:rFonts w:hint="eastAsia" w:ascii="仿宋" w:hAnsi="仿宋" w:eastAsia="仿宋" w:cs="仿宋"/>
          <w:sz w:val="21"/>
          <w:szCs w:val="21"/>
          <w:lang w:val="zh-CN"/>
        </w:rPr>
        <w:t>格式1：</w:t>
      </w:r>
      <w:r>
        <w:rPr>
          <w:rFonts w:hint="eastAsia" w:ascii="仿宋" w:hAnsi="仿宋" w:eastAsia="仿宋" w:cs="仿宋"/>
          <w:sz w:val="21"/>
          <w:szCs w:val="21"/>
        </w:rPr>
        <w:t>投标函</w:t>
      </w:r>
    </w:p>
    <w:p w14:paraId="5B55E22E">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投标函</w:t>
      </w:r>
    </w:p>
    <w:p w14:paraId="1554221E">
      <w:pPr>
        <w:pStyle w:val="282"/>
        <w:spacing w:line="360" w:lineRule="exact"/>
        <w:rPr>
          <w:rFonts w:ascii="仿宋" w:hAnsi="仿宋" w:eastAsia="仿宋" w:cs="仿宋"/>
          <w:bCs/>
          <w:sz w:val="24"/>
          <w:szCs w:val="24"/>
        </w:rPr>
      </w:pPr>
      <w:r>
        <w:rPr>
          <w:rFonts w:hint="eastAsia" w:ascii="仿宋" w:hAnsi="仿宋" w:eastAsia="仿宋" w:cs="仿宋"/>
          <w:bCs/>
          <w:sz w:val="24"/>
          <w:szCs w:val="24"/>
        </w:rPr>
        <w:t>苏州乐鑫诚项目管理有限公司：</w:t>
      </w:r>
    </w:p>
    <w:p w14:paraId="7BA477A5">
      <w:pPr>
        <w:spacing w:line="440" w:lineRule="exact"/>
        <w:rPr>
          <w:rFonts w:ascii="仿宋" w:hAnsi="仿宋" w:eastAsia="仿宋" w:cs="仿宋"/>
          <w:sz w:val="24"/>
          <w:szCs w:val="24"/>
        </w:rPr>
      </w:pPr>
      <w:r>
        <w:rPr>
          <w:rFonts w:hint="eastAsia" w:ascii="仿宋" w:hAnsi="仿宋" w:eastAsia="仿宋" w:cs="仿宋"/>
        </w:rPr>
        <w:t xml:space="preserve">   </w:t>
      </w:r>
      <w:r>
        <w:rPr>
          <w:rFonts w:hint="eastAsia" w:ascii="仿宋" w:hAnsi="仿宋" w:eastAsia="仿宋" w:cs="仿宋"/>
          <w:sz w:val="24"/>
          <w:szCs w:val="24"/>
        </w:rPr>
        <w:t xml:space="preserve"> 我方收到贵公司</w:t>
      </w:r>
      <w:r>
        <w:rPr>
          <w:rFonts w:hint="eastAsia" w:ascii="仿宋" w:hAnsi="仿宋" w:eastAsia="仿宋" w:cs="仿宋"/>
          <w:sz w:val="24"/>
          <w:szCs w:val="24"/>
          <w:u w:val="single"/>
          <w:lang w:eastAsia="zh-CN"/>
        </w:rPr>
        <w:t>JSZC-320585-YXCZ-G2026-0008</w:t>
      </w:r>
      <w:r>
        <w:rPr>
          <w:rFonts w:hint="eastAsia" w:ascii="仿宋" w:hAnsi="仿宋" w:eastAsia="仿宋" w:cs="仿宋"/>
          <w:sz w:val="24"/>
          <w:szCs w:val="24"/>
        </w:rPr>
        <w:t>号招标文件，经仔细阅读和研究，我方决定参加投标。并向贵公司承诺：</w:t>
      </w:r>
    </w:p>
    <w:p w14:paraId="0110AD8C">
      <w:pPr>
        <w:spacing w:line="440" w:lineRule="exact"/>
        <w:ind w:firstLine="480"/>
        <w:rPr>
          <w:rFonts w:ascii="仿宋" w:hAnsi="仿宋" w:eastAsia="仿宋" w:cs="仿宋"/>
          <w:sz w:val="24"/>
          <w:szCs w:val="24"/>
        </w:rPr>
      </w:pPr>
      <w:r>
        <w:rPr>
          <w:rFonts w:hint="eastAsia" w:ascii="仿宋" w:hAnsi="仿宋" w:eastAsia="仿宋" w:cs="仿宋"/>
          <w:sz w:val="24"/>
          <w:szCs w:val="24"/>
        </w:rPr>
        <w:t>1、我方自愿按照招标文件规定的各项要求向采购人提供所需服务。</w:t>
      </w:r>
    </w:p>
    <w:p w14:paraId="6B456340">
      <w:pPr>
        <w:spacing w:line="440" w:lineRule="exact"/>
        <w:ind w:firstLine="480"/>
        <w:rPr>
          <w:rFonts w:ascii="仿宋" w:hAnsi="仿宋" w:eastAsia="仿宋" w:cs="仿宋"/>
          <w:sz w:val="24"/>
          <w:szCs w:val="24"/>
        </w:rPr>
      </w:pPr>
      <w:r>
        <w:rPr>
          <w:rFonts w:hint="eastAsia" w:ascii="仿宋" w:hAnsi="仿宋" w:eastAsia="仿宋" w:cs="仿宋"/>
          <w:sz w:val="24"/>
          <w:szCs w:val="24"/>
        </w:rPr>
        <w:t>2、一旦我方中标，我们将严格履行招标文件中规定的每一项要求，按期、按质、按量履行合同的义务。</w:t>
      </w:r>
    </w:p>
    <w:p w14:paraId="6AB4E1FA">
      <w:pPr>
        <w:spacing w:line="440" w:lineRule="exact"/>
        <w:ind w:firstLine="480"/>
        <w:rPr>
          <w:rFonts w:ascii="仿宋" w:hAnsi="仿宋" w:eastAsia="仿宋" w:cs="仿宋"/>
          <w:sz w:val="24"/>
          <w:szCs w:val="24"/>
        </w:rPr>
      </w:pPr>
      <w:r>
        <w:rPr>
          <w:rFonts w:hint="eastAsia" w:ascii="仿宋" w:hAnsi="仿宋" w:eastAsia="仿宋" w:cs="仿宋"/>
          <w:sz w:val="24"/>
          <w:szCs w:val="24"/>
        </w:rPr>
        <w:t>3．我们已详细审查全部招标文件，包括更正文件</w:t>
      </w:r>
      <w:r>
        <w:rPr>
          <w:rFonts w:hint="eastAsia" w:ascii="仿宋" w:hAnsi="仿宋" w:eastAsia="仿宋" w:cs="仿宋"/>
          <w:sz w:val="24"/>
          <w:szCs w:val="24"/>
          <w:lang w:eastAsia="zh-CN"/>
        </w:rPr>
        <w:t>（</w:t>
      </w:r>
      <w:r>
        <w:rPr>
          <w:rFonts w:hint="eastAsia" w:ascii="仿宋" w:hAnsi="仿宋" w:eastAsia="仿宋" w:cs="仿宋"/>
          <w:sz w:val="24"/>
          <w:szCs w:val="24"/>
        </w:rPr>
        <w:t>如有</w:t>
      </w:r>
      <w:r>
        <w:rPr>
          <w:rFonts w:hint="eastAsia" w:ascii="仿宋" w:hAnsi="仿宋" w:eastAsia="仿宋" w:cs="仿宋"/>
          <w:sz w:val="24"/>
          <w:szCs w:val="24"/>
          <w:lang w:eastAsia="zh-CN"/>
        </w:rPr>
        <w:t>）</w:t>
      </w:r>
      <w:r>
        <w:rPr>
          <w:rFonts w:hint="eastAsia" w:ascii="仿宋" w:hAnsi="仿宋" w:eastAsia="仿宋" w:cs="仿宋"/>
          <w:sz w:val="24"/>
          <w:szCs w:val="24"/>
        </w:rPr>
        <w:t>，对招标文件及更正公告</w:t>
      </w:r>
      <w:r>
        <w:rPr>
          <w:rFonts w:hint="eastAsia" w:ascii="仿宋" w:hAnsi="仿宋" w:eastAsia="仿宋" w:cs="仿宋"/>
          <w:sz w:val="24"/>
          <w:szCs w:val="24"/>
          <w:lang w:eastAsia="zh-CN"/>
        </w:rPr>
        <w:t>（</w:t>
      </w:r>
      <w:r>
        <w:rPr>
          <w:rFonts w:hint="eastAsia" w:ascii="仿宋" w:hAnsi="仿宋" w:eastAsia="仿宋" w:cs="仿宋"/>
          <w:sz w:val="24"/>
          <w:szCs w:val="24"/>
        </w:rPr>
        <w:t>如有</w:t>
      </w:r>
      <w:r>
        <w:rPr>
          <w:rFonts w:hint="eastAsia" w:ascii="仿宋" w:hAnsi="仿宋" w:eastAsia="仿宋" w:cs="仿宋"/>
          <w:sz w:val="24"/>
          <w:szCs w:val="24"/>
          <w:lang w:eastAsia="zh-CN"/>
        </w:rPr>
        <w:t>）</w:t>
      </w:r>
      <w:r>
        <w:rPr>
          <w:rFonts w:hint="eastAsia" w:ascii="仿宋" w:hAnsi="仿宋" w:eastAsia="仿宋" w:cs="仿宋"/>
          <w:sz w:val="24"/>
          <w:szCs w:val="24"/>
        </w:rPr>
        <w:t>无任何异议。我们完全理解并同意放弃对上述全部文件有不明及误解的权力。</w:t>
      </w:r>
    </w:p>
    <w:p w14:paraId="5E4BCDF3">
      <w:pPr>
        <w:spacing w:line="440" w:lineRule="exact"/>
        <w:ind w:firstLine="480"/>
        <w:rPr>
          <w:rFonts w:ascii="仿宋" w:hAnsi="仿宋" w:eastAsia="仿宋" w:cs="仿宋"/>
          <w:sz w:val="24"/>
          <w:szCs w:val="24"/>
        </w:rPr>
      </w:pPr>
      <w:r>
        <w:rPr>
          <w:rFonts w:hint="eastAsia" w:ascii="仿宋" w:hAnsi="仿宋" w:eastAsia="仿宋" w:cs="仿宋"/>
          <w:sz w:val="24"/>
          <w:szCs w:val="24"/>
        </w:rPr>
        <w:t>4、我们同意按招标文件中的规定，本投标书的有效期限为自投标截止之日起</w:t>
      </w:r>
      <w:r>
        <w:rPr>
          <w:rFonts w:hint="eastAsia" w:ascii="仿宋" w:hAnsi="仿宋" w:eastAsia="仿宋" w:cs="仿宋"/>
          <w:sz w:val="24"/>
          <w:szCs w:val="24"/>
          <w:u w:val="single"/>
        </w:rPr>
        <w:t xml:space="preserve"> 60 </w:t>
      </w:r>
      <w:r>
        <w:rPr>
          <w:rFonts w:hint="eastAsia" w:ascii="仿宋" w:hAnsi="仿宋" w:eastAsia="仿宋" w:cs="仿宋"/>
          <w:sz w:val="24"/>
          <w:szCs w:val="24"/>
        </w:rPr>
        <w:t>天。</w:t>
      </w:r>
    </w:p>
    <w:p w14:paraId="2C56C526">
      <w:pPr>
        <w:spacing w:line="440" w:lineRule="exact"/>
        <w:ind w:firstLine="480"/>
        <w:rPr>
          <w:rFonts w:ascii="仿宋" w:hAnsi="仿宋" w:eastAsia="仿宋" w:cs="仿宋"/>
          <w:sz w:val="24"/>
          <w:szCs w:val="24"/>
        </w:rPr>
      </w:pPr>
      <w:r>
        <w:rPr>
          <w:rFonts w:hint="eastAsia" w:ascii="仿宋" w:hAnsi="仿宋" w:eastAsia="仿宋" w:cs="仿宋"/>
          <w:sz w:val="24"/>
          <w:szCs w:val="24"/>
        </w:rPr>
        <w:t>5、我们愿意提供招标采购单位在招标文件中要求的相关资料。</w:t>
      </w:r>
    </w:p>
    <w:p w14:paraId="710ECBEE">
      <w:pPr>
        <w:spacing w:line="440" w:lineRule="exact"/>
        <w:ind w:firstLine="480"/>
        <w:rPr>
          <w:rFonts w:ascii="仿宋" w:hAnsi="仿宋" w:eastAsia="仿宋" w:cs="仿宋"/>
          <w:sz w:val="24"/>
          <w:szCs w:val="24"/>
        </w:rPr>
      </w:pPr>
      <w:r>
        <w:rPr>
          <w:rFonts w:hint="eastAsia" w:ascii="仿宋" w:hAnsi="仿宋" w:eastAsia="仿宋" w:cs="仿宋"/>
          <w:sz w:val="24"/>
          <w:szCs w:val="24"/>
        </w:rPr>
        <w:t>6、我们愿意遵守招标公告及招标文件中所列的收费标准。</w:t>
      </w:r>
    </w:p>
    <w:p w14:paraId="2E3B5637">
      <w:pPr>
        <w:spacing w:line="440" w:lineRule="exact"/>
        <w:ind w:firstLine="480"/>
        <w:rPr>
          <w:rFonts w:ascii="仿宋" w:hAnsi="仿宋" w:eastAsia="仿宋" w:cs="仿宋"/>
          <w:sz w:val="24"/>
          <w:szCs w:val="24"/>
        </w:rPr>
      </w:pPr>
      <w:r>
        <w:rPr>
          <w:rFonts w:hint="eastAsia" w:ascii="仿宋" w:hAnsi="仿宋" w:eastAsia="仿宋" w:cs="仿宋"/>
          <w:sz w:val="24"/>
          <w:szCs w:val="24"/>
        </w:rPr>
        <w:t>7、我们承诺该项投标在开标后的全过程中保持有效，不作任何更改和变动。</w:t>
      </w:r>
    </w:p>
    <w:p w14:paraId="6893D92D">
      <w:pPr>
        <w:spacing w:line="440" w:lineRule="exact"/>
        <w:ind w:firstLine="480"/>
        <w:rPr>
          <w:rFonts w:ascii="仿宋" w:hAnsi="仿宋" w:eastAsia="仿宋" w:cs="仿宋"/>
          <w:sz w:val="24"/>
          <w:szCs w:val="24"/>
        </w:rPr>
      </w:pPr>
      <w:r>
        <w:rPr>
          <w:rFonts w:hint="eastAsia" w:ascii="仿宋" w:hAnsi="仿宋" w:eastAsia="仿宋" w:cs="仿宋"/>
          <w:sz w:val="24"/>
          <w:szCs w:val="24"/>
        </w:rPr>
        <w:t>8、我们同意中标方若无法按约定条款履行义务等行为，招标方有权取消其中标资格。</w:t>
      </w:r>
    </w:p>
    <w:p w14:paraId="4673226E">
      <w:pPr>
        <w:spacing w:line="440" w:lineRule="exact"/>
        <w:ind w:firstLine="480"/>
        <w:rPr>
          <w:rFonts w:ascii="仿宋" w:hAnsi="仿宋" w:eastAsia="仿宋" w:cs="仿宋"/>
          <w:sz w:val="24"/>
          <w:szCs w:val="24"/>
        </w:rPr>
      </w:pPr>
      <w:r>
        <w:rPr>
          <w:rFonts w:hint="eastAsia" w:ascii="仿宋" w:hAnsi="仿宋" w:eastAsia="仿宋" w:cs="仿宋"/>
          <w:sz w:val="24"/>
          <w:szCs w:val="24"/>
        </w:rPr>
        <w:t>9、与本投标有关的通讯地址：</w:t>
      </w:r>
    </w:p>
    <w:p w14:paraId="1B501C29">
      <w:pPr>
        <w:spacing w:line="440" w:lineRule="exact"/>
        <w:ind w:firstLine="480"/>
        <w:rPr>
          <w:rFonts w:ascii="仿宋" w:hAnsi="仿宋" w:eastAsia="仿宋" w:cs="仿宋"/>
          <w:sz w:val="24"/>
          <w:szCs w:val="24"/>
        </w:rPr>
      </w:pPr>
      <w:r>
        <w:rPr>
          <w:rFonts w:hint="eastAsia" w:ascii="仿宋" w:hAnsi="仿宋" w:eastAsia="仿宋" w:cs="仿宋"/>
          <w:sz w:val="24"/>
          <w:szCs w:val="24"/>
        </w:rPr>
        <w:t xml:space="preserve">单    位：                                   联 系 人：                   </w:t>
      </w:r>
    </w:p>
    <w:p w14:paraId="094E0233">
      <w:pPr>
        <w:spacing w:line="440" w:lineRule="exact"/>
        <w:ind w:firstLine="480"/>
        <w:rPr>
          <w:rFonts w:ascii="仿宋" w:hAnsi="仿宋" w:eastAsia="仿宋" w:cs="仿宋"/>
          <w:sz w:val="24"/>
          <w:szCs w:val="24"/>
        </w:rPr>
      </w:pPr>
      <w:r>
        <w:rPr>
          <w:rFonts w:hint="eastAsia" w:ascii="仿宋" w:hAnsi="仿宋" w:eastAsia="仿宋" w:cs="仿宋"/>
          <w:sz w:val="24"/>
          <w:szCs w:val="24"/>
        </w:rPr>
        <w:t xml:space="preserve">地    址：                                   邮政编码：                </w:t>
      </w:r>
    </w:p>
    <w:p w14:paraId="7D1842E2">
      <w:pPr>
        <w:spacing w:line="440" w:lineRule="exact"/>
        <w:ind w:firstLine="480"/>
        <w:rPr>
          <w:rFonts w:ascii="仿宋" w:hAnsi="仿宋" w:eastAsia="仿宋" w:cs="仿宋"/>
          <w:sz w:val="24"/>
          <w:szCs w:val="24"/>
        </w:rPr>
      </w:pPr>
      <w:r>
        <w:rPr>
          <w:rFonts w:hint="eastAsia" w:ascii="仿宋" w:hAnsi="仿宋" w:eastAsia="仿宋" w:cs="仿宋"/>
          <w:sz w:val="24"/>
          <w:szCs w:val="24"/>
        </w:rPr>
        <w:t xml:space="preserve">联系电话：                                   传    真：       </w:t>
      </w:r>
    </w:p>
    <w:p w14:paraId="2A9D5EB2">
      <w:pPr>
        <w:spacing w:line="440" w:lineRule="exact"/>
        <w:ind w:firstLine="480"/>
        <w:rPr>
          <w:rFonts w:ascii="仿宋" w:hAnsi="仿宋" w:eastAsia="仿宋" w:cs="仿宋"/>
          <w:sz w:val="24"/>
          <w:szCs w:val="24"/>
        </w:rPr>
      </w:pPr>
    </w:p>
    <w:p w14:paraId="15B8FA01">
      <w:pPr>
        <w:pStyle w:val="36"/>
        <w:tabs>
          <w:tab w:val="left" w:pos="360"/>
          <w:tab w:val="clear" w:pos="1785"/>
          <w:tab w:val="clear" w:pos="1887"/>
          <w:tab w:val="clear" w:pos="2112"/>
          <w:tab w:val="clear" w:pos="9000"/>
        </w:tabs>
        <w:spacing w:line="360" w:lineRule="auto"/>
        <w:ind w:left="481" w:firstLine="525"/>
        <w:rPr>
          <w:rFonts w:ascii="仿宋" w:hAnsi="仿宋" w:eastAsia="仿宋" w:cs="仿宋"/>
          <w:bCs/>
          <w:sz w:val="21"/>
          <w:szCs w:val="21"/>
        </w:rPr>
      </w:pPr>
    </w:p>
    <w:p w14:paraId="72BB42B0">
      <w:pPr>
        <w:spacing w:line="460" w:lineRule="exact"/>
        <w:ind w:firstLine="480"/>
        <w:rPr>
          <w:rFonts w:ascii="仿宋" w:hAnsi="仿宋" w:eastAsia="仿宋" w:cs="仿宋"/>
          <w:sz w:val="24"/>
        </w:rPr>
      </w:pPr>
      <w:r>
        <w:rPr>
          <w:rFonts w:hint="eastAsia" w:ascii="仿宋" w:hAnsi="仿宋" w:eastAsia="仿宋" w:cs="仿宋"/>
          <w:sz w:val="24"/>
        </w:rPr>
        <w:t>投标单位：（单位盖章）</w:t>
      </w:r>
    </w:p>
    <w:p w14:paraId="18C95F6A">
      <w:pPr>
        <w:spacing w:line="460" w:lineRule="exact"/>
        <w:ind w:firstLine="480"/>
        <w:rPr>
          <w:rFonts w:ascii="仿宋" w:hAnsi="仿宋" w:eastAsia="仿宋" w:cs="仿宋"/>
          <w:sz w:val="24"/>
        </w:rPr>
      </w:pPr>
      <w:r>
        <w:rPr>
          <w:rFonts w:hint="eastAsia" w:ascii="仿宋" w:hAnsi="仿宋" w:eastAsia="仿宋" w:cs="仿宋"/>
          <w:sz w:val="24"/>
        </w:rPr>
        <w:t>法定代表人或授权代理人：（签字或盖章）</w:t>
      </w:r>
    </w:p>
    <w:p w14:paraId="5F909C7C">
      <w:pPr>
        <w:spacing w:line="460" w:lineRule="exact"/>
        <w:ind w:firstLine="480"/>
        <w:rPr>
          <w:rFonts w:ascii="仿宋" w:hAnsi="仿宋" w:eastAsia="仿宋" w:cs="仿宋"/>
          <w:sz w:val="24"/>
          <w:szCs w:val="24"/>
        </w:rPr>
      </w:pPr>
      <w:r>
        <w:rPr>
          <w:rFonts w:hint="eastAsia" w:ascii="仿宋" w:hAnsi="仿宋" w:eastAsia="仿宋" w:cs="仿宋"/>
          <w:sz w:val="24"/>
        </w:rPr>
        <w:t>投标日期：年月</w:t>
      </w:r>
      <w:r>
        <w:rPr>
          <w:rFonts w:hint="eastAsia" w:ascii="仿宋" w:hAnsi="仿宋" w:eastAsia="仿宋" w:cs="仿宋"/>
          <w:sz w:val="24"/>
          <w:szCs w:val="24"/>
        </w:rPr>
        <w:t>日</w:t>
      </w:r>
    </w:p>
    <w:p w14:paraId="7C5BFD9A">
      <w:pPr>
        <w:spacing w:line="360" w:lineRule="auto"/>
        <w:rPr>
          <w:rFonts w:ascii="仿宋" w:hAnsi="仿宋" w:eastAsia="仿宋" w:cs="仿宋"/>
          <w:b/>
          <w:bCs/>
          <w:szCs w:val="21"/>
        </w:rPr>
      </w:pPr>
      <w:r>
        <w:rPr>
          <w:rFonts w:hint="eastAsia" w:ascii="仿宋" w:hAnsi="仿宋" w:eastAsia="仿宋" w:cs="仿宋"/>
          <w:szCs w:val="21"/>
        </w:rPr>
        <w:br w:type="page" w:clear="all"/>
      </w:r>
      <w:r>
        <w:rPr>
          <w:rFonts w:hint="eastAsia" w:ascii="仿宋" w:hAnsi="仿宋" w:eastAsia="仿宋" w:cs="仿宋"/>
          <w:bCs/>
          <w:szCs w:val="21"/>
          <w:lang w:val="zh-CN"/>
        </w:rPr>
        <w:t>格式2：</w:t>
      </w:r>
      <w:r>
        <w:rPr>
          <w:rFonts w:hint="eastAsia" w:ascii="仿宋" w:hAnsi="仿宋" w:eastAsia="仿宋" w:cs="仿宋"/>
          <w:b/>
        </w:rPr>
        <w:t>法人授权委托书</w:t>
      </w:r>
    </w:p>
    <w:p w14:paraId="51F93FFD">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法人授权委托书</w:t>
      </w:r>
    </w:p>
    <w:p w14:paraId="01DAB952">
      <w:pPr>
        <w:spacing w:line="360" w:lineRule="auto"/>
        <w:ind w:firstLine="425"/>
        <w:rPr>
          <w:rFonts w:ascii="仿宋" w:hAnsi="仿宋" w:eastAsia="仿宋" w:cs="仿宋"/>
          <w:szCs w:val="21"/>
          <w:lang w:val="zh-CN"/>
        </w:rPr>
      </w:pPr>
    </w:p>
    <w:p w14:paraId="78C2AF9C">
      <w:pPr>
        <w:spacing w:line="360" w:lineRule="auto"/>
        <w:ind w:firstLine="420"/>
        <w:rPr>
          <w:rFonts w:ascii="仿宋" w:hAnsi="仿宋" w:eastAsia="仿宋" w:cs="仿宋"/>
          <w:sz w:val="24"/>
          <w:szCs w:val="24"/>
        </w:rPr>
      </w:pPr>
      <w:r>
        <w:rPr>
          <w:rFonts w:hint="eastAsia" w:ascii="仿宋" w:hAnsi="仿宋" w:eastAsia="仿宋" w:cs="仿宋"/>
          <w:sz w:val="24"/>
          <w:szCs w:val="24"/>
          <w:lang w:val="zh-CN"/>
        </w:rPr>
        <w:t>本授权委托书声明：我</w:t>
      </w:r>
      <w:r>
        <w:rPr>
          <w:rFonts w:hint="eastAsia" w:ascii="仿宋" w:hAnsi="仿宋" w:eastAsia="仿宋" w:cs="仿宋"/>
          <w:sz w:val="24"/>
          <w:szCs w:val="24"/>
          <w:u w:val="single"/>
          <w:lang w:val="zh-CN"/>
        </w:rPr>
        <w:t xml:space="preserve"> （姓名） </w:t>
      </w:r>
      <w:r>
        <w:rPr>
          <w:rFonts w:hint="eastAsia" w:ascii="仿宋" w:hAnsi="仿宋" w:eastAsia="仿宋" w:cs="仿宋"/>
          <w:sz w:val="24"/>
          <w:szCs w:val="24"/>
          <w:lang w:val="zh-CN"/>
        </w:rPr>
        <w:t>系</w:t>
      </w:r>
      <w:r>
        <w:rPr>
          <w:rFonts w:hint="eastAsia" w:ascii="仿宋" w:hAnsi="仿宋" w:eastAsia="仿宋" w:cs="仿宋"/>
          <w:sz w:val="24"/>
          <w:szCs w:val="24"/>
          <w:u w:val="single"/>
          <w:lang w:val="zh-CN"/>
        </w:rPr>
        <w:t xml:space="preserve">     （投标人名称）</w:t>
      </w:r>
      <w:r>
        <w:rPr>
          <w:rFonts w:hint="eastAsia" w:ascii="仿宋" w:hAnsi="仿宋" w:eastAsia="仿宋" w:cs="仿宋"/>
          <w:sz w:val="24"/>
          <w:szCs w:val="24"/>
          <w:lang w:val="zh-CN"/>
        </w:rPr>
        <w:t>的法定代表人，现授权委托</w:t>
      </w:r>
      <w:r>
        <w:rPr>
          <w:rFonts w:hint="eastAsia" w:ascii="仿宋" w:hAnsi="仿宋" w:eastAsia="仿宋" w:cs="仿宋"/>
          <w:sz w:val="24"/>
          <w:szCs w:val="24"/>
          <w:u w:val="single"/>
          <w:lang w:val="zh-CN"/>
        </w:rPr>
        <w:t xml:space="preserve">（姓名） </w:t>
      </w:r>
      <w:r>
        <w:rPr>
          <w:rFonts w:hint="eastAsia" w:ascii="仿宋" w:hAnsi="仿宋" w:eastAsia="仿宋" w:cs="仿宋"/>
          <w:sz w:val="24"/>
          <w:szCs w:val="24"/>
          <w:lang w:val="zh-CN"/>
        </w:rPr>
        <w:t>为我公司代理人，以本公司的名义参加苏州乐鑫诚项目管理有限公司组织实施的编号为</w:t>
      </w:r>
      <w:r>
        <w:rPr>
          <w:rFonts w:hint="eastAsia" w:ascii="仿宋" w:hAnsi="仿宋" w:eastAsia="仿宋" w:cs="仿宋"/>
          <w:sz w:val="24"/>
          <w:szCs w:val="24"/>
          <w:u w:val="single"/>
          <w:lang w:val="zh-CN"/>
        </w:rPr>
        <w:t>JSZC-320585-YXCZ-G2026-0008</w:t>
      </w:r>
      <w:r>
        <w:rPr>
          <w:rFonts w:hint="eastAsia" w:ascii="仿宋" w:hAnsi="仿宋" w:eastAsia="仿宋" w:cs="仿宋"/>
          <w:sz w:val="24"/>
          <w:szCs w:val="24"/>
          <w:lang w:val="zh-CN"/>
        </w:rPr>
        <w:t>的招投标活动。代理人在开标、评标、合同谈判过程中所签署的一切文件和处理与这有关的一切事务，我均予以承认。</w:t>
      </w:r>
    </w:p>
    <w:p w14:paraId="5C06FEED">
      <w:pPr>
        <w:spacing w:line="360" w:lineRule="auto"/>
        <w:ind w:firstLine="420"/>
        <w:rPr>
          <w:rFonts w:ascii="仿宋" w:hAnsi="仿宋" w:eastAsia="仿宋" w:cs="仿宋"/>
          <w:sz w:val="24"/>
          <w:szCs w:val="24"/>
        </w:rPr>
      </w:pPr>
      <w:r>
        <w:rPr>
          <w:rFonts w:hint="eastAsia" w:ascii="仿宋" w:hAnsi="仿宋" w:eastAsia="仿宋" w:cs="仿宋"/>
          <w:sz w:val="24"/>
          <w:szCs w:val="24"/>
          <w:lang w:val="zh-CN"/>
        </w:rPr>
        <w:t>代理人在授权委托书有效期内签署的所有文件不因授权委托的撤销而失效，除非有撤销授权委托的书面通知，本授权委托书自投标开始至合同履行完毕止。</w:t>
      </w:r>
    </w:p>
    <w:p w14:paraId="1FB185C7">
      <w:pPr>
        <w:spacing w:line="360" w:lineRule="auto"/>
        <w:ind w:firstLine="480"/>
        <w:rPr>
          <w:rFonts w:ascii="仿宋" w:hAnsi="仿宋" w:eastAsia="仿宋" w:cs="仿宋"/>
          <w:sz w:val="24"/>
          <w:szCs w:val="24"/>
        </w:rPr>
      </w:pPr>
      <w:r>
        <w:rPr>
          <w:rFonts w:hint="eastAsia" w:ascii="仿宋" w:hAnsi="仿宋" w:eastAsia="仿宋" w:cs="仿宋"/>
          <w:sz w:val="24"/>
          <w:szCs w:val="24"/>
          <w:lang w:val="zh-CN"/>
        </w:rPr>
        <w:t>代理人无转委托权。特此委托。</w:t>
      </w:r>
    </w:p>
    <w:p w14:paraId="66041361">
      <w:pPr>
        <w:spacing w:line="360" w:lineRule="auto"/>
        <w:rPr>
          <w:rFonts w:ascii="仿宋" w:hAnsi="仿宋" w:eastAsia="仿宋" w:cs="仿宋"/>
          <w:sz w:val="24"/>
          <w:szCs w:val="24"/>
        </w:rPr>
      </w:pPr>
    </w:p>
    <w:p w14:paraId="49804F99">
      <w:pPr>
        <w:spacing w:line="360" w:lineRule="auto"/>
        <w:rPr>
          <w:rFonts w:ascii="仿宋" w:hAnsi="仿宋" w:eastAsia="仿宋" w:cs="仿宋"/>
          <w:sz w:val="24"/>
          <w:szCs w:val="24"/>
        </w:rPr>
      </w:pPr>
      <w:r>
        <w:rPr>
          <w:rFonts w:hint="eastAsia" w:ascii="仿宋" w:hAnsi="仿宋" w:eastAsia="仿宋" w:cs="仿宋"/>
          <w:sz w:val="24"/>
        </w:rPr>
        <w:t>投标单位</w:t>
      </w:r>
      <w:r>
        <w:rPr>
          <w:rFonts w:hint="eastAsia" w:ascii="仿宋" w:hAnsi="仿宋" w:eastAsia="仿宋" w:cs="仿宋"/>
          <w:sz w:val="24"/>
          <w:szCs w:val="24"/>
        </w:rPr>
        <w:t>：（公章）</w:t>
      </w:r>
    </w:p>
    <w:p w14:paraId="03108C9E">
      <w:pPr>
        <w:spacing w:line="360" w:lineRule="auto"/>
        <w:rPr>
          <w:rFonts w:ascii="仿宋" w:hAnsi="仿宋" w:eastAsia="仿宋" w:cs="仿宋"/>
          <w:sz w:val="24"/>
          <w:szCs w:val="24"/>
        </w:rPr>
      </w:pPr>
      <w:r>
        <w:rPr>
          <w:rFonts w:hint="eastAsia" w:ascii="仿宋" w:hAnsi="仿宋" w:eastAsia="仿宋" w:cs="仿宋"/>
          <w:sz w:val="24"/>
          <w:szCs w:val="24"/>
        </w:rPr>
        <w:t>法定代表人：（签字或签章）</w:t>
      </w:r>
    </w:p>
    <w:p w14:paraId="2534E07E">
      <w:pPr>
        <w:spacing w:line="360" w:lineRule="auto"/>
        <w:rPr>
          <w:rFonts w:ascii="仿宋" w:hAnsi="仿宋" w:eastAsia="仿宋" w:cs="仿宋"/>
          <w:sz w:val="24"/>
          <w:szCs w:val="24"/>
        </w:rPr>
      </w:pPr>
      <w:r>
        <w:rPr>
          <w:rFonts w:hint="eastAsia" w:ascii="仿宋" w:hAnsi="仿宋" w:eastAsia="仿宋" w:cs="仿宋"/>
          <w:sz w:val="24"/>
          <w:szCs w:val="24"/>
          <w:lang w:val="zh-CN"/>
        </w:rPr>
        <w:t>代理人</w:t>
      </w:r>
      <w:r>
        <w:rPr>
          <w:rFonts w:hint="eastAsia" w:ascii="仿宋" w:hAnsi="仿宋" w:eastAsia="仿宋" w:cs="仿宋"/>
          <w:sz w:val="24"/>
          <w:szCs w:val="24"/>
        </w:rPr>
        <w:t>：（签字或签章）</w:t>
      </w:r>
    </w:p>
    <w:p w14:paraId="0DD7FD59">
      <w:pPr>
        <w:spacing w:line="360" w:lineRule="auto"/>
        <w:ind w:firstLine="425"/>
        <w:rPr>
          <w:rFonts w:ascii="仿宋" w:hAnsi="仿宋" w:eastAsia="仿宋" w:cs="仿宋"/>
          <w:sz w:val="24"/>
          <w:szCs w:val="24"/>
        </w:rPr>
      </w:pPr>
    </w:p>
    <w:p w14:paraId="7AE12CA2">
      <w:pPr>
        <w:spacing w:line="360" w:lineRule="auto"/>
        <w:ind w:firstLine="425"/>
        <w:jc w:val="right"/>
        <w:rPr>
          <w:rFonts w:ascii="仿宋" w:hAnsi="仿宋" w:eastAsia="仿宋" w:cs="仿宋"/>
          <w:sz w:val="24"/>
          <w:szCs w:val="24"/>
          <w:lang w:val="zh-CN"/>
        </w:rPr>
      </w:pPr>
    </w:p>
    <w:p w14:paraId="6583CB26">
      <w:pPr>
        <w:spacing w:line="360" w:lineRule="auto"/>
        <w:ind w:firstLine="425"/>
        <w:jc w:val="right"/>
        <w:rPr>
          <w:rFonts w:ascii="仿宋" w:hAnsi="仿宋" w:eastAsia="仿宋" w:cs="仿宋"/>
          <w:sz w:val="24"/>
          <w:szCs w:val="24"/>
          <w:lang w:val="zh-CN"/>
        </w:rPr>
      </w:pPr>
    </w:p>
    <w:p w14:paraId="214721CB">
      <w:pPr>
        <w:spacing w:line="360" w:lineRule="auto"/>
        <w:ind w:firstLine="425"/>
        <w:jc w:val="center"/>
        <w:rPr>
          <w:rFonts w:ascii="仿宋" w:hAnsi="仿宋" w:eastAsia="仿宋" w:cs="仿宋"/>
          <w:sz w:val="24"/>
          <w:szCs w:val="24"/>
          <w:lang w:val="zh-CN"/>
        </w:rPr>
      </w:pPr>
      <w:r>
        <w:rPr>
          <w:rFonts w:hint="eastAsia" w:ascii="仿宋" w:hAnsi="仿宋" w:eastAsia="仿宋" w:cs="仿宋"/>
          <w:sz w:val="24"/>
          <w:szCs w:val="24"/>
          <w:lang w:val="zh-CN"/>
        </w:rPr>
        <w:t xml:space="preserve">                                       日期：        年     月     日</w:t>
      </w:r>
    </w:p>
    <w:p w14:paraId="0288E69F">
      <w:pPr>
        <w:spacing w:line="360" w:lineRule="auto"/>
        <w:rPr>
          <w:rFonts w:ascii="仿宋" w:hAnsi="仿宋" w:eastAsia="仿宋" w:cs="仿宋"/>
          <w:szCs w:val="21"/>
          <w:lang w:val="zh-CN"/>
        </w:rPr>
      </w:pPr>
    </w:p>
    <w:p w14:paraId="4A0C5CB9">
      <w:pPr>
        <w:pStyle w:val="4"/>
        <w:keepNext w:val="0"/>
        <w:spacing w:line="420" w:lineRule="exact"/>
        <w:rPr>
          <w:rFonts w:ascii="仿宋" w:hAnsi="仿宋" w:eastAsia="仿宋" w:cs="仿宋"/>
          <w:bCs/>
          <w:sz w:val="21"/>
          <w:szCs w:val="21"/>
          <w:lang w:val="zh-CN"/>
        </w:rPr>
      </w:pPr>
    </w:p>
    <w:p w14:paraId="61B9FDD6">
      <w:pPr>
        <w:pStyle w:val="4"/>
        <w:keepNext w:val="0"/>
        <w:spacing w:line="420" w:lineRule="exact"/>
        <w:rPr>
          <w:rFonts w:ascii="仿宋" w:hAnsi="仿宋" w:eastAsia="仿宋" w:cs="仿宋"/>
          <w:bCs/>
          <w:sz w:val="21"/>
          <w:szCs w:val="21"/>
          <w:lang w:val="zh-CN"/>
        </w:rPr>
      </w:pPr>
    </w:p>
    <w:p w14:paraId="4043BBAC">
      <w:pPr>
        <w:spacing w:line="400" w:lineRule="exact"/>
        <w:rPr>
          <w:rFonts w:ascii="仿宋" w:hAnsi="仿宋" w:eastAsia="仿宋" w:cs="仿宋"/>
          <w:b/>
          <w:bCs/>
          <w:szCs w:val="21"/>
          <w:lang w:val="zh-CN"/>
        </w:rPr>
      </w:pPr>
    </w:p>
    <w:p w14:paraId="2E386C89">
      <w:pPr>
        <w:spacing w:line="400" w:lineRule="exact"/>
        <w:rPr>
          <w:rFonts w:ascii="仿宋" w:hAnsi="仿宋" w:eastAsia="仿宋" w:cs="仿宋"/>
          <w:b/>
          <w:bCs/>
          <w:szCs w:val="21"/>
          <w:lang w:val="zh-CN"/>
        </w:rPr>
      </w:pPr>
    </w:p>
    <w:p w14:paraId="78A59CEE">
      <w:pPr>
        <w:spacing w:line="400" w:lineRule="exact"/>
        <w:rPr>
          <w:rFonts w:ascii="仿宋" w:hAnsi="仿宋" w:eastAsia="仿宋" w:cs="仿宋"/>
          <w:b/>
          <w:bCs/>
          <w:szCs w:val="21"/>
          <w:lang w:val="zh-CN"/>
        </w:rPr>
      </w:pPr>
    </w:p>
    <w:p w14:paraId="105A81E2">
      <w:pPr>
        <w:rPr>
          <w:rFonts w:ascii="仿宋" w:hAnsi="仿宋" w:eastAsia="仿宋" w:cs="仿宋"/>
          <w:bCs/>
          <w:szCs w:val="21"/>
          <w:lang w:val="zh-CN"/>
        </w:rPr>
      </w:pPr>
      <w:r>
        <w:rPr>
          <w:rFonts w:hint="eastAsia" w:ascii="仿宋" w:hAnsi="仿宋" w:eastAsia="仿宋" w:cs="仿宋"/>
          <w:bCs/>
          <w:szCs w:val="21"/>
          <w:lang w:val="zh-CN"/>
        </w:rPr>
        <w:br w:type="page" w:clear="all"/>
      </w:r>
    </w:p>
    <w:p w14:paraId="1BFE5894">
      <w:pPr>
        <w:spacing w:line="400" w:lineRule="exact"/>
        <w:rPr>
          <w:rFonts w:ascii="仿宋" w:hAnsi="仿宋" w:eastAsia="仿宋" w:cs="仿宋"/>
          <w:szCs w:val="21"/>
        </w:rPr>
      </w:pPr>
      <w:r>
        <w:rPr>
          <w:rFonts w:hint="eastAsia" w:ascii="仿宋" w:hAnsi="仿宋" w:eastAsia="仿宋" w:cs="仿宋"/>
          <w:bCs/>
          <w:szCs w:val="21"/>
          <w:lang w:val="zh-CN"/>
        </w:rPr>
        <w:t>格式3：</w:t>
      </w:r>
      <w:r>
        <w:rPr>
          <w:rFonts w:hint="eastAsia" w:ascii="仿宋" w:hAnsi="仿宋" w:eastAsia="仿宋" w:cs="仿宋"/>
          <w:b/>
          <w:bCs/>
          <w:szCs w:val="21"/>
          <w:lang w:val="zh-CN"/>
        </w:rPr>
        <w:t>开标一览表</w:t>
      </w:r>
    </w:p>
    <w:p w14:paraId="365C1366">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开标一览表</w:t>
      </w:r>
    </w:p>
    <w:p w14:paraId="491A7959">
      <w:pPr>
        <w:spacing w:line="360" w:lineRule="auto"/>
        <w:rPr>
          <w:rFonts w:ascii="仿宋" w:hAnsi="仿宋" w:eastAsia="仿宋" w:cs="仿宋"/>
        </w:rPr>
      </w:pPr>
      <w:r>
        <w:rPr>
          <w:rFonts w:hint="eastAsia" w:ascii="仿宋" w:hAnsi="仿宋" w:eastAsia="仿宋" w:cs="仿宋"/>
          <w:sz w:val="24"/>
          <w:szCs w:val="24"/>
        </w:rPr>
        <w:t>项目编号：</w:t>
      </w:r>
    </w:p>
    <w:tbl>
      <w:tblPr>
        <w:tblStyle w:val="65"/>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3"/>
        <w:gridCol w:w="6463"/>
      </w:tblGrid>
      <w:tr w14:paraId="04D1E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2613" w:type="dxa"/>
            <w:noWrap w:val="0"/>
            <w:vAlign w:val="center"/>
          </w:tcPr>
          <w:p w14:paraId="679049F3">
            <w:pPr>
              <w:spacing w:line="320" w:lineRule="exact"/>
              <w:jc w:val="center"/>
              <w:rPr>
                <w:rFonts w:ascii="仿宋" w:hAnsi="仿宋" w:eastAsia="仿宋" w:cs="仿宋"/>
                <w:sz w:val="24"/>
                <w:szCs w:val="24"/>
              </w:rPr>
            </w:pPr>
            <w:r>
              <w:rPr>
                <w:rFonts w:hint="eastAsia" w:ascii="仿宋" w:hAnsi="仿宋" w:eastAsia="仿宋" w:cs="仿宋"/>
                <w:sz w:val="24"/>
                <w:szCs w:val="24"/>
              </w:rPr>
              <w:t>项目名称</w:t>
            </w:r>
          </w:p>
        </w:tc>
        <w:tc>
          <w:tcPr>
            <w:tcW w:w="6463" w:type="dxa"/>
            <w:noWrap w:val="0"/>
            <w:vAlign w:val="center"/>
          </w:tcPr>
          <w:p w14:paraId="5E602C48">
            <w:pPr>
              <w:spacing w:line="320" w:lineRule="exact"/>
              <w:rPr>
                <w:rFonts w:ascii="仿宋" w:hAnsi="仿宋" w:eastAsia="仿宋" w:cs="仿宋"/>
                <w:sz w:val="24"/>
                <w:szCs w:val="24"/>
              </w:rPr>
            </w:pPr>
          </w:p>
        </w:tc>
      </w:tr>
      <w:tr w14:paraId="4A832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3" w:hRule="atLeast"/>
          <w:jc w:val="center"/>
        </w:trPr>
        <w:tc>
          <w:tcPr>
            <w:tcW w:w="2613" w:type="dxa"/>
            <w:noWrap w:val="0"/>
            <w:vAlign w:val="center"/>
          </w:tcPr>
          <w:p w14:paraId="3B27EE39">
            <w:pPr>
              <w:spacing w:line="320" w:lineRule="exact"/>
              <w:jc w:val="center"/>
              <w:rPr>
                <w:rFonts w:ascii="仿宋" w:hAnsi="仿宋" w:eastAsia="仿宋" w:cs="仿宋"/>
                <w:sz w:val="24"/>
                <w:szCs w:val="24"/>
              </w:rPr>
            </w:pPr>
            <w:r>
              <w:rPr>
                <w:rFonts w:hint="eastAsia" w:ascii="仿宋" w:hAnsi="仿宋" w:eastAsia="仿宋" w:cs="仿宋"/>
                <w:sz w:val="24"/>
                <w:szCs w:val="24"/>
              </w:rPr>
              <w:t>投标报价（元）</w:t>
            </w:r>
          </w:p>
        </w:tc>
        <w:tc>
          <w:tcPr>
            <w:tcW w:w="6463" w:type="dxa"/>
            <w:noWrap w:val="0"/>
            <w:vAlign w:val="center"/>
          </w:tcPr>
          <w:p w14:paraId="100DE444">
            <w:pPr>
              <w:spacing w:line="320" w:lineRule="exact"/>
              <w:rPr>
                <w:rFonts w:ascii="仿宋" w:hAnsi="仿宋" w:eastAsia="仿宋" w:cs="仿宋"/>
                <w:sz w:val="24"/>
                <w:szCs w:val="24"/>
              </w:rPr>
            </w:pPr>
            <w:r>
              <w:rPr>
                <w:rFonts w:hint="eastAsia" w:ascii="仿宋" w:hAnsi="仿宋" w:eastAsia="仿宋" w:cs="仿宋"/>
                <w:sz w:val="24"/>
                <w:szCs w:val="24"/>
              </w:rPr>
              <w:t>小写：</w:t>
            </w:r>
          </w:p>
          <w:p w14:paraId="68B214B5">
            <w:pPr>
              <w:spacing w:line="320" w:lineRule="exact"/>
              <w:rPr>
                <w:rFonts w:ascii="仿宋" w:hAnsi="仿宋" w:eastAsia="仿宋" w:cs="仿宋"/>
                <w:sz w:val="24"/>
                <w:szCs w:val="24"/>
              </w:rPr>
            </w:pPr>
            <w:r>
              <w:rPr>
                <w:rFonts w:hint="eastAsia" w:ascii="仿宋" w:hAnsi="仿宋" w:eastAsia="仿宋" w:cs="仿宋"/>
                <w:sz w:val="24"/>
                <w:szCs w:val="24"/>
              </w:rPr>
              <w:t>大写：</w:t>
            </w:r>
          </w:p>
        </w:tc>
      </w:tr>
    </w:tbl>
    <w:p w14:paraId="709F309C">
      <w:pPr>
        <w:spacing w:line="360" w:lineRule="auto"/>
        <w:ind w:firstLine="210"/>
        <w:rPr>
          <w:rFonts w:ascii="仿宋" w:hAnsi="仿宋" w:eastAsia="仿宋" w:cs="仿宋"/>
          <w:lang w:val="zh-CN"/>
        </w:rPr>
      </w:pPr>
    </w:p>
    <w:p w14:paraId="359E9AF8">
      <w:pPr>
        <w:spacing w:line="360" w:lineRule="auto"/>
        <w:ind w:firstLine="210"/>
        <w:rPr>
          <w:rFonts w:ascii="仿宋" w:hAnsi="仿宋" w:eastAsia="仿宋" w:cs="仿宋"/>
          <w:sz w:val="24"/>
          <w:szCs w:val="24"/>
          <w:lang w:val="zh-CN"/>
        </w:rPr>
      </w:pPr>
    </w:p>
    <w:p w14:paraId="17299A0F">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161B66D3">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7BE94F45">
      <w:pPr>
        <w:spacing w:line="360" w:lineRule="auto"/>
        <w:ind w:firstLine="482"/>
        <w:rPr>
          <w:rFonts w:ascii="仿宋" w:hAnsi="仿宋" w:eastAsia="仿宋" w:cs="仿宋"/>
          <w:sz w:val="24"/>
        </w:rPr>
      </w:pPr>
      <w:r>
        <w:rPr>
          <w:rFonts w:hint="eastAsia" w:ascii="仿宋" w:hAnsi="仿宋" w:eastAsia="仿宋" w:cs="仿宋"/>
          <w:sz w:val="24"/>
        </w:rPr>
        <w:t>投标日期：年月日</w:t>
      </w:r>
    </w:p>
    <w:p w14:paraId="0C87F5CA">
      <w:pPr>
        <w:tabs>
          <w:tab w:val="left" w:pos="1320"/>
        </w:tabs>
        <w:spacing w:line="400" w:lineRule="exact"/>
        <w:ind w:left="741" w:hanging="741"/>
        <w:rPr>
          <w:rFonts w:ascii="仿宋" w:hAnsi="仿宋" w:eastAsia="仿宋" w:cs="仿宋"/>
          <w:b/>
        </w:rPr>
      </w:pPr>
      <w:r>
        <w:rPr>
          <w:rFonts w:hint="eastAsia" w:ascii="仿宋" w:hAnsi="仿宋" w:eastAsia="仿宋" w:cs="仿宋"/>
          <w:b/>
          <w:bCs/>
          <w:szCs w:val="21"/>
          <w:lang w:val="zh-CN"/>
        </w:rPr>
        <w:br w:type="page" w:clear="all"/>
      </w:r>
      <w:r>
        <w:rPr>
          <w:rFonts w:hint="eastAsia" w:ascii="仿宋" w:hAnsi="仿宋" w:eastAsia="仿宋" w:cs="仿宋"/>
          <w:szCs w:val="21"/>
        </w:rPr>
        <w:t>格式4</w:t>
      </w:r>
      <w:r>
        <w:rPr>
          <w:rFonts w:hint="eastAsia" w:ascii="仿宋" w:hAnsi="仿宋" w:eastAsia="仿宋" w:cs="仿宋"/>
          <w:b/>
          <w:szCs w:val="21"/>
        </w:rPr>
        <w:t>、</w:t>
      </w:r>
      <w:r>
        <w:rPr>
          <w:rFonts w:hint="eastAsia" w:ascii="仿宋" w:hAnsi="仿宋" w:eastAsia="仿宋" w:cs="仿宋"/>
          <w:b/>
          <w:bCs/>
          <w:szCs w:val="21"/>
          <w:lang w:val="zh-CN"/>
        </w:rPr>
        <w:t>投标报价</w:t>
      </w:r>
      <w:r>
        <w:rPr>
          <w:rFonts w:hint="eastAsia" w:ascii="仿宋" w:hAnsi="仿宋" w:eastAsia="仿宋" w:cs="仿宋"/>
          <w:b/>
          <w:bCs/>
          <w:szCs w:val="21"/>
        </w:rPr>
        <w:t>明细</w:t>
      </w:r>
      <w:r>
        <w:rPr>
          <w:rFonts w:hint="eastAsia" w:ascii="仿宋" w:hAnsi="仿宋" w:eastAsia="仿宋" w:cs="仿宋"/>
          <w:b/>
          <w:bCs/>
          <w:szCs w:val="21"/>
          <w:lang w:val="zh-CN"/>
        </w:rPr>
        <w:t>表</w:t>
      </w:r>
    </w:p>
    <w:p w14:paraId="3096AD58">
      <w:pPr>
        <w:jc w:val="center"/>
        <w:rPr>
          <w:rFonts w:ascii="仿宋" w:hAnsi="仿宋" w:eastAsia="仿宋" w:cs="仿宋"/>
          <w:szCs w:val="21"/>
        </w:rPr>
      </w:pPr>
    </w:p>
    <w:p w14:paraId="3D14670D">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lang w:val="zh-CN"/>
        </w:rPr>
        <w:t>投标报价</w:t>
      </w:r>
      <w:r>
        <w:rPr>
          <w:rFonts w:hint="eastAsia" w:ascii="仿宋" w:hAnsi="仿宋" w:eastAsia="仿宋" w:cs="仿宋"/>
          <w:b/>
          <w:sz w:val="30"/>
          <w:szCs w:val="30"/>
        </w:rPr>
        <w:t>明细</w:t>
      </w:r>
      <w:r>
        <w:rPr>
          <w:rFonts w:hint="eastAsia" w:ascii="仿宋" w:hAnsi="仿宋" w:eastAsia="仿宋" w:cs="仿宋"/>
          <w:b/>
          <w:sz w:val="30"/>
          <w:szCs w:val="30"/>
          <w:lang w:val="zh-CN"/>
        </w:rPr>
        <w:t>表</w:t>
      </w:r>
    </w:p>
    <w:p w14:paraId="42406EE2">
      <w:pPr>
        <w:spacing w:line="360" w:lineRule="exact"/>
        <w:ind w:firstLine="240"/>
        <w:rPr>
          <w:rFonts w:ascii="仿宋" w:hAnsi="仿宋" w:eastAsia="仿宋" w:cs="仿宋"/>
          <w:sz w:val="24"/>
          <w:szCs w:val="24"/>
        </w:rPr>
      </w:pPr>
      <w:r>
        <w:rPr>
          <w:rFonts w:hint="eastAsia" w:ascii="仿宋" w:hAnsi="仿宋" w:eastAsia="仿宋" w:cs="仿宋"/>
          <w:sz w:val="24"/>
          <w:szCs w:val="24"/>
        </w:rPr>
        <w:t xml:space="preserve">项目编号：                                               价格单位：元                                     </w:t>
      </w:r>
    </w:p>
    <w:tbl>
      <w:tblPr>
        <w:tblStyle w:val="65"/>
        <w:tblW w:w="4998" w:type="pct"/>
        <w:jc w:val="center"/>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0" w:type="dxa"/>
          <w:left w:w="108" w:type="dxa"/>
          <w:bottom w:w="0" w:type="dxa"/>
          <w:right w:w="108" w:type="dxa"/>
        </w:tblCellMar>
      </w:tblPr>
      <w:tblGrid>
        <w:gridCol w:w="747"/>
        <w:gridCol w:w="2047"/>
        <w:gridCol w:w="1627"/>
        <w:gridCol w:w="1327"/>
        <w:gridCol w:w="753"/>
        <w:gridCol w:w="10"/>
        <w:gridCol w:w="763"/>
        <w:gridCol w:w="763"/>
        <w:gridCol w:w="753"/>
        <w:gridCol w:w="938"/>
      </w:tblGrid>
      <w:tr w14:paraId="669DBB2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4CAD4929">
            <w:pPr>
              <w:jc w:val="center"/>
              <w:rPr>
                <w:rFonts w:ascii="仿宋" w:hAnsi="仿宋" w:eastAsia="仿宋" w:cs="仿宋"/>
                <w:bCs/>
                <w:sz w:val="24"/>
                <w:szCs w:val="24"/>
              </w:rPr>
            </w:pPr>
            <w:r>
              <w:rPr>
                <w:rFonts w:hint="eastAsia" w:ascii="仿宋" w:hAnsi="仿宋" w:eastAsia="仿宋" w:cs="仿宋"/>
                <w:bCs/>
                <w:sz w:val="24"/>
                <w:szCs w:val="24"/>
              </w:rPr>
              <w:t>序号</w:t>
            </w:r>
          </w:p>
        </w:tc>
        <w:tc>
          <w:tcPr>
            <w:tcW w:w="1051" w:type="pct"/>
            <w:tcBorders>
              <w:top w:val="single" w:color="auto" w:sz="6" w:space="0"/>
              <w:left w:val="single" w:color="auto" w:sz="6" w:space="0"/>
              <w:bottom w:val="single" w:color="auto" w:sz="6" w:space="0"/>
              <w:right w:val="single" w:color="auto" w:sz="6" w:space="0"/>
            </w:tcBorders>
            <w:noWrap w:val="0"/>
            <w:vAlign w:val="center"/>
          </w:tcPr>
          <w:p w14:paraId="430DE9A2">
            <w:pPr>
              <w:jc w:val="center"/>
              <w:rPr>
                <w:rFonts w:ascii="仿宋" w:hAnsi="仿宋" w:eastAsia="仿宋" w:cs="仿宋"/>
                <w:bCs/>
                <w:sz w:val="24"/>
                <w:szCs w:val="24"/>
              </w:rPr>
            </w:pPr>
            <w:r>
              <w:rPr>
                <w:rFonts w:hint="eastAsia" w:ascii="仿宋" w:hAnsi="仿宋" w:eastAsia="仿宋" w:cs="仿宋"/>
                <w:bCs/>
                <w:sz w:val="24"/>
                <w:szCs w:val="24"/>
              </w:rPr>
              <w:t>标的物名称</w:t>
            </w:r>
          </w:p>
        </w:tc>
        <w:tc>
          <w:tcPr>
            <w:tcW w:w="836" w:type="pct"/>
            <w:tcBorders>
              <w:top w:val="single" w:color="auto" w:sz="6" w:space="0"/>
              <w:left w:val="single" w:color="auto" w:sz="6" w:space="0"/>
              <w:bottom w:val="single" w:color="auto" w:sz="6" w:space="0"/>
              <w:right w:val="single" w:color="auto" w:sz="6" w:space="0"/>
            </w:tcBorders>
            <w:noWrap w:val="0"/>
            <w:vAlign w:val="center"/>
          </w:tcPr>
          <w:p w14:paraId="6F866F77">
            <w:pPr>
              <w:jc w:val="center"/>
              <w:rPr>
                <w:rFonts w:ascii="仿宋" w:hAnsi="仿宋" w:eastAsia="仿宋" w:cs="仿宋"/>
                <w:bCs/>
                <w:sz w:val="24"/>
                <w:szCs w:val="24"/>
              </w:rPr>
            </w:pPr>
            <w:r>
              <w:rPr>
                <w:rFonts w:hint="eastAsia" w:ascii="仿宋" w:hAnsi="仿宋" w:eastAsia="仿宋" w:cs="仿宋"/>
                <w:bCs/>
                <w:sz w:val="24"/>
                <w:szCs w:val="24"/>
              </w:rPr>
              <w:t>品牌、规格</w:t>
            </w:r>
          </w:p>
        </w:tc>
        <w:tc>
          <w:tcPr>
            <w:tcW w:w="682" w:type="pct"/>
            <w:tcBorders>
              <w:top w:val="single" w:color="auto" w:sz="6" w:space="0"/>
              <w:left w:val="single" w:color="auto" w:sz="6" w:space="0"/>
              <w:bottom w:val="single" w:color="auto" w:sz="6" w:space="0"/>
              <w:right w:val="single" w:color="auto" w:sz="6" w:space="0"/>
            </w:tcBorders>
            <w:noWrap w:val="0"/>
            <w:vAlign w:val="center"/>
          </w:tcPr>
          <w:p w14:paraId="33136126">
            <w:pPr>
              <w:jc w:val="center"/>
              <w:rPr>
                <w:rFonts w:ascii="仿宋" w:hAnsi="仿宋" w:eastAsia="仿宋" w:cs="仿宋"/>
                <w:bCs/>
                <w:sz w:val="24"/>
                <w:szCs w:val="24"/>
              </w:rPr>
            </w:pPr>
            <w:r>
              <w:rPr>
                <w:rFonts w:hint="eastAsia" w:ascii="仿宋" w:hAnsi="仿宋" w:eastAsia="仿宋" w:cs="仿宋"/>
                <w:bCs/>
                <w:sz w:val="24"/>
                <w:szCs w:val="24"/>
              </w:rPr>
              <w:t>生产厂家</w:t>
            </w:r>
          </w:p>
        </w:tc>
        <w:tc>
          <w:tcPr>
            <w:tcW w:w="392" w:type="pct"/>
            <w:gridSpan w:val="2"/>
            <w:tcBorders>
              <w:top w:val="single" w:color="auto" w:sz="6" w:space="0"/>
              <w:left w:val="single" w:color="auto" w:sz="6" w:space="0"/>
              <w:bottom w:val="single" w:color="auto" w:sz="6" w:space="0"/>
              <w:right w:val="single" w:color="auto" w:sz="4" w:space="0"/>
            </w:tcBorders>
            <w:noWrap w:val="0"/>
            <w:vAlign w:val="center"/>
          </w:tcPr>
          <w:p w14:paraId="7DF59530">
            <w:pPr>
              <w:jc w:val="center"/>
              <w:rPr>
                <w:rFonts w:ascii="仿宋" w:hAnsi="仿宋" w:eastAsia="仿宋" w:cs="仿宋"/>
                <w:bCs/>
                <w:sz w:val="24"/>
                <w:szCs w:val="24"/>
              </w:rPr>
            </w:pPr>
            <w:r>
              <w:rPr>
                <w:rFonts w:hint="eastAsia" w:ascii="仿宋" w:hAnsi="仿宋" w:eastAsia="仿宋" w:cs="仿宋"/>
                <w:bCs/>
                <w:sz w:val="24"/>
                <w:szCs w:val="24"/>
              </w:rPr>
              <w:t>单位</w:t>
            </w:r>
          </w:p>
        </w:tc>
        <w:tc>
          <w:tcPr>
            <w:tcW w:w="392" w:type="pct"/>
            <w:tcBorders>
              <w:top w:val="single" w:color="auto" w:sz="6" w:space="0"/>
              <w:left w:val="single" w:color="auto" w:sz="4" w:space="0"/>
              <w:bottom w:val="single" w:color="auto" w:sz="6" w:space="0"/>
              <w:right w:val="single" w:color="auto" w:sz="6" w:space="0"/>
            </w:tcBorders>
            <w:noWrap w:val="0"/>
            <w:vAlign w:val="center"/>
          </w:tcPr>
          <w:p w14:paraId="36E16918">
            <w:pPr>
              <w:jc w:val="center"/>
              <w:rPr>
                <w:rFonts w:ascii="仿宋" w:hAnsi="仿宋" w:eastAsia="仿宋" w:cs="仿宋"/>
                <w:bCs/>
                <w:sz w:val="24"/>
                <w:szCs w:val="24"/>
              </w:rPr>
            </w:pPr>
            <w:r>
              <w:rPr>
                <w:rFonts w:hint="eastAsia" w:ascii="仿宋" w:hAnsi="仿宋" w:eastAsia="仿宋" w:cs="仿宋"/>
                <w:bCs/>
                <w:sz w:val="24"/>
                <w:szCs w:val="24"/>
              </w:rPr>
              <w:t>数量</w:t>
            </w:r>
          </w:p>
        </w:tc>
        <w:tc>
          <w:tcPr>
            <w:tcW w:w="392" w:type="pct"/>
            <w:tcBorders>
              <w:top w:val="single" w:color="auto" w:sz="6" w:space="0"/>
              <w:left w:val="single" w:color="auto" w:sz="6" w:space="0"/>
              <w:bottom w:val="single" w:color="auto" w:sz="6" w:space="0"/>
              <w:right w:val="single" w:color="auto" w:sz="6" w:space="0"/>
            </w:tcBorders>
            <w:noWrap w:val="0"/>
            <w:vAlign w:val="center"/>
          </w:tcPr>
          <w:p w14:paraId="65F6119B">
            <w:pPr>
              <w:jc w:val="center"/>
              <w:rPr>
                <w:rFonts w:ascii="仿宋" w:hAnsi="仿宋" w:eastAsia="仿宋" w:cs="仿宋"/>
                <w:bCs/>
                <w:sz w:val="24"/>
                <w:szCs w:val="24"/>
              </w:rPr>
            </w:pPr>
            <w:r>
              <w:rPr>
                <w:rFonts w:hint="eastAsia" w:ascii="仿宋" w:hAnsi="仿宋" w:eastAsia="仿宋" w:cs="仿宋"/>
                <w:bCs/>
                <w:sz w:val="24"/>
                <w:szCs w:val="24"/>
              </w:rPr>
              <w:t>单价</w:t>
            </w:r>
          </w:p>
        </w:tc>
        <w:tc>
          <w:tcPr>
            <w:tcW w:w="387" w:type="pct"/>
            <w:tcBorders>
              <w:top w:val="single" w:color="auto" w:sz="6" w:space="0"/>
              <w:left w:val="single" w:color="auto" w:sz="6" w:space="0"/>
              <w:bottom w:val="single" w:color="auto" w:sz="6" w:space="0"/>
              <w:right w:val="single" w:color="auto" w:sz="4" w:space="0"/>
            </w:tcBorders>
            <w:noWrap w:val="0"/>
            <w:vAlign w:val="center"/>
          </w:tcPr>
          <w:p w14:paraId="1B7CF346">
            <w:pPr>
              <w:jc w:val="center"/>
              <w:rPr>
                <w:rFonts w:ascii="仿宋" w:hAnsi="仿宋" w:eastAsia="仿宋" w:cs="仿宋"/>
                <w:bCs/>
                <w:sz w:val="24"/>
                <w:szCs w:val="24"/>
              </w:rPr>
            </w:pPr>
            <w:r>
              <w:rPr>
                <w:rFonts w:hint="eastAsia" w:ascii="仿宋" w:hAnsi="仿宋" w:eastAsia="仿宋" w:cs="仿宋"/>
                <w:bCs/>
                <w:sz w:val="24"/>
                <w:szCs w:val="24"/>
              </w:rPr>
              <w:t>总价</w:t>
            </w:r>
          </w:p>
        </w:tc>
        <w:tc>
          <w:tcPr>
            <w:tcW w:w="480" w:type="pct"/>
            <w:tcBorders>
              <w:top w:val="single" w:color="auto" w:sz="6" w:space="0"/>
              <w:left w:val="single" w:color="auto" w:sz="6" w:space="0"/>
              <w:bottom w:val="single" w:color="auto" w:sz="6" w:space="0"/>
              <w:right w:val="single" w:color="auto" w:sz="4" w:space="0"/>
            </w:tcBorders>
            <w:noWrap w:val="0"/>
            <w:vAlign w:val="center"/>
          </w:tcPr>
          <w:p w14:paraId="3B6706E4">
            <w:pPr>
              <w:jc w:val="center"/>
              <w:rPr>
                <w:rFonts w:ascii="仿宋" w:hAnsi="仿宋" w:eastAsia="仿宋" w:cs="仿宋"/>
                <w:bCs/>
                <w:sz w:val="24"/>
                <w:szCs w:val="24"/>
              </w:rPr>
            </w:pPr>
            <w:r>
              <w:rPr>
                <w:rFonts w:hint="eastAsia" w:ascii="仿宋" w:hAnsi="仿宋" w:eastAsia="仿宋" w:cs="仿宋"/>
                <w:bCs/>
                <w:sz w:val="24"/>
                <w:szCs w:val="24"/>
              </w:rPr>
              <w:t>备注</w:t>
            </w:r>
          </w:p>
        </w:tc>
      </w:tr>
      <w:tr w14:paraId="6469FAA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771EAF5B">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312F6E3B">
            <w:pPr>
              <w:ind w:right="-199"/>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1F480443">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3F5988A2">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31EA5BE2">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154BC618">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2E7AAC1A">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4A8C3001">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16A9B802">
            <w:pPr>
              <w:jc w:val="center"/>
              <w:rPr>
                <w:rFonts w:ascii="仿宋" w:hAnsi="仿宋" w:eastAsia="仿宋" w:cs="仿宋"/>
                <w:bCs/>
                <w:sz w:val="24"/>
                <w:szCs w:val="24"/>
              </w:rPr>
            </w:pPr>
          </w:p>
        </w:tc>
      </w:tr>
      <w:tr w14:paraId="1C2DB57A">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655CFB63">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5DE27A09">
            <w:pPr>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6681F41A">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6772137D">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16541027">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3E62E91D">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21ADCF0A">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7633138C">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0E737140">
            <w:pPr>
              <w:jc w:val="center"/>
              <w:rPr>
                <w:rFonts w:ascii="仿宋" w:hAnsi="仿宋" w:eastAsia="仿宋" w:cs="仿宋"/>
                <w:bCs/>
                <w:sz w:val="24"/>
                <w:szCs w:val="24"/>
              </w:rPr>
            </w:pPr>
          </w:p>
        </w:tc>
      </w:tr>
      <w:tr w14:paraId="6535780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7E430703">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321B9CAD">
            <w:pPr>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01B8AC57">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5623F2D6">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040A0C80">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69647857">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3D3B7A1A">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4043D701">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3A3D83A8">
            <w:pPr>
              <w:jc w:val="center"/>
              <w:rPr>
                <w:rFonts w:ascii="仿宋" w:hAnsi="仿宋" w:eastAsia="仿宋" w:cs="仿宋"/>
                <w:bCs/>
                <w:sz w:val="24"/>
                <w:szCs w:val="24"/>
              </w:rPr>
            </w:pPr>
          </w:p>
        </w:tc>
      </w:tr>
      <w:tr w14:paraId="272B8D1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1E61DEAE">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312B2820">
            <w:pPr>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677B3FF7">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65C97290">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2D0F7704">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214F5240">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7E90A0A3">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7F7A4C27">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2825A761">
            <w:pPr>
              <w:jc w:val="center"/>
              <w:rPr>
                <w:rFonts w:ascii="仿宋" w:hAnsi="仿宋" w:eastAsia="仿宋" w:cs="仿宋"/>
                <w:bCs/>
                <w:sz w:val="24"/>
                <w:szCs w:val="24"/>
              </w:rPr>
            </w:pPr>
          </w:p>
        </w:tc>
      </w:tr>
      <w:tr w14:paraId="35647485">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04534BC2">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1C63FCA5">
            <w:pPr>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3AECDD5A">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590B3B60">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58796004">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01B7CD62">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0F7AF954">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41D0C18A">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39B7C348">
            <w:pPr>
              <w:jc w:val="center"/>
              <w:rPr>
                <w:rFonts w:ascii="仿宋" w:hAnsi="仿宋" w:eastAsia="仿宋" w:cs="仿宋"/>
                <w:bCs/>
                <w:sz w:val="24"/>
                <w:szCs w:val="24"/>
              </w:rPr>
            </w:pPr>
          </w:p>
        </w:tc>
      </w:tr>
      <w:tr w14:paraId="617F016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59D4DF7C">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64E16EE9">
            <w:pPr>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162CF763">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20954C5C">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2C316B15">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41450E4B">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2F716915">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2E0E44AD">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5FD0E9E9">
            <w:pPr>
              <w:jc w:val="center"/>
              <w:rPr>
                <w:rFonts w:ascii="仿宋" w:hAnsi="仿宋" w:eastAsia="仿宋" w:cs="仿宋"/>
                <w:bCs/>
                <w:sz w:val="24"/>
                <w:szCs w:val="24"/>
              </w:rPr>
            </w:pPr>
          </w:p>
        </w:tc>
      </w:tr>
      <w:tr w14:paraId="34E5AAA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384" w:type="pct"/>
            <w:tcBorders>
              <w:top w:val="single" w:color="auto" w:sz="6" w:space="0"/>
              <w:left w:val="single" w:color="auto" w:sz="6" w:space="0"/>
              <w:bottom w:val="single" w:color="auto" w:sz="6" w:space="0"/>
              <w:right w:val="single" w:color="auto" w:sz="6" w:space="0"/>
            </w:tcBorders>
            <w:noWrap w:val="0"/>
            <w:vAlign w:val="center"/>
          </w:tcPr>
          <w:p w14:paraId="200E11EC">
            <w:pPr>
              <w:jc w:val="center"/>
              <w:rPr>
                <w:rFonts w:ascii="仿宋" w:hAnsi="仿宋" w:eastAsia="仿宋" w:cs="仿宋"/>
                <w:bCs/>
                <w:sz w:val="24"/>
                <w:szCs w:val="24"/>
              </w:rPr>
            </w:pPr>
          </w:p>
        </w:tc>
        <w:tc>
          <w:tcPr>
            <w:tcW w:w="1051" w:type="pct"/>
            <w:tcBorders>
              <w:top w:val="single" w:color="auto" w:sz="6" w:space="0"/>
              <w:left w:val="single" w:color="auto" w:sz="6" w:space="0"/>
              <w:bottom w:val="single" w:color="auto" w:sz="6" w:space="0"/>
              <w:right w:val="single" w:color="auto" w:sz="6" w:space="0"/>
            </w:tcBorders>
            <w:noWrap w:val="0"/>
            <w:vAlign w:val="center"/>
          </w:tcPr>
          <w:p w14:paraId="4C9F0C20">
            <w:pPr>
              <w:jc w:val="center"/>
              <w:rPr>
                <w:rFonts w:ascii="仿宋" w:hAnsi="仿宋" w:eastAsia="仿宋" w:cs="仿宋"/>
                <w:bCs/>
                <w:sz w:val="24"/>
                <w:szCs w:val="24"/>
              </w:rPr>
            </w:pPr>
          </w:p>
        </w:tc>
        <w:tc>
          <w:tcPr>
            <w:tcW w:w="836" w:type="pct"/>
            <w:tcBorders>
              <w:top w:val="single" w:color="auto" w:sz="6" w:space="0"/>
              <w:left w:val="single" w:color="auto" w:sz="6" w:space="0"/>
              <w:bottom w:val="single" w:color="auto" w:sz="6" w:space="0"/>
              <w:right w:val="single" w:color="auto" w:sz="6" w:space="0"/>
            </w:tcBorders>
            <w:noWrap w:val="0"/>
            <w:vAlign w:val="center"/>
          </w:tcPr>
          <w:p w14:paraId="46F74519">
            <w:pPr>
              <w:jc w:val="center"/>
              <w:rPr>
                <w:rFonts w:ascii="仿宋" w:hAnsi="仿宋" w:eastAsia="仿宋" w:cs="仿宋"/>
                <w:bCs/>
                <w:sz w:val="24"/>
                <w:szCs w:val="24"/>
              </w:rPr>
            </w:pPr>
          </w:p>
        </w:tc>
        <w:tc>
          <w:tcPr>
            <w:tcW w:w="682" w:type="pct"/>
            <w:tcBorders>
              <w:top w:val="single" w:color="auto" w:sz="6" w:space="0"/>
              <w:left w:val="single" w:color="auto" w:sz="6" w:space="0"/>
              <w:bottom w:val="single" w:color="auto" w:sz="6" w:space="0"/>
              <w:right w:val="single" w:color="auto" w:sz="6" w:space="0"/>
            </w:tcBorders>
            <w:noWrap w:val="0"/>
            <w:vAlign w:val="center"/>
          </w:tcPr>
          <w:p w14:paraId="75465A5F">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3CEC4735">
            <w:pPr>
              <w:jc w:val="center"/>
              <w:rPr>
                <w:rFonts w:ascii="仿宋" w:hAnsi="仿宋" w:eastAsia="仿宋" w:cs="仿宋"/>
                <w:bCs/>
                <w:sz w:val="24"/>
                <w:szCs w:val="24"/>
              </w:rPr>
            </w:pPr>
          </w:p>
        </w:tc>
        <w:tc>
          <w:tcPr>
            <w:tcW w:w="397" w:type="pct"/>
            <w:gridSpan w:val="2"/>
            <w:tcBorders>
              <w:top w:val="single" w:color="auto" w:sz="6" w:space="0"/>
              <w:left w:val="single" w:color="auto" w:sz="4" w:space="0"/>
              <w:bottom w:val="single" w:color="auto" w:sz="6" w:space="0"/>
              <w:right w:val="single" w:color="auto" w:sz="6" w:space="0"/>
            </w:tcBorders>
            <w:noWrap w:val="0"/>
            <w:vAlign w:val="center"/>
          </w:tcPr>
          <w:p w14:paraId="60F66473">
            <w:pPr>
              <w:jc w:val="center"/>
              <w:rPr>
                <w:rFonts w:ascii="仿宋" w:hAnsi="仿宋" w:eastAsia="仿宋" w:cs="仿宋"/>
                <w:bCs/>
                <w:sz w:val="24"/>
                <w:szCs w:val="24"/>
              </w:rPr>
            </w:pPr>
          </w:p>
        </w:tc>
        <w:tc>
          <w:tcPr>
            <w:tcW w:w="392" w:type="pct"/>
            <w:tcBorders>
              <w:top w:val="single" w:color="auto" w:sz="6" w:space="0"/>
              <w:left w:val="single" w:color="auto" w:sz="6" w:space="0"/>
              <w:bottom w:val="single" w:color="auto" w:sz="6" w:space="0"/>
              <w:right w:val="single" w:color="auto" w:sz="6" w:space="0"/>
            </w:tcBorders>
            <w:noWrap w:val="0"/>
            <w:vAlign w:val="center"/>
          </w:tcPr>
          <w:p w14:paraId="525A0D59">
            <w:pPr>
              <w:jc w:val="center"/>
              <w:rPr>
                <w:rFonts w:ascii="仿宋" w:hAnsi="仿宋" w:eastAsia="仿宋" w:cs="仿宋"/>
                <w:bCs/>
                <w:sz w:val="24"/>
                <w:szCs w:val="24"/>
              </w:rPr>
            </w:pPr>
          </w:p>
        </w:tc>
        <w:tc>
          <w:tcPr>
            <w:tcW w:w="387" w:type="pct"/>
            <w:tcBorders>
              <w:top w:val="single" w:color="auto" w:sz="6" w:space="0"/>
              <w:left w:val="single" w:color="auto" w:sz="6" w:space="0"/>
              <w:bottom w:val="single" w:color="auto" w:sz="6" w:space="0"/>
              <w:right w:val="single" w:color="auto" w:sz="4" w:space="0"/>
            </w:tcBorders>
            <w:noWrap w:val="0"/>
            <w:vAlign w:val="center"/>
          </w:tcPr>
          <w:p w14:paraId="76CB8895">
            <w:pPr>
              <w:jc w:val="center"/>
              <w:rPr>
                <w:rFonts w:ascii="仿宋" w:hAnsi="仿宋" w:eastAsia="仿宋" w:cs="仿宋"/>
                <w:bCs/>
                <w:sz w:val="24"/>
                <w:szCs w:val="24"/>
              </w:rPr>
            </w:pPr>
          </w:p>
        </w:tc>
        <w:tc>
          <w:tcPr>
            <w:tcW w:w="480" w:type="pct"/>
            <w:tcBorders>
              <w:top w:val="single" w:color="auto" w:sz="6" w:space="0"/>
              <w:left w:val="single" w:color="auto" w:sz="6" w:space="0"/>
              <w:bottom w:val="single" w:color="auto" w:sz="6" w:space="0"/>
              <w:right w:val="single" w:color="auto" w:sz="4" w:space="0"/>
            </w:tcBorders>
            <w:noWrap w:val="0"/>
            <w:vAlign w:val="center"/>
          </w:tcPr>
          <w:p w14:paraId="7B3C216B">
            <w:pPr>
              <w:jc w:val="center"/>
              <w:rPr>
                <w:rFonts w:ascii="仿宋" w:hAnsi="仿宋" w:eastAsia="仿宋" w:cs="仿宋"/>
                <w:bCs/>
                <w:sz w:val="24"/>
                <w:szCs w:val="24"/>
              </w:rPr>
            </w:pPr>
          </w:p>
        </w:tc>
      </w:tr>
      <w:tr w14:paraId="02A5EC17">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436" w:type="pct"/>
            <w:gridSpan w:val="2"/>
            <w:tcBorders>
              <w:top w:val="single" w:color="auto" w:sz="6" w:space="0"/>
              <w:left w:val="single" w:color="auto" w:sz="6" w:space="0"/>
              <w:bottom w:val="single" w:color="auto" w:sz="6" w:space="0"/>
              <w:right w:val="single" w:color="auto" w:sz="6" w:space="0"/>
            </w:tcBorders>
            <w:noWrap w:val="0"/>
            <w:vAlign w:val="center"/>
          </w:tcPr>
          <w:p w14:paraId="746B28AD">
            <w:pPr>
              <w:rPr>
                <w:rFonts w:ascii="仿宋" w:hAnsi="仿宋" w:eastAsia="仿宋" w:cs="仿宋"/>
                <w:bCs/>
                <w:sz w:val="24"/>
                <w:szCs w:val="24"/>
              </w:rPr>
            </w:pPr>
            <w:r>
              <w:rPr>
                <w:rFonts w:hint="eastAsia" w:ascii="仿宋" w:hAnsi="仿宋" w:eastAsia="仿宋" w:cs="仿宋"/>
                <w:bCs/>
                <w:sz w:val="24"/>
                <w:szCs w:val="24"/>
              </w:rPr>
              <w:t>投标总报价：</w:t>
            </w:r>
          </w:p>
        </w:tc>
        <w:tc>
          <w:tcPr>
            <w:tcW w:w="3563" w:type="pct"/>
            <w:gridSpan w:val="8"/>
            <w:tcBorders>
              <w:top w:val="single" w:color="auto" w:sz="6" w:space="0"/>
              <w:left w:val="single" w:color="auto" w:sz="6" w:space="0"/>
              <w:bottom w:val="single" w:color="auto" w:sz="6" w:space="0"/>
              <w:right w:val="single" w:color="auto" w:sz="6" w:space="0"/>
            </w:tcBorders>
            <w:noWrap w:val="0"/>
            <w:vAlign w:val="center"/>
          </w:tcPr>
          <w:p w14:paraId="2FDDB521">
            <w:pPr>
              <w:rPr>
                <w:rFonts w:ascii="仿宋" w:hAnsi="仿宋" w:eastAsia="仿宋" w:cs="仿宋"/>
                <w:bCs/>
                <w:sz w:val="24"/>
                <w:szCs w:val="24"/>
              </w:rPr>
            </w:pPr>
            <w:r>
              <w:rPr>
                <w:rFonts w:hint="eastAsia" w:ascii="仿宋" w:hAnsi="仿宋" w:eastAsia="仿宋" w:cs="仿宋"/>
                <w:bCs/>
                <w:sz w:val="24"/>
                <w:szCs w:val="24"/>
              </w:rPr>
              <w:t>大写：               元； 小写：               元</w:t>
            </w:r>
          </w:p>
        </w:tc>
      </w:tr>
    </w:tbl>
    <w:p w14:paraId="491299DA">
      <w:pPr>
        <w:spacing w:line="360" w:lineRule="auto"/>
        <w:ind w:firstLine="420"/>
        <w:rPr>
          <w:rFonts w:ascii="仿宋" w:hAnsi="仿宋" w:eastAsia="仿宋" w:cs="仿宋"/>
          <w:szCs w:val="21"/>
        </w:rPr>
      </w:pPr>
      <w:r>
        <w:rPr>
          <w:rFonts w:hint="eastAsia" w:ascii="仿宋" w:hAnsi="仿宋" w:eastAsia="仿宋" w:cs="仿宋"/>
          <w:szCs w:val="21"/>
        </w:rPr>
        <w:t>注：1.总价金额须与开标一览表投标报价一致。</w:t>
      </w:r>
    </w:p>
    <w:p w14:paraId="6819F4E6">
      <w:pPr>
        <w:spacing w:line="360" w:lineRule="auto"/>
        <w:ind w:firstLine="480"/>
        <w:rPr>
          <w:rFonts w:ascii="仿宋" w:hAnsi="仿宋" w:eastAsia="仿宋" w:cs="仿宋"/>
          <w:bCs/>
          <w:sz w:val="24"/>
          <w:szCs w:val="24"/>
          <w:lang w:val="zh-CN"/>
        </w:rPr>
      </w:pPr>
    </w:p>
    <w:p w14:paraId="5C27C373">
      <w:pPr>
        <w:spacing w:line="360" w:lineRule="auto"/>
        <w:ind w:firstLine="480"/>
        <w:rPr>
          <w:rFonts w:ascii="仿宋" w:hAnsi="仿宋" w:eastAsia="仿宋" w:cs="仿宋"/>
          <w:bCs/>
          <w:sz w:val="24"/>
          <w:szCs w:val="24"/>
          <w:lang w:val="zh-CN"/>
        </w:rPr>
      </w:pPr>
    </w:p>
    <w:p w14:paraId="3DBDE7C6">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54EE4701">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0F792B22">
      <w:pPr>
        <w:spacing w:line="360" w:lineRule="auto"/>
        <w:ind w:firstLine="482"/>
        <w:rPr>
          <w:rFonts w:ascii="仿宋" w:hAnsi="仿宋" w:eastAsia="仿宋" w:cs="仿宋"/>
          <w:sz w:val="24"/>
          <w:lang w:val="zh-CN"/>
        </w:rPr>
      </w:pPr>
      <w:r>
        <w:rPr>
          <w:rFonts w:hint="eastAsia" w:ascii="仿宋" w:hAnsi="仿宋" w:eastAsia="仿宋" w:cs="仿宋"/>
          <w:sz w:val="24"/>
        </w:rPr>
        <w:t>投标日期：年月日</w:t>
      </w:r>
    </w:p>
    <w:p w14:paraId="08BB52AC">
      <w:pPr>
        <w:tabs>
          <w:tab w:val="left" w:pos="1320"/>
        </w:tabs>
        <w:spacing w:line="400" w:lineRule="exact"/>
        <w:ind w:firstLine="560"/>
        <w:rPr>
          <w:rFonts w:ascii="仿宋" w:hAnsi="仿宋" w:eastAsia="仿宋" w:cs="仿宋"/>
          <w:sz w:val="28"/>
          <w:szCs w:val="21"/>
        </w:rPr>
      </w:pPr>
    </w:p>
    <w:p w14:paraId="0B13C82C">
      <w:pPr>
        <w:tabs>
          <w:tab w:val="left" w:pos="1320"/>
        </w:tabs>
        <w:spacing w:line="400" w:lineRule="exact"/>
        <w:ind w:firstLine="560"/>
        <w:rPr>
          <w:rFonts w:ascii="仿宋" w:hAnsi="仿宋" w:eastAsia="仿宋" w:cs="仿宋"/>
          <w:sz w:val="28"/>
          <w:szCs w:val="21"/>
        </w:rPr>
      </w:pPr>
    </w:p>
    <w:p w14:paraId="4A9EA9DD">
      <w:pPr>
        <w:tabs>
          <w:tab w:val="left" w:pos="1320"/>
        </w:tabs>
        <w:spacing w:line="400" w:lineRule="exact"/>
        <w:ind w:firstLine="560"/>
        <w:rPr>
          <w:rFonts w:ascii="仿宋" w:hAnsi="仿宋" w:eastAsia="仿宋" w:cs="仿宋"/>
          <w:sz w:val="28"/>
          <w:szCs w:val="21"/>
        </w:rPr>
      </w:pPr>
    </w:p>
    <w:p w14:paraId="714063A4">
      <w:pPr>
        <w:rPr>
          <w:rFonts w:ascii="仿宋" w:hAnsi="仿宋" w:eastAsia="仿宋" w:cs="仿宋"/>
          <w:b/>
          <w:bCs/>
        </w:rPr>
      </w:pPr>
      <w:r>
        <w:rPr>
          <w:rFonts w:hint="eastAsia" w:ascii="仿宋" w:hAnsi="仿宋" w:eastAsia="仿宋" w:cs="仿宋"/>
          <w:b/>
          <w:bCs/>
        </w:rPr>
        <w:br w:type="page" w:clear="all"/>
      </w:r>
    </w:p>
    <w:p w14:paraId="7A783100">
      <w:pPr>
        <w:rPr>
          <w:rFonts w:ascii="仿宋" w:hAnsi="仿宋" w:eastAsia="仿宋" w:cs="仿宋"/>
          <w:b/>
        </w:rPr>
      </w:pPr>
      <w:r>
        <w:rPr>
          <w:rFonts w:hint="eastAsia" w:ascii="仿宋" w:hAnsi="仿宋" w:eastAsia="仿宋" w:cs="仿宋"/>
          <w:bCs/>
          <w:szCs w:val="21"/>
        </w:rPr>
        <w:t>格式5、</w:t>
      </w:r>
      <w:r>
        <w:rPr>
          <w:rFonts w:hint="eastAsia" w:ascii="仿宋" w:hAnsi="仿宋" w:eastAsia="仿宋" w:cs="仿宋"/>
          <w:b/>
          <w:bCs/>
          <w:szCs w:val="21"/>
        </w:rPr>
        <w:t>技术（服务）要求偏离表</w:t>
      </w:r>
    </w:p>
    <w:p w14:paraId="252F41F2">
      <w:pPr>
        <w:ind w:firstLine="432"/>
        <w:rPr>
          <w:rFonts w:ascii="仿宋" w:hAnsi="仿宋" w:eastAsia="仿宋" w:cs="仿宋"/>
          <w:b/>
        </w:rPr>
      </w:pPr>
    </w:p>
    <w:p w14:paraId="5F1169A3">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技术（服务）要求偏离表</w:t>
      </w:r>
    </w:p>
    <w:p w14:paraId="4FB5EE98">
      <w:pPr>
        <w:spacing w:line="380" w:lineRule="exact"/>
        <w:ind w:firstLine="600"/>
        <w:rPr>
          <w:rFonts w:ascii="仿宋" w:hAnsi="仿宋" w:eastAsia="仿宋" w:cs="仿宋"/>
          <w:b/>
          <w:spacing w:val="20"/>
          <w:sz w:val="24"/>
          <w:szCs w:val="24"/>
        </w:rPr>
      </w:pPr>
      <w:r>
        <w:rPr>
          <w:rFonts w:hint="eastAsia" w:ascii="仿宋" w:hAnsi="仿宋" w:eastAsia="仿宋" w:cs="仿宋"/>
          <w:sz w:val="24"/>
          <w:szCs w:val="24"/>
        </w:rPr>
        <w:t>项目编号：</w:t>
      </w:r>
    </w:p>
    <w:tbl>
      <w:tblPr>
        <w:tblStyle w:val="65"/>
        <w:tblW w:w="8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
        <w:gridCol w:w="1683"/>
        <w:gridCol w:w="2051"/>
        <w:gridCol w:w="2052"/>
        <w:gridCol w:w="2052"/>
      </w:tblGrid>
      <w:tr w14:paraId="789F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5D076667">
            <w:pPr>
              <w:jc w:val="center"/>
              <w:rPr>
                <w:rFonts w:ascii="仿宋" w:hAnsi="仿宋" w:eastAsia="仿宋" w:cs="仿宋"/>
                <w:sz w:val="24"/>
                <w:szCs w:val="24"/>
              </w:rPr>
            </w:pPr>
            <w:r>
              <w:rPr>
                <w:rFonts w:hint="eastAsia" w:ascii="仿宋" w:hAnsi="仿宋" w:eastAsia="仿宋" w:cs="仿宋"/>
                <w:sz w:val="24"/>
                <w:szCs w:val="24"/>
              </w:rPr>
              <w:t>序号</w:t>
            </w:r>
          </w:p>
        </w:tc>
        <w:tc>
          <w:tcPr>
            <w:tcW w:w="1683" w:type="dxa"/>
            <w:noWrap w:val="0"/>
            <w:vAlign w:val="center"/>
          </w:tcPr>
          <w:p w14:paraId="48018F0D">
            <w:pPr>
              <w:spacing w:line="360" w:lineRule="auto"/>
              <w:ind w:left="54"/>
              <w:jc w:val="center"/>
              <w:rPr>
                <w:rFonts w:ascii="仿宋" w:hAnsi="仿宋" w:eastAsia="仿宋" w:cs="仿宋"/>
                <w:sz w:val="24"/>
                <w:szCs w:val="24"/>
              </w:rPr>
            </w:pPr>
            <w:r>
              <w:rPr>
                <w:rFonts w:hint="eastAsia" w:ascii="仿宋" w:hAnsi="仿宋" w:eastAsia="仿宋" w:cs="仿宋"/>
                <w:sz w:val="24"/>
                <w:szCs w:val="24"/>
              </w:rPr>
              <w:t>项目</w:t>
            </w:r>
          </w:p>
        </w:tc>
        <w:tc>
          <w:tcPr>
            <w:tcW w:w="2051" w:type="dxa"/>
            <w:noWrap w:val="0"/>
            <w:vAlign w:val="center"/>
          </w:tcPr>
          <w:p w14:paraId="3D6F2E43">
            <w:pPr>
              <w:spacing w:line="360" w:lineRule="auto"/>
              <w:jc w:val="center"/>
              <w:rPr>
                <w:rFonts w:ascii="仿宋" w:hAnsi="仿宋" w:eastAsia="仿宋" w:cs="仿宋"/>
                <w:sz w:val="24"/>
                <w:szCs w:val="24"/>
              </w:rPr>
            </w:pPr>
            <w:r>
              <w:rPr>
                <w:rFonts w:hint="eastAsia" w:ascii="仿宋" w:hAnsi="仿宋" w:eastAsia="仿宋" w:cs="仿宋"/>
                <w:sz w:val="24"/>
                <w:szCs w:val="24"/>
              </w:rPr>
              <w:t>招标要求</w:t>
            </w:r>
          </w:p>
        </w:tc>
        <w:tc>
          <w:tcPr>
            <w:tcW w:w="2052" w:type="dxa"/>
            <w:noWrap w:val="0"/>
            <w:vAlign w:val="center"/>
          </w:tcPr>
          <w:p w14:paraId="45098284">
            <w:pPr>
              <w:spacing w:line="360" w:lineRule="auto"/>
              <w:jc w:val="center"/>
              <w:rPr>
                <w:rFonts w:ascii="仿宋" w:hAnsi="仿宋" w:eastAsia="仿宋" w:cs="仿宋"/>
                <w:sz w:val="24"/>
                <w:szCs w:val="24"/>
              </w:rPr>
            </w:pPr>
            <w:r>
              <w:rPr>
                <w:rFonts w:hint="eastAsia" w:ascii="仿宋" w:hAnsi="仿宋" w:eastAsia="仿宋" w:cs="仿宋"/>
                <w:sz w:val="24"/>
                <w:szCs w:val="24"/>
              </w:rPr>
              <w:t>投标响应</w:t>
            </w:r>
          </w:p>
        </w:tc>
        <w:tc>
          <w:tcPr>
            <w:tcW w:w="2052" w:type="dxa"/>
            <w:noWrap w:val="0"/>
            <w:vAlign w:val="center"/>
          </w:tcPr>
          <w:p w14:paraId="2557EE7F">
            <w:pPr>
              <w:spacing w:line="360" w:lineRule="auto"/>
              <w:jc w:val="center"/>
              <w:rPr>
                <w:rFonts w:ascii="仿宋" w:hAnsi="仿宋" w:eastAsia="仿宋" w:cs="仿宋"/>
                <w:sz w:val="24"/>
                <w:szCs w:val="24"/>
              </w:rPr>
            </w:pPr>
            <w:r>
              <w:rPr>
                <w:rFonts w:hint="eastAsia" w:ascii="仿宋" w:hAnsi="仿宋" w:eastAsia="仿宋" w:cs="仿宋"/>
                <w:sz w:val="24"/>
                <w:szCs w:val="24"/>
              </w:rPr>
              <w:t>偏离说明</w:t>
            </w:r>
          </w:p>
        </w:tc>
      </w:tr>
      <w:tr w14:paraId="08076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26993809">
            <w:pPr>
              <w:jc w:val="center"/>
              <w:rPr>
                <w:rFonts w:ascii="仿宋" w:hAnsi="仿宋" w:eastAsia="仿宋" w:cs="仿宋"/>
                <w:sz w:val="24"/>
                <w:szCs w:val="24"/>
              </w:rPr>
            </w:pPr>
            <w:r>
              <w:rPr>
                <w:rFonts w:hint="eastAsia" w:ascii="仿宋" w:hAnsi="仿宋" w:eastAsia="仿宋" w:cs="仿宋"/>
                <w:sz w:val="24"/>
                <w:szCs w:val="24"/>
              </w:rPr>
              <w:t>1</w:t>
            </w:r>
          </w:p>
        </w:tc>
        <w:tc>
          <w:tcPr>
            <w:tcW w:w="1683" w:type="dxa"/>
            <w:noWrap w:val="0"/>
            <w:vAlign w:val="center"/>
          </w:tcPr>
          <w:p w14:paraId="21A2B9FB">
            <w:pPr>
              <w:spacing w:line="360" w:lineRule="auto"/>
              <w:jc w:val="center"/>
              <w:rPr>
                <w:rFonts w:ascii="仿宋" w:hAnsi="仿宋" w:eastAsia="仿宋" w:cs="仿宋"/>
                <w:sz w:val="24"/>
                <w:szCs w:val="24"/>
              </w:rPr>
            </w:pPr>
          </w:p>
        </w:tc>
        <w:tc>
          <w:tcPr>
            <w:tcW w:w="2051" w:type="dxa"/>
            <w:noWrap w:val="0"/>
            <w:vAlign w:val="center"/>
          </w:tcPr>
          <w:p w14:paraId="6CBBF5B4">
            <w:pPr>
              <w:spacing w:line="360" w:lineRule="auto"/>
              <w:jc w:val="center"/>
              <w:rPr>
                <w:rFonts w:ascii="仿宋" w:hAnsi="仿宋" w:eastAsia="仿宋" w:cs="仿宋"/>
                <w:sz w:val="24"/>
                <w:szCs w:val="24"/>
              </w:rPr>
            </w:pPr>
          </w:p>
        </w:tc>
        <w:tc>
          <w:tcPr>
            <w:tcW w:w="2052" w:type="dxa"/>
            <w:noWrap w:val="0"/>
            <w:vAlign w:val="center"/>
          </w:tcPr>
          <w:p w14:paraId="198F0174">
            <w:pPr>
              <w:spacing w:line="360" w:lineRule="auto"/>
              <w:jc w:val="center"/>
              <w:rPr>
                <w:rFonts w:ascii="仿宋" w:hAnsi="仿宋" w:eastAsia="仿宋" w:cs="仿宋"/>
                <w:sz w:val="24"/>
                <w:szCs w:val="24"/>
              </w:rPr>
            </w:pPr>
          </w:p>
        </w:tc>
        <w:tc>
          <w:tcPr>
            <w:tcW w:w="2052" w:type="dxa"/>
            <w:noWrap w:val="0"/>
            <w:vAlign w:val="center"/>
          </w:tcPr>
          <w:p w14:paraId="1AAACB06">
            <w:pPr>
              <w:spacing w:line="360" w:lineRule="auto"/>
              <w:jc w:val="center"/>
              <w:rPr>
                <w:rFonts w:ascii="仿宋" w:hAnsi="仿宋" w:eastAsia="仿宋" w:cs="仿宋"/>
                <w:sz w:val="24"/>
                <w:szCs w:val="24"/>
              </w:rPr>
            </w:pPr>
          </w:p>
        </w:tc>
      </w:tr>
      <w:tr w14:paraId="5E2F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5F798976">
            <w:pPr>
              <w:jc w:val="center"/>
              <w:rPr>
                <w:rFonts w:ascii="仿宋" w:hAnsi="仿宋" w:eastAsia="仿宋" w:cs="仿宋"/>
                <w:sz w:val="24"/>
                <w:szCs w:val="24"/>
              </w:rPr>
            </w:pPr>
            <w:r>
              <w:rPr>
                <w:rFonts w:hint="eastAsia" w:ascii="仿宋" w:hAnsi="仿宋" w:eastAsia="仿宋" w:cs="仿宋"/>
                <w:sz w:val="24"/>
                <w:szCs w:val="24"/>
              </w:rPr>
              <w:t>2</w:t>
            </w:r>
          </w:p>
        </w:tc>
        <w:tc>
          <w:tcPr>
            <w:tcW w:w="1683" w:type="dxa"/>
            <w:noWrap w:val="0"/>
            <w:vAlign w:val="center"/>
          </w:tcPr>
          <w:p w14:paraId="259A0ED5">
            <w:pPr>
              <w:spacing w:line="360" w:lineRule="auto"/>
              <w:jc w:val="center"/>
              <w:rPr>
                <w:rFonts w:ascii="仿宋" w:hAnsi="仿宋" w:eastAsia="仿宋" w:cs="仿宋"/>
                <w:sz w:val="24"/>
                <w:szCs w:val="24"/>
              </w:rPr>
            </w:pPr>
          </w:p>
        </w:tc>
        <w:tc>
          <w:tcPr>
            <w:tcW w:w="2051" w:type="dxa"/>
            <w:noWrap w:val="0"/>
            <w:vAlign w:val="center"/>
          </w:tcPr>
          <w:p w14:paraId="3F96227A">
            <w:pPr>
              <w:spacing w:line="360" w:lineRule="auto"/>
              <w:jc w:val="center"/>
              <w:rPr>
                <w:rFonts w:ascii="仿宋" w:hAnsi="仿宋" w:eastAsia="仿宋" w:cs="仿宋"/>
                <w:sz w:val="24"/>
                <w:szCs w:val="24"/>
              </w:rPr>
            </w:pPr>
          </w:p>
        </w:tc>
        <w:tc>
          <w:tcPr>
            <w:tcW w:w="2052" w:type="dxa"/>
            <w:noWrap w:val="0"/>
            <w:vAlign w:val="center"/>
          </w:tcPr>
          <w:p w14:paraId="4ABB419C">
            <w:pPr>
              <w:spacing w:line="360" w:lineRule="auto"/>
              <w:jc w:val="center"/>
              <w:rPr>
                <w:rFonts w:ascii="仿宋" w:hAnsi="仿宋" w:eastAsia="仿宋" w:cs="仿宋"/>
                <w:sz w:val="24"/>
                <w:szCs w:val="24"/>
              </w:rPr>
            </w:pPr>
          </w:p>
        </w:tc>
        <w:tc>
          <w:tcPr>
            <w:tcW w:w="2052" w:type="dxa"/>
            <w:noWrap w:val="0"/>
            <w:vAlign w:val="center"/>
          </w:tcPr>
          <w:p w14:paraId="71BD99ED">
            <w:pPr>
              <w:spacing w:line="360" w:lineRule="auto"/>
              <w:jc w:val="center"/>
              <w:rPr>
                <w:rFonts w:ascii="仿宋" w:hAnsi="仿宋" w:eastAsia="仿宋" w:cs="仿宋"/>
                <w:sz w:val="24"/>
                <w:szCs w:val="24"/>
              </w:rPr>
            </w:pPr>
          </w:p>
        </w:tc>
      </w:tr>
      <w:tr w14:paraId="266E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47A35CE7">
            <w:pPr>
              <w:jc w:val="center"/>
              <w:rPr>
                <w:rFonts w:ascii="仿宋" w:hAnsi="仿宋" w:eastAsia="仿宋" w:cs="仿宋"/>
                <w:sz w:val="24"/>
                <w:szCs w:val="24"/>
              </w:rPr>
            </w:pPr>
            <w:r>
              <w:rPr>
                <w:rFonts w:hint="eastAsia" w:ascii="仿宋" w:hAnsi="仿宋" w:eastAsia="仿宋" w:cs="仿宋"/>
                <w:sz w:val="24"/>
                <w:szCs w:val="24"/>
              </w:rPr>
              <w:t>3</w:t>
            </w:r>
          </w:p>
        </w:tc>
        <w:tc>
          <w:tcPr>
            <w:tcW w:w="1683" w:type="dxa"/>
            <w:noWrap w:val="0"/>
            <w:vAlign w:val="center"/>
          </w:tcPr>
          <w:p w14:paraId="499C0301">
            <w:pPr>
              <w:spacing w:line="360" w:lineRule="auto"/>
              <w:jc w:val="center"/>
              <w:rPr>
                <w:rFonts w:ascii="仿宋" w:hAnsi="仿宋" w:eastAsia="仿宋" w:cs="仿宋"/>
                <w:sz w:val="24"/>
                <w:szCs w:val="24"/>
              </w:rPr>
            </w:pPr>
          </w:p>
        </w:tc>
        <w:tc>
          <w:tcPr>
            <w:tcW w:w="2051" w:type="dxa"/>
            <w:noWrap w:val="0"/>
            <w:vAlign w:val="center"/>
          </w:tcPr>
          <w:p w14:paraId="5C53B947">
            <w:pPr>
              <w:spacing w:line="360" w:lineRule="auto"/>
              <w:jc w:val="center"/>
              <w:rPr>
                <w:rFonts w:ascii="仿宋" w:hAnsi="仿宋" w:eastAsia="仿宋" w:cs="仿宋"/>
                <w:sz w:val="24"/>
                <w:szCs w:val="24"/>
              </w:rPr>
            </w:pPr>
          </w:p>
        </w:tc>
        <w:tc>
          <w:tcPr>
            <w:tcW w:w="2052" w:type="dxa"/>
            <w:noWrap w:val="0"/>
            <w:vAlign w:val="center"/>
          </w:tcPr>
          <w:p w14:paraId="4E316FA1">
            <w:pPr>
              <w:spacing w:line="360" w:lineRule="auto"/>
              <w:jc w:val="center"/>
              <w:rPr>
                <w:rFonts w:ascii="仿宋" w:hAnsi="仿宋" w:eastAsia="仿宋" w:cs="仿宋"/>
                <w:sz w:val="24"/>
                <w:szCs w:val="24"/>
              </w:rPr>
            </w:pPr>
          </w:p>
        </w:tc>
        <w:tc>
          <w:tcPr>
            <w:tcW w:w="2052" w:type="dxa"/>
            <w:noWrap w:val="0"/>
            <w:vAlign w:val="center"/>
          </w:tcPr>
          <w:p w14:paraId="4C578C23">
            <w:pPr>
              <w:spacing w:line="360" w:lineRule="auto"/>
              <w:jc w:val="center"/>
              <w:rPr>
                <w:rFonts w:ascii="仿宋" w:hAnsi="仿宋" w:eastAsia="仿宋" w:cs="仿宋"/>
                <w:sz w:val="24"/>
                <w:szCs w:val="24"/>
              </w:rPr>
            </w:pPr>
          </w:p>
        </w:tc>
      </w:tr>
      <w:tr w14:paraId="7A90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1F5B9DF9">
            <w:pPr>
              <w:jc w:val="center"/>
              <w:rPr>
                <w:rFonts w:ascii="仿宋" w:hAnsi="仿宋" w:eastAsia="仿宋" w:cs="仿宋"/>
                <w:sz w:val="24"/>
                <w:szCs w:val="24"/>
              </w:rPr>
            </w:pPr>
            <w:r>
              <w:rPr>
                <w:rFonts w:hint="eastAsia" w:ascii="仿宋" w:hAnsi="仿宋" w:eastAsia="仿宋" w:cs="仿宋"/>
                <w:sz w:val="24"/>
                <w:szCs w:val="24"/>
              </w:rPr>
              <w:t>4</w:t>
            </w:r>
          </w:p>
        </w:tc>
        <w:tc>
          <w:tcPr>
            <w:tcW w:w="1683" w:type="dxa"/>
            <w:noWrap w:val="0"/>
            <w:vAlign w:val="center"/>
          </w:tcPr>
          <w:p w14:paraId="6B83ED24">
            <w:pPr>
              <w:spacing w:line="360" w:lineRule="auto"/>
              <w:jc w:val="center"/>
              <w:rPr>
                <w:rFonts w:ascii="仿宋" w:hAnsi="仿宋" w:eastAsia="仿宋" w:cs="仿宋"/>
                <w:sz w:val="24"/>
                <w:szCs w:val="24"/>
              </w:rPr>
            </w:pPr>
          </w:p>
        </w:tc>
        <w:tc>
          <w:tcPr>
            <w:tcW w:w="2051" w:type="dxa"/>
            <w:noWrap w:val="0"/>
            <w:vAlign w:val="center"/>
          </w:tcPr>
          <w:p w14:paraId="28DECEE3">
            <w:pPr>
              <w:spacing w:line="360" w:lineRule="auto"/>
              <w:jc w:val="center"/>
              <w:rPr>
                <w:rFonts w:ascii="仿宋" w:hAnsi="仿宋" w:eastAsia="仿宋" w:cs="仿宋"/>
                <w:sz w:val="24"/>
                <w:szCs w:val="24"/>
              </w:rPr>
            </w:pPr>
          </w:p>
        </w:tc>
        <w:tc>
          <w:tcPr>
            <w:tcW w:w="2052" w:type="dxa"/>
            <w:noWrap w:val="0"/>
            <w:vAlign w:val="center"/>
          </w:tcPr>
          <w:p w14:paraId="42260B86">
            <w:pPr>
              <w:spacing w:line="360" w:lineRule="auto"/>
              <w:jc w:val="center"/>
              <w:rPr>
                <w:rFonts w:ascii="仿宋" w:hAnsi="仿宋" w:eastAsia="仿宋" w:cs="仿宋"/>
                <w:sz w:val="24"/>
                <w:szCs w:val="24"/>
              </w:rPr>
            </w:pPr>
          </w:p>
        </w:tc>
        <w:tc>
          <w:tcPr>
            <w:tcW w:w="2052" w:type="dxa"/>
            <w:noWrap w:val="0"/>
            <w:vAlign w:val="center"/>
          </w:tcPr>
          <w:p w14:paraId="74E37393">
            <w:pPr>
              <w:spacing w:line="360" w:lineRule="auto"/>
              <w:jc w:val="center"/>
              <w:rPr>
                <w:rFonts w:ascii="仿宋" w:hAnsi="仿宋" w:eastAsia="仿宋" w:cs="仿宋"/>
                <w:sz w:val="24"/>
                <w:szCs w:val="24"/>
              </w:rPr>
            </w:pPr>
          </w:p>
        </w:tc>
      </w:tr>
      <w:tr w14:paraId="07C7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417C2B8C">
            <w:pPr>
              <w:jc w:val="center"/>
              <w:rPr>
                <w:rFonts w:ascii="仿宋" w:hAnsi="仿宋" w:eastAsia="仿宋" w:cs="仿宋"/>
                <w:sz w:val="24"/>
                <w:szCs w:val="24"/>
              </w:rPr>
            </w:pPr>
            <w:r>
              <w:rPr>
                <w:rFonts w:hint="eastAsia" w:ascii="仿宋" w:hAnsi="仿宋" w:eastAsia="仿宋" w:cs="仿宋"/>
                <w:sz w:val="24"/>
                <w:szCs w:val="24"/>
              </w:rPr>
              <w:t>5</w:t>
            </w:r>
          </w:p>
        </w:tc>
        <w:tc>
          <w:tcPr>
            <w:tcW w:w="1683" w:type="dxa"/>
            <w:noWrap w:val="0"/>
            <w:vAlign w:val="center"/>
          </w:tcPr>
          <w:p w14:paraId="0D14D139">
            <w:pPr>
              <w:spacing w:line="360" w:lineRule="auto"/>
              <w:jc w:val="center"/>
              <w:rPr>
                <w:rFonts w:ascii="仿宋" w:hAnsi="仿宋" w:eastAsia="仿宋" w:cs="仿宋"/>
                <w:sz w:val="24"/>
                <w:szCs w:val="24"/>
              </w:rPr>
            </w:pPr>
          </w:p>
        </w:tc>
        <w:tc>
          <w:tcPr>
            <w:tcW w:w="2051" w:type="dxa"/>
            <w:noWrap w:val="0"/>
            <w:vAlign w:val="center"/>
          </w:tcPr>
          <w:p w14:paraId="0E2709B4">
            <w:pPr>
              <w:spacing w:line="360" w:lineRule="auto"/>
              <w:jc w:val="center"/>
              <w:rPr>
                <w:rFonts w:ascii="仿宋" w:hAnsi="仿宋" w:eastAsia="仿宋" w:cs="仿宋"/>
                <w:sz w:val="24"/>
                <w:szCs w:val="24"/>
              </w:rPr>
            </w:pPr>
          </w:p>
        </w:tc>
        <w:tc>
          <w:tcPr>
            <w:tcW w:w="2052" w:type="dxa"/>
            <w:noWrap w:val="0"/>
            <w:vAlign w:val="center"/>
          </w:tcPr>
          <w:p w14:paraId="2AF808F9">
            <w:pPr>
              <w:spacing w:line="360" w:lineRule="auto"/>
              <w:jc w:val="center"/>
              <w:rPr>
                <w:rFonts w:ascii="仿宋" w:hAnsi="仿宋" w:eastAsia="仿宋" w:cs="仿宋"/>
                <w:sz w:val="24"/>
                <w:szCs w:val="24"/>
              </w:rPr>
            </w:pPr>
          </w:p>
        </w:tc>
        <w:tc>
          <w:tcPr>
            <w:tcW w:w="2052" w:type="dxa"/>
            <w:noWrap w:val="0"/>
            <w:vAlign w:val="center"/>
          </w:tcPr>
          <w:p w14:paraId="4F86365B">
            <w:pPr>
              <w:spacing w:line="360" w:lineRule="auto"/>
              <w:jc w:val="center"/>
              <w:rPr>
                <w:rFonts w:ascii="仿宋" w:hAnsi="仿宋" w:eastAsia="仿宋" w:cs="仿宋"/>
                <w:sz w:val="24"/>
                <w:szCs w:val="24"/>
              </w:rPr>
            </w:pPr>
          </w:p>
        </w:tc>
      </w:tr>
      <w:tr w14:paraId="3297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8" w:type="dxa"/>
            <w:noWrap w:val="0"/>
            <w:vAlign w:val="center"/>
          </w:tcPr>
          <w:p w14:paraId="152EB489">
            <w:pPr>
              <w:jc w:val="center"/>
              <w:rPr>
                <w:rFonts w:ascii="仿宋" w:hAnsi="仿宋" w:eastAsia="仿宋" w:cs="仿宋"/>
                <w:sz w:val="24"/>
                <w:szCs w:val="24"/>
              </w:rPr>
            </w:pPr>
          </w:p>
        </w:tc>
        <w:tc>
          <w:tcPr>
            <w:tcW w:w="1683" w:type="dxa"/>
            <w:noWrap w:val="0"/>
            <w:vAlign w:val="center"/>
          </w:tcPr>
          <w:p w14:paraId="359755FE">
            <w:pPr>
              <w:spacing w:line="360" w:lineRule="auto"/>
              <w:jc w:val="center"/>
              <w:rPr>
                <w:rFonts w:ascii="仿宋" w:hAnsi="仿宋" w:eastAsia="仿宋" w:cs="仿宋"/>
                <w:sz w:val="24"/>
                <w:szCs w:val="24"/>
              </w:rPr>
            </w:pPr>
          </w:p>
        </w:tc>
        <w:tc>
          <w:tcPr>
            <w:tcW w:w="2051" w:type="dxa"/>
            <w:noWrap w:val="0"/>
            <w:vAlign w:val="center"/>
          </w:tcPr>
          <w:p w14:paraId="7CF5C0C8">
            <w:pPr>
              <w:spacing w:line="360" w:lineRule="auto"/>
              <w:jc w:val="center"/>
              <w:rPr>
                <w:rFonts w:ascii="仿宋" w:hAnsi="仿宋" w:eastAsia="仿宋" w:cs="仿宋"/>
                <w:sz w:val="24"/>
                <w:szCs w:val="24"/>
              </w:rPr>
            </w:pPr>
          </w:p>
        </w:tc>
        <w:tc>
          <w:tcPr>
            <w:tcW w:w="2052" w:type="dxa"/>
            <w:noWrap w:val="0"/>
            <w:vAlign w:val="center"/>
          </w:tcPr>
          <w:p w14:paraId="7A3AF933">
            <w:pPr>
              <w:spacing w:line="360" w:lineRule="auto"/>
              <w:jc w:val="center"/>
              <w:rPr>
                <w:rFonts w:ascii="仿宋" w:hAnsi="仿宋" w:eastAsia="仿宋" w:cs="仿宋"/>
                <w:sz w:val="24"/>
                <w:szCs w:val="24"/>
              </w:rPr>
            </w:pPr>
          </w:p>
        </w:tc>
        <w:tc>
          <w:tcPr>
            <w:tcW w:w="2052" w:type="dxa"/>
            <w:noWrap w:val="0"/>
            <w:vAlign w:val="center"/>
          </w:tcPr>
          <w:p w14:paraId="5F52A242">
            <w:pPr>
              <w:spacing w:line="360" w:lineRule="auto"/>
              <w:jc w:val="center"/>
              <w:rPr>
                <w:rFonts w:ascii="仿宋" w:hAnsi="仿宋" w:eastAsia="仿宋" w:cs="仿宋"/>
                <w:sz w:val="24"/>
                <w:szCs w:val="24"/>
              </w:rPr>
            </w:pPr>
          </w:p>
        </w:tc>
      </w:tr>
    </w:tbl>
    <w:p w14:paraId="13308CE6">
      <w:pPr>
        <w:spacing w:line="360" w:lineRule="auto"/>
        <w:ind w:firstLine="440"/>
        <w:rPr>
          <w:rFonts w:ascii="仿宋" w:hAnsi="仿宋" w:eastAsia="仿宋" w:cs="仿宋"/>
          <w:sz w:val="22"/>
          <w:szCs w:val="22"/>
        </w:rPr>
      </w:pPr>
      <w:r>
        <w:rPr>
          <w:rFonts w:hint="eastAsia" w:ascii="仿宋" w:hAnsi="仿宋" w:eastAsia="仿宋" w:cs="仿宋"/>
          <w:sz w:val="22"/>
          <w:szCs w:val="22"/>
          <w:lang w:val="zh-CN"/>
        </w:rPr>
        <w:t>注：</w:t>
      </w:r>
      <w:r>
        <w:rPr>
          <w:rFonts w:hint="eastAsia" w:ascii="仿宋" w:hAnsi="仿宋" w:eastAsia="仿宋" w:cs="仿宋"/>
          <w:sz w:val="22"/>
          <w:szCs w:val="22"/>
        </w:rPr>
        <w:t>1.投标人提交的投标文件中与招标文件的技术部分的要求有不同时，应在本表中把招标文件要求与投标实际响应内容逐项对应列出。并在“偏离说明”项下填写以下内容：优于的，填写“正偏离”；符合的，填写“无偏离”；低于的，填写“负偏离”。</w:t>
      </w:r>
    </w:p>
    <w:p w14:paraId="4434649F">
      <w:pPr>
        <w:spacing w:line="360" w:lineRule="auto"/>
        <w:ind w:right="480" w:firstLine="440"/>
        <w:rPr>
          <w:rFonts w:ascii="仿宋" w:hAnsi="仿宋" w:eastAsia="仿宋" w:cs="仿宋"/>
          <w:sz w:val="22"/>
          <w:szCs w:val="22"/>
        </w:rPr>
      </w:pPr>
      <w:r>
        <w:rPr>
          <w:rFonts w:hint="eastAsia" w:ascii="仿宋" w:hAnsi="仿宋" w:eastAsia="仿宋" w:cs="仿宋"/>
          <w:sz w:val="22"/>
          <w:szCs w:val="22"/>
        </w:rPr>
        <w:t>2.</w:t>
      </w:r>
      <w:r>
        <w:rPr>
          <w:rFonts w:hint="eastAsia" w:ascii="仿宋" w:hAnsi="仿宋" w:eastAsia="仿宋" w:cs="仿宋"/>
          <w:szCs w:val="21"/>
        </w:rPr>
        <w:t>投标单位必须明确所投产品的具体技术参数</w:t>
      </w:r>
    </w:p>
    <w:p w14:paraId="2AF584C7">
      <w:pPr>
        <w:spacing w:line="360" w:lineRule="auto"/>
        <w:ind w:right="480" w:firstLine="440"/>
        <w:rPr>
          <w:rFonts w:ascii="宋体" w:hAnsi="宋体" w:cs="宋体"/>
          <w:sz w:val="22"/>
          <w:szCs w:val="22"/>
        </w:rPr>
      </w:pPr>
      <w:r>
        <w:rPr>
          <w:rFonts w:hint="eastAsia" w:ascii="仿宋" w:hAnsi="仿宋" w:eastAsia="仿宋" w:cs="仿宋"/>
          <w:sz w:val="22"/>
          <w:szCs w:val="22"/>
        </w:rPr>
        <w:t>3.若事项较多，投标人可根据投标内容的实际情况另纸说明。</w:t>
      </w:r>
    </w:p>
    <w:p w14:paraId="22F8D9EA">
      <w:pPr>
        <w:spacing w:line="360" w:lineRule="auto"/>
        <w:ind w:firstLine="480"/>
        <w:rPr>
          <w:rFonts w:ascii="仿宋" w:hAnsi="仿宋" w:eastAsia="仿宋" w:cs="仿宋"/>
          <w:sz w:val="24"/>
          <w:szCs w:val="24"/>
        </w:rPr>
      </w:pPr>
    </w:p>
    <w:p w14:paraId="248EE235">
      <w:pPr>
        <w:spacing w:line="360" w:lineRule="auto"/>
        <w:ind w:firstLine="480"/>
        <w:rPr>
          <w:rFonts w:ascii="仿宋" w:hAnsi="仿宋" w:eastAsia="仿宋" w:cs="仿宋"/>
          <w:sz w:val="24"/>
          <w:szCs w:val="24"/>
        </w:rPr>
      </w:pPr>
    </w:p>
    <w:p w14:paraId="1BAE6180">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6FA56652">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75675527">
      <w:pPr>
        <w:spacing w:line="360" w:lineRule="auto"/>
        <w:ind w:firstLine="482"/>
        <w:rPr>
          <w:rFonts w:ascii="仿宋" w:hAnsi="仿宋" w:eastAsia="仿宋" w:cs="仿宋"/>
          <w:sz w:val="24"/>
        </w:rPr>
      </w:pPr>
      <w:r>
        <w:rPr>
          <w:rFonts w:hint="eastAsia" w:ascii="仿宋" w:hAnsi="仿宋" w:eastAsia="仿宋" w:cs="仿宋"/>
          <w:sz w:val="24"/>
        </w:rPr>
        <w:t>投标日期：年月日</w:t>
      </w:r>
    </w:p>
    <w:p w14:paraId="4FCBF4E8">
      <w:pPr>
        <w:spacing w:line="360" w:lineRule="auto"/>
        <w:rPr>
          <w:rFonts w:ascii="仿宋" w:hAnsi="仿宋" w:eastAsia="仿宋" w:cs="仿宋"/>
          <w:b/>
        </w:rPr>
      </w:pPr>
      <w:r>
        <w:rPr>
          <w:rFonts w:hint="eastAsia" w:ascii="仿宋" w:hAnsi="仿宋" w:eastAsia="仿宋" w:cs="仿宋"/>
          <w:b/>
        </w:rPr>
        <w:br w:type="page" w:clear="all"/>
      </w:r>
    </w:p>
    <w:p w14:paraId="79C0DD4F">
      <w:pPr>
        <w:rPr>
          <w:rFonts w:ascii="仿宋" w:hAnsi="仿宋" w:eastAsia="仿宋" w:cs="仿宋"/>
          <w:b/>
        </w:rPr>
      </w:pPr>
      <w:r>
        <w:rPr>
          <w:rFonts w:hint="eastAsia" w:ascii="仿宋" w:hAnsi="仿宋" w:eastAsia="仿宋" w:cs="仿宋"/>
          <w:szCs w:val="21"/>
        </w:rPr>
        <w:t>格式6、</w:t>
      </w:r>
      <w:r>
        <w:rPr>
          <w:rFonts w:hint="eastAsia" w:ascii="仿宋" w:hAnsi="仿宋" w:eastAsia="仿宋" w:cs="仿宋"/>
          <w:b/>
          <w:szCs w:val="21"/>
        </w:rPr>
        <w:t>商务偏离表</w:t>
      </w:r>
    </w:p>
    <w:p w14:paraId="0CF09023">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商务条款偏离表</w:t>
      </w:r>
    </w:p>
    <w:p w14:paraId="52DC59B4">
      <w:pPr>
        <w:pStyle w:val="282"/>
        <w:spacing w:line="420" w:lineRule="exact"/>
        <w:jc w:val="left"/>
        <w:rPr>
          <w:rFonts w:ascii="仿宋" w:hAnsi="仿宋" w:eastAsia="仿宋" w:cs="仿宋"/>
          <w:b/>
          <w:sz w:val="30"/>
          <w:szCs w:val="30"/>
        </w:rPr>
      </w:pPr>
      <w:r>
        <w:rPr>
          <w:rFonts w:hint="eastAsia" w:ascii="仿宋" w:hAnsi="仿宋" w:eastAsia="仿宋" w:cs="仿宋"/>
          <w:sz w:val="24"/>
          <w:szCs w:val="24"/>
        </w:rPr>
        <w:t>项目编号：</w:t>
      </w:r>
    </w:p>
    <w:tbl>
      <w:tblPr>
        <w:tblStyle w:val="65"/>
        <w:tblW w:w="9902"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1677"/>
        <w:gridCol w:w="2410"/>
        <w:gridCol w:w="2409"/>
        <w:gridCol w:w="1276"/>
        <w:gridCol w:w="1134"/>
      </w:tblGrid>
      <w:tr w14:paraId="6DCC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996" w:type="dxa"/>
            <w:noWrap w:val="0"/>
            <w:vAlign w:val="center"/>
          </w:tcPr>
          <w:p w14:paraId="092F0E3E">
            <w:pPr>
              <w:spacing w:line="360" w:lineRule="auto"/>
              <w:jc w:val="center"/>
              <w:rPr>
                <w:rFonts w:ascii="仿宋" w:hAnsi="仿宋" w:eastAsia="仿宋" w:cs="仿宋"/>
                <w:bCs/>
                <w:sz w:val="24"/>
                <w:szCs w:val="24"/>
              </w:rPr>
            </w:pPr>
            <w:r>
              <w:rPr>
                <w:rFonts w:hint="eastAsia" w:ascii="仿宋" w:hAnsi="仿宋" w:eastAsia="仿宋" w:cs="仿宋"/>
                <w:bCs/>
                <w:sz w:val="24"/>
                <w:szCs w:val="24"/>
              </w:rPr>
              <w:t>序号</w:t>
            </w:r>
          </w:p>
        </w:tc>
        <w:tc>
          <w:tcPr>
            <w:tcW w:w="1677" w:type="dxa"/>
            <w:noWrap w:val="0"/>
            <w:vAlign w:val="center"/>
          </w:tcPr>
          <w:p w14:paraId="5DB88FEC">
            <w:pPr>
              <w:spacing w:line="360" w:lineRule="auto"/>
              <w:jc w:val="center"/>
              <w:rPr>
                <w:rFonts w:ascii="仿宋" w:hAnsi="仿宋" w:eastAsia="仿宋" w:cs="仿宋"/>
                <w:bCs/>
                <w:sz w:val="24"/>
                <w:szCs w:val="24"/>
              </w:rPr>
            </w:pPr>
            <w:r>
              <w:rPr>
                <w:rFonts w:hint="eastAsia" w:ascii="仿宋" w:hAnsi="仿宋" w:eastAsia="仿宋" w:cs="仿宋"/>
                <w:bCs/>
                <w:sz w:val="24"/>
                <w:szCs w:val="24"/>
              </w:rPr>
              <w:t>内容</w:t>
            </w:r>
          </w:p>
        </w:tc>
        <w:tc>
          <w:tcPr>
            <w:tcW w:w="2410" w:type="dxa"/>
            <w:noWrap w:val="0"/>
            <w:vAlign w:val="center"/>
          </w:tcPr>
          <w:p w14:paraId="18A7D37B">
            <w:pPr>
              <w:spacing w:line="360" w:lineRule="auto"/>
              <w:jc w:val="center"/>
              <w:rPr>
                <w:rFonts w:ascii="仿宋" w:hAnsi="仿宋" w:eastAsia="仿宋" w:cs="仿宋"/>
                <w:bCs/>
                <w:sz w:val="24"/>
                <w:szCs w:val="24"/>
              </w:rPr>
            </w:pPr>
            <w:r>
              <w:rPr>
                <w:rFonts w:hint="eastAsia" w:ascii="仿宋" w:hAnsi="仿宋" w:eastAsia="仿宋" w:cs="仿宋"/>
                <w:sz w:val="24"/>
                <w:szCs w:val="24"/>
              </w:rPr>
              <w:t>招标文件的商务条款</w:t>
            </w:r>
          </w:p>
        </w:tc>
        <w:tc>
          <w:tcPr>
            <w:tcW w:w="2409" w:type="dxa"/>
            <w:noWrap w:val="0"/>
            <w:vAlign w:val="center"/>
          </w:tcPr>
          <w:p w14:paraId="00E42DA0">
            <w:pPr>
              <w:spacing w:line="360" w:lineRule="auto"/>
              <w:jc w:val="center"/>
              <w:rPr>
                <w:rFonts w:ascii="仿宋" w:hAnsi="仿宋" w:eastAsia="仿宋" w:cs="仿宋"/>
                <w:bCs/>
                <w:sz w:val="24"/>
                <w:szCs w:val="24"/>
              </w:rPr>
            </w:pPr>
            <w:r>
              <w:rPr>
                <w:rFonts w:hint="eastAsia" w:ascii="仿宋" w:hAnsi="仿宋" w:eastAsia="仿宋" w:cs="仿宋"/>
                <w:sz w:val="24"/>
                <w:szCs w:val="24"/>
              </w:rPr>
              <w:t>投标文件的商务条款</w:t>
            </w:r>
          </w:p>
        </w:tc>
        <w:tc>
          <w:tcPr>
            <w:tcW w:w="1276" w:type="dxa"/>
            <w:noWrap w:val="0"/>
            <w:vAlign w:val="center"/>
          </w:tcPr>
          <w:p w14:paraId="2D23BE2D">
            <w:pPr>
              <w:spacing w:line="360" w:lineRule="auto"/>
              <w:jc w:val="center"/>
              <w:rPr>
                <w:rFonts w:ascii="仿宋" w:hAnsi="仿宋" w:eastAsia="仿宋" w:cs="仿宋"/>
                <w:sz w:val="24"/>
                <w:szCs w:val="24"/>
              </w:rPr>
            </w:pPr>
            <w:r>
              <w:rPr>
                <w:rFonts w:hint="eastAsia" w:ascii="仿宋" w:hAnsi="仿宋" w:eastAsia="仿宋" w:cs="仿宋"/>
                <w:sz w:val="24"/>
                <w:szCs w:val="24"/>
              </w:rPr>
              <w:t>偏离说明</w:t>
            </w:r>
          </w:p>
        </w:tc>
        <w:tc>
          <w:tcPr>
            <w:tcW w:w="1134" w:type="dxa"/>
            <w:noWrap w:val="0"/>
            <w:vAlign w:val="center"/>
          </w:tcPr>
          <w:p w14:paraId="1D4DEEBF">
            <w:pPr>
              <w:spacing w:line="360" w:lineRule="auto"/>
              <w:jc w:val="center"/>
              <w:rPr>
                <w:rFonts w:ascii="仿宋" w:hAnsi="仿宋" w:eastAsia="仿宋" w:cs="仿宋"/>
                <w:bCs/>
                <w:sz w:val="24"/>
                <w:szCs w:val="24"/>
              </w:rPr>
            </w:pPr>
            <w:r>
              <w:rPr>
                <w:rFonts w:hint="eastAsia" w:ascii="仿宋" w:hAnsi="仿宋" w:eastAsia="仿宋" w:cs="仿宋"/>
                <w:bCs/>
                <w:sz w:val="24"/>
                <w:szCs w:val="24"/>
              </w:rPr>
              <w:t>备注</w:t>
            </w:r>
          </w:p>
        </w:tc>
      </w:tr>
      <w:tr w14:paraId="5558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6" w:type="dxa"/>
            <w:noWrap w:val="0"/>
            <w:vAlign w:val="center"/>
          </w:tcPr>
          <w:p w14:paraId="757941F3">
            <w:pPr>
              <w:jc w:val="center"/>
              <w:rPr>
                <w:rFonts w:ascii="仿宋" w:hAnsi="仿宋" w:eastAsia="仿宋" w:cs="仿宋"/>
                <w:sz w:val="24"/>
                <w:szCs w:val="24"/>
              </w:rPr>
            </w:pPr>
            <w:r>
              <w:rPr>
                <w:rFonts w:hint="eastAsia" w:ascii="仿宋" w:hAnsi="仿宋" w:eastAsia="仿宋" w:cs="仿宋"/>
                <w:sz w:val="24"/>
                <w:szCs w:val="24"/>
              </w:rPr>
              <w:t>1</w:t>
            </w:r>
          </w:p>
        </w:tc>
        <w:tc>
          <w:tcPr>
            <w:tcW w:w="1677" w:type="dxa"/>
            <w:noWrap w:val="0"/>
            <w:vAlign w:val="center"/>
          </w:tcPr>
          <w:p w14:paraId="1BF00EE4">
            <w:pPr>
              <w:rPr>
                <w:rFonts w:ascii="仿宋" w:hAnsi="仿宋" w:eastAsia="仿宋" w:cs="仿宋"/>
                <w:sz w:val="24"/>
                <w:szCs w:val="24"/>
                <w:lang w:val="zh-CN"/>
              </w:rPr>
            </w:pPr>
            <w:r>
              <w:rPr>
                <w:rFonts w:hint="eastAsia" w:ascii="仿宋" w:hAnsi="仿宋" w:eastAsia="仿宋" w:cs="仿宋"/>
                <w:sz w:val="24"/>
                <w:szCs w:val="24"/>
              </w:rPr>
              <w:t>供货期限</w:t>
            </w:r>
          </w:p>
        </w:tc>
        <w:tc>
          <w:tcPr>
            <w:tcW w:w="2410" w:type="dxa"/>
            <w:noWrap w:val="0"/>
            <w:vAlign w:val="center"/>
          </w:tcPr>
          <w:p w14:paraId="0EA6C6E9">
            <w:pPr>
              <w:spacing w:line="360" w:lineRule="auto"/>
              <w:rPr>
                <w:rFonts w:ascii="仿宋" w:hAnsi="仿宋" w:eastAsia="仿宋" w:cs="仿宋"/>
                <w:sz w:val="24"/>
                <w:szCs w:val="24"/>
              </w:rPr>
            </w:pPr>
          </w:p>
        </w:tc>
        <w:tc>
          <w:tcPr>
            <w:tcW w:w="2409" w:type="dxa"/>
            <w:noWrap w:val="0"/>
            <w:vAlign w:val="center"/>
          </w:tcPr>
          <w:p w14:paraId="69E195A2">
            <w:pPr>
              <w:spacing w:line="360" w:lineRule="auto"/>
              <w:rPr>
                <w:rFonts w:ascii="仿宋" w:hAnsi="仿宋" w:eastAsia="仿宋" w:cs="仿宋"/>
                <w:sz w:val="24"/>
                <w:szCs w:val="24"/>
              </w:rPr>
            </w:pPr>
          </w:p>
        </w:tc>
        <w:tc>
          <w:tcPr>
            <w:tcW w:w="1276" w:type="dxa"/>
            <w:noWrap w:val="0"/>
            <w:vAlign w:val="center"/>
          </w:tcPr>
          <w:p w14:paraId="68D7A6ED">
            <w:pPr>
              <w:spacing w:line="360" w:lineRule="auto"/>
              <w:rPr>
                <w:rFonts w:ascii="仿宋" w:hAnsi="仿宋" w:eastAsia="仿宋" w:cs="仿宋"/>
                <w:sz w:val="24"/>
                <w:szCs w:val="24"/>
              </w:rPr>
            </w:pPr>
          </w:p>
        </w:tc>
        <w:tc>
          <w:tcPr>
            <w:tcW w:w="1134" w:type="dxa"/>
            <w:noWrap w:val="0"/>
            <w:vAlign w:val="center"/>
          </w:tcPr>
          <w:p w14:paraId="754358C4">
            <w:pPr>
              <w:spacing w:line="360" w:lineRule="auto"/>
              <w:rPr>
                <w:rFonts w:ascii="仿宋" w:hAnsi="仿宋" w:eastAsia="仿宋" w:cs="仿宋"/>
                <w:sz w:val="24"/>
                <w:szCs w:val="24"/>
              </w:rPr>
            </w:pPr>
          </w:p>
        </w:tc>
      </w:tr>
      <w:tr w14:paraId="604B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6" w:type="dxa"/>
            <w:noWrap w:val="0"/>
            <w:vAlign w:val="center"/>
          </w:tcPr>
          <w:p w14:paraId="73039B17">
            <w:pPr>
              <w:jc w:val="center"/>
              <w:rPr>
                <w:rFonts w:ascii="仿宋" w:hAnsi="仿宋" w:eastAsia="仿宋" w:cs="仿宋"/>
                <w:sz w:val="24"/>
                <w:szCs w:val="24"/>
              </w:rPr>
            </w:pPr>
            <w:r>
              <w:rPr>
                <w:rFonts w:hint="eastAsia" w:ascii="仿宋" w:hAnsi="仿宋" w:eastAsia="仿宋" w:cs="仿宋"/>
                <w:sz w:val="24"/>
                <w:szCs w:val="24"/>
              </w:rPr>
              <w:t>2</w:t>
            </w:r>
          </w:p>
        </w:tc>
        <w:tc>
          <w:tcPr>
            <w:tcW w:w="1677" w:type="dxa"/>
            <w:noWrap w:val="0"/>
            <w:vAlign w:val="center"/>
          </w:tcPr>
          <w:p w14:paraId="75336F91">
            <w:pPr>
              <w:rPr>
                <w:rFonts w:ascii="仿宋" w:hAnsi="仿宋" w:eastAsia="仿宋" w:cs="仿宋"/>
                <w:sz w:val="24"/>
                <w:szCs w:val="24"/>
                <w:lang w:val="zh-CN"/>
              </w:rPr>
            </w:pPr>
            <w:r>
              <w:rPr>
                <w:rFonts w:hint="eastAsia" w:ascii="仿宋" w:hAnsi="仿宋" w:eastAsia="仿宋" w:cs="仿宋"/>
                <w:sz w:val="24"/>
                <w:szCs w:val="24"/>
              </w:rPr>
              <w:t>供货</w:t>
            </w:r>
            <w:r>
              <w:rPr>
                <w:rFonts w:hint="eastAsia" w:ascii="仿宋" w:hAnsi="仿宋" w:eastAsia="仿宋" w:cs="仿宋"/>
                <w:sz w:val="24"/>
                <w:szCs w:val="24"/>
                <w:lang w:val="zh-CN"/>
              </w:rPr>
              <w:t>地点</w:t>
            </w:r>
          </w:p>
        </w:tc>
        <w:tc>
          <w:tcPr>
            <w:tcW w:w="2410" w:type="dxa"/>
            <w:noWrap w:val="0"/>
            <w:vAlign w:val="center"/>
          </w:tcPr>
          <w:p w14:paraId="18CE8943">
            <w:pPr>
              <w:spacing w:line="360" w:lineRule="auto"/>
              <w:rPr>
                <w:rFonts w:ascii="仿宋" w:hAnsi="仿宋" w:eastAsia="仿宋" w:cs="仿宋"/>
                <w:sz w:val="24"/>
                <w:szCs w:val="24"/>
              </w:rPr>
            </w:pPr>
          </w:p>
        </w:tc>
        <w:tc>
          <w:tcPr>
            <w:tcW w:w="2409" w:type="dxa"/>
            <w:noWrap w:val="0"/>
            <w:vAlign w:val="center"/>
          </w:tcPr>
          <w:p w14:paraId="6E2DC145">
            <w:pPr>
              <w:spacing w:line="360" w:lineRule="auto"/>
              <w:rPr>
                <w:rFonts w:ascii="仿宋" w:hAnsi="仿宋" w:eastAsia="仿宋" w:cs="仿宋"/>
                <w:sz w:val="24"/>
                <w:szCs w:val="24"/>
              </w:rPr>
            </w:pPr>
          </w:p>
        </w:tc>
        <w:tc>
          <w:tcPr>
            <w:tcW w:w="1276" w:type="dxa"/>
            <w:noWrap w:val="0"/>
            <w:vAlign w:val="center"/>
          </w:tcPr>
          <w:p w14:paraId="3E7D18FF">
            <w:pPr>
              <w:spacing w:line="360" w:lineRule="auto"/>
              <w:rPr>
                <w:rFonts w:ascii="仿宋" w:hAnsi="仿宋" w:eastAsia="仿宋" w:cs="仿宋"/>
                <w:sz w:val="24"/>
                <w:szCs w:val="24"/>
              </w:rPr>
            </w:pPr>
          </w:p>
        </w:tc>
        <w:tc>
          <w:tcPr>
            <w:tcW w:w="1134" w:type="dxa"/>
            <w:noWrap w:val="0"/>
            <w:vAlign w:val="center"/>
          </w:tcPr>
          <w:p w14:paraId="25AD127A">
            <w:pPr>
              <w:spacing w:line="360" w:lineRule="auto"/>
              <w:rPr>
                <w:rFonts w:ascii="仿宋" w:hAnsi="仿宋" w:eastAsia="仿宋" w:cs="仿宋"/>
                <w:sz w:val="24"/>
                <w:szCs w:val="24"/>
              </w:rPr>
            </w:pPr>
          </w:p>
        </w:tc>
      </w:tr>
      <w:tr w14:paraId="7990D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6" w:type="dxa"/>
            <w:noWrap w:val="0"/>
            <w:vAlign w:val="center"/>
          </w:tcPr>
          <w:p w14:paraId="38C161E0">
            <w:pPr>
              <w:jc w:val="center"/>
              <w:rPr>
                <w:rFonts w:ascii="仿宋" w:hAnsi="仿宋" w:eastAsia="仿宋" w:cs="仿宋"/>
                <w:sz w:val="24"/>
                <w:szCs w:val="24"/>
              </w:rPr>
            </w:pPr>
            <w:r>
              <w:rPr>
                <w:rFonts w:hint="eastAsia" w:ascii="仿宋" w:hAnsi="仿宋" w:eastAsia="仿宋" w:cs="仿宋"/>
                <w:sz w:val="24"/>
                <w:szCs w:val="24"/>
              </w:rPr>
              <w:t>3</w:t>
            </w:r>
          </w:p>
        </w:tc>
        <w:tc>
          <w:tcPr>
            <w:tcW w:w="1677" w:type="dxa"/>
            <w:noWrap w:val="0"/>
            <w:vAlign w:val="center"/>
          </w:tcPr>
          <w:p w14:paraId="64D693BE">
            <w:pPr>
              <w:rPr>
                <w:rFonts w:ascii="仿宋" w:hAnsi="仿宋" w:eastAsia="仿宋" w:cs="仿宋"/>
                <w:sz w:val="24"/>
                <w:szCs w:val="24"/>
                <w:lang w:val="zh-CN"/>
              </w:rPr>
            </w:pPr>
            <w:r>
              <w:rPr>
                <w:rFonts w:hint="eastAsia" w:ascii="仿宋" w:hAnsi="仿宋" w:eastAsia="仿宋" w:cs="仿宋"/>
                <w:sz w:val="24"/>
                <w:szCs w:val="24"/>
                <w:lang w:val="zh-CN"/>
              </w:rPr>
              <w:t>付款方式</w:t>
            </w:r>
          </w:p>
        </w:tc>
        <w:tc>
          <w:tcPr>
            <w:tcW w:w="2410" w:type="dxa"/>
            <w:noWrap w:val="0"/>
            <w:vAlign w:val="center"/>
          </w:tcPr>
          <w:p w14:paraId="5F67534A">
            <w:pPr>
              <w:spacing w:line="360" w:lineRule="auto"/>
              <w:rPr>
                <w:rFonts w:ascii="仿宋" w:hAnsi="仿宋" w:eastAsia="仿宋" w:cs="仿宋"/>
                <w:sz w:val="24"/>
                <w:szCs w:val="24"/>
              </w:rPr>
            </w:pPr>
          </w:p>
        </w:tc>
        <w:tc>
          <w:tcPr>
            <w:tcW w:w="2409" w:type="dxa"/>
            <w:noWrap w:val="0"/>
            <w:vAlign w:val="center"/>
          </w:tcPr>
          <w:p w14:paraId="3C1A72FF">
            <w:pPr>
              <w:spacing w:line="360" w:lineRule="auto"/>
              <w:rPr>
                <w:rFonts w:ascii="仿宋" w:hAnsi="仿宋" w:eastAsia="仿宋" w:cs="仿宋"/>
                <w:sz w:val="24"/>
                <w:szCs w:val="24"/>
              </w:rPr>
            </w:pPr>
          </w:p>
        </w:tc>
        <w:tc>
          <w:tcPr>
            <w:tcW w:w="1276" w:type="dxa"/>
            <w:noWrap w:val="0"/>
            <w:vAlign w:val="center"/>
          </w:tcPr>
          <w:p w14:paraId="1EDCF8B8">
            <w:pPr>
              <w:spacing w:line="360" w:lineRule="auto"/>
              <w:rPr>
                <w:rFonts w:ascii="仿宋" w:hAnsi="仿宋" w:eastAsia="仿宋" w:cs="仿宋"/>
                <w:sz w:val="24"/>
                <w:szCs w:val="24"/>
              </w:rPr>
            </w:pPr>
          </w:p>
        </w:tc>
        <w:tc>
          <w:tcPr>
            <w:tcW w:w="1134" w:type="dxa"/>
            <w:noWrap w:val="0"/>
            <w:vAlign w:val="center"/>
          </w:tcPr>
          <w:p w14:paraId="61702F95">
            <w:pPr>
              <w:spacing w:line="360" w:lineRule="auto"/>
              <w:rPr>
                <w:rFonts w:ascii="仿宋" w:hAnsi="仿宋" w:eastAsia="仿宋" w:cs="仿宋"/>
                <w:sz w:val="24"/>
                <w:szCs w:val="24"/>
              </w:rPr>
            </w:pPr>
          </w:p>
        </w:tc>
      </w:tr>
      <w:tr w14:paraId="7DB9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6" w:type="dxa"/>
            <w:noWrap w:val="0"/>
            <w:vAlign w:val="center"/>
          </w:tcPr>
          <w:p w14:paraId="5DDC90E5">
            <w:pPr>
              <w:jc w:val="center"/>
              <w:rPr>
                <w:rFonts w:ascii="仿宋" w:hAnsi="仿宋" w:eastAsia="仿宋" w:cs="仿宋"/>
                <w:sz w:val="24"/>
                <w:szCs w:val="24"/>
              </w:rPr>
            </w:pPr>
            <w:r>
              <w:rPr>
                <w:rFonts w:hint="eastAsia" w:ascii="仿宋" w:hAnsi="仿宋" w:eastAsia="仿宋" w:cs="仿宋"/>
                <w:sz w:val="24"/>
                <w:szCs w:val="24"/>
              </w:rPr>
              <w:t>4</w:t>
            </w:r>
          </w:p>
        </w:tc>
        <w:tc>
          <w:tcPr>
            <w:tcW w:w="1677" w:type="dxa"/>
            <w:noWrap w:val="0"/>
            <w:vAlign w:val="center"/>
          </w:tcPr>
          <w:p w14:paraId="49C2D981">
            <w:pPr>
              <w:rPr>
                <w:rFonts w:ascii="仿宋" w:hAnsi="仿宋" w:eastAsia="仿宋" w:cs="仿宋"/>
                <w:bCs/>
                <w:sz w:val="24"/>
                <w:szCs w:val="24"/>
              </w:rPr>
            </w:pPr>
            <w:r>
              <w:rPr>
                <w:rFonts w:hint="eastAsia" w:ascii="仿宋" w:hAnsi="仿宋" w:eastAsia="仿宋" w:cs="仿宋"/>
                <w:sz w:val="24"/>
                <w:szCs w:val="24"/>
              </w:rPr>
              <w:t>质保售后</w:t>
            </w:r>
          </w:p>
        </w:tc>
        <w:tc>
          <w:tcPr>
            <w:tcW w:w="2410" w:type="dxa"/>
            <w:noWrap w:val="0"/>
            <w:vAlign w:val="center"/>
          </w:tcPr>
          <w:p w14:paraId="4FF73E17">
            <w:pPr>
              <w:spacing w:line="360" w:lineRule="auto"/>
              <w:rPr>
                <w:rFonts w:ascii="仿宋" w:hAnsi="仿宋" w:eastAsia="仿宋" w:cs="仿宋"/>
                <w:sz w:val="24"/>
                <w:szCs w:val="24"/>
              </w:rPr>
            </w:pPr>
          </w:p>
        </w:tc>
        <w:tc>
          <w:tcPr>
            <w:tcW w:w="2409" w:type="dxa"/>
            <w:noWrap w:val="0"/>
            <w:vAlign w:val="center"/>
          </w:tcPr>
          <w:p w14:paraId="29826908">
            <w:pPr>
              <w:spacing w:line="360" w:lineRule="auto"/>
              <w:rPr>
                <w:rFonts w:ascii="仿宋" w:hAnsi="仿宋" w:eastAsia="仿宋" w:cs="仿宋"/>
                <w:sz w:val="24"/>
                <w:szCs w:val="24"/>
              </w:rPr>
            </w:pPr>
          </w:p>
        </w:tc>
        <w:tc>
          <w:tcPr>
            <w:tcW w:w="1276" w:type="dxa"/>
            <w:noWrap w:val="0"/>
            <w:vAlign w:val="center"/>
          </w:tcPr>
          <w:p w14:paraId="0BFD3297">
            <w:pPr>
              <w:spacing w:line="360" w:lineRule="auto"/>
              <w:rPr>
                <w:rFonts w:ascii="仿宋" w:hAnsi="仿宋" w:eastAsia="仿宋" w:cs="仿宋"/>
                <w:sz w:val="24"/>
                <w:szCs w:val="24"/>
              </w:rPr>
            </w:pPr>
          </w:p>
        </w:tc>
        <w:tc>
          <w:tcPr>
            <w:tcW w:w="1134" w:type="dxa"/>
            <w:noWrap w:val="0"/>
            <w:vAlign w:val="center"/>
          </w:tcPr>
          <w:p w14:paraId="533402B8">
            <w:pPr>
              <w:spacing w:line="360" w:lineRule="auto"/>
              <w:rPr>
                <w:rFonts w:ascii="仿宋" w:hAnsi="仿宋" w:eastAsia="仿宋" w:cs="仿宋"/>
                <w:sz w:val="24"/>
                <w:szCs w:val="24"/>
              </w:rPr>
            </w:pPr>
          </w:p>
        </w:tc>
      </w:tr>
      <w:tr w14:paraId="5A7D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6" w:type="dxa"/>
            <w:noWrap w:val="0"/>
            <w:vAlign w:val="center"/>
          </w:tcPr>
          <w:p w14:paraId="293E0662">
            <w:pPr>
              <w:spacing w:line="360" w:lineRule="auto"/>
              <w:jc w:val="center"/>
              <w:rPr>
                <w:rFonts w:ascii="仿宋" w:hAnsi="仿宋" w:eastAsia="仿宋" w:cs="仿宋"/>
                <w:bCs/>
                <w:sz w:val="24"/>
                <w:szCs w:val="24"/>
              </w:rPr>
            </w:pPr>
            <w:r>
              <w:rPr>
                <w:rFonts w:hint="eastAsia" w:ascii="仿宋" w:hAnsi="仿宋" w:eastAsia="仿宋" w:cs="仿宋"/>
                <w:bCs/>
                <w:sz w:val="24"/>
                <w:szCs w:val="24"/>
              </w:rPr>
              <w:t>…</w:t>
            </w:r>
          </w:p>
        </w:tc>
        <w:tc>
          <w:tcPr>
            <w:tcW w:w="1677" w:type="dxa"/>
            <w:noWrap w:val="0"/>
            <w:vAlign w:val="center"/>
          </w:tcPr>
          <w:p w14:paraId="51F05B6F">
            <w:pPr>
              <w:spacing w:line="360" w:lineRule="auto"/>
              <w:rPr>
                <w:rFonts w:ascii="仿宋" w:hAnsi="仿宋" w:eastAsia="仿宋" w:cs="仿宋"/>
                <w:sz w:val="24"/>
                <w:szCs w:val="24"/>
                <w:lang w:val="zh-CN"/>
              </w:rPr>
            </w:pPr>
          </w:p>
        </w:tc>
        <w:tc>
          <w:tcPr>
            <w:tcW w:w="2410" w:type="dxa"/>
            <w:noWrap w:val="0"/>
            <w:vAlign w:val="center"/>
          </w:tcPr>
          <w:p w14:paraId="27F8B530">
            <w:pPr>
              <w:spacing w:line="360" w:lineRule="auto"/>
              <w:rPr>
                <w:rFonts w:ascii="仿宋" w:hAnsi="仿宋" w:eastAsia="仿宋" w:cs="仿宋"/>
                <w:sz w:val="24"/>
                <w:szCs w:val="24"/>
              </w:rPr>
            </w:pPr>
          </w:p>
        </w:tc>
        <w:tc>
          <w:tcPr>
            <w:tcW w:w="2409" w:type="dxa"/>
            <w:noWrap w:val="0"/>
            <w:vAlign w:val="center"/>
          </w:tcPr>
          <w:p w14:paraId="3BCBCD0C">
            <w:pPr>
              <w:spacing w:line="360" w:lineRule="auto"/>
              <w:rPr>
                <w:rFonts w:ascii="仿宋" w:hAnsi="仿宋" w:eastAsia="仿宋" w:cs="仿宋"/>
                <w:sz w:val="24"/>
                <w:szCs w:val="24"/>
              </w:rPr>
            </w:pPr>
          </w:p>
        </w:tc>
        <w:tc>
          <w:tcPr>
            <w:tcW w:w="1276" w:type="dxa"/>
            <w:noWrap w:val="0"/>
            <w:vAlign w:val="center"/>
          </w:tcPr>
          <w:p w14:paraId="631CEE3F">
            <w:pPr>
              <w:spacing w:line="360" w:lineRule="auto"/>
              <w:rPr>
                <w:rFonts w:ascii="仿宋" w:hAnsi="仿宋" w:eastAsia="仿宋" w:cs="仿宋"/>
                <w:sz w:val="24"/>
                <w:szCs w:val="24"/>
              </w:rPr>
            </w:pPr>
          </w:p>
        </w:tc>
        <w:tc>
          <w:tcPr>
            <w:tcW w:w="1134" w:type="dxa"/>
            <w:noWrap w:val="0"/>
            <w:vAlign w:val="center"/>
          </w:tcPr>
          <w:p w14:paraId="36018299">
            <w:pPr>
              <w:spacing w:line="360" w:lineRule="auto"/>
              <w:rPr>
                <w:rFonts w:ascii="仿宋" w:hAnsi="仿宋" w:eastAsia="仿宋" w:cs="仿宋"/>
                <w:sz w:val="24"/>
                <w:szCs w:val="24"/>
              </w:rPr>
            </w:pPr>
          </w:p>
        </w:tc>
      </w:tr>
      <w:tr w14:paraId="402C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996" w:type="dxa"/>
            <w:noWrap w:val="0"/>
            <w:vAlign w:val="center"/>
          </w:tcPr>
          <w:p w14:paraId="54159946">
            <w:pPr>
              <w:spacing w:line="360" w:lineRule="auto"/>
              <w:jc w:val="center"/>
              <w:rPr>
                <w:rFonts w:ascii="仿宋" w:hAnsi="仿宋" w:eastAsia="仿宋" w:cs="仿宋"/>
                <w:bCs/>
                <w:sz w:val="24"/>
                <w:szCs w:val="24"/>
              </w:rPr>
            </w:pPr>
          </w:p>
        </w:tc>
        <w:tc>
          <w:tcPr>
            <w:tcW w:w="1677" w:type="dxa"/>
            <w:noWrap w:val="0"/>
            <w:vAlign w:val="center"/>
          </w:tcPr>
          <w:p w14:paraId="4AB34BE0">
            <w:pPr>
              <w:spacing w:line="360" w:lineRule="auto"/>
              <w:rPr>
                <w:rFonts w:ascii="仿宋" w:hAnsi="仿宋" w:eastAsia="仿宋" w:cs="仿宋"/>
                <w:sz w:val="24"/>
                <w:szCs w:val="24"/>
                <w:lang w:val="zh-CN"/>
              </w:rPr>
            </w:pPr>
          </w:p>
        </w:tc>
        <w:tc>
          <w:tcPr>
            <w:tcW w:w="2410" w:type="dxa"/>
            <w:noWrap w:val="0"/>
            <w:vAlign w:val="center"/>
          </w:tcPr>
          <w:p w14:paraId="6FDEDD73">
            <w:pPr>
              <w:spacing w:line="360" w:lineRule="auto"/>
              <w:rPr>
                <w:rFonts w:ascii="仿宋" w:hAnsi="仿宋" w:eastAsia="仿宋" w:cs="仿宋"/>
                <w:sz w:val="24"/>
                <w:szCs w:val="24"/>
              </w:rPr>
            </w:pPr>
          </w:p>
        </w:tc>
        <w:tc>
          <w:tcPr>
            <w:tcW w:w="2409" w:type="dxa"/>
            <w:noWrap w:val="0"/>
            <w:vAlign w:val="center"/>
          </w:tcPr>
          <w:p w14:paraId="4A2A1F1C">
            <w:pPr>
              <w:spacing w:line="360" w:lineRule="auto"/>
              <w:rPr>
                <w:rFonts w:ascii="仿宋" w:hAnsi="仿宋" w:eastAsia="仿宋" w:cs="仿宋"/>
                <w:sz w:val="24"/>
                <w:szCs w:val="24"/>
              </w:rPr>
            </w:pPr>
          </w:p>
        </w:tc>
        <w:tc>
          <w:tcPr>
            <w:tcW w:w="1276" w:type="dxa"/>
            <w:noWrap w:val="0"/>
            <w:vAlign w:val="center"/>
          </w:tcPr>
          <w:p w14:paraId="35C72D70">
            <w:pPr>
              <w:spacing w:line="360" w:lineRule="auto"/>
              <w:rPr>
                <w:rFonts w:ascii="仿宋" w:hAnsi="仿宋" w:eastAsia="仿宋" w:cs="仿宋"/>
                <w:sz w:val="24"/>
                <w:szCs w:val="24"/>
              </w:rPr>
            </w:pPr>
          </w:p>
        </w:tc>
        <w:tc>
          <w:tcPr>
            <w:tcW w:w="1134" w:type="dxa"/>
            <w:noWrap w:val="0"/>
            <w:vAlign w:val="center"/>
          </w:tcPr>
          <w:p w14:paraId="4F786352">
            <w:pPr>
              <w:spacing w:line="360" w:lineRule="auto"/>
              <w:rPr>
                <w:rFonts w:ascii="仿宋" w:hAnsi="仿宋" w:eastAsia="仿宋" w:cs="仿宋"/>
                <w:sz w:val="24"/>
                <w:szCs w:val="24"/>
              </w:rPr>
            </w:pPr>
          </w:p>
        </w:tc>
      </w:tr>
    </w:tbl>
    <w:p w14:paraId="30F5245D">
      <w:pPr>
        <w:spacing w:line="360" w:lineRule="auto"/>
        <w:rPr>
          <w:rFonts w:ascii="仿宋" w:hAnsi="仿宋" w:eastAsia="仿宋" w:cs="仿宋"/>
          <w:szCs w:val="21"/>
        </w:rPr>
      </w:pPr>
      <w:r>
        <w:rPr>
          <w:rFonts w:hint="eastAsia" w:ascii="仿宋" w:hAnsi="仿宋" w:eastAsia="仿宋" w:cs="仿宋"/>
          <w:szCs w:val="21"/>
          <w:lang w:val="zh-CN"/>
        </w:rPr>
        <w:t>注：</w:t>
      </w:r>
      <w:r>
        <w:rPr>
          <w:rFonts w:hint="eastAsia" w:ascii="仿宋" w:hAnsi="仿宋" w:eastAsia="仿宋" w:cs="仿宋"/>
          <w:szCs w:val="21"/>
        </w:rPr>
        <w:t>1.投标人提交的投标文件中与招标文件的商务部分的要求有不同时，应在本表中把招标文件要求与投标实际响应内容逐项对应列出。并在“偏离说明”项下填写以下内容：优于的，填写“正偏离”；符合的，填写“无偏离”；低于的，填写“负偏离”。</w:t>
      </w:r>
    </w:p>
    <w:p w14:paraId="6E85ADB7">
      <w:pPr>
        <w:spacing w:line="360" w:lineRule="auto"/>
        <w:rPr>
          <w:rFonts w:ascii="仿宋" w:hAnsi="仿宋" w:eastAsia="仿宋" w:cs="仿宋"/>
          <w:szCs w:val="21"/>
        </w:rPr>
      </w:pPr>
      <w:r>
        <w:rPr>
          <w:rFonts w:hint="eastAsia" w:ascii="仿宋" w:hAnsi="仿宋" w:eastAsia="仿宋" w:cs="仿宋"/>
          <w:szCs w:val="21"/>
        </w:rPr>
        <w:t>2.若事项较多，投标人可根据投标内容的实际情况另纸说明。</w:t>
      </w:r>
    </w:p>
    <w:p w14:paraId="3B7F6261">
      <w:pPr>
        <w:spacing w:line="360" w:lineRule="auto"/>
        <w:rPr>
          <w:rFonts w:ascii="仿宋" w:hAnsi="仿宋" w:eastAsia="仿宋" w:cs="仿宋"/>
          <w:szCs w:val="21"/>
        </w:rPr>
      </w:pPr>
      <w:r>
        <w:rPr>
          <w:rFonts w:hint="eastAsia" w:ascii="仿宋" w:hAnsi="仿宋" w:eastAsia="仿宋" w:cs="仿宋"/>
          <w:szCs w:val="21"/>
        </w:rPr>
        <w:t>3.商务条款不允许出现负偏离，否则为无效标。</w:t>
      </w:r>
    </w:p>
    <w:p w14:paraId="4D166622">
      <w:pPr>
        <w:spacing w:line="360" w:lineRule="auto"/>
        <w:ind w:firstLine="480"/>
        <w:rPr>
          <w:rFonts w:ascii="仿宋" w:hAnsi="仿宋" w:eastAsia="仿宋" w:cs="仿宋"/>
          <w:sz w:val="24"/>
          <w:szCs w:val="24"/>
        </w:rPr>
      </w:pPr>
    </w:p>
    <w:p w14:paraId="28CEEE1D">
      <w:pPr>
        <w:spacing w:line="360" w:lineRule="auto"/>
        <w:ind w:firstLine="480"/>
        <w:rPr>
          <w:rFonts w:ascii="仿宋" w:hAnsi="仿宋" w:eastAsia="仿宋" w:cs="仿宋"/>
          <w:sz w:val="24"/>
          <w:szCs w:val="24"/>
        </w:rPr>
      </w:pPr>
    </w:p>
    <w:p w14:paraId="12B6EF55">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5D4E4786">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69BA5299">
      <w:pPr>
        <w:spacing w:line="360" w:lineRule="auto"/>
        <w:ind w:firstLine="482"/>
        <w:rPr>
          <w:rFonts w:ascii="仿宋" w:hAnsi="仿宋" w:eastAsia="仿宋" w:cs="仿宋"/>
          <w:bCs/>
          <w:sz w:val="24"/>
          <w:szCs w:val="24"/>
        </w:rPr>
      </w:pPr>
      <w:r>
        <w:rPr>
          <w:rFonts w:hint="eastAsia" w:ascii="仿宋" w:hAnsi="仿宋" w:eastAsia="仿宋" w:cs="仿宋"/>
          <w:sz w:val="24"/>
        </w:rPr>
        <w:t>投标日期：年月</w:t>
      </w:r>
      <w:r>
        <w:rPr>
          <w:rFonts w:hint="eastAsia" w:ascii="仿宋" w:hAnsi="仿宋" w:eastAsia="仿宋" w:cs="仿宋"/>
          <w:sz w:val="24"/>
          <w:szCs w:val="24"/>
        </w:rPr>
        <w:t>日</w:t>
      </w:r>
    </w:p>
    <w:p w14:paraId="30E8DE45">
      <w:pPr>
        <w:spacing w:line="360" w:lineRule="auto"/>
        <w:rPr>
          <w:rFonts w:ascii="仿宋" w:hAnsi="仿宋" w:eastAsia="仿宋" w:cs="仿宋"/>
          <w:sz w:val="24"/>
          <w:szCs w:val="24"/>
          <w:lang w:val="zh-CN"/>
        </w:rPr>
      </w:pPr>
    </w:p>
    <w:p w14:paraId="27A7F872">
      <w:pPr>
        <w:pStyle w:val="16"/>
        <w:spacing w:line="360" w:lineRule="auto"/>
        <w:ind w:firstLine="0"/>
        <w:rPr>
          <w:rFonts w:ascii="仿宋" w:hAnsi="仿宋" w:eastAsia="仿宋" w:cs="仿宋"/>
          <w:szCs w:val="21"/>
        </w:rPr>
      </w:pPr>
    </w:p>
    <w:p w14:paraId="5520E20B">
      <w:pPr>
        <w:pStyle w:val="16"/>
        <w:spacing w:line="360" w:lineRule="auto"/>
        <w:ind w:firstLine="0"/>
        <w:rPr>
          <w:rFonts w:ascii="仿宋" w:hAnsi="仿宋" w:eastAsia="仿宋" w:cs="仿宋"/>
          <w:b/>
          <w:szCs w:val="21"/>
        </w:rPr>
      </w:pPr>
    </w:p>
    <w:p w14:paraId="3B1AC32E">
      <w:pPr>
        <w:rPr>
          <w:rFonts w:ascii="仿宋" w:hAnsi="仿宋" w:eastAsia="仿宋" w:cs="仿宋"/>
          <w:b/>
          <w:bCs/>
        </w:rPr>
      </w:pPr>
      <w:r>
        <w:rPr>
          <w:rFonts w:hint="eastAsia" w:ascii="仿宋" w:hAnsi="仿宋" w:eastAsia="仿宋" w:cs="仿宋"/>
          <w:b/>
          <w:bCs/>
        </w:rPr>
        <w:br w:type="page" w:clear="all"/>
      </w:r>
    </w:p>
    <w:p w14:paraId="267EC2C7">
      <w:pPr>
        <w:rPr>
          <w:rFonts w:ascii="仿宋" w:hAnsi="仿宋" w:eastAsia="仿宋" w:cs="仿宋"/>
          <w:b/>
          <w:bCs/>
        </w:rPr>
      </w:pPr>
      <w:r>
        <w:rPr>
          <w:rFonts w:hint="eastAsia" w:ascii="仿宋" w:hAnsi="仿宋" w:eastAsia="仿宋" w:cs="仿宋"/>
          <w:bCs/>
          <w:szCs w:val="21"/>
        </w:rPr>
        <w:t>格式7、</w:t>
      </w:r>
      <w:r>
        <w:rPr>
          <w:rFonts w:hint="eastAsia" w:ascii="仿宋" w:hAnsi="仿宋" w:eastAsia="仿宋" w:cs="仿宋"/>
          <w:b/>
          <w:bCs/>
          <w:szCs w:val="21"/>
        </w:rPr>
        <w:t>企业类似业绩一览表</w:t>
      </w:r>
    </w:p>
    <w:p w14:paraId="0C662537">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类似业绩一览表</w:t>
      </w:r>
    </w:p>
    <w:p w14:paraId="25045815">
      <w:pPr>
        <w:pStyle w:val="282"/>
        <w:spacing w:line="420" w:lineRule="exact"/>
        <w:jc w:val="left"/>
        <w:rPr>
          <w:rFonts w:ascii="仿宋" w:hAnsi="仿宋" w:eastAsia="仿宋" w:cs="仿宋"/>
          <w:b/>
          <w:sz w:val="30"/>
          <w:szCs w:val="30"/>
        </w:rPr>
      </w:pPr>
      <w:r>
        <w:rPr>
          <w:rFonts w:hint="eastAsia" w:ascii="仿宋" w:hAnsi="仿宋" w:eastAsia="仿宋" w:cs="仿宋"/>
          <w:sz w:val="24"/>
          <w:szCs w:val="24"/>
        </w:rPr>
        <w:t>项目编号：</w:t>
      </w:r>
    </w:p>
    <w:tbl>
      <w:tblPr>
        <w:tblStyle w:val="65"/>
        <w:tblW w:w="8505"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6"/>
        <w:gridCol w:w="1356"/>
        <w:gridCol w:w="1327"/>
        <w:gridCol w:w="1624"/>
        <w:gridCol w:w="1688"/>
        <w:gridCol w:w="1274"/>
      </w:tblGrid>
      <w:tr w14:paraId="2CA3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0596F965">
            <w:pPr>
              <w:jc w:val="center"/>
              <w:rPr>
                <w:rFonts w:ascii="仿宋" w:hAnsi="仿宋" w:eastAsia="仿宋" w:cs="仿宋"/>
                <w:sz w:val="24"/>
                <w:szCs w:val="24"/>
              </w:rPr>
            </w:pPr>
            <w:r>
              <w:rPr>
                <w:rFonts w:hint="eastAsia" w:ascii="仿宋" w:hAnsi="仿宋" w:eastAsia="仿宋" w:cs="仿宋"/>
                <w:sz w:val="24"/>
                <w:szCs w:val="24"/>
              </w:rPr>
              <w:t>序号</w:t>
            </w:r>
          </w:p>
        </w:tc>
        <w:tc>
          <w:tcPr>
            <w:tcW w:w="1356" w:type="dxa"/>
            <w:noWrap w:val="0"/>
            <w:vAlign w:val="center"/>
          </w:tcPr>
          <w:p w14:paraId="142B35BE">
            <w:pPr>
              <w:jc w:val="center"/>
              <w:rPr>
                <w:rFonts w:ascii="仿宋" w:hAnsi="仿宋" w:eastAsia="仿宋" w:cs="仿宋"/>
                <w:sz w:val="24"/>
                <w:szCs w:val="24"/>
              </w:rPr>
            </w:pPr>
            <w:r>
              <w:rPr>
                <w:rFonts w:hint="eastAsia" w:ascii="仿宋" w:hAnsi="仿宋" w:eastAsia="仿宋" w:cs="仿宋"/>
                <w:sz w:val="24"/>
                <w:szCs w:val="24"/>
              </w:rPr>
              <w:t>项目名称</w:t>
            </w:r>
          </w:p>
        </w:tc>
        <w:tc>
          <w:tcPr>
            <w:tcW w:w="1327" w:type="dxa"/>
            <w:noWrap w:val="0"/>
            <w:vAlign w:val="center"/>
          </w:tcPr>
          <w:p w14:paraId="26FE8C72">
            <w:pPr>
              <w:jc w:val="center"/>
              <w:rPr>
                <w:rFonts w:ascii="仿宋" w:hAnsi="仿宋" w:eastAsia="仿宋" w:cs="仿宋"/>
                <w:sz w:val="24"/>
                <w:szCs w:val="24"/>
              </w:rPr>
            </w:pPr>
            <w:r>
              <w:rPr>
                <w:rFonts w:hint="eastAsia" w:ascii="仿宋" w:hAnsi="仿宋" w:eastAsia="仿宋" w:cs="仿宋"/>
                <w:sz w:val="24"/>
                <w:szCs w:val="24"/>
              </w:rPr>
              <w:t>项目时间</w:t>
            </w:r>
          </w:p>
        </w:tc>
        <w:tc>
          <w:tcPr>
            <w:tcW w:w="1624" w:type="dxa"/>
            <w:noWrap w:val="0"/>
            <w:vAlign w:val="center"/>
          </w:tcPr>
          <w:p w14:paraId="6EDE097F">
            <w:pPr>
              <w:tabs>
                <w:tab w:val="left" w:pos="6252"/>
              </w:tabs>
              <w:jc w:val="center"/>
              <w:rPr>
                <w:rFonts w:ascii="仿宋" w:hAnsi="仿宋" w:eastAsia="仿宋" w:cs="仿宋"/>
                <w:sz w:val="24"/>
                <w:szCs w:val="24"/>
              </w:rPr>
            </w:pPr>
            <w:r>
              <w:rPr>
                <w:rFonts w:hint="eastAsia" w:ascii="仿宋" w:hAnsi="仿宋" w:eastAsia="仿宋" w:cs="仿宋"/>
                <w:sz w:val="24"/>
                <w:szCs w:val="24"/>
              </w:rPr>
              <w:t>合同金额</w:t>
            </w:r>
          </w:p>
          <w:p w14:paraId="2C5FFA23">
            <w:pPr>
              <w:tabs>
                <w:tab w:val="left" w:pos="6252"/>
              </w:tabs>
              <w:jc w:val="center"/>
              <w:rPr>
                <w:rFonts w:ascii="仿宋" w:hAnsi="仿宋" w:eastAsia="仿宋" w:cs="仿宋"/>
                <w:sz w:val="24"/>
                <w:szCs w:val="24"/>
              </w:rPr>
            </w:pPr>
            <w:r>
              <w:rPr>
                <w:rFonts w:hint="eastAsia" w:ascii="仿宋" w:hAnsi="仿宋" w:eastAsia="仿宋" w:cs="仿宋"/>
                <w:sz w:val="24"/>
                <w:szCs w:val="24"/>
              </w:rPr>
              <w:t>（人民币）</w:t>
            </w:r>
          </w:p>
        </w:tc>
        <w:tc>
          <w:tcPr>
            <w:tcW w:w="1688" w:type="dxa"/>
            <w:noWrap w:val="0"/>
            <w:vAlign w:val="center"/>
          </w:tcPr>
          <w:p w14:paraId="0927DC50">
            <w:pPr>
              <w:jc w:val="center"/>
              <w:rPr>
                <w:rFonts w:ascii="仿宋" w:hAnsi="仿宋" w:eastAsia="仿宋" w:cs="仿宋"/>
                <w:sz w:val="24"/>
                <w:szCs w:val="24"/>
              </w:rPr>
            </w:pPr>
            <w:r>
              <w:rPr>
                <w:rFonts w:hint="eastAsia" w:ascii="仿宋" w:hAnsi="仿宋" w:eastAsia="仿宋" w:cs="仿宋"/>
                <w:sz w:val="24"/>
                <w:szCs w:val="24"/>
              </w:rPr>
              <w:t>供货内容</w:t>
            </w:r>
          </w:p>
        </w:tc>
        <w:tc>
          <w:tcPr>
            <w:tcW w:w="1274" w:type="dxa"/>
            <w:noWrap w:val="0"/>
            <w:vAlign w:val="center"/>
          </w:tcPr>
          <w:p w14:paraId="42FCD3BD">
            <w:pPr>
              <w:jc w:val="center"/>
              <w:rPr>
                <w:rFonts w:ascii="仿宋" w:hAnsi="仿宋" w:eastAsia="仿宋" w:cs="仿宋"/>
                <w:sz w:val="24"/>
                <w:szCs w:val="24"/>
              </w:rPr>
            </w:pPr>
            <w:r>
              <w:rPr>
                <w:rFonts w:hint="eastAsia" w:ascii="仿宋" w:hAnsi="仿宋" w:eastAsia="仿宋" w:cs="仿宋"/>
                <w:sz w:val="24"/>
                <w:szCs w:val="24"/>
              </w:rPr>
              <w:t>备注</w:t>
            </w:r>
          </w:p>
        </w:tc>
      </w:tr>
      <w:tr w14:paraId="2EBF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5884F9B2">
            <w:pPr>
              <w:jc w:val="center"/>
              <w:rPr>
                <w:rFonts w:ascii="仿宋" w:hAnsi="仿宋" w:eastAsia="仿宋" w:cs="仿宋"/>
                <w:sz w:val="24"/>
                <w:szCs w:val="24"/>
              </w:rPr>
            </w:pPr>
            <w:r>
              <w:rPr>
                <w:rFonts w:hint="eastAsia" w:ascii="仿宋" w:hAnsi="仿宋" w:eastAsia="仿宋" w:cs="仿宋"/>
                <w:sz w:val="24"/>
                <w:szCs w:val="24"/>
              </w:rPr>
              <w:t>1</w:t>
            </w:r>
          </w:p>
        </w:tc>
        <w:tc>
          <w:tcPr>
            <w:tcW w:w="1356" w:type="dxa"/>
            <w:noWrap w:val="0"/>
            <w:vAlign w:val="center"/>
          </w:tcPr>
          <w:p w14:paraId="0F7202EA">
            <w:pPr>
              <w:jc w:val="center"/>
              <w:rPr>
                <w:rFonts w:ascii="仿宋" w:hAnsi="仿宋" w:eastAsia="仿宋" w:cs="仿宋"/>
                <w:sz w:val="24"/>
                <w:szCs w:val="24"/>
              </w:rPr>
            </w:pPr>
          </w:p>
        </w:tc>
        <w:tc>
          <w:tcPr>
            <w:tcW w:w="1327" w:type="dxa"/>
            <w:noWrap w:val="0"/>
            <w:vAlign w:val="center"/>
          </w:tcPr>
          <w:p w14:paraId="7A5517F3">
            <w:pPr>
              <w:jc w:val="center"/>
              <w:rPr>
                <w:rFonts w:ascii="仿宋" w:hAnsi="仿宋" w:eastAsia="仿宋" w:cs="仿宋"/>
                <w:sz w:val="24"/>
                <w:szCs w:val="24"/>
              </w:rPr>
            </w:pPr>
          </w:p>
        </w:tc>
        <w:tc>
          <w:tcPr>
            <w:tcW w:w="1624" w:type="dxa"/>
            <w:noWrap w:val="0"/>
            <w:vAlign w:val="center"/>
          </w:tcPr>
          <w:p w14:paraId="3B909633">
            <w:pPr>
              <w:jc w:val="center"/>
              <w:rPr>
                <w:rFonts w:ascii="仿宋" w:hAnsi="仿宋" w:eastAsia="仿宋" w:cs="仿宋"/>
                <w:sz w:val="24"/>
                <w:szCs w:val="24"/>
              </w:rPr>
            </w:pPr>
          </w:p>
        </w:tc>
        <w:tc>
          <w:tcPr>
            <w:tcW w:w="1688" w:type="dxa"/>
            <w:noWrap w:val="0"/>
            <w:vAlign w:val="center"/>
          </w:tcPr>
          <w:p w14:paraId="21727C36">
            <w:pPr>
              <w:jc w:val="center"/>
              <w:rPr>
                <w:rFonts w:ascii="仿宋" w:hAnsi="仿宋" w:eastAsia="仿宋" w:cs="仿宋"/>
                <w:sz w:val="24"/>
                <w:szCs w:val="24"/>
              </w:rPr>
            </w:pPr>
          </w:p>
        </w:tc>
        <w:tc>
          <w:tcPr>
            <w:tcW w:w="1274" w:type="dxa"/>
            <w:noWrap w:val="0"/>
            <w:vAlign w:val="center"/>
          </w:tcPr>
          <w:p w14:paraId="140E0224">
            <w:pPr>
              <w:jc w:val="center"/>
              <w:rPr>
                <w:rFonts w:ascii="仿宋" w:hAnsi="仿宋" w:eastAsia="仿宋" w:cs="仿宋"/>
                <w:sz w:val="24"/>
                <w:szCs w:val="24"/>
              </w:rPr>
            </w:pPr>
          </w:p>
        </w:tc>
      </w:tr>
      <w:tr w14:paraId="121E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63FDD960">
            <w:pPr>
              <w:jc w:val="center"/>
              <w:rPr>
                <w:rFonts w:ascii="仿宋" w:hAnsi="仿宋" w:eastAsia="仿宋" w:cs="仿宋"/>
                <w:sz w:val="24"/>
                <w:szCs w:val="24"/>
              </w:rPr>
            </w:pPr>
            <w:r>
              <w:rPr>
                <w:rFonts w:hint="eastAsia" w:ascii="仿宋" w:hAnsi="仿宋" w:eastAsia="仿宋" w:cs="仿宋"/>
                <w:sz w:val="24"/>
                <w:szCs w:val="24"/>
              </w:rPr>
              <w:t>2</w:t>
            </w:r>
          </w:p>
        </w:tc>
        <w:tc>
          <w:tcPr>
            <w:tcW w:w="1356" w:type="dxa"/>
            <w:noWrap w:val="0"/>
            <w:vAlign w:val="center"/>
          </w:tcPr>
          <w:p w14:paraId="04C21CDD">
            <w:pPr>
              <w:jc w:val="center"/>
              <w:rPr>
                <w:rFonts w:ascii="仿宋" w:hAnsi="仿宋" w:eastAsia="仿宋" w:cs="仿宋"/>
                <w:sz w:val="24"/>
                <w:szCs w:val="24"/>
              </w:rPr>
            </w:pPr>
          </w:p>
        </w:tc>
        <w:tc>
          <w:tcPr>
            <w:tcW w:w="1327" w:type="dxa"/>
            <w:noWrap w:val="0"/>
            <w:vAlign w:val="center"/>
          </w:tcPr>
          <w:p w14:paraId="50195F61">
            <w:pPr>
              <w:jc w:val="center"/>
              <w:rPr>
                <w:rFonts w:ascii="仿宋" w:hAnsi="仿宋" w:eastAsia="仿宋" w:cs="仿宋"/>
                <w:sz w:val="24"/>
                <w:szCs w:val="24"/>
              </w:rPr>
            </w:pPr>
          </w:p>
        </w:tc>
        <w:tc>
          <w:tcPr>
            <w:tcW w:w="1624" w:type="dxa"/>
            <w:noWrap w:val="0"/>
            <w:vAlign w:val="center"/>
          </w:tcPr>
          <w:p w14:paraId="5D5D55A0">
            <w:pPr>
              <w:jc w:val="center"/>
              <w:rPr>
                <w:rFonts w:ascii="仿宋" w:hAnsi="仿宋" w:eastAsia="仿宋" w:cs="仿宋"/>
                <w:sz w:val="24"/>
                <w:szCs w:val="24"/>
              </w:rPr>
            </w:pPr>
          </w:p>
        </w:tc>
        <w:tc>
          <w:tcPr>
            <w:tcW w:w="1688" w:type="dxa"/>
            <w:noWrap w:val="0"/>
            <w:vAlign w:val="center"/>
          </w:tcPr>
          <w:p w14:paraId="4E1D967A">
            <w:pPr>
              <w:jc w:val="center"/>
              <w:rPr>
                <w:rFonts w:ascii="仿宋" w:hAnsi="仿宋" w:eastAsia="仿宋" w:cs="仿宋"/>
                <w:sz w:val="24"/>
                <w:szCs w:val="24"/>
              </w:rPr>
            </w:pPr>
          </w:p>
        </w:tc>
        <w:tc>
          <w:tcPr>
            <w:tcW w:w="1274" w:type="dxa"/>
            <w:noWrap w:val="0"/>
            <w:vAlign w:val="center"/>
          </w:tcPr>
          <w:p w14:paraId="7A6CA3D6">
            <w:pPr>
              <w:jc w:val="center"/>
              <w:rPr>
                <w:rFonts w:ascii="仿宋" w:hAnsi="仿宋" w:eastAsia="仿宋" w:cs="仿宋"/>
                <w:sz w:val="24"/>
                <w:szCs w:val="24"/>
              </w:rPr>
            </w:pPr>
          </w:p>
        </w:tc>
      </w:tr>
      <w:tr w14:paraId="0D37D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1BA40A87">
            <w:pPr>
              <w:jc w:val="center"/>
              <w:rPr>
                <w:rFonts w:ascii="仿宋" w:hAnsi="仿宋" w:eastAsia="仿宋" w:cs="仿宋"/>
                <w:sz w:val="24"/>
                <w:szCs w:val="24"/>
              </w:rPr>
            </w:pPr>
            <w:r>
              <w:rPr>
                <w:rFonts w:hint="eastAsia" w:ascii="仿宋" w:hAnsi="仿宋" w:eastAsia="仿宋" w:cs="仿宋"/>
                <w:sz w:val="24"/>
                <w:szCs w:val="24"/>
              </w:rPr>
              <w:t>3</w:t>
            </w:r>
          </w:p>
        </w:tc>
        <w:tc>
          <w:tcPr>
            <w:tcW w:w="1356" w:type="dxa"/>
            <w:noWrap w:val="0"/>
            <w:vAlign w:val="center"/>
          </w:tcPr>
          <w:p w14:paraId="54F73EE4">
            <w:pPr>
              <w:jc w:val="center"/>
              <w:rPr>
                <w:rFonts w:ascii="仿宋" w:hAnsi="仿宋" w:eastAsia="仿宋" w:cs="仿宋"/>
                <w:sz w:val="24"/>
                <w:szCs w:val="24"/>
              </w:rPr>
            </w:pPr>
          </w:p>
        </w:tc>
        <w:tc>
          <w:tcPr>
            <w:tcW w:w="1327" w:type="dxa"/>
            <w:noWrap w:val="0"/>
            <w:vAlign w:val="center"/>
          </w:tcPr>
          <w:p w14:paraId="71208E97">
            <w:pPr>
              <w:jc w:val="center"/>
              <w:rPr>
                <w:rFonts w:ascii="仿宋" w:hAnsi="仿宋" w:eastAsia="仿宋" w:cs="仿宋"/>
                <w:sz w:val="24"/>
                <w:szCs w:val="24"/>
              </w:rPr>
            </w:pPr>
          </w:p>
        </w:tc>
        <w:tc>
          <w:tcPr>
            <w:tcW w:w="1624" w:type="dxa"/>
            <w:noWrap w:val="0"/>
            <w:vAlign w:val="center"/>
          </w:tcPr>
          <w:p w14:paraId="536910F8">
            <w:pPr>
              <w:jc w:val="center"/>
              <w:rPr>
                <w:rFonts w:ascii="仿宋" w:hAnsi="仿宋" w:eastAsia="仿宋" w:cs="仿宋"/>
                <w:sz w:val="24"/>
                <w:szCs w:val="24"/>
              </w:rPr>
            </w:pPr>
          </w:p>
        </w:tc>
        <w:tc>
          <w:tcPr>
            <w:tcW w:w="1688" w:type="dxa"/>
            <w:noWrap w:val="0"/>
            <w:vAlign w:val="center"/>
          </w:tcPr>
          <w:p w14:paraId="73114093">
            <w:pPr>
              <w:jc w:val="center"/>
              <w:rPr>
                <w:rFonts w:ascii="仿宋" w:hAnsi="仿宋" w:eastAsia="仿宋" w:cs="仿宋"/>
                <w:sz w:val="24"/>
                <w:szCs w:val="24"/>
              </w:rPr>
            </w:pPr>
          </w:p>
        </w:tc>
        <w:tc>
          <w:tcPr>
            <w:tcW w:w="1274" w:type="dxa"/>
            <w:noWrap w:val="0"/>
            <w:vAlign w:val="center"/>
          </w:tcPr>
          <w:p w14:paraId="1F37C2B2">
            <w:pPr>
              <w:jc w:val="center"/>
              <w:rPr>
                <w:rFonts w:ascii="仿宋" w:hAnsi="仿宋" w:eastAsia="仿宋" w:cs="仿宋"/>
                <w:sz w:val="24"/>
                <w:szCs w:val="24"/>
              </w:rPr>
            </w:pPr>
          </w:p>
        </w:tc>
      </w:tr>
      <w:tr w14:paraId="77F4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3E13A237">
            <w:pPr>
              <w:jc w:val="center"/>
              <w:rPr>
                <w:rFonts w:ascii="仿宋" w:hAnsi="仿宋" w:eastAsia="仿宋" w:cs="仿宋"/>
                <w:sz w:val="24"/>
                <w:szCs w:val="24"/>
              </w:rPr>
            </w:pPr>
            <w:r>
              <w:rPr>
                <w:rFonts w:hint="eastAsia" w:ascii="仿宋" w:hAnsi="仿宋" w:eastAsia="仿宋" w:cs="仿宋"/>
                <w:sz w:val="24"/>
                <w:szCs w:val="24"/>
              </w:rPr>
              <w:t>4</w:t>
            </w:r>
          </w:p>
        </w:tc>
        <w:tc>
          <w:tcPr>
            <w:tcW w:w="1356" w:type="dxa"/>
            <w:noWrap w:val="0"/>
            <w:vAlign w:val="center"/>
          </w:tcPr>
          <w:p w14:paraId="79EA6383">
            <w:pPr>
              <w:jc w:val="center"/>
              <w:rPr>
                <w:rFonts w:ascii="仿宋" w:hAnsi="仿宋" w:eastAsia="仿宋" w:cs="仿宋"/>
                <w:sz w:val="24"/>
                <w:szCs w:val="24"/>
              </w:rPr>
            </w:pPr>
          </w:p>
        </w:tc>
        <w:tc>
          <w:tcPr>
            <w:tcW w:w="1327" w:type="dxa"/>
            <w:noWrap w:val="0"/>
            <w:vAlign w:val="center"/>
          </w:tcPr>
          <w:p w14:paraId="00E477BB">
            <w:pPr>
              <w:jc w:val="center"/>
              <w:rPr>
                <w:rFonts w:ascii="仿宋" w:hAnsi="仿宋" w:eastAsia="仿宋" w:cs="仿宋"/>
                <w:sz w:val="24"/>
                <w:szCs w:val="24"/>
              </w:rPr>
            </w:pPr>
          </w:p>
        </w:tc>
        <w:tc>
          <w:tcPr>
            <w:tcW w:w="1624" w:type="dxa"/>
            <w:noWrap w:val="0"/>
            <w:vAlign w:val="center"/>
          </w:tcPr>
          <w:p w14:paraId="3D12DE9F">
            <w:pPr>
              <w:jc w:val="center"/>
              <w:rPr>
                <w:rFonts w:ascii="仿宋" w:hAnsi="仿宋" w:eastAsia="仿宋" w:cs="仿宋"/>
                <w:sz w:val="24"/>
                <w:szCs w:val="24"/>
              </w:rPr>
            </w:pPr>
          </w:p>
        </w:tc>
        <w:tc>
          <w:tcPr>
            <w:tcW w:w="1688" w:type="dxa"/>
            <w:noWrap w:val="0"/>
            <w:vAlign w:val="center"/>
          </w:tcPr>
          <w:p w14:paraId="4EE07F35">
            <w:pPr>
              <w:jc w:val="center"/>
              <w:rPr>
                <w:rFonts w:ascii="仿宋" w:hAnsi="仿宋" w:eastAsia="仿宋" w:cs="仿宋"/>
                <w:sz w:val="24"/>
                <w:szCs w:val="24"/>
              </w:rPr>
            </w:pPr>
          </w:p>
        </w:tc>
        <w:tc>
          <w:tcPr>
            <w:tcW w:w="1274" w:type="dxa"/>
            <w:noWrap w:val="0"/>
            <w:vAlign w:val="center"/>
          </w:tcPr>
          <w:p w14:paraId="79D3E378">
            <w:pPr>
              <w:jc w:val="center"/>
              <w:rPr>
                <w:rFonts w:ascii="仿宋" w:hAnsi="仿宋" w:eastAsia="仿宋" w:cs="仿宋"/>
                <w:sz w:val="24"/>
                <w:szCs w:val="24"/>
              </w:rPr>
            </w:pPr>
          </w:p>
        </w:tc>
      </w:tr>
      <w:tr w14:paraId="29B9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2B70EEB0">
            <w:pPr>
              <w:jc w:val="center"/>
              <w:rPr>
                <w:rFonts w:ascii="仿宋" w:hAnsi="仿宋" w:eastAsia="仿宋" w:cs="仿宋"/>
                <w:sz w:val="24"/>
                <w:szCs w:val="24"/>
              </w:rPr>
            </w:pPr>
            <w:r>
              <w:rPr>
                <w:rFonts w:hint="eastAsia" w:ascii="仿宋" w:hAnsi="仿宋" w:eastAsia="仿宋" w:cs="仿宋"/>
                <w:sz w:val="24"/>
                <w:szCs w:val="24"/>
              </w:rPr>
              <w:t>5</w:t>
            </w:r>
          </w:p>
        </w:tc>
        <w:tc>
          <w:tcPr>
            <w:tcW w:w="1356" w:type="dxa"/>
            <w:noWrap w:val="0"/>
            <w:vAlign w:val="center"/>
          </w:tcPr>
          <w:p w14:paraId="3F666895">
            <w:pPr>
              <w:jc w:val="center"/>
              <w:rPr>
                <w:rFonts w:ascii="仿宋" w:hAnsi="仿宋" w:eastAsia="仿宋" w:cs="仿宋"/>
                <w:sz w:val="24"/>
                <w:szCs w:val="24"/>
              </w:rPr>
            </w:pPr>
          </w:p>
        </w:tc>
        <w:tc>
          <w:tcPr>
            <w:tcW w:w="1327" w:type="dxa"/>
            <w:noWrap w:val="0"/>
            <w:vAlign w:val="center"/>
          </w:tcPr>
          <w:p w14:paraId="3426E284">
            <w:pPr>
              <w:jc w:val="center"/>
              <w:rPr>
                <w:rFonts w:ascii="仿宋" w:hAnsi="仿宋" w:eastAsia="仿宋" w:cs="仿宋"/>
                <w:sz w:val="24"/>
                <w:szCs w:val="24"/>
              </w:rPr>
            </w:pPr>
          </w:p>
        </w:tc>
        <w:tc>
          <w:tcPr>
            <w:tcW w:w="1624" w:type="dxa"/>
            <w:noWrap w:val="0"/>
            <w:vAlign w:val="center"/>
          </w:tcPr>
          <w:p w14:paraId="429A2EEE">
            <w:pPr>
              <w:jc w:val="center"/>
              <w:rPr>
                <w:rFonts w:ascii="仿宋" w:hAnsi="仿宋" w:eastAsia="仿宋" w:cs="仿宋"/>
                <w:sz w:val="24"/>
                <w:szCs w:val="24"/>
              </w:rPr>
            </w:pPr>
          </w:p>
        </w:tc>
        <w:tc>
          <w:tcPr>
            <w:tcW w:w="1688" w:type="dxa"/>
            <w:noWrap w:val="0"/>
            <w:vAlign w:val="center"/>
          </w:tcPr>
          <w:p w14:paraId="6DC4D6CA">
            <w:pPr>
              <w:jc w:val="center"/>
              <w:rPr>
                <w:rFonts w:ascii="仿宋" w:hAnsi="仿宋" w:eastAsia="仿宋" w:cs="仿宋"/>
                <w:sz w:val="24"/>
                <w:szCs w:val="24"/>
              </w:rPr>
            </w:pPr>
          </w:p>
        </w:tc>
        <w:tc>
          <w:tcPr>
            <w:tcW w:w="1274" w:type="dxa"/>
            <w:noWrap w:val="0"/>
            <w:vAlign w:val="center"/>
          </w:tcPr>
          <w:p w14:paraId="728C3823">
            <w:pPr>
              <w:jc w:val="center"/>
              <w:rPr>
                <w:rFonts w:ascii="仿宋" w:hAnsi="仿宋" w:eastAsia="仿宋" w:cs="仿宋"/>
                <w:sz w:val="24"/>
                <w:szCs w:val="24"/>
              </w:rPr>
            </w:pPr>
          </w:p>
        </w:tc>
      </w:tr>
      <w:tr w14:paraId="1C3E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658CBC8D">
            <w:pPr>
              <w:jc w:val="center"/>
              <w:rPr>
                <w:rFonts w:ascii="仿宋" w:hAnsi="仿宋" w:eastAsia="仿宋" w:cs="仿宋"/>
                <w:sz w:val="24"/>
                <w:szCs w:val="24"/>
              </w:rPr>
            </w:pPr>
            <w:r>
              <w:rPr>
                <w:rFonts w:hint="eastAsia" w:ascii="仿宋" w:hAnsi="仿宋" w:eastAsia="仿宋" w:cs="仿宋"/>
                <w:sz w:val="24"/>
                <w:szCs w:val="24"/>
              </w:rPr>
              <w:t>6</w:t>
            </w:r>
          </w:p>
        </w:tc>
        <w:tc>
          <w:tcPr>
            <w:tcW w:w="1356" w:type="dxa"/>
            <w:noWrap w:val="0"/>
            <w:vAlign w:val="center"/>
          </w:tcPr>
          <w:p w14:paraId="1414662B">
            <w:pPr>
              <w:jc w:val="center"/>
              <w:rPr>
                <w:rFonts w:ascii="仿宋" w:hAnsi="仿宋" w:eastAsia="仿宋" w:cs="仿宋"/>
                <w:sz w:val="24"/>
                <w:szCs w:val="24"/>
              </w:rPr>
            </w:pPr>
          </w:p>
        </w:tc>
        <w:tc>
          <w:tcPr>
            <w:tcW w:w="1327" w:type="dxa"/>
            <w:noWrap w:val="0"/>
            <w:vAlign w:val="center"/>
          </w:tcPr>
          <w:p w14:paraId="7F90BADF">
            <w:pPr>
              <w:jc w:val="center"/>
              <w:rPr>
                <w:rFonts w:ascii="仿宋" w:hAnsi="仿宋" w:eastAsia="仿宋" w:cs="仿宋"/>
                <w:sz w:val="24"/>
                <w:szCs w:val="24"/>
              </w:rPr>
            </w:pPr>
          </w:p>
        </w:tc>
        <w:tc>
          <w:tcPr>
            <w:tcW w:w="1624" w:type="dxa"/>
            <w:noWrap w:val="0"/>
            <w:vAlign w:val="center"/>
          </w:tcPr>
          <w:p w14:paraId="584A3C11">
            <w:pPr>
              <w:jc w:val="center"/>
              <w:rPr>
                <w:rFonts w:ascii="仿宋" w:hAnsi="仿宋" w:eastAsia="仿宋" w:cs="仿宋"/>
                <w:sz w:val="24"/>
                <w:szCs w:val="24"/>
              </w:rPr>
            </w:pPr>
          </w:p>
        </w:tc>
        <w:tc>
          <w:tcPr>
            <w:tcW w:w="1688" w:type="dxa"/>
            <w:noWrap w:val="0"/>
            <w:vAlign w:val="center"/>
          </w:tcPr>
          <w:p w14:paraId="3ED8CA67">
            <w:pPr>
              <w:jc w:val="center"/>
              <w:rPr>
                <w:rFonts w:ascii="仿宋" w:hAnsi="仿宋" w:eastAsia="仿宋" w:cs="仿宋"/>
                <w:sz w:val="24"/>
                <w:szCs w:val="24"/>
              </w:rPr>
            </w:pPr>
          </w:p>
        </w:tc>
        <w:tc>
          <w:tcPr>
            <w:tcW w:w="1274" w:type="dxa"/>
            <w:noWrap w:val="0"/>
            <w:vAlign w:val="center"/>
          </w:tcPr>
          <w:p w14:paraId="4A9F5E35">
            <w:pPr>
              <w:jc w:val="center"/>
              <w:rPr>
                <w:rFonts w:ascii="仿宋" w:hAnsi="仿宋" w:eastAsia="仿宋" w:cs="仿宋"/>
                <w:sz w:val="24"/>
                <w:szCs w:val="24"/>
              </w:rPr>
            </w:pPr>
          </w:p>
        </w:tc>
      </w:tr>
      <w:tr w14:paraId="40CB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26926D73">
            <w:pPr>
              <w:jc w:val="center"/>
              <w:rPr>
                <w:rFonts w:ascii="仿宋" w:hAnsi="仿宋" w:eastAsia="仿宋" w:cs="仿宋"/>
                <w:sz w:val="24"/>
                <w:szCs w:val="24"/>
              </w:rPr>
            </w:pPr>
            <w:r>
              <w:rPr>
                <w:rFonts w:hint="eastAsia" w:ascii="仿宋" w:hAnsi="仿宋" w:eastAsia="仿宋" w:cs="仿宋"/>
                <w:sz w:val="24"/>
                <w:szCs w:val="24"/>
              </w:rPr>
              <w:t>……</w:t>
            </w:r>
          </w:p>
        </w:tc>
        <w:tc>
          <w:tcPr>
            <w:tcW w:w="1356" w:type="dxa"/>
            <w:noWrap w:val="0"/>
            <w:vAlign w:val="center"/>
          </w:tcPr>
          <w:p w14:paraId="3C76FC87">
            <w:pPr>
              <w:jc w:val="center"/>
              <w:rPr>
                <w:rFonts w:ascii="仿宋" w:hAnsi="仿宋" w:eastAsia="仿宋" w:cs="仿宋"/>
                <w:sz w:val="24"/>
                <w:szCs w:val="24"/>
              </w:rPr>
            </w:pPr>
          </w:p>
        </w:tc>
        <w:tc>
          <w:tcPr>
            <w:tcW w:w="1327" w:type="dxa"/>
            <w:noWrap w:val="0"/>
            <w:vAlign w:val="center"/>
          </w:tcPr>
          <w:p w14:paraId="2CF07C39">
            <w:pPr>
              <w:jc w:val="center"/>
              <w:rPr>
                <w:rFonts w:ascii="仿宋" w:hAnsi="仿宋" w:eastAsia="仿宋" w:cs="仿宋"/>
                <w:sz w:val="24"/>
                <w:szCs w:val="24"/>
              </w:rPr>
            </w:pPr>
          </w:p>
        </w:tc>
        <w:tc>
          <w:tcPr>
            <w:tcW w:w="1624" w:type="dxa"/>
            <w:noWrap w:val="0"/>
            <w:vAlign w:val="center"/>
          </w:tcPr>
          <w:p w14:paraId="399C8184">
            <w:pPr>
              <w:jc w:val="center"/>
              <w:rPr>
                <w:rFonts w:ascii="仿宋" w:hAnsi="仿宋" w:eastAsia="仿宋" w:cs="仿宋"/>
                <w:sz w:val="24"/>
                <w:szCs w:val="24"/>
              </w:rPr>
            </w:pPr>
          </w:p>
        </w:tc>
        <w:tc>
          <w:tcPr>
            <w:tcW w:w="1688" w:type="dxa"/>
            <w:noWrap w:val="0"/>
            <w:vAlign w:val="center"/>
          </w:tcPr>
          <w:p w14:paraId="1C4C1BF0">
            <w:pPr>
              <w:jc w:val="center"/>
              <w:rPr>
                <w:rFonts w:ascii="仿宋" w:hAnsi="仿宋" w:eastAsia="仿宋" w:cs="仿宋"/>
                <w:sz w:val="24"/>
                <w:szCs w:val="24"/>
              </w:rPr>
            </w:pPr>
          </w:p>
        </w:tc>
        <w:tc>
          <w:tcPr>
            <w:tcW w:w="1274" w:type="dxa"/>
            <w:noWrap w:val="0"/>
            <w:vAlign w:val="center"/>
          </w:tcPr>
          <w:p w14:paraId="75E7FD6F">
            <w:pPr>
              <w:jc w:val="center"/>
              <w:rPr>
                <w:rFonts w:ascii="仿宋" w:hAnsi="仿宋" w:eastAsia="仿宋" w:cs="仿宋"/>
                <w:sz w:val="24"/>
                <w:szCs w:val="24"/>
              </w:rPr>
            </w:pPr>
          </w:p>
        </w:tc>
      </w:tr>
      <w:tr w14:paraId="516B7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37C026F3">
            <w:pPr>
              <w:jc w:val="center"/>
              <w:rPr>
                <w:rFonts w:ascii="仿宋" w:hAnsi="仿宋" w:eastAsia="仿宋" w:cs="仿宋"/>
                <w:sz w:val="24"/>
                <w:szCs w:val="24"/>
              </w:rPr>
            </w:pPr>
          </w:p>
        </w:tc>
        <w:tc>
          <w:tcPr>
            <w:tcW w:w="1356" w:type="dxa"/>
            <w:noWrap w:val="0"/>
            <w:vAlign w:val="center"/>
          </w:tcPr>
          <w:p w14:paraId="7A8D0BE6">
            <w:pPr>
              <w:jc w:val="center"/>
              <w:rPr>
                <w:rFonts w:ascii="仿宋" w:hAnsi="仿宋" w:eastAsia="仿宋" w:cs="仿宋"/>
                <w:sz w:val="24"/>
                <w:szCs w:val="24"/>
              </w:rPr>
            </w:pPr>
          </w:p>
        </w:tc>
        <w:tc>
          <w:tcPr>
            <w:tcW w:w="1327" w:type="dxa"/>
            <w:noWrap w:val="0"/>
            <w:vAlign w:val="center"/>
          </w:tcPr>
          <w:p w14:paraId="23BE2494">
            <w:pPr>
              <w:jc w:val="center"/>
              <w:rPr>
                <w:rFonts w:ascii="仿宋" w:hAnsi="仿宋" w:eastAsia="仿宋" w:cs="仿宋"/>
                <w:sz w:val="24"/>
                <w:szCs w:val="24"/>
              </w:rPr>
            </w:pPr>
          </w:p>
        </w:tc>
        <w:tc>
          <w:tcPr>
            <w:tcW w:w="1624" w:type="dxa"/>
            <w:noWrap w:val="0"/>
            <w:vAlign w:val="center"/>
          </w:tcPr>
          <w:p w14:paraId="701E835C">
            <w:pPr>
              <w:jc w:val="center"/>
              <w:rPr>
                <w:rFonts w:ascii="仿宋" w:hAnsi="仿宋" w:eastAsia="仿宋" w:cs="仿宋"/>
                <w:sz w:val="24"/>
                <w:szCs w:val="24"/>
              </w:rPr>
            </w:pPr>
          </w:p>
        </w:tc>
        <w:tc>
          <w:tcPr>
            <w:tcW w:w="1688" w:type="dxa"/>
            <w:noWrap w:val="0"/>
            <w:vAlign w:val="center"/>
          </w:tcPr>
          <w:p w14:paraId="7AEF6CDB">
            <w:pPr>
              <w:jc w:val="center"/>
              <w:rPr>
                <w:rFonts w:ascii="仿宋" w:hAnsi="仿宋" w:eastAsia="仿宋" w:cs="仿宋"/>
                <w:sz w:val="24"/>
                <w:szCs w:val="24"/>
              </w:rPr>
            </w:pPr>
          </w:p>
        </w:tc>
        <w:tc>
          <w:tcPr>
            <w:tcW w:w="1274" w:type="dxa"/>
            <w:noWrap w:val="0"/>
            <w:vAlign w:val="center"/>
          </w:tcPr>
          <w:p w14:paraId="7ECC97BE">
            <w:pPr>
              <w:jc w:val="center"/>
              <w:rPr>
                <w:rFonts w:ascii="仿宋" w:hAnsi="仿宋" w:eastAsia="仿宋" w:cs="仿宋"/>
                <w:sz w:val="24"/>
                <w:szCs w:val="24"/>
              </w:rPr>
            </w:pPr>
          </w:p>
        </w:tc>
      </w:tr>
      <w:tr w14:paraId="14E23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36" w:type="dxa"/>
            <w:noWrap w:val="0"/>
            <w:vAlign w:val="center"/>
          </w:tcPr>
          <w:p w14:paraId="3120D3A2">
            <w:pPr>
              <w:jc w:val="center"/>
              <w:rPr>
                <w:rFonts w:ascii="仿宋" w:hAnsi="仿宋" w:eastAsia="仿宋" w:cs="仿宋"/>
                <w:sz w:val="24"/>
                <w:szCs w:val="24"/>
              </w:rPr>
            </w:pPr>
          </w:p>
        </w:tc>
        <w:tc>
          <w:tcPr>
            <w:tcW w:w="1356" w:type="dxa"/>
            <w:noWrap w:val="0"/>
            <w:vAlign w:val="center"/>
          </w:tcPr>
          <w:p w14:paraId="71EAEA94">
            <w:pPr>
              <w:jc w:val="center"/>
              <w:rPr>
                <w:rFonts w:ascii="仿宋" w:hAnsi="仿宋" w:eastAsia="仿宋" w:cs="仿宋"/>
                <w:sz w:val="24"/>
                <w:szCs w:val="24"/>
              </w:rPr>
            </w:pPr>
          </w:p>
        </w:tc>
        <w:tc>
          <w:tcPr>
            <w:tcW w:w="1327" w:type="dxa"/>
            <w:noWrap w:val="0"/>
            <w:vAlign w:val="center"/>
          </w:tcPr>
          <w:p w14:paraId="279E76A4">
            <w:pPr>
              <w:jc w:val="center"/>
              <w:rPr>
                <w:rFonts w:ascii="仿宋" w:hAnsi="仿宋" w:eastAsia="仿宋" w:cs="仿宋"/>
                <w:sz w:val="24"/>
                <w:szCs w:val="24"/>
              </w:rPr>
            </w:pPr>
          </w:p>
        </w:tc>
        <w:tc>
          <w:tcPr>
            <w:tcW w:w="1624" w:type="dxa"/>
            <w:noWrap w:val="0"/>
            <w:vAlign w:val="center"/>
          </w:tcPr>
          <w:p w14:paraId="5D79C81D">
            <w:pPr>
              <w:jc w:val="center"/>
              <w:rPr>
                <w:rFonts w:ascii="仿宋" w:hAnsi="仿宋" w:eastAsia="仿宋" w:cs="仿宋"/>
                <w:sz w:val="24"/>
                <w:szCs w:val="24"/>
              </w:rPr>
            </w:pPr>
          </w:p>
        </w:tc>
        <w:tc>
          <w:tcPr>
            <w:tcW w:w="1688" w:type="dxa"/>
            <w:noWrap w:val="0"/>
            <w:vAlign w:val="center"/>
          </w:tcPr>
          <w:p w14:paraId="62E43FD9">
            <w:pPr>
              <w:jc w:val="center"/>
              <w:rPr>
                <w:rFonts w:ascii="仿宋" w:hAnsi="仿宋" w:eastAsia="仿宋" w:cs="仿宋"/>
                <w:sz w:val="24"/>
                <w:szCs w:val="24"/>
              </w:rPr>
            </w:pPr>
          </w:p>
        </w:tc>
        <w:tc>
          <w:tcPr>
            <w:tcW w:w="1274" w:type="dxa"/>
            <w:noWrap w:val="0"/>
            <w:vAlign w:val="center"/>
          </w:tcPr>
          <w:p w14:paraId="260307D3">
            <w:pPr>
              <w:jc w:val="center"/>
              <w:rPr>
                <w:rFonts w:ascii="仿宋" w:hAnsi="仿宋" w:eastAsia="仿宋" w:cs="仿宋"/>
                <w:sz w:val="24"/>
                <w:szCs w:val="24"/>
              </w:rPr>
            </w:pPr>
          </w:p>
        </w:tc>
      </w:tr>
    </w:tbl>
    <w:p w14:paraId="762138BA">
      <w:pPr>
        <w:spacing w:line="360" w:lineRule="auto"/>
        <w:rPr>
          <w:rFonts w:ascii="仿宋" w:hAnsi="仿宋" w:eastAsia="仿宋" w:cs="仿宋"/>
          <w:b/>
          <w:bCs/>
          <w:szCs w:val="21"/>
        </w:rPr>
      </w:pPr>
      <w:r>
        <w:rPr>
          <w:rFonts w:hint="eastAsia" w:ascii="仿宋" w:hAnsi="仿宋" w:eastAsia="仿宋" w:cs="仿宋"/>
          <w:szCs w:val="21"/>
        </w:rPr>
        <w:t xml:space="preserve">  </w:t>
      </w:r>
      <w:r>
        <w:rPr>
          <w:rFonts w:hint="eastAsia" w:ascii="仿宋" w:hAnsi="仿宋" w:eastAsia="仿宋" w:cs="仿宋"/>
          <w:b/>
          <w:bCs/>
          <w:szCs w:val="21"/>
        </w:rPr>
        <w:t>注：按招标文件和评分标准要求提供相应证明材料</w:t>
      </w:r>
    </w:p>
    <w:p w14:paraId="278DEBD3">
      <w:pPr>
        <w:spacing w:line="360" w:lineRule="auto"/>
        <w:ind w:firstLine="420"/>
        <w:rPr>
          <w:rFonts w:ascii="仿宋" w:hAnsi="仿宋" w:eastAsia="仿宋" w:cs="仿宋"/>
        </w:rPr>
      </w:pPr>
    </w:p>
    <w:p w14:paraId="1590CC39">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37671BD7">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3A394968">
      <w:pPr>
        <w:spacing w:line="360" w:lineRule="auto"/>
        <w:ind w:firstLine="482"/>
        <w:rPr>
          <w:rFonts w:ascii="仿宋" w:hAnsi="仿宋" w:eastAsia="仿宋" w:cs="仿宋"/>
          <w:bCs/>
          <w:sz w:val="24"/>
          <w:szCs w:val="24"/>
        </w:rPr>
      </w:pPr>
      <w:r>
        <w:rPr>
          <w:rFonts w:hint="eastAsia" w:ascii="仿宋" w:hAnsi="仿宋" w:eastAsia="仿宋" w:cs="仿宋"/>
          <w:sz w:val="24"/>
        </w:rPr>
        <w:t>投标日期：年月</w:t>
      </w:r>
      <w:r>
        <w:rPr>
          <w:rFonts w:hint="eastAsia" w:ascii="仿宋" w:hAnsi="仿宋" w:eastAsia="仿宋" w:cs="仿宋"/>
          <w:sz w:val="24"/>
          <w:szCs w:val="24"/>
        </w:rPr>
        <w:t>日</w:t>
      </w:r>
    </w:p>
    <w:p w14:paraId="74C81179">
      <w:pPr>
        <w:spacing w:line="360" w:lineRule="auto"/>
        <w:ind w:firstLine="480"/>
        <w:rPr>
          <w:rFonts w:ascii="仿宋" w:hAnsi="仿宋" w:eastAsia="仿宋" w:cs="仿宋"/>
          <w:sz w:val="24"/>
          <w:szCs w:val="24"/>
        </w:rPr>
      </w:pPr>
    </w:p>
    <w:p w14:paraId="2A1BC24B">
      <w:pPr>
        <w:pStyle w:val="16"/>
        <w:ind w:firstLine="0"/>
        <w:rPr>
          <w:rFonts w:ascii="仿宋" w:hAnsi="仿宋" w:eastAsia="仿宋" w:cs="仿宋"/>
          <w:b/>
          <w:bCs/>
          <w:sz w:val="24"/>
          <w:szCs w:val="24"/>
        </w:rPr>
      </w:pPr>
    </w:p>
    <w:p w14:paraId="49C8297C">
      <w:pPr>
        <w:pStyle w:val="16"/>
        <w:ind w:firstLine="0"/>
        <w:rPr>
          <w:rFonts w:ascii="仿宋" w:hAnsi="仿宋" w:eastAsia="仿宋" w:cs="仿宋"/>
          <w:b/>
          <w:bCs/>
          <w:szCs w:val="21"/>
        </w:rPr>
      </w:pPr>
    </w:p>
    <w:p w14:paraId="64296934">
      <w:pPr>
        <w:pStyle w:val="16"/>
        <w:ind w:firstLine="0"/>
        <w:rPr>
          <w:rFonts w:ascii="仿宋" w:hAnsi="仿宋" w:eastAsia="仿宋" w:cs="仿宋"/>
          <w:b/>
          <w:bCs/>
          <w:szCs w:val="21"/>
        </w:rPr>
      </w:pPr>
    </w:p>
    <w:p w14:paraId="35C6AEE7">
      <w:pPr>
        <w:pStyle w:val="16"/>
        <w:ind w:firstLine="0"/>
        <w:rPr>
          <w:rFonts w:ascii="仿宋" w:hAnsi="仿宋" w:eastAsia="仿宋" w:cs="仿宋"/>
          <w:b/>
          <w:bCs/>
          <w:szCs w:val="21"/>
        </w:rPr>
      </w:pPr>
    </w:p>
    <w:p w14:paraId="221F01BF">
      <w:pPr>
        <w:pStyle w:val="16"/>
        <w:ind w:firstLine="0"/>
        <w:rPr>
          <w:rFonts w:ascii="仿宋" w:hAnsi="仿宋" w:eastAsia="仿宋" w:cs="仿宋"/>
          <w:b/>
          <w:bCs/>
          <w:szCs w:val="21"/>
        </w:rPr>
      </w:pPr>
    </w:p>
    <w:p w14:paraId="7BDC562F">
      <w:pPr>
        <w:pStyle w:val="16"/>
        <w:ind w:firstLine="0"/>
        <w:rPr>
          <w:rFonts w:ascii="仿宋" w:hAnsi="仿宋" w:eastAsia="仿宋" w:cs="仿宋"/>
          <w:b/>
          <w:bCs/>
          <w:szCs w:val="21"/>
        </w:rPr>
      </w:pPr>
    </w:p>
    <w:p w14:paraId="667D1620">
      <w:pPr>
        <w:pStyle w:val="16"/>
        <w:ind w:firstLine="0"/>
        <w:rPr>
          <w:rFonts w:ascii="仿宋" w:hAnsi="仿宋" w:eastAsia="仿宋" w:cs="仿宋"/>
          <w:b/>
          <w:bCs/>
          <w:szCs w:val="21"/>
        </w:rPr>
      </w:pPr>
    </w:p>
    <w:p w14:paraId="30334A4B">
      <w:pPr>
        <w:pStyle w:val="16"/>
        <w:ind w:firstLine="0"/>
        <w:rPr>
          <w:rFonts w:ascii="仿宋" w:hAnsi="仿宋" w:eastAsia="仿宋" w:cs="仿宋"/>
          <w:b/>
          <w:bCs/>
          <w:szCs w:val="21"/>
        </w:rPr>
      </w:pPr>
    </w:p>
    <w:p w14:paraId="7A78E92E">
      <w:pPr>
        <w:pStyle w:val="16"/>
        <w:ind w:firstLine="0"/>
        <w:rPr>
          <w:rFonts w:ascii="仿宋" w:hAnsi="仿宋" w:eastAsia="仿宋" w:cs="仿宋"/>
          <w:b/>
          <w:bCs/>
          <w:szCs w:val="21"/>
        </w:rPr>
      </w:pPr>
    </w:p>
    <w:p w14:paraId="6D2D024E">
      <w:pPr>
        <w:pStyle w:val="16"/>
        <w:ind w:firstLine="0"/>
        <w:rPr>
          <w:rFonts w:ascii="仿宋" w:hAnsi="仿宋" w:eastAsia="仿宋" w:cs="仿宋"/>
          <w:b/>
          <w:bCs/>
          <w:szCs w:val="21"/>
        </w:rPr>
      </w:pPr>
    </w:p>
    <w:p w14:paraId="495907F8">
      <w:pPr>
        <w:pStyle w:val="16"/>
        <w:ind w:firstLine="0"/>
        <w:rPr>
          <w:rFonts w:ascii="仿宋" w:hAnsi="仿宋" w:eastAsia="仿宋" w:cs="仿宋"/>
          <w:b/>
          <w:bCs/>
          <w:szCs w:val="21"/>
        </w:rPr>
      </w:pPr>
    </w:p>
    <w:p w14:paraId="46E77923">
      <w:pPr>
        <w:pStyle w:val="16"/>
        <w:ind w:firstLine="0"/>
        <w:rPr>
          <w:rFonts w:ascii="仿宋" w:hAnsi="仿宋" w:eastAsia="仿宋" w:cs="仿宋"/>
          <w:b/>
          <w:bCs/>
          <w:szCs w:val="21"/>
        </w:rPr>
      </w:pPr>
    </w:p>
    <w:p w14:paraId="17CA74ED">
      <w:pPr>
        <w:rPr>
          <w:rFonts w:ascii="仿宋" w:hAnsi="仿宋" w:eastAsia="仿宋" w:cs="仿宋"/>
          <w:bCs/>
          <w:szCs w:val="21"/>
        </w:rPr>
      </w:pPr>
      <w:r>
        <w:rPr>
          <w:rFonts w:hint="eastAsia" w:ascii="仿宋" w:hAnsi="仿宋" w:eastAsia="仿宋" w:cs="仿宋"/>
          <w:bCs/>
          <w:szCs w:val="21"/>
        </w:rPr>
        <w:br w:type="page" w:clear="all"/>
      </w:r>
    </w:p>
    <w:p w14:paraId="3E7F386F">
      <w:pPr>
        <w:rPr>
          <w:rFonts w:ascii="仿宋" w:hAnsi="仿宋" w:eastAsia="仿宋" w:cs="仿宋"/>
          <w:b/>
          <w:bCs/>
          <w:szCs w:val="21"/>
        </w:rPr>
      </w:pPr>
      <w:r>
        <w:rPr>
          <w:rFonts w:hint="eastAsia" w:ascii="仿宋" w:hAnsi="仿宋" w:eastAsia="仿宋" w:cs="仿宋"/>
          <w:bCs/>
          <w:szCs w:val="21"/>
        </w:rPr>
        <w:t>格式8、</w:t>
      </w:r>
      <w:r>
        <w:rPr>
          <w:rFonts w:hint="eastAsia" w:ascii="仿宋" w:hAnsi="仿宋" w:eastAsia="仿宋" w:cs="仿宋"/>
          <w:b/>
          <w:bCs/>
          <w:szCs w:val="21"/>
        </w:rPr>
        <w:t>拟投入本项目的人员情况一览表</w:t>
      </w:r>
    </w:p>
    <w:p w14:paraId="59E6B754">
      <w:pPr>
        <w:pStyle w:val="256"/>
        <w:widowControl w:val="0"/>
        <w:ind w:firstLine="420"/>
        <w:rPr>
          <w:rFonts w:ascii="仿宋" w:hAnsi="仿宋" w:eastAsia="仿宋" w:cs="仿宋"/>
        </w:rPr>
      </w:pPr>
    </w:p>
    <w:p w14:paraId="0566F7D7">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拟投入本项目的人员情况一览表</w:t>
      </w:r>
    </w:p>
    <w:p w14:paraId="2B4C8DFF">
      <w:pPr>
        <w:pStyle w:val="282"/>
        <w:spacing w:line="420" w:lineRule="exact"/>
        <w:jc w:val="left"/>
        <w:rPr>
          <w:rFonts w:ascii="仿宋" w:hAnsi="仿宋" w:eastAsia="仿宋" w:cs="仿宋"/>
          <w:b/>
          <w:sz w:val="30"/>
          <w:szCs w:val="30"/>
        </w:rPr>
      </w:pPr>
      <w:r>
        <w:rPr>
          <w:rFonts w:hint="eastAsia" w:ascii="仿宋" w:hAnsi="仿宋" w:eastAsia="仿宋" w:cs="仿宋"/>
          <w:sz w:val="24"/>
          <w:szCs w:val="24"/>
        </w:rPr>
        <w:t>项目编号：</w:t>
      </w:r>
    </w:p>
    <w:tbl>
      <w:tblPr>
        <w:tblStyle w:val="65"/>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7"/>
        <w:gridCol w:w="1346"/>
        <w:gridCol w:w="1553"/>
        <w:gridCol w:w="1044"/>
        <w:gridCol w:w="960"/>
        <w:gridCol w:w="1116"/>
        <w:gridCol w:w="1632"/>
        <w:gridCol w:w="1037"/>
      </w:tblGrid>
      <w:tr w14:paraId="2145C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000000" w:sz="2" w:space="0"/>
              <w:left w:val="single" w:color="000000" w:sz="2" w:space="0"/>
              <w:bottom w:val="single" w:color="000000" w:sz="2" w:space="0"/>
              <w:right w:val="single" w:color="000000" w:sz="2" w:space="0"/>
            </w:tcBorders>
            <w:noWrap w:val="0"/>
            <w:vAlign w:val="center"/>
          </w:tcPr>
          <w:p w14:paraId="70DBC074">
            <w:pPr>
              <w:jc w:val="center"/>
              <w:rPr>
                <w:rFonts w:ascii="仿宋" w:hAnsi="仿宋" w:eastAsia="仿宋" w:cs="仿宋"/>
                <w:sz w:val="24"/>
                <w:szCs w:val="24"/>
              </w:rPr>
            </w:pPr>
            <w:r>
              <w:rPr>
                <w:rFonts w:hint="eastAsia" w:ascii="仿宋" w:hAnsi="仿宋" w:eastAsia="仿宋" w:cs="仿宋"/>
                <w:sz w:val="24"/>
                <w:szCs w:val="24"/>
              </w:rPr>
              <w:t>序号</w:t>
            </w:r>
          </w:p>
        </w:tc>
        <w:tc>
          <w:tcPr>
            <w:tcW w:w="1346" w:type="dxa"/>
            <w:tcBorders>
              <w:top w:val="single" w:color="000000" w:sz="2" w:space="0"/>
              <w:left w:val="single" w:color="auto" w:sz="4" w:space="0"/>
              <w:bottom w:val="single" w:color="000000" w:sz="2" w:space="0"/>
              <w:right w:val="single" w:color="auto" w:sz="4" w:space="0"/>
            </w:tcBorders>
            <w:noWrap w:val="0"/>
            <w:vAlign w:val="center"/>
          </w:tcPr>
          <w:p w14:paraId="7686E8A7">
            <w:pPr>
              <w:jc w:val="center"/>
              <w:rPr>
                <w:rFonts w:ascii="仿宋" w:hAnsi="仿宋" w:eastAsia="仿宋" w:cs="仿宋"/>
                <w:sz w:val="24"/>
                <w:szCs w:val="24"/>
              </w:rPr>
            </w:pPr>
            <w:r>
              <w:rPr>
                <w:rFonts w:hint="eastAsia" w:ascii="仿宋" w:hAnsi="仿宋" w:eastAsia="仿宋" w:cs="仿宋"/>
                <w:sz w:val="24"/>
                <w:szCs w:val="24"/>
              </w:rPr>
              <w:t>岗位</w:t>
            </w:r>
          </w:p>
        </w:tc>
        <w:tc>
          <w:tcPr>
            <w:tcW w:w="1553" w:type="dxa"/>
            <w:tcBorders>
              <w:top w:val="single" w:color="000000" w:sz="2" w:space="0"/>
              <w:left w:val="single" w:color="auto" w:sz="4" w:space="0"/>
              <w:bottom w:val="single" w:color="000000" w:sz="2" w:space="0"/>
              <w:right w:val="single" w:color="000000" w:sz="2" w:space="0"/>
            </w:tcBorders>
            <w:noWrap w:val="0"/>
            <w:vAlign w:val="center"/>
          </w:tcPr>
          <w:p w14:paraId="6F88B8AA">
            <w:pPr>
              <w:jc w:val="center"/>
              <w:rPr>
                <w:rFonts w:ascii="仿宋" w:hAnsi="仿宋" w:eastAsia="仿宋" w:cs="仿宋"/>
                <w:sz w:val="24"/>
                <w:szCs w:val="24"/>
              </w:rPr>
            </w:pPr>
            <w:r>
              <w:rPr>
                <w:rFonts w:hint="eastAsia" w:ascii="仿宋" w:hAnsi="仿宋" w:eastAsia="仿宋" w:cs="仿宋"/>
                <w:sz w:val="24"/>
                <w:szCs w:val="24"/>
              </w:rPr>
              <w:t>姓名</w:t>
            </w:r>
          </w:p>
        </w:tc>
        <w:tc>
          <w:tcPr>
            <w:tcW w:w="1044" w:type="dxa"/>
            <w:tcBorders>
              <w:top w:val="single" w:color="000000" w:sz="2" w:space="0"/>
              <w:left w:val="single" w:color="auto" w:sz="4" w:space="0"/>
              <w:bottom w:val="single" w:color="000000" w:sz="2" w:space="0"/>
              <w:right w:val="single" w:color="auto" w:sz="4" w:space="0"/>
            </w:tcBorders>
            <w:noWrap w:val="0"/>
            <w:vAlign w:val="center"/>
          </w:tcPr>
          <w:p w14:paraId="4FDA0FCC">
            <w:pPr>
              <w:jc w:val="center"/>
              <w:rPr>
                <w:rFonts w:ascii="仿宋" w:hAnsi="仿宋" w:eastAsia="仿宋" w:cs="仿宋"/>
                <w:sz w:val="24"/>
                <w:szCs w:val="24"/>
              </w:rPr>
            </w:pPr>
            <w:r>
              <w:rPr>
                <w:rFonts w:hint="eastAsia" w:ascii="仿宋" w:hAnsi="仿宋" w:eastAsia="仿宋" w:cs="仿宋"/>
                <w:sz w:val="24"/>
                <w:szCs w:val="24"/>
              </w:rPr>
              <w:t>性别</w:t>
            </w:r>
          </w:p>
        </w:tc>
        <w:tc>
          <w:tcPr>
            <w:tcW w:w="960" w:type="dxa"/>
            <w:tcBorders>
              <w:top w:val="single" w:color="000000" w:sz="2" w:space="0"/>
              <w:left w:val="single" w:color="auto" w:sz="4" w:space="0"/>
              <w:bottom w:val="single" w:color="000000" w:sz="2" w:space="0"/>
              <w:right w:val="single" w:color="auto" w:sz="4" w:space="0"/>
            </w:tcBorders>
            <w:noWrap w:val="0"/>
            <w:vAlign w:val="center"/>
          </w:tcPr>
          <w:p w14:paraId="154EBABA">
            <w:pPr>
              <w:jc w:val="center"/>
              <w:rPr>
                <w:rFonts w:ascii="仿宋" w:hAnsi="仿宋" w:eastAsia="仿宋" w:cs="仿宋"/>
                <w:sz w:val="24"/>
                <w:szCs w:val="24"/>
              </w:rPr>
            </w:pPr>
            <w:r>
              <w:rPr>
                <w:rFonts w:hint="eastAsia" w:ascii="仿宋" w:hAnsi="仿宋" w:eastAsia="仿宋" w:cs="仿宋"/>
                <w:sz w:val="24"/>
                <w:szCs w:val="24"/>
              </w:rPr>
              <w:t>年龄</w:t>
            </w:r>
          </w:p>
        </w:tc>
        <w:tc>
          <w:tcPr>
            <w:tcW w:w="1116" w:type="dxa"/>
            <w:tcBorders>
              <w:top w:val="single" w:color="000000" w:sz="2" w:space="0"/>
              <w:left w:val="single" w:color="auto" w:sz="4" w:space="0"/>
              <w:bottom w:val="single" w:color="000000" w:sz="2" w:space="0"/>
              <w:right w:val="single" w:color="auto" w:sz="4" w:space="0"/>
            </w:tcBorders>
            <w:noWrap w:val="0"/>
            <w:vAlign w:val="center"/>
          </w:tcPr>
          <w:p w14:paraId="4EC5865F">
            <w:pPr>
              <w:jc w:val="center"/>
              <w:rPr>
                <w:rFonts w:ascii="仿宋" w:hAnsi="仿宋" w:eastAsia="仿宋" w:cs="仿宋"/>
                <w:sz w:val="24"/>
                <w:szCs w:val="24"/>
              </w:rPr>
            </w:pPr>
            <w:r>
              <w:rPr>
                <w:rFonts w:hint="eastAsia" w:ascii="仿宋" w:hAnsi="仿宋" w:eastAsia="仿宋" w:cs="仿宋"/>
                <w:sz w:val="24"/>
                <w:szCs w:val="24"/>
              </w:rPr>
              <w:t>学历</w:t>
            </w:r>
          </w:p>
        </w:tc>
        <w:tc>
          <w:tcPr>
            <w:tcW w:w="1632" w:type="dxa"/>
            <w:tcBorders>
              <w:top w:val="single" w:color="000000" w:sz="2" w:space="0"/>
              <w:left w:val="single" w:color="auto" w:sz="4" w:space="0"/>
              <w:bottom w:val="single" w:color="000000" w:sz="2" w:space="0"/>
              <w:right w:val="single" w:color="000000" w:sz="2" w:space="0"/>
            </w:tcBorders>
            <w:noWrap w:val="0"/>
            <w:vAlign w:val="center"/>
          </w:tcPr>
          <w:p w14:paraId="2991EEE5">
            <w:pPr>
              <w:jc w:val="center"/>
              <w:rPr>
                <w:rFonts w:ascii="仿宋" w:hAnsi="仿宋" w:eastAsia="仿宋" w:cs="仿宋"/>
                <w:sz w:val="24"/>
                <w:szCs w:val="24"/>
              </w:rPr>
            </w:pPr>
            <w:r>
              <w:rPr>
                <w:rFonts w:hint="eastAsia" w:ascii="仿宋" w:hAnsi="仿宋" w:eastAsia="仿宋" w:cs="仿宋"/>
                <w:sz w:val="24"/>
                <w:szCs w:val="24"/>
              </w:rPr>
              <w:t>专业技术职称</w:t>
            </w:r>
          </w:p>
        </w:tc>
        <w:tc>
          <w:tcPr>
            <w:tcW w:w="1037" w:type="dxa"/>
            <w:tcBorders>
              <w:top w:val="single" w:color="000000" w:sz="2" w:space="0"/>
              <w:left w:val="single" w:color="auto" w:sz="4" w:space="0"/>
              <w:bottom w:val="single" w:color="000000" w:sz="2" w:space="0"/>
              <w:right w:val="single" w:color="000000" w:sz="2" w:space="0"/>
            </w:tcBorders>
            <w:noWrap w:val="0"/>
            <w:vAlign w:val="center"/>
          </w:tcPr>
          <w:p w14:paraId="11FF1FA3">
            <w:pPr>
              <w:jc w:val="center"/>
              <w:rPr>
                <w:rFonts w:ascii="仿宋" w:hAnsi="仿宋" w:eastAsia="仿宋" w:cs="仿宋"/>
                <w:sz w:val="24"/>
                <w:szCs w:val="24"/>
              </w:rPr>
            </w:pPr>
            <w:r>
              <w:rPr>
                <w:rFonts w:hint="eastAsia" w:ascii="仿宋" w:hAnsi="仿宋" w:eastAsia="仿宋" w:cs="仿宋"/>
                <w:sz w:val="24"/>
                <w:szCs w:val="24"/>
              </w:rPr>
              <w:t>备注</w:t>
            </w:r>
          </w:p>
        </w:tc>
      </w:tr>
      <w:tr w14:paraId="763C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2F6D545D">
            <w:pPr>
              <w:ind w:firstLine="240"/>
              <w:rPr>
                <w:rFonts w:ascii="仿宋" w:hAnsi="仿宋" w:eastAsia="仿宋" w:cs="仿宋"/>
                <w:sz w:val="24"/>
                <w:szCs w:val="24"/>
              </w:rPr>
            </w:pPr>
            <w:r>
              <w:rPr>
                <w:rFonts w:hint="eastAsia" w:ascii="仿宋" w:hAnsi="仿宋" w:eastAsia="仿宋" w:cs="仿宋"/>
                <w:sz w:val="24"/>
                <w:szCs w:val="24"/>
              </w:rPr>
              <w:t>1</w:t>
            </w: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7EE22C70">
            <w:pPr>
              <w:jc w:val="center"/>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5B06A714">
            <w:pPr>
              <w:ind w:firstLine="480"/>
              <w:jc w:val="center"/>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7CB255AD">
            <w:pPr>
              <w:ind w:firstLine="480"/>
              <w:jc w:val="center"/>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2D2FD916">
            <w:pPr>
              <w:ind w:firstLine="480"/>
              <w:jc w:val="center"/>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1DBF3A34">
            <w:pPr>
              <w:ind w:firstLine="480"/>
              <w:jc w:val="center"/>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1CD6E8B7">
            <w:pPr>
              <w:ind w:firstLine="480"/>
              <w:jc w:val="center"/>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6F0D3E60">
            <w:pPr>
              <w:ind w:firstLine="480"/>
              <w:jc w:val="center"/>
              <w:rPr>
                <w:rFonts w:ascii="仿宋" w:hAnsi="仿宋" w:eastAsia="仿宋" w:cs="仿宋"/>
                <w:sz w:val="24"/>
                <w:szCs w:val="24"/>
              </w:rPr>
            </w:pPr>
          </w:p>
        </w:tc>
      </w:tr>
      <w:tr w14:paraId="7617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3FDE023A">
            <w:pPr>
              <w:ind w:firstLine="240"/>
              <w:rPr>
                <w:rFonts w:ascii="仿宋" w:hAnsi="仿宋" w:eastAsia="仿宋" w:cs="仿宋"/>
                <w:sz w:val="24"/>
                <w:szCs w:val="24"/>
              </w:rPr>
            </w:pPr>
            <w:r>
              <w:rPr>
                <w:rFonts w:hint="eastAsia" w:ascii="仿宋" w:hAnsi="仿宋" w:eastAsia="仿宋" w:cs="仿宋"/>
                <w:sz w:val="24"/>
                <w:szCs w:val="24"/>
              </w:rPr>
              <w:t>2</w:t>
            </w: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1CF3B4BA">
            <w:pPr>
              <w:jc w:val="center"/>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41038E24">
            <w:pPr>
              <w:ind w:firstLine="480"/>
              <w:jc w:val="center"/>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6C7B39C2">
            <w:pPr>
              <w:ind w:firstLine="480"/>
              <w:jc w:val="center"/>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0FB2945D">
            <w:pPr>
              <w:ind w:firstLine="480"/>
              <w:jc w:val="center"/>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0FC1ED23">
            <w:pPr>
              <w:ind w:firstLine="480"/>
              <w:jc w:val="center"/>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4FC2D5F4">
            <w:pPr>
              <w:ind w:firstLine="480"/>
              <w:jc w:val="center"/>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45F31F68">
            <w:pPr>
              <w:ind w:firstLine="480"/>
              <w:jc w:val="center"/>
              <w:rPr>
                <w:rFonts w:ascii="仿宋" w:hAnsi="仿宋" w:eastAsia="仿宋" w:cs="仿宋"/>
                <w:sz w:val="24"/>
                <w:szCs w:val="24"/>
              </w:rPr>
            </w:pPr>
          </w:p>
        </w:tc>
      </w:tr>
      <w:tr w14:paraId="249AC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01821A88">
            <w:pPr>
              <w:ind w:firstLine="240"/>
              <w:rPr>
                <w:rFonts w:ascii="仿宋" w:hAnsi="仿宋" w:eastAsia="仿宋" w:cs="仿宋"/>
                <w:sz w:val="24"/>
                <w:szCs w:val="24"/>
              </w:rPr>
            </w:pPr>
            <w:r>
              <w:rPr>
                <w:rFonts w:hint="eastAsia" w:ascii="仿宋" w:hAnsi="仿宋" w:eastAsia="仿宋" w:cs="仿宋"/>
                <w:sz w:val="24"/>
                <w:szCs w:val="24"/>
              </w:rPr>
              <w:t>3</w:t>
            </w: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089D503B">
            <w:pPr>
              <w:jc w:val="center"/>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59843539">
            <w:pPr>
              <w:ind w:firstLine="480"/>
              <w:jc w:val="center"/>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4BD37495">
            <w:pPr>
              <w:ind w:firstLine="480"/>
              <w:jc w:val="center"/>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49FA7BD0">
            <w:pPr>
              <w:ind w:firstLine="480"/>
              <w:jc w:val="center"/>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52617F1A">
            <w:pPr>
              <w:ind w:firstLine="480"/>
              <w:jc w:val="center"/>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77D99033">
            <w:pPr>
              <w:ind w:firstLine="480"/>
              <w:jc w:val="center"/>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0C309070">
            <w:pPr>
              <w:ind w:firstLine="480"/>
              <w:jc w:val="center"/>
              <w:rPr>
                <w:rFonts w:ascii="仿宋" w:hAnsi="仿宋" w:eastAsia="仿宋" w:cs="仿宋"/>
                <w:sz w:val="24"/>
                <w:szCs w:val="24"/>
              </w:rPr>
            </w:pPr>
          </w:p>
        </w:tc>
      </w:tr>
      <w:tr w14:paraId="3DD6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33F7FA42">
            <w:pPr>
              <w:ind w:firstLine="480"/>
              <w:rPr>
                <w:rFonts w:ascii="仿宋" w:hAnsi="仿宋" w:eastAsia="仿宋" w:cs="仿宋"/>
                <w:sz w:val="24"/>
                <w:szCs w:val="24"/>
              </w:rPr>
            </w:pP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30BC99E9">
            <w:pPr>
              <w:ind w:firstLine="480"/>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635E2707">
            <w:pPr>
              <w:ind w:firstLine="480"/>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26F9F36B">
            <w:pPr>
              <w:ind w:firstLine="480"/>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7FF7BD87">
            <w:pPr>
              <w:ind w:firstLine="480"/>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5AD2FE4F">
            <w:pPr>
              <w:ind w:firstLine="480"/>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60CFC563">
            <w:pPr>
              <w:ind w:firstLine="480"/>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6CE5F94E">
            <w:pPr>
              <w:ind w:firstLine="480"/>
              <w:rPr>
                <w:rFonts w:ascii="仿宋" w:hAnsi="仿宋" w:eastAsia="仿宋" w:cs="仿宋"/>
                <w:sz w:val="24"/>
                <w:szCs w:val="24"/>
              </w:rPr>
            </w:pPr>
          </w:p>
        </w:tc>
      </w:tr>
      <w:tr w14:paraId="62970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5A87E43E">
            <w:pPr>
              <w:ind w:firstLine="480"/>
              <w:rPr>
                <w:rFonts w:ascii="仿宋" w:hAnsi="仿宋" w:eastAsia="仿宋" w:cs="仿宋"/>
                <w:sz w:val="24"/>
                <w:szCs w:val="24"/>
              </w:rPr>
            </w:pP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1D998B8C">
            <w:pPr>
              <w:ind w:firstLine="480"/>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08AF7063">
            <w:pPr>
              <w:ind w:firstLine="480"/>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787C7C31">
            <w:pPr>
              <w:ind w:firstLine="480"/>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631C8519">
            <w:pPr>
              <w:ind w:firstLine="480"/>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1D57D8BD">
            <w:pPr>
              <w:ind w:firstLine="480"/>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0E5650DF">
            <w:pPr>
              <w:ind w:firstLine="480"/>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36C1BBF6">
            <w:pPr>
              <w:ind w:firstLine="480"/>
              <w:rPr>
                <w:rFonts w:ascii="仿宋" w:hAnsi="仿宋" w:eastAsia="仿宋" w:cs="仿宋"/>
                <w:sz w:val="24"/>
                <w:szCs w:val="24"/>
              </w:rPr>
            </w:pPr>
          </w:p>
        </w:tc>
      </w:tr>
      <w:tr w14:paraId="2D0D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766508B5">
            <w:pPr>
              <w:ind w:firstLine="480"/>
              <w:rPr>
                <w:rFonts w:ascii="仿宋" w:hAnsi="仿宋" w:eastAsia="仿宋" w:cs="仿宋"/>
                <w:sz w:val="24"/>
                <w:szCs w:val="24"/>
              </w:rPr>
            </w:pP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4F36625E">
            <w:pPr>
              <w:ind w:firstLine="480"/>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0FBA61B8">
            <w:pPr>
              <w:ind w:firstLine="480"/>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1EA1F4B7">
            <w:pPr>
              <w:ind w:firstLine="480"/>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6631CDAA">
            <w:pPr>
              <w:ind w:firstLine="480"/>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0A985D90">
            <w:pPr>
              <w:ind w:firstLine="480"/>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68394D62">
            <w:pPr>
              <w:ind w:firstLine="480"/>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4ECA405F">
            <w:pPr>
              <w:ind w:firstLine="480"/>
              <w:rPr>
                <w:rFonts w:ascii="仿宋" w:hAnsi="仿宋" w:eastAsia="仿宋" w:cs="仿宋"/>
                <w:sz w:val="24"/>
                <w:szCs w:val="24"/>
              </w:rPr>
            </w:pPr>
          </w:p>
        </w:tc>
      </w:tr>
      <w:tr w14:paraId="622A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49BCE950">
            <w:pPr>
              <w:ind w:firstLine="480"/>
              <w:rPr>
                <w:rFonts w:ascii="仿宋" w:hAnsi="仿宋" w:eastAsia="仿宋" w:cs="仿宋"/>
                <w:sz w:val="24"/>
                <w:szCs w:val="24"/>
              </w:rPr>
            </w:pP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62C03202">
            <w:pPr>
              <w:ind w:firstLine="480"/>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4AE6FFB1">
            <w:pPr>
              <w:ind w:firstLine="480"/>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755A12B1">
            <w:pPr>
              <w:ind w:firstLine="480"/>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3DD28255">
            <w:pPr>
              <w:ind w:firstLine="480"/>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390F45F9">
            <w:pPr>
              <w:ind w:firstLine="480"/>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43716298">
            <w:pPr>
              <w:ind w:firstLine="480"/>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14A11692">
            <w:pPr>
              <w:ind w:firstLine="480"/>
              <w:rPr>
                <w:rFonts w:ascii="仿宋" w:hAnsi="仿宋" w:eastAsia="仿宋" w:cs="仿宋"/>
                <w:sz w:val="24"/>
                <w:szCs w:val="24"/>
              </w:rPr>
            </w:pPr>
          </w:p>
        </w:tc>
      </w:tr>
      <w:tr w14:paraId="3273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58CB6147">
            <w:pPr>
              <w:ind w:firstLine="480"/>
              <w:rPr>
                <w:rFonts w:ascii="仿宋" w:hAnsi="仿宋" w:eastAsia="仿宋" w:cs="仿宋"/>
                <w:sz w:val="24"/>
                <w:szCs w:val="24"/>
              </w:rPr>
            </w:pP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57365766">
            <w:pPr>
              <w:ind w:firstLine="480"/>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31CFC08A">
            <w:pPr>
              <w:ind w:firstLine="480"/>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79D0F941">
            <w:pPr>
              <w:ind w:firstLine="480"/>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5F32EBA3">
            <w:pPr>
              <w:ind w:firstLine="480"/>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75C37448">
            <w:pPr>
              <w:ind w:firstLine="480"/>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706E694F">
            <w:pPr>
              <w:ind w:firstLine="480"/>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047CE93E">
            <w:pPr>
              <w:ind w:firstLine="480"/>
              <w:rPr>
                <w:rFonts w:ascii="仿宋" w:hAnsi="仿宋" w:eastAsia="仿宋" w:cs="仿宋"/>
                <w:sz w:val="24"/>
                <w:szCs w:val="24"/>
              </w:rPr>
            </w:pPr>
          </w:p>
        </w:tc>
      </w:tr>
      <w:tr w14:paraId="7A72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47" w:type="dxa"/>
            <w:tcBorders>
              <w:top w:val="single" w:color="auto" w:sz="4" w:space="0"/>
              <w:left w:val="single" w:color="000000" w:sz="2" w:space="0"/>
              <w:bottom w:val="single" w:color="000000" w:sz="2" w:space="0"/>
              <w:right w:val="single" w:color="000000" w:sz="2" w:space="0"/>
            </w:tcBorders>
            <w:noWrap w:val="0"/>
            <w:vAlign w:val="center"/>
          </w:tcPr>
          <w:p w14:paraId="71862708">
            <w:pPr>
              <w:ind w:firstLine="480"/>
              <w:rPr>
                <w:rFonts w:ascii="仿宋" w:hAnsi="仿宋" w:eastAsia="仿宋" w:cs="仿宋"/>
                <w:sz w:val="24"/>
                <w:szCs w:val="24"/>
              </w:rPr>
            </w:pPr>
          </w:p>
        </w:tc>
        <w:tc>
          <w:tcPr>
            <w:tcW w:w="1346" w:type="dxa"/>
            <w:tcBorders>
              <w:top w:val="single" w:color="auto" w:sz="4" w:space="0"/>
              <w:left w:val="single" w:color="auto" w:sz="4" w:space="0"/>
              <w:bottom w:val="single" w:color="000000" w:sz="2" w:space="0"/>
              <w:right w:val="single" w:color="auto" w:sz="4" w:space="0"/>
            </w:tcBorders>
            <w:noWrap w:val="0"/>
            <w:vAlign w:val="center"/>
          </w:tcPr>
          <w:p w14:paraId="30B4605F">
            <w:pPr>
              <w:ind w:firstLine="480"/>
              <w:rPr>
                <w:rFonts w:ascii="仿宋" w:hAnsi="仿宋" w:eastAsia="仿宋" w:cs="仿宋"/>
                <w:sz w:val="24"/>
                <w:szCs w:val="24"/>
              </w:rPr>
            </w:pPr>
          </w:p>
        </w:tc>
        <w:tc>
          <w:tcPr>
            <w:tcW w:w="1553" w:type="dxa"/>
            <w:tcBorders>
              <w:top w:val="single" w:color="auto" w:sz="4" w:space="0"/>
              <w:left w:val="single" w:color="auto" w:sz="4" w:space="0"/>
              <w:bottom w:val="single" w:color="000000" w:sz="2" w:space="0"/>
              <w:right w:val="single" w:color="000000" w:sz="2" w:space="0"/>
            </w:tcBorders>
            <w:noWrap w:val="0"/>
            <w:vAlign w:val="center"/>
          </w:tcPr>
          <w:p w14:paraId="789F2A76">
            <w:pPr>
              <w:ind w:firstLine="480"/>
              <w:rPr>
                <w:rFonts w:ascii="仿宋" w:hAnsi="仿宋" w:eastAsia="仿宋" w:cs="仿宋"/>
                <w:sz w:val="24"/>
                <w:szCs w:val="24"/>
              </w:rPr>
            </w:pPr>
          </w:p>
        </w:tc>
        <w:tc>
          <w:tcPr>
            <w:tcW w:w="1044" w:type="dxa"/>
            <w:tcBorders>
              <w:top w:val="single" w:color="auto" w:sz="4" w:space="0"/>
              <w:left w:val="single" w:color="auto" w:sz="4" w:space="0"/>
              <w:bottom w:val="single" w:color="000000" w:sz="2" w:space="0"/>
              <w:right w:val="single" w:color="auto" w:sz="4" w:space="0"/>
            </w:tcBorders>
            <w:noWrap w:val="0"/>
            <w:vAlign w:val="center"/>
          </w:tcPr>
          <w:p w14:paraId="4F631F47">
            <w:pPr>
              <w:ind w:firstLine="480"/>
              <w:rPr>
                <w:rFonts w:ascii="仿宋" w:hAnsi="仿宋" w:eastAsia="仿宋" w:cs="仿宋"/>
                <w:sz w:val="24"/>
                <w:szCs w:val="24"/>
              </w:rPr>
            </w:pPr>
          </w:p>
        </w:tc>
        <w:tc>
          <w:tcPr>
            <w:tcW w:w="960" w:type="dxa"/>
            <w:tcBorders>
              <w:top w:val="single" w:color="auto" w:sz="4" w:space="0"/>
              <w:left w:val="single" w:color="auto" w:sz="4" w:space="0"/>
              <w:bottom w:val="single" w:color="000000" w:sz="2" w:space="0"/>
              <w:right w:val="single" w:color="auto" w:sz="4" w:space="0"/>
            </w:tcBorders>
            <w:noWrap w:val="0"/>
            <w:vAlign w:val="center"/>
          </w:tcPr>
          <w:p w14:paraId="547642A2">
            <w:pPr>
              <w:ind w:firstLine="480"/>
              <w:rPr>
                <w:rFonts w:ascii="仿宋" w:hAnsi="仿宋" w:eastAsia="仿宋" w:cs="仿宋"/>
                <w:sz w:val="24"/>
                <w:szCs w:val="24"/>
              </w:rPr>
            </w:pPr>
          </w:p>
        </w:tc>
        <w:tc>
          <w:tcPr>
            <w:tcW w:w="1116" w:type="dxa"/>
            <w:tcBorders>
              <w:top w:val="single" w:color="auto" w:sz="4" w:space="0"/>
              <w:left w:val="single" w:color="auto" w:sz="4" w:space="0"/>
              <w:bottom w:val="single" w:color="000000" w:sz="2" w:space="0"/>
              <w:right w:val="single" w:color="auto" w:sz="4" w:space="0"/>
            </w:tcBorders>
            <w:noWrap w:val="0"/>
            <w:vAlign w:val="center"/>
          </w:tcPr>
          <w:p w14:paraId="39512544">
            <w:pPr>
              <w:ind w:firstLine="480"/>
              <w:rPr>
                <w:rFonts w:ascii="仿宋" w:hAnsi="仿宋" w:eastAsia="仿宋" w:cs="仿宋"/>
                <w:sz w:val="24"/>
                <w:szCs w:val="24"/>
              </w:rPr>
            </w:pPr>
          </w:p>
        </w:tc>
        <w:tc>
          <w:tcPr>
            <w:tcW w:w="1632" w:type="dxa"/>
            <w:tcBorders>
              <w:top w:val="single" w:color="auto" w:sz="4" w:space="0"/>
              <w:left w:val="single" w:color="auto" w:sz="4" w:space="0"/>
              <w:bottom w:val="single" w:color="000000" w:sz="2" w:space="0"/>
              <w:right w:val="single" w:color="000000" w:sz="2" w:space="0"/>
            </w:tcBorders>
            <w:noWrap w:val="0"/>
            <w:vAlign w:val="center"/>
          </w:tcPr>
          <w:p w14:paraId="4E17C31C">
            <w:pPr>
              <w:ind w:firstLine="480"/>
              <w:rPr>
                <w:rFonts w:ascii="仿宋" w:hAnsi="仿宋" w:eastAsia="仿宋" w:cs="仿宋"/>
                <w:sz w:val="24"/>
                <w:szCs w:val="24"/>
              </w:rPr>
            </w:pPr>
          </w:p>
        </w:tc>
        <w:tc>
          <w:tcPr>
            <w:tcW w:w="1037" w:type="dxa"/>
            <w:tcBorders>
              <w:top w:val="single" w:color="auto" w:sz="4" w:space="0"/>
              <w:left w:val="single" w:color="auto" w:sz="4" w:space="0"/>
              <w:bottom w:val="single" w:color="000000" w:sz="2" w:space="0"/>
              <w:right w:val="single" w:color="000000" w:sz="2" w:space="0"/>
            </w:tcBorders>
            <w:noWrap w:val="0"/>
            <w:vAlign w:val="center"/>
          </w:tcPr>
          <w:p w14:paraId="6BA3DCDC">
            <w:pPr>
              <w:ind w:firstLine="480"/>
              <w:rPr>
                <w:rFonts w:ascii="仿宋" w:hAnsi="仿宋" w:eastAsia="仿宋" w:cs="仿宋"/>
                <w:sz w:val="24"/>
                <w:szCs w:val="24"/>
              </w:rPr>
            </w:pPr>
          </w:p>
        </w:tc>
      </w:tr>
    </w:tbl>
    <w:p w14:paraId="32AE778B">
      <w:pPr>
        <w:ind w:firstLine="482"/>
        <w:rPr>
          <w:rFonts w:ascii="仿宋" w:hAnsi="仿宋" w:eastAsia="仿宋" w:cs="仿宋"/>
          <w:b/>
          <w:bCs/>
          <w:szCs w:val="21"/>
        </w:rPr>
      </w:pPr>
      <w:r>
        <w:rPr>
          <w:rFonts w:hint="eastAsia" w:ascii="仿宋" w:hAnsi="仿宋" w:eastAsia="仿宋" w:cs="仿宋"/>
          <w:b/>
          <w:bCs/>
          <w:szCs w:val="21"/>
        </w:rPr>
        <w:t>注：按招标文件和评分标准要求提供相应证明材料</w:t>
      </w:r>
    </w:p>
    <w:p w14:paraId="344BA017">
      <w:pPr>
        <w:spacing w:line="360" w:lineRule="auto"/>
        <w:ind w:firstLine="420"/>
        <w:rPr>
          <w:rFonts w:ascii="仿宋" w:hAnsi="仿宋" w:eastAsia="仿宋" w:cs="仿宋"/>
        </w:rPr>
      </w:pPr>
    </w:p>
    <w:p w14:paraId="0347F0A1">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04859AFD">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698D4545">
      <w:pPr>
        <w:spacing w:line="360" w:lineRule="auto"/>
        <w:ind w:firstLine="482"/>
        <w:rPr>
          <w:rFonts w:ascii="仿宋" w:hAnsi="仿宋" w:eastAsia="仿宋" w:cs="仿宋"/>
          <w:bCs/>
          <w:sz w:val="24"/>
          <w:szCs w:val="24"/>
        </w:rPr>
      </w:pPr>
      <w:r>
        <w:rPr>
          <w:rFonts w:hint="eastAsia" w:ascii="仿宋" w:hAnsi="仿宋" w:eastAsia="仿宋" w:cs="仿宋"/>
          <w:sz w:val="24"/>
        </w:rPr>
        <w:t>投标日期：年月</w:t>
      </w:r>
      <w:r>
        <w:rPr>
          <w:rFonts w:hint="eastAsia" w:ascii="仿宋" w:hAnsi="仿宋" w:eastAsia="仿宋" w:cs="仿宋"/>
          <w:sz w:val="24"/>
          <w:szCs w:val="24"/>
        </w:rPr>
        <w:t>日</w:t>
      </w:r>
    </w:p>
    <w:p w14:paraId="5914762C">
      <w:pPr>
        <w:spacing w:line="360" w:lineRule="auto"/>
        <w:ind w:firstLine="480"/>
        <w:rPr>
          <w:rFonts w:ascii="仿宋" w:hAnsi="仿宋" w:eastAsia="仿宋" w:cs="仿宋"/>
          <w:sz w:val="24"/>
          <w:szCs w:val="24"/>
        </w:rPr>
      </w:pPr>
      <w:r>
        <w:rPr>
          <w:rFonts w:hint="eastAsia" w:ascii="仿宋" w:hAnsi="仿宋" w:eastAsia="仿宋" w:cs="仿宋"/>
          <w:sz w:val="24"/>
          <w:szCs w:val="24"/>
        </w:rPr>
        <w:t xml:space="preserve">        </w:t>
      </w:r>
    </w:p>
    <w:p w14:paraId="4A77BDD9">
      <w:pPr>
        <w:pStyle w:val="16"/>
        <w:spacing w:line="360" w:lineRule="auto"/>
        <w:ind w:firstLine="0"/>
        <w:rPr>
          <w:rFonts w:ascii="仿宋" w:hAnsi="仿宋" w:eastAsia="仿宋" w:cs="仿宋"/>
          <w:b/>
          <w:bCs/>
          <w:szCs w:val="21"/>
        </w:rPr>
      </w:pPr>
    </w:p>
    <w:p w14:paraId="3CF8E38B">
      <w:pPr>
        <w:pStyle w:val="16"/>
        <w:spacing w:line="360" w:lineRule="auto"/>
        <w:ind w:firstLine="0"/>
        <w:rPr>
          <w:rFonts w:ascii="仿宋" w:hAnsi="仿宋" w:eastAsia="仿宋" w:cs="仿宋"/>
          <w:b/>
          <w:bCs/>
          <w:szCs w:val="21"/>
        </w:rPr>
      </w:pPr>
    </w:p>
    <w:p w14:paraId="16329B6E">
      <w:pPr>
        <w:pStyle w:val="16"/>
        <w:spacing w:line="360" w:lineRule="auto"/>
        <w:ind w:firstLine="0"/>
        <w:rPr>
          <w:rFonts w:ascii="仿宋" w:hAnsi="仿宋" w:eastAsia="仿宋" w:cs="仿宋"/>
          <w:b/>
          <w:bCs/>
          <w:szCs w:val="21"/>
        </w:rPr>
      </w:pPr>
    </w:p>
    <w:p w14:paraId="60EB2A18">
      <w:pPr>
        <w:pStyle w:val="16"/>
        <w:spacing w:line="360" w:lineRule="auto"/>
        <w:ind w:firstLine="0"/>
        <w:rPr>
          <w:rFonts w:ascii="仿宋" w:hAnsi="仿宋" w:eastAsia="仿宋" w:cs="仿宋"/>
          <w:b/>
          <w:bCs/>
          <w:szCs w:val="21"/>
        </w:rPr>
      </w:pPr>
    </w:p>
    <w:p w14:paraId="0B7EE6F5">
      <w:pPr>
        <w:pStyle w:val="16"/>
        <w:spacing w:line="360" w:lineRule="auto"/>
        <w:ind w:firstLine="0"/>
        <w:rPr>
          <w:rFonts w:ascii="仿宋" w:hAnsi="仿宋" w:eastAsia="仿宋" w:cs="仿宋"/>
          <w:b/>
          <w:bCs/>
          <w:szCs w:val="21"/>
        </w:rPr>
      </w:pPr>
    </w:p>
    <w:p w14:paraId="2DD29B87">
      <w:pPr>
        <w:pStyle w:val="16"/>
        <w:spacing w:line="360" w:lineRule="auto"/>
        <w:ind w:firstLine="0"/>
        <w:rPr>
          <w:rFonts w:ascii="仿宋" w:hAnsi="仿宋" w:eastAsia="仿宋" w:cs="仿宋"/>
          <w:b/>
          <w:bCs/>
          <w:szCs w:val="21"/>
        </w:rPr>
      </w:pPr>
    </w:p>
    <w:p w14:paraId="3A5A8343">
      <w:pPr>
        <w:pStyle w:val="16"/>
        <w:spacing w:line="360" w:lineRule="auto"/>
        <w:ind w:firstLine="0"/>
        <w:rPr>
          <w:rFonts w:ascii="仿宋" w:hAnsi="仿宋" w:eastAsia="仿宋" w:cs="仿宋"/>
          <w:b/>
          <w:bCs/>
          <w:szCs w:val="21"/>
        </w:rPr>
      </w:pPr>
    </w:p>
    <w:p w14:paraId="41E4D49E">
      <w:pPr>
        <w:pStyle w:val="16"/>
        <w:spacing w:line="360" w:lineRule="auto"/>
        <w:ind w:firstLine="0"/>
        <w:rPr>
          <w:rFonts w:ascii="仿宋" w:hAnsi="仿宋" w:eastAsia="仿宋" w:cs="仿宋"/>
          <w:b/>
          <w:bCs/>
          <w:szCs w:val="21"/>
        </w:rPr>
      </w:pPr>
    </w:p>
    <w:p w14:paraId="35610262">
      <w:pPr>
        <w:pStyle w:val="16"/>
        <w:spacing w:line="360" w:lineRule="auto"/>
        <w:ind w:firstLine="0"/>
        <w:rPr>
          <w:rFonts w:ascii="仿宋" w:hAnsi="仿宋" w:eastAsia="仿宋" w:cs="仿宋"/>
          <w:b/>
          <w:bCs/>
          <w:szCs w:val="21"/>
        </w:rPr>
      </w:pPr>
    </w:p>
    <w:p w14:paraId="0A7E1B44">
      <w:pPr>
        <w:pStyle w:val="16"/>
        <w:spacing w:line="360" w:lineRule="auto"/>
        <w:ind w:firstLine="0"/>
        <w:rPr>
          <w:rFonts w:ascii="仿宋" w:hAnsi="仿宋" w:eastAsia="仿宋" w:cs="仿宋"/>
          <w:bCs/>
          <w:szCs w:val="21"/>
        </w:rPr>
      </w:pPr>
    </w:p>
    <w:p w14:paraId="59F7ADB1">
      <w:pPr>
        <w:rPr>
          <w:rFonts w:ascii="仿宋" w:hAnsi="仿宋" w:eastAsia="仿宋" w:cs="仿宋"/>
          <w:b/>
          <w:szCs w:val="21"/>
        </w:rPr>
      </w:pPr>
      <w:r>
        <w:rPr>
          <w:rFonts w:hint="eastAsia" w:ascii="仿宋" w:hAnsi="仿宋" w:eastAsia="仿宋" w:cs="仿宋"/>
          <w:bCs/>
          <w:szCs w:val="21"/>
        </w:rPr>
        <w:br w:type="page" w:clear="all"/>
      </w:r>
      <w:r>
        <w:rPr>
          <w:rFonts w:hint="eastAsia" w:ascii="仿宋" w:hAnsi="仿宋" w:eastAsia="仿宋" w:cs="仿宋"/>
          <w:bCs/>
          <w:szCs w:val="21"/>
        </w:rPr>
        <w:t>格式</w:t>
      </w:r>
      <w:r>
        <w:rPr>
          <w:rFonts w:hint="eastAsia" w:ascii="仿宋" w:hAnsi="仿宋" w:eastAsia="仿宋" w:cs="仿宋"/>
          <w:szCs w:val="21"/>
        </w:rPr>
        <w:t>9、</w:t>
      </w:r>
      <w:r>
        <w:rPr>
          <w:rFonts w:hint="eastAsia" w:ascii="仿宋" w:hAnsi="仿宋" w:eastAsia="仿宋" w:cs="仿宋"/>
          <w:b/>
          <w:szCs w:val="21"/>
        </w:rPr>
        <w:t>资格证明文件</w:t>
      </w:r>
    </w:p>
    <w:p w14:paraId="54048446">
      <w:pPr>
        <w:pStyle w:val="16"/>
        <w:ind w:firstLine="0"/>
        <w:rPr>
          <w:rFonts w:ascii="仿宋" w:hAnsi="仿宋" w:eastAsia="仿宋" w:cs="仿宋"/>
          <w:b/>
          <w:szCs w:val="21"/>
        </w:rPr>
      </w:pPr>
      <w:r>
        <w:rPr>
          <w:rFonts w:hint="eastAsia" w:ascii="仿宋" w:hAnsi="仿宋" w:eastAsia="仿宋" w:cs="仿宋"/>
          <w:b/>
          <w:szCs w:val="21"/>
          <w:lang w:eastAsia="zh-CN"/>
        </w:rPr>
        <w:t>（1）</w:t>
      </w:r>
      <w:r>
        <w:rPr>
          <w:rFonts w:hint="eastAsia" w:ascii="仿宋" w:hAnsi="仿宋" w:eastAsia="仿宋" w:cs="仿宋"/>
          <w:b/>
          <w:szCs w:val="21"/>
        </w:rPr>
        <w:t>关于资格文件的声明函</w:t>
      </w:r>
    </w:p>
    <w:p w14:paraId="53E8FC65">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关于资格文件的声明函</w:t>
      </w:r>
    </w:p>
    <w:p w14:paraId="48FFBA07">
      <w:pPr>
        <w:pStyle w:val="16"/>
        <w:jc w:val="center"/>
        <w:rPr>
          <w:rFonts w:ascii="仿宋" w:hAnsi="仿宋" w:eastAsia="仿宋" w:cs="仿宋"/>
          <w:szCs w:val="24"/>
        </w:rPr>
      </w:pPr>
    </w:p>
    <w:p w14:paraId="38C208EF">
      <w:pPr>
        <w:pStyle w:val="16"/>
        <w:spacing w:line="360" w:lineRule="auto"/>
        <w:ind w:firstLine="0"/>
        <w:rPr>
          <w:rFonts w:ascii="仿宋" w:hAnsi="仿宋" w:eastAsia="仿宋" w:cs="仿宋"/>
          <w:sz w:val="24"/>
          <w:szCs w:val="24"/>
        </w:rPr>
      </w:pPr>
      <w:r>
        <w:rPr>
          <w:rFonts w:hint="eastAsia" w:ascii="仿宋" w:hAnsi="仿宋" w:eastAsia="仿宋" w:cs="仿宋"/>
          <w:sz w:val="24"/>
          <w:szCs w:val="24"/>
        </w:rPr>
        <w:t>苏州乐鑫诚项目管理有限公司：</w:t>
      </w:r>
    </w:p>
    <w:p w14:paraId="403AD0D8">
      <w:pPr>
        <w:pStyle w:val="16"/>
        <w:spacing w:line="360" w:lineRule="auto"/>
        <w:ind w:firstLine="426"/>
        <w:rPr>
          <w:rFonts w:ascii="仿宋" w:hAnsi="仿宋" w:eastAsia="仿宋" w:cs="仿宋"/>
          <w:sz w:val="24"/>
          <w:szCs w:val="24"/>
        </w:rPr>
      </w:pPr>
      <w:r>
        <w:rPr>
          <w:rFonts w:hint="eastAsia" w:ascii="仿宋" w:hAnsi="仿宋" w:eastAsia="仿宋" w:cs="仿宋"/>
          <w:sz w:val="24"/>
          <w:szCs w:val="24"/>
        </w:rPr>
        <w:t>本公司愿就由贵公司组织实施的编号</w:t>
      </w:r>
      <w:r>
        <w:rPr>
          <w:rFonts w:hint="eastAsia" w:ascii="仿宋" w:hAnsi="仿宋" w:eastAsia="仿宋" w:cs="仿宋"/>
          <w:sz w:val="24"/>
          <w:szCs w:val="24"/>
          <w:u w:val="single"/>
          <w:lang w:eastAsia="zh-CN"/>
        </w:rPr>
        <w:t>JSZC-320585-YXCZ-G2026-0008</w:t>
      </w:r>
      <w:r>
        <w:rPr>
          <w:rFonts w:hint="eastAsia" w:ascii="仿宋" w:hAnsi="仿宋" w:eastAsia="仿宋" w:cs="仿宋"/>
          <w:sz w:val="24"/>
          <w:szCs w:val="24"/>
        </w:rPr>
        <w:t>的招标活动进行投标。本公司所提交的投标文件中所有关于投标资格的文件、证明和陈述均是真实的、准确的。若与真实情况不符，本公司愿意承担由此而产生的一切后果。</w:t>
      </w:r>
    </w:p>
    <w:p w14:paraId="03AC83D8">
      <w:pPr>
        <w:pStyle w:val="16"/>
        <w:spacing w:line="360" w:lineRule="auto"/>
        <w:ind w:firstLine="426"/>
        <w:rPr>
          <w:rFonts w:ascii="仿宋" w:hAnsi="仿宋" w:eastAsia="仿宋" w:cs="仿宋"/>
          <w:sz w:val="24"/>
          <w:szCs w:val="24"/>
        </w:rPr>
      </w:pPr>
    </w:p>
    <w:p w14:paraId="51302106">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0A6161E4">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2EB0599E">
      <w:pPr>
        <w:spacing w:line="360" w:lineRule="auto"/>
        <w:ind w:firstLine="482"/>
        <w:rPr>
          <w:rFonts w:ascii="仿宋" w:hAnsi="仿宋" w:eastAsia="仿宋" w:cs="仿宋"/>
          <w:bCs/>
          <w:sz w:val="24"/>
          <w:szCs w:val="24"/>
        </w:rPr>
      </w:pPr>
      <w:r>
        <w:rPr>
          <w:rFonts w:hint="eastAsia" w:ascii="仿宋" w:hAnsi="仿宋" w:eastAsia="仿宋" w:cs="仿宋"/>
          <w:sz w:val="24"/>
        </w:rPr>
        <w:t>投标日期：年月</w:t>
      </w:r>
      <w:r>
        <w:rPr>
          <w:rFonts w:hint="eastAsia" w:ascii="仿宋" w:hAnsi="仿宋" w:eastAsia="仿宋" w:cs="仿宋"/>
          <w:sz w:val="24"/>
          <w:szCs w:val="24"/>
        </w:rPr>
        <w:t>日</w:t>
      </w:r>
    </w:p>
    <w:p w14:paraId="68B47A4B">
      <w:pPr>
        <w:spacing w:line="360" w:lineRule="auto"/>
        <w:ind w:firstLine="480"/>
        <w:rPr>
          <w:rFonts w:ascii="仿宋" w:hAnsi="仿宋" w:eastAsia="仿宋" w:cs="仿宋"/>
          <w:sz w:val="24"/>
          <w:szCs w:val="24"/>
        </w:rPr>
      </w:pPr>
    </w:p>
    <w:p w14:paraId="0ADD0FF9">
      <w:pPr>
        <w:rPr>
          <w:rFonts w:ascii="仿宋" w:hAnsi="仿宋" w:eastAsia="仿宋" w:cs="仿宋"/>
          <w:b/>
          <w:sz w:val="24"/>
          <w:szCs w:val="24"/>
        </w:rPr>
      </w:pPr>
      <w:r>
        <w:rPr>
          <w:rFonts w:hint="eastAsia" w:ascii="仿宋" w:hAnsi="仿宋" w:eastAsia="仿宋" w:cs="仿宋"/>
          <w:b/>
          <w:sz w:val="24"/>
          <w:szCs w:val="24"/>
        </w:rPr>
        <w:br w:type="page" w:clear="all"/>
      </w:r>
    </w:p>
    <w:p w14:paraId="029DF013">
      <w:pPr>
        <w:pStyle w:val="16"/>
        <w:spacing w:line="400" w:lineRule="exact"/>
        <w:ind w:firstLine="0"/>
        <w:rPr>
          <w:rFonts w:ascii="仿宋" w:hAnsi="仿宋" w:eastAsia="仿宋" w:cs="仿宋"/>
          <w:b/>
          <w:szCs w:val="21"/>
        </w:rPr>
      </w:pPr>
      <w:r>
        <w:rPr>
          <w:rFonts w:hint="eastAsia" w:ascii="仿宋" w:hAnsi="仿宋" w:eastAsia="仿宋" w:cs="仿宋"/>
          <w:b/>
          <w:szCs w:val="21"/>
          <w:lang w:eastAsia="zh-CN"/>
        </w:rPr>
        <w:t>（2）</w:t>
      </w:r>
      <w:r>
        <w:rPr>
          <w:rFonts w:hint="eastAsia" w:ascii="仿宋" w:hAnsi="仿宋" w:eastAsia="仿宋" w:cs="仿宋"/>
          <w:b/>
          <w:szCs w:val="21"/>
        </w:rPr>
        <w:t>投标单位情况表</w:t>
      </w:r>
    </w:p>
    <w:p w14:paraId="7FE137F3">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投标单位情况表</w:t>
      </w:r>
    </w:p>
    <w:p w14:paraId="7A592226">
      <w:pPr>
        <w:pStyle w:val="16"/>
        <w:ind w:firstLine="0"/>
        <w:rPr>
          <w:rFonts w:ascii="仿宋" w:hAnsi="仿宋" w:eastAsia="仿宋" w:cs="仿宋"/>
          <w:sz w:val="24"/>
          <w:szCs w:val="24"/>
        </w:rPr>
      </w:pPr>
      <w:r>
        <w:rPr>
          <w:rFonts w:hint="eastAsia" w:ascii="仿宋" w:hAnsi="仿宋" w:eastAsia="仿宋" w:cs="仿宋"/>
          <w:sz w:val="24"/>
          <w:szCs w:val="24"/>
        </w:rPr>
        <w:t>单位名称（盖章）</w:t>
      </w:r>
    </w:p>
    <w:tbl>
      <w:tblPr>
        <w:tblStyle w:val="65"/>
        <w:tblW w:w="9421" w:type="dxa"/>
        <w:jc w:val="center"/>
        <w:tblLayout w:type="fixed"/>
        <w:tblCellMar>
          <w:top w:w="0" w:type="dxa"/>
          <w:left w:w="108" w:type="dxa"/>
          <w:bottom w:w="0" w:type="dxa"/>
          <w:right w:w="108" w:type="dxa"/>
        </w:tblCellMar>
      </w:tblPr>
      <w:tblGrid>
        <w:gridCol w:w="3202"/>
        <w:gridCol w:w="1845"/>
        <w:gridCol w:w="1344"/>
        <w:gridCol w:w="1892"/>
        <w:gridCol w:w="1138"/>
      </w:tblGrid>
      <w:tr w14:paraId="0FF2D497">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tcPr>
          <w:p w14:paraId="41FF99EF">
            <w:pPr>
              <w:pStyle w:val="16"/>
              <w:ind w:firstLine="0"/>
              <w:rPr>
                <w:rFonts w:ascii="仿宋" w:hAnsi="仿宋" w:eastAsia="仿宋" w:cs="仿宋"/>
                <w:sz w:val="24"/>
                <w:szCs w:val="24"/>
              </w:rPr>
            </w:pPr>
            <w:r>
              <w:rPr>
                <w:rFonts w:hint="eastAsia" w:ascii="仿宋" w:hAnsi="仿宋" w:eastAsia="仿宋" w:cs="仿宋"/>
                <w:sz w:val="24"/>
                <w:szCs w:val="24"/>
              </w:rPr>
              <w:t>法定代表人</w:t>
            </w:r>
          </w:p>
        </w:tc>
        <w:tc>
          <w:tcPr>
            <w:tcW w:w="1845" w:type="dxa"/>
            <w:tcBorders>
              <w:top w:val="single" w:color="000000" w:sz="6" w:space="0"/>
              <w:left w:val="single" w:color="000000" w:sz="6" w:space="0"/>
              <w:bottom w:val="single" w:color="000000" w:sz="6" w:space="0"/>
              <w:right w:val="single" w:color="000000" w:sz="6" w:space="0"/>
            </w:tcBorders>
            <w:noWrap w:val="0"/>
          </w:tcPr>
          <w:p w14:paraId="12A94656">
            <w:pPr>
              <w:pStyle w:val="16"/>
              <w:ind w:firstLine="0"/>
              <w:rPr>
                <w:rFonts w:ascii="仿宋" w:hAnsi="仿宋" w:eastAsia="仿宋" w:cs="仿宋"/>
                <w:sz w:val="24"/>
                <w:szCs w:val="24"/>
              </w:rPr>
            </w:pPr>
          </w:p>
        </w:tc>
        <w:tc>
          <w:tcPr>
            <w:tcW w:w="1344" w:type="dxa"/>
            <w:tcBorders>
              <w:top w:val="single" w:color="000000" w:sz="6" w:space="0"/>
              <w:left w:val="single" w:color="000000" w:sz="6" w:space="0"/>
              <w:bottom w:val="single" w:color="000000" w:sz="6" w:space="0"/>
              <w:right w:val="single" w:color="000000" w:sz="6" w:space="0"/>
            </w:tcBorders>
            <w:noWrap w:val="0"/>
          </w:tcPr>
          <w:p w14:paraId="33B39458">
            <w:pPr>
              <w:pStyle w:val="16"/>
              <w:ind w:firstLine="0"/>
              <w:rPr>
                <w:rFonts w:ascii="仿宋" w:hAnsi="仿宋" w:eastAsia="仿宋" w:cs="仿宋"/>
                <w:sz w:val="24"/>
                <w:szCs w:val="24"/>
              </w:rPr>
            </w:pPr>
            <w:r>
              <w:rPr>
                <w:rFonts w:hint="eastAsia" w:ascii="仿宋" w:hAnsi="仿宋" w:eastAsia="仿宋" w:cs="仿宋"/>
                <w:sz w:val="24"/>
                <w:szCs w:val="24"/>
              </w:rPr>
              <w:t>成立日期</w:t>
            </w:r>
          </w:p>
        </w:tc>
        <w:tc>
          <w:tcPr>
            <w:tcW w:w="3030" w:type="dxa"/>
            <w:gridSpan w:val="2"/>
            <w:tcBorders>
              <w:top w:val="single" w:color="000000" w:sz="6" w:space="0"/>
              <w:left w:val="single" w:color="000000" w:sz="6" w:space="0"/>
              <w:bottom w:val="single" w:color="000000" w:sz="6" w:space="0"/>
              <w:right w:val="single" w:color="000000" w:sz="6" w:space="0"/>
            </w:tcBorders>
            <w:noWrap w:val="0"/>
          </w:tcPr>
          <w:p w14:paraId="5EBF2669">
            <w:pPr>
              <w:pStyle w:val="16"/>
              <w:ind w:firstLine="0"/>
              <w:rPr>
                <w:rFonts w:ascii="仿宋" w:hAnsi="仿宋" w:eastAsia="仿宋" w:cs="仿宋"/>
                <w:sz w:val="24"/>
                <w:szCs w:val="24"/>
              </w:rPr>
            </w:pPr>
          </w:p>
        </w:tc>
      </w:tr>
      <w:tr w14:paraId="04B0F9BA">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tcPr>
          <w:p w14:paraId="2B8788DF">
            <w:pPr>
              <w:pStyle w:val="16"/>
              <w:ind w:firstLine="0"/>
              <w:rPr>
                <w:rFonts w:ascii="仿宋" w:hAnsi="仿宋" w:eastAsia="仿宋" w:cs="仿宋"/>
                <w:sz w:val="24"/>
                <w:szCs w:val="24"/>
              </w:rPr>
            </w:pPr>
            <w:r>
              <w:rPr>
                <w:rFonts w:hint="eastAsia" w:ascii="仿宋" w:hAnsi="仿宋" w:eastAsia="仿宋" w:cs="仿宋"/>
                <w:sz w:val="24"/>
                <w:szCs w:val="24"/>
              </w:rPr>
              <w:t>企业地址</w:t>
            </w:r>
          </w:p>
        </w:tc>
        <w:tc>
          <w:tcPr>
            <w:tcW w:w="1845" w:type="dxa"/>
            <w:tcBorders>
              <w:top w:val="single" w:color="000000" w:sz="6" w:space="0"/>
              <w:left w:val="single" w:color="000000" w:sz="6" w:space="0"/>
              <w:bottom w:val="single" w:color="000000" w:sz="6" w:space="0"/>
              <w:right w:val="single" w:color="000000" w:sz="6" w:space="0"/>
            </w:tcBorders>
            <w:noWrap w:val="0"/>
          </w:tcPr>
          <w:p w14:paraId="45CD5499">
            <w:pPr>
              <w:pStyle w:val="16"/>
              <w:ind w:firstLine="0"/>
              <w:rPr>
                <w:rFonts w:ascii="仿宋" w:hAnsi="仿宋" w:eastAsia="仿宋" w:cs="仿宋"/>
                <w:sz w:val="24"/>
                <w:szCs w:val="24"/>
              </w:rPr>
            </w:pPr>
          </w:p>
        </w:tc>
        <w:tc>
          <w:tcPr>
            <w:tcW w:w="1344" w:type="dxa"/>
            <w:tcBorders>
              <w:top w:val="single" w:color="000000" w:sz="6" w:space="0"/>
              <w:left w:val="single" w:color="000000" w:sz="6" w:space="0"/>
              <w:bottom w:val="single" w:color="000000" w:sz="6" w:space="0"/>
              <w:right w:val="single" w:color="000000" w:sz="6" w:space="0"/>
            </w:tcBorders>
            <w:noWrap w:val="0"/>
          </w:tcPr>
          <w:p w14:paraId="47530E14">
            <w:pPr>
              <w:pStyle w:val="16"/>
              <w:ind w:firstLine="0"/>
              <w:rPr>
                <w:rFonts w:ascii="仿宋" w:hAnsi="仿宋" w:eastAsia="仿宋" w:cs="仿宋"/>
                <w:sz w:val="24"/>
                <w:szCs w:val="24"/>
              </w:rPr>
            </w:pPr>
            <w:r>
              <w:rPr>
                <w:rFonts w:hint="eastAsia" w:ascii="仿宋" w:hAnsi="仿宋" w:eastAsia="仿宋" w:cs="仿宋"/>
                <w:sz w:val="24"/>
                <w:szCs w:val="24"/>
              </w:rPr>
              <w:t>注册资本</w:t>
            </w:r>
          </w:p>
        </w:tc>
        <w:tc>
          <w:tcPr>
            <w:tcW w:w="3030" w:type="dxa"/>
            <w:gridSpan w:val="2"/>
            <w:tcBorders>
              <w:top w:val="single" w:color="000000" w:sz="6" w:space="0"/>
              <w:left w:val="single" w:color="000000" w:sz="6" w:space="0"/>
              <w:bottom w:val="single" w:color="000000" w:sz="6" w:space="0"/>
              <w:right w:val="single" w:color="000000" w:sz="6" w:space="0"/>
            </w:tcBorders>
            <w:noWrap w:val="0"/>
          </w:tcPr>
          <w:p w14:paraId="15CE9932">
            <w:pPr>
              <w:pStyle w:val="16"/>
              <w:ind w:firstLine="2160"/>
              <w:rPr>
                <w:rFonts w:ascii="仿宋" w:hAnsi="仿宋" w:eastAsia="仿宋" w:cs="仿宋"/>
                <w:sz w:val="24"/>
                <w:szCs w:val="24"/>
              </w:rPr>
            </w:pPr>
            <w:r>
              <w:rPr>
                <w:rFonts w:hint="eastAsia" w:ascii="仿宋" w:hAnsi="仿宋" w:eastAsia="仿宋" w:cs="仿宋"/>
                <w:sz w:val="24"/>
                <w:szCs w:val="24"/>
              </w:rPr>
              <w:t>万元</w:t>
            </w:r>
          </w:p>
        </w:tc>
      </w:tr>
      <w:tr w14:paraId="7626A01F">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tcPr>
          <w:p w14:paraId="11DEA107">
            <w:pPr>
              <w:pStyle w:val="16"/>
              <w:ind w:firstLine="0"/>
              <w:rPr>
                <w:rFonts w:ascii="仿宋" w:hAnsi="仿宋" w:eastAsia="仿宋" w:cs="仿宋"/>
                <w:sz w:val="24"/>
                <w:szCs w:val="24"/>
              </w:rPr>
            </w:pPr>
            <w:r>
              <w:rPr>
                <w:rFonts w:hint="eastAsia" w:ascii="仿宋" w:hAnsi="仿宋" w:eastAsia="仿宋" w:cs="仿宋"/>
                <w:sz w:val="24"/>
                <w:szCs w:val="24"/>
              </w:rPr>
              <w:t>经营范围</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7E9513A5">
            <w:pPr>
              <w:pStyle w:val="16"/>
              <w:ind w:firstLine="0"/>
              <w:rPr>
                <w:rFonts w:ascii="仿宋" w:hAnsi="仿宋" w:eastAsia="仿宋" w:cs="仿宋"/>
                <w:sz w:val="24"/>
                <w:szCs w:val="24"/>
              </w:rPr>
            </w:pPr>
          </w:p>
        </w:tc>
      </w:tr>
      <w:tr w14:paraId="5F4BB5EE">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tcPr>
          <w:p w14:paraId="2BAE10E1">
            <w:pPr>
              <w:pStyle w:val="16"/>
              <w:ind w:firstLine="0"/>
              <w:rPr>
                <w:rFonts w:ascii="仿宋" w:hAnsi="仿宋" w:eastAsia="仿宋" w:cs="仿宋"/>
                <w:sz w:val="24"/>
                <w:szCs w:val="24"/>
              </w:rPr>
            </w:pPr>
            <w:r>
              <w:rPr>
                <w:rFonts w:hint="eastAsia" w:ascii="仿宋" w:hAnsi="仿宋" w:eastAsia="仿宋" w:cs="仿宋"/>
                <w:sz w:val="24"/>
                <w:szCs w:val="24"/>
              </w:rPr>
              <w:t>职工人数</w:t>
            </w:r>
          </w:p>
        </w:tc>
        <w:tc>
          <w:tcPr>
            <w:tcW w:w="1845" w:type="dxa"/>
            <w:tcBorders>
              <w:top w:val="single" w:color="000000" w:sz="6" w:space="0"/>
              <w:left w:val="single" w:color="000000" w:sz="6" w:space="0"/>
              <w:bottom w:val="single" w:color="000000" w:sz="6" w:space="0"/>
              <w:right w:val="single" w:color="000000" w:sz="6" w:space="0"/>
            </w:tcBorders>
            <w:noWrap w:val="0"/>
          </w:tcPr>
          <w:p w14:paraId="2D94953D">
            <w:pPr>
              <w:pStyle w:val="16"/>
              <w:ind w:firstLine="0"/>
              <w:rPr>
                <w:rFonts w:ascii="仿宋" w:hAnsi="仿宋" w:eastAsia="仿宋" w:cs="仿宋"/>
                <w:sz w:val="24"/>
                <w:szCs w:val="24"/>
              </w:rPr>
            </w:pPr>
          </w:p>
        </w:tc>
        <w:tc>
          <w:tcPr>
            <w:tcW w:w="3236" w:type="dxa"/>
            <w:gridSpan w:val="2"/>
            <w:tcBorders>
              <w:top w:val="single" w:color="000000" w:sz="6" w:space="0"/>
              <w:left w:val="single" w:color="000000" w:sz="6" w:space="0"/>
              <w:bottom w:val="single" w:color="000000" w:sz="6" w:space="0"/>
              <w:right w:val="single" w:color="000000" w:sz="6" w:space="0"/>
            </w:tcBorders>
            <w:noWrap w:val="0"/>
          </w:tcPr>
          <w:p w14:paraId="4DF6B386">
            <w:pPr>
              <w:pStyle w:val="16"/>
              <w:ind w:firstLine="0"/>
              <w:rPr>
                <w:rFonts w:ascii="仿宋" w:hAnsi="仿宋" w:eastAsia="仿宋" w:cs="仿宋"/>
                <w:sz w:val="24"/>
                <w:szCs w:val="24"/>
              </w:rPr>
            </w:pPr>
            <w:r>
              <w:rPr>
                <w:rFonts w:hint="eastAsia" w:ascii="仿宋" w:hAnsi="仿宋" w:eastAsia="仿宋" w:cs="仿宋"/>
                <w:sz w:val="24"/>
                <w:szCs w:val="24"/>
              </w:rPr>
              <w:t>其中：有中高级以上职称的人数</w:t>
            </w:r>
          </w:p>
        </w:tc>
        <w:tc>
          <w:tcPr>
            <w:tcW w:w="1138" w:type="dxa"/>
            <w:tcBorders>
              <w:top w:val="single" w:color="000000" w:sz="6" w:space="0"/>
              <w:left w:val="single" w:color="000000" w:sz="6" w:space="0"/>
              <w:bottom w:val="single" w:color="000000" w:sz="6" w:space="0"/>
              <w:right w:val="single" w:color="000000" w:sz="6" w:space="0"/>
            </w:tcBorders>
            <w:noWrap w:val="0"/>
          </w:tcPr>
          <w:p w14:paraId="0D405192">
            <w:pPr>
              <w:pStyle w:val="16"/>
              <w:ind w:firstLine="0"/>
              <w:rPr>
                <w:rFonts w:ascii="仿宋" w:hAnsi="仿宋" w:eastAsia="仿宋" w:cs="仿宋"/>
                <w:sz w:val="24"/>
                <w:szCs w:val="24"/>
              </w:rPr>
            </w:pPr>
          </w:p>
        </w:tc>
      </w:tr>
      <w:tr w14:paraId="2BFD9614">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600F269B">
            <w:pPr>
              <w:pStyle w:val="16"/>
              <w:ind w:firstLine="0"/>
              <w:rPr>
                <w:rFonts w:ascii="仿宋" w:hAnsi="仿宋" w:eastAsia="仿宋" w:cs="仿宋"/>
                <w:sz w:val="24"/>
                <w:szCs w:val="24"/>
              </w:rPr>
            </w:pPr>
            <w:r>
              <w:rPr>
                <w:rFonts w:hint="eastAsia" w:ascii="仿宋" w:hAnsi="仿宋" w:eastAsia="仿宋" w:cs="仿宋"/>
                <w:sz w:val="24"/>
                <w:szCs w:val="24"/>
              </w:rPr>
              <w:t>资产总计</w:t>
            </w:r>
          </w:p>
        </w:tc>
        <w:tc>
          <w:tcPr>
            <w:tcW w:w="1845" w:type="dxa"/>
            <w:tcBorders>
              <w:top w:val="single" w:color="000000" w:sz="6" w:space="0"/>
              <w:left w:val="single" w:color="000000" w:sz="6" w:space="0"/>
              <w:bottom w:val="single" w:color="000000" w:sz="6" w:space="0"/>
              <w:right w:val="single" w:color="000000" w:sz="6" w:space="0"/>
            </w:tcBorders>
            <w:noWrap w:val="0"/>
            <w:vAlign w:val="center"/>
          </w:tcPr>
          <w:p w14:paraId="1A1D96B2">
            <w:pPr>
              <w:pStyle w:val="16"/>
              <w:ind w:firstLine="0"/>
              <w:jc w:val="center"/>
              <w:rPr>
                <w:rFonts w:ascii="仿宋" w:hAnsi="仿宋" w:eastAsia="仿宋" w:cs="仿宋"/>
                <w:sz w:val="24"/>
                <w:szCs w:val="24"/>
              </w:rPr>
            </w:pPr>
            <w:r>
              <w:rPr>
                <w:rFonts w:hint="eastAsia" w:ascii="仿宋" w:hAnsi="仿宋" w:eastAsia="仿宋" w:cs="仿宋"/>
                <w:sz w:val="24"/>
                <w:szCs w:val="24"/>
              </w:rPr>
              <w:t xml:space="preserve">         万元</w:t>
            </w:r>
          </w:p>
        </w:tc>
        <w:tc>
          <w:tcPr>
            <w:tcW w:w="1344" w:type="dxa"/>
            <w:tcBorders>
              <w:top w:val="single" w:color="000000" w:sz="6" w:space="0"/>
              <w:left w:val="single" w:color="000000" w:sz="6" w:space="0"/>
              <w:bottom w:val="single" w:color="000000" w:sz="6" w:space="0"/>
              <w:right w:val="single" w:color="000000" w:sz="6" w:space="0"/>
            </w:tcBorders>
            <w:noWrap w:val="0"/>
            <w:vAlign w:val="center"/>
          </w:tcPr>
          <w:p w14:paraId="6299E994">
            <w:pPr>
              <w:pStyle w:val="16"/>
              <w:ind w:firstLine="0"/>
              <w:rPr>
                <w:rFonts w:ascii="仿宋" w:hAnsi="仿宋" w:eastAsia="仿宋" w:cs="仿宋"/>
                <w:sz w:val="24"/>
                <w:szCs w:val="24"/>
              </w:rPr>
            </w:pPr>
            <w:r>
              <w:rPr>
                <w:rFonts w:hint="eastAsia" w:ascii="仿宋" w:hAnsi="仿宋" w:eastAsia="仿宋" w:cs="仿宋"/>
                <w:sz w:val="24"/>
                <w:szCs w:val="24"/>
              </w:rPr>
              <w:t>净资产</w:t>
            </w:r>
          </w:p>
        </w:tc>
        <w:tc>
          <w:tcPr>
            <w:tcW w:w="3030" w:type="dxa"/>
            <w:gridSpan w:val="2"/>
            <w:tcBorders>
              <w:top w:val="single" w:color="000000" w:sz="6" w:space="0"/>
              <w:left w:val="single" w:color="000000" w:sz="6" w:space="0"/>
              <w:bottom w:val="single" w:color="000000" w:sz="6" w:space="0"/>
              <w:right w:val="single" w:color="000000" w:sz="6" w:space="0"/>
            </w:tcBorders>
            <w:noWrap w:val="0"/>
            <w:vAlign w:val="center"/>
          </w:tcPr>
          <w:p w14:paraId="4079C5B6">
            <w:pPr>
              <w:pStyle w:val="16"/>
              <w:ind w:firstLine="0"/>
              <w:jc w:val="center"/>
              <w:rPr>
                <w:rFonts w:ascii="仿宋" w:hAnsi="仿宋" w:eastAsia="仿宋" w:cs="仿宋"/>
                <w:sz w:val="24"/>
                <w:szCs w:val="24"/>
              </w:rPr>
            </w:pPr>
            <w:r>
              <w:rPr>
                <w:rFonts w:hint="eastAsia" w:ascii="仿宋" w:hAnsi="仿宋" w:eastAsia="仿宋" w:cs="仿宋"/>
                <w:sz w:val="24"/>
                <w:szCs w:val="24"/>
              </w:rPr>
              <w:t xml:space="preserve">                万元</w:t>
            </w:r>
          </w:p>
        </w:tc>
      </w:tr>
      <w:tr w14:paraId="1260D2F4">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03367629">
            <w:pPr>
              <w:pStyle w:val="16"/>
              <w:ind w:firstLine="0"/>
              <w:rPr>
                <w:rFonts w:ascii="仿宋" w:hAnsi="仿宋" w:eastAsia="仿宋" w:cs="仿宋"/>
                <w:sz w:val="24"/>
                <w:szCs w:val="24"/>
              </w:rPr>
            </w:pPr>
            <w:r>
              <w:rPr>
                <w:rFonts w:hint="eastAsia" w:ascii="仿宋" w:hAnsi="仿宋" w:eastAsia="仿宋" w:cs="仿宋"/>
                <w:sz w:val="24"/>
                <w:szCs w:val="24"/>
              </w:rPr>
              <w:t>股东权益</w:t>
            </w:r>
          </w:p>
        </w:tc>
        <w:tc>
          <w:tcPr>
            <w:tcW w:w="1845" w:type="dxa"/>
            <w:tcBorders>
              <w:top w:val="single" w:color="000000" w:sz="6" w:space="0"/>
              <w:left w:val="single" w:color="000000" w:sz="6" w:space="0"/>
              <w:bottom w:val="single" w:color="000000" w:sz="6" w:space="0"/>
              <w:right w:val="single" w:color="000000" w:sz="6" w:space="0"/>
            </w:tcBorders>
            <w:noWrap w:val="0"/>
            <w:vAlign w:val="center"/>
          </w:tcPr>
          <w:p w14:paraId="0236B937">
            <w:pPr>
              <w:pStyle w:val="16"/>
              <w:ind w:firstLine="0"/>
              <w:jc w:val="center"/>
              <w:rPr>
                <w:rFonts w:ascii="仿宋" w:hAnsi="仿宋" w:eastAsia="仿宋" w:cs="仿宋"/>
                <w:sz w:val="24"/>
                <w:szCs w:val="24"/>
              </w:rPr>
            </w:pPr>
            <w:r>
              <w:rPr>
                <w:rFonts w:hint="eastAsia" w:ascii="仿宋" w:hAnsi="仿宋" w:eastAsia="仿宋" w:cs="仿宋"/>
                <w:sz w:val="24"/>
                <w:szCs w:val="24"/>
              </w:rPr>
              <w:t xml:space="preserve">         万元</w:t>
            </w:r>
          </w:p>
        </w:tc>
        <w:tc>
          <w:tcPr>
            <w:tcW w:w="1344" w:type="dxa"/>
            <w:tcBorders>
              <w:top w:val="single" w:color="000000" w:sz="6" w:space="0"/>
              <w:left w:val="single" w:color="000000" w:sz="6" w:space="0"/>
              <w:bottom w:val="single" w:color="000000" w:sz="6" w:space="0"/>
              <w:right w:val="single" w:color="000000" w:sz="6" w:space="0"/>
            </w:tcBorders>
            <w:noWrap w:val="0"/>
            <w:vAlign w:val="center"/>
          </w:tcPr>
          <w:p w14:paraId="364934F8">
            <w:pPr>
              <w:pStyle w:val="16"/>
              <w:ind w:firstLine="0"/>
              <w:rPr>
                <w:rFonts w:ascii="仿宋" w:hAnsi="仿宋" w:eastAsia="仿宋" w:cs="仿宋"/>
                <w:sz w:val="24"/>
                <w:szCs w:val="24"/>
              </w:rPr>
            </w:pPr>
            <w:r>
              <w:rPr>
                <w:rFonts w:hint="eastAsia" w:ascii="仿宋" w:hAnsi="仿宋" w:eastAsia="仿宋" w:cs="仿宋"/>
                <w:sz w:val="24"/>
                <w:szCs w:val="24"/>
              </w:rPr>
              <w:t>销售收入</w:t>
            </w:r>
          </w:p>
        </w:tc>
        <w:tc>
          <w:tcPr>
            <w:tcW w:w="3030" w:type="dxa"/>
            <w:gridSpan w:val="2"/>
            <w:tcBorders>
              <w:top w:val="single" w:color="000000" w:sz="6" w:space="0"/>
              <w:left w:val="single" w:color="000000" w:sz="6" w:space="0"/>
              <w:bottom w:val="single" w:color="000000" w:sz="6" w:space="0"/>
              <w:right w:val="single" w:color="000000" w:sz="6" w:space="0"/>
            </w:tcBorders>
            <w:noWrap w:val="0"/>
            <w:vAlign w:val="center"/>
          </w:tcPr>
          <w:p w14:paraId="1A5FF1E6">
            <w:pPr>
              <w:pStyle w:val="16"/>
              <w:ind w:firstLine="0"/>
              <w:jc w:val="center"/>
              <w:rPr>
                <w:rFonts w:ascii="仿宋" w:hAnsi="仿宋" w:eastAsia="仿宋" w:cs="仿宋"/>
                <w:sz w:val="24"/>
                <w:szCs w:val="24"/>
              </w:rPr>
            </w:pPr>
            <w:r>
              <w:rPr>
                <w:rFonts w:hint="eastAsia" w:ascii="仿宋" w:hAnsi="仿宋" w:eastAsia="仿宋" w:cs="仿宋"/>
                <w:sz w:val="24"/>
                <w:szCs w:val="24"/>
              </w:rPr>
              <w:t>2025年          万元</w:t>
            </w:r>
          </w:p>
        </w:tc>
      </w:tr>
      <w:tr w14:paraId="344B8152">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tcPr>
          <w:p w14:paraId="7D80B5B2">
            <w:pPr>
              <w:pStyle w:val="16"/>
              <w:ind w:firstLine="0"/>
              <w:rPr>
                <w:rFonts w:ascii="仿宋" w:hAnsi="仿宋" w:eastAsia="仿宋" w:cs="仿宋"/>
                <w:sz w:val="24"/>
                <w:szCs w:val="24"/>
              </w:rPr>
            </w:pPr>
            <w:r>
              <w:rPr>
                <w:rFonts w:hint="eastAsia" w:ascii="仿宋" w:hAnsi="仿宋" w:eastAsia="仿宋" w:cs="仿宋"/>
                <w:sz w:val="24"/>
                <w:szCs w:val="24"/>
              </w:rPr>
              <w:t>实现利润</w:t>
            </w:r>
          </w:p>
        </w:tc>
        <w:tc>
          <w:tcPr>
            <w:tcW w:w="1845" w:type="dxa"/>
            <w:tcBorders>
              <w:top w:val="single" w:color="000000" w:sz="6" w:space="0"/>
              <w:left w:val="single" w:color="000000" w:sz="6" w:space="0"/>
              <w:bottom w:val="single" w:color="000000" w:sz="6" w:space="0"/>
              <w:right w:val="single" w:color="000000" w:sz="6" w:space="0"/>
            </w:tcBorders>
            <w:noWrap w:val="0"/>
          </w:tcPr>
          <w:p w14:paraId="2F8AD011">
            <w:pPr>
              <w:pStyle w:val="16"/>
              <w:ind w:firstLine="0"/>
              <w:rPr>
                <w:rFonts w:ascii="仿宋" w:hAnsi="仿宋" w:eastAsia="仿宋" w:cs="仿宋"/>
                <w:sz w:val="24"/>
                <w:szCs w:val="24"/>
              </w:rPr>
            </w:pPr>
            <w:r>
              <w:rPr>
                <w:rFonts w:hint="eastAsia" w:ascii="仿宋" w:hAnsi="仿宋" w:eastAsia="仿宋" w:cs="仿宋"/>
                <w:sz w:val="24"/>
                <w:szCs w:val="24"/>
              </w:rPr>
              <w:t xml:space="preserve"> 2025年  万元</w:t>
            </w:r>
          </w:p>
        </w:tc>
        <w:tc>
          <w:tcPr>
            <w:tcW w:w="1344" w:type="dxa"/>
            <w:tcBorders>
              <w:top w:val="single" w:color="000000" w:sz="6" w:space="0"/>
              <w:left w:val="single" w:color="000000" w:sz="6" w:space="0"/>
              <w:bottom w:val="single" w:color="000000" w:sz="6" w:space="0"/>
              <w:right w:val="single" w:color="000000" w:sz="6" w:space="0"/>
            </w:tcBorders>
            <w:noWrap w:val="0"/>
          </w:tcPr>
          <w:p w14:paraId="1855B0C1">
            <w:pPr>
              <w:pStyle w:val="16"/>
              <w:ind w:firstLine="0"/>
              <w:rPr>
                <w:rFonts w:ascii="仿宋" w:hAnsi="仿宋" w:eastAsia="仿宋" w:cs="仿宋"/>
                <w:sz w:val="24"/>
                <w:szCs w:val="24"/>
              </w:rPr>
            </w:pPr>
          </w:p>
        </w:tc>
        <w:tc>
          <w:tcPr>
            <w:tcW w:w="3030" w:type="dxa"/>
            <w:gridSpan w:val="2"/>
            <w:tcBorders>
              <w:top w:val="single" w:color="000000" w:sz="6" w:space="0"/>
              <w:left w:val="single" w:color="000000" w:sz="6" w:space="0"/>
              <w:bottom w:val="single" w:color="000000" w:sz="6" w:space="0"/>
              <w:right w:val="single" w:color="000000" w:sz="6" w:space="0"/>
            </w:tcBorders>
            <w:noWrap w:val="0"/>
          </w:tcPr>
          <w:p w14:paraId="101D60C8">
            <w:pPr>
              <w:pStyle w:val="16"/>
              <w:ind w:firstLine="0"/>
              <w:rPr>
                <w:rFonts w:ascii="仿宋" w:hAnsi="仿宋" w:eastAsia="仿宋" w:cs="仿宋"/>
                <w:sz w:val="24"/>
                <w:szCs w:val="24"/>
              </w:rPr>
            </w:pPr>
          </w:p>
        </w:tc>
      </w:tr>
      <w:tr w14:paraId="5B871D5A">
        <w:tblPrEx>
          <w:tblCellMar>
            <w:top w:w="0" w:type="dxa"/>
            <w:left w:w="108" w:type="dxa"/>
            <w:bottom w:w="0" w:type="dxa"/>
            <w:right w:w="108" w:type="dxa"/>
          </w:tblCellMar>
        </w:tblPrEx>
        <w:trPr>
          <w:cantSplit/>
          <w:jc w:val="center"/>
        </w:trPr>
        <w:tc>
          <w:tcPr>
            <w:tcW w:w="3202" w:type="dxa"/>
            <w:tcBorders>
              <w:top w:val="single" w:color="000000" w:sz="6" w:space="0"/>
              <w:left w:val="single" w:color="000000" w:sz="6" w:space="0"/>
              <w:bottom w:val="single" w:color="000000" w:sz="6" w:space="0"/>
              <w:right w:val="single" w:color="000000" w:sz="6" w:space="0"/>
            </w:tcBorders>
            <w:noWrap w:val="0"/>
          </w:tcPr>
          <w:p w14:paraId="1233381D">
            <w:pPr>
              <w:pStyle w:val="16"/>
              <w:ind w:firstLine="0"/>
              <w:rPr>
                <w:rFonts w:ascii="仿宋" w:hAnsi="仿宋" w:eastAsia="仿宋" w:cs="仿宋"/>
                <w:sz w:val="24"/>
                <w:szCs w:val="24"/>
              </w:rPr>
            </w:pPr>
            <w:r>
              <w:rPr>
                <w:rFonts w:hint="eastAsia" w:ascii="仿宋" w:hAnsi="仿宋" w:eastAsia="仿宋" w:cs="仿宋"/>
                <w:sz w:val="24"/>
                <w:szCs w:val="24"/>
              </w:rPr>
              <w:t>营业面积（含厂房面积）</w:t>
            </w:r>
          </w:p>
        </w:tc>
        <w:tc>
          <w:tcPr>
            <w:tcW w:w="1845" w:type="dxa"/>
            <w:tcBorders>
              <w:top w:val="single" w:color="000000" w:sz="6" w:space="0"/>
              <w:left w:val="single" w:color="000000" w:sz="6" w:space="0"/>
              <w:bottom w:val="single" w:color="000000" w:sz="6" w:space="0"/>
              <w:right w:val="single" w:color="000000" w:sz="6" w:space="0"/>
            </w:tcBorders>
            <w:noWrap w:val="0"/>
            <w:vAlign w:val="center"/>
          </w:tcPr>
          <w:p w14:paraId="2A032A43">
            <w:pPr>
              <w:pStyle w:val="16"/>
              <w:ind w:firstLine="0"/>
              <w:rPr>
                <w:rFonts w:ascii="仿宋" w:hAnsi="仿宋" w:eastAsia="仿宋" w:cs="仿宋"/>
                <w:sz w:val="24"/>
                <w:szCs w:val="24"/>
              </w:rPr>
            </w:pPr>
            <w:r>
              <w:rPr>
                <w:rFonts w:hint="eastAsia" w:ascii="仿宋" w:hAnsi="仿宋" w:eastAsia="仿宋" w:cs="仿宋"/>
                <w:sz w:val="24"/>
                <w:szCs w:val="24"/>
              </w:rPr>
              <w:t xml:space="preserve">       平方米</w:t>
            </w:r>
          </w:p>
        </w:tc>
        <w:tc>
          <w:tcPr>
            <w:tcW w:w="1344" w:type="dxa"/>
            <w:tcBorders>
              <w:top w:val="single" w:color="000000" w:sz="6" w:space="0"/>
              <w:left w:val="single" w:color="000000" w:sz="6" w:space="0"/>
              <w:bottom w:val="single" w:color="000000" w:sz="6" w:space="0"/>
              <w:right w:val="single" w:color="000000" w:sz="6" w:space="0"/>
            </w:tcBorders>
            <w:noWrap w:val="0"/>
          </w:tcPr>
          <w:p w14:paraId="7C8F4E9F">
            <w:pPr>
              <w:pStyle w:val="16"/>
              <w:ind w:firstLine="0"/>
              <w:rPr>
                <w:rFonts w:ascii="仿宋" w:hAnsi="仿宋" w:eastAsia="仿宋" w:cs="仿宋"/>
                <w:sz w:val="24"/>
                <w:szCs w:val="24"/>
              </w:rPr>
            </w:pPr>
            <w:r>
              <w:rPr>
                <w:rFonts w:hint="eastAsia" w:ascii="仿宋" w:hAnsi="仿宋" w:eastAsia="仿宋" w:cs="仿宋"/>
                <w:sz w:val="24"/>
                <w:szCs w:val="24"/>
              </w:rPr>
              <w:t>其中：</w:t>
            </w:r>
          </w:p>
        </w:tc>
        <w:tc>
          <w:tcPr>
            <w:tcW w:w="3030" w:type="dxa"/>
            <w:gridSpan w:val="2"/>
            <w:tcBorders>
              <w:top w:val="single" w:color="000000" w:sz="6" w:space="0"/>
              <w:left w:val="single" w:color="000000" w:sz="6" w:space="0"/>
              <w:bottom w:val="single" w:color="000000" w:sz="6" w:space="0"/>
              <w:right w:val="single" w:color="000000" w:sz="6" w:space="0"/>
            </w:tcBorders>
            <w:noWrap w:val="0"/>
          </w:tcPr>
          <w:p w14:paraId="23FD3A5E">
            <w:pPr>
              <w:pStyle w:val="16"/>
              <w:ind w:firstLine="0"/>
              <w:rPr>
                <w:rFonts w:ascii="仿宋" w:hAnsi="仿宋" w:eastAsia="仿宋" w:cs="仿宋"/>
                <w:sz w:val="24"/>
                <w:szCs w:val="24"/>
              </w:rPr>
            </w:pPr>
            <w:r>
              <w:rPr>
                <w:rFonts w:hint="eastAsia" w:ascii="仿宋" w:hAnsi="仿宋" w:eastAsia="仿宋" w:cs="仿宋"/>
                <w:sz w:val="24"/>
                <w:szCs w:val="24"/>
              </w:rPr>
              <w:t>自有面积         平方米</w:t>
            </w:r>
          </w:p>
          <w:p w14:paraId="29FC5AB3">
            <w:pPr>
              <w:pStyle w:val="16"/>
              <w:ind w:firstLine="0"/>
              <w:rPr>
                <w:rFonts w:ascii="仿宋" w:hAnsi="仿宋" w:eastAsia="仿宋" w:cs="仿宋"/>
                <w:sz w:val="24"/>
                <w:szCs w:val="24"/>
              </w:rPr>
            </w:pPr>
            <w:r>
              <w:rPr>
                <w:rFonts w:hint="eastAsia" w:ascii="仿宋" w:hAnsi="仿宋" w:eastAsia="仿宋" w:cs="仿宋"/>
                <w:sz w:val="24"/>
                <w:szCs w:val="24"/>
              </w:rPr>
              <w:t>承租面积         平方米</w:t>
            </w:r>
          </w:p>
        </w:tc>
      </w:tr>
      <w:tr w14:paraId="399E1241">
        <w:tblPrEx>
          <w:tblCellMar>
            <w:top w:w="0" w:type="dxa"/>
            <w:left w:w="108" w:type="dxa"/>
            <w:bottom w:w="0" w:type="dxa"/>
            <w:right w:w="108" w:type="dxa"/>
          </w:tblCellMar>
        </w:tblPrEx>
        <w:trPr>
          <w:cantSplit/>
          <w:trHeight w:val="926"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490E1864">
            <w:pPr>
              <w:pStyle w:val="16"/>
              <w:ind w:firstLine="0"/>
              <w:rPr>
                <w:rFonts w:ascii="仿宋" w:hAnsi="仿宋" w:eastAsia="仿宋" w:cs="仿宋"/>
                <w:sz w:val="24"/>
                <w:szCs w:val="24"/>
              </w:rPr>
            </w:pPr>
            <w:r>
              <w:rPr>
                <w:rFonts w:hint="eastAsia" w:ascii="仿宋" w:hAnsi="仿宋" w:eastAsia="仿宋" w:cs="仿宋"/>
                <w:sz w:val="24"/>
                <w:szCs w:val="24"/>
              </w:rPr>
              <w:t>单位简历及内设机构情况</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42C471BB">
            <w:pPr>
              <w:pStyle w:val="16"/>
              <w:ind w:firstLine="0"/>
              <w:rPr>
                <w:rFonts w:ascii="仿宋" w:hAnsi="仿宋" w:eastAsia="仿宋" w:cs="仿宋"/>
                <w:sz w:val="24"/>
                <w:szCs w:val="24"/>
              </w:rPr>
            </w:pPr>
          </w:p>
        </w:tc>
      </w:tr>
      <w:tr w14:paraId="64A071F4">
        <w:tblPrEx>
          <w:tblCellMar>
            <w:top w:w="0" w:type="dxa"/>
            <w:left w:w="108" w:type="dxa"/>
            <w:bottom w:w="0" w:type="dxa"/>
            <w:right w:w="108" w:type="dxa"/>
          </w:tblCellMar>
        </w:tblPrEx>
        <w:trPr>
          <w:cantSplit/>
          <w:trHeight w:val="806"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270CAECA">
            <w:pPr>
              <w:pStyle w:val="16"/>
              <w:ind w:firstLine="0"/>
              <w:rPr>
                <w:rFonts w:ascii="仿宋" w:hAnsi="仿宋" w:eastAsia="仿宋" w:cs="仿宋"/>
                <w:sz w:val="24"/>
                <w:szCs w:val="24"/>
              </w:rPr>
            </w:pPr>
            <w:r>
              <w:rPr>
                <w:rFonts w:hint="eastAsia" w:ascii="仿宋" w:hAnsi="仿宋" w:eastAsia="仿宋" w:cs="仿宋"/>
                <w:sz w:val="24"/>
                <w:szCs w:val="24"/>
              </w:rPr>
              <w:t>单位优势及特长</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34C21EB4">
            <w:pPr>
              <w:pStyle w:val="16"/>
              <w:ind w:firstLine="0"/>
              <w:rPr>
                <w:rFonts w:ascii="仿宋" w:hAnsi="仿宋" w:eastAsia="仿宋" w:cs="仿宋"/>
                <w:sz w:val="24"/>
                <w:szCs w:val="24"/>
              </w:rPr>
            </w:pPr>
          </w:p>
        </w:tc>
      </w:tr>
      <w:tr w14:paraId="3A4D33AE">
        <w:tblPrEx>
          <w:tblCellMar>
            <w:top w:w="0" w:type="dxa"/>
            <w:left w:w="108" w:type="dxa"/>
            <w:bottom w:w="0" w:type="dxa"/>
            <w:right w:w="108" w:type="dxa"/>
          </w:tblCellMar>
        </w:tblPrEx>
        <w:trPr>
          <w:cantSplit/>
          <w:trHeight w:val="847"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57894061">
            <w:pPr>
              <w:pStyle w:val="16"/>
              <w:ind w:firstLine="0"/>
              <w:rPr>
                <w:rFonts w:ascii="仿宋" w:hAnsi="仿宋" w:eastAsia="仿宋" w:cs="仿宋"/>
                <w:sz w:val="24"/>
                <w:szCs w:val="24"/>
              </w:rPr>
            </w:pPr>
            <w:r>
              <w:rPr>
                <w:rFonts w:hint="eastAsia" w:ascii="仿宋" w:hAnsi="仿宋" w:eastAsia="仿宋" w:cs="仿宋"/>
                <w:sz w:val="24"/>
                <w:szCs w:val="24"/>
              </w:rPr>
              <w:t>商业信誉和健全的财务会计制度介绍</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28AADBFB">
            <w:pPr>
              <w:pStyle w:val="16"/>
              <w:ind w:firstLine="0"/>
              <w:rPr>
                <w:rFonts w:ascii="仿宋" w:hAnsi="仿宋" w:eastAsia="仿宋" w:cs="仿宋"/>
                <w:sz w:val="24"/>
                <w:szCs w:val="24"/>
              </w:rPr>
            </w:pPr>
          </w:p>
        </w:tc>
      </w:tr>
      <w:tr w14:paraId="76D17113">
        <w:tblPrEx>
          <w:tblCellMar>
            <w:top w:w="0" w:type="dxa"/>
            <w:left w:w="108" w:type="dxa"/>
            <w:bottom w:w="0" w:type="dxa"/>
            <w:right w:w="108" w:type="dxa"/>
          </w:tblCellMar>
        </w:tblPrEx>
        <w:trPr>
          <w:cantSplit/>
          <w:trHeight w:val="859"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7DED2D07">
            <w:pPr>
              <w:pStyle w:val="16"/>
              <w:ind w:firstLine="0"/>
              <w:rPr>
                <w:rFonts w:ascii="仿宋" w:hAnsi="仿宋" w:eastAsia="仿宋" w:cs="仿宋"/>
                <w:sz w:val="24"/>
                <w:szCs w:val="24"/>
              </w:rPr>
            </w:pPr>
            <w:r>
              <w:rPr>
                <w:rFonts w:hint="eastAsia" w:ascii="仿宋" w:hAnsi="仿宋" w:eastAsia="仿宋" w:cs="仿宋"/>
                <w:sz w:val="24"/>
                <w:szCs w:val="24"/>
              </w:rPr>
              <w:t>履行合同所必需的设备和专业技术能力情况</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4A2578D3">
            <w:pPr>
              <w:pStyle w:val="16"/>
              <w:ind w:firstLine="0"/>
              <w:rPr>
                <w:rFonts w:ascii="仿宋" w:hAnsi="仿宋" w:eastAsia="仿宋" w:cs="仿宋"/>
                <w:sz w:val="24"/>
                <w:szCs w:val="24"/>
              </w:rPr>
            </w:pPr>
          </w:p>
        </w:tc>
      </w:tr>
      <w:tr w14:paraId="702BA3AB">
        <w:tblPrEx>
          <w:tblCellMar>
            <w:top w:w="0" w:type="dxa"/>
            <w:left w:w="108" w:type="dxa"/>
            <w:bottom w:w="0" w:type="dxa"/>
            <w:right w:w="108" w:type="dxa"/>
          </w:tblCellMar>
        </w:tblPrEx>
        <w:trPr>
          <w:cantSplit/>
          <w:trHeight w:val="907"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3F8095D2">
            <w:pPr>
              <w:pStyle w:val="16"/>
              <w:ind w:firstLine="0"/>
              <w:rPr>
                <w:rFonts w:ascii="仿宋" w:hAnsi="仿宋" w:eastAsia="仿宋" w:cs="仿宋"/>
                <w:sz w:val="24"/>
                <w:szCs w:val="24"/>
              </w:rPr>
            </w:pPr>
            <w:r>
              <w:rPr>
                <w:rFonts w:hint="eastAsia" w:ascii="仿宋" w:hAnsi="仿宋" w:eastAsia="仿宋" w:cs="仿宋"/>
                <w:sz w:val="24"/>
                <w:szCs w:val="24"/>
              </w:rPr>
              <w:t>依法缴纳税收和社会保障资金情况</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274700B6">
            <w:pPr>
              <w:pStyle w:val="16"/>
              <w:ind w:firstLine="0"/>
              <w:rPr>
                <w:rFonts w:ascii="仿宋" w:hAnsi="仿宋" w:eastAsia="仿宋" w:cs="仿宋"/>
                <w:sz w:val="24"/>
                <w:szCs w:val="24"/>
              </w:rPr>
            </w:pPr>
          </w:p>
        </w:tc>
      </w:tr>
      <w:tr w14:paraId="4B640523">
        <w:tblPrEx>
          <w:tblCellMar>
            <w:top w:w="0" w:type="dxa"/>
            <w:left w:w="108" w:type="dxa"/>
            <w:bottom w:w="0" w:type="dxa"/>
            <w:right w:w="108" w:type="dxa"/>
          </w:tblCellMar>
        </w:tblPrEx>
        <w:trPr>
          <w:cantSplit/>
          <w:trHeight w:val="1062"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6EC94F8B">
            <w:pPr>
              <w:pStyle w:val="16"/>
              <w:ind w:firstLine="0"/>
              <w:rPr>
                <w:rFonts w:ascii="仿宋" w:hAnsi="仿宋" w:eastAsia="仿宋" w:cs="仿宋"/>
                <w:sz w:val="24"/>
                <w:szCs w:val="24"/>
              </w:rPr>
            </w:pPr>
            <w:r>
              <w:rPr>
                <w:rFonts w:hint="eastAsia" w:ascii="仿宋" w:hAnsi="仿宋" w:eastAsia="仿宋" w:cs="仿宋"/>
                <w:sz w:val="24"/>
                <w:szCs w:val="24"/>
              </w:rPr>
              <w:t>参加采购活动前三年内，在经营活动中有无重大违法记录</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19090948">
            <w:pPr>
              <w:pStyle w:val="16"/>
              <w:ind w:firstLine="0"/>
              <w:rPr>
                <w:rFonts w:ascii="仿宋" w:hAnsi="仿宋" w:eastAsia="仿宋" w:cs="仿宋"/>
                <w:sz w:val="24"/>
                <w:szCs w:val="24"/>
              </w:rPr>
            </w:pPr>
          </w:p>
        </w:tc>
      </w:tr>
      <w:tr w14:paraId="69427119">
        <w:tblPrEx>
          <w:tblCellMar>
            <w:top w:w="0" w:type="dxa"/>
            <w:left w:w="108" w:type="dxa"/>
            <w:bottom w:w="0" w:type="dxa"/>
            <w:right w:w="108" w:type="dxa"/>
          </w:tblCellMar>
        </w:tblPrEx>
        <w:trPr>
          <w:cantSplit/>
          <w:trHeight w:val="551" w:hRule="atLeast"/>
          <w:jc w:val="center"/>
        </w:trPr>
        <w:tc>
          <w:tcPr>
            <w:tcW w:w="3202" w:type="dxa"/>
            <w:tcBorders>
              <w:top w:val="single" w:color="000000" w:sz="6" w:space="0"/>
              <w:left w:val="single" w:color="000000" w:sz="6" w:space="0"/>
              <w:bottom w:val="single" w:color="000000" w:sz="6" w:space="0"/>
              <w:right w:val="single" w:color="000000" w:sz="6" w:space="0"/>
            </w:tcBorders>
            <w:noWrap w:val="0"/>
            <w:vAlign w:val="center"/>
          </w:tcPr>
          <w:p w14:paraId="6C884569">
            <w:pPr>
              <w:pStyle w:val="16"/>
              <w:ind w:firstLine="0"/>
              <w:rPr>
                <w:rFonts w:ascii="仿宋" w:hAnsi="仿宋" w:eastAsia="仿宋" w:cs="仿宋"/>
                <w:sz w:val="24"/>
                <w:szCs w:val="24"/>
              </w:rPr>
            </w:pPr>
            <w:r>
              <w:rPr>
                <w:rFonts w:hint="eastAsia" w:ascii="仿宋" w:hAnsi="仿宋" w:eastAsia="仿宋" w:cs="仿宋"/>
                <w:sz w:val="24"/>
                <w:szCs w:val="24"/>
              </w:rPr>
              <w:t>其他需要说明的情况</w:t>
            </w:r>
          </w:p>
        </w:tc>
        <w:tc>
          <w:tcPr>
            <w:tcW w:w="6219" w:type="dxa"/>
            <w:gridSpan w:val="4"/>
            <w:tcBorders>
              <w:top w:val="single" w:color="000000" w:sz="6" w:space="0"/>
              <w:left w:val="single" w:color="000000" w:sz="6" w:space="0"/>
              <w:bottom w:val="single" w:color="000000" w:sz="6" w:space="0"/>
              <w:right w:val="single" w:color="000000" w:sz="6" w:space="0"/>
            </w:tcBorders>
            <w:noWrap w:val="0"/>
          </w:tcPr>
          <w:p w14:paraId="017F3A96">
            <w:pPr>
              <w:pStyle w:val="16"/>
              <w:ind w:firstLine="0"/>
              <w:rPr>
                <w:rFonts w:ascii="仿宋" w:hAnsi="仿宋" w:eastAsia="仿宋" w:cs="仿宋"/>
                <w:sz w:val="24"/>
                <w:szCs w:val="24"/>
              </w:rPr>
            </w:pPr>
          </w:p>
        </w:tc>
      </w:tr>
    </w:tbl>
    <w:p w14:paraId="5C82D3A2">
      <w:pPr>
        <w:pStyle w:val="16"/>
        <w:ind w:firstLine="0"/>
        <w:rPr>
          <w:rFonts w:ascii="仿宋" w:hAnsi="仿宋" w:eastAsia="仿宋" w:cs="仿宋"/>
          <w:b/>
          <w:bCs/>
          <w:szCs w:val="21"/>
        </w:rPr>
      </w:pPr>
    </w:p>
    <w:p w14:paraId="75EB6265">
      <w:pPr>
        <w:rPr>
          <w:rFonts w:ascii="仿宋" w:hAnsi="仿宋" w:eastAsia="仿宋" w:cs="仿宋"/>
          <w:b/>
          <w:bCs/>
          <w:szCs w:val="21"/>
        </w:rPr>
      </w:pPr>
      <w:r>
        <w:rPr>
          <w:rFonts w:hint="eastAsia" w:ascii="仿宋" w:hAnsi="仿宋" w:eastAsia="仿宋" w:cs="仿宋"/>
          <w:b/>
          <w:bCs/>
          <w:szCs w:val="21"/>
        </w:rPr>
        <w:br w:type="page" w:clear="all"/>
      </w:r>
    </w:p>
    <w:p w14:paraId="47AFF6F8">
      <w:pPr>
        <w:pStyle w:val="16"/>
        <w:ind w:firstLine="0"/>
        <w:rPr>
          <w:rFonts w:ascii="仿宋" w:hAnsi="仿宋" w:eastAsia="仿宋" w:cs="仿宋"/>
          <w:szCs w:val="21"/>
        </w:rPr>
      </w:pPr>
      <w:r>
        <w:rPr>
          <w:rFonts w:hint="eastAsia" w:ascii="仿宋" w:hAnsi="仿宋" w:eastAsia="仿宋" w:cs="仿宋"/>
          <w:bCs/>
          <w:szCs w:val="21"/>
        </w:rPr>
        <w:t>格式10、</w:t>
      </w:r>
      <w:r>
        <w:rPr>
          <w:rFonts w:hint="eastAsia" w:ascii="仿宋" w:hAnsi="仿宋" w:eastAsia="仿宋" w:cs="仿宋"/>
          <w:b/>
          <w:bCs/>
          <w:szCs w:val="21"/>
        </w:rPr>
        <w:t>参加政府采购活动前3年内在经营活动中没有重大违法记录的书面声明</w:t>
      </w:r>
    </w:p>
    <w:p w14:paraId="35ED69D7">
      <w:pPr>
        <w:spacing w:line="440" w:lineRule="exact"/>
        <w:jc w:val="center"/>
        <w:rPr>
          <w:rFonts w:ascii="仿宋" w:hAnsi="仿宋" w:eastAsia="仿宋" w:cs="仿宋"/>
          <w:b/>
          <w:bCs/>
          <w:szCs w:val="21"/>
        </w:rPr>
      </w:pPr>
    </w:p>
    <w:p w14:paraId="7E656CFA">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参加政府采购活动前3年内在经营活动中没有重大违法记录的书面声明</w:t>
      </w:r>
    </w:p>
    <w:p w14:paraId="31149BC4">
      <w:pPr>
        <w:spacing w:line="360" w:lineRule="auto"/>
        <w:rPr>
          <w:rFonts w:ascii="仿宋" w:hAnsi="仿宋" w:eastAsia="仿宋" w:cs="仿宋"/>
          <w:sz w:val="24"/>
          <w:szCs w:val="24"/>
        </w:rPr>
      </w:pPr>
    </w:p>
    <w:p w14:paraId="59F2149F">
      <w:pPr>
        <w:spacing w:line="360" w:lineRule="auto"/>
        <w:rPr>
          <w:rFonts w:ascii="仿宋" w:hAnsi="仿宋" w:eastAsia="仿宋" w:cs="仿宋"/>
          <w:sz w:val="24"/>
          <w:szCs w:val="24"/>
        </w:rPr>
      </w:pPr>
      <w:r>
        <w:rPr>
          <w:rFonts w:hint="eastAsia" w:ascii="仿宋" w:hAnsi="仿宋" w:eastAsia="仿宋" w:cs="仿宋"/>
          <w:sz w:val="24"/>
          <w:szCs w:val="24"/>
        </w:rPr>
        <w:t>致苏州乐鑫诚项目管理有限公司：</w:t>
      </w:r>
    </w:p>
    <w:p w14:paraId="72A9A008">
      <w:pPr>
        <w:spacing w:line="360" w:lineRule="auto"/>
        <w:ind w:firstLine="420"/>
        <w:rPr>
          <w:rFonts w:ascii="仿宋" w:hAnsi="仿宋" w:eastAsia="仿宋" w:cs="仿宋"/>
          <w:sz w:val="24"/>
          <w:szCs w:val="24"/>
        </w:rPr>
      </w:pPr>
      <w:r>
        <w:rPr>
          <w:rFonts w:hint="eastAsia" w:ascii="仿宋" w:hAnsi="仿宋" w:eastAsia="仿宋" w:cs="仿宋"/>
          <w:sz w:val="24"/>
          <w:szCs w:val="24"/>
        </w:rPr>
        <w:t>我单位</w:t>
      </w:r>
      <w:r>
        <w:rPr>
          <w:rFonts w:hint="eastAsia" w:ascii="仿宋" w:hAnsi="仿宋" w:eastAsia="仿宋" w:cs="仿宋"/>
          <w:sz w:val="24"/>
          <w:szCs w:val="24"/>
          <w:u w:val="single"/>
        </w:rPr>
        <w:t xml:space="preserve">         （投标人名称）        </w:t>
      </w:r>
      <w:r>
        <w:rPr>
          <w:rFonts w:hint="eastAsia" w:ascii="仿宋" w:hAnsi="仿宋" w:eastAsia="仿宋" w:cs="仿宋"/>
          <w:sz w:val="24"/>
          <w:szCs w:val="24"/>
        </w:rPr>
        <w:t xml:space="preserve"> 在参加政府采购活动前三年内，没有重大违法记录，特此声明。</w:t>
      </w:r>
    </w:p>
    <w:p w14:paraId="6F587DA4">
      <w:pPr>
        <w:spacing w:line="360" w:lineRule="auto"/>
        <w:ind w:firstLine="420"/>
        <w:rPr>
          <w:rFonts w:ascii="仿宋" w:hAnsi="仿宋" w:eastAsia="仿宋" w:cs="仿宋"/>
          <w:sz w:val="24"/>
          <w:szCs w:val="24"/>
        </w:rPr>
      </w:pPr>
      <w:r>
        <w:rPr>
          <w:rFonts w:hint="eastAsia" w:ascii="仿宋" w:hAnsi="仿宋" w:eastAsia="仿宋" w:cs="仿宋"/>
          <w:sz w:val="24"/>
          <w:szCs w:val="24"/>
        </w:rPr>
        <w:t>若采购代理机构在本项目采购过程中发现我单位近三年内在政府采购活动中有重大违法记录，我单位将无条件退出本项目的招标，并承担因此引起的一切后果。</w:t>
      </w:r>
    </w:p>
    <w:p w14:paraId="18A7F111">
      <w:pPr>
        <w:pStyle w:val="471"/>
        <w:spacing w:line="360" w:lineRule="auto"/>
        <w:ind w:right="480"/>
        <w:rPr>
          <w:rFonts w:ascii="仿宋" w:hAnsi="仿宋" w:eastAsia="仿宋" w:cs="仿宋"/>
          <w:sz w:val="24"/>
          <w:szCs w:val="24"/>
        </w:rPr>
      </w:pPr>
    </w:p>
    <w:p w14:paraId="720CFD95">
      <w:pPr>
        <w:spacing w:line="360" w:lineRule="auto"/>
        <w:ind w:firstLine="482"/>
        <w:rPr>
          <w:rFonts w:ascii="仿宋" w:hAnsi="仿宋" w:eastAsia="仿宋" w:cs="仿宋"/>
          <w:sz w:val="24"/>
        </w:rPr>
      </w:pPr>
      <w:r>
        <w:rPr>
          <w:rFonts w:hint="eastAsia" w:ascii="仿宋" w:hAnsi="仿宋" w:eastAsia="仿宋" w:cs="仿宋"/>
          <w:sz w:val="24"/>
        </w:rPr>
        <w:t>投标单位：（单位盖章）</w:t>
      </w:r>
    </w:p>
    <w:p w14:paraId="13D8331B">
      <w:pPr>
        <w:spacing w:line="360" w:lineRule="auto"/>
        <w:ind w:firstLine="482"/>
        <w:rPr>
          <w:rFonts w:ascii="仿宋" w:hAnsi="仿宋" w:eastAsia="仿宋" w:cs="仿宋"/>
          <w:sz w:val="24"/>
        </w:rPr>
      </w:pPr>
      <w:r>
        <w:rPr>
          <w:rFonts w:hint="eastAsia" w:ascii="仿宋" w:hAnsi="仿宋" w:eastAsia="仿宋" w:cs="仿宋"/>
          <w:sz w:val="24"/>
        </w:rPr>
        <w:t>法定代表人或授权代理人：（签字或盖章）</w:t>
      </w:r>
    </w:p>
    <w:p w14:paraId="2FB90336">
      <w:pPr>
        <w:spacing w:line="360" w:lineRule="auto"/>
        <w:ind w:firstLine="482"/>
        <w:rPr>
          <w:rFonts w:ascii="仿宋" w:hAnsi="仿宋" w:eastAsia="仿宋" w:cs="仿宋"/>
          <w:bCs/>
          <w:sz w:val="24"/>
          <w:szCs w:val="24"/>
        </w:rPr>
      </w:pPr>
      <w:r>
        <w:rPr>
          <w:rFonts w:hint="eastAsia" w:ascii="仿宋" w:hAnsi="仿宋" w:eastAsia="仿宋" w:cs="仿宋"/>
          <w:sz w:val="24"/>
        </w:rPr>
        <w:t>投标日期：年月</w:t>
      </w:r>
      <w:r>
        <w:rPr>
          <w:rFonts w:hint="eastAsia" w:ascii="仿宋" w:hAnsi="仿宋" w:eastAsia="仿宋" w:cs="仿宋"/>
          <w:sz w:val="24"/>
          <w:szCs w:val="24"/>
        </w:rPr>
        <w:t>日</w:t>
      </w:r>
    </w:p>
    <w:p w14:paraId="6F2936FC">
      <w:pPr>
        <w:pStyle w:val="471"/>
        <w:spacing w:line="360" w:lineRule="auto"/>
        <w:ind w:right="480" w:firstLine="4920"/>
        <w:rPr>
          <w:rFonts w:ascii="仿宋" w:hAnsi="仿宋" w:eastAsia="仿宋" w:cs="仿宋"/>
          <w:b/>
          <w:bCs/>
          <w:sz w:val="24"/>
          <w:szCs w:val="24"/>
          <w:lang w:val="zh-CN"/>
        </w:rPr>
      </w:pPr>
    </w:p>
    <w:p w14:paraId="4CDDB288">
      <w:pPr>
        <w:spacing w:line="360" w:lineRule="auto"/>
        <w:rPr>
          <w:rFonts w:ascii="仿宋" w:hAnsi="仿宋" w:eastAsia="仿宋" w:cs="仿宋"/>
          <w:b/>
          <w:bCs/>
          <w:lang w:val="zh-CN"/>
        </w:rPr>
      </w:pPr>
    </w:p>
    <w:p w14:paraId="6C50C928">
      <w:pPr>
        <w:jc w:val="left"/>
        <w:rPr>
          <w:rFonts w:ascii="仿宋" w:hAnsi="仿宋" w:eastAsia="仿宋" w:cs="仿宋"/>
          <w:bCs/>
          <w:szCs w:val="21"/>
          <w:lang w:val="zh-CN"/>
        </w:rPr>
      </w:pPr>
      <w:r>
        <w:rPr>
          <w:rFonts w:hint="eastAsia" w:ascii="仿宋" w:hAnsi="仿宋" w:eastAsia="仿宋" w:cs="仿宋"/>
          <w:bCs/>
          <w:szCs w:val="21"/>
          <w:lang w:val="zh-CN"/>
        </w:rPr>
        <w:br w:type="page" w:clear="all"/>
      </w:r>
    </w:p>
    <w:p w14:paraId="532E45AF">
      <w:pPr>
        <w:spacing w:line="400" w:lineRule="exact"/>
        <w:rPr>
          <w:rFonts w:ascii="仿宋" w:hAnsi="仿宋" w:eastAsia="仿宋" w:cs="仿宋"/>
          <w:b/>
          <w:bCs/>
          <w:szCs w:val="21"/>
          <w:lang w:val="zh-CN"/>
        </w:rPr>
      </w:pPr>
      <w:r>
        <w:rPr>
          <w:rFonts w:hint="eastAsia" w:ascii="仿宋" w:hAnsi="仿宋" w:eastAsia="仿宋" w:cs="仿宋"/>
          <w:bCs/>
          <w:szCs w:val="21"/>
          <w:lang w:val="zh-CN"/>
        </w:rPr>
        <w:t>格式</w:t>
      </w:r>
      <w:r>
        <w:rPr>
          <w:rFonts w:hint="eastAsia" w:ascii="仿宋" w:hAnsi="仿宋" w:eastAsia="仿宋" w:cs="仿宋"/>
          <w:bCs/>
          <w:szCs w:val="21"/>
        </w:rPr>
        <w:t>11</w:t>
      </w:r>
      <w:r>
        <w:rPr>
          <w:rFonts w:hint="eastAsia" w:ascii="仿宋" w:hAnsi="仿宋" w:eastAsia="仿宋" w:cs="仿宋"/>
          <w:bCs/>
          <w:szCs w:val="21"/>
          <w:lang w:val="zh-CN"/>
        </w:rPr>
        <w:t>、</w:t>
      </w:r>
      <w:r>
        <w:rPr>
          <w:rFonts w:hint="eastAsia" w:ascii="仿宋" w:hAnsi="仿宋" w:eastAsia="仿宋" w:cs="仿宋"/>
          <w:b/>
          <w:bCs/>
          <w:szCs w:val="21"/>
          <w:lang w:val="zh-CN"/>
        </w:rPr>
        <w:t>中小企业声明函</w:t>
      </w:r>
    </w:p>
    <w:p w14:paraId="28D9ADDA">
      <w:pPr>
        <w:pStyle w:val="282"/>
        <w:spacing w:line="360" w:lineRule="auto"/>
        <w:jc w:val="center"/>
        <w:rPr>
          <w:rFonts w:ascii="仿宋" w:hAnsi="仿宋" w:eastAsia="仿宋" w:cs="仿宋"/>
          <w:b/>
          <w:sz w:val="30"/>
          <w:szCs w:val="30"/>
        </w:rPr>
      </w:pPr>
      <w:r>
        <w:rPr>
          <w:rFonts w:hint="eastAsia" w:ascii="仿宋" w:hAnsi="仿宋" w:eastAsia="仿宋" w:cs="仿宋"/>
          <w:b/>
          <w:sz w:val="30"/>
          <w:szCs w:val="30"/>
        </w:rPr>
        <w:t>中小企业声明函（货物）</w:t>
      </w:r>
    </w:p>
    <w:p w14:paraId="6B931F59">
      <w:pPr>
        <w:pBdr>
          <w:top w:val="none" w:color="000000" w:sz="0" w:space="0"/>
          <w:left w:val="none" w:color="000000" w:sz="0" w:space="0"/>
          <w:bottom w:val="none" w:color="000000" w:sz="0" w:space="0"/>
          <w:right w:val="none" w:color="000000" w:sz="0" w:space="0"/>
        </w:pBdr>
        <w:spacing w:line="360" w:lineRule="auto"/>
        <w:ind w:firstLine="482"/>
      </w:pPr>
      <w:r>
        <w:rPr>
          <w:rFonts w:ascii="仿宋" w:hAnsi="仿宋" w:eastAsia="仿宋" w:cs="仿宋"/>
          <w:sz w:val="24"/>
        </w:rPr>
        <w:t xml:space="preserve">本公司郑重声明，根据《政府采购促进中小企业发展管理办法》（财库﹝2020﹞46 号）的规定，本公司 参加 </w:t>
      </w:r>
      <w:r>
        <w:rPr>
          <w:rFonts w:ascii="仿宋" w:hAnsi="仿宋" w:eastAsia="仿宋" w:cs="仿宋"/>
          <w:sz w:val="24"/>
          <w:u w:val="single"/>
        </w:rPr>
        <w:t xml:space="preserve">（ 单 位 名 称 ） </w:t>
      </w:r>
      <w:r>
        <w:rPr>
          <w:rFonts w:ascii="仿宋" w:hAnsi="仿宋" w:eastAsia="仿宋" w:cs="仿宋"/>
          <w:sz w:val="24"/>
        </w:rPr>
        <w:t xml:space="preserve">的 </w:t>
      </w:r>
      <w:r>
        <w:rPr>
          <w:rFonts w:ascii="仿宋" w:hAnsi="仿宋" w:eastAsia="仿宋" w:cs="仿宋"/>
          <w:sz w:val="24"/>
          <w:u w:val="single"/>
        </w:rPr>
        <w:t xml:space="preserve">（ 项 目 名 称 ） </w:t>
      </w:r>
      <w:r>
        <w:rPr>
          <w:rFonts w:ascii="仿宋" w:hAnsi="仿宋" w:eastAsia="仿宋" w:cs="仿宋"/>
          <w:sz w:val="24"/>
        </w:rPr>
        <w:t>采购活动，提供的货物全部由符合政策要求的中小企业制造。相关企业的具体情况如下：</w:t>
      </w:r>
    </w:p>
    <w:p w14:paraId="43A964DE">
      <w:pPr>
        <w:pBdr>
          <w:top w:val="none" w:color="000000" w:sz="0" w:space="0"/>
          <w:left w:val="none" w:color="000000" w:sz="0" w:space="0"/>
          <w:bottom w:val="none" w:color="000000" w:sz="0" w:space="0"/>
          <w:right w:val="none" w:color="000000" w:sz="0" w:space="0"/>
        </w:pBdr>
        <w:spacing w:line="360" w:lineRule="auto"/>
        <w:ind w:left="142" w:firstLine="482"/>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 xml:space="preserve">    </w:t>
      </w:r>
      <w:r>
        <w:rPr>
          <w:rFonts w:hint="eastAsia" w:ascii="仿宋" w:hAnsi="仿宋" w:eastAsia="仿宋" w:cs="仿宋"/>
          <w:sz w:val="24"/>
          <w:szCs w:val="24"/>
        </w:rPr>
        <w:t>，属于</w:t>
      </w:r>
      <w:r>
        <w:rPr>
          <w:rFonts w:hint="eastAsia" w:ascii="仿宋" w:hAnsi="仿宋" w:eastAsia="仿宋" w:cs="仿宋"/>
          <w:sz w:val="24"/>
          <w:szCs w:val="24"/>
          <w:u w:val="single"/>
        </w:rPr>
        <w:t>工业</w:t>
      </w:r>
      <w:r>
        <w:rPr>
          <w:rFonts w:hint="eastAsia" w:ascii="仿宋" w:hAnsi="仿宋" w:eastAsia="仿宋" w:cs="仿宋"/>
          <w:sz w:val="24"/>
          <w:szCs w:val="24"/>
        </w:rPr>
        <w:t xml:space="preserve">行业 ；制造商为 </w:t>
      </w:r>
      <w:r>
        <w:rPr>
          <w:rFonts w:hint="eastAsia" w:ascii="仿宋" w:hAnsi="仿宋" w:eastAsia="仿宋" w:cs="仿宋"/>
          <w:sz w:val="24"/>
          <w:szCs w:val="24"/>
          <w:u w:val="single"/>
        </w:rPr>
        <w:t>（ 企 业 名 称 ）</w:t>
      </w:r>
      <w:r>
        <w:rPr>
          <w:rFonts w:hint="eastAsia" w:ascii="仿宋" w:hAnsi="仿宋" w:eastAsia="仿宋" w:cs="仿宋"/>
          <w:sz w:val="24"/>
          <w:szCs w:val="24"/>
        </w:rPr>
        <w:t> ，从业人员</w:t>
      </w:r>
      <w:r>
        <w:rPr>
          <w:rFonts w:hint="eastAsia" w:ascii="仿宋" w:hAnsi="仿宋" w:eastAsia="仿宋" w:cs="仿宋"/>
          <w:sz w:val="24"/>
          <w:szCs w:val="24"/>
          <w:u w:val="single"/>
        </w:rPr>
        <w:t xml:space="preserve">    </w:t>
      </w:r>
      <w:r>
        <w:rPr>
          <w:rFonts w:hint="eastAsia" w:ascii="仿宋" w:hAnsi="仿宋" w:eastAsia="仿宋" w:cs="仿宋"/>
          <w:sz w:val="24"/>
          <w:szCs w:val="24"/>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rPr>
        <w:t>万元，资产总额为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万元，属于 </w:t>
      </w:r>
      <w:r>
        <w:rPr>
          <w:rFonts w:hint="eastAsia" w:ascii="仿宋" w:hAnsi="仿宋" w:eastAsia="仿宋" w:cs="仿宋"/>
          <w:sz w:val="24"/>
          <w:szCs w:val="24"/>
          <w:u w:val="single"/>
        </w:rPr>
        <w:t xml:space="preserve">（ 中 型 企 业 、 小 型 企 业 、 微 型 企 业 ） </w:t>
      </w:r>
      <w:r>
        <w:rPr>
          <w:rFonts w:hint="eastAsia" w:ascii="仿宋" w:hAnsi="仿宋" w:eastAsia="仿宋" w:cs="仿宋"/>
          <w:sz w:val="24"/>
          <w:szCs w:val="24"/>
        </w:rPr>
        <w:t>；</w:t>
      </w:r>
    </w:p>
    <w:p w14:paraId="47887202">
      <w:pPr>
        <w:pBdr>
          <w:top w:val="none" w:color="000000" w:sz="0" w:space="0"/>
          <w:left w:val="none" w:color="000000" w:sz="0" w:space="0"/>
          <w:bottom w:val="none" w:color="000000" w:sz="0" w:space="0"/>
          <w:right w:val="none" w:color="000000" w:sz="0" w:space="0"/>
        </w:pBdr>
        <w:spacing w:line="360" w:lineRule="auto"/>
        <w:ind w:left="142" w:firstLine="482"/>
        <w:rPr>
          <w:rFonts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u w:val="single"/>
        </w:rPr>
        <w:t xml:space="preserve">    </w:t>
      </w:r>
      <w:r>
        <w:rPr>
          <w:rFonts w:hint="eastAsia" w:ascii="仿宋" w:hAnsi="仿宋" w:eastAsia="仿宋" w:cs="仿宋"/>
          <w:sz w:val="24"/>
          <w:szCs w:val="24"/>
        </w:rPr>
        <w:t>，属于</w:t>
      </w:r>
      <w:r>
        <w:rPr>
          <w:rFonts w:hint="eastAsia" w:ascii="仿宋" w:hAnsi="仿宋" w:eastAsia="仿宋" w:cs="仿宋"/>
          <w:sz w:val="24"/>
          <w:szCs w:val="24"/>
          <w:u w:val="single"/>
        </w:rPr>
        <w:t>工业</w:t>
      </w:r>
      <w:r>
        <w:rPr>
          <w:rFonts w:hint="eastAsia" w:ascii="仿宋" w:hAnsi="仿宋" w:eastAsia="仿宋" w:cs="仿宋"/>
          <w:sz w:val="24"/>
          <w:szCs w:val="24"/>
        </w:rPr>
        <w:t xml:space="preserve">行业 ；制造商为 </w:t>
      </w:r>
      <w:r>
        <w:rPr>
          <w:rFonts w:hint="eastAsia" w:ascii="仿宋" w:hAnsi="仿宋" w:eastAsia="仿宋" w:cs="仿宋"/>
          <w:sz w:val="24"/>
          <w:szCs w:val="24"/>
          <w:u w:val="single"/>
        </w:rPr>
        <w:t>（ 企 业 名 称 ）</w:t>
      </w:r>
      <w:r>
        <w:rPr>
          <w:rFonts w:hint="eastAsia" w:ascii="仿宋" w:hAnsi="仿宋" w:eastAsia="仿宋" w:cs="仿宋"/>
          <w:sz w:val="24"/>
          <w:szCs w:val="24"/>
        </w:rPr>
        <w:t> ，从业人员</w:t>
      </w:r>
      <w:r>
        <w:rPr>
          <w:rFonts w:hint="eastAsia" w:ascii="仿宋" w:hAnsi="仿宋" w:eastAsia="仿宋" w:cs="仿宋"/>
          <w:sz w:val="24"/>
          <w:szCs w:val="24"/>
          <w:u w:val="single"/>
        </w:rPr>
        <w:t xml:space="preserve">    </w:t>
      </w:r>
      <w:r>
        <w:rPr>
          <w:rFonts w:hint="eastAsia" w:ascii="仿宋" w:hAnsi="仿宋" w:eastAsia="仿宋" w:cs="仿宋"/>
          <w:sz w:val="24"/>
          <w:szCs w:val="24"/>
        </w:rPr>
        <w:t>人，营业收入为</w:t>
      </w:r>
      <w:r>
        <w:rPr>
          <w:rFonts w:hint="eastAsia" w:ascii="仿宋" w:hAnsi="仿宋" w:eastAsia="仿宋" w:cs="仿宋"/>
          <w:sz w:val="24"/>
          <w:szCs w:val="24"/>
          <w:u w:val="single"/>
        </w:rPr>
        <w:t xml:space="preserve">    </w:t>
      </w:r>
      <w:r>
        <w:rPr>
          <w:rFonts w:hint="eastAsia" w:ascii="仿宋" w:hAnsi="仿宋" w:eastAsia="仿宋" w:cs="仿宋"/>
          <w:sz w:val="24"/>
          <w:szCs w:val="24"/>
        </w:rPr>
        <w:t>万元，资产总额为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万元，属于 </w:t>
      </w:r>
      <w:r>
        <w:rPr>
          <w:rFonts w:hint="eastAsia" w:ascii="仿宋" w:hAnsi="仿宋" w:eastAsia="仿宋" w:cs="仿宋"/>
          <w:sz w:val="24"/>
          <w:szCs w:val="24"/>
          <w:u w:val="single"/>
        </w:rPr>
        <w:t xml:space="preserve">（ 中 型 企 业 、 小 型 企 业 、 微 型 企 业 ） </w:t>
      </w:r>
      <w:r>
        <w:rPr>
          <w:rFonts w:hint="eastAsia" w:ascii="仿宋" w:hAnsi="仿宋" w:eastAsia="仿宋" w:cs="仿宋"/>
          <w:sz w:val="24"/>
          <w:szCs w:val="24"/>
        </w:rPr>
        <w:t>；</w:t>
      </w:r>
    </w:p>
    <w:p w14:paraId="7EF9EA33">
      <w:pPr>
        <w:pBdr>
          <w:top w:val="none" w:color="000000" w:sz="0" w:space="0"/>
          <w:left w:val="none" w:color="000000" w:sz="0" w:space="0"/>
          <w:bottom w:val="none" w:color="000000" w:sz="0" w:space="0"/>
          <w:right w:val="none" w:color="000000" w:sz="0" w:space="0"/>
        </w:pBdr>
        <w:spacing w:line="360" w:lineRule="auto"/>
        <w:ind w:left="622"/>
        <w:rPr>
          <w:sz w:val="24"/>
          <w:szCs w:val="24"/>
        </w:rPr>
      </w:pPr>
      <w:r>
        <w:rPr>
          <w:rFonts w:hint="eastAsia"/>
          <w:sz w:val="24"/>
          <w:szCs w:val="24"/>
        </w:rPr>
        <w:t>...</w:t>
      </w:r>
    </w:p>
    <w:p w14:paraId="758AE065">
      <w:pPr>
        <w:spacing w:line="360" w:lineRule="auto"/>
        <w:ind w:firstLine="480"/>
        <w:rPr>
          <w:rFonts w:ascii="仿宋" w:hAnsi="仿宋" w:eastAsia="仿宋" w:cs="仿宋"/>
          <w:sz w:val="24"/>
          <w:szCs w:val="24"/>
        </w:rPr>
      </w:pPr>
    </w:p>
    <w:p w14:paraId="2F90E4DB">
      <w:pPr>
        <w:spacing w:line="360" w:lineRule="auto"/>
        <w:ind w:firstLine="480"/>
        <w:rPr>
          <w:rFonts w:ascii="仿宋" w:hAnsi="仿宋" w:eastAsia="仿宋" w:cs="仿宋"/>
          <w:sz w:val="24"/>
          <w:szCs w:val="24"/>
        </w:rPr>
      </w:pPr>
      <w:r>
        <w:rPr>
          <w:rFonts w:hint="eastAsia" w:ascii="仿宋" w:hAnsi="仿宋" w:eastAsia="仿宋" w:cs="仿宋"/>
          <w:sz w:val="24"/>
          <w:szCs w:val="24"/>
        </w:rPr>
        <w:t xml:space="preserve">以上企业，不属于大企业的分支机构，不存在控股股东为大企业的情形，也不存在与大企业的负责人为同一人的情形。 本企业对上述声明内容的真实性负责。如有虚假，将依 法承担相应责任。 </w:t>
      </w:r>
    </w:p>
    <w:p w14:paraId="326062FE">
      <w:pPr>
        <w:spacing w:line="360" w:lineRule="auto"/>
        <w:ind w:firstLine="6480"/>
        <w:rPr>
          <w:rFonts w:ascii="仿宋" w:hAnsi="仿宋" w:eastAsia="仿宋" w:cs="仿宋"/>
          <w:sz w:val="24"/>
          <w:szCs w:val="24"/>
        </w:rPr>
      </w:pPr>
      <w:r>
        <w:rPr>
          <w:rFonts w:hint="eastAsia" w:ascii="仿宋" w:hAnsi="仿宋" w:eastAsia="仿宋" w:cs="仿宋"/>
          <w:sz w:val="24"/>
          <w:szCs w:val="24"/>
        </w:rPr>
        <w:t xml:space="preserve">企业名称（盖章）： </w:t>
      </w:r>
    </w:p>
    <w:p w14:paraId="7514219C">
      <w:pPr>
        <w:spacing w:line="360" w:lineRule="auto"/>
        <w:ind w:firstLine="6480"/>
        <w:rPr>
          <w:rFonts w:ascii="仿宋" w:hAnsi="仿宋" w:eastAsia="仿宋" w:cs="仿宋"/>
          <w:sz w:val="24"/>
          <w:szCs w:val="24"/>
        </w:rPr>
      </w:pPr>
      <w:r>
        <w:rPr>
          <w:rFonts w:hint="eastAsia" w:ascii="仿宋" w:hAnsi="仿宋" w:eastAsia="仿宋" w:cs="仿宋"/>
          <w:sz w:val="24"/>
          <w:szCs w:val="24"/>
        </w:rPr>
        <w:t>日 期：</w:t>
      </w:r>
    </w:p>
    <w:p w14:paraId="4040785D">
      <w:pPr>
        <w:spacing w:line="360" w:lineRule="auto"/>
        <w:rPr>
          <w:rFonts w:ascii="仿宋" w:hAnsi="仿宋" w:eastAsia="仿宋" w:cs="仿宋"/>
          <w:sz w:val="24"/>
          <w:szCs w:val="24"/>
        </w:rPr>
      </w:pPr>
      <w:r>
        <w:rPr>
          <w:rFonts w:hint="eastAsia" w:ascii="仿宋" w:hAnsi="仿宋" w:eastAsia="仿宋" w:cs="仿宋"/>
          <w:sz w:val="24"/>
          <w:szCs w:val="24"/>
        </w:rPr>
        <w:t>注：从业人员、营业收入、资产总额填报上一年度数据，无上一年度数据的新成立企业可不填报。</w:t>
      </w:r>
    </w:p>
    <w:p w14:paraId="05E8012D">
      <w:pPr>
        <w:spacing w:line="440" w:lineRule="exact"/>
        <w:ind w:firstLine="482"/>
        <w:jc w:val="left"/>
        <w:rPr>
          <w:rFonts w:ascii="仿宋" w:hAnsi="仿宋" w:eastAsia="仿宋" w:cs="仿宋"/>
          <w:b/>
          <w:sz w:val="24"/>
        </w:rPr>
      </w:pPr>
      <w:r>
        <w:rPr>
          <w:rFonts w:hint="eastAsia" w:ascii="仿宋" w:hAnsi="仿宋" w:eastAsia="仿宋" w:cs="仿宋"/>
          <w:b/>
          <w:sz w:val="24"/>
        </w:rPr>
        <w:t>备注：</w:t>
      </w:r>
    </w:p>
    <w:p w14:paraId="115817B1">
      <w:pPr>
        <w:spacing w:line="460" w:lineRule="exact"/>
        <w:ind w:firstLine="480"/>
        <w:jc w:val="left"/>
        <w:rPr>
          <w:rFonts w:ascii="仿宋" w:hAnsi="仿宋" w:eastAsia="仿宋" w:cs="仿宋"/>
          <w:bCs/>
          <w:sz w:val="24"/>
        </w:rPr>
      </w:pPr>
      <w:r>
        <w:rPr>
          <w:rFonts w:hint="eastAsia" w:ascii="仿宋" w:hAnsi="仿宋" w:eastAsia="仿宋" w:cs="仿宋"/>
          <w:bCs/>
          <w:sz w:val="24"/>
        </w:rPr>
        <w:t>1、本项目为</w:t>
      </w:r>
      <w:r>
        <w:rPr>
          <w:rFonts w:hint="eastAsia" w:ascii="仿宋" w:hAnsi="仿宋" w:eastAsia="仿宋" w:cs="仿宋"/>
          <w:b/>
          <w:bCs/>
          <w:sz w:val="24"/>
        </w:rPr>
        <w:t>专门面向中小企业采购</w:t>
      </w:r>
      <w:r>
        <w:rPr>
          <w:rFonts w:hint="eastAsia" w:ascii="仿宋" w:hAnsi="仿宋" w:eastAsia="仿宋" w:cs="仿宋"/>
          <w:bCs/>
          <w:sz w:val="24"/>
        </w:rPr>
        <w:t>。</w:t>
      </w:r>
      <w:r>
        <w:rPr>
          <w:rFonts w:hint="eastAsia" w:ascii="仿宋" w:hAnsi="仿宋" w:eastAsia="仿宋" w:cs="仿宋"/>
          <w:sz w:val="24"/>
        </w:rPr>
        <w:t>投标人</w:t>
      </w:r>
      <w:r>
        <w:rPr>
          <w:rFonts w:hint="eastAsia" w:ascii="仿宋" w:hAnsi="仿宋" w:eastAsia="仿宋" w:cs="仿宋"/>
          <w:b/>
          <w:sz w:val="24"/>
        </w:rPr>
        <w:t>应提供中小企业声明函或残疾人福利性单位声明函或省级以上监狱管理局、戒毒管理局（含新疆生产建设兵团）出具的属于监狱企业的证明文件</w:t>
      </w:r>
      <w:r>
        <w:rPr>
          <w:rFonts w:hint="eastAsia" w:ascii="仿宋" w:hAnsi="仿宋" w:eastAsia="仿宋" w:cs="仿宋"/>
          <w:b/>
          <w:sz w:val="24"/>
          <w:lang w:eastAsia="zh-CN"/>
        </w:rPr>
        <w:t>，</w:t>
      </w:r>
      <w:r>
        <w:rPr>
          <w:rFonts w:hint="eastAsia" w:ascii="仿宋" w:hAnsi="仿宋" w:eastAsia="仿宋" w:cs="仿宋"/>
          <w:b/>
          <w:sz w:val="24"/>
        </w:rPr>
        <w:t>否则视为投标无效。</w:t>
      </w:r>
    </w:p>
    <w:p w14:paraId="1FCEA354">
      <w:pPr>
        <w:pStyle w:val="59"/>
        <w:widowControl w:val="0"/>
        <w:spacing w:before="0" w:beforeAutospacing="0" w:after="0" w:afterAutospacing="0" w:line="440" w:lineRule="exact"/>
        <w:ind w:firstLine="480"/>
        <w:rPr>
          <w:rFonts w:ascii="仿宋" w:hAnsi="仿宋" w:eastAsia="仿宋" w:cs="仿宋"/>
          <w:bCs/>
        </w:rPr>
      </w:pPr>
      <w:r>
        <w:rPr>
          <w:rFonts w:hint="eastAsia" w:ascii="仿宋" w:hAnsi="仿宋" w:eastAsia="仿宋" w:cs="仿宋"/>
          <w:bCs/>
        </w:rPr>
        <w:t>2、中标、成交供应商享受规定的中小企业扶持政策的，《中小企业声明函》应当随中标、成交结果同时公告，接受社会监督。</w:t>
      </w:r>
    </w:p>
    <w:p w14:paraId="3C6F7A95">
      <w:pPr>
        <w:pStyle w:val="59"/>
        <w:widowControl w:val="0"/>
        <w:spacing w:before="0" w:beforeAutospacing="0" w:after="0" w:afterAutospacing="0" w:line="440" w:lineRule="exact"/>
        <w:ind w:firstLine="480"/>
        <w:rPr>
          <w:rFonts w:ascii="仿宋" w:hAnsi="仿宋" w:eastAsia="仿宋" w:cs="仿宋"/>
          <w:bCs/>
        </w:rPr>
      </w:pPr>
      <w:r>
        <w:rPr>
          <w:rFonts w:hint="eastAsia" w:ascii="仿宋" w:hAnsi="仿宋" w:eastAsia="仿宋" w:cs="仿宋"/>
          <w:bCs/>
        </w:rPr>
        <w:t>3、供应商按规定提供声明函内容不实的，属于提供虚假材料谋取中标、 成交， 依照《中华人民共和国政府采购法》 等国家有关规定追究相应责任。</w:t>
      </w:r>
    </w:p>
    <w:p w14:paraId="5EA77B29">
      <w:pPr>
        <w:rPr>
          <w:rFonts w:ascii="仿宋" w:hAnsi="仿宋" w:eastAsia="仿宋" w:cs="仿宋"/>
          <w:b/>
          <w:bCs/>
          <w:szCs w:val="21"/>
          <w:lang w:val="zh-CN"/>
        </w:rPr>
      </w:pPr>
      <w:r>
        <w:rPr>
          <w:rFonts w:hint="eastAsia" w:ascii="仿宋" w:hAnsi="仿宋" w:eastAsia="仿宋" w:cs="仿宋"/>
          <w:b/>
          <w:bCs/>
          <w:szCs w:val="21"/>
          <w:lang w:val="zh-CN"/>
        </w:rPr>
        <w:br w:type="page" w:clear="all"/>
      </w:r>
    </w:p>
    <w:p w14:paraId="5753AD34">
      <w:pPr>
        <w:spacing w:line="400" w:lineRule="exact"/>
        <w:rPr>
          <w:rFonts w:ascii="仿宋" w:hAnsi="仿宋" w:eastAsia="仿宋" w:cs="仿宋"/>
          <w:b/>
          <w:bCs/>
          <w:szCs w:val="21"/>
          <w:lang w:val="zh-CN"/>
        </w:rPr>
      </w:pPr>
      <w:r>
        <w:rPr>
          <w:rFonts w:hint="eastAsia" w:ascii="仿宋" w:hAnsi="仿宋" w:eastAsia="仿宋" w:cs="仿宋"/>
          <w:bCs/>
          <w:szCs w:val="21"/>
          <w:lang w:val="zh-CN"/>
        </w:rPr>
        <w:t>格式</w:t>
      </w:r>
      <w:r>
        <w:rPr>
          <w:rFonts w:hint="eastAsia" w:ascii="仿宋" w:hAnsi="仿宋" w:eastAsia="仿宋" w:cs="仿宋"/>
          <w:bCs/>
          <w:szCs w:val="21"/>
        </w:rPr>
        <w:t>12</w:t>
      </w:r>
      <w:r>
        <w:rPr>
          <w:rFonts w:hint="eastAsia" w:ascii="仿宋" w:hAnsi="仿宋" w:eastAsia="仿宋" w:cs="仿宋"/>
          <w:bCs/>
          <w:szCs w:val="21"/>
          <w:lang w:val="zh-CN"/>
        </w:rPr>
        <w:t>、</w:t>
      </w:r>
      <w:r>
        <w:rPr>
          <w:rFonts w:hint="eastAsia" w:ascii="仿宋" w:hAnsi="仿宋" w:eastAsia="仿宋" w:cs="仿宋"/>
          <w:b/>
          <w:bCs/>
          <w:szCs w:val="21"/>
          <w:lang w:val="zh-CN"/>
        </w:rPr>
        <w:t>残疾人福利性单位声明函</w:t>
      </w:r>
    </w:p>
    <w:p w14:paraId="1AC2CDBD">
      <w:pPr>
        <w:pStyle w:val="25"/>
        <w:ind w:firstLine="250"/>
        <w:rPr>
          <w:rFonts w:ascii="仿宋" w:hAnsi="仿宋" w:eastAsia="仿宋" w:cs="仿宋"/>
        </w:rPr>
      </w:pPr>
    </w:p>
    <w:p w14:paraId="57C6348B">
      <w:pPr>
        <w:pStyle w:val="282"/>
        <w:spacing w:line="420" w:lineRule="exact"/>
        <w:jc w:val="center"/>
        <w:rPr>
          <w:rFonts w:ascii="仿宋" w:hAnsi="仿宋" w:eastAsia="仿宋" w:cs="仿宋"/>
          <w:b/>
          <w:sz w:val="30"/>
          <w:szCs w:val="30"/>
        </w:rPr>
      </w:pPr>
      <w:r>
        <w:rPr>
          <w:rFonts w:hint="eastAsia" w:ascii="仿宋" w:hAnsi="仿宋" w:eastAsia="仿宋" w:cs="仿宋"/>
          <w:b/>
          <w:sz w:val="30"/>
          <w:szCs w:val="30"/>
        </w:rPr>
        <w:t>残疾人福利性单位声明函</w:t>
      </w:r>
    </w:p>
    <w:p w14:paraId="5119FF92">
      <w:pPr>
        <w:spacing w:line="480" w:lineRule="atLeast"/>
        <w:ind w:firstLine="480"/>
        <w:rPr>
          <w:rFonts w:ascii="仿宋" w:hAnsi="仿宋" w:eastAsia="仿宋" w:cs="仿宋"/>
          <w:sz w:val="24"/>
          <w:szCs w:val="24"/>
        </w:rPr>
      </w:pPr>
      <w:r>
        <w:rPr>
          <w:rFonts w:hint="eastAsia" w:ascii="仿宋" w:hAnsi="仿宋" w:eastAsia="仿宋" w:cs="仿宋"/>
          <w:sz w:val="24"/>
          <w:szCs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150C4DC">
      <w:pPr>
        <w:spacing w:line="480" w:lineRule="atLeast"/>
        <w:ind w:firstLine="480"/>
        <w:rPr>
          <w:rFonts w:ascii="仿宋" w:hAnsi="仿宋" w:eastAsia="仿宋" w:cs="仿宋"/>
          <w:sz w:val="24"/>
          <w:szCs w:val="24"/>
        </w:rPr>
      </w:pPr>
      <w:r>
        <w:rPr>
          <w:rFonts w:hint="eastAsia" w:ascii="仿宋" w:hAnsi="仿宋" w:eastAsia="仿宋" w:cs="仿宋"/>
          <w:sz w:val="24"/>
          <w:szCs w:val="24"/>
        </w:rPr>
        <w:t>本单位对上述声明的真实性负责。如有虚假，将依法承担相应责任。</w:t>
      </w:r>
    </w:p>
    <w:p w14:paraId="17D63DBB">
      <w:pPr>
        <w:spacing w:line="480" w:lineRule="atLeast"/>
        <w:rPr>
          <w:rFonts w:ascii="仿宋" w:hAnsi="仿宋" w:eastAsia="仿宋" w:cs="仿宋"/>
          <w:sz w:val="24"/>
          <w:szCs w:val="24"/>
        </w:rPr>
      </w:pPr>
    </w:p>
    <w:p w14:paraId="68F0FF12">
      <w:pPr>
        <w:spacing w:line="480" w:lineRule="atLeast"/>
        <w:rPr>
          <w:rFonts w:ascii="仿宋" w:hAnsi="仿宋" w:eastAsia="仿宋" w:cs="仿宋"/>
          <w:sz w:val="24"/>
          <w:szCs w:val="24"/>
        </w:rPr>
      </w:pPr>
    </w:p>
    <w:p w14:paraId="6C35232C">
      <w:pPr>
        <w:spacing w:line="480" w:lineRule="atLeast"/>
        <w:rPr>
          <w:rFonts w:ascii="仿宋" w:hAnsi="仿宋" w:eastAsia="仿宋" w:cs="仿宋"/>
          <w:sz w:val="24"/>
          <w:szCs w:val="24"/>
        </w:rPr>
      </w:pPr>
      <w:r>
        <w:rPr>
          <w:rFonts w:hint="eastAsia" w:ascii="仿宋" w:hAnsi="仿宋" w:eastAsia="仿宋" w:cs="仿宋"/>
          <w:sz w:val="24"/>
          <w:szCs w:val="24"/>
        </w:rPr>
        <w:t xml:space="preserve">                                企业名称（盖章）：</w:t>
      </w:r>
    </w:p>
    <w:p w14:paraId="415A2646">
      <w:pPr>
        <w:spacing w:line="400" w:lineRule="exact"/>
        <w:rPr>
          <w:rFonts w:ascii="仿宋" w:hAnsi="仿宋" w:eastAsia="仿宋" w:cs="仿宋"/>
          <w:b/>
          <w:bCs/>
          <w:spacing w:val="20"/>
          <w:sz w:val="24"/>
          <w:szCs w:val="24"/>
        </w:rPr>
      </w:pPr>
      <w:r>
        <w:rPr>
          <w:rFonts w:hint="eastAsia" w:ascii="仿宋" w:hAnsi="仿宋" w:eastAsia="仿宋" w:cs="仿宋"/>
          <w:sz w:val="24"/>
          <w:szCs w:val="24"/>
        </w:rPr>
        <w:t>                                         日 期：</w:t>
      </w:r>
    </w:p>
    <w:p w14:paraId="12199890">
      <w:pPr>
        <w:spacing w:line="400" w:lineRule="exact"/>
        <w:jc w:val="center"/>
        <w:rPr>
          <w:rFonts w:ascii="仿宋" w:hAnsi="仿宋" w:eastAsia="仿宋" w:cs="仿宋"/>
          <w:b/>
          <w:bCs/>
          <w:spacing w:val="20"/>
          <w:sz w:val="24"/>
          <w:szCs w:val="24"/>
        </w:rPr>
      </w:pPr>
    </w:p>
    <w:p w14:paraId="5DF95BDB">
      <w:pPr>
        <w:spacing w:line="400" w:lineRule="exact"/>
        <w:jc w:val="center"/>
        <w:rPr>
          <w:rFonts w:ascii="仿宋" w:hAnsi="仿宋" w:eastAsia="仿宋" w:cs="仿宋"/>
          <w:b/>
          <w:bCs/>
          <w:spacing w:val="20"/>
          <w:sz w:val="30"/>
        </w:rPr>
      </w:pPr>
    </w:p>
    <w:p w14:paraId="67938392">
      <w:pPr>
        <w:pStyle w:val="25"/>
        <w:ind w:firstLine="250"/>
        <w:rPr>
          <w:rFonts w:ascii="仿宋" w:hAnsi="仿宋" w:eastAsia="仿宋" w:cs="仿宋"/>
        </w:rPr>
      </w:pPr>
    </w:p>
    <w:p w14:paraId="7C703711">
      <w:pPr>
        <w:pStyle w:val="25"/>
        <w:ind w:firstLine="250"/>
        <w:rPr>
          <w:rFonts w:ascii="仿宋" w:hAnsi="仿宋" w:eastAsia="仿宋" w:cs="仿宋"/>
        </w:rPr>
      </w:pPr>
    </w:p>
    <w:p w14:paraId="3C1A2662">
      <w:pPr>
        <w:rPr>
          <w:rFonts w:ascii="仿宋" w:hAnsi="仿宋" w:eastAsia="仿宋" w:cs="仿宋"/>
        </w:rPr>
      </w:pPr>
      <w:r>
        <w:rPr>
          <w:rFonts w:hint="eastAsia" w:ascii="仿宋" w:hAnsi="仿宋" w:eastAsia="仿宋" w:cs="仿宋"/>
        </w:rPr>
        <w:br w:type="page" w:clear="all"/>
      </w:r>
    </w:p>
    <w:p w14:paraId="1AB0D7CA">
      <w:pPr>
        <w:jc w:val="left"/>
        <w:rPr>
          <w:rFonts w:ascii="仿宋" w:hAnsi="仿宋" w:eastAsia="仿宋" w:cs="仿宋"/>
          <w:b/>
          <w:szCs w:val="21"/>
        </w:rPr>
      </w:pPr>
      <w:r>
        <w:rPr>
          <w:rFonts w:hint="eastAsia" w:ascii="仿宋" w:hAnsi="仿宋" w:eastAsia="仿宋" w:cs="仿宋"/>
          <w:bCs/>
          <w:szCs w:val="21"/>
        </w:rPr>
        <w:t>格式13</w:t>
      </w:r>
      <w:r>
        <w:rPr>
          <w:rFonts w:hint="eastAsia" w:ascii="仿宋" w:hAnsi="仿宋" w:eastAsia="仿宋" w:cs="仿宋"/>
          <w:b/>
          <w:szCs w:val="21"/>
        </w:rPr>
        <w:t>、联合投标协议书（如属）</w:t>
      </w:r>
    </w:p>
    <w:p w14:paraId="610EB8D1">
      <w:pPr>
        <w:pStyle w:val="282"/>
        <w:spacing w:line="360" w:lineRule="auto"/>
        <w:jc w:val="center"/>
        <w:rPr>
          <w:rFonts w:ascii="仿宋" w:hAnsi="仿宋" w:eastAsia="仿宋" w:cs="仿宋"/>
          <w:b/>
          <w:sz w:val="30"/>
          <w:szCs w:val="30"/>
        </w:rPr>
      </w:pPr>
      <w:r>
        <w:rPr>
          <w:rFonts w:hint="eastAsia" w:ascii="仿宋" w:hAnsi="仿宋" w:eastAsia="仿宋" w:cs="仿宋"/>
          <w:b/>
          <w:sz w:val="30"/>
          <w:szCs w:val="30"/>
        </w:rPr>
        <w:t>联合投标协议书</w:t>
      </w:r>
    </w:p>
    <w:p w14:paraId="3FDAFEFB">
      <w:pPr>
        <w:tabs>
          <w:tab w:val="left" w:pos="3302"/>
          <w:tab w:val="left" w:pos="5717"/>
        </w:tabs>
        <w:spacing w:line="360" w:lineRule="auto"/>
        <w:ind w:firstLine="480"/>
        <w:rPr>
          <w:rFonts w:ascii="仿宋" w:hAnsi="仿宋" w:eastAsia="仿宋" w:cs="仿宋"/>
          <w:sz w:val="24"/>
          <w:szCs w:val="24"/>
        </w:rPr>
      </w:pPr>
      <w:r>
        <w:rPr>
          <w:rFonts w:hint="eastAsia" w:ascii="仿宋" w:hAnsi="仿宋" w:eastAsia="仿宋" w:cs="仿宋"/>
          <w:sz w:val="24"/>
          <w:szCs w:val="24"/>
          <w:u w:val="single"/>
        </w:rPr>
        <w:t>（所有成员单位名称）</w:t>
      </w:r>
      <w:r>
        <w:rPr>
          <w:rFonts w:hint="eastAsia" w:ascii="仿宋" w:hAnsi="仿宋" w:eastAsia="仿宋" w:cs="仿宋"/>
          <w:sz w:val="24"/>
          <w:szCs w:val="24"/>
        </w:rPr>
        <w:t>自愿组成联合体，共同参加苏州乐鑫诚项目管理有限公司组织的</w:t>
      </w:r>
      <w:r>
        <w:rPr>
          <w:rFonts w:hint="eastAsia" w:ascii="仿宋" w:hAnsi="仿宋" w:eastAsia="仿宋" w:cs="仿宋"/>
          <w:sz w:val="24"/>
          <w:szCs w:val="24"/>
          <w:u w:val="single"/>
        </w:rPr>
        <w:t xml:space="preserve">        </w:t>
      </w:r>
      <w:r>
        <w:rPr>
          <w:rFonts w:hint="eastAsia" w:ascii="仿宋" w:hAnsi="仿宋" w:eastAsia="仿宋" w:cs="仿宋"/>
          <w:sz w:val="24"/>
          <w:szCs w:val="24"/>
        </w:rPr>
        <w:t>（项目编号：</w:t>
      </w:r>
      <w:r>
        <w:rPr>
          <w:rFonts w:hint="eastAsia" w:ascii="仿宋" w:hAnsi="仿宋" w:eastAsia="仿宋" w:cs="仿宋"/>
          <w:sz w:val="24"/>
          <w:szCs w:val="24"/>
          <w:u w:val="single"/>
        </w:rPr>
        <w:t xml:space="preserve">        </w:t>
      </w:r>
      <w:r>
        <w:rPr>
          <w:rFonts w:hint="eastAsia" w:ascii="仿宋" w:hAnsi="仿宋" w:eastAsia="仿宋" w:cs="仿宋"/>
          <w:sz w:val="24"/>
          <w:szCs w:val="24"/>
        </w:rPr>
        <w:t>）投标。现就联合体投标事宜订立如下协议：</w:t>
      </w:r>
    </w:p>
    <w:p w14:paraId="20E5F2F3">
      <w:pPr>
        <w:tabs>
          <w:tab w:val="left" w:pos="4982"/>
        </w:tabs>
        <w:spacing w:line="360" w:lineRule="auto"/>
        <w:ind w:firstLine="480"/>
        <w:rPr>
          <w:rFonts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（某成员单位名称）</w:t>
      </w:r>
      <w:r>
        <w:rPr>
          <w:rFonts w:hint="eastAsia" w:ascii="仿宋" w:hAnsi="仿宋" w:eastAsia="仿宋" w:cs="仿宋"/>
          <w:sz w:val="24"/>
          <w:szCs w:val="24"/>
        </w:rPr>
        <w:t>为联合体牵头人。</w:t>
      </w:r>
    </w:p>
    <w:p w14:paraId="4B3BF8F7">
      <w:pPr>
        <w:tabs>
          <w:tab w:val="left" w:pos="4982"/>
        </w:tabs>
        <w:spacing w:line="360" w:lineRule="auto"/>
        <w:ind w:firstLine="480"/>
        <w:rPr>
          <w:rFonts w:ascii="仿宋" w:hAnsi="仿宋" w:eastAsia="仿宋" w:cs="仿宋"/>
          <w:sz w:val="24"/>
          <w:szCs w:val="24"/>
        </w:rPr>
      </w:pPr>
      <w:r>
        <w:rPr>
          <w:rFonts w:hint="eastAsia" w:ascii="仿宋" w:hAnsi="仿宋" w:eastAsia="仿宋" w:cs="仿宋"/>
          <w:sz w:val="24"/>
          <w:szCs w:val="24"/>
        </w:rPr>
        <w:t>2、联合体牵头人合法代表联合体各成员负责本招标项目投标文件编制和合同谈判活动，代表联合体提交和接收相关的资料、信息及指示，并处理与之有关的一切事务，负责合同实施阶段的主办、组织和协调工作。</w:t>
      </w:r>
    </w:p>
    <w:p w14:paraId="326C9889">
      <w:pPr>
        <w:tabs>
          <w:tab w:val="left" w:pos="4982"/>
        </w:tabs>
        <w:spacing w:line="360" w:lineRule="auto"/>
        <w:ind w:firstLine="480"/>
        <w:rPr>
          <w:rFonts w:ascii="仿宋" w:hAnsi="仿宋" w:eastAsia="仿宋" w:cs="仿宋"/>
          <w:sz w:val="24"/>
          <w:szCs w:val="24"/>
        </w:rPr>
      </w:pPr>
      <w:r>
        <w:rPr>
          <w:rFonts w:hint="eastAsia" w:ascii="仿宋" w:hAnsi="仿宋" w:eastAsia="仿宋" w:cs="仿宋"/>
          <w:sz w:val="24"/>
          <w:szCs w:val="24"/>
        </w:rPr>
        <w:t>3、联合体将严格按照招标文件的各项要求，提交投标文件，履行合同，并对外承担连带责任。</w:t>
      </w:r>
    </w:p>
    <w:p w14:paraId="2B616ABC">
      <w:pPr>
        <w:tabs>
          <w:tab w:val="left" w:pos="7558"/>
        </w:tabs>
        <w:spacing w:line="360" w:lineRule="auto"/>
        <w:ind w:firstLine="480"/>
        <w:rPr>
          <w:rFonts w:ascii="仿宋" w:hAnsi="仿宋" w:eastAsia="仿宋" w:cs="仿宋"/>
          <w:sz w:val="24"/>
          <w:szCs w:val="24"/>
          <w:u w:val="single"/>
        </w:rPr>
      </w:pPr>
      <w:r>
        <w:rPr>
          <w:rFonts w:hint="eastAsia" w:ascii="仿宋" w:hAnsi="仿宋" w:eastAsia="仿宋" w:cs="仿宋"/>
          <w:sz w:val="24"/>
          <w:szCs w:val="24"/>
        </w:rPr>
        <w:t>4、联合体各成员单位内部的职责分工如下：</w:t>
      </w:r>
    </w:p>
    <w:tbl>
      <w:tblPr>
        <w:tblStyle w:val="65"/>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3530"/>
        <w:gridCol w:w="992"/>
        <w:gridCol w:w="993"/>
        <w:gridCol w:w="1318"/>
      </w:tblGrid>
      <w:tr w14:paraId="35AA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0" w:type="dxa"/>
            <w:noWrap w:val="0"/>
            <w:vAlign w:val="center"/>
          </w:tcPr>
          <w:p w14:paraId="61A3A89A">
            <w:pPr>
              <w:spacing w:line="320" w:lineRule="exact"/>
              <w:jc w:val="center"/>
              <w:rPr>
                <w:rFonts w:ascii="仿宋" w:hAnsi="仿宋" w:eastAsia="仿宋" w:cs="仿宋"/>
                <w:b/>
                <w:sz w:val="24"/>
                <w:szCs w:val="24"/>
              </w:rPr>
            </w:pPr>
            <w:r>
              <w:rPr>
                <w:rFonts w:hint="eastAsia" w:ascii="仿宋" w:hAnsi="仿宋" w:eastAsia="仿宋" w:cs="仿宋"/>
                <w:b/>
                <w:sz w:val="24"/>
                <w:szCs w:val="24"/>
              </w:rPr>
              <w:t>成员单位</w:t>
            </w:r>
          </w:p>
        </w:tc>
        <w:tc>
          <w:tcPr>
            <w:tcW w:w="3530" w:type="dxa"/>
            <w:noWrap w:val="0"/>
            <w:vAlign w:val="center"/>
          </w:tcPr>
          <w:p w14:paraId="67290C31">
            <w:pPr>
              <w:spacing w:line="320" w:lineRule="exact"/>
              <w:jc w:val="left"/>
              <w:rPr>
                <w:rFonts w:ascii="仿宋" w:hAnsi="仿宋" w:eastAsia="仿宋" w:cs="仿宋"/>
                <w:b/>
                <w:sz w:val="24"/>
                <w:szCs w:val="24"/>
              </w:rPr>
            </w:pPr>
            <w:r>
              <w:rPr>
                <w:rFonts w:hint="eastAsia" w:ascii="仿宋" w:hAnsi="仿宋" w:eastAsia="仿宋" w:cs="仿宋"/>
                <w:b/>
                <w:bCs/>
                <w:sz w:val="24"/>
                <w:szCs w:val="24"/>
              </w:rPr>
              <w:t>承担的工作、相应的责任、资金所占比例</w:t>
            </w:r>
          </w:p>
        </w:tc>
        <w:tc>
          <w:tcPr>
            <w:tcW w:w="992" w:type="dxa"/>
            <w:noWrap w:val="0"/>
            <w:vAlign w:val="center"/>
          </w:tcPr>
          <w:p w14:paraId="7E4AC680">
            <w:pPr>
              <w:spacing w:line="320" w:lineRule="exact"/>
              <w:jc w:val="center"/>
              <w:rPr>
                <w:rFonts w:ascii="仿宋" w:hAnsi="仿宋" w:eastAsia="仿宋" w:cs="仿宋"/>
                <w:b/>
                <w:sz w:val="24"/>
                <w:szCs w:val="24"/>
              </w:rPr>
            </w:pPr>
            <w:r>
              <w:rPr>
                <w:rFonts w:hint="eastAsia" w:ascii="仿宋" w:hAnsi="仿宋" w:eastAsia="仿宋" w:cs="仿宋"/>
                <w:b/>
                <w:sz w:val="24"/>
                <w:szCs w:val="24"/>
              </w:rPr>
              <w:t>数量</w:t>
            </w:r>
          </w:p>
        </w:tc>
        <w:tc>
          <w:tcPr>
            <w:tcW w:w="993" w:type="dxa"/>
            <w:noWrap w:val="0"/>
            <w:vAlign w:val="center"/>
          </w:tcPr>
          <w:p w14:paraId="68BB6E27">
            <w:pPr>
              <w:spacing w:line="320" w:lineRule="exact"/>
              <w:jc w:val="center"/>
              <w:rPr>
                <w:rFonts w:ascii="仿宋" w:hAnsi="仿宋" w:eastAsia="仿宋" w:cs="仿宋"/>
                <w:b/>
                <w:sz w:val="24"/>
                <w:szCs w:val="24"/>
              </w:rPr>
            </w:pPr>
            <w:r>
              <w:rPr>
                <w:rFonts w:hint="eastAsia" w:ascii="仿宋" w:hAnsi="仿宋" w:eastAsia="仿宋" w:cs="仿宋"/>
                <w:b/>
                <w:sz w:val="24"/>
                <w:szCs w:val="24"/>
              </w:rPr>
              <w:t>单位</w:t>
            </w:r>
          </w:p>
        </w:tc>
        <w:tc>
          <w:tcPr>
            <w:tcW w:w="1318" w:type="dxa"/>
            <w:noWrap w:val="0"/>
            <w:vAlign w:val="center"/>
          </w:tcPr>
          <w:p w14:paraId="7FF0C67C">
            <w:pPr>
              <w:spacing w:line="320" w:lineRule="exact"/>
              <w:jc w:val="center"/>
              <w:rPr>
                <w:rFonts w:ascii="仿宋" w:hAnsi="仿宋" w:eastAsia="仿宋" w:cs="仿宋"/>
                <w:b/>
                <w:sz w:val="24"/>
                <w:szCs w:val="24"/>
              </w:rPr>
            </w:pPr>
            <w:r>
              <w:rPr>
                <w:rFonts w:hint="eastAsia" w:ascii="仿宋" w:hAnsi="仿宋" w:eastAsia="仿宋" w:cs="仿宋"/>
                <w:b/>
                <w:sz w:val="24"/>
                <w:szCs w:val="24"/>
              </w:rPr>
              <w:t>其他说明</w:t>
            </w:r>
          </w:p>
        </w:tc>
      </w:tr>
      <w:tr w14:paraId="037E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1680" w:type="dxa"/>
            <w:noWrap w:val="0"/>
            <w:vAlign w:val="center"/>
          </w:tcPr>
          <w:p w14:paraId="78A64CA6">
            <w:pPr>
              <w:spacing w:line="320" w:lineRule="exact"/>
              <w:jc w:val="center"/>
              <w:rPr>
                <w:rFonts w:ascii="仿宋" w:hAnsi="仿宋" w:eastAsia="仿宋" w:cs="仿宋"/>
                <w:sz w:val="24"/>
                <w:szCs w:val="24"/>
              </w:rPr>
            </w:pPr>
            <w:r>
              <w:rPr>
                <w:rFonts w:hint="eastAsia" w:ascii="仿宋" w:hAnsi="仿宋" w:eastAsia="仿宋" w:cs="仿宋"/>
                <w:sz w:val="24"/>
                <w:szCs w:val="24"/>
              </w:rPr>
              <w:t>牵头单位</w:t>
            </w:r>
          </w:p>
        </w:tc>
        <w:tc>
          <w:tcPr>
            <w:tcW w:w="3530" w:type="dxa"/>
            <w:noWrap w:val="0"/>
            <w:vAlign w:val="center"/>
          </w:tcPr>
          <w:p w14:paraId="44AB90E5">
            <w:pPr>
              <w:spacing w:line="320" w:lineRule="exact"/>
              <w:jc w:val="center"/>
              <w:rPr>
                <w:rFonts w:ascii="仿宋" w:hAnsi="仿宋" w:eastAsia="仿宋" w:cs="仿宋"/>
                <w:sz w:val="24"/>
                <w:szCs w:val="24"/>
              </w:rPr>
            </w:pPr>
          </w:p>
        </w:tc>
        <w:tc>
          <w:tcPr>
            <w:tcW w:w="992" w:type="dxa"/>
            <w:noWrap w:val="0"/>
            <w:vAlign w:val="center"/>
          </w:tcPr>
          <w:p w14:paraId="3947DE3D">
            <w:pPr>
              <w:spacing w:line="320" w:lineRule="exact"/>
              <w:jc w:val="center"/>
              <w:rPr>
                <w:rFonts w:ascii="仿宋" w:hAnsi="仿宋" w:eastAsia="仿宋" w:cs="仿宋"/>
                <w:sz w:val="24"/>
                <w:szCs w:val="24"/>
              </w:rPr>
            </w:pPr>
          </w:p>
        </w:tc>
        <w:tc>
          <w:tcPr>
            <w:tcW w:w="993" w:type="dxa"/>
            <w:noWrap w:val="0"/>
            <w:vAlign w:val="center"/>
          </w:tcPr>
          <w:p w14:paraId="3E93F4FA">
            <w:pPr>
              <w:spacing w:line="320" w:lineRule="exact"/>
              <w:jc w:val="center"/>
              <w:rPr>
                <w:rFonts w:ascii="仿宋" w:hAnsi="仿宋" w:eastAsia="仿宋" w:cs="仿宋"/>
                <w:sz w:val="24"/>
                <w:szCs w:val="24"/>
              </w:rPr>
            </w:pPr>
          </w:p>
        </w:tc>
        <w:tc>
          <w:tcPr>
            <w:tcW w:w="1318" w:type="dxa"/>
            <w:noWrap w:val="0"/>
            <w:vAlign w:val="center"/>
          </w:tcPr>
          <w:p w14:paraId="11A150C3">
            <w:pPr>
              <w:spacing w:line="320" w:lineRule="exact"/>
              <w:jc w:val="center"/>
              <w:rPr>
                <w:rFonts w:ascii="仿宋" w:hAnsi="仿宋" w:eastAsia="仿宋" w:cs="仿宋"/>
                <w:sz w:val="24"/>
                <w:szCs w:val="24"/>
              </w:rPr>
            </w:pPr>
          </w:p>
        </w:tc>
      </w:tr>
      <w:tr w14:paraId="13AE0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0" w:type="dxa"/>
            <w:vMerge w:val="restart"/>
            <w:noWrap w:val="0"/>
            <w:vAlign w:val="center"/>
          </w:tcPr>
          <w:p w14:paraId="5C820F71">
            <w:pPr>
              <w:spacing w:line="320" w:lineRule="exact"/>
              <w:jc w:val="center"/>
              <w:rPr>
                <w:rFonts w:ascii="仿宋" w:hAnsi="仿宋" w:eastAsia="仿宋" w:cs="仿宋"/>
                <w:sz w:val="24"/>
                <w:szCs w:val="24"/>
              </w:rPr>
            </w:pPr>
            <w:r>
              <w:rPr>
                <w:rFonts w:hint="eastAsia" w:ascii="仿宋" w:hAnsi="仿宋" w:eastAsia="仿宋" w:cs="仿宋"/>
                <w:sz w:val="24"/>
                <w:szCs w:val="24"/>
              </w:rPr>
              <w:t>成员</w:t>
            </w:r>
          </w:p>
        </w:tc>
        <w:tc>
          <w:tcPr>
            <w:tcW w:w="3530" w:type="dxa"/>
            <w:noWrap w:val="0"/>
            <w:vAlign w:val="center"/>
          </w:tcPr>
          <w:p w14:paraId="7BEC3B6E">
            <w:pPr>
              <w:spacing w:line="320" w:lineRule="exact"/>
              <w:jc w:val="center"/>
              <w:rPr>
                <w:rFonts w:ascii="仿宋" w:hAnsi="仿宋" w:eastAsia="仿宋" w:cs="仿宋"/>
                <w:sz w:val="24"/>
                <w:szCs w:val="24"/>
              </w:rPr>
            </w:pPr>
          </w:p>
        </w:tc>
        <w:tc>
          <w:tcPr>
            <w:tcW w:w="992" w:type="dxa"/>
            <w:noWrap w:val="0"/>
            <w:vAlign w:val="center"/>
          </w:tcPr>
          <w:p w14:paraId="20F9F0A3">
            <w:pPr>
              <w:spacing w:line="320" w:lineRule="exact"/>
              <w:jc w:val="center"/>
              <w:rPr>
                <w:rFonts w:ascii="仿宋" w:hAnsi="仿宋" w:eastAsia="仿宋" w:cs="仿宋"/>
                <w:sz w:val="24"/>
                <w:szCs w:val="24"/>
              </w:rPr>
            </w:pPr>
          </w:p>
        </w:tc>
        <w:tc>
          <w:tcPr>
            <w:tcW w:w="993" w:type="dxa"/>
            <w:noWrap w:val="0"/>
            <w:vAlign w:val="center"/>
          </w:tcPr>
          <w:p w14:paraId="421E7ED5">
            <w:pPr>
              <w:spacing w:line="320" w:lineRule="exact"/>
              <w:jc w:val="center"/>
              <w:rPr>
                <w:rFonts w:ascii="仿宋" w:hAnsi="仿宋" w:eastAsia="仿宋" w:cs="仿宋"/>
                <w:sz w:val="24"/>
                <w:szCs w:val="24"/>
              </w:rPr>
            </w:pPr>
          </w:p>
        </w:tc>
        <w:tc>
          <w:tcPr>
            <w:tcW w:w="1318" w:type="dxa"/>
            <w:noWrap w:val="0"/>
            <w:vAlign w:val="center"/>
          </w:tcPr>
          <w:p w14:paraId="21ECC2A4">
            <w:pPr>
              <w:spacing w:line="320" w:lineRule="exact"/>
              <w:jc w:val="center"/>
              <w:rPr>
                <w:rFonts w:ascii="仿宋" w:hAnsi="仿宋" w:eastAsia="仿宋" w:cs="仿宋"/>
                <w:sz w:val="24"/>
                <w:szCs w:val="24"/>
              </w:rPr>
            </w:pPr>
          </w:p>
        </w:tc>
      </w:tr>
      <w:tr w14:paraId="7CA5A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80" w:type="dxa"/>
            <w:vMerge w:val="continue"/>
            <w:noWrap w:val="0"/>
            <w:vAlign w:val="center"/>
          </w:tcPr>
          <w:p w14:paraId="716BE27F">
            <w:pPr>
              <w:spacing w:line="320" w:lineRule="exact"/>
              <w:jc w:val="center"/>
              <w:rPr>
                <w:rFonts w:ascii="仿宋" w:hAnsi="仿宋" w:eastAsia="仿宋" w:cs="仿宋"/>
                <w:sz w:val="24"/>
                <w:szCs w:val="24"/>
              </w:rPr>
            </w:pPr>
          </w:p>
        </w:tc>
        <w:tc>
          <w:tcPr>
            <w:tcW w:w="3530" w:type="dxa"/>
            <w:noWrap w:val="0"/>
            <w:vAlign w:val="center"/>
          </w:tcPr>
          <w:p w14:paraId="4161C878">
            <w:pPr>
              <w:spacing w:line="360" w:lineRule="auto"/>
              <w:jc w:val="center"/>
              <w:rPr>
                <w:rFonts w:ascii="仿宋" w:hAnsi="仿宋" w:eastAsia="仿宋" w:cs="仿宋"/>
                <w:sz w:val="24"/>
                <w:szCs w:val="24"/>
              </w:rPr>
            </w:pPr>
          </w:p>
        </w:tc>
        <w:tc>
          <w:tcPr>
            <w:tcW w:w="992" w:type="dxa"/>
            <w:noWrap w:val="0"/>
            <w:vAlign w:val="center"/>
          </w:tcPr>
          <w:p w14:paraId="43F06B3C">
            <w:pPr>
              <w:spacing w:line="320" w:lineRule="exact"/>
              <w:jc w:val="center"/>
              <w:rPr>
                <w:rFonts w:ascii="仿宋" w:hAnsi="仿宋" w:eastAsia="仿宋" w:cs="仿宋"/>
                <w:sz w:val="24"/>
                <w:szCs w:val="24"/>
              </w:rPr>
            </w:pPr>
          </w:p>
        </w:tc>
        <w:tc>
          <w:tcPr>
            <w:tcW w:w="993" w:type="dxa"/>
            <w:noWrap w:val="0"/>
            <w:vAlign w:val="center"/>
          </w:tcPr>
          <w:p w14:paraId="6FDAD5B1">
            <w:pPr>
              <w:spacing w:line="360" w:lineRule="auto"/>
              <w:jc w:val="center"/>
              <w:rPr>
                <w:rFonts w:ascii="仿宋" w:hAnsi="仿宋" w:eastAsia="仿宋" w:cs="仿宋"/>
                <w:sz w:val="24"/>
                <w:szCs w:val="24"/>
              </w:rPr>
            </w:pPr>
          </w:p>
        </w:tc>
        <w:tc>
          <w:tcPr>
            <w:tcW w:w="1318" w:type="dxa"/>
            <w:noWrap w:val="0"/>
            <w:vAlign w:val="center"/>
          </w:tcPr>
          <w:p w14:paraId="722F883D">
            <w:pPr>
              <w:spacing w:line="360" w:lineRule="auto"/>
              <w:jc w:val="center"/>
              <w:rPr>
                <w:rFonts w:ascii="仿宋" w:hAnsi="仿宋" w:eastAsia="仿宋" w:cs="仿宋"/>
                <w:sz w:val="24"/>
                <w:szCs w:val="24"/>
              </w:rPr>
            </w:pPr>
          </w:p>
        </w:tc>
      </w:tr>
    </w:tbl>
    <w:p w14:paraId="1816711C">
      <w:pPr>
        <w:tabs>
          <w:tab w:val="left" w:pos="7558"/>
        </w:tabs>
        <w:spacing w:line="360" w:lineRule="auto"/>
        <w:ind w:firstLine="480"/>
        <w:rPr>
          <w:rFonts w:ascii="仿宋" w:hAnsi="仿宋" w:eastAsia="仿宋" w:cs="仿宋"/>
          <w:sz w:val="24"/>
          <w:szCs w:val="24"/>
        </w:rPr>
      </w:pPr>
      <w:r>
        <w:rPr>
          <w:rFonts w:hint="eastAsia" w:ascii="仿宋" w:hAnsi="仿宋" w:eastAsia="仿宋" w:cs="仿宋"/>
          <w:sz w:val="24"/>
          <w:szCs w:val="24"/>
        </w:rPr>
        <w:t>5、本协议书自签署之日起生效，合同履行完毕后自动失效。</w:t>
      </w:r>
    </w:p>
    <w:p w14:paraId="79AD48D5">
      <w:pPr>
        <w:tabs>
          <w:tab w:val="left" w:pos="2460"/>
        </w:tabs>
        <w:spacing w:line="360" w:lineRule="auto"/>
        <w:ind w:firstLine="480"/>
        <w:rPr>
          <w:rFonts w:ascii="仿宋" w:hAnsi="仿宋" w:eastAsia="仿宋" w:cs="仿宋"/>
          <w:sz w:val="24"/>
          <w:szCs w:val="24"/>
        </w:rPr>
      </w:pPr>
      <w:r>
        <w:rPr>
          <w:rFonts w:hint="eastAsia" w:ascii="仿宋" w:hAnsi="仿宋" w:eastAsia="仿宋" w:cs="仿宋"/>
          <w:sz w:val="24"/>
          <w:szCs w:val="24"/>
        </w:rPr>
        <w:t>6、本协议提交采购人后，联合投标各方不得以任何形式对上述实质内容进行修改或撤销。</w:t>
      </w:r>
    </w:p>
    <w:p w14:paraId="2A39D6CD">
      <w:pPr>
        <w:tabs>
          <w:tab w:val="left" w:pos="2460"/>
        </w:tabs>
        <w:spacing w:line="360" w:lineRule="auto"/>
        <w:ind w:firstLine="480"/>
        <w:rPr>
          <w:rFonts w:ascii="仿宋" w:hAnsi="仿宋" w:eastAsia="仿宋" w:cs="仿宋"/>
          <w:sz w:val="24"/>
          <w:szCs w:val="24"/>
        </w:rPr>
      </w:pPr>
      <w:r>
        <w:rPr>
          <w:rFonts w:hint="eastAsia" w:ascii="仿宋" w:hAnsi="仿宋" w:eastAsia="仿宋" w:cs="仿宋"/>
          <w:sz w:val="24"/>
          <w:szCs w:val="24"/>
        </w:rPr>
        <w:t>7、本协议书一式</w:t>
      </w:r>
      <w:r>
        <w:rPr>
          <w:rFonts w:hint="eastAsia" w:ascii="仿宋" w:hAnsi="仿宋" w:eastAsia="仿宋" w:cs="仿宋"/>
          <w:sz w:val="24"/>
          <w:szCs w:val="24"/>
          <w:u w:val="single"/>
        </w:rPr>
        <w:t xml:space="preserve">   </w:t>
      </w:r>
      <w:r>
        <w:rPr>
          <w:rFonts w:hint="eastAsia" w:ascii="仿宋" w:hAnsi="仿宋" w:eastAsia="仿宋" w:cs="仿宋"/>
          <w:sz w:val="24"/>
          <w:szCs w:val="24"/>
        </w:rPr>
        <w:t>份，联合体成员各执</w:t>
      </w:r>
      <w:r>
        <w:rPr>
          <w:rFonts w:hint="eastAsia" w:ascii="仿宋" w:hAnsi="仿宋" w:eastAsia="仿宋" w:cs="仿宋"/>
          <w:sz w:val="24"/>
          <w:szCs w:val="24"/>
          <w:u w:val="single"/>
        </w:rPr>
        <w:t xml:space="preserve">    </w:t>
      </w:r>
      <w:r>
        <w:rPr>
          <w:rFonts w:hint="eastAsia" w:ascii="仿宋" w:hAnsi="仿宋" w:eastAsia="仿宋" w:cs="仿宋"/>
          <w:sz w:val="24"/>
          <w:szCs w:val="24"/>
        </w:rPr>
        <w:t>份。</w:t>
      </w:r>
    </w:p>
    <w:p w14:paraId="15CA4101">
      <w:pPr>
        <w:tabs>
          <w:tab w:val="left" w:pos="2460"/>
        </w:tabs>
        <w:spacing w:line="360" w:lineRule="auto"/>
        <w:ind w:firstLine="480"/>
        <w:rPr>
          <w:rFonts w:ascii="仿宋" w:hAnsi="仿宋" w:eastAsia="仿宋" w:cs="仿宋"/>
          <w:sz w:val="24"/>
          <w:szCs w:val="24"/>
        </w:rPr>
      </w:pPr>
      <w:r>
        <w:rPr>
          <w:rFonts w:hint="eastAsia" w:ascii="仿宋" w:hAnsi="仿宋" w:eastAsia="仿宋" w:cs="仿宋"/>
          <w:sz w:val="24"/>
          <w:szCs w:val="24"/>
        </w:rPr>
        <w:t>注：本协议书如由委托代理人签字的，应附法定代表人授权委托书。</w:t>
      </w:r>
    </w:p>
    <w:p w14:paraId="00CA0642">
      <w:pPr>
        <w:spacing w:line="360" w:lineRule="auto"/>
        <w:ind w:firstLine="480"/>
        <w:rPr>
          <w:rFonts w:ascii="仿宋" w:hAnsi="仿宋" w:eastAsia="仿宋" w:cs="仿宋"/>
          <w:sz w:val="24"/>
          <w:szCs w:val="24"/>
        </w:rPr>
      </w:pPr>
    </w:p>
    <w:p w14:paraId="1EE8C890">
      <w:pPr>
        <w:spacing w:line="360" w:lineRule="auto"/>
        <w:ind w:firstLine="480"/>
        <w:rPr>
          <w:rFonts w:ascii="仿宋" w:hAnsi="仿宋" w:eastAsia="仿宋" w:cs="仿宋"/>
          <w:sz w:val="24"/>
          <w:szCs w:val="24"/>
        </w:rPr>
      </w:pPr>
      <w:r>
        <w:rPr>
          <w:rFonts w:hint="eastAsia" w:ascii="仿宋" w:hAnsi="仿宋" w:eastAsia="仿宋" w:cs="仿宋"/>
          <w:sz w:val="24"/>
          <w:szCs w:val="24"/>
        </w:rPr>
        <w:t>牵头人名称：</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（盖单位公章）</w:t>
      </w:r>
    </w:p>
    <w:p w14:paraId="5A8E4D52">
      <w:pPr>
        <w:spacing w:line="360" w:lineRule="auto"/>
        <w:ind w:firstLine="480"/>
        <w:rPr>
          <w:rFonts w:ascii="仿宋" w:hAnsi="仿宋" w:eastAsia="仿宋" w:cs="仿宋"/>
          <w:sz w:val="24"/>
          <w:szCs w:val="24"/>
        </w:rPr>
      </w:pPr>
      <w:r>
        <w:rPr>
          <w:rFonts w:hint="eastAsia" w:ascii="仿宋" w:hAnsi="仿宋" w:eastAsia="仿宋" w:cs="仿宋"/>
          <w:sz w:val="24"/>
          <w:szCs w:val="24"/>
        </w:rPr>
        <w:t>法定代表人或其委托代理人：</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rPr>
        <w:t>（签字或盖章）</w:t>
      </w:r>
    </w:p>
    <w:p w14:paraId="5720EEF7">
      <w:pPr>
        <w:spacing w:line="360" w:lineRule="auto"/>
        <w:ind w:firstLine="480"/>
        <w:rPr>
          <w:rFonts w:ascii="仿宋" w:hAnsi="仿宋" w:eastAsia="仿宋" w:cs="仿宋"/>
          <w:sz w:val="24"/>
          <w:szCs w:val="24"/>
        </w:rPr>
      </w:pPr>
      <w:r>
        <w:rPr>
          <w:rFonts w:hint="eastAsia" w:ascii="仿宋" w:hAnsi="仿宋" w:eastAsia="仿宋" w:cs="仿宋"/>
          <w:sz w:val="24"/>
          <w:szCs w:val="24"/>
        </w:rPr>
        <w:t>成员名称：</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rPr>
        <w:t>（盖单位公章）</w:t>
      </w:r>
    </w:p>
    <w:p w14:paraId="68300165">
      <w:pPr>
        <w:spacing w:line="360" w:lineRule="auto"/>
        <w:ind w:firstLine="480"/>
        <w:rPr>
          <w:rFonts w:ascii="仿宋" w:hAnsi="仿宋" w:eastAsia="仿宋" w:cs="仿宋"/>
          <w:sz w:val="24"/>
          <w:szCs w:val="24"/>
        </w:rPr>
      </w:pPr>
      <w:r>
        <w:rPr>
          <w:rFonts w:hint="eastAsia" w:ascii="仿宋" w:hAnsi="仿宋" w:eastAsia="仿宋" w:cs="仿宋"/>
          <w:sz w:val="24"/>
          <w:szCs w:val="24"/>
        </w:rPr>
        <w:t>法定代表人或其委托代理人：</w:t>
      </w:r>
      <w:r>
        <w:rPr>
          <w:rFonts w:hint="eastAsia" w:ascii="仿宋" w:hAnsi="仿宋" w:eastAsia="仿宋" w:cs="仿宋"/>
          <w:sz w:val="24"/>
          <w:szCs w:val="24"/>
          <w:u w:val="single"/>
        </w:rPr>
        <w:tab/>
      </w:r>
      <w:r>
        <w:rPr>
          <w:rFonts w:hint="eastAsia" w:ascii="仿宋" w:hAnsi="仿宋" w:eastAsia="仿宋" w:cs="仿宋"/>
          <w:sz w:val="24"/>
          <w:szCs w:val="24"/>
          <w:u w:val="single"/>
        </w:rPr>
        <w:t xml:space="preserve">              </w:t>
      </w:r>
      <w:r>
        <w:rPr>
          <w:rFonts w:hint="eastAsia" w:ascii="仿宋" w:hAnsi="仿宋" w:eastAsia="仿宋" w:cs="仿宋"/>
          <w:sz w:val="24"/>
          <w:szCs w:val="24"/>
          <w:u w:val="single"/>
        </w:rPr>
        <w:tab/>
      </w:r>
      <w:r>
        <w:rPr>
          <w:rFonts w:hint="eastAsia" w:ascii="仿宋" w:hAnsi="仿宋" w:eastAsia="仿宋" w:cs="仿宋"/>
          <w:sz w:val="24"/>
          <w:szCs w:val="24"/>
        </w:rPr>
        <w:t>（签字或盖章）</w:t>
      </w:r>
    </w:p>
    <w:p w14:paraId="014E2291">
      <w:pPr>
        <w:spacing w:line="360" w:lineRule="auto"/>
        <w:ind w:firstLine="480"/>
        <w:rPr>
          <w:rFonts w:ascii="仿宋" w:hAnsi="仿宋" w:eastAsia="仿宋" w:cs="仿宋"/>
          <w:sz w:val="24"/>
          <w:szCs w:val="24"/>
        </w:rPr>
      </w:pPr>
      <w:r>
        <w:rPr>
          <w:rFonts w:hint="eastAsia" w:ascii="仿宋" w:hAnsi="仿宋" w:eastAsia="仿宋" w:cs="仿宋"/>
          <w:sz w:val="24"/>
          <w:szCs w:val="24"/>
        </w:rPr>
        <w:t xml:space="preserve">... </w:t>
      </w:r>
    </w:p>
    <w:p w14:paraId="5197F17B">
      <w:pPr>
        <w:spacing w:line="480" w:lineRule="auto"/>
        <w:ind w:firstLine="482"/>
        <w:jc w:val="right"/>
        <w:rPr>
          <w:rFonts w:ascii="仿宋" w:hAnsi="仿宋" w:eastAsia="仿宋" w:cs="仿宋"/>
          <w:sz w:val="24"/>
          <w:szCs w:val="24"/>
        </w:rPr>
      </w:pPr>
      <w:r>
        <w:rPr>
          <w:rFonts w:hint="eastAsia" w:ascii="仿宋" w:hAnsi="仿宋" w:eastAsia="仿宋" w:cs="仿宋"/>
          <w:sz w:val="24"/>
          <w:szCs w:val="24"/>
        </w:rPr>
        <w:t xml:space="preserve">    年   月   日 </w:t>
      </w:r>
    </w:p>
    <w:p w14:paraId="3F0FEEDC">
      <w:pPr>
        <w:rPr>
          <w:rFonts w:ascii="仿宋" w:hAnsi="仿宋" w:eastAsia="仿宋" w:cs="仿宋"/>
        </w:rPr>
      </w:pPr>
      <w:r>
        <w:rPr>
          <w:rFonts w:hint="eastAsia" w:ascii="仿宋" w:hAnsi="仿宋" w:eastAsia="仿宋" w:cs="仿宋"/>
        </w:rPr>
        <w:br w:type="page" w:clear="all"/>
      </w:r>
    </w:p>
    <w:p w14:paraId="57BBC5DA">
      <w:pPr>
        <w:pStyle w:val="400"/>
        <w:rPr>
          <w:rFonts w:ascii="仿宋" w:hAnsi="仿宋" w:eastAsia="仿宋" w:cs="仿宋"/>
          <w:sz w:val="24"/>
          <w:szCs w:val="24"/>
        </w:rPr>
      </w:pPr>
      <w:r>
        <w:rPr>
          <w:rFonts w:hint="eastAsia" w:ascii="仿宋" w:hAnsi="仿宋" w:eastAsia="仿宋" w:cs="仿宋"/>
        </w:rPr>
        <w:t>第五部分 评标方法与评标标准</w:t>
      </w:r>
    </w:p>
    <w:p w14:paraId="6FA6DE44">
      <w:pPr>
        <w:spacing w:line="360" w:lineRule="auto"/>
        <w:rPr>
          <w:rFonts w:ascii="仿宋" w:hAnsi="仿宋" w:eastAsia="仿宋" w:cs="仿宋"/>
          <w:b/>
          <w:sz w:val="24"/>
          <w:szCs w:val="24"/>
        </w:rPr>
      </w:pPr>
      <w:r>
        <w:rPr>
          <w:rFonts w:hint="eastAsia" w:ascii="仿宋" w:hAnsi="仿宋" w:eastAsia="仿宋" w:cs="仿宋"/>
          <w:b/>
          <w:sz w:val="24"/>
          <w:szCs w:val="24"/>
        </w:rPr>
        <w:t>评标方法</w:t>
      </w:r>
    </w:p>
    <w:p w14:paraId="305D14D0">
      <w:pPr>
        <w:pBdr>
          <w:top w:val="none" w:color="000000" w:sz="0" w:space="0"/>
          <w:left w:val="none" w:color="000000" w:sz="0" w:space="0"/>
          <w:bottom w:val="none" w:color="000000" w:sz="0" w:space="0"/>
          <w:right w:val="none" w:color="000000" w:sz="0" w:space="0"/>
        </w:pBdr>
        <w:spacing w:line="360" w:lineRule="auto"/>
        <w:ind w:firstLine="482"/>
      </w:pPr>
      <w:r>
        <w:rPr>
          <w:rFonts w:ascii="仿宋" w:hAnsi="仿宋" w:eastAsia="仿宋" w:cs="仿宋"/>
          <w:sz w:val="24"/>
        </w:rPr>
        <w:t>1、本次招标评标</w:t>
      </w:r>
      <w:r>
        <w:rPr>
          <w:rFonts w:hint="eastAsia" w:ascii="仿宋" w:hAnsi="仿宋" w:eastAsia="仿宋" w:cs="仿宋"/>
          <w:sz w:val="24"/>
        </w:rPr>
        <w:t>采用</w:t>
      </w:r>
      <w:r>
        <w:rPr>
          <w:rFonts w:ascii="仿宋" w:hAnsi="仿宋" w:eastAsia="仿宋" w:cs="仿宋"/>
          <w:sz w:val="24"/>
        </w:rPr>
        <w:t>综合评分法，即在满足招标文件实质性要求前提下，按照招标文件中规定的评分标准和各项因素进行综合评审，以评标总得分最高的投标人作为中标候选人。</w:t>
      </w:r>
    </w:p>
    <w:p w14:paraId="28311B2F">
      <w:pPr>
        <w:pBdr>
          <w:top w:val="none" w:color="000000" w:sz="0" w:space="0"/>
          <w:left w:val="none" w:color="000000" w:sz="0" w:space="0"/>
          <w:bottom w:val="none" w:color="000000" w:sz="0" w:space="0"/>
          <w:right w:val="none" w:color="000000" w:sz="0" w:space="0"/>
        </w:pBdr>
        <w:spacing w:line="360" w:lineRule="auto"/>
        <w:ind w:firstLine="482"/>
        <w:rPr>
          <w:rFonts w:ascii="仿宋" w:hAnsi="仿宋" w:eastAsia="仿宋" w:cs="仿宋"/>
          <w:sz w:val="24"/>
        </w:rPr>
      </w:pPr>
      <w:r>
        <w:rPr>
          <w:rFonts w:ascii="仿宋" w:hAnsi="仿宋" w:eastAsia="仿宋" w:cs="仿宋"/>
          <w:sz w:val="24"/>
        </w:rPr>
        <w:t>2、提供相同品牌产品且通过资格审查、符合性审查的不同投标人参加同一合同项下投标的，按一家投标人计算，评审后得分最高的同品牌投标人获得中标人推荐资格；评审得分相同的，由报价较低的投标人获得中标人推荐资格，如报价也相同，则采取随机抽取方式确定，其他同品牌投标人不作为中标候选人。非单一产品采购项目，确定核心产品后</w:t>
      </w:r>
      <w:r>
        <w:rPr>
          <w:rFonts w:ascii="仿宋" w:hAnsi="仿宋" w:eastAsia="仿宋" w:cs="仿宋"/>
          <w:b w:val="0"/>
          <w:bCs w:val="0"/>
          <w:strike w:val="0"/>
          <w:sz w:val="24"/>
        </w:rPr>
        <w:t>，多家投标人提供的核心产品品牌、型号相同的</w:t>
      </w:r>
      <w:r>
        <w:rPr>
          <w:rFonts w:ascii="仿宋" w:hAnsi="仿宋" w:eastAsia="仿宋" w:cs="仿宋"/>
          <w:sz w:val="24"/>
        </w:rPr>
        <w:t>，按以上规定处理。</w:t>
      </w:r>
    </w:p>
    <w:p w14:paraId="4007A9A3">
      <w:pPr>
        <w:pBdr>
          <w:top w:val="none" w:color="000000" w:sz="0" w:space="0"/>
          <w:left w:val="none" w:color="000000" w:sz="0" w:space="0"/>
          <w:bottom w:val="none" w:color="000000" w:sz="0" w:space="0"/>
          <w:right w:val="none" w:color="000000" w:sz="0" w:space="0"/>
        </w:pBdr>
        <w:spacing w:line="360" w:lineRule="auto"/>
        <w:ind w:firstLine="482"/>
        <w:rPr>
          <w:rFonts w:ascii="仿宋" w:hAnsi="仿宋" w:eastAsia="仿宋" w:cs="仿宋"/>
          <w:sz w:val="24"/>
        </w:rPr>
      </w:pPr>
      <w:r>
        <w:rPr>
          <w:rFonts w:hint="eastAsia" w:ascii="仿宋" w:hAnsi="仿宋" w:eastAsia="仿宋" w:cs="仿宋"/>
          <w:sz w:val="24"/>
        </w:rPr>
        <w:t>3、评标时，评标委员会各成员应当按照招标文件规定的评分标准独立对每个投标人的投标文件进行评价，并汇总每个投标人的得分。对评委的评分</w:t>
      </w:r>
      <w:r>
        <w:rPr>
          <w:rFonts w:hint="eastAsia" w:ascii="仿宋" w:hAnsi="仿宋" w:eastAsia="仿宋" w:cs="仿宋"/>
          <w:sz w:val="24"/>
          <w:lang w:eastAsia="zh-CN"/>
        </w:rPr>
        <w:t>（</w:t>
      </w:r>
      <w:r>
        <w:rPr>
          <w:rFonts w:hint="eastAsia" w:ascii="仿宋" w:hAnsi="仿宋" w:eastAsia="仿宋" w:cs="仿宋"/>
          <w:sz w:val="24"/>
        </w:rPr>
        <w:t>除价格分外</w:t>
      </w:r>
      <w:r>
        <w:rPr>
          <w:rFonts w:hint="eastAsia" w:ascii="仿宋" w:hAnsi="仿宋" w:eastAsia="仿宋" w:cs="仿宋"/>
          <w:sz w:val="24"/>
          <w:lang w:eastAsia="zh-CN"/>
        </w:rPr>
        <w:t>）</w:t>
      </w:r>
      <w:r>
        <w:rPr>
          <w:rFonts w:hint="eastAsia" w:ascii="仿宋" w:hAnsi="仿宋" w:eastAsia="仿宋" w:cs="仿宋"/>
          <w:sz w:val="24"/>
        </w:rPr>
        <w:t>进行统计汇总，直接算术平均，计算出每个投标人的得分，加上价格得分即为每个投标人的综合得分。</w:t>
      </w:r>
    </w:p>
    <w:p w14:paraId="477D0C48">
      <w:pPr>
        <w:pBdr>
          <w:top w:val="none" w:color="000000" w:sz="0" w:space="0"/>
          <w:left w:val="none" w:color="000000" w:sz="0" w:space="0"/>
          <w:bottom w:val="none" w:color="000000" w:sz="0" w:space="0"/>
          <w:right w:val="none" w:color="000000" w:sz="0" w:space="0"/>
        </w:pBdr>
        <w:spacing w:line="360" w:lineRule="auto"/>
        <w:ind w:firstLine="482"/>
        <w:rPr>
          <w:rFonts w:ascii="仿宋" w:hAnsi="仿宋" w:eastAsia="仿宋" w:cs="仿宋"/>
          <w:sz w:val="24"/>
          <w:szCs w:val="24"/>
        </w:rPr>
      </w:pPr>
      <w:r>
        <w:rPr>
          <w:rFonts w:hint="eastAsia" w:ascii="仿宋" w:hAnsi="仿宋" w:eastAsia="仿宋" w:cs="仿宋"/>
          <w:sz w:val="24"/>
          <w:szCs w:val="24"/>
        </w:rPr>
        <w:t>4、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213C3694">
      <w:pPr>
        <w:pBdr>
          <w:top w:val="none" w:color="000000" w:sz="0" w:space="0"/>
          <w:left w:val="none" w:color="000000" w:sz="0" w:space="0"/>
          <w:bottom w:val="none" w:color="000000" w:sz="0" w:space="0"/>
          <w:right w:val="none" w:color="000000" w:sz="0" w:space="0"/>
        </w:pBdr>
        <w:spacing w:line="360" w:lineRule="auto"/>
        <w:ind w:firstLine="482"/>
        <w:rPr>
          <w:rFonts w:ascii="仿宋" w:hAnsi="仿宋" w:eastAsia="仿宋" w:cs="仿宋"/>
          <w:sz w:val="24"/>
          <w:szCs w:val="24"/>
        </w:rPr>
      </w:pPr>
      <w:r>
        <w:rPr>
          <w:rFonts w:hint="eastAsia" w:ascii="仿宋" w:hAnsi="仿宋" w:eastAsia="仿宋" w:cs="仿宋"/>
          <w:sz w:val="24"/>
          <w:szCs w:val="24"/>
        </w:rPr>
        <w:t>5、如出现评审得分最高的投标人有两个或两个以上的，以投标报价较低者优先作为该标段中标候选人，如果投标报价也相同的，则由评标委员会组织以抽签方式确定中标候选人。</w:t>
      </w:r>
    </w:p>
    <w:p w14:paraId="2ED7DE77">
      <w:pPr>
        <w:spacing w:line="360" w:lineRule="auto"/>
        <w:rPr>
          <w:rFonts w:ascii="仿宋" w:hAnsi="仿宋" w:eastAsia="仿宋" w:cs="仿宋"/>
          <w:b/>
          <w:sz w:val="24"/>
          <w:szCs w:val="24"/>
        </w:rPr>
      </w:pPr>
      <w:r>
        <w:rPr>
          <w:rFonts w:hint="eastAsia" w:ascii="仿宋" w:hAnsi="仿宋" w:eastAsia="仿宋" w:cs="仿宋"/>
          <w:b/>
          <w:sz w:val="24"/>
          <w:szCs w:val="24"/>
        </w:rPr>
        <w:t>评分标准</w:t>
      </w:r>
    </w:p>
    <w:p w14:paraId="17A0562A">
      <w:pPr>
        <w:spacing w:line="360" w:lineRule="auto"/>
        <w:ind w:firstLine="482"/>
        <w:rPr>
          <w:rFonts w:ascii="仿宋" w:hAnsi="仿宋" w:eastAsia="仿宋" w:cs="仿宋"/>
          <w:b/>
          <w:bCs/>
          <w:sz w:val="24"/>
          <w:szCs w:val="24"/>
        </w:rPr>
      </w:pPr>
      <w:r>
        <w:rPr>
          <w:rFonts w:hint="eastAsia" w:ascii="仿宋" w:hAnsi="仿宋" w:eastAsia="仿宋" w:cs="仿宋"/>
          <w:b/>
          <w:bCs/>
          <w:sz w:val="24"/>
          <w:szCs w:val="24"/>
        </w:rPr>
        <w:t>（一）投标报价（30分）</w:t>
      </w:r>
    </w:p>
    <w:p w14:paraId="3CD7264F">
      <w:pPr>
        <w:pBdr>
          <w:top w:val="none" w:color="000000" w:sz="0" w:space="0"/>
          <w:left w:val="none" w:color="000000" w:sz="0" w:space="0"/>
          <w:bottom w:val="none" w:color="000000" w:sz="0" w:space="0"/>
          <w:right w:val="none" w:color="000000" w:sz="0" w:space="0"/>
        </w:pBdr>
        <w:spacing w:line="360" w:lineRule="auto"/>
        <w:ind w:firstLine="482"/>
        <w:rPr>
          <w:rFonts w:ascii="仿宋" w:hAnsi="仿宋" w:eastAsia="仿宋" w:cs="仿宋"/>
          <w:sz w:val="24"/>
          <w:szCs w:val="24"/>
        </w:rPr>
      </w:pPr>
      <w:r>
        <w:rPr>
          <w:rFonts w:ascii="仿宋" w:hAnsi="仿宋" w:eastAsia="仿宋" w:cs="仿宋"/>
          <w:sz w:val="24"/>
          <w:szCs w:val="24"/>
        </w:rPr>
        <w:t>第一步：投标报价低于或等于预算</w:t>
      </w:r>
      <w:r>
        <w:rPr>
          <w:rFonts w:hint="eastAsia" w:ascii="仿宋" w:hAnsi="仿宋" w:eastAsia="仿宋" w:cs="仿宋"/>
          <w:sz w:val="24"/>
          <w:szCs w:val="24"/>
          <w:lang w:val="en-US" w:eastAsia="zh-CN"/>
        </w:rPr>
        <w:t>金额</w:t>
      </w:r>
      <w:r>
        <w:rPr>
          <w:rFonts w:ascii="仿宋" w:hAnsi="仿宋" w:eastAsia="仿宋" w:cs="仿宋"/>
          <w:sz w:val="24"/>
          <w:szCs w:val="24"/>
        </w:rPr>
        <w:t>（</w:t>
      </w:r>
      <w:r>
        <w:rPr>
          <w:rFonts w:hint="eastAsia" w:ascii="仿宋" w:hAnsi="仿宋" w:eastAsia="仿宋" w:cs="仿宋"/>
          <w:sz w:val="24"/>
          <w:szCs w:val="24"/>
        </w:rPr>
        <w:t>187.23</w:t>
      </w:r>
      <w:r>
        <w:rPr>
          <w:rFonts w:ascii="仿宋" w:hAnsi="仿宋" w:eastAsia="仿宋" w:cs="仿宋"/>
          <w:sz w:val="24"/>
          <w:szCs w:val="24"/>
        </w:rPr>
        <w:t>万元）为有效投标报价；投标报价高于预算</w:t>
      </w:r>
      <w:r>
        <w:rPr>
          <w:rFonts w:hint="eastAsia" w:ascii="仿宋" w:hAnsi="仿宋" w:eastAsia="仿宋" w:cs="仿宋"/>
          <w:sz w:val="24"/>
          <w:szCs w:val="24"/>
          <w:lang w:val="en-US" w:eastAsia="zh-CN"/>
        </w:rPr>
        <w:t>金额</w:t>
      </w:r>
      <w:r>
        <w:rPr>
          <w:rFonts w:ascii="仿宋" w:hAnsi="仿宋" w:eastAsia="仿宋" w:cs="仿宋"/>
          <w:sz w:val="24"/>
          <w:szCs w:val="24"/>
        </w:rPr>
        <w:t xml:space="preserve">，按无效投标处理。 </w:t>
      </w:r>
    </w:p>
    <w:p w14:paraId="2C50AD7B">
      <w:pPr>
        <w:pBdr>
          <w:top w:val="none" w:color="000000" w:sz="0" w:space="0"/>
          <w:left w:val="none" w:color="000000" w:sz="0" w:space="0"/>
          <w:bottom w:val="none" w:color="000000" w:sz="0" w:space="0"/>
          <w:right w:val="none" w:color="000000" w:sz="0" w:space="0"/>
        </w:pBdr>
        <w:spacing w:line="360" w:lineRule="auto"/>
        <w:ind w:firstLine="482"/>
        <w:rPr>
          <w:rFonts w:ascii="仿宋" w:hAnsi="仿宋" w:eastAsia="仿宋" w:cs="仿宋"/>
          <w:sz w:val="24"/>
          <w:szCs w:val="24"/>
        </w:rPr>
      </w:pPr>
      <w:r>
        <w:rPr>
          <w:rFonts w:ascii="仿宋" w:hAnsi="仿宋" w:eastAsia="仿宋" w:cs="仿宋"/>
          <w:sz w:val="24"/>
          <w:szCs w:val="24"/>
        </w:rPr>
        <w:t>第二步：所有通过资格审查、符合性审查的有效投标中，满足全部采购需求且总价最低的报价为评标基准价。 投标报价得分＝（评标基准价÷投标报价）×3</w:t>
      </w:r>
      <w:r>
        <w:rPr>
          <w:rFonts w:hint="eastAsia" w:ascii="仿宋" w:hAnsi="仿宋" w:eastAsia="仿宋" w:cs="仿宋"/>
          <w:sz w:val="24"/>
          <w:szCs w:val="24"/>
        </w:rPr>
        <w:t>0</w:t>
      </w:r>
      <w:r>
        <w:rPr>
          <w:rFonts w:ascii="仿宋" w:hAnsi="仿宋" w:eastAsia="仿宋" w:cs="仿宋"/>
          <w:sz w:val="24"/>
          <w:szCs w:val="24"/>
        </w:rPr>
        <w:t xml:space="preserve">％×100，计算结果四舍五入保留两位小数。 </w:t>
      </w:r>
    </w:p>
    <w:p w14:paraId="4F566AF7">
      <w:pPr>
        <w:pBdr>
          <w:top w:val="none" w:color="000000" w:sz="0" w:space="0"/>
          <w:left w:val="none" w:color="000000" w:sz="0" w:space="0"/>
          <w:bottom w:val="none" w:color="000000" w:sz="0" w:space="0"/>
          <w:right w:val="none" w:color="000000" w:sz="0" w:space="0"/>
        </w:pBdr>
        <w:spacing w:line="360" w:lineRule="auto"/>
        <w:ind w:firstLine="482"/>
        <w:jc w:val="left"/>
        <w:rPr>
          <w:rFonts w:ascii="仿宋" w:hAnsi="仿宋" w:eastAsia="仿宋" w:cs="仿宋"/>
          <w:sz w:val="24"/>
          <w:szCs w:val="24"/>
        </w:rPr>
      </w:pPr>
      <w:r>
        <w:rPr>
          <w:rFonts w:hint="eastAsia" w:ascii="仿宋" w:hAnsi="仿宋" w:eastAsia="仿宋" w:cs="仿宋"/>
          <w:sz w:val="24"/>
          <w:szCs w:val="24"/>
        </w:rPr>
        <w:t>异常低价核查</w:t>
      </w:r>
      <w:r>
        <w:rPr>
          <w:rFonts w:hint="eastAsia" w:ascii="仿宋" w:hAnsi="仿宋" w:eastAsia="仿宋" w:cs="仿宋"/>
          <w:sz w:val="24"/>
          <w:szCs w:val="24"/>
          <w:lang w:eastAsia="zh-CN"/>
        </w:rPr>
        <w:t>：</w:t>
      </w:r>
    </w:p>
    <w:p w14:paraId="554EB0ED">
      <w:pPr>
        <w:numPr>
          <w:ilvl w:val="-1"/>
          <w:numId w:val="0"/>
        </w:numPr>
        <w:pBdr>
          <w:top w:val="none" w:color="000000" w:sz="0" w:space="0"/>
          <w:left w:val="none" w:color="000000" w:sz="0" w:space="0"/>
          <w:bottom w:val="none" w:color="000000" w:sz="0" w:space="0"/>
          <w:right w:val="none" w:color="000000" w:sz="0" w:space="0"/>
        </w:pBdr>
        <w:spacing w:line="360" w:lineRule="auto"/>
        <w:ind w:firstLine="482"/>
        <w:jc w:val="left"/>
        <w:rPr>
          <w:rFonts w:hint="eastAsia" w:ascii="仿宋" w:hAnsi="仿宋" w:eastAsia="仿宋" w:cs="仿宋"/>
          <w:b/>
          <w:bCs/>
          <w:sz w:val="24"/>
          <w:szCs w:val="24"/>
          <w:lang w:bidi="ar"/>
        </w:rPr>
      </w:pPr>
      <w:r>
        <w:rPr>
          <w:rFonts w:hint="eastAsia" w:ascii="仿宋" w:hAnsi="仿宋" w:eastAsia="仿宋" w:cs="仿宋"/>
          <w:sz w:val="24"/>
          <w:szCs w:val="24"/>
          <w:lang w:bidi="ar"/>
        </w:rPr>
        <w:t>出现以下任一情形，投标单位</w:t>
      </w:r>
      <w:r>
        <w:rPr>
          <w:rFonts w:hint="eastAsia" w:ascii="仿宋" w:hAnsi="仿宋" w:eastAsia="仿宋" w:cs="仿宋"/>
          <w:sz w:val="24"/>
          <w:szCs w:val="24"/>
          <w:lang w:val="en-US" w:eastAsia="zh-CN" w:bidi="ar"/>
        </w:rPr>
        <w:t>须</w:t>
      </w:r>
      <w:r>
        <w:rPr>
          <w:rFonts w:hint="eastAsia" w:ascii="仿宋" w:hAnsi="仿宋" w:eastAsia="仿宋" w:cs="仿宋"/>
          <w:sz w:val="24"/>
          <w:szCs w:val="24"/>
          <w:lang w:bidi="ar"/>
        </w:rPr>
        <w:t>在60分钟内</w:t>
      </w:r>
      <w:r>
        <w:rPr>
          <w:rFonts w:ascii="仿宋" w:hAnsi="仿宋" w:eastAsia="仿宋" w:cs="仿宋"/>
          <w:sz w:val="24"/>
          <w:szCs w:val="24"/>
          <w:lang w:bidi="ar"/>
        </w:rPr>
        <w:t>对投标（响应）价格作出解释</w:t>
      </w:r>
      <w:r>
        <w:rPr>
          <w:rFonts w:hint="eastAsia" w:ascii="仿宋" w:hAnsi="仿宋" w:eastAsia="仿宋" w:cs="仿宋"/>
          <w:sz w:val="24"/>
          <w:szCs w:val="24"/>
          <w:lang w:bidi="ar"/>
        </w:rPr>
        <w:t>，</w:t>
      </w:r>
      <w:r>
        <w:rPr>
          <w:rFonts w:ascii="仿宋" w:hAnsi="仿宋" w:eastAsia="仿宋" w:cs="仿宋"/>
          <w:sz w:val="24"/>
          <w:szCs w:val="24"/>
          <w:lang w:bidi="ar"/>
        </w:rPr>
        <w:t>提供项目具体成本测算等与报价合理性相关的书面说明及必要的证明材料，包括但不限于原材料成本、人工成本、制造费用等</w:t>
      </w:r>
      <w:r>
        <w:rPr>
          <w:rFonts w:hint="eastAsia" w:ascii="仿宋" w:hAnsi="仿宋" w:eastAsia="仿宋" w:cs="仿宋"/>
          <w:sz w:val="24"/>
          <w:szCs w:val="24"/>
          <w:lang w:bidi="ar"/>
        </w:rPr>
        <w:t>：</w:t>
      </w:r>
      <w:r>
        <w:rPr>
          <w:rFonts w:hint="eastAsia" w:ascii="仿宋" w:hAnsi="仿宋" w:eastAsia="仿宋" w:cs="仿宋"/>
          <w:b/>
          <w:bCs/>
          <w:sz w:val="24"/>
          <w:szCs w:val="24"/>
          <w:lang w:bidi="ar"/>
        </w:rPr>
        <w:t>①</w:t>
      </w:r>
      <w:r>
        <w:rPr>
          <w:rFonts w:hint="eastAsia" w:ascii="仿宋" w:hAnsi="仿宋" w:eastAsia="仿宋" w:cs="仿宋"/>
          <w:b/>
          <w:bCs/>
          <w:sz w:val="24"/>
          <w:szCs w:val="24"/>
        </w:rPr>
        <w:t>投标报价&lt;全部通过符合性审查供应商投标报价平均值×</w:t>
      </w:r>
      <w:r>
        <w:rPr>
          <w:rFonts w:hint="eastAsia" w:ascii="仿宋" w:hAnsi="仿宋" w:eastAsia="仿宋" w:cs="仿宋"/>
          <w:b/>
          <w:sz w:val="24"/>
          <w:szCs w:val="24"/>
        </w:rPr>
        <w:t>65</w:t>
      </w:r>
      <w:r>
        <w:rPr>
          <w:rFonts w:hint="eastAsia" w:ascii="仿宋" w:hAnsi="仿宋" w:eastAsia="仿宋" w:cs="仿宋"/>
          <w:b/>
          <w:bCs/>
          <w:sz w:val="24"/>
          <w:szCs w:val="24"/>
        </w:rPr>
        <w:t>%</w:t>
      </w:r>
      <w:r>
        <w:rPr>
          <w:rFonts w:hint="eastAsia" w:ascii="仿宋" w:hAnsi="仿宋" w:eastAsia="仿宋" w:cs="仿宋"/>
          <w:b/>
          <w:bCs/>
          <w:sz w:val="24"/>
          <w:szCs w:val="24"/>
          <w:lang w:bidi="ar"/>
        </w:rPr>
        <w:t>；②</w:t>
      </w:r>
      <w:r>
        <w:rPr>
          <w:rFonts w:hint="eastAsia" w:ascii="仿宋" w:hAnsi="仿宋" w:eastAsia="仿宋" w:cs="仿宋"/>
          <w:b/>
          <w:bCs/>
          <w:sz w:val="24"/>
          <w:szCs w:val="24"/>
        </w:rPr>
        <w:t>投标报价&lt;通过符合性审查的次低报价供应商投标报价×</w:t>
      </w:r>
      <w:r>
        <w:rPr>
          <w:rFonts w:hint="eastAsia" w:ascii="仿宋" w:hAnsi="仿宋" w:eastAsia="仿宋" w:cs="仿宋"/>
          <w:b/>
          <w:sz w:val="24"/>
          <w:szCs w:val="24"/>
        </w:rPr>
        <w:t>65</w:t>
      </w:r>
      <w:r>
        <w:rPr>
          <w:rFonts w:hint="eastAsia" w:ascii="仿宋" w:hAnsi="仿宋" w:eastAsia="仿宋" w:cs="仿宋"/>
          <w:b/>
          <w:bCs/>
          <w:sz w:val="24"/>
          <w:szCs w:val="24"/>
        </w:rPr>
        <w:t>%</w:t>
      </w:r>
      <w:r>
        <w:rPr>
          <w:rFonts w:hint="eastAsia" w:ascii="仿宋" w:hAnsi="仿宋" w:eastAsia="仿宋" w:cs="仿宋"/>
          <w:b/>
          <w:bCs/>
          <w:sz w:val="24"/>
          <w:szCs w:val="24"/>
          <w:lang w:bidi="ar"/>
        </w:rPr>
        <w:t>；③</w:t>
      </w:r>
      <w:r>
        <w:rPr>
          <w:rFonts w:hint="eastAsia" w:ascii="仿宋" w:hAnsi="仿宋" w:eastAsia="仿宋" w:cs="仿宋"/>
          <w:b/>
          <w:bCs/>
          <w:sz w:val="24"/>
          <w:szCs w:val="24"/>
        </w:rPr>
        <w:t>投标报价&lt;最高限价×</w:t>
      </w:r>
      <w:r>
        <w:rPr>
          <w:rFonts w:hint="eastAsia" w:ascii="仿宋" w:hAnsi="仿宋" w:eastAsia="仿宋" w:cs="仿宋"/>
          <w:b/>
          <w:sz w:val="24"/>
          <w:szCs w:val="24"/>
        </w:rPr>
        <w:t>65</w:t>
      </w:r>
      <w:r>
        <w:rPr>
          <w:rFonts w:hint="eastAsia" w:ascii="仿宋" w:hAnsi="仿宋" w:eastAsia="仿宋" w:cs="仿宋"/>
          <w:b/>
          <w:bCs/>
          <w:sz w:val="24"/>
          <w:szCs w:val="24"/>
        </w:rPr>
        <w:t>%</w:t>
      </w:r>
      <w:r>
        <w:rPr>
          <w:rFonts w:hint="eastAsia" w:ascii="仿宋" w:hAnsi="仿宋" w:eastAsia="仿宋" w:cs="仿宋"/>
          <w:b/>
          <w:bCs/>
          <w:sz w:val="24"/>
          <w:szCs w:val="24"/>
          <w:lang w:bidi="ar"/>
        </w:rPr>
        <w:t>；④</w:t>
      </w:r>
      <w:r>
        <w:rPr>
          <w:rFonts w:hint="eastAsia" w:ascii="仿宋" w:hAnsi="仿宋" w:eastAsia="仿宋" w:cs="仿宋"/>
          <w:b/>
          <w:bCs/>
          <w:sz w:val="24"/>
          <w:szCs w:val="24"/>
        </w:rPr>
        <w:t>评审委员会基于专业判断，认为供应商报价过低，有可能影响产品质量或者不能诚信履约的其他情形</w:t>
      </w:r>
      <w:r>
        <w:rPr>
          <w:rFonts w:hint="eastAsia" w:ascii="仿宋" w:hAnsi="仿宋" w:eastAsia="仿宋" w:cs="仿宋"/>
          <w:b/>
          <w:bCs/>
          <w:sz w:val="24"/>
          <w:szCs w:val="24"/>
          <w:lang w:bidi="ar"/>
        </w:rPr>
        <w:t>。属于第③项情形，供应商已随投标（响应）文件一并提交相关书面说明及必要的证明材料的，在评审现场可不再重复提交。</w:t>
      </w:r>
    </w:p>
    <w:p w14:paraId="06351469">
      <w:pPr>
        <w:numPr>
          <w:ilvl w:val="-1"/>
          <w:numId w:val="0"/>
        </w:numPr>
        <w:pBdr>
          <w:top w:val="none" w:color="000000" w:sz="0" w:space="0"/>
          <w:left w:val="none" w:color="000000" w:sz="0" w:space="0"/>
          <w:bottom w:val="none" w:color="000000" w:sz="0" w:space="0"/>
          <w:right w:val="none" w:color="000000" w:sz="0" w:space="0"/>
        </w:pBdr>
        <w:spacing w:line="360" w:lineRule="auto"/>
        <w:ind w:firstLine="482"/>
        <w:jc w:val="left"/>
        <w:rPr>
          <w:rFonts w:ascii="仿宋" w:hAnsi="仿宋" w:eastAsia="仿宋" w:cs="仿宋"/>
          <w:sz w:val="24"/>
          <w:szCs w:val="24"/>
        </w:rPr>
      </w:pPr>
      <w:r>
        <w:rPr>
          <w:rFonts w:hint="eastAsia" w:ascii="仿宋" w:hAnsi="仿宋" w:eastAsia="仿宋" w:cs="仿宋"/>
          <w:sz w:val="24"/>
          <w:szCs w:val="24"/>
        </w:rPr>
        <w:t>材料完整真实：正常按公式计算价格分；</w:t>
      </w:r>
    </w:p>
    <w:p w14:paraId="19E15B57">
      <w:pPr>
        <w:numPr>
          <w:ilvl w:val="255"/>
          <w:numId w:val="0"/>
        </w:numPr>
        <w:pBdr>
          <w:top w:val="none" w:color="000000" w:sz="0" w:space="0"/>
          <w:left w:val="none" w:color="000000" w:sz="0" w:space="0"/>
          <w:bottom w:val="none" w:color="000000" w:sz="0" w:space="0"/>
          <w:right w:val="none" w:color="000000" w:sz="0" w:space="0"/>
        </w:pBdr>
        <w:spacing w:line="360" w:lineRule="auto"/>
        <w:ind w:firstLine="482"/>
        <w:jc w:val="left"/>
        <w:rPr>
          <w:rFonts w:ascii="仿宋" w:hAnsi="仿宋" w:eastAsia="仿宋" w:cs="仿宋"/>
          <w:sz w:val="24"/>
          <w:szCs w:val="24"/>
        </w:rPr>
      </w:pPr>
      <w:r>
        <w:rPr>
          <w:rFonts w:hint="eastAsia" w:ascii="仿宋" w:hAnsi="仿宋" w:eastAsia="仿宋" w:cs="仿宋"/>
          <w:sz w:val="24"/>
          <w:szCs w:val="24"/>
        </w:rPr>
        <w:t>无法佐证/佐证虚假：投标无效。</w:t>
      </w:r>
    </w:p>
    <w:p w14:paraId="6BB3F118">
      <w:pPr>
        <w:spacing w:line="360" w:lineRule="auto"/>
        <w:ind w:firstLine="482"/>
        <w:rPr>
          <w:rFonts w:ascii="仿宋" w:hAnsi="仿宋" w:eastAsia="仿宋" w:cs="仿宋"/>
          <w:sz w:val="24"/>
          <w:szCs w:val="24"/>
        </w:rPr>
      </w:pPr>
      <w:r>
        <w:rPr>
          <w:rFonts w:hint="eastAsia" w:ascii="仿宋" w:hAnsi="仿宋" w:eastAsia="仿宋" w:cs="仿宋"/>
          <w:b/>
          <w:sz w:val="24"/>
          <w:szCs w:val="24"/>
        </w:rPr>
        <w:t>（二）</w:t>
      </w:r>
      <w:bookmarkStart w:id="20" w:name="OLE_LINK28"/>
      <w:r>
        <w:rPr>
          <w:rFonts w:hint="eastAsia" w:ascii="仿宋" w:hAnsi="仿宋" w:eastAsia="仿宋" w:cs="仿宋"/>
          <w:b/>
          <w:bCs/>
          <w:sz w:val="24"/>
          <w:szCs w:val="24"/>
        </w:rPr>
        <w:t>投标产品的技术响应情况</w:t>
      </w:r>
      <w:bookmarkEnd w:id="20"/>
      <w:r>
        <w:rPr>
          <w:rFonts w:hint="eastAsia" w:ascii="仿宋" w:hAnsi="仿宋" w:eastAsia="仿宋" w:cs="仿宋"/>
          <w:b/>
          <w:bCs/>
          <w:sz w:val="24"/>
          <w:szCs w:val="24"/>
        </w:rPr>
        <w:t>（</w:t>
      </w:r>
      <w:r>
        <w:rPr>
          <w:rFonts w:hint="eastAsia" w:ascii="仿宋" w:hAnsi="仿宋" w:eastAsia="仿宋" w:cs="仿宋"/>
          <w:b/>
          <w:bCs/>
          <w:sz w:val="24"/>
          <w:szCs w:val="24"/>
          <w:lang w:val="en-US" w:eastAsia="zh-CN"/>
        </w:rPr>
        <w:t>38</w:t>
      </w:r>
      <w:r>
        <w:rPr>
          <w:rFonts w:hint="eastAsia" w:ascii="仿宋" w:hAnsi="仿宋" w:eastAsia="仿宋" w:cs="仿宋"/>
          <w:b/>
          <w:bCs/>
          <w:sz w:val="24"/>
          <w:szCs w:val="24"/>
        </w:rPr>
        <w:t>分）</w:t>
      </w:r>
    </w:p>
    <w:p w14:paraId="73F4DD82">
      <w:pPr>
        <w:spacing w:line="360" w:lineRule="auto"/>
        <w:ind w:firstLine="482"/>
        <w:rPr>
          <w:rFonts w:ascii="仿宋" w:hAnsi="仿宋" w:eastAsia="仿宋" w:cs="仿宋"/>
          <w:sz w:val="24"/>
          <w:szCs w:val="24"/>
        </w:rPr>
      </w:pPr>
      <w:r>
        <w:rPr>
          <w:rFonts w:hint="eastAsia" w:ascii="仿宋" w:hAnsi="仿宋" w:eastAsia="仿宋" w:cs="仿宋"/>
          <w:b/>
          <w:sz w:val="24"/>
          <w:szCs w:val="24"/>
        </w:rPr>
        <w:t>1.标“▲”项技术参数响应（12分）</w:t>
      </w:r>
    </w:p>
    <w:p w14:paraId="1FDABD51">
      <w:pPr>
        <w:spacing w:line="360" w:lineRule="auto"/>
        <w:ind w:firstLine="480"/>
        <w:rPr>
          <w:rFonts w:ascii="仿宋" w:hAnsi="仿宋" w:eastAsia="仿宋" w:cs="仿宋"/>
          <w:sz w:val="24"/>
          <w:szCs w:val="24"/>
          <w:lang w:val="zh-CN"/>
        </w:rPr>
      </w:pPr>
      <w:r>
        <w:rPr>
          <w:rFonts w:hint="eastAsia" w:ascii="仿宋" w:hAnsi="仿宋" w:eastAsia="仿宋" w:cs="仿宋"/>
          <w:sz w:val="24"/>
          <w:szCs w:val="24"/>
        </w:rPr>
        <w:t>每满足一项得1分，最高12分。需按照招标文件要求提供对应的佐证资料，否则不得分</w:t>
      </w:r>
      <w:r>
        <w:rPr>
          <w:rFonts w:hint="eastAsia" w:ascii="仿宋" w:hAnsi="仿宋" w:eastAsia="仿宋" w:cs="仿宋"/>
          <w:sz w:val="24"/>
          <w:szCs w:val="24"/>
          <w:lang w:val="zh-CN"/>
        </w:rPr>
        <w:t>。</w:t>
      </w:r>
    </w:p>
    <w:tbl>
      <w:tblPr>
        <w:tblStyle w:val="66"/>
        <w:tblW w:w="100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672"/>
        <w:gridCol w:w="1126"/>
        <w:gridCol w:w="5076"/>
        <w:gridCol w:w="3211"/>
      </w:tblGrid>
      <w:tr w14:paraId="4B99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3B158B1C">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序号</w:t>
            </w:r>
          </w:p>
        </w:tc>
        <w:tc>
          <w:tcPr>
            <w:tcW w:w="1126" w:type="dxa"/>
            <w:shd w:val="clear" w:color="auto" w:fill="FFFFFF"/>
            <w:noWrap w:val="0"/>
            <w:vAlign w:val="center"/>
          </w:tcPr>
          <w:p w14:paraId="11CB4A03">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产品</w:t>
            </w:r>
          </w:p>
          <w:p w14:paraId="4EF7961F">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名称</w:t>
            </w:r>
          </w:p>
        </w:tc>
        <w:tc>
          <w:tcPr>
            <w:tcW w:w="5076" w:type="dxa"/>
            <w:shd w:val="clear" w:color="auto" w:fill="FFFFFF"/>
            <w:noWrap w:val="0"/>
            <w:vAlign w:val="center"/>
          </w:tcPr>
          <w:p w14:paraId="3E743273">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评审指标要求</w:t>
            </w:r>
          </w:p>
        </w:tc>
        <w:tc>
          <w:tcPr>
            <w:tcW w:w="3211" w:type="dxa"/>
            <w:shd w:val="clear" w:color="auto" w:fill="FFFFFF"/>
            <w:noWrap w:val="0"/>
            <w:vAlign w:val="center"/>
          </w:tcPr>
          <w:p w14:paraId="4CA1F568">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佐证</w:t>
            </w:r>
            <w:r>
              <w:rPr>
                <w:rFonts w:hint="eastAsia" w:ascii="仿宋" w:hAnsi="仿宋" w:eastAsia="仿宋" w:cs="仿宋"/>
                <w:b w:val="0"/>
                <w:bCs/>
                <w:color w:val="auto"/>
                <w:sz w:val="24"/>
                <w:szCs w:val="24"/>
                <w:highlight w:val="none"/>
              </w:rPr>
              <w:t>资料</w:t>
            </w:r>
            <w:r>
              <w:rPr>
                <w:rFonts w:hint="eastAsia" w:ascii="仿宋" w:hAnsi="仿宋" w:eastAsia="仿宋" w:cs="仿宋"/>
                <w:b w:val="0"/>
                <w:bCs/>
                <w:color w:val="auto"/>
                <w:szCs w:val="21"/>
                <w:highlight w:val="none"/>
              </w:rPr>
              <w:t>要求</w:t>
            </w:r>
          </w:p>
        </w:tc>
      </w:tr>
      <w:tr w14:paraId="64742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1E798571">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1</w:t>
            </w:r>
          </w:p>
        </w:tc>
        <w:tc>
          <w:tcPr>
            <w:tcW w:w="1126" w:type="dxa"/>
            <w:shd w:val="clear" w:color="auto" w:fill="FFFFFF"/>
            <w:noWrap w:val="0"/>
            <w:vAlign w:val="center"/>
          </w:tcPr>
          <w:p w14:paraId="400219C7">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地埋篮球架</w:t>
            </w:r>
          </w:p>
        </w:tc>
        <w:tc>
          <w:tcPr>
            <w:tcW w:w="5076" w:type="dxa"/>
            <w:shd w:val="clear" w:color="auto" w:fill="FFFFFF"/>
            <w:noWrap w:val="0"/>
            <w:vAlign w:val="center"/>
          </w:tcPr>
          <w:p w14:paraId="5E4BD2E8">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w:t>
            </w:r>
            <w:r>
              <w:rPr>
                <w:rFonts w:hint="eastAsia" w:ascii="仿宋" w:hAnsi="仿宋" w:eastAsia="仿宋" w:cs="仿宋"/>
                <w:b w:val="0"/>
                <w:bCs/>
                <w:color w:val="auto"/>
                <w:szCs w:val="21"/>
                <w:highlight w:val="none"/>
                <w:lang w:bidi="ar"/>
              </w:rPr>
              <w:t>GB/T 23176-2008《篮球架》</w:t>
            </w:r>
            <w:r>
              <w:rPr>
                <w:rFonts w:hint="eastAsia" w:ascii="仿宋" w:hAnsi="仿宋" w:eastAsia="仿宋" w:cs="仿宋"/>
                <w:b w:val="0"/>
                <w:bCs/>
                <w:color w:val="auto"/>
                <w:szCs w:val="21"/>
                <w:highlight w:val="none"/>
              </w:rPr>
              <w:t>或GB/T 19851.3-2005《中小学体育器材和场地第3部分:篮球架》</w:t>
            </w:r>
            <w:r>
              <w:rPr>
                <w:rFonts w:hint="eastAsia" w:ascii="仿宋" w:hAnsi="仿宋" w:eastAsia="仿宋" w:cs="仿宋"/>
                <w:b w:val="0"/>
                <w:bCs/>
                <w:color w:val="auto"/>
                <w:szCs w:val="21"/>
                <w:highlight w:val="none"/>
                <w:lang w:val="en-US" w:eastAsia="zh-CN"/>
              </w:rPr>
              <w:t>或</w:t>
            </w:r>
            <w:r>
              <w:rPr>
                <w:rFonts w:hint="eastAsia" w:ascii="仿宋" w:hAnsi="仿宋" w:eastAsia="仿宋" w:cs="仿宋"/>
                <w:b w:val="0"/>
                <w:bCs/>
                <w:color w:val="auto"/>
                <w:szCs w:val="21"/>
                <w:highlight w:val="none"/>
              </w:rPr>
              <w:t>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）全项检测，须体现伸臂尺寸。</w:t>
            </w:r>
          </w:p>
        </w:tc>
        <w:tc>
          <w:tcPr>
            <w:tcW w:w="3211" w:type="dxa"/>
            <w:shd w:val="clear" w:color="auto" w:fill="FFFFFF"/>
            <w:noWrap w:val="0"/>
            <w:vAlign w:val="center"/>
          </w:tcPr>
          <w:p w14:paraId="388D97A6">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6E4D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503894A2">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2</w:t>
            </w:r>
          </w:p>
        </w:tc>
        <w:tc>
          <w:tcPr>
            <w:tcW w:w="1126" w:type="dxa"/>
            <w:shd w:val="clear" w:color="auto" w:fill="FFFFFF"/>
            <w:noWrap w:val="0"/>
            <w:vAlign w:val="center"/>
          </w:tcPr>
          <w:p w14:paraId="1AE24F30">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插地式排球柱</w:t>
            </w:r>
          </w:p>
        </w:tc>
        <w:tc>
          <w:tcPr>
            <w:tcW w:w="5076" w:type="dxa"/>
            <w:shd w:val="clear" w:color="auto" w:fill="FFFFFF"/>
            <w:noWrap w:val="0"/>
            <w:vAlign w:val="center"/>
          </w:tcPr>
          <w:p w14:paraId="2DC5C35E">
            <w:pPr>
              <w:jc w:val="left"/>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依据GB/T19851.13-2007《中小学体育器材和场地第13部分:排球网柱、羽毛球网柱、网球网柱》或其他现行有效标准（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24D3A3F9">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24A2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4EE98994">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3</w:t>
            </w:r>
          </w:p>
        </w:tc>
        <w:tc>
          <w:tcPr>
            <w:tcW w:w="1126" w:type="dxa"/>
            <w:shd w:val="clear" w:color="auto" w:fill="FFFFFF"/>
            <w:noWrap w:val="0"/>
            <w:vAlign w:val="center"/>
          </w:tcPr>
          <w:p w14:paraId="00E54605">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高单杠</w:t>
            </w:r>
          </w:p>
        </w:tc>
        <w:tc>
          <w:tcPr>
            <w:tcW w:w="5076" w:type="dxa"/>
            <w:shd w:val="clear" w:color="auto" w:fill="FFFFFF"/>
            <w:noWrap w:val="0"/>
            <w:vAlign w:val="center"/>
          </w:tcPr>
          <w:p w14:paraId="2011DBB7">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19851.2-2005《中小学体育器材和场地第2部分：体操器材》或其他现行有效标准（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5466E6BB">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2E2C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266063FF">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4</w:t>
            </w:r>
          </w:p>
        </w:tc>
        <w:tc>
          <w:tcPr>
            <w:tcW w:w="1126" w:type="dxa"/>
            <w:shd w:val="clear" w:color="auto" w:fill="FFFFFF"/>
            <w:noWrap w:val="0"/>
            <w:vAlign w:val="center"/>
          </w:tcPr>
          <w:p w14:paraId="559180FD">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单杠</w:t>
            </w:r>
          </w:p>
        </w:tc>
        <w:tc>
          <w:tcPr>
            <w:tcW w:w="5076" w:type="dxa"/>
            <w:shd w:val="clear" w:color="auto" w:fill="FFFFFF"/>
            <w:noWrap w:val="0"/>
            <w:vAlign w:val="center"/>
          </w:tcPr>
          <w:p w14:paraId="30F4A393">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19851.2-2005《中小学体育器材和场地第2部分：体操器材》或其他现行有效标准（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378ABF33">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4233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107AAEB8">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5</w:t>
            </w:r>
          </w:p>
        </w:tc>
        <w:tc>
          <w:tcPr>
            <w:tcW w:w="1126" w:type="dxa"/>
            <w:shd w:val="clear" w:color="auto" w:fill="FFFFFF"/>
            <w:noWrap w:val="0"/>
            <w:vAlign w:val="center"/>
          </w:tcPr>
          <w:p w14:paraId="703A5026">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高双杠</w:t>
            </w:r>
          </w:p>
        </w:tc>
        <w:tc>
          <w:tcPr>
            <w:tcW w:w="5076" w:type="dxa"/>
            <w:shd w:val="clear" w:color="auto" w:fill="FFFFFF"/>
            <w:noWrap w:val="0"/>
            <w:vAlign w:val="center"/>
          </w:tcPr>
          <w:p w14:paraId="4736F2EB">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19851.2-2005《中小学体育器材和场地第2部分：体操器材》或其他现行有效标准（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2C7C025A">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02F2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6F9643D3">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6</w:t>
            </w:r>
          </w:p>
        </w:tc>
        <w:tc>
          <w:tcPr>
            <w:tcW w:w="1126" w:type="dxa"/>
            <w:shd w:val="clear" w:color="auto" w:fill="FFFFFF"/>
            <w:noWrap w:val="0"/>
            <w:vAlign w:val="center"/>
          </w:tcPr>
          <w:p w14:paraId="64479BDC">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双杠</w:t>
            </w:r>
          </w:p>
        </w:tc>
        <w:tc>
          <w:tcPr>
            <w:tcW w:w="5076" w:type="dxa"/>
            <w:shd w:val="clear" w:color="auto" w:fill="FFFFFF"/>
            <w:noWrap w:val="0"/>
            <w:vAlign w:val="center"/>
          </w:tcPr>
          <w:p w14:paraId="65C25329">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19851.2-2005《中小学体育器材和场地第2部分：体操器材》或其他现行有效标准（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1DA0D943">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578F0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14DE3EDD">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7</w:t>
            </w:r>
          </w:p>
        </w:tc>
        <w:tc>
          <w:tcPr>
            <w:tcW w:w="1126" w:type="dxa"/>
            <w:shd w:val="clear" w:color="auto" w:fill="FFFFFF"/>
            <w:noWrap w:val="0"/>
            <w:vAlign w:val="center"/>
          </w:tcPr>
          <w:p w14:paraId="229126F0">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11人制移动足球门</w:t>
            </w:r>
          </w:p>
        </w:tc>
        <w:tc>
          <w:tcPr>
            <w:tcW w:w="5076" w:type="dxa"/>
            <w:shd w:val="clear" w:color="auto" w:fill="FFFFFF"/>
            <w:noWrap w:val="0"/>
            <w:vAlign w:val="center"/>
          </w:tcPr>
          <w:p w14:paraId="2EA992D9">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19851.15-2007《中小学体育器材和场地第15部分：足球门》或其他现行有效标准（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402D3F88">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2439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62989D22">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8</w:t>
            </w:r>
          </w:p>
        </w:tc>
        <w:tc>
          <w:tcPr>
            <w:tcW w:w="1126" w:type="dxa"/>
            <w:shd w:val="clear" w:color="auto" w:fill="FFFFFF"/>
            <w:noWrap w:val="0"/>
            <w:vAlign w:val="center"/>
          </w:tcPr>
          <w:p w14:paraId="79258282">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7人制移动足球门</w:t>
            </w:r>
          </w:p>
        </w:tc>
        <w:tc>
          <w:tcPr>
            <w:tcW w:w="5076" w:type="dxa"/>
            <w:shd w:val="clear" w:color="auto" w:fill="FFFFFF"/>
            <w:noWrap w:val="0"/>
            <w:vAlign w:val="center"/>
          </w:tcPr>
          <w:p w14:paraId="2C92F9C1">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19851.15-2007《中小学体育器材和场地第15部分：足球门》或其他现行有效标准（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06292A11">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1A8A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2503DEF6">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9</w:t>
            </w:r>
          </w:p>
        </w:tc>
        <w:tc>
          <w:tcPr>
            <w:tcW w:w="1126" w:type="dxa"/>
            <w:shd w:val="clear" w:color="auto" w:fill="FFFFFF"/>
            <w:noWrap w:val="0"/>
            <w:vAlign w:val="center"/>
          </w:tcPr>
          <w:p w14:paraId="544C04AB">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电动悬空篮架</w:t>
            </w:r>
          </w:p>
        </w:tc>
        <w:tc>
          <w:tcPr>
            <w:tcW w:w="5076" w:type="dxa"/>
            <w:shd w:val="clear" w:color="auto" w:fill="FFFFFF"/>
            <w:noWrap w:val="0"/>
            <w:vAlign w:val="center"/>
          </w:tcPr>
          <w:p w14:paraId="69B290F1">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 23176-2008《篮球架》或GB/T 19851.3-2005《中小学体育器材和场地第3部分:篮球架》或其他现行有效标准（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6E9B3858">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0CCB0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1211" w:hRule="atLeast"/>
          <w:jc w:val="center"/>
        </w:trPr>
        <w:tc>
          <w:tcPr>
            <w:tcW w:w="672" w:type="dxa"/>
            <w:shd w:val="clear" w:color="auto" w:fill="FFFFFF"/>
            <w:noWrap w:val="0"/>
            <w:vAlign w:val="center"/>
          </w:tcPr>
          <w:p w14:paraId="14FDD24D">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10</w:t>
            </w:r>
          </w:p>
        </w:tc>
        <w:tc>
          <w:tcPr>
            <w:tcW w:w="1126" w:type="dxa"/>
            <w:shd w:val="clear" w:color="auto" w:fill="FFFFFF"/>
            <w:noWrap w:val="0"/>
            <w:vAlign w:val="center"/>
          </w:tcPr>
          <w:p w14:paraId="13401129">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训练乒乓球台</w:t>
            </w:r>
          </w:p>
        </w:tc>
        <w:tc>
          <w:tcPr>
            <w:tcW w:w="5076" w:type="dxa"/>
            <w:shd w:val="clear" w:color="auto" w:fill="FFFFFF"/>
            <w:noWrap w:val="0"/>
            <w:vAlign w:val="center"/>
          </w:tcPr>
          <w:p w14:paraId="67FFD8C0">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依据GB/T32597</w:t>
            </w:r>
            <w:r>
              <w:rPr>
                <w:rFonts w:hint="eastAsia" w:ascii="仿宋" w:hAnsi="仿宋" w:eastAsia="仿宋" w:cs="仿宋"/>
                <w:b w:val="0"/>
                <w:bCs/>
                <w:color w:val="auto"/>
                <w:szCs w:val="21"/>
                <w:highlight w:val="none"/>
                <w:lang w:val="en-US" w:eastAsia="zh-CN"/>
              </w:rPr>
              <w:t>-</w:t>
            </w:r>
            <w:r>
              <w:rPr>
                <w:rFonts w:hint="eastAsia" w:ascii="仿宋" w:hAnsi="仿宋" w:eastAsia="仿宋" w:cs="仿宋"/>
                <w:b w:val="0"/>
                <w:bCs/>
                <w:color w:val="auto"/>
                <w:szCs w:val="21"/>
                <w:highlight w:val="none"/>
              </w:rPr>
              <w:t>2016《乒乓球台的安全、性能要求和试验方法》或QB/T2700</w:t>
            </w:r>
            <w:r>
              <w:rPr>
                <w:rFonts w:hint="eastAsia" w:ascii="仿宋" w:hAnsi="仿宋" w:eastAsia="仿宋" w:cs="仿宋"/>
                <w:b w:val="0"/>
                <w:bCs/>
                <w:color w:val="auto"/>
                <w:szCs w:val="21"/>
                <w:highlight w:val="none"/>
                <w:lang w:val="en-US" w:eastAsia="zh-CN"/>
              </w:rPr>
              <w:t>-</w:t>
            </w:r>
            <w:r>
              <w:rPr>
                <w:rFonts w:hint="eastAsia" w:ascii="仿宋" w:hAnsi="仿宋" w:eastAsia="仿宋" w:cs="仿宋"/>
                <w:b w:val="0"/>
                <w:bCs/>
                <w:color w:val="auto"/>
                <w:szCs w:val="21"/>
                <w:highlight w:val="none"/>
              </w:rPr>
              <w:t>2005《乒乓球台》</w:t>
            </w:r>
            <w:r>
              <w:rPr>
                <w:rFonts w:hint="eastAsia" w:ascii="仿宋" w:hAnsi="仿宋" w:eastAsia="仿宋" w:cs="仿宋"/>
                <w:b w:val="0"/>
                <w:bCs/>
                <w:color w:val="auto"/>
                <w:szCs w:val="21"/>
                <w:highlight w:val="none"/>
                <w:lang w:val="en-US" w:eastAsia="zh-CN"/>
              </w:rPr>
              <w:t>或</w:t>
            </w:r>
            <w:r>
              <w:rPr>
                <w:rFonts w:hint="eastAsia" w:ascii="仿宋" w:hAnsi="仿宋" w:eastAsia="仿宋" w:cs="仿宋"/>
                <w:b w:val="0"/>
                <w:bCs/>
                <w:color w:val="auto"/>
                <w:szCs w:val="21"/>
                <w:highlight w:val="none"/>
              </w:rPr>
              <w:t>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）全项检测。</w:t>
            </w:r>
          </w:p>
        </w:tc>
        <w:tc>
          <w:tcPr>
            <w:tcW w:w="3211" w:type="dxa"/>
            <w:shd w:val="clear" w:color="auto" w:fill="FFFFFF"/>
            <w:noWrap w:val="0"/>
            <w:vAlign w:val="center"/>
          </w:tcPr>
          <w:p w14:paraId="3D9DA071">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7E98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7D497D67">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11</w:t>
            </w:r>
          </w:p>
        </w:tc>
        <w:tc>
          <w:tcPr>
            <w:tcW w:w="1126" w:type="dxa"/>
            <w:shd w:val="clear" w:color="auto" w:fill="FFFFFF"/>
            <w:noWrap w:val="0"/>
            <w:vAlign w:val="center"/>
          </w:tcPr>
          <w:p w14:paraId="7044C867">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深蹲架</w:t>
            </w:r>
          </w:p>
        </w:tc>
        <w:tc>
          <w:tcPr>
            <w:tcW w:w="5076" w:type="dxa"/>
            <w:shd w:val="clear" w:color="auto" w:fill="FFFFFF"/>
            <w:noWrap w:val="0"/>
            <w:vAlign w:val="center"/>
          </w:tcPr>
          <w:p w14:paraId="6D5FB05D">
            <w:pPr>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rPr>
              <w:t>表面涂层依据 GB/T 10125-2021《人造气氛腐蚀试验 盐雾试验》、GB/T 6461-2002《金属基体上金属和其他无机覆盖层 经腐蚀试验后的试样和试件的评级》或其他现行有效标准（检测依据、判定依据须为市场监管总局“一单一库”范围内的现行有效标准）进行检测，深蹲架主架表面涂层通过中性盐雾试验≥336h，且外观评级、保护评级均≥9 级。</w:t>
            </w:r>
          </w:p>
        </w:tc>
        <w:tc>
          <w:tcPr>
            <w:tcW w:w="3211" w:type="dxa"/>
            <w:shd w:val="clear" w:color="auto" w:fill="FFFFFF"/>
            <w:noWrap w:val="0"/>
            <w:vAlign w:val="center"/>
          </w:tcPr>
          <w:p w14:paraId="08DF71A5">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r w14:paraId="01E17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510" w:hRule="atLeast"/>
          <w:jc w:val="center"/>
        </w:trPr>
        <w:tc>
          <w:tcPr>
            <w:tcW w:w="672" w:type="dxa"/>
            <w:shd w:val="clear" w:color="auto" w:fill="FFFFFF"/>
            <w:noWrap w:val="0"/>
            <w:vAlign w:val="center"/>
          </w:tcPr>
          <w:p w14:paraId="1DFC5EF6">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12</w:t>
            </w:r>
          </w:p>
        </w:tc>
        <w:tc>
          <w:tcPr>
            <w:tcW w:w="1126" w:type="dxa"/>
            <w:shd w:val="clear" w:color="auto" w:fill="FFFFFF"/>
            <w:noWrap w:val="0"/>
            <w:vAlign w:val="center"/>
          </w:tcPr>
          <w:p w14:paraId="43C28AE0">
            <w:pPr>
              <w:jc w:val="cente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可调式双滑轮多功能训练机</w:t>
            </w:r>
          </w:p>
        </w:tc>
        <w:tc>
          <w:tcPr>
            <w:tcW w:w="5076" w:type="dxa"/>
            <w:shd w:val="clear" w:color="auto" w:fill="FFFFFF"/>
            <w:noWrap w:val="0"/>
            <w:vAlign w:val="center"/>
          </w:tcPr>
          <w:p w14:paraId="2F336179">
            <w:pPr>
              <w:rPr>
                <w:rFonts w:ascii="仿宋" w:hAnsi="仿宋" w:eastAsia="仿宋" w:cs="仿宋"/>
                <w:b w:val="0"/>
                <w:bCs/>
                <w:color w:val="auto"/>
                <w:szCs w:val="21"/>
                <w:highlight w:val="none"/>
              </w:rPr>
            </w:pPr>
            <w:r>
              <w:rPr>
                <w:rFonts w:hint="eastAsia" w:ascii="仿宋" w:hAnsi="仿宋" w:eastAsia="仿宋" w:cs="仿宋"/>
                <w:b w:val="0"/>
                <w:bCs/>
                <w:color w:val="auto"/>
                <w:szCs w:val="21"/>
                <w:highlight w:val="none"/>
              </w:rPr>
              <w:t>阻力形式：配重铁；牵索形式：钢索，其中钢索依据 GB/T 8358-2023《钢丝绳 破断拉力测定方法》或其他现行有效标准（</w:t>
            </w:r>
            <w:r>
              <w:rPr>
                <w:rFonts w:hint="eastAsia" w:ascii="仿宋" w:hAnsi="仿宋" w:eastAsia="仿宋" w:cs="仿宋"/>
                <w:b w:val="0"/>
                <w:bCs/>
                <w:color w:val="auto"/>
                <w:szCs w:val="21"/>
                <w:highlight w:val="none"/>
                <w:lang w:eastAsia="zh-CN"/>
              </w:rPr>
              <w:t>检测依据、判定依据必须在市场监管总局的一单一库内</w:t>
            </w:r>
            <w:r>
              <w:rPr>
                <w:rFonts w:hint="eastAsia" w:ascii="仿宋" w:hAnsi="仿宋" w:eastAsia="仿宋" w:cs="仿宋"/>
                <w:b w:val="0"/>
                <w:bCs/>
                <w:color w:val="auto"/>
                <w:szCs w:val="21"/>
                <w:highlight w:val="none"/>
              </w:rPr>
              <w:t>）进行检测，检测结果钢索破断拉力≥5.3KN（该限值系依据 GB17498.2-2008《固定式健身器材 第2部分：力量型训练器材 附加的特殊安全要求和试验方法》中“拉索抵抗破坏的拉力应不低于使用中所能产生最大负荷的6倍”的安全系数要求，按所投产品单侧配重 90kg 核定：90kg×9.8m/s²×6≈5.3kN；该标准仅作为本项限值的计算依据，不作为本项的检测依据要求）。</w:t>
            </w:r>
          </w:p>
        </w:tc>
        <w:tc>
          <w:tcPr>
            <w:tcW w:w="3211" w:type="dxa"/>
            <w:shd w:val="clear" w:color="auto" w:fill="FFFFFF"/>
            <w:noWrap w:val="0"/>
            <w:vAlign w:val="center"/>
          </w:tcPr>
          <w:p w14:paraId="7BD32F5B">
            <w:pPr>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rPr>
              <w:t>提供国家认可机构出具的</w:t>
            </w:r>
            <w:r>
              <w:rPr>
                <w:rFonts w:hint="eastAsia" w:ascii="仿宋" w:hAnsi="仿宋" w:eastAsia="仿宋" w:cs="仿宋"/>
                <w:b w:val="0"/>
                <w:bCs/>
                <w:color w:val="auto"/>
                <w:szCs w:val="21"/>
                <w:highlight w:val="none"/>
                <w:lang w:eastAsia="zh-CN"/>
              </w:rPr>
              <w:t>带有CMA标识的合格检测报告复印件</w:t>
            </w:r>
          </w:p>
        </w:tc>
      </w:tr>
    </w:tbl>
    <w:p w14:paraId="18FDFFBB">
      <w:pPr>
        <w:pStyle w:val="400"/>
        <w:ind w:firstLine="0"/>
        <w:jc w:val="both"/>
        <w:rPr>
          <w:rFonts w:ascii="宋体" w:hAnsi="宋体"/>
          <w:b w:val="0"/>
          <w:sz w:val="24"/>
          <w:szCs w:val="24"/>
        </w:rPr>
      </w:pPr>
    </w:p>
    <w:p w14:paraId="309DD59F">
      <w:pPr>
        <w:spacing w:line="360" w:lineRule="auto"/>
        <w:ind w:firstLine="482"/>
        <w:rPr>
          <w:rFonts w:ascii="仿宋" w:hAnsi="仿宋" w:eastAsia="仿宋" w:cs="仿宋"/>
          <w:bCs/>
          <w:color w:val="auto"/>
          <w:sz w:val="24"/>
          <w:szCs w:val="24"/>
        </w:rPr>
      </w:pPr>
      <w:r>
        <w:rPr>
          <w:rFonts w:hint="eastAsia" w:ascii="仿宋" w:hAnsi="仿宋" w:eastAsia="仿宋" w:cs="仿宋"/>
          <w:b w:val="0"/>
          <w:bCs/>
          <w:color w:val="auto"/>
          <w:sz w:val="24"/>
          <w:szCs w:val="24"/>
        </w:rPr>
        <w:t>2、产品功能演示（2</w:t>
      </w:r>
      <w:r>
        <w:rPr>
          <w:rFonts w:hint="eastAsia" w:ascii="仿宋" w:hAnsi="仿宋" w:eastAsia="仿宋" w:cs="仿宋"/>
          <w:b w:val="0"/>
          <w:bCs/>
          <w:color w:val="auto"/>
          <w:sz w:val="24"/>
          <w:szCs w:val="24"/>
          <w:lang w:val="en-US" w:eastAsia="zh-CN"/>
        </w:rPr>
        <w:t>6</w:t>
      </w:r>
      <w:r>
        <w:rPr>
          <w:rFonts w:hint="eastAsia" w:ascii="仿宋" w:hAnsi="仿宋" w:eastAsia="仿宋" w:cs="仿宋"/>
          <w:b w:val="0"/>
          <w:bCs/>
          <w:color w:val="auto"/>
          <w:sz w:val="24"/>
          <w:szCs w:val="24"/>
        </w:rPr>
        <w:t>分）</w:t>
      </w:r>
    </w:p>
    <w:p w14:paraId="22B3E64A">
      <w:pPr>
        <w:spacing w:line="360" w:lineRule="auto"/>
        <w:ind w:firstLine="482"/>
        <w:rPr>
          <w:rFonts w:ascii="仿宋" w:hAnsi="仿宋" w:eastAsia="仿宋" w:cs="仿宋"/>
          <w:bCs/>
          <w:color w:val="auto"/>
          <w:sz w:val="24"/>
          <w:szCs w:val="24"/>
        </w:rPr>
      </w:pPr>
      <w:r>
        <w:rPr>
          <w:rFonts w:hint="eastAsia" w:ascii="仿宋" w:hAnsi="仿宋" w:eastAsia="仿宋" w:cs="仿宋"/>
          <w:b w:val="0"/>
          <w:bCs/>
          <w:color w:val="auto"/>
          <w:sz w:val="24"/>
          <w:szCs w:val="24"/>
        </w:rPr>
        <w:t>投标人提交演示视频（mp4/avi）</w:t>
      </w: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rPr>
        <w:t>未上传、视频无法读取或无法正常播放的，视为未演示。</w:t>
      </w:r>
    </w:p>
    <w:p w14:paraId="3D303364">
      <w:pPr>
        <w:spacing w:line="360" w:lineRule="auto"/>
        <w:ind w:firstLine="482"/>
        <w:rPr>
          <w:rFonts w:ascii="仿宋" w:hAnsi="仿宋" w:eastAsia="仿宋" w:cs="仿宋"/>
          <w:b w:val="0"/>
          <w:bCs/>
          <w:color w:val="auto"/>
          <w:sz w:val="24"/>
          <w:szCs w:val="24"/>
        </w:rPr>
      </w:pP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1）</w:t>
      </w:r>
      <w:r>
        <w:rPr>
          <w:rFonts w:hint="eastAsia" w:ascii="仿宋" w:hAnsi="仿宋" w:eastAsia="仿宋" w:cs="仿宋"/>
          <w:b w:val="0"/>
          <w:bCs/>
          <w:color w:val="auto"/>
          <w:sz w:val="24"/>
          <w:szCs w:val="24"/>
        </w:rPr>
        <w:t>电动悬空篮球架（</w:t>
      </w:r>
      <w:r>
        <w:rPr>
          <w:rFonts w:hint="eastAsia" w:ascii="仿宋" w:hAnsi="仿宋" w:eastAsia="仿宋" w:cs="仿宋"/>
          <w:b w:val="0"/>
          <w:bCs/>
          <w:color w:val="auto"/>
          <w:sz w:val="24"/>
          <w:szCs w:val="24"/>
          <w:lang w:val="en-US" w:eastAsia="zh-CN"/>
        </w:rPr>
        <w:t>8</w:t>
      </w:r>
      <w:r>
        <w:rPr>
          <w:rFonts w:hint="eastAsia" w:ascii="仿宋" w:hAnsi="仿宋" w:eastAsia="仿宋" w:cs="仿宋"/>
          <w:b w:val="0"/>
          <w:bCs/>
          <w:color w:val="auto"/>
          <w:sz w:val="24"/>
          <w:szCs w:val="24"/>
        </w:rPr>
        <w:t>分）：</w:t>
      </w:r>
    </w:p>
    <w:p w14:paraId="4FF188D2">
      <w:pPr>
        <w:spacing w:line="360" w:lineRule="auto"/>
        <w:ind w:firstLine="482"/>
        <w:rPr>
          <w:rFonts w:ascii="仿宋" w:hAnsi="仿宋" w:eastAsia="仿宋" w:cs="仿宋"/>
          <w:b w:val="0"/>
          <w:bCs/>
          <w:color w:val="auto"/>
          <w:sz w:val="24"/>
          <w:szCs w:val="24"/>
        </w:rPr>
      </w:pPr>
      <w:r>
        <w:rPr>
          <w:rFonts w:hint="eastAsia" w:ascii="仿宋" w:hAnsi="仿宋" w:eastAsia="仿宋" w:cs="仿宋"/>
          <w:b w:val="0"/>
          <w:bCs/>
          <w:color w:val="auto"/>
          <w:sz w:val="24"/>
          <w:szCs w:val="24"/>
        </w:rPr>
        <w:t>①电动升降全过程：升至上限、降至下限完整运行，运行平稳、无异响卡滞（</w:t>
      </w:r>
      <w:r>
        <w:rPr>
          <w:rFonts w:hint="eastAsia" w:ascii="仿宋" w:hAnsi="仿宋" w:eastAsia="仿宋" w:cs="仿宋"/>
          <w:b w:val="0"/>
          <w:bCs/>
          <w:color w:val="auto"/>
          <w:sz w:val="24"/>
          <w:szCs w:val="24"/>
          <w:lang w:val="en-US" w:eastAsia="zh-CN"/>
        </w:rPr>
        <w:t>3</w:t>
      </w:r>
      <w:r>
        <w:rPr>
          <w:rFonts w:hint="eastAsia" w:ascii="仿宋" w:hAnsi="仿宋" w:eastAsia="仿宋" w:cs="仿宋"/>
          <w:b w:val="0"/>
          <w:bCs/>
          <w:color w:val="auto"/>
          <w:sz w:val="24"/>
          <w:szCs w:val="24"/>
        </w:rPr>
        <w:t>分）；</w:t>
      </w:r>
    </w:p>
    <w:p w14:paraId="75AFAEB4">
      <w:pPr>
        <w:spacing w:line="360" w:lineRule="auto"/>
        <w:ind w:firstLine="482"/>
        <w:rPr>
          <w:rFonts w:ascii="仿宋" w:hAnsi="仿宋" w:eastAsia="仿宋" w:cs="仿宋"/>
          <w:b w:val="0"/>
          <w:bCs/>
          <w:color w:val="auto"/>
          <w:sz w:val="24"/>
          <w:szCs w:val="24"/>
        </w:rPr>
      </w:pPr>
      <w:r>
        <w:rPr>
          <w:rFonts w:hint="eastAsia" w:ascii="仿宋" w:hAnsi="仿宋" w:eastAsia="仿宋" w:cs="仿宋"/>
          <w:b w:val="0"/>
          <w:bCs/>
          <w:color w:val="auto"/>
          <w:sz w:val="24"/>
          <w:szCs w:val="24"/>
        </w:rPr>
        <w:t>②篮板尺寸实测演示：将篮球架降至低位后，实测篮板长、宽尺寸，测量过程及卷尺读数入镜，实测尺寸与招标技术要求一致（规格：1800×1050㎜）（</w:t>
      </w:r>
      <w:r>
        <w:rPr>
          <w:rFonts w:hint="eastAsia" w:ascii="仿宋" w:hAnsi="仿宋" w:eastAsia="仿宋" w:cs="仿宋"/>
          <w:b w:val="0"/>
          <w:bCs/>
          <w:color w:val="auto"/>
          <w:sz w:val="24"/>
          <w:szCs w:val="24"/>
          <w:lang w:val="en-US" w:eastAsia="zh-CN"/>
        </w:rPr>
        <w:t>3</w:t>
      </w:r>
      <w:r>
        <w:rPr>
          <w:rFonts w:hint="eastAsia" w:ascii="仿宋" w:hAnsi="仿宋" w:eastAsia="仿宋" w:cs="仿宋"/>
          <w:b w:val="0"/>
          <w:bCs/>
          <w:color w:val="auto"/>
          <w:sz w:val="24"/>
          <w:szCs w:val="24"/>
        </w:rPr>
        <w:t>分）；</w:t>
      </w:r>
    </w:p>
    <w:p w14:paraId="61B2B8FC">
      <w:pPr>
        <w:spacing w:line="360" w:lineRule="auto"/>
        <w:ind w:firstLine="482"/>
        <w:rPr>
          <w:rFonts w:ascii="仿宋" w:hAnsi="仿宋" w:eastAsia="仿宋" w:cs="仿宋"/>
          <w:b w:val="0"/>
          <w:bCs/>
          <w:color w:val="auto"/>
          <w:sz w:val="24"/>
          <w:szCs w:val="24"/>
        </w:rPr>
      </w:pPr>
      <w:r>
        <w:rPr>
          <w:rFonts w:hint="eastAsia" w:ascii="仿宋" w:hAnsi="仿宋" w:eastAsia="仿宋" w:cs="仿宋"/>
          <w:b w:val="0"/>
          <w:bCs/>
          <w:color w:val="auto"/>
          <w:sz w:val="24"/>
          <w:szCs w:val="24"/>
        </w:rPr>
        <w:t>③控制操作演示：遥控器（或控制面板）的升降、停止、断电自锁操作（</w:t>
      </w:r>
      <w:r>
        <w:rPr>
          <w:rFonts w:hint="eastAsia" w:ascii="仿宋" w:hAnsi="仿宋" w:eastAsia="仿宋" w:cs="仿宋"/>
          <w:b w:val="0"/>
          <w:bCs/>
          <w:color w:val="auto"/>
          <w:sz w:val="24"/>
          <w:szCs w:val="24"/>
          <w:lang w:val="en-US" w:eastAsia="zh-CN"/>
        </w:rPr>
        <w:t>2</w:t>
      </w:r>
      <w:r>
        <w:rPr>
          <w:rFonts w:hint="eastAsia" w:ascii="仿宋" w:hAnsi="仿宋" w:eastAsia="仿宋" w:cs="仿宋"/>
          <w:b w:val="0"/>
          <w:bCs/>
          <w:color w:val="auto"/>
          <w:sz w:val="24"/>
          <w:szCs w:val="24"/>
        </w:rPr>
        <w:t>分）。</w:t>
      </w:r>
    </w:p>
    <w:p w14:paraId="0A7E8E47">
      <w:pPr>
        <w:spacing w:line="360" w:lineRule="auto"/>
        <w:ind w:firstLine="480"/>
        <w:rPr>
          <w:rFonts w:ascii="仿宋" w:hAnsi="仿宋" w:eastAsia="仿宋" w:cs="仿宋"/>
          <w:b w:val="0"/>
          <w:bCs/>
          <w:color w:val="auto"/>
          <w:sz w:val="24"/>
          <w:szCs w:val="24"/>
        </w:rPr>
      </w:pP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2）</w:t>
      </w:r>
      <w:r>
        <w:rPr>
          <w:rFonts w:hint="eastAsia" w:ascii="仿宋" w:hAnsi="仿宋" w:eastAsia="仿宋" w:cs="仿宋"/>
          <w:b w:val="0"/>
          <w:bCs/>
          <w:color w:val="auto"/>
          <w:sz w:val="24"/>
          <w:szCs w:val="24"/>
        </w:rPr>
        <w:t>数字大脑（</w:t>
      </w:r>
      <w:r>
        <w:rPr>
          <w:rFonts w:hint="eastAsia" w:ascii="仿宋" w:hAnsi="仿宋" w:eastAsia="仿宋" w:cs="仿宋"/>
          <w:b w:val="0"/>
          <w:bCs/>
          <w:color w:val="auto"/>
          <w:sz w:val="24"/>
          <w:szCs w:val="24"/>
          <w:lang w:val="en-US" w:eastAsia="zh-CN"/>
        </w:rPr>
        <w:t>6</w:t>
      </w:r>
      <w:r>
        <w:rPr>
          <w:rFonts w:hint="eastAsia" w:ascii="仿宋" w:hAnsi="仿宋" w:eastAsia="仿宋" w:cs="仿宋"/>
          <w:b w:val="0"/>
          <w:bCs/>
          <w:color w:val="auto"/>
          <w:sz w:val="24"/>
          <w:szCs w:val="24"/>
        </w:rPr>
        <w:t>分）：</w:t>
      </w:r>
    </w:p>
    <w:p w14:paraId="5E664C40">
      <w:pPr>
        <w:spacing w:line="360" w:lineRule="auto"/>
        <w:ind w:firstLine="480"/>
        <w:rPr>
          <w:rFonts w:ascii="仿宋" w:hAnsi="仿宋" w:eastAsia="仿宋" w:cs="仿宋"/>
          <w:b w:val="0"/>
          <w:bCs/>
          <w:color w:val="auto"/>
          <w:sz w:val="24"/>
          <w:szCs w:val="24"/>
        </w:rPr>
      </w:pPr>
      <w:r>
        <w:rPr>
          <w:rFonts w:hint="eastAsia" w:ascii="仿宋" w:hAnsi="仿宋" w:eastAsia="仿宋" w:cs="仿宋"/>
          <w:b w:val="0"/>
          <w:bCs/>
          <w:color w:val="auto"/>
          <w:sz w:val="24"/>
          <w:szCs w:val="24"/>
        </w:rPr>
        <w:t>全校运动数据多维度分析（</w:t>
      </w:r>
      <w:r>
        <w:rPr>
          <w:rFonts w:hint="eastAsia" w:ascii="仿宋" w:hAnsi="仿宋" w:eastAsia="仿宋" w:cs="仿宋"/>
          <w:b w:val="0"/>
          <w:bCs/>
          <w:color w:val="auto"/>
          <w:sz w:val="24"/>
          <w:szCs w:val="24"/>
          <w:lang w:val="en-US" w:eastAsia="zh-CN"/>
        </w:rPr>
        <w:t>3</w:t>
      </w:r>
      <w:r>
        <w:rPr>
          <w:rFonts w:hint="eastAsia" w:ascii="仿宋" w:hAnsi="仿宋" w:eastAsia="仿宋" w:cs="仿宋"/>
          <w:b w:val="0"/>
          <w:bCs/>
          <w:color w:val="auto"/>
          <w:sz w:val="24"/>
          <w:szCs w:val="24"/>
        </w:rPr>
        <w:t>分）与综合展示（</w:t>
      </w:r>
      <w:r>
        <w:rPr>
          <w:rFonts w:hint="eastAsia" w:ascii="仿宋" w:hAnsi="仿宋" w:eastAsia="仿宋" w:cs="仿宋"/>
          <w:b w:val="0"/>
          <w:bCs/>
          <w:color w:val="auto"/>
          <w:sz w:val="24"/>
          <w:szCs w:val="24"/>
          <w:lang w:val="en-US" w:eastAsia="zh-CN"/>
        </w:rPr>
        <w:t>3</w:t>
      </w:r>
      <w:r>
        <w:rPr>
          <w:rFonts w:hint="eastAsia" w:ascii="仿宋" w:hAnsi="仿宋" w:eastAsia="仿宋" w:cs="仿宋"/>
          <w:b w:val="0"/>
          <w:bCs/>
          <w:color w:val="auto"/>
          <w:sz w:val="24"/>
          <w:szCs w:val="24"/>
        </w:rPr>
        <w:t>分）。</w:t>
      </w:r>
    </w:p>
    <w:p w14:paraId="5A73FD60">
      <w:pPr>
        <w:spacing w:line="360" w:lineRule="auto"/>
        <w:ind w:firstLine="480"/>
        <w:rPr>
          <w:rFonts w:ascii="仿宋" w:hAnsi="仿宋" w:eastAsia="仿宋" w:cs="仿宋"/>
          <w:b w:val="0"/>
          <w:bCs/>
          <w:color w:val="auto"/>
          <w:sz w:val="24"/>
          <w:szCs w:val="24"/>
        </w:rPr>
      </w:pP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3）</w:t>
      </w:r>
      <w:r>
        <w:rPr>
          <w:rFonts w:hint="eastAsia" w:ascii="仿宋" w:hAnsi="仿宋" w:eastAsia="仿宋" w:cs="仿宋"/>
          <w:b w:val="0"/>
          <w:bCs/>
          <w:color w:val="auto"/>
          <w:sz w:val="24"/>
          <w:szCs w:val="24"/>
        </w:rPr>
        <w:t>身高体重一体机（6分）：</w:t>
      </w:r>
    </w:p>
    <w:p w14:paraId="6C2A5498">
      <w:pPr>
        <w:spacing w:line="360" w:lineRule="auto"/>
        <w:ind w:firstLine="480"/>
        <w:rPr>
          <w:rFonts w:ascii="仿宋" w:hAnsi="仿宋" w:eastAsia="仿宋" w:cs="仿宋"/>
          <w:b w:val="0"/>
          <w:bCs/>
          <w:color w:val="auto"/>
          <w:sz w:val="24"/>
          <w:szCs w:val="24"/>
        </w:rPr>
      </w:pPr>
      <w:r>
        <w:rPr>
          <w:rFonts w:hint="eastAsia" w:ascii="仿宋" w:hAnsi="仿宋" w:eastAsia="仿宋" w:cs="仿宋"/>
          <w:b w:val="0"/>
          <w:bCs/>
          <w:color w:val="auto"/>
          <w:sz w:val="24"/>
          <w:szCs w:val="24"/>
        </w:rPr>
        <w:t>人脸识别（2分）→个人界面（2分）→成绩报告（2分）。</w:t>
      </w:r>
    </w:p>
    <w:p w14:paraId="6469E91E">
      <w:pPr>
        <w:spacing w:line="360" w:lineRule="auto"/>
        <w:ind w:firstLine="480"/>
        <w:rPr>
          <w:rFonts w:ascii="仿宋" w:hAnsi="仿宋" w:eastAsia="仿宋" w:cs="仿宋"/>
          <w:b w:val="0"/>
          <w:bCs/>
          <w:color w:val="auto"/>
          <w:sz w:val="24"/>
          <w:szCs w:val="24"/>
        </w:rPr>
      </w:pPr>
      <w:r>
        <w:rPr>
          <w:rFonts w:hint="eastAsia" w:ascii="仿宋" w:hAnsi="仿宋" w:eastAsia="仿宋" w:cs="仿宋"/>
          <w:b w:val="0"/>
          <w:bCs/>
          <w:color w:val="auto"/>
          <w:sz w:val="24"/>
          <w:szCs w:val="24"/>
          <w:lang w:eastAsia="zh-CN"/>
        </w:rPr>
        <w:t>（</w:t>
      </w:r>
      <w:r>
        <w:rPr>
          <w:rFonts w:hint="eastAsia" w:ascii="仿宋" w:hAnsi="仿宋" w:eastAsia="仿宋" w:cs="仿宋"/>
          <w:b w:val="0"/>
          <w:bCs/>
          <w:color w:val="auto"/>
          <w:sz w:val="24"/>
          <w:szCs w:val="24"/>
          <w:lang w:val="en-US" w:eastAsia="zh-CN"/>
        </w:rPr>
        <w:t>4）</w:t>
      </w:r>
      <w:r>
        <w:rPr>
          <w:rFonts w:hint="eastAsia" w:ascii="仿宋" w:hAnsi="仿宋" w:eastAsia="仿宋" w:cs="仿宋"/>
          <w:b w:val="0"/>
          <w:bCs/>
          <w:color w:val="auto"/>
          <w:sz w:val="24"/>
          <w:szCs w:val="24"/>
        </w:rPr>
        <w:t>肺活量一体机（6分）：</w:t>
      </w:r>
    </w:p>
    <w:p w14:paraId="3F0F1D7F">
      <w:pPr>
        <w:spacing w:line="360" w:lineRule="auto"/>
        <w:ind w:firstLine="480"/>
        <w:rPr>
          <w:rFonts w:hint="eastAsia" w:ascii="仿宋" w:hAnsi="仿宋" w:eastAsia="仿宋" w:cs="仿宋"/>
          <w:b w:val="0"/>
          <w:bCs/>
          <w:color w:val="auto"/>
          <w:sz w:val="24"/>
          <w:szCs w:val="24"/>
        </w:rPr>
      </w:pPr>
      <w:r>
        <w:rPr>
          <w:rFonts w:hint="eastAsia" w:ascii="仿宋" w:hAnsi="仿宋" w:eastAsia="仿宋" w:cs="仿宋"/>
          <w:b w:val="0"/>
          <w:bCs/>
          <w:color w:val="auto"/>
          <w:sz w:val="24"/>
          <w:szCs w:val="24"/>
        </w:rPr>
        <w:t>人脸识别（2分）→实时数值（2分）→成绩记录（2分）。</w:t>
      </w:r>
    </w:p>
    <w:p w14:paraId="42DB3144">
      <w:pPr>
        <w:spacing w:line="360" w:lineRule="auto"/>
        <w:ind w:firstLine="480"/>
        <w:rPr>
          <w:rFonts w:hint="default" w:ascii="仿宋" w:hAnsi="仿宋" w:eastAsia="仿宋" w:cs="仿宋"/>
          <w:b w:val="0"/>
          <w:bCs/>
          <w:color w:val="auto"/>
          <w:sz w:val="24"/>
          <w:szCs w:val="24"/>
          <w:lang w:val="en-US" w:eastAsia="zh-CN"/>
        </w:rPr>
      </w:pPr>
      <w:r>
        <w:rPr>
          <w:rFonts w:hint="eastAsia" w:ascii="仿宋" w:hAnsi="仿宋" w:eastAsia="仿宋" w:cs="仿宋"/>
          <w:b w:val="0"/>
          <w:bCs/>
          <w:color w:val="auto"/>
          <w:sz w:val="24"/>
          <w:szCs w:val="24"/>
          <w:lang w:val="en-US" w:eastAsia="zh-CN"/>
        </w:rPr>
        <w:t>注：完整演示上述功能且符合采购需求，按分项得分，最高26分。</w:t>
      </w:r>
    </w:p>
    <w:p w14:paraId="2916F013">
      <w:pPr>
        <w:spacing w:line="360" w:lineRule="auto"/>
        <w:ind w:firstLine="482"/>
        <w:rPr>
          <w:rFonts w:ascii="仿宋" w:hAnsi="仿宋" w:eastAsia="仿宋" w:cs="仿宋"/>
          <w:b/>
          <w:sz w:val="24"/>
          <w:szCs w:val="24"/>
        </w:rPr>
      </w:pPr>
      <w:r>
        <w:rPr>
          <w:rFonts w:hint="eastAsia" w:ascii="仿宋" w:hAnsi="仿宋" w:eastAsia="仿宋" w:cs="仿宋"/>
          <w:b/>
          <w:sz w:val="24"/>
          <w:szCs w:val="24"/>
        </w:rPr>
        <w:t>（三）实施方案（2</w:t>
      </w:r>
      <w:r>
        <w:rPr>
          <w:rFonts w:hint="eastAsia" w:ascii="仿宋" w:hAnsi="仿宋" w:eastAsia="仿宋" w:cs="仿宋"/>
          <w:b/>
          <w:sz w:val="24"/>
          <w:szCs w:val="24"/>
          <w:lang w:val="en-US" w:eastAsia="zh-CN"/>
        </w:rPr>
        <w:t>3</w:t>
      </w:r>
      <w:r>
        <w:rPr>
          <w:rFonts w:hint="eastAsia" w:ascii="仿宋" w:hAnsi="仿宋" w:eastAsia="仿宋" w:cs="仿宋"/>
          <w:b/>
          <w:sz w:val="24"/>
          <w:szCs w:val="24"/>
        </w:rPr>
        <w:t>分）</w:t>
      </w:r>
    </w:p>
    <w:p w14:paraId="3A270E2E">
      <w:pPr>
        <w:pStyle w:val="400"/>
        <w:spacing w:line="360" w:lineRule="auto"/>
        <w:ind w:firstLine="480"/>
        <w:jc w:val="both"/>
        <w:rPr>
          <w:rFonts w:ascii="仿宋" w:hAnsi="仿宋" w:eastAsia="仿宋" w:cs="仿宋"/>
          <w:b w:val="0"/>
          <w:bCs/>
          <w:sz w:val="24"/>
          <w:szCs w:val="24"/>
        </w:rPr>
      </w:pPr>
      <w:r>
        <w:rPr>
          <w:rFonts w:hint="eastAsia" w:ascii="仿宋" w:hAnsi="仿宋" w:eastAsia="仿宋" w:cs="仿宋"/>
          <w:b w:val="0"/>
          <w:bCs/>
          <w:sz w:val="24"/>
          <w:szCs w:val="24"/>
        </w:rPr>
        <w:t>1.整体供货组织、到货验收、成品保护方案：包含①全品类器材分区域仓储规划、②物流运输防护措施、③到校卸货流程、④数量外观初验、⑤破损退换应急机制、⑥成品保护方案（列明地胶、玻璃篮板、精密体测仪器、保健设备完工防护措施）等，贴合本项目室外/室内/健身/体测/保健多品类大批量供货需求，每满足一项得</w:t>
      </w:r>
      <w:r>
        <w:rPr>
          <w:rFonts w:hint="eastAsia" w:ascii="仿宋" w:hAnsi="仿宋" w:eastAsia="仿宋" w:cs="仿宋"/>
          <w:b w:val="0"/>
          <w:bCs/>
          <w:sz w:val="24"/>
          <w:szCs w:val="24"/>
          <w:lang w:val="en-US" w:eastAsia="zh-CN"/>
        </w:rPr>
        <w:t>1</w:t>
      </w:r>
      <w:r>
        <w:rPr>
          <w:rFonts w:hint="eastAsia" w:ascii="仿宋" w:hAnsi="仿宋" w:eastAsia="仿宋" w:cs="仿宋"/>
          <w:b w:val="0"/>
          <w:bCs/>
          <w:sz w:val="24"/>
          <w:szCs w:val="24"/>
        </w:rPr>
        <w:t>分，最高</w:t>
      </w:r>
      <w:r>
        <w:rPr>
          <w:rFonts w:hint="eastAsia" w:ascii="仿宋" w:hAnsi="仿宋" w:eastAsia="仿宋" w:cs="仿宋"/>
          <w:b w:val="0"/>
          <w:bCs/>
          <w:sz w:val="24"/>
          <w:szCs w:val="24"/>
          <w:lang w:val="en-US" w:eastAsia="zh-CN"/>
        </w:rPr>
        <w:t>6</w:t>
      </w:r>
      <w:r>
        <w:rPr>
          <w:rFonts w:hint="eastAsia" w:ascii="仿宋" w:hAnsi="仿宋" w:eastAsia="仿宋" w:cs="仿宋"/>
          <w:b w:val="0"/>
          <w:bCs/>
          <w:sz w:val="24"/>
          <w:szCs w:val="24"/>
        </w:rPr>
        <w:t>分。</w:t>
      </w:r>
    </w:p>
    <w:p w14:paraId="4E6049EA">
      <w:pPr>
        <w:pStyle w:val="400"/>
        <w:spacing w:line="360" w:lineRule="auto"/>
        <w:ind w:firstLine="480"/>
        <w:jc w:val="both"/>
        <w:rPr>
          <w:rFonts w:ascii="仿宋" w:hAnsi="仿宋" w:eastAsia="仿宋" w:cs="仿宋"/>
          <w:b w:val="0"/>
          <w:bCs/>
          <w:sz w:val="24"/>
          <w:szCs w:val="24"/>
        </w:rPr>
      </w:pPr>
      <w:r>
        <w:rPr>
          <w:rFonts w:hint="eastAsia" w:ascii="仿宋" w:hAnsi="仿宋" w:eastAsia="仿宋" w:cs="仿宋"/>
          <w:b w:val="0"/>
          <w:bCs/>
          <w:sz w:val="24"/>
          <w:szCs w:val="24"/>
        </w:rPr>
        <w:t>2.室外预埋器材混凝土基础专项施工方案：针对预埋篮球架、单双杠、足球门等列明基坑尺寸、C20混凝土配比、钢筋预埋、养护周期、场地复原、安全围挡等施工细节；方案内容针对本项目且符合本项目实际需求得2分</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内容不全不得分。</w:t>
      </w:r>
    </w:p>
    <w:p w14:paraId="7031068D">
      <w:pPr>
        <w:pStyle w:val="400"/>
        <w:spacing w:line="360" w:lineRule="auto"/>
        <w:ind w:firstLine="480"/>
        <w:jc w:val="both"/>
        <w:rPr>
          <w:rFonts w:ascii="仿宋" w:hAnsi="仿宋" w:eastAsia="仿宋" w:cs="仿宋"/>
          <w:b w:val="0"/>
          <w:bCs/>
          <w:sz w:val="24"/>
          <w:szCs w:val="24"/>
        </w:rPr>
      </w:pPr>
      <w:r>
        <w:rPr>
          <w:rFonts w:hint="eastAsia" w:ascii="仿宋" w:hAnsi="仿宋" w:eastAsia="仿宋" w:cs="仿宋"/>
          <w:b w:val="0"/>
          <w:bCs/>
          <w:sz w:val="24"/>
          <w:szCs w:val="24"/>
        </w:rPr>
        <w:t>3.智慧体测设备部署实施方案：包括体测一体机、校园体育平台软硬件进场、点位布置、网络布线、人脸设备调试、多终端数据对接、校园系统联调完整流程，方案内容针对本项目且符合本项目实际需求得2分</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内容不全不得分。</w:t>
      </w:r>
    </w:p>
    <w:p w14:paraId="5C61404E">
      <w:pPr>
        <w:pStyle w:val="400"/>
        <w:spacing w:line="360" w:lineRule="auto"/>
        <w:ind w:firstLine="480"/>
        <w:jc w:val="both"/>
        <w:rPr>
          <w:rFonts w:ascii="仿宋" w:hAnsi="仿宋" w:eastAsia="仿宋" w:cs="仿宋"/>
          <w:b w:val="0"/>
          <w:bCs/>
          <w:sz w:val="24"/>
          <w:szCs w:val="24"/>
        </w:rPr>
      </w:pPr>
      <w:r>
        <w:rPr>
          <w:rFonts w:hint="eastAsia" w:ascii="仿宋" w:hAnsi="仿宋" w:eastAsia="仿宋" w:cs="仿宋"/>
          <w:b w:val="0"/>
          <w:bCs/>
          <w:sz w:val="24"/>
          <w:szCs w:val="24"/>
        </w:rPr>
        <w:t>4.</w:t>
      </w:r>
      <w:r>
        <w:rPr>
          <w:rFonts w:ascii="仿宋" w:hAnsi="仿宋" w:eastAsia="仿宋" w:cs="仿宋"/>
          <w:b w:val="0"/>
          <w:bCs/>
          <w:sz w:val="24"/>
          <w:szCs w:val="24"/>
        </w:rPr>
        <w:t>PVC运动地胶铺设专项施工方案：地面基层处理、自流平施工、卷材拼接、高温焊缝、边角收边、完工清洁、短期防滑保护全套工序；方案内容针对本项目且符合本项目实际需求得</w:t>
      </w:r>
      <w:r>
        <w:rPr>
          <w:rFonts w:hint="eastAsia" w:ascii="仿宋" w:hAnsi="仿宋" w:eastAsia="仿宋" w:cs="仿宋"/>
          <w:b w:val="0"/>
          <w:bCs/>
          <w:sz w:val="24"/>
          <w:szCs w:val="24"/>
        </w:rPr>
        <w:t>2</w:t>
      </w:r>
      <w:r>
        <w:rPr>
          <w:rFonts w:ascii="仿宋" w:hAnsi="仿宋" w:eastAsia="仿宋" w:cs="仿宋"/>
          <w:b w:val="0"/>
          <w:bCs/>
          <w:sz w:val="24"/>
          <w:szCs w:val="24"/>
        </w:rPr>
        <w:t>分</w:t>
      </w:r>
      <w:r>
        <w:rPr>
          <w:rFonts w:hint="eastAsia" w:ascii="仿宋" w:hAnsi="仿宋" w:eastAsia="仿宋" w:cs="仿宋"/>
          <w:b w:val="0"/>
          <w:bCs/>
          <w:sz w:val="24"/>
          <w:szCs w:val="24"/>
          <w:lang w:eastAsia="zh-CN"/>
        </w:rPr>
        <w:t>，</w:t>
      </w:r>
      <w:r>
        <w:rPr>
          <w:rFonts w:ascii="仿宋" w:hAnsi="仿宋" w:eastAsia="仿宋" w:cs="仿宋"/>
          <w:b w:val="0"/>
          <w:bCs/>
          <w:sz w:val="24"/>
          <w:szCs w:val="24"/>
        </w:rPr>
        <w:t>内容不全不得分。未区分乒乓球/羽毛球/体测不同地胶工况不得分。</w:t>
      </w:r>
    </w:p>
    <w:p w14:paraId="6221D6F3">
      <w:pPr>
        <w:pStyle w:val="400"/>
        <w:spacing w:line="360" w:lineRule="auto"/>
        <w:ind w:firstLine="480"/>
        <w:jc w:val="both"/>
        <w:rPr>
          <w:rFonts w:ascii="仿宋" w:hAnsi="仿宋" w:eastAsia="仿宋" w:cs="仿宋"/>
          <w:b w:val="0"/>
          <w:bCs/>
          <w:sz w:val="24"/>
          <w:szCs w:val="24"/>
        </w:rPr>
      </w:pPr>
      <w:r>
        <w:rPr>
          <w:rFonts w:hint="default" w:ascii="仿宋" w:hAnsi="仿宋" w:eastAsia="仿宋" w:cs="仿宋"/>
          <w:b w:val="0"/>
          <w:bCs/>
          <w:sz w:val="24"/>
          <w:szCs w:val="24"/>
        </w:rPr>
        <w:t>5. 供货安装及到货自检方案：针对本项目全品类制定分阶段到货自检方案，按室外器材、室内场馆、健身体操、智慧体测、卫生保健划分为五大独立自检阶段。方案中每阶段需包含：①自检工作流程、②自检核查指标、③自检抽检比例、④不合格品处置流程。方案贴合本项目实际需求，每满足一项得1分，最高得4分。未做分阶段自检划分的不得分。</w:t>
      </w:r>
    </w:p>
    <w:p w14:paraId="1C81D1D8">
      <w:pPr>
        <w:spacing w:line="360" w:lineRule="auto"/>
        <w:ind w:firstLine="480"/>
        <w:outlineLvl w:val="0"/>
        <w:rPr>
          <w:rFonts w:ascii="仿宋" w:hAnsi="仿宋" w:eastAsia="仿宋" w:cs="仿宋"/>
          <w:bCs/>
          <w:sz w:val="24"/>
          <w:szCs w:val="24"/>
        </w:rPr>
      </w:pPr>
      <w:r>
        <w:rPr>
          <w:rFonts w:hint="eastAsia" w:ascii="仿宋" w:hAnsi="仿宋" w:eastAsia="仿宋" w:cs="仿宋"/>
          <w:bCs/>
          <w:sz w:val="24"/>
          <w:szCs w:val="24"/>
        </w:rPr>
        <w:t>6.分层级师生操作培训方案：区分体育教师、班主任、学生三层培训对象，分别制定①大型器材、②地胶、③体测系统、④保健设备实操课程，明确培训时长、考核标准，方案内容针对本项目且符合本项目实际需求的，每满足一项得1分，最高4分。内容不全或未区分培训对象不得分。</w:t>
      </w:r>
    </w:p>
    <w:p w14:paraId="4DA888BA">
      <w:pPr>
        <w:spacing w:line="360" w:lineRule="auto"/>
        <w:ind w:firstLine="480"/>
        <w:rPr>
          <w:rFonts w:ascii="仿宋" w:hAnsi="仿宋" w:eastAsia="仿宋" w:cs="仿宋"/>
          <w:sz w:val="24"/>
          <w:szCs w:val="24"/>
        </w:rPr>
      </w:pPr>
      <w:r>
        <w:rPr>
          <w:rFonts w:hint="eastAsia" w:ascii="仿宋" w:hAnsi="仿宋" w:eastAsia="仿宋" w:cs="仿宋"/>
          <w:sz w:val="24"/>
          <w:szCs w:val="24"/>
        </w:rPr>
        <w:t>7.售后服务：包含①售后服务人员配备（提供姓名及相关工作经验证明）、②运动会/体育中考等重大活动配合工作、③器材场地保养方案、④故障响应及修复时间、⑤易损件配置、⑥常态化培训计划（</w:t>
      </w:r>
      <w:r>
        <w:rPr>
          <w:rFonts w:ascii="仿宋" w:hAnsi="仿宋" w:eastAsia="仿宋" w:cs="仿宋"/>
          <w:sz w:val="24"/>
          <w:szCs w:val="24"/>
          <w:lang w:bidi="ar"/>
        </w:rPr>
        <w:t>年度免费复训、设备故障简易排查教学、器材日常保养教学、备品更换教学</w:t>
      </w:r>
      <w:r>
        <w:rPr>
          <w:rFonts w:hint="eastAsia" w:ascii="仿宋" w:hAnsi="仿宋" w:eastAsia="仿宋" w:cs="仿宋"/>
          <w:sz w:val="24"/>
          <w:szCs w:val="24"/>
          <w:lang w:bidi="ar"/>
        </w:rPr>
        <w:t>）</w:t>
      </w:r>
      <w:r>
        <w:rPr>
          <w:rFonts w:hint="eastAsia" w:ascii="仿宋" w:hAnsi="仿宋" w:eastAsia="仿宋" w:cs="仿宋"/>
          <w:sz w:val="24"/>
          <w:szCs w:val="24"/>
        </w:rPr>
        <w:t>等，</w:t>
      </w:r>
      <w:r>
        <w:rPr>
          <w:rFonts w:hint="eastAsia" w:ascii="仿宋" w:hAnsi="仿宋" w:eastAsia="仿宋" w:cs="仿宋"/>
          <w:bCs/>
          <w:sz w:val="24"/>
          <w:szCs w:val="24"/>
        </w:rPr>
        <w:t>方案内容针对本项目且符合本项目实际需求的，</w:t>
      </w:r>
      <w:r>
        <w:rPr>
          <w:rFonts w:hint="eastAsia" w:ascii="仿宋" w:hAnsi="仿宋" w:eastAsia="仿宋" w:cs="仿宋"/>
          <w:sz w:val="24"/>
          <w:szCs w:val="24"/>
        </w:rPr>
        <w:t>每满足一项得0.5分，最高3分。</w:t>
      </w:r>
    </w:p>
    <w:p w14:paraId="0DD5D2CF">
      <w:pPr>
        <w:spacing w:line="360" w:lineRule="auto"/>
        <w:ind w:firstLine="482"/>
        <w:rPr>
          <w:rFonts w:ascii="仿宋" w:hAnsi="仿宋" w:eastAsia="仿宋" w:cs="仿宋"/>
          <w:sz w:val="24"/>
          <w:szCs w:val="24"/>
        </w:rPr>
      </w:pPr>
      <w:r>
        <w:rPr>
          <w:rFonts w:hint="eastAsia" w:ascii="仿宋" w:hAnsi="仿宋" w:eastAsia="仿宋" w:cs="仿宋"/>
          <w:b/>
          <w:sz w:val="24"/>
          <w:szCs w:val="24"/>
        </w:rPr>
        <w:t>（四）类似业绩（</w:t>
      </w:r>
      <w:r>
        <w:rPr>
          <w:rFonts w:hint="eastAsia" w:ascii="仿宋" w:hAnsi="仿宋" w:eastAsia="仿宋" w:cs="仿宋"/>
          <w:b/>
          <w:sz w:val="24"/>
          <w:szCs w:val="24"/>
          <w:lang w:val="en-US" w:eastAsia="zh-CN"/>
        </w:rPr>
        <w:t>9</w:t>
      </w:r>
      <w:r>
        <w:rPr>
          <w:rFonts w:ascii="仿宋" w:hAnsi="仿宋" w:eastAsia="仿宋" w:cs="仿宋"/>
          <w:b/>
          <w:sz w:val="24"/>
          <w:szCs w:val="24"/>
        </w:rPr>
        <w:t>分）</w:t>
      </w:r>
    </w:p>
    <w:p w14:paraId="3AD4F1BC">
      <w:pPr>
        <w:spacing w:line="360" w:lineRule="auto"/>
        <w:ind w:firstLine="480"/>
        <w:rPr>
          <w:rFonts w:hint="default" w:eastAsia="宋体"/>
          <w:color w:val="auto"/>
          <w:sz w:val="24"/>
          <w:szCs w:val="24"/>
          <w:lang w:val="en-US" w:eastAsia="zh-CN"/>
        </w:rPr>
      </w:pPr>
      <w:r>
        <w:rPr>
          <w:rFonts w:hint="eastAsia" w:ascii="仿宋" w:hAnsi="仿宋" w:eastAsia="仿宋" w:cs="仿宋"/>
          <w:b w:val="0"/>
          <w:bCs w:val="0"/>
          <w:color w:val="auto"/>
          <w:sz w:val="24"/>
          <w:szCs w:val="24"/>
        </w:rPr>
        <w:t>1.室外固定安装类器材</w:t>
      </w:r>
      <w:r>
        <w:rPr>
          <w:rFonts w:hint="eastAsia" w:ascii="仿宋" w:hAnsi="仿宋" w:eastAsia="仿宋" w:cs="仿宋"/>
          <w:b w:val="0"/>
          <w:bCs w:val="0"/>
          <w:color w:val="auto"/>
          <w:sz w:val="24"/>
          <w:szCs w:val="24"/>
          <w:lang w:val="en-US" w:eastAsia="zh-CN"/>
        </w:rPr>
        <w:t>（3分）</w:t>
      </w:r>
    </w:p>
    <w:p w14:paraId="65271A2B">
      <w:pPr>
        <w:spacing w:line="360" w:lineRule="auto"/>
        <w:ind w:firstLine="480"/>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投标人或其联合体成员自2023年7月1日至今（以合同签订时间为准）承担过室外固定安装类器材供货及安装类项目（采购人包括但不限于学校、教育系统单位、公共体育场馆、企事业单位、社区健身场所等）</w:t>
      </w:r>
      <w:r>
        <w:rPr>
          <w:rFonts w:hint="eastAsia" w:ascii="仿宋" w:hAnsi="仿宋" w:eastAsia="仿宋" w:cs="仿宋"/>
          <w:b w:val="0"/>
          <w:bCs w:val="0"/>
          <w:color w:val="auto"/>
          <w:sz w:val="24"/>
          <w:szCs w:val="24"/>
          <w:lang w:eastAsia="zh-CN"/>
        </w:rPr>
        <w:t>，合同清单涵盖篮球架、排球柱（架）、单杠双杠、云梯、双格肋木、足球门</w:t>
      </w:r>
      <w:r>
        <w:rPr>
          <w:rFonts w:hint="eastAsia" w:ascii="仿宋" w:hAnsi="仿宋" w:eastAsia="仿宋" w:cs="仿宋"/>
          <w:b w:val="0"/>
          <w:bCs w:val="0"/>
          <w:color w:val="auto"/>
          <w:sz w:val="24"/>
          <w:szCs w:val="24"/>
          <w:lang w:val="en-US" w:eastAsia="zh-CN"/>
        </w:rPr>
        <w:t>等室外</w:t>
      </w:r>
      <w:r>
        <w:rPr>
          <w:rFonts w:hint="eastAsia" w:ascii="仿宋" w:hAnsi="仿宋" w:eastAsia="仿宋" w:cs="仿宋"/>
          <w:b w:val="0"/>
          <w:bCs w:val="0"/>
          <w:color w:val="auto"/>
          <w:sz w:val="24"/>
          <w:szCs w:val="24"/>
          <w:lang w:eastAsia="zh-CN"/>
        </w:rPr>
        <w:t>固定安装类器材。</w:t>
      </w:r>
      <w:r>
        <w:rPr>
          <w:rFonts w:hint="eastAsia" w:ascii="仿宋" w:hAnsi="仿宋" w:eastAsia="仿宋" w:cs="仿宋"/>
          <w:b w:val="0"/>
          <w:bCs w:val="0"/>
          <w:color w:val="auto"/>
          <w:sz w:val="24"/>
          <w:szCs w:val="24"/>
          <w:lang w:val="en-US" w:eastAsia="zh-CN"/>
        </w:rPr>
        <w:t>每涵盖1类得1分，最高得3分。</w:t>
      </w:r>
    </w:p>
    <w:p w14:paraId="75E8FE4D">
      <w:pPr>
        <w:spacing w:line="360" w:lineRule="auto"/>
        <w:ind w:firstLine="480"/>
        <w:rPr>
          <w:rFonts w:hint="default"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2.智慧</w:t>
      </w:r>
      <w:r>
        <w:rPr>
          <w:rFonts w:hint="eastAsia" w:ascii="仿宋" w:hAnsi="仿宋" w:eastAsia="仿宋" w:cs="仿宋"/>
          <w:b w:val="0"/>
          <w:bCs w:val="0"/>
          <w:color w:val="auto"/>
          <w:sz w:val="24"/>
          <w:szCs w:val="24"/>
        </w:rPr>
        <w:t>体测设备</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3分）</w:t>
      </w:r>
    </w:p>
    <w:p w14:paraId="5809DA6A">
      <w:pPr>
        <w:spacing w:line="360" w:lineRule="auto"/>
        <w:ind w:firstLine="48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rPr>
        <w:t>投标人或其联合体成员自2023年7月1日至今（以合同签订时间为准）承担过</w:t>
      </w:r>
      <w:r>
        <w:rPr>
          <w:rFonts w:hint="eastAsia" w:ascii="仿宋" w:hAnsi="仿宋" w:eastAsia="仿宋" w:cs="仿宋"/>
          <w:b w:val="0"/>
          <w:bCs w:val="0"/>
          <w:color w:val="auto"/>
          <w:sz w:val="24"/>
          <w:szCs w:val="24"/>
          <w:lang w:val="en-US" w:eastAsia="zh-CN"/>
        </w:rPr>
        <w:t>智慧</w:t>
      </w:r>
      <w:r>
        <w:rPr>
          <w:rFonts w:hint="eastAsia" w:ascii="仿宋" w:hAnsi="仿宋" w:eastAsia="仿宋" w:cs="仿宋"/>
          <w:b w:val="0"/>
          <w:bCs w:val="0"/>
          <w:color w:val="auto"/>
          <w:sz w:val="24"/>
          <w:szCs w:val="24"/>
        </w:rPr>
        <w:t>体测</w:t>
      </w:r>
      <w:r>
        <w:rPr>
          <w:rFonts w:hint="eastAsia" w:ascii="仿宋" w:hAnsi="仿宋" w:eastAsia="仿宋" w:cs="仿宋"/>
          <w:b w:val="0"/>
          <w:bCs w:val="0"/>
          <w:color w:val="auto"/>
          <w:sz w:val="24"/>
          <w:szCs w:val="24"/>
          <w:lang w:val="en-US" w:eastAsia="zh-CN"/>
        </w:rPr>
        <w:t>设备</w:t>
      </w:r>
      <w:r>
        <w:rPr>
          <w:rFonts w:hint="eastAsia" w:ascii="仿宋" w:hAnsi="仿宋" w:eastAsia="仿宋" w:cs="仿宋"/>
          <w:b w:val="0"/>
          <w:bCs w:val="0"/>
          <w:color w:val="auto"/>
          <w:sz w:val="24"/>
          <w:szCs w:val="24"/>
        </w:rPr>
        <w:t>供货项目（采购人包括但不限于学校、教育系统单位、公共体育场馆、企事业单位、社区健身场所等）</w:t>
      </w:r>
      <w:r>
        <w:rPr>
          <w:rFonts w:hint="eastAsia" w:ascii="仿宋" w:hAnsi="仿宋" w:eastAsia="仿宋" w:cs="仿宋"/>
          <w:b w:val="0"/>
          <w:bCs w:val="0"/>
          <w:color w:val="auto"/>
          <w:sz w:val="24"/>
          <w:szCs w:val="24"/>
          <w:lang w:eastAsia="zh-CN"/>
        </w:rPr>
        <w:t>，合同清单涵盖</w:t>
      </w:r>
      <w:r>
        <w:rPr>
          <w:rFonts w:hint="eastAsia" w:ascii="仿宋" w:hAnsi="仿宋" w:eastAsia="仿宋" w:cs="仿宋"/>
          <w:color w:val="auto"/>
          <w:sz w:val="24"/>
          <w:szCs w:val="24"/>
          <w:lang w:bidi="ar"/>
        </w:rPr>
        <w:t>身高体重测试一体机</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bidi="ar"/>
        </w:rPr>
        <w:t>肺活量测试一体机</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bidi="ar"/>
        </w:rPr>
        <w:t>智慧体育教学练测评系统</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bidi="ar"/>
        </w:rPr>
        <w:t>智慧体育校级数据平台</w:t>
      </w:r>
      <w:r>
        <w:rPr>
          <w:rFonts w:hint="eastAsia" w:ascii="仿宋" w:hAnsi="仿宋" w:eastAsia="仿宋" w:cs="仿宋"/>
          <w:color w:val="auto"/>
          <w:sz w:val="24"/>
          <w:szCs w:val="24"/>
          <w:lang w:eastAsia="zh-CN" w:bidi="ar"/>
        </w:rPr>
        <w:t>、</w:t>
      </w:r>
      <w:r>
        <w:rPr>
          <w:rFonts w:hint="eastAsia" w:ascii="仿宋" w:hAnsi="仿宋" w:eastAsia="仿宋" w:cs="仿宋"/>
          <w:color w:val="auto"/>
          <w:sz w:val="24"/>
          <w:szCs w:val="24"/>
          <w:lang w:bidi="ar"/>
        </w:rPr>
        <w:t>智慧体育助手</w:t>
      </w:r>
      <w:r>
        <w:rPr>
          <w:rFonts w:hint="eastAsia" w:ascii="仿宋" w:hAnsi="仿宋" w:eastAsia="仿宋" w:cs="仿宋"/>
          <w:color w:val="auto"/>
          <w:sz w:val="24"/>
          <w:szCs w:val="24"/>
          <w:lang w:val="en-US" w:eastAsia="zh-CN" w:bidi="ar"/>
        </w:rPr>
        <w:t>等。每涵盖1类得1分，最</w:t>
      </w:r>
      <w:r>
        <w:rPr>
          <w:rFonts w:hint="eastAsia" w:ascii="仿宋" w:hAnsi="仿宋" w:eastAsia="仿宋" w:cs="仿宋"/>
          <w:b w:val="0"/>
          <w:bCs w:val="0"/>
          <w:color w:val="auto"/>
          <w:sz w:val="24"/>
          <w:szCs w:val="24"/>
          <w:lang w:val="en-US" w:eastAsia="zh-CN"/>
        </w:rPr>
        <w:t>高得</w:t>
      </w:r>
      <w:r>
        <w:rPr>
          <w:rFonts w:hint="eastAsia" w:ascii="仿宋" w:hAnsi="仿宋" w:eastAsia="仿宋" w:cs="仿宋"/>
          <w:color w:val="auto"/>
          <w:sz w:val="24"/>
          <w:szCs w:val="24"/>
          <w:lang w:val="en-US" w:eastAsia="zh-CN" w:bidi="ar"/>
        </w:rPr>
        <w:t>3分。</w:t>
      </w:r>
    </w:p>
    <w:p w14:paraId="1D297B24">
      <w:pPr>
        <w:spacing w:line="360" w:lineRule="auto"/>
        <w:ind w:firstLine="48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.卫生器材（</w:t>
      </w:r>
      <w:r>
        <w:rPr>
          <w:rFonts w:hint="eastAsia" w:ascii="仿宋" w:hAnsi="仿宋" w:eastAsia="仿宋" w:cs="仿宋"/>
          <w:b w:val="0"/>
          <w:bCs w:val="0"/>
          <w:color w:val="auto"/>
          <w:sz w:val="24"/>
          <w:szCs w:val="24"/>
          <w:lang w:val="en-US" w:eastAsia="zh-CN"/>
        </w:rPr>
        <w:t>3</w:t>
      </w:r>
      <w:r>
        <w:rPr>
          <w:rFonts w:hint="eastAsia" w:ascii="仿宋" w:hAnsi="仿宋" w:eastAsia="仿宋" w:cs="仿宋"/>
          <w:b w:val="0"/>
          <w:bCs w:val="0"/>
          <w:color w:val="auto"/>
          <w:sz w:val="24"/>
          <w:szCs w:val="24"/>
        </w:rPr>
        <w:t>分）</w:t>
      </w:r>
    </w:p>
    <w:p w14:paraId="718D3C3B">
      <w:pPr>
        <w:spacing w:line="360" w:lineRule="auto"/>
        <w:ind w:firstLine="48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投标人或其联合体成员自2023年7月1日至今（以合同签订时间为准）承担过卫生器材、卫生保健室设备或同类医用器具产品供货项目（采购人包括但不限于学校、教育系统单位、医院、乡镇卫生院、疾控机构、企事业单位、社区服务中心等），合同清单涵盖以下品类：诊察类（体重秤/视力表灯箱/体温计等）、存储类（卫生药品收纳/卫生专用器材柜等）、急救类（急救箱/担架等）、器械用品类（外伤处理器械/器械台(车)等）、检查辅助类（听诊器/血压计等）、病房用品类（检查床/隔断等）。</w:t>
      </w:r>
      <w:r>
        <w:rPr>
          <w:rFonts w:hint="eastAsia" w:ascii="仿宋" w:hAnsi="仿宋" w:eastAsia="仿宋" w:cs="仿宋"/>
          <w:color w:val="auto"/>
          <w:sz w:val="24"/>
          <w:szCs w:val="24"/>
          <w:lang w:val="en-US" w:eastAsia="zh-CN" w:bidi="ar"/>
        </w:rPr>
        <w:t>每涵盖1类得0.5分，最</w:t>
      </w:r>
      <w:r>
        <w:rPr>
          <w:rFonts w:hint="eastAsia" w:ascii="仿宋" w:hAnsi="仿宋" w:eastAsia="仿宋" w:cs="仿宋"/>
          <w:b w:val="0"/>
          <w:bCs w:val="0"/>
          <w:color w:val="auto"/>
          <w:sz w:val="24"/>
          <w:szCs w:val="24"/>
          <w:lang w:val="en-US" w:eastAsia="zh-CN"/>
        </w:rPr>
        <w:t>高得</w:t>
      </w:r>
      <w:r>
        <w:rPr>
          <w:rFonts w:hint="eastAsia" w:ascii="仿宋" w:hAnsi="仿宋" w:eastAsia="仿宋" w:cs="仿宋"/>
          <w:color w:val="auto"/>
          <w:sz w:val="24"/>
          <w:szCs w:val="24"/>
          <w:lang w:val="en-US" w:eastAsia="zh-CN" w:bidi="ar"/>
        </w:rPr>
        <w:t>3分。</w:t>
      </w:r>
    </w:p>
    <w:p w14:paraId="120EEA4E">
      <w:pPr>
        <w:spacing w:line="360" w:lineRule="auto"/>
        <w:ind w:firstLine="48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rPr>
        <w:t>注：</w:t>
      </w:r>
      <w:r>
        <w:rPr>
          <w:rFonts w:hint="eastAsia" w:ascii="仿宋" w:hAnsi="仿宋" w:eastAsia="仿宋" w:cs="仿宋"/>
          <w:b w:val="0"/>
          <w:bCs w:val="0"/>
          <w:color w:val="auto"/>
          <w:sz w:val="24"/>
          <w:szCs w:val="24"/>
          <w:lang w:val="en-US" w:eastAsia="zh-CN"/>
        </w:rPr>
        <w:t>（1）</w:t>
      </w:r>
      <w:r>
        <w:rPr>
          <w:rFonts w:hint="eastAsia" w:ascii="仿宋" w:hAnsi="仿宋" w:eastAsia="仿宋" w:cs="仿宋"/>
          <w:b w:val="0"/>
          <w:bCs w:val="0"/>
          <w:color w:val="auto"/>
          <w:sz w:val="24"/>
          <w:szCs w:val="24"/>
        </w:rPr>
        <w:t>以上业绩须同时提供</w:t>
      </w:r>
      <w:r>
        <w:rPr>
          <w:rFonts w:hint="eastAsia" w:ascii="仿宋" w:hAnsi="仿宋" w:eastAsia="仿宋" w:cs="仿宋"/>
          <w:b w:val="0"/>
          <w:bCs w:val="0"/>
          <w:color w:val="auto"/>
          <w:sz w:val="24"/>
          <w:szCs w:val="24"/>
          <w:lang w:eastAsia="zh-CN"/>
        </w:rPr>
        <w:t>①</w:t>
      </w:r>
      <w:r>
        <w:rPr>
          <w:rFonts w:hint="eastAsia" w:ascii="仿宋" w:hAnsi="仿宋" w:eastAsia="仿宋" w:cs="仿宋"/>
          <w:b w:val="0"/>
          <w:bCs w:val="0"/>
          <w:color w:val="auto"/>
          <w:sz w:val="24"/>
          <w:szCs w:val="24"/>
        </w:rPr>
        <w:t>合同复印件、</w:t>
      </w:r>
      <w:r>
        <w:rPr>
          <w:rFonts w:hint="eastAsia" w:ascii="仿宋" w:hAnsi="仿宋" w:eastAsia="仿宋" w:cs="仿宋"/>
          <w:b w:val="0"/>
          <w:bCs w:val="0"/>
          <w:color w:val="auto"/>
          <w:sz w:val="24"/>
          <w:szCs w:val="24"/>
          <w:lang w:eastAsia="zh-CN"/>
        </w:rPr>
        <w:t>②</w:t>
      </w:r>
      <w:r>
        <w:rPr>
          <w:rFonts w:hint="eastAsia" w:ascii="仿宋" w:hAnsi="仿宋" w:eastAsia="仿宋" w:cs="仿宋"/>
          <w:b w:val="0"/>
          <w:bCs w:val="0"/>
          <w:color w:val="auto"/>
          <w:sz w:val="24"/>
          <w:szCs w:val="24"/>
        </w:rPr>
        <w:t>合同清单页（体现品名）、</w:t>
      </w:r>
      <w:r>
        <w:rPr>
          <w:rFonts w:hint="eastAsia" w:ascii="仿宋" w:hAnsi="仿宋" w:eastAsia="仿宋" w:cs="仿宋"/>
          <w:b w:val="0"/>
          <w:bCs w:val="0"/>
          <w:color w:val="auto"/>
          <w:sz w:val="24"/>
          <w:szCs w:val="24"/>
          <w:lang w:eastAsia="zh-CN"/>
        </w:rPr>
        <w:t>③</w:t>
      </w:r>
      <w:r>
        <w:rPr>
          <w:rFonts w:hint="eastAsia" w:ascii="仿宋" w:hAnsi="仿宋" w:eastAsia="仿宋" w:cs="仿宋"/>
          <w:b w:val="0"/>
          <w:bCs w:val="0"/>
          <w:color w:val="auto"/>
          <w:sz w:val="24"/>
          <w:szCs w:val="24"/>
        </w:rPr>
        <w:t>验收报告/中标通知书/增值税发票（三选一，增值税普通发票或专用发票均可），不提供</w:t>
      </w:r>
      <w:r>
        <w:rPr>
          <w:rFonts w:hint="eastAsia" w:ascii="仿宋" w:hAnsi="仿宋" w:eastAsia="仿宋" w:cs="仿宋"/>
          <w:b w:val="0"/>
          <w:bCs w:val="0"/>
          <w:color w:val="auto"/>
          <w:sz w:val="24"/>
          <w:szCs w:val="24"/>
          <w:lang w:val="en-US" w:eastAsia="zh-CN"/>
        </w:rPr>
        <w:t>或证明资料不齐全</w:t>
      </w:r>
      <w:r>
        <w:rPr>
          <w:rFonts w:hint="eastAsia" w:ascii="仿宋" w:hAnsi="仿宋" w:eastAsia="仿宋" w:cs="仿宋"/>
          <w:b w:val="0"/>
          <w:bCs w:val="0"/>
          <w:color w:val="auto"/>
          <w:sz w:val="24"/>
          <w:szCs w:val="24"/>
        </w:rPr>
        <w:t>不得分。业绩合同须为直接面向最终使用单位（终端用户）的货物供货及安装（交付验收）项目合同；制造商与经销商之间的批发、经销、渠道类购销合同不予认定。</w:t>
      </w:r>
    </w:p>
    <w:p w14:paraId="05BDC21F">
      <w:pPr>
        <w:spacing w:line="360" w:lineRule="auto"/>
        <w:ind w:firstLine="480"/>
        <w:rPr>
          <w:rFonts w:hint="eastAsia" w:ascii="仿宋" w:hAnsi="仿宋" w:eastAsia="仿宋" w:cs="仿宋"/>
          <w:b w:val="0"/>
          <w:bCs w:val="0"/>
          <w:color w:val="auto"/>
          <w:sz w:val="24"/>
          <w:szCs w:val="24"/>
        </w:rPr>
      </w:pPr>
      <w:r>
        <w:rPr>
          <w:rFonts w:hint="eastAsia" w:ascii="仿宋" w:hAnsi="仿宋" w:eastAsia="仿宋" w:cs="仿宋"/>
          <w:b w:val="0"/>
          <w:bCs w:val="0"/>
          <w:color w:val="auto"/>
          <w:sz w:val="24"/>
          <w:szCs w:val="24"/>
          <w:lang w:val="en-US" w:eastAsia="zh-CN"/>
        </w:rPr>
        <w:t>（2）同一类别不重复计分；同一合同包含不同类别的，按类别计分。</w:t>
      </w:r>
    </w:p>
    <w:p w14:paraId="166C756E">
      <w:pPr>
        <w:spacing w:line="360" w:lineRule="auto"/>
        <w:ind w:firstLine="480"/>
        <w:rPr>
          <w:rFonts w:ascii="仿宋" w:hAnsi="仿宋" w:eastAsia="仿宋" w:cs="仿宋"/>
          <w:b/>
          <w:bCs/>
          <w:color w:val="auto"/>
          <w:sz w:val="24"/>
          <w:szCs w:val="24"/>
        </w:rPr>
      </w:pPr>
      <w:r>
        <w:rPr>
          <w:rFonts w:hint="eastAsia" w:ascii="仿宋" w:hAnsi="仿宋" w:eastAsia="仿宋" w:cs="仿宋"/>
          <w:b/>
          <w:bCs/>
          <w:color w:val="auto"/>
          <w:sz w:val="24"/>
          <w:szCs w:val="24"/>
        </w:rPr>
        <w:t>注：针对评分标准中评分的每一条，投标人在投标文件中均应提供相关资料并做出相应说明供评标委员会评判，不提供相关资料的视为不具备该项得分的条件。</w:t>
      </w:r>
    </w:p>
    <w:p w14:paraId="41DB66B1">
      <w:pPr>
        <w:pStyle w:val="400"/>
        <w:ind w:firstLine="0"/>
        <w:rPr>
          <w:rFonts w:ascii="仿宋" w:hAnsi="仿宋" w:eastAsia="仿宋" w:cs="仿宋"/>
        </w:rPr>
      </w:pPr>
      <w:r>
        <w:rPr>
          <w:rFonts w:ascii="宋体" w:hAnsi="宋体"/>
          <w:b w:val="0"/>
          <w:sz w:val="24"/>
          <w:szCs w:val="24"/>
        </w:rPr>
        <w:br w:type="page" w:clear="all"/>
      </w:r>
      <w:r>
        <w:rPr>
          <w:rFonts w:hint="eastAsia" w:ascii="仿宋" w:hAnsi="仿宋" w:eastAsia="仿宋" w:cs="仿宋"/>
        </w:rPr>
        <w:t xml:space="preserve">第六部分 </w:t>
      </w:r>
      <w:r>
        <w:rPr>
          <w:rFonts w:hint="eastAsia" w:ascii="仿宋" w:hAnsi="仿宋" w:eastAsia="仿宋" w:cs="仿宋"/>
          <w:bCs/>
        </w:rPr>
        <w:t>合同主要条款</w:t>
      </w:r>
      <w:bookmarkEnd w:id="15"/>
      <w:bookmarkEnd w:id="16"/>
      <w:bookmarkEnd w:id="17"/>
      <w:bookmarkEnd w:id="18"/>
    </w:p>
    <w:p w14:paraId="4B46B36D">
      <w:pPr>
        <w:pStyle w:val="24"/>
        <w:jc w:val="center"/>
        <w:rPr>
          <w:rFonts w:ascii="宋体" w:hAnsi="宋体" w:cs="宋体"/>
          <w:b/>
          <w:bCs/>
          <w:spacing w:val="-20"/>
          <w:sz w:val="48"/>
          <w:szCs w:val="48"/>
        </w:rPr>
      </w:pPr>
      <w:r>
        <w:rPr>
          <w:rFonts w:ascii="Times New Roman" w:hAnsi="Times New Roman" w:eastAsia="Times New Roman"/>
          <w:sz w:val="24"/>
        </w:rPr>
        <w:t> </w:t>
      </w:r>
      <w:bookmarkStart w:id="21" w:name="_Toc3995"/>
      <w:bookmarkEnd w:id="21"/>
    </w:p>
    <w:p w14:paraId="05CBB473">
      <w:pPr>
        <w:pStyle w:val="847"/>
        <w:jc w:val="center"/>
        <w:rPr>
          <w:rFonts w:ascii="宋体"/>
          <w:b/>
          <w:bCs/>
          <w:spacing w:val="-20"/>
          <w:sz w:val="48"/>
          <w:szCs w:val="48"/>
        </w:rPr>
      </w:pPr>
      <w:bookmarkStart w:id="22" w:name="OLE_LINK15"/>
      <w:bookmarkStart w:id="23" w:name="_Hlk493077268"/>
    </w:p>
    <w:p w14:paraId="39664A3C">
      <w:pPr>
        <w:pStyle w:val="847"/>
        <w:jc w:val="center"/>
        <w:rPr>
          <w:rFonts w:ascii="宋体"/>
          <w:b/>
          <w:bCs/>
          <w:spacing w:val="-20"/>
          <w:sz w:val="48"/>
          <w:szCs w:val="48"/>
        </w:rPr>
      </w:pPr>
    </w:p>
    <w:p w14:paraId="2032FC56">
      <w:pPr>
        <w:pStyle w:val="847"/>
        <w:jc w:val="center"/>
        <w:rPr>
          <w:rFonts w:ascii="宋体"/>
          <w:b/>
          <w:bCs/>
          <w:spacing w:val="-20"/>
          <w:sz w:val="48"/>
          <w:szCs w:val="48"/>
        </w:rPr>
      </w:pPr>
    </w:p>
    <w:p w14:paraId="1AFE235E">
      <w:pPr>
        <w:pStyle w:val="847"/>
        <w:jc w:val="center"/>
        <w:rPr>
          <w:rFonts w:ascii="宋体"/>
          <w:b/>
          <w:bCs/>
          <w:spacing w:val="-20"/>
          <w:sz w:val="48"/>
          <w:szCs w:val="48"/>
        </w:rPr>
      </w:pPr>
      <w:r>
        <w:rPr>
          <w:rFonts w:hint="eastAsia" w:ascii="宋体"/>
          <w:b/>
          <w:bCs/>
          <w:spacing w:val="-20"/>
          <w:sz w:val="48"/>
          <w:szCs w:val="48"/>
        </w:rPr>
        <w:t>政府采购货物买卖合同</w:t>
      </w:r>
    </w:p>
    <w:p w14:paraId="44F8D9A0">
      <w:pPr>
        <w:pStyle w:val="847"/>
        <w:jc w:val="center"/>
        <w:rPr>
          <w:rFonts w:ascii="宋体" w:eastAsia="宋体"/>
          <w:b/>
          <w:bCs/>
          <w:spacing w:val="-20"/>
          <w:sz w:val="48"/>
          <w:szCs w:val="48"/>
        </w:rPr>
      </w:pPr>
      <w:r>
        <w:rPr>
          <w:rFonts w:hint="eastAsia" w:ascii="宋体"/>
          <w:b/>
          <w:bCs/>
          <w:spacing w:val="-20"/>
          <w:sz w:val="48"/>
          <w:szCs w:val="48"/>
        </w:rPr>
        <w:t>（试行）</w:t>
      </w:r>
    </w:p>
    <w:p w14:paraId="2668D338">
      <w:pPr>
        <w:rPr>
          <w:rFonts w:ascii="宋体" w:hAnsi="宋体" w:cs="宋体"/>
          <w:b/>
          <w:bCs/>
          <w:spacing w:val="-20"/>
          <w:sz w:val="40"/>
          <w:szCs w:val="40"/>
        </w:rPr>
      </w:pPr>
    </w:p>
    <w:p w14:paraId="0B1B873A">
      <w:pPr>
        <w:rPr>
          <w:rFonts w:ascii="宋体" w:hAnsi="宋体" w:cs="宋体"/>
          <w:b/>
          <w:bCs/>
          <w:spacing w:val="-20"/>
          <w:sz w:val="40"/>
          <w:szCs w:val="40"/>
        </w:rPr>
      </w:pPr>
    </w:p>
    <w:p w14:paraId="5E6C3253">
      <w:pPr>
        <w:rPr>
          <w:rFonts w:ascii="宋体" w:hAnsi="宋体" w:cs="宋体"/>
          <w:b/>
          <w:bCs/>
          <w:spacing w:val="-20"/>
          <w:sz w:val="40"/>
          <w:szCs w:val="40"/>
        </w:rPr>
      </w:pPr>
    </w:p>
    <w:p w14:paraId="7C12F42F">
      <w:pPr>
        <w:spacing w:line="360" w:lineRule="auto"/>
        <w:ind w:left="420"/>
        <w:rPr>
          <w:sz w:val="32"/>
          <w:szCs w:val="32"/>
        </w:rPr>
      </w:pPr>
      <w:r>
        <w:rPr>
          <w:rFonts w:hint="eastAsia" w:ascii="宋体" w:hAnsi="宋体" w:cs="宋体"/>
          <w:sz w:val="32"/>
          <w:szCs w:val="32"/>
        </w:rPr>
        <w:t>项目名称：</w:t>
      </w:r>
      <w:r>
        <w:rPr>
          <w:rFonts w:hint="eastAsia"/>
          <w:sz w:val="32"/>
          <w:szCs w:val="32"/>
          <w:u w:val="single"/>
        </w:rPr>
        <w:t xml:space="preserve">                             </w:t>
      </w:r>
    </w:p>
    <w:p w14:paraId="0214AC17">
      <w:pPr>
        <w:spacing w:line="360" w:lineRule="auto"/>
        <w:ind w:left="420"/>
        <w:rPr>
          <w:sz w:val="32"/>
          <w:szCs w:val="32"/>
          <w:u w:val="single"/>
        </w:rPr>
      </w:pPr>
      <w:r>
        <w:rPr>
          <w:rFonts w:hint="eastAsia"/>
          <w:sz w:val="32"/>
          <w:szCs w:val="32"/>
        </w:rPr>
        <w:t>合同编号：</w:t>
      </w:r>
      <w:r>
        <w:rPr>
          <w:rFonts w:hint="eastAsia"/>
          <w:sz w:val="32"/>
          <w:szCs w:val="32"/>
          <w:u w:val="single"/>
        </w:rPr>
        <w:t xml:space="preserve">                             </w:t>
      </w:r>
    </w:p>
    <w:p w14:paraId="3E830FB8">
      <w:pPr>
        <w:spacing w:line="360" w:lineRule="auto"/>
        <w:ind w:left="420"/>
        <w:rPr>
          <w:sz w:val="32"/>
          <w:szCs w:val="32"/>
        </w:rPr>
      </w:pPr>
      <w:r>
        <w:rPr>
          <w:rFonts w:hint="eastAsia"/>
          <w:sz w:val="32"/>
          <w:szCs w:val="32"/>
        </w:rPr>
        <w:t>甲    方：</w:t>
      </w:r>
      <w:r>
        <w:rPr>
          <w:rFonts w:hint="eastAsia"/>
          <w:sz w:val="32"/>
          <w:szCs w:val="32"/>
          <w:u w:val="single"/>
        </w:rPr>
        <w:t xml:space="preserve">                             </w:t>
      </w:r>
    </w:p>
    <w:p w14:paraId="48D0546F">
      <w:pPr>
        <w:spacing w:line="360" w:lineRule="auto"/>
        <w:ind w:left="420"/>
        <w:rPr>
          <w:sz w:val="32"/>
          <w:szCs w:val="32"/>
          <w:u w:val="single"/>
        </w:rPr>
      </w:pPr>
      <w:r>
        <w:rPr>
          <w:rFonts w:hint="eastAsia"/>
          <w:sz w:val="32"/>
          <w:szCs w:val="32"/>
        </w:rPr>
        <w:t>乙    方：</w:t>
      </w:r>
      <w:r>
        <w:rPr>
          <w:rFonts w:hint="eastAsia"/>
          <w:sz w:val="32"/>
          <w:szCs w:val="32"/>
          <w:u w:val="single"/>
        </w:rPr>
        <w:t xml:space="preserve">                             </w:t>
      </w:r>
    </w:p>
    <w:p w14:paraId="18983ADD">
      <w:pPr>
        <w:spacing w:line="360" w:lineRule="auto"/>
        <w:ind w:left="42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4882750D">
      <w:pPr>
        <w:rPr>
          <w:szCs w:val="24"/>
        </w:rPr>
      </w:pPr>
    </w:p>
    <w:p w14:paraId="01B6ECD9">
      <w:pPr>
        <w:rPr>
          <w:rFonts w:eastAsia="黑体"/>
          <w:sz w:val="44"/>
          <w:szCs w:val="44"/>
        </w:rPr>
      </w:pPr>
      <w:r>
        <w:rPr>
          <w:rFonts w:eastAsia="黑体"/>
          <w:sz w:val="44"/>
          <w:szCs w:val="44"/>
        </w:rPr>
        <w:br w:type="page" w:clear="all"/>
      </w:r>
    </w:p>
    <w:p w14:paraId="232476B5">
      <w:pPr>
        <w:jc w:val="center"/>
        <w:rPr>
          <w:rFonts w:eastAsia="黑体"/>
          <w:sz w:val="44"/>
          <w:szCs w:val="44"/>
        </w:rPr>
      </w:pPr>
      <w:r>
        <w:rPr>
          <w:rFonts w:hint="eastAsia" w:eastAsia="黑体"/>
          <w:sz w:val="44"/>
          <w:szCs w:val="44"/>
        </w:rPr>
        <w:t>使 用 说 明</w:t>
      </w:r>
    </w:p>
    <w:p w14:paraId="464EC4E8">
      <w:pPr>
        <w:ind w:firstLine="640"/>
        <w:rPr>
          <w:rFonts w:ascii="仿宋_GB2312" w:hAnsi="仿宋_GB2312" w:eastAsia="仿宋_GB2312" w:cs="仿宋_GB2312"/>
          <w:sz w:val="32"/>
          <w:szCs w:val="32"/>
        </w:rPr>
      </w:pPr>
    </w:p>
    <w:p w14:paraId="214C6E94">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1.本合同标准文本适用于购买现成货物的采购项目，不包括需要供应商定制开发、创新研发的货物采购项目。</w:t>
      </w:r>
    </w:p>
    <w:p w14:paraId="32330A47">
      <w:pPr>
        <w:rPr>
          <w:rFonts w:eastAsia="黑体"/>
          <w:sz w:val="44"/>
          <w:szCs w:val="44"/>
        </w:rPr>
      </w:pPr>
      <w:r>
        <w:rPr>
          <w:rFonts w:hint="eastAsia" w:eastAsia="黑体"/>
          <w:sz w:val="44"/>
          <w:szCs w:val="44"/>
        </w:rPr>
        <w:t xml:space="preserve">   </w:t>
      </w:r>
      <w:r>
        <w:rPr>
          <w:rFonts w:hint="eastAsia" w:ascii="仿宋_GB2312" w:hAnsi="仿宋_GB2312" w:eastAsia="仿宋_GB2312" w:cs="仿宋_GB2312"/>
          <w:sz w:val="32"/>
          <w:szCs w:val="32"/>
        </w:rPr>
        <w:t>2.本合同标准文本为政府采购货物买卖合同编制提供参考，可以结合采购项目具体情况，对文本作必要的调整修订后使用。</w:t>
      </w:r>
    </w:p>
    <w:p w14:paraId="794104B5">
      <w:pPr>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3.本合同标准文本各条款中，如涉及填写多家供应商、制造商，多种采购标的、分包主要内容等信息的，可根据采购项目具体情况添加信息项。</w:t>
      </w:r>
    </w:p>
    <w:p w14:paraId="4CF1BED4">
      <w:pPr>
        <w:ind w:firstLine="880"/>
        <w:rPr>
          <w:rFonts w:eastAsia="黑体"/>
          <w:sz w:val="44"/>
          <w:szCs w:val="44"/>
        </w:rPr>
        <w:sectPr>
          <w:headerReference r:id="rId6" w:type="default"/>
          <w:footerReference r:id="rId7" w:type="default"/>
          <w:pgSz w:w="11906" w:h="16838"/>
          <w:pgMar w:top="1440" w:right="1080" w:bottom="1440" w:left="1080" w:header="851" w:footer="992" w:gutter="0"/>
          <w:cols w:space="720" w:num="1"/>
          <w:docGrid w:linePitch="360" w:charSpace="0"/>
        </w:sectPr>
      </w:pPr>
    </w:p>
    <w:p w14:paraId="7CE3BF40">
      <w:pPr>
        <w:pStyle w:val="848"/>
        <w:keepNext w:val="0"/>
        <w:keepLines w:val="0"/>
        <w:spacing w:line="400" w:lineRule="exact"/>
        <w:rPr>
          <w:rFonts w:ascii="黑体" w:hAnsi="华文中宋" w:eastAsia="黑体"/>
          <w:b w:val="0"/>
          <w:bCs w:val="0"/>
          <w:sz w:val="28"/>
          <w:szCs w:val="28"/>
        </w:rPr>
      </w:pPr>
      <w:bookmarkStart w:id="24" w:name="_Toc2220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24"/>
    </w:p>
    <w:p w14:paraId="5A4ECB25">
      <w:pPr>
        <w:pStyle w:val="848"/>
        <w:keepNext w:val="0"/>
        <w:keepLines w:val="0"/>
        <w:spacing w:line="400" w:lineRule="exact"/>
        <w:rPr>
          <w:rFonts w:ascii="黑体" w:hAnsi="华文中宋" w:eastAsia="黑体"/>
          <w:b w:val="0"/>
          <w:bCs w:val="0"/>
          <w:sz w:val="28"/>
          <w:szCs w:val="28"/>
        </w:rPr>
      </w:pPr>
    </w:p>
    <w:p w14:paraId="7BE56F69">
      <w:pPr>
        <w:spacing w:line="400" w:lineRule="exact"/>
        <w:rPr>
          <w:rFonts w:ascii="宋体" w:hAnsi="宋体" w:cs="宋体"/>
          <w:szCs w:val="21"/>
        </w:rPr>
      </w:pPr>
      <w:r>
        <w:rPr>
          <w:rFonts w:hint="eastAsia" w:ascii="宋体" w:hAnsi="宋体" w:cs="宋体"/>
          <w:szCs w:val="21"/>
        </w:rPr>
        <w:t>甲方（全称）：</w:t>
      </w:r>
      <w:r>
        <w:rPr>
          <w:rFonts w:hint="eastAsia" w:ascii="宋体" w:hAnsi="宋体" w:cs="宋体"/>
          <w:szCs w:val="21"/>
          <w:u w:val="single"/>
        </w:rPr>
        <w:t xml:space="preserve">                        </w:t>
      </w:r>
      <w:r>
        <w:rPr>
          <w:rFonts w:hint="eastAsia" w:ascii="宋体" w:hAnsi="宋体" w:cs="宋体"/>
          <w:szCs w:val="21"/>
        </w:rPr>
        <w:t>（采购人、受采购人委托签订合同的单位或采购</w:t>
      </w:r>
      <w:r>
        <w:rPr>
          <w:rFonts w:hint="eastAsia" w:ascii="宋体" w:hAnsi="宋体" w:cs="宋体"/>
          <w:szCs w:val="21"/>
        </w:rPr>
        <w:tab/>
      </w:r>
      <w:r>
        <w:rPr>
          <w:rFonts w:hint="eastAsia" w:ascii="宋体" w:hAnsi="宋体" w:cs="宋体"/>
          <w:szCs w:val="21"/>
        </w:rPr>
        <w:t xml:space="preserve">                                   文件约定的合同甲方）</w:t>
      </w:r>
    </w:p>
    <w:p w14:paraId="07CB7FF2">
      <w:pPr>
        <w:spacing w:line="400" w:lineRule="exact"/>
        <w:rPr>
          <w:rFonts w:ascii="宋体" w:hAnsi="宋体" w:cs="宋体"/>
          <w:szCs w:val="21"/>
        </w:rPr>
      </w:pPr>
      <w:r>
        <w:rPr>
          <w:rFonts w:hint="eastAsia" w:ascii="宋体" w:hAnsi="宋体" w:cs="宋体"/>
          <w:szCs w:val="21"/>
        </w:rPr>
        <w:t>乙方1（全称）：</w:t>
      </w:r>
      <w:r>
        <w:rPr>
          <w:rFonts w:hint="eastAsia" w:ascii="宋体" w:hAnsi="宋体" w:cs="宋体"/>
          <w:szCs w:val="21"/>
          <w:u w:val="single"/>
        </w:rPr>
        <w:t xml:space="preserve">                       </w:t>
      </w:r>
      <w:r>
        <w:rPr>
          <w:rFonts w:hint="eastAsia" w:ascii="宋体" w:hAnsi="宋体" w:cs="宋体"/>
          <w:szCs w:val="21"/>
        </w:rPr>
        <w:t>（供应商）</w:t>
      </w:r>
    </w:p>
    <w:p w14:paraId="3B90F1EA">
      <w:pPr>
        <w:spacing w:line="400" w:lineRule="exact"/>
        <w:rPr>
          <w:rFonts w:ascii="宋体" w:hAnsi="宋体" w:cs="宋体"/>
          <w:szCs w:val="21"/>
        </w:rPr>
      </w:pPr>
      <w:r>
        <w:rPr>
          <w:rFonts w:hint="eastAsia" w:ascii="宋体" w:hAnsi="宋体" w:cs="宋体"/>
          <w:szCs w:val="21"/>
        </w:rPr>
        <w:t>乙方2（全称）：</w:t>
      </w:r>
      <w:r>
        <w:rPr>
          <w:rFonts w:hint="eastAsia" w:ascii="宋体" w:hAnsi="宋体" w:cs="宋体"/>
          <w:szCs w:val="21"/>
          <w:u w:val="single"/>
        </w:rPr>
        <w:t xml:space="preserve">                        </w:t>
      </w:r>
      <w:r>
        <w:rPr>
          <w:rFonts w:hint="eastAsia" w:ascii="宋体" w:hAnsi="宋体" w:cs="宋体"/>
          <w:szCs w:val="21"/>
        </w:rPr>
        <w:t>（联合体成员供应商或其他合同主体）（如有）</w:t>
      </w:r>
    </w:p>
    <w:p w14:paraId="0FE2C1F9">
      <w:pPr>
        <w:spacing w:line="400" w:lineRule="exact"/>
        <w:rPr>
          <w:rFonts w:ascii="宋体" w:hAnsi="宋体" w:cs="宋体"/>
          <w:szCs w:val="21"/>
        </w:rPr>
      </w:pPr>
      <w:r>
        <w:rPr>
          <w:rFonts w:hint="eastAsia" w:ascii="宋体" w:hAnsi="宋体" w:cs="宋体"/>
          <w:szCs w:val="21"/>
        </w:rPr>
        <w:t>乙方3（全称）</w:t>
      </w:r>
      <w:r>
        <w:rPr>
          <w:rFonts w:hint="eastAsia" w:ascii="宋体" w:hAnsi="宋体" w:cs="宋体"/>
          <w:szCs w:val="21"/>
          <w:u w:val="single"/>
        </w:rPr>
        <w:t xml:space="preserve">                          </w:t>
      </w:r>
      <w:r>
        <w:rPr>
          <w:rFonts w:hint="eastAsia" w:ascii="宋体" w:hAnsi="宋体" w:cs="宋体"/>
          <w:szCs w:val="21"/>
        </w:rPr>
        <w:t>（联合体成员供应商或其他合同主体）（如有）</w:t>
      </w:r>
    </w:p>
    <w:p w14:paraId="76394C17">
      <w:pPr>
        <w:spacing w:line="400" w:lineRule="exact"/>
        <w:rPr>
          <w:rFonts w:ascii="宋体" w:hAnsi="宋体" w:cs="宋体"/>
          <w:szCs w:val="21"/>
        </w:rPr>
      </w:pPr>
    </w:p>
    <w:p w14:paraId="591C3040">
      <w:pPr>
        <w:spacing w:line="400" w:lineRule="exact"/>
        <w:ind w:firstLine="420"/>
        <w:rPr>
          <w:rFonts w:ascii="宋体" w:hAnsi="宋体" w:cs="宋体"/>
          <w:szCs w:val="21"/>
        </w:rPr>
      </w:pPr>
      <w:r>
        <w:rPr>
          <w:rFonts w:hint="eastAsia" w:ascii="宋体" w:hAnsi="宋体" w:cs="宋体"/>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F36756C">
      <w:pPr>
        <w:numPr>
          <w:ilvl w:val="0"/>
          <w:numId w:val="2"/>
        </w:numPr>
        <w:spacing w:line="400" w:lineRule="exact"/>
        <w:ind w:firstLine="422"/>
        <w:rPr>
          <w:rFonts w:ascii="宋体" w:hAnsi="宋体" w:cs="宋体"/>
          <w:b/>
          <w:szCs w:val="21"/>
        </w:rPr>
      </w:pPr>
      <w:r>
        <w:rPr>
          <w:rFonts w:hint="eastAsia" w:ascii="宋体" w:hAnsi="宋体" w:cs="宋体"/>
          <w:b/>
          <w:szCs w:val="21"/>
        </w:rPr>
        <w:t>项目信息</w:t>
      </w:r>
    </w:p>
    <w:p w14:paraId="6D7A959A">
      <w:pPr>
        <w:numPr>
          <w:ilvl w:val="0"/>
          <w:numId w:val="3"/>
        </w:numPr>
        <w:spacing w:line="400" w:lineRule="exact"/>
        <w:ind w:firstLine="420"/>
        <w:rPr>
          <w:rFonts w:ascii="宋体" w:hAnsi="宋体" w:cs="宋体"/>
          <w:szCs w:val="21"/>
          <w:u w:val="single"/>
        </w:rPr>
      </w:pPr>
      <w:r>
        <w:rPr>
          <w:rFonts w:hint="eastAsia" w:ascii="宋体" w:hAnsi="宋体" w:cs="宋体"/>
          <w:szCs w:val="21"/>
        </w:rPr>
        <w:t>采购项目名称：</w:t>
      </w:r>
      <w:r>
        <w:rPr>
          <w:rFonts w:hint="eastAsia" w:ascii="宋体" w:hAnsi="宋体" w:cs="宋体"/>
          <w:szCs w:val="21"/>
          <w:u w:val="single"/>
        </w:rPr>
        <w:t xml:space="preserve">                                          </w:t>
      </w:r>
    </w:p>
    <w:p w14:paraId="37F23B2D">
      <w:pPr>
        <w:tabs>
          <w:tab w:val="left" w:pos="999"/>
        </w:tabs>
        <w:spacing w:line="400" w:lineRule="exact"/>
        <w:rPr>
          <w:rFonts w:ascii="宋体" w:hAnsi="宋体" w:cs="宋体"/>
          <w:szCs w:val="21"/>
        </w:rPr>
      </w:pPr>
      <w:r>
        <w:rPr>
          <w:rFonts w:hint="eastAsia" w:ascii="宋体" w:hAnsi="宋体" w:cs="宋体"/>
          <w:szCs w:val="21"/>
        </w:rPr>
        <w:t xml:space="preserve">         采购项目编号：</w:t>
      </w:r>
      <w:r>
        <w:rPr>
          <w:rFonts w:hint="eastAsia" w:ascii="宋体" w:hAnsi="宋体" w:cs="宋体"/>
          <w:szCs w:val="21"/>
          <w:u w:val="single"/>
        </w:rPr>
        <w:t xml:space="preserve">                                          </w:t>
      </w:r>
    </w:p>
    <w:p w14:paraId="1781FEDB">
      <w:pPr>
        <w:spacing w:line="400" w:lineRule="exact"/>
        <w:ind w:firstLine="420"/>
        <w:rPr>
          <w:rFonts w:ascii="宋体" w:hAnsi="宋体" w:cs="宋体"/>
          <w:szCs w:val="21"/>
        </w:rPr>
      </w:pPr>
      <w:r>
        <w:rPr>
          <w:rFonts w:hint="eastAsia" w:ascii="宋体" w:hAnsi="宋体" w:cs="宋体"/>
          <w:szCs w:val="21"/>
        </w:rPr>
        <w:t>（2）采购计划编号：</w:t>
      </w:r>
      <w:r>
        <w:rPr>
          <w:rFonts w:hint="eastAsia" w:ascii="宋体" w:hAnsi="宋体" w:cs="宋体"/>
          <w:szCs w:val="21"/>
          <w:u w:val="single"/>
        </w:rPr>
        <w:t xml:space="preserve">                                          </w:t>
      </w:r>
      <w:r>
        <w:rPr>
          <w:rFonts w:hint="eastAsia" w:ascii="宋体" w:hAnsi="宋体" w:cs="宋体"/>
          <w:szCs w:val="21"/>
        </w:rPr>
        <w:t xml:space="preserve"> </w:t>
      </w:r>
    </w:p>
    <w:p w14:paraId="53B3303D">
      <w:pPr>
        <w:spacing w:line="400" w:lineRule="exact"/>
        <w:ind w:firstLine="420"/>
        <w:rPr>
          <w:rFonts w:ascii="宋体" w:hAnsi="宋体" w:cs="宋体"/>
          <w:szCs w:val="21"/>
        </w:rPr>
      </w:pPr>
      <w:r>
        <w:rPr>
          <w:rFonts w:hint="eastAsia" w:ascii="宋体" w:hAnsi="宋体" w:cs="宋体"/>
          <w:szCs w:val="21"/>
        </w:rPr>
        <w:t>（3）项目内容：</w:t>
      </w:r>
    </w:p>
    <w:p w14:paraId="6B0E16AC">
      <w:pPr>
        <w:spacing w:line="400" w:lineRule="exact"/>
        <w:ind w:firstLine="420"/>
        <w:rPr>
          <w:rFonts w:ascii="宋体" w:hAnsi="宋体" w:cs="宋体"/>
          <w:szCs w:val="21"/>
        </w:rPr>
      </w:pPr>
      <w:r>
        <w:rPr>
          <w:rFonts w:hint="eastAsia" w:ascii="宋体" w:hAnsi="宋体" w:cs="宋体"/>
          <w:szCs w:val="21"/>
        </w:rPr>
        <w:t xml:space="preserve">     采购标的及数量（台/套</w:t>
      </w:r>
      <w:r>
        <w:rPr>
          <w:rFonts w:hint="eastAsia" w:ascii="宋体" w:hAnsi="宋体" w:cs="宋体"/>
          <w:szCs w:val="21"/>
          <w:lang w:val="en"/>
        </w:rPr>
        <w:t>/个/架/组等</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 xml:space="preserve"> </w:t>
      </w:r>
    </w:p>
    <w:p w14:paraId="6E360407">
      <w:pPr>
        <w:spacing w:line="400" w:lineRule="exact"/>
        <w:ind w:firstLine="420"/>
        <w:rPr>
          <w:rFonts w:ascii="宋体" w:hAnsi="宋体" w:cs="宋体"/>
          <w:szCs w:val="21"/>
          <w:lang w:val="en"/>
        </w:rPr>
      </w:pP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u w:val="single"/>
          <w:lang w:val="en"/>
        </w:rPr>
        <w:t xml:space="preserve">   </w:t>
      </w:r>
      <w:r>
        <w:rPr>
          <w:rFonts w:hint="eastAsia" w:ascii="宋体" w:hAnsi="宋体" w:cs="宋体"/>
          <w:szCs w:val="21"/>
          <w:u w:val="single"/>
        </w:rPr>
        <w:t xml:space="preserve">    </w:t>
      </w:r>
      <w:r>
        <w:rPr>
          <w:rFonts w:hint="eastAsia" w:ascii="宋体" w:hAnsi="宋体" w:cs="宋体"/>
          <w:szCs w:val="21"/>
          <w:u w:val="single"/>
          <w:lang w:val="en"/>
        </w:rPr>
        <w:t xml:space="preserve"> </w:t>
      </w:r>
      <w:r>
        <w:rPr>
          <w:rFonts w:hint="eastAsia" w:ascii="宋体" w:hAnsi="宋体" w:cs="宋体"/>
          <w:szCs w:val="21"/>
          <w:u w:val="single"/>
        </w:rPr>
        <w:t xml:space="preserve"> </w:t>
      </w:r>
      <w:r>
        <w:rPr>
          <w:rFonts w:hint="eastAsia" w:ascii="宋体" w:hAnsi="宋体" w:cs="宋体"/>
          <w:szCs w:val="21"/>
          <w:lang w:val="en"/>
        </w:rPr>
        <w:t xml:space="preserve">     </w:t>
      </w:r>
      <w:r>
        <w:rPr>
          <w:rFonts w:hint="eastAsia" w:ascii="宋体" w:hAnsi="宋体" w:cs="宋体"/>
          <w:szCs w:val="21"/>
        </w:rPr>
        <w:t>规格型号：</w:t>
      </w:r>
      <w:r>
        <w:rPr>
          <w:rFonts w:hint="eastAsia" w:ascii="宋体" w:hAnsi="宋体" w:cs="宋体"/>
          <w:szCs w:val="21"/>
          <w:u w:val="single"/>
        </w:rPr>
        <w:t xml:space="preserve">   </w:t>
      </w:r>
      <w:r>
        <w:rPr>
          <w:rFonts w:hint="eastAsia" w:ascii="宋体" w:hAnsi="宋体" w:cs="宋体"/>
          <w:szCs w:val="21"/>
          <w:u w:val="single"/>
          <w:lang w:val="en"/>
        </w:rPr>
        <w:t xml:space="preserve">  </w:t>
      </w:r>
      <w:r>
        <w:rPr>
          <w:rFonts w:hint="eastAsia" w:ascii="宋体" w:hAnsi="宋体" w:cs="宋体"/>
          <w:szCs w:val="21"/>
          <w:u w:val="single"/>
        </w:rPr>
        <w:t xml:space="preserve">       </w:t>
      </w:r>
      <w:r>
        <w:rPr>
          <w:rFonts w:hint="eastAsia" w:ascii="宋体" w:hAnsi="宋体" w:cs="宋体"/>
          <w:szCs w:val="21"/>
          <w:u w:val="single"/>
          <w:lang w:val="en"/>
        </w:rPr>
        <w:t xml:space="preserve">   </w:t>
      </w:r>
    </w:p>
    <w:p w14:paraId="317FB4CF">
      <w:pPr>
        <w:spacing w:line="400" w:lineRule="exact"/>
        <w:ind w:firstLine="945"/>
        <w:rPr>
          <w:rFonts w:ascii="宋体" w:hAnsi="宋体" w:cs="宋体"/>
          <w:szCs w:val="21"/>
          <w:u w:val="single"/>
        </w:rPr>
      </w:pPr>
      <w:r>
        <w:rPr>
          <w:rFonts w:hint="eastAsia" w:ascii="宋体" w:hAnsi="宋体" w:cs="宋体"/>
          <w:szCs w:val="21"/>
        </w:rPr>
        <w:t>采购标的的技术要求、商务要求具体见附件。</w:t>
      </w:r>
    </w:p>
    <w:p w14:paraId="677A5DFC">
      <w:pPr>
        <w:spacing w:line="400" w:lineRule="exact"/>
        <w:ind w:firstLine="945"/>
        <w:rPr>
          <w:rFonts w:ascii="宋体" w:hAnsi="宋体" w:cs="宋体"/>
          <w:szCs w:val="21"/>
        </w:rPr>
      </w:pPr>
      <w:r>
        <w:rPr>
          <w:rFonts w:hint="eastAsia" w:ascii="宋体" w:hAnsi="宋体" w:cs="宋体"/>
          <w:szCs w:val="21"/>
        </w:rPr>
        <w:t>①涉及信息类产品，请填写该产品关键部件的品牌、型号：</w:t>
      </w:r>
    </w:p>
    <w:p w14:paraId="6B4D2DBA">
      <w:pPr>
        <w:spacing w:line="400" w:lineRule="exact"/>
        <w:ind w:firstLine="420"/>
        <w:rPr>
          <w:rFonts w:ascii="宋体" w:hAnsi="宋体" w:cs="宋体"/>
          <w:szCs w:val="21"/>
          <w:u w:val="single"/>
        </w:rPr>
      </w:pPr>
      <w:r>
        <w:rPr>
          <w:rFonts w:hint="eastAsia" w:ascii="宋体" w:hAnsi="宋体" w:cs="宋体"/>
          <w:szCs w:val="21"/>
        </w:rPr>
        <w:t xml:space="preserve">     标的名称：</w:t>
      </w:r>
      <w:r>
        <w:rPr>
          <w:rFonts w:hint="eastAsia" w:ascii="宋体" w:hAnsi="宋体" w:cs="宋体"/>
          <w:szCs w:val="21"/>
          <w:u w:val="single"/>
        </w:rPr>
        <w:t xml:space="preserve">      </w:t>
      </w:r>
      <w:r>
        <w:rPr>
          <w:rFonts w:hint="eastAsia" w:ascii="宋体" w:hAnsi="宋体" w:cs="宋体"/>
          <w:szCs w:val="21"/>
          <w:u w:val="single"/>
          <w:lang w:val="en"/>
        </w:rPr>
        <w:t xml:space="preserve">               </w:t>
      </w:r>
      <w:r>
        <w:rPr>
          <w:rFonts w:hint="eastAsia" w:ascii="宋体" w:hAnsi="宋体" w:cs="宋体"/>
          <w:szCs w:val="21"/>
          <w:u w:val="single"/>
        </w:rPr>
        <w:t xml:space="preserve">    </w:t>
      </w:r>
    </w:p>
    <w:p w14:paraId="210A7AE1">
      <w:pPr>
        <w:spacing w:line="400" w:lineRule="exact"/>
        <w:ind w:firstLine="420"/>
        <w:rPr>
          <w:rFonts w:ascii="宋体" w:hAnsi="宋体" w:cs="宋体"/>
          <w:szCs w:val="21"/>
        </w:rPr>
      </w:pPr>
      <w:r>
        <w:rPr>
          <w:rFonts w:hint="eastAsia" w:ascii="宋体" w:hAnsi="宋体" w:cs="宋体"/>
          <w:szCs w:val="21"/>
        </w:rPr>
        <w:t xml:space="preserve">     关键部件：</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w:t>
      </w:r>
      <w:r>
        <w:rPr>
          <w:rFonts w:hint="eastAsia" w:ascii="宋体" w:hAnsi="宋体" w:cs="宋体"/>
          <w:szCs w:val="21"/>
        </w:rPr>
        <w:t xml:space="preserve"> </w:t>
      </w:r>
    </w:p>
    <w:p w14:paraId="1744B155">
      <w:pPr>
        <w:spacing w:line="400" w:lineRule="exact"/>
        <w:ind w:firstLine="420"/>
        <w:rPr>
          <w:rFonts w:ascii="宋体" w:hAnsi="宋体" w:cs="宋体"/>
          <w:szCs w:val="21"/>
        </w:rPr>
      </w:pPr>
      <w:r>
        <w:rPr>
          <w:rFonts w:hint="eastAsia" w:ascii="宋体" w:hAnsi="宋体" w:cs="宋体"/>
          <w:szCs w:val="21"/>
        </w:rPr>
        <w:t xml:space="preserve">     关键部件：</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w:t>
      </w:r>
      <w:r>
        <w:rPr>
          <w:rFonts w:hint="eastAsia" w:ascii="宋体" w:hAnsi="宋体" w:cs="宋体"/>
          <w:szCs w:val="21"/>
        </w:rPr>
        <w:t xml:space="preserve"> </w:t>
      </w:r>
    </w:p>
    <w:p w14:paraId="116926D9">
      <w:pPr>
        <w:spacing w:line="400" w:lineRule="exact"/>
        <w:ind w:firstLine="420"/>
        <w:rPr>
          <w:rFonts w:ascii="宋体" w:hAnsi="宋体" w:cs="宋体"/>
          <w:szCs w:val="21"/>
        </w:rPr>
      </w:pPr>
      <w:r>
        <w:rPr>
          <w:rFonts w:hint="eastAsia" w:ascii="宋体" w:hAnsi="宋体" w:cs="宋体"/>
          <w:szCs w:val="21"/>
        </w:rPr>
        <w:t xml:space="preserve">     关键部件：</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w:t>
      </w:r>
    </w:p>
    <w:p w14:paraId="7C970F56">
      <w:pPr>
        <w:spacing w:line="400" w:lineRule="exact"/>
        <w:rPr>
          <w:rFonts w:ascii="宋体" w:hAnsi="宋体" w:cs="宋体"/>
          <w:szCs w:val="21"/>
        </w:rPr>
      </w:pPr>
      <w:r>
        <w:rPr>
          <w:rFonts w:hint="eastAsia" w:ascii="宋体" w:hAnsi="宋体" w:cs="宋体"/>
          <w:szCs w:val="21"/>
        </w:rPr>
        <w:t xml:space="preserve">   （注：关键部件是指财政部会同有关部门发布的政府采购需求标准规定的需要通过国家有关部门指定的测评机构开展的安全可靠测评的软硬件，如CPU芯片、操作系统、数据库等。）</w:t>
      </w:r>
    </w:p>
    <w:p w14:paraId="02F87D14">
      <w:pPr>
        <w:spacing w:line="400" w:lineRule="exact"/>
        <w:rPr>
          <w:rFonts w:ascii="宋体" w:hAnsi="宋体" w:cs="宋体"/>
          <w:szCs w:val="21"/>
        </w:rPr>
      </w:pPr>
      <w:r>
        <w:rPr>
          <w:rFonts w:hint="eastAsia" w:ascii="宋体" w:hAnsi="宋体" w:cs="宋体"/>
          <w:szCs w:val="21"/>
        </w:rPr>
        <w:t xml:space="preserve">         ②涉及车辆采购，请填写是否属于新能源汽车：</w:t>
      </w:r>
    </w:p>
    <w:p w14:paraId="06DD3E5C">
      <w:pPr>
        <w:spacing w:line="400" w:lineRule="exact"/>
        <w:rPr>
          <w:rFonts w:ascii="宋体" w:hAnsi="宋体" w:cs="宋体"/>
          <w:szCs w:val="21"/>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数量：</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r>
        <w:rPr>
          <w:rFonts w:hint="eastAsia" w:ascii="宋体" w:hAnsi="宋体" w:cs="宋体"/>
          <w:szCs w:val="21"/>
        </w:rPr>
        <w:t xml:space="preserve"> </w:t>
      </w:r>
    </w:p>
    <w:p w14:paraId="087FDD90">
      <w:pPr>
        <w:spacing w:line="400" w:lineRule="exact"/>
        <w:rPr>
          <w:rFonts w:ascii="宋体" w:hAnsi="宋体" w:cs="宋体"/>
          <w:szCs w:val="21"/>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否</w:t>
      </w:r>
    </w:p>
    <w:p w14:paraId="441197FB">
      <w:pPr>
        <w:spacing w:line="400" w:lineRule="exact"/>
        <w:rPr>
          <w:rFonts w:ascii="宋体" w:hAnsi="宋体" w:cs="宋体"/>
          <w:szCs w:val="21"/>
        </w:rPr>
      </w:pPr>
      <w:r>
        <w:rPr>
          <w:rFonts w:hint="eastAsia" w:ascii="宋体" w:hAnsi="宋体" w:cs="宋体"/>
          <w:szCs w:val="21"/>
        </w:rPr>
        <w:t xml:space="preserve">    （</w:t>
      </w:r>
      <w:r>
        <w:rPr>
          <w:rFonts w:hint="eastAsia" w:ascii="宋体" w:hAnsi="宋体" w:cs="宋体"/>
          <w:szCs w:val="21"/>
          <w:lang w:val="en"/>
        </w:rPr>
        <w:t>4</w:t>
      </w:r>
      <w:r>
        <w:rPr>
          <w:rFonts w:hint="eastAsia" w:ascii="宋体" w:hAnsi="宋体" w:cs="宋体"/>
          <w:szCs w:val="21"/>
        </w:rPr>
        <w:t>）政府采购组织形式：</w:t>
      </w:r>
      <w:r>
        <w:rPr>
          <w:rFonts w:ascii="Wingdings" w:hAnsi="Wingdings" w:eastAsia="Wingdings" w:cs="Wingdings"/>
          <w:szCs w:val="21"/>
        </w:rPr>
        <w:t>¨</w:t>
      </w:r>
      <w:r>
        <w:rPr>
          <w:rFonts w:hint="eastAsia" w:ascii="宋体" w:hAnsi="宋体" w:cs="宋体"/>
          <w:szCs w:val="21"/>
        </w:rPr>
        <w:t xml:space="preserve">政府集中采购  </w:t>
      </w:r>
      <w:r>
        <w:rPr>
          <w:rFonts w:ascii="Wingdings" w:hAnsi="Wingdings" w:eastAsia="Wingdings" w:cs="Wingdings"/>
          <w:szCs w:val="21"/>
        </w:rPr>
        <w:t>¨</w:t>
      </w:r>
      <w:r>
        <w:rPr>
          <w:rFonts w:hint="eastAsia" w:ascii="宋体" w:hAnsi="宋体" w:cs="宋体"/>
          <w:szCs w:val="21"/>
        </w:rPr>
        <w:t xml:space="preserve">部门集中采购  </w:t>
      </w:r>
      <w:r>
        <w:rPr>
          <w:rFonts w:ascii="Wingdings" w:hAnsi="Wingdings" w:eastAsia="Wingdings" w:cs="Wingdings"/>
          <w:szCs w:val="21"/>
        </w:rPr>
        <w:t>þ</w:t>
      </w:r>
      <w:r>
        <w:rPr>
          <w:rFonts w:hint="eastAsia" w:ascii="宋体" w:hAnsi="宋体" w:cs="宋体"/>
          <w:szCs w:val="21"/>
        </w:rPr>
        <w:t>分散采购</w:t>
      </w:r>
    </w:p>
    <w:p w14:paraId="015E96B7">
      <w:pPr>
        <w:spacing w:line="400" w:lineRule="exact"/>
        <w:ind w:firstLine="420"/>
        <w:rPr>
          <w:rFonts w:ascii="宋体" w:hAnsi="宋体" w:cs="宋体"/>
          <w:szCs w:val="21"/>
        </w:rPr>
      </w:pPr>
      <w:r>
        <w:rPr>
          <w:rFonts w:hint="eastAsia" w:ascii="宋体" w:hAnsi="宋体" w:cs="宋体"/>
          <w:szCs w:val="21"/>
        </w:rPr>
        <w:t>（</w:t>
      </w:r>
      <w:r>
        <w:rPr>
          <w:rFonts w:hint="eastAsia" w:ascii="宋体" w:hAnsi="宋体" w:cs="宋体"/>
          <w:szCs w:val="21"/>
          <w:lang w:val="en"/>
        </w:rPr>
        <w:t>5</w:t>
      </w:r>
      <w:r>
        <w:rPr>
          <w:rFonts w:hint="eastAsia" w:ascii="宋体" w:hAnsi="宋体" w:cs="宋体"/>
          <w:szCs w:val="21"/>
        </w:rPr>
        <w:t>）政府采购方式：</w:t>
      </w:r>
      <w:r>
        <w:rPr>
          <w:rFonts w:ascii="Wingdings" w:hAnsi="Wingdings" w:eastAsia="Wingdings" w:cs="Wingdings"/>
          <w:szCs w:val="21"/>
        </w:rPr>
        <w:t>þ</w:t>
      </w:r>
      <w:r>
        <w:rPr>
          <w:rFonts w:hint="eastAsia" w:ascii="宋体" w:hAnsi="宋体" w:cs="宋体"/>
          <w:szCs w:val="21"/>
        </w:rPr>
        <w:t xml:space="preserve">公开招标 </w:t>
      </w:r>
      <w:r>
        <w:rPr>
          <w:rFonts w:ascii="Wingdings" w:hAnsi="Wingdings" w:eastAsia="Wingdings" w:cs="Wingdings"/>
          <w:szCs w:val="21"/>
        </w:rPr>
        <w:t>¨</w:t>
      </w:r>
      <w:r>
        <w:rPr>
          <w:rFonts w:hint="eastAsia" w:ascii="宋体" w:hAnsi="宋体" w:cs="宋体"/>
          <w:szCs w:val="21"/>
        </w:rPr>
        <w:t xml:space="preserve">邀请招标 </w:t>
      </w:r>
      <w:r>
        <w:rPr>
          <w:rFonts w:ascii="Wingdings" w:hAnsi="Wingdings" w:eastAsia="Wingdings" w:cs="Wingdings"/>
          <w:szCs w:val="21"/>
        </w:rPr>
        <w:t>¨</w:t>
      </w:r>
      <w:r>
        <w:rPr>
          <w:rFonts w:hint="eastAsia" w:ascii="宋体" w:hAnsi="宋体" w:cs="宋体"/>
          <w:szCs w:val="21"/>
        </w:rPr>
        <w:t xml:space="preserve">竞争性谈判 </w:t>
      </w:r>
      <w:r>
        <w:rPr>
          <w:rFonts w:ascii="Wingdings" w:hAnsi="Wingdings" w:eastAsia="Wingdings" w:cs="Wingdings"/>
          <w:szCs w:val="21"/>
        </w:rPr>
        <w:t>¨</w:t>
      </w:r>
      <w:r>
        <w:rPr>
          <w:rFonts w:hint="eastAsia" w:ascii="宋体" w:hAnsi="宋体" w:cs="宋体"/>
          <w:szCs w:val="21"/>
        </w:rPr>
        <w:t>竞争性磋商</w:t>
      </w:r>
    </w:p>
    <w:p w14:paraId="617E7709">
      <w:pPr>
        <w:spacing w:line="400" w:lineRule="exact"/>
        <w:ind w:firstLine="420"/>
        <w:rPr>
          <w:rFonts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 xml:space="preserve">询价 </w:t>
      </w:r>
      <w:r>
        <w:rPr>
          <w:rFonts w:ascii="Wingdings" w:hAnsi="Wingdings" w:eastAsia="Wingdings" w:cs="Wingdings"/>
          <w:szCs w:val="21"/>
        </w:rPr>
        <w:t>¨</w:t>
      </w:r>
      <w:r>
        <w:rPr>
          <w:rFonts w:hint="eastAsia" w:ascii="宋体" w:hAnsi="宋体" w:cs="宋体"/>
          <w:szCs w:val="21"/>
        </w:rPr>
        <w:t xml:space="preserve">单一来源 </w:t>
      </w:r>
      <w:r>
        <w:rPr>
          <w:rFonts w:ascii="Wingdings" w:hAnsi="Wingdings" w:eastAsia="Wingdings" w:cs="Wingdings"/>
          <w:szCs w:val="21"/>
        </w:rPr>
        <w:t>¨</w:t>
      </w:r>
      <w:r>
        <w:rPr>
          <w:rFonts w:hint="eastAsia" w:ascii="宋体" w:hAnsi="宋体" w:cs="宋体"/>
          <w:szCs w:val="21"/>
        </w:rPr>
        <w:t xml:space="preserve">框架协议 </w:t>
      </w:r>
      <w:r>
        <w:rPr>
          <w:rFonts w:ascii="Wingdings" w:hAnsi="Wingdings" w:eastAsia="Wingdings" w:cs="Wingdings"/>
          <w:szCs w:val="21"/>
        </w:rPr>
        <w:t>¨</w:t>
      </w:r>
      <w:r>
        <w:rPr>
          <w:rFonts w:hint="eastAsia" w:ascii="宋体" w:hAnsi="宋体" w:cs="宋体"/>
          <w:szCs w:val="21"/>
        </w:rPr>
        <w:t>其他：</w:t>
      </w:r>
      <w:r>
        <w:rPr>
          <w:rFonts w:hint="eastAsia" w:ascii="宋体" w:hAnsi="宋体" w:cs="宋体"/>
          <w:szCs w:val="21"/>
          <w:u w:val="single"/>
        </w:rPr>
        <w:t xml:space="preserve">          </w:t>
      </w:r>
    </w:p>
    <w:p w14:paraId="0A4595AA">
      <w:pPr>
        <w:spacing w:line="400" w:lineRule="exact"/>
        <w:ind w:firstLine="420"/>
        <w:rPr>
          <w:rFonts w:ascii="宋体" w:hAnsi="宋体" w:cs="宋体"/>
          <w:szCs w:val="21"/>
        </w:rPr>
      </w:pPr>
      <w:r>
        <w:rPr>
          <w:rFonts w:hint="eastAsia" w:ascii="宋体" w:hAnsi="宋体" w:cs="宋体"/>
          <w:szCs w:val="21"/>
        </w:rPr>
        <w:t>（注：在框架协议采购的第二阶段，可选择使用该合同文本）</w:t>
      </w:r>
    </w:p>
    <w:p w14:paraId="2846FE40">
      <w:pPr>
        <w:spacing w:line="400" w:lineRule="exact"/>
        <w:ind w:firstLine="210"/>
        <w:rPr>
          <w:rFonts w:ascii="宋体" w:hAnsi="宋体" w:cs="宋体"/>
          <w:szCs w:val="21"/>
        </w:rPr>
      </w:pPr>
      <w:r>
        <w:rPr>
          <w:rFonts w:hint="eastAsia" w:ascii="宋体" w:hAnsi="宋体" w:cs="宋体"/>
          <w:szCs w:val="21"/>
        </w:rPr>
        <w:t xml:space="preserve"> （</w:t>
      </w:r>
      <w:r>
        <w:rPr>
          <w:rFonts w:hint="eastAsia" w:ascii="宋体" w:hAnsi="宋体" w:cs="宋体"/>
          <w:szCs w:val="21"/>
          <w:lang w:val="en"/>
        </w:rPr>
        <w:t>6</w:t>
      </w:r>
      <w:r>
        <w:rPr>
          <w:rFonts w:hint="eastAsia" w:ascii="宋体" w:hAnsi="宋体" w:cs="宋体"/>
          <w:szCs w:val="21"/>
        </w:rPr>
        <w:t>）中标（成交）采购标的制造商是否为中小企业：</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否</w:t>
      </w:r>
    </w:p>
    <w:p w14:paraId="4D05CB16">
      <w:pPr>
        <w:spacing w:line="400" w:lineRule="exact"/>
        <w:rPr>
          <w:rFonts w:ascii="宋体" w:hAnsi="宋体" w:cs="宋体"/>
          <w:iCs/>
          <w:szCs w:val="21"/>
        </w:rPr>
      </w:pPr>
      <w:r>
        <w:rPr>
          <w:rFonts w:hint="eastAsia" w:ascii="宋体" w:hAnsi="宋体" w:cs="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t>¨</w:t>
      </w:r>
      <w:r>
        <w:rPr>
          <w:rFonts w:hint="eastAsia" w:ascii="宋体" w:hAnsi="宋体" w:cs="宋体"/>
          <w:iCs/>
          <w:szCs w:val="21"/>
        </w:rPr>
        <w:t>否</w:t>
      </w:r>
    </w:p>
    <w:p w14:paraId="6C947D9C">
      <w:pPr>
        <w:spacing w:line="400" w:lineRule="exact"/>
        <w:rPr>
          <w:rFonts w:ascii="宋体" w:hAnsi="宋体" w:cs="宋体"/>
          <w:iCs/>
          <w:szCs w:val="21"/>
        </w:rPr>
      </w:pPr>
      <w:r>
        <w:rPr>
          <w:rFonts w:hint="eastAsia" w:ascii="宋体" w:hAnsi="宋体" w:cs="宋体"/>
          <w:szCs w:val="21"/>
        </w:rPr>
        <w:t xml:space="preserve">         若本项目不专门面向中小企业采购，是否给予小微企业评审优惠：</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t>¨</w:t>
      </w:r>
      <w:r>
        <w:rPr>
          <w:rFonts w:hint="eastAsia" w:ascii="宋体" w:hAnsi="宋体" w:cs="宋体"/>
          <w:iCs/>
          <w:szCs w:val="21"/>
        </w:rPr>
        <w:t>否</w:t>
      </w:r>
    </w:p>
    <w:p w14:paraId="21D177DB">
      <w:pPr>
        <w:spacing w:line="400" w:lineRule="exact"/>
        <w:rPr>
          <w:rFonts w:ascii="宋体" w:hAnsi="宋体" w:cs="宋体"/>
          <w:iCs/>
          <w:szCs w:val="21"/>
        </w:rPr>
      </w:pPr>
      <w:r>
        <w:rPr>
          <w:rFonts w:hint="eastAsia" w:ascii="宋体" w:hAnsi="宋体" w:cs="宋体"/>
          <w:szCs w:val="21"/>
        </w:rPr>
        <w:t xml:space="preserve">         中标（成交）采购标的制造商是否为残疾人福利性单位：</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t>¨</w:t>
      </w:r>
      <w:r>
        <w:rPr>
          <w:rFonts w:hint="eastAsia" w:ascii="宋体" w:hAnsi="宋体" w:cs="宋体"/>
          <w:iCs/>
          <w:szCs w:val="21"/>
        </w:rPr>
        <w:t>否</w:t>
      </w:r>
    </w:p>
    <w:p w14:paraId="234DA89C">
      <w:pPr>
        <w:spacing w:line="400" w:lineRule="exact"/>
        <w:rPr>
          <w:rFonts w:ascii="宋体" w:hAnsi="宋体" w:cs="宋体"/>
          <w:szCs w:val="21"/>
        </w:rPr>
      </w:pPr>
      <w:r>
        <w:rPr>
          <w:rFonts w:hint="eastAsia" w:ascii="宋体" w:hAnsi="宋体" w:cs="宋体"/>
          <w:szCs w:val="21"/>
        </w:rPr>
        <w:t xml:space="preserve">         中标（成交）采购标的制造商是否为监狱企业：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t>¨</w:t>
      </w:r>
      <w:r>
        <w:rPr>
          <w:rFonts w:hint="eastAsia" w:ascii="宋体" w:hAnsi="宋体" w:cs="宋体"/>
          <w:iCs/>
          <w:szCs w:val="21"/>
        </w:rPr>
        <w:t>否</w:t>
      </w:r>
    </w:p>
    <w:p w14:paraId="62EF2405">
      <w:pPr>
        <w:spacing w:line="400" w:lineRule="exact"/>
        <w:ind w:firstLine="420"/>
        <w:rPr>
          <w:rFonts w:ascii="宋体" w:hAnsi="宋体" w:cs="宋体"/>
          <w:szCs w:val="21"/>
        </w:rPr>
      </w:pPr>
      <w:r>
        <w:rPr>
          <w:rFonts w:hint="eastAsia" w:ascii="宋体" w:hAnsi="宋体" w:cs="宋体"/>
          <w:szCs w:val="21"/>
        </w:rPr>
        <w:t>（</w:t>
      </w:r>
      <w:r>
        <w:rPr>
          <w:rFonts w:hint="eastAsia" w:ascii="宋体" w:hAnsi="宋体" w:cs="宋体"/>
          <w:szCs w:val="21"/>
          <w:lang w:val="en"/>
        </w:rPr>
        <w:t>7</w:t>
      </w:r>
      <w:r>
        <w:rPr>
          <w:rFonts w:hint="eastAsia" w:ascii="宋体" w:hAnsi="宋体" w:cs="宋体"/>
          <w:szCs w:val="21"/>
        </w:rPr>
        <w:t>）合同是否分包：</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t>þ</w:t>
      </w:r>
      <w:r>
        <w:rPr>
          <w:rFonts w:hint="eastAsia" w:ascii="宋体" w:hAnsi="宋体" w:cs="宋体"/>
          <w:iCs/>
          <w:szCs w:val="21"/>
        </w:rPr>
        <w:t>否</w:t>
      </w:r>
    </w:p>
    <w:p w14:paraId="52EFF98C">
      <w:pPr>
        <w:spacing w:line="400" w:lineRule="exact"/>
        <w:ind w:firstLine="840"/>
        <w:rPr>
          <w:rFonts w:ascii="宋体" w:hAnsi="宋体" w:cs="宋体"/>
          <w:szCs w:val="21"/>
          <w:u w:val="single"/>
        </w:rPr>
      </w:pPr>
      <w:r>
        <w:rPr>
          <w:rFonts w:hint="eastAsia" w:ascii="宋体" w:hAnsi="宋体" w:cs="宋体"/>
          <w:szCs w:val="21"/>
        </w:rPr>
        <w:t xml:space="preserve"> 分包主要内容：</w:t>
      </w:r>
      <w:r>
        <w:rPr>
          <w:rFonts w:hint="eastAsia" w:ascii="宋体" w:hAnsi="宋体" w:cs="宋体"/>
          <w:szCs w:val="21"/>
          <w:u w:val="single"/>
        </w:rPr>
        <w:t xml:space="preserve">                                            </w:t>
      </w:r>
    </w:p>
    <w:p w14:paraId="6EF94C09">
      <w:pPr>
        <w:spacing w:line="400" w:lineRule="exact"/>
        <w:ind w:firstLine="840"/>
        <w:rPr>
          <w:rFonts w:ascii="宋体" w:hAnsi="宋体" w:cs="宋体"/>
          <w:szCs w:val="21"/>
        </w:rPr>
      </w:pPr>
      <w:r>
        <w:rPr>
          <w:rFonts w:hint="eastAsia" w:ascii="宋体" w:hAnsi="宋体" w:cs="宋体"/>
          <w:szCs w:val="21"/>
        </w:rPr>
        <w:t xml:space="preserve"> 分包供应商/制造商名称（如供应商和制造商不同，请分别填写）：</w:t>
      </w:r>
    </w:p>
    <w:p w14:paraId="0899C62D">
      <w:pPr>
        <w:spacing w:line="400" w:lineRule="exact"/>
        <w:ind w:firstLine="840"/>
        <w:rPr>
          <w:rFonts w:ascii="宋体" w:hAnsi="宋体" w:cs="宋体"/>
          <w:szCs w:val="21"/>
          <w:u w:val="single"/>
        </w:rPr>
      </w:pPr>
      <w:r>
        <w:rPr>
          <w:rFonts w:hint="eastAsia" w:ascii="宋体" w:hAnsi="宋体" w:cs="宋体"/>
          <w:szCs w:val="21"/>
        </w:rPr>
        <w:t xml:space="preserve"> </w:t>
      </w:r>
      <w:r>
        <w:rPr>
          <w:rFonts w:hint="eastAsia" w:ascii="宋体" w:hAnsi="宋体" w:cs="宋体"/>
          <w:szCs w:val="21"/>
          <w:u w:val="single"/>
        </w:rPr>
        <w:t xml:space="preserve">                                                          </w:t>
      </w:r>
    </w:p>
    <w:p w14:paraId="426D67B1">
      <w:pPr>
        <w:spacing w:line="400" w:lineRule="exact"/>
        <w:ind w:firstLine="840"/>
        <w:rPr>
          <w:rFonts w:ascii="宋体" w:hAnsi="宋体" w:cs="宋体"/>
          <w:szCs w:val="21"/>
        </w:rPr>
      </w:pPr>
      <w:r>
        <w:rPr>
          <w:rFonts w:hint="eastAsia" w:ascii="宋体" w:hAnsi="宋体" w:cs="宋体"/>
          <w:szCs w:val="21"/>
        </w:rPr>
        <w:t xml:space="preserve"> 分包供应商/制造商类型（如果供应商和制造商不同，只填写制造商类型）：</w:t>
      </w:r>
    </w:p>
    <w:p w14:paraId="2AAE7DFD">
      <w:pPr>
        <w:spacing w:line="400" w:lineRule="exact"/>
        <w:ind w:firstLine="840"/>
        <w:rPr>
          <w:rFonts w:ascii="宋体" w:hAnsi="宋体" w:cs="宋体"/>
          <w:iCs/>
          <w:szCs w:val="21"/>
        </w:rPr>
      </w:pPr>
      <w:r>
        <w:rPr>
          <w:rFonts w:hint="eastAsia" w:ascii="宋体" w:hAnsi="宋体" w:cs="宋体"/>
          <w:iCs/>
          <w:szCs w:val="21"/>
        </w:rPr>
        <w:t xml:space="preserve"> </w:t>
      </w:r>
      <w:r>
        <w:rPr>
          <w:rFonts w:ascii="Wingdings" w:hAnsi="Wingdings" w:eastAsia="Wingdings" w:cs="Wingdings"/>
          <w:iCs/>
          <w:szCs w:val="21"/>
        </w:rPr>
        <w:t>¨</w:t>
      </w:r>
      <w:r>
        <w:rPr>
          <w:rFonts w:hint="eastAsia" w:ascii="宋体" w:hAnsi="宋体" w:cs="宋体"/>
          <w:iCs/>
          <w:szCs w:val="21"/>
        </w:rPr>
        <w:t xml:space="preserve">大型企业  </w:t>
      </w:r>
      <w:r>
        <w:rPr>
          <w:rFonts w:ascii="Wingdings" w:hAnsi="Wingdings" w:eastAsia="Wingdings" w:cs="Wingdings"/>
          <w:iCs/>
          <w:szCs w:val="21"/>
        </w:rPr>
        <w:t>¨</w:t>
      </w:r>
      <w:r>
        <w:rPr>
          <w:rFonts w:hint="eastAsia" w:ascii="宋体" w:hAnsi="宋体" w:cs="宋体"/>
          <w:iCs/>
          <w:szCs w:val="21"/>
        </w:rPr>
        <w:t xml:space="preserve">中型企业  </w:t>
      </w:r>
      <w:r>
        <w:rPr>
          <w:rFonts w:ascii="Wingdings" w:hAnsi="Wingdings" w:eastAsia="Wingdings" w:cs="Wingdings"/>
          <w:iCs/>
          <w:szCs w:val="21"/>
        </w:rPr>
        <w:t>¨</w:t>
      </w:r>
      <w:r>
        <w:rPr>
          <w:rFonts w:hint="eastAsia" w:ascii="宋体" w:hAnsi="宋体" w:cs="宋体"/>
          <w:iCs/>
          <w:szCs w:val="21"/>
        </w:rPr>
        <w:t xml:space="preserve">小微型企业  </w:t>
      </w:r>
    </w:p>
    <w:p w14:paraId="63F30F6E">
      <w:pPr>
        <w:spacing w:line="400" w:lineRule="exact"/>
        <w:ind w:firstLine="840"/>
        <w:rPr>
          <w:rFonts w:ascii="宋体" w:hAnsi="宋体" w:cs="宋体"/>
          <w:szCs w:val="21"/>
        </w:rPr>
      </w:pPr>
      <w:r>
        <w:rPr>
          <w:rFonts w:hint="eastAsia" w:ascii="宋体" w:hAnsi="宋体" w:cs="宋体"/>
          <w:iCs/>
          <w:szCs w:val="21"/>
        </w:rPr>
        <w:t xml:space="preserve"> </w:t>
      </w:r>
      <w:r>
        <w:rPr>
          <w:rFonts w:ascii="Wingdings" w:hAnsi="Wingdings" w:eastAsia="Wingdings" w:cs="Wingdings"/>
          <w:iCs/>
          <w:szCs w:val="21"/>
        </w:rPr>
        <w:t>¨</w:t>
      </w:r>
      <w:r>
        <w:rPr>
          <w:rFonts w:hint="eastAsia" w:ascii="宋体" w:hAnsi="宋体" w:cs="宋体"/>
          <w:iCs/>
          <w:szCs w:val="21"/>
        </w:rPr>
        <w:t xml:space="preserve">残疾人福利性单位 </w:t>
      </w:r>
      <w:r>
        <w:rPr>
          <w:rFonts w:ascii="Wingdings" w:hAnsi="Wingdings" w:eastAsia="Wingdings" w:cs="Wingdings"/>
          <w:iCs/>
          <w:szCs w:val="21"/>
        </w:rPr>
        <w:t>¨</w:t>
      </w:r>
      <w:r>
        <w:rPr>
          <w:rFonts w:hint="eastAsia" w:ascii="宋体" w:hAnsi="宋体" w:cs="宋体"/>
          <w:iCs/>
          <w:szCs w:val="21"/>
        </w:rPr>
        <w:t xml:space="preserve">监狱企业 </w:t>
      </w:r>
      <w:r>
        <w:rPr>
          <w:rFonts w:ascii="Wingdings" w:hAnsi="Wingdings" w:eastAsia="Wingdings" w:cs="Wingdings"/>
          <w:iCs/>
          <w:szCs w:val="21"/>
        </w:rPr>
        <w:t>¨</w:t>
      </w:r>
      <w:r>
        <w:rPr>
          <w:rFonts w:hint="eastAsia" w:ascii="宋体" w:hAnsi="宋体" w:cs="宋体"/>
          <w:iCs/>
          <w:szCs w:val="21"/>
        </w:rPr>
        <w:t>其他</w:t>
      </w:r>
    </w:p>
    <w:p w14:paraId="542D2850">
      <w:pPr>
        <w:spacing w:line="400" w:lineRule="exact"/>
        <w:rPr>
          <w:rFonts w:ascii="宋体" w:hAnsi="宋体" w:cs="宋体"/>
          <w:iCs/>
          <w:szCs w:val="21"/>
        </w:rPr>
      </w:pPr>
      <w:r>
        <w:rPr>
          <w:rFonts w:hint="eastAsia" w:ascii="宋体" w:hAnsi="宋体" w:cs="宋体"/>
          <w:szCs w:val="21"/>
        </w:rPr>
        <w:t xml:space="preserve">    （</w:t>
      </w:r>
      <w:r>
        <w:rPr>
          <w:rFonts w:hint="eastAsia"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t>¨</w:t>
      </w:r>
      <w:r>
        <w:rPr>
          <w:rFonts w:hint="eastAsia" w:ascii="宋体" w:hAnsi="宋体" w:cs="宋体"/>
          <w:iCs/>
          <w:szCs w:val="21"/>
        </w:rPr>
        <w:t>否</w:t>
      </w:r>
    </w:p>
    <w:p w14:paraId="145A1BCD">
      <w:pPr>
        <w:tabs>
          <w:tab w:val="left" w:pos="1340"/>
        </w:tabs>
        <w:spacing w:line="400" w:lineRule="exact"/>
        <w:ind w:firstLine="420"/>
        <w:rPr>
          <w:rFonts w:ascii="宋体" w:hAnsi="宋体" w:cs="宋体"/>
          <w:szCs w:val="21"/>
          <w:u w:val="single"/>
        </w:rPr>
      </w:pPr>
      <w:r>
        <w:rPr>
          <w:rFonts w:hint="eastAsia" w:ascii="宋体" w:hAnsi="宋体" w:cs="宋体"/>
          <w:szCs w:val="21"/>
        </w:rPr>
        <w:t xml:space="preserve">     外商投资企业类型：</w:t>
      </w:r>
      <w:r>
        <w:rPr>
          <w:rFonts w:ascii="Wingdings" w:hAnsi="Wingdings" w:eastAsia="Wingdings" w:cs="Wingdings"/>
          <w:iCs/>
          <w:szCs w:val="21"/>
        </w:rPr>
        <w:t>¨</w:t>
      </w:r>
      <w:r>
        <w:rPr>
          <w:rFonts w:hint="eastAsia" w:ascii="宋体" w:hAnsi="宋体" w:cs="宋体"/>
          <w:szCs w:val="21"/>
        </w:rPr>
        <w:t xml:space="preserve">全部由外国投资者投资  </w:t>
      </w:r>
      <w:r>
        <w:rPr>
          <w:rFonts w:ascii="Wingdings" w:hAnsi="Wingdings" w:eastAsia="Wingdings" w:cs="Wingdings"/>
          <w:iCs/>
          <w:szCs w:val="21"/>
        </w:rPr>
        <w:t>¨</w:t>
      </w:r>
      <w:r>
        <w:rPr>
          <w:rFonts w:hint="eastAsia" w:ascii="宋体" w:hAnsi="宋体" w:cs="宋体"/>
          <w:iCs/>
          <w:szCs w:val="21"/>
        </w:rPr>
        <w:t>部分由外国投资者投资</w:t>
      </w:r>
    </w:p>
    <w:p w14:paraId="50B6E6CC">
      <w:pPr>
        <w:spacing w:line="400" w:lineRule="exact"/>
        <w:ind w:firstLine="420"/>
        <w:rPr>
          <w:rFonts w:ascii="宋体" w:hAnsi="宋体" w:cs="宋体"/>
          <w:szCs w:val="21"/>
        </w:rPr>
      </w:pPr>
      <w:r>
        <w:rPr>
          <w:rFonts w:hint="eastAsia" w:ascii="宋体" w:hAnsi="宋体" w:cs="宋体"/>
          <w:szCs w:val="21"/>
        </w:rPr>
        <w:t>（</w:t>
      </w:r>
      <w:r>
        <w:rPr>
          <w:rFonts w:hint="eastAsia" w:ascii="宋体" w:hAnsi="宋体" w:cs="宋体"/>
          <w:szCs w:val="21"/>
          <w:lang w:val="en"/>
        </w:rPr>
        <w:t>9</w:t>
      </w:r>
      <w:r>
        <w:rPr>
          <w:rFonts w:hint="eastAsia" w:ascii="宋体" w:hAnsi="宋体" w:cs="宋体"/>
          <w:szCs w:val="21"/>
        </w:rPr>
        <w:t>）是否涉及进口产品：</w:t>
      </w:r>
    </w:p>
    <w:p w14:paraId="3A7942B3">
      <w:pPr>
        <w:spacing w:line="400" w:lineRule="exact"/>
        <w:ind w:firstLine="840"/>
        <w:rPr>
          <w:rFonts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3C999578">
      <w:pPr>
        <w:spacing w:line="400" w:lineRule="exact"/>
        <w:ind w:firstLine="840"/>
        <w:rPr>
          <w:rFonts w:ascii="宋体" w:hAnsi="宋体" w:cs="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cs="宋体"/>
          <w:szCs w:val="21"/>
        </w:rPr>
        <w:t xml:space="preserve">      </w:t>
      </w:r>
    </w:p>
    <w:p w14:paraId="2C9B1F02">
      <w:pPr>
        <w:spacing w:line="400" w:lineRule="exact"/>
        <w:ind w:firstLine="840"/>
        <w:rPr>
          <w:rFonts w:ascii="宋体" w:hAnsi="宋体" w:cs="宋体"/>
          <w:szCs w:val="21"/>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否</w:t>
      </w:r>
    </w:p>
    <w:p w14:paraId="407E1B92">
      <w:pPr>
        <w:tabs>
          <w:tab w:val="left" w:pos="740"/>
        </w:tabs>
        <w:spacing w:line="400" w:lineRule="exact"/>
        <w:rPr>
          <w:rFonts w:ascii="宋体" w:hAnsi="宋体" w:cs="宋体"/>
          <w:szCs w:val="21"/>
        </w:rPr>
      </w:pPr>
      <w:r>
        <w:rPr>
          <w:rFonts w:hint="eastAsia" w:ascii="宋体" w:hAnsi="宋体" w:cs="宋体"/>
          <w:szCs w:val="21"/>
        </w:rPr>
        <w:t xml:space="preserve">    （1</w:t>
      </w:r>
      <w:r>
        <w:rPr>
          <w:rFonts w:hint="eastAsia" w:ascii="宋体" w:hAnsi="宋体" w:cs="宋体"/>
          <w:szCs w:val="21"/>
          <w:lang w:val="en"/>
        </w:rPr>
        <w:t>0</w:t>
      </w:r>
      <w:r>
        <w:rPr>
          <w:rFonts w:hint="eastAsia" w:ascii="宋体" w:hAnsi="宋体" w:cs="宋体"/>
          <w:szCs w:val="21"/>
        </w:rPr>
        <w:t>）是否涉及节能产品：</w:t>
      </w:r>
    </w:p>
    <w:p w14:paraId="5E9E85B2">
      <w:pPr>
        <w:tabs>
          <w:tab w:val="left" w:pos="740"/>
        </w:tabs>
        <w:spacing w:line="400" w:lineRule="exact"/>
        <w:rPr>
          <w:rFonts w:ascii="宋体" w:hAnsi="宋体" w:cs="宋体"/>
          <w:iCs/>
          <w:szCs w:val="21"/>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是，《节能产品政府采购品目清单》的底级品目名称：</w:t>
      </w:r>
      <w:r>
        <w:rPr>
          <w:rFonts w:hint="eastAsia" w:ascii="宋体" w:hAnsi="宋体" w:cs="宋体"/>
          <w:szCs w:val="21"/>
          <w:u w:val="single"/>
        </w:rPr>
        <w:t xml:space="preserve">         </w:t>
      </w:r>
      <w:r>
        <w:rPr>
          <w:rFonts w:hint="eastAsia" w:ascii="宋体" w:hAnsi="宋体" w:cs="宋体"/>
          <w:iCs/>
          <w:szCs w:val="21"/>
        </w:rPr>
        <w:t xml:space="preserve">     </w:t>
      </w:r>
    </w:p>
    <w:p w14:paraId="64B7AB41">
      <w:pPr>
        <w:tabs>
          <w:tab w:val="left" w:pos="740"/>
        </w:tabs>
        <w:spacing w:line="400" w:lineRule="exact"/>
        <w:rPr>
          <w:rFonts w:ascii="宋体" w:hAnsi="宋体" w:cs="宋体"/>
          <w:iCs/>
          <w:szCs w:val="21"/>
        </w:rPr>
      </w:pPr>
      <w:r>
        <w:rPr>
          <w:rFonts w:hint="eastAsia" w:ascii="宋体" w:hAnsi="宋体" w:cs="宋体"/>
          <w:iCs/>
          <w:szCs w:val="21"/>
        </w:rPr>
        <w:t xml:space="preserve">                </w:t>
      </w:r>
      <w:r>
        <w:rPr>
          <w:rFonts w:ascii="Wingdings" w:hAnsi="Wingdings" w:eastAsia="Wingdings" w:cs="Wingdings"/>
          <w:iCs/>
          <w:szCs w:val="21"/>
        </w:rPr>
        <w:t>¨</w:t>
      </w:r>
      <w:r>
        <w:rPr>
          <w:rFonts w:hint="eastAsia" w:ascii="宋体" w:hAnsi="宋体" w:cs="宋体"/>
          <w:iCs/>
          <w:szCs w:val="21"/>
        </w:rPr>
        <w:t xml:space="preserve">强制采购       </w:t>
      </w:r>
      <w:r>
        <w:rPr>
          <w:rFonts w:ascii="Wingdings" w:hAnsi="Wingdings" w:eastAsia="Wingdings" w:cs="Wingdings"/>
          <w:iCs/>
          <w:szCs w:val="21"/>
        </w:rPr>
        <w:t>¨</w:t>
      </w:r>
      <w:r>
        <w:rPr>
          <w:rFonts w:hint="eastAsia" w:ascii="宋体" w:hAnsi="宋体" w:cs="宋体"/>
          <w:iCs/>
          <w:szCs w:val="21"/>
        </w:rPr>
        <w:t xml:space="preserve">优先采购    </w:t>
      </w:r>
    </w:p>
    <w:p w14:paraId="4E7EA6C3">
      <w:pPr>
        <w:tabs>
          <w:tab w:val="left" w:pos="740"/>
        </w:tabs>
        <w:spacing w:line="400" w:lineRule="exact"/>
        <w:rPr>
          <w:rFonts w:ascii="宋体" w:hAnsi="宋体" w:cs="宋体"/>
          <w:szCs w:val="21"/>
        </w:rPr>
      </w:pPr>
      <w:r>
        <w:rPr>
          <w:rFonts w:hint="eastAsia" w:ascii="宋体" w:hAnsi="宋体" w:cs="宋体"/>
          <w:iCs/>
          <w:szCs w:val="21"/>
        </w:rPr>
        <w:t xml:space="preserve">         </w:t>
      </w:r>
      <w:r>
        <w:rPr>
          <w:rFonts w:ascii="Wingdings" w:hAnsi="Wingdings" w:eastAsia="Wingdings" w:cs="Wingdings"/>
          <w:szCs w:val="21"/>
        </w:rPr>
        <w:t>¨</w:t>
      </w:r>
      <w:r>
        <w:rPr>
          <w:rFonts w:hint="eastAsia" w:ascii="宋体" w:hAnsi="宋体" w:cs="宋体"/>
          <w:szCs w:val="21"/>
        </w:rPr>
        <w:t>否</w:t>
      </w:r>
    </w:p>
    <w:p w14:paraId="13F15704">
      <w:pPr>
        <w:tabs>
          <w:tab w:val="left" w:pos="740"/>
        </w:tabs>
        <w:spacing w:line="400" w:lineRule="exact"/>
        <w:rPr>
          <w:rFonts w:ascii="宋体" w:hAnsi="宋体" w:cs="宋体"/>
          <w:szCs w:val="21"/>
        </w:rPr>
      </w:pPr>
      <w:r>
        <w:rPr>
          <w:rFonts w:hint="eastAsia" w:ascii="宋体" w:hAnsi="宋体" w:cs="宋体"/>
          <w:szCs w:val="21"/>
        </w:rPr>
        <w:t xml:space="preserve">          是否涉及环境标志产品：</w:t>
      </w:r>
    </w:p>
    <w:p w14:paraId="5ACC4587">
      <w:pPr>
        <w:tabs>
          <w:tab w:val="left" w:pos="740"/>
        </w:tabs>
        <w:spacing w:line="400" w:lineRule="exact"/>
        <w:rPr>
          <w:rFonts w:ascii="宋体" w:hAnsi="宋体" w:cs="宋体"/>
          <w:szCs w:val="21"/>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是，《环境标志产品政府采购品目清单》的底级品目名称：</w:t>
      </w:r>
      <w:r>
        <w:rPr>
          <w:rFonts w:hint="eastAsia" w:ascii="宋体" w:hAnsi="宋体" w:cs="宋体"/>
          <w:szCs w:val="21"/>
          <w:u w:val="single"/>
        </w:rPr>
        <w:t xml:space="preserve">         </w:t>
      </w:r>
      <w:r>
        <w:rPr>
          <w:rFonts w:hint="eastAsia" w:ascii="宋体" w:hAnsi="宋体" w:cs="宋体"/>
          <w:iCs/>
          <w:szCs w:val="21"/>
        </w:rPr>
        <w:t xml:space="preserve"> </w:t>
      </w:r>
    </w:p>
    <w:p w14:paraId="6EF42E05">
      <w:pPr>
        <w:tabs>
          <w:tab w:val="left" w:pos="740"/>
        </w:tabs>
        <w:spacing w:line="400" w:lineRule="exact"/>
        <w:rPr>
          <w:rFonts w:ascii="宋体" w:hAnsi="宋体" w:cs="宋体"/>
          <w:iCs/>
          <w:szCs w:val="21"/>
        </w:rPr>
      </w:pPr>
      <w:r>
        <w:rPr>
          <w:rFonts w:hint="eastAsia" w:ascii="宋体" w:hAnsi="宋体" w:cs="宋体"/>
          <w:iCs/>
          <w:szCs w:val="21"/>
        </w:rPr>
        <w:t xml:space="preserve">                </w:t>
      </w:r>
      <w:r>
        <w:rPr>
          <w:rFonts w:ascii="Wingdings" w:hAnsi="Wingdings" w:eastAsia="Wingdings" w:cs="Wingdings"/>
          <w:iCs/>
          <w:szCs w:val="21"/>
        </w:rPr>
        <w:t>¨</w:t>
      </w:r>
      <w:r>
        <w:rPr>
          <w:rFonts w:hint="eastAsia" w:ascii="宋体" w:hAnsi="宋体" w:cs="宋体"/>
          <w:iCs/>
          <w:szCs w:val="21"/>
        </w:rPr>
        <w:t xml:space="preserve">强制采购       </w:t>
      </w:r>
      <w:r>
        <w:rPr>
          <w:rFonts w:ascii="Wingdings" w:hAnsi="Wingdings" w:eastAsia="Wingdings" w:cs="Wingdings"/>
          <w:iCs/>
          <w:szCs w:val="21"/>
        </w:rPr>
        <w:t>¨</w:t>
      </w:r>
      <w:r>
        <w:rPr>
          <w:rFonts w:hint="eastAsia" w:ascii="宋体" w:hAnsi="宋体" w:cs="宋体"/>
          <w:iCs/>
          <w:szCs w:val="21"/>
        </w:rPr>
        <w:t xml:space="preserve">优先采购    </w:t>
      </w:r>
    </w:p>
    <w:p w14:paraId="6E176978">
      <w:pPr>
        <w:tabs>
          <w:tab w:val="left" w:pos="740"/>
        </w:tabs>
        <w:spacing w:line="400" w:lineRule="exact"/>
        <w:rPr>
          <w:rFonts w:ascii="宋体" w:hAnsi="宋体" w:cs="宋体"/>
          <w:szCs w:val="21"/>
        </w:rPr>
      </w:pPr>
      <w:r>
        <w:rPr>
          <w:rFonts w:hint="eastAsia" w:ascii="宋体" w:hAnsi="宋体" w:cs="宋体"/>
          <w:iCs/>
          <w:szCs w:val="21"/>
        </w:rPr>
        <w:t xml:space="preserve">         </w:t>
      </w:r>
      <w:r>
        <w:rPr>
          <w:rFonts w:ascii="Wingdings" w:hAnsi="Wingdings" w:eastAsia="Wingdings" w:cs="Wingdings"/>
          <w:szCs w:val="21"/>
        </w:rPr>
        <w:t>¨</w:t>
      </w:r>
      <w:r>
        <w:rPr>
          <w:rFonts w:hint="eastAsia" w:ascii="宋体" w:hAnsi="宋体" w:cs="宋体"/>
          <w:szCs w:val="21"/>
        </w:rPr>
        <w:t>否</w:t>
      </w:r>
    </w:p>
    <w:p w14:paraId="118A9A87">
      <w:pPr>
        <w:spacing w:line="400" w:lineRule="exact"/>
        <w:rPr>
          <w:rFonts w:ascii="宋体" w:hAnsi="宋体" w:cs="宋体"/>
          <w:szCs w:val="21"/>
        </w:rPr>
      </w:pPr>
      <w:r>
        <w:rPr>
          <w:rFonts w:hint="eastAsia" w:ascii="宋体" w:hAnsi="宋体" w:cs="宋体"/>
          <w:szCs w:val="21"/>
        </w:rPr>
        <w:t xml:space="preserve">          是否涉及绿色产品： </w:t>
      </w:r>
    </w:p>
    <w:p w14:paraId="0EA4CDC9">
      <w:pPr>
        <w:spacing w:line="400" w:lineRule="exact"/>
        <w:ind w:firstLine="420"/>
        <w:rPr>
          <w:rFonts w:ascii="宋体" w:hAnsi="宋体" w:cs="宋体"/>
          <w:szCs w:val="21"/>
          <w:u w:val="single"/>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是，绿色产品政府采购相关政策确定的底级品目名称：</w:t>
      </w:r>
      <w:r>
        <w:rPr>
          <w:rFonts w:hint="eastAsia" w:ascii="宋体" w:hAnsi="宋体" w:cs="宋体"/>
          <w:szCs w:val="21"/>
          <w:u w:val="single"/>
        </w:rPr>
        <w:t xml:space="preserve">         </w:t>
      </w:r>
    </w:p>
    <w:p w14:paraId="2D32C794">
      <w:pPr>
        <w:tabs>
          <w:tab w:val="left" w:pos="740"/>
        </w:tabs>
        <w:spacing w:line="400" w:lineRule="exact"/>
        <w:rPr>
          <w:rFonts w:ascii="宋体" w:hAnsi="宋体" w:cs="宋体"/>
          <w:iCs/>
          <w:szCs w:val="21"/>
        </w:rPr>
      </w:pPr>
      <w:r>
        <w:rPr>
          <w:rFonts w:hint="eastAsia" w:ascii="宋体" w:hAnsi="宋体" w:cs="宋体"/>
          <w:iCs/>
          <w:szCs w:val="21"/>
        </w:rPr>
        <w:t xml:space="preserve">                </w:t>
      </w:r>
      <w:r>
        <w:rPr>
          <w:rFonts w:ascii="Wingdings" w:hAnsi="Wingdings" w:eastAsia="Wingdings" w:cs="Wingdings"/>
          <w:iCs/>
          <w:szCs w:val="21"/>
        </w:rPr>
        <w:t>¨</w:t>
      </w:r>
      <w:r>
        <w:rPr>
          <w:rFonts w:hint="eastAsia" w:ascii="宋体" w:hAnsi="宋体" w:cs="宋体"/>
          <w:iCs/>
          <w:szCs w:val="21"/>
        </w:rPr>
        <w:t xml:space="preserve">强制采购       </w:t>
      </w:r>
      <w:r>
        <w:rPr>
          <w:rFonts w:ascii="Wingdings" w:hAnsi="Wingdings" w:eastAsia="Wingdings" w:cs="Wingdings"/>
          <w:iCs/>
          <w:szCs w:val="21"/>
        </w:rPr>
        <w:t>¨</w:t>
      </w:r>
      <w:r>
        <w:rPr>
          <w:rFonts w:hint="eastAsia" w:ascii="宋体" w:hAnsi="宋体" w:cs="宋体"/>
          <w:iCs/>
          <w:szCs w:val="21"/>
        </w:rPr>
        <w:t xml:space="preserve">优先采购    </w:t>
      </w:r>
    </w:p>
    <w:p w14:paraId="516349EB">
      <w:pPr>
        <w:spacing w:line="400" w:lineRule="exact"/>
        <w:ind w:firstLine="420"/>
        <w:rPr>
          <w:rFonts w:ascii="宋体" w:hAnsi="宋体" w:cs="宋体"/>
          <w:szCs w:val="21"/>
        </w:rPr>
      </w:pPr>
      <w:r>
        <w:rPr>
          <w:rFonts w:hint="eastAsia" w:ascii="宋体" w:hAnsi="宋体" w:cs="宋体"/>
          <w:szCs w:val="21"/>
        </w:rPr>
        <w:t xml:space="preserve">     </w:t>
      </w:r>
      <w:r>
        <w:rPr>
          <w:rFonts w:ascii="Wingdings" w:hAnsi="Wingdings" w:eastAsia="Wingdings" w:cs="Wingdings"/>
          <w:szCs w:val="21"/>
        </w:rPr>
        <w:t>¨</w:t>
      </w:r>
      <w:r>
        <w:rPr>
          <w:rFonts w:hint="eastAsia" w:ascii="宋体" w:hAnsi="宋体" w:cs="宋体"/>
          <w:szCs w:val="21"/>
        </w:rPr>
        <w:t>否</w:t>
      </w:r>
    </w:p>
    <w:p w14:paraId="63F7A92A">
      <w:pPr>
        <w:spacing w:line="400" w:lineRule="exact"/>
        <w:rPr>
          <w:rFonts w:ascii="宋体" w:hAnsi="宋体" w:cs="宋体"/>
          <w:szCs w:val="21"/>
        </w:rPr>
      </w:pPr>
      <w:r>
        <w:rPr>
          <w:rFonts w:hint="eastAsia" w:ascii="宋体" w:hAnsi="宋体" w:cs="宋体"/>
          <w:szCs w:val="21"/>
        </w:rPr>
        <w:t xml:space="preserve">    （1</w:t>
      </w:r>
      <w:r>
        <w:rPr>
          <w:rFonts w:hint="eastAsia" w:ascii="宋体" w:hAnsi="宋体" w:cs="宋体"/>
          <w:szCs w:val="21"/>
          <w:lang w:val="en"/>
        </w:rPr>
        <w:t>1</w:t>
      </w:r>
      <w:r>
        <w:rPr>
          <w:rFonts w:hint="eastAsia" w:ascii="宋体" w:hAnsi="宋体" w:cs="宋体"/>
          <w:szCs w:val="21"/>
        </w:rPr>
        <w:t>）涉及商品包装和快递包装的，是否参考《商品包装政府采购需求标准（试行）》、《快递包装政府采购需求标准（试行）》明确产品及相关快递服务的具体包装要求：</w:t>
      </w:r>
    </w:p>
    <w:p w14:paraId="73524945">
      <w:pPr>
        <w:spacing w:line="400" w:lineRule="exact"/>
        <w:ind w:firstLine="840"/>
        <w:rPr>
          <w:rFonts w:ascii="宋体" w:hAnsi="宋体" w:cs="宋体"/>
          <w:szCs w:val="21"/>
        </w:rPr>
      </w:pP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 xml:space="preserve">否      </w:t>
      </w:r>
      <w:r>
        <w:rPr>
          <w:rFonts w:ascii="Wingdings" w:hAnsi="Wingdings" w:eastAsia="Wingdings" w:cs="Wingdings"/>
          <w:szCs w:val="21"/>
        </w:rPr>
        <w:t>¨</w:t>
      </w:r>
      <w:r>
        <w:rPr>
          <w:rFonts w:hint="eastAsia" w:ascii="宋体" w:hAnsi="宋体" w:cs="宋体"/>
          <w:szCs w:val="21"/>
        </w:rPr>
        <w:t>不涉及</w:t>
      </w:r>
    </w:p>
    <w:p w14:paraId="369E88B3">
      <w:pPr>
        <w:numPr>
          <w:ilvl w:val="0"/>
          <w:numId w:val="2"/>
        </w:numPr>
        <w:spacing w:line="400" w:lineRule="exact"/>
        <w:ind w:firstLine="422"/>
        <w:rPr>
          <w:rFonts w:ascii="宋体" w:hAnsi="宋体" w:cs="宋体"/>
          <w:b/>
          <w:szCs w:val="21"/>
        </w:rPr>
      </w:pPr>
      <w:r>
        <w:rPr>
          <w:rFonts w:hint="eastAsia" w:ascii="宋体" w:hAnsi="宋体" w:cs="宋体"/>
          <w:b/>
          <w:szCs w:val="21"/>
        </w:rPr>
        <w:t>合同金额</w:t>
      </w:r>
    </w:p>
    <w:p w14:paraId="0BF75E74">
      <w:pPr>
        <w:spacing w:line="400" w:lineRule="exact"/>
        <w:ind w:firstLine="420"/>
        <w:rPr>
          <w:rFonts w:ascii="宋体" w:hAnsi="宋体" w:cs="宋体"/>
          <w:szCs w:val="21"/>
        </w:rPr>
      </w:pPr>
      <w:r>
        <w:rPr>
          <w:rFonts w:hint="eastAsia" w:ascii="宋体" w:hAnsi="宋体" w:cs="宋体"/>
          <w:szCs w:val="21"/>
        </w:rPr>
        <w:t>（1）合同金额小写：</w:t>
      </w:r>
      <w:r>
        <w:rPr>
          <w:rFonts w:hint="eastAsia" w:ascii="宋体" w:hAnsi="宋体" w:cs="宋体"/>
          <w:szCs w:val="21"/>
          <w:u w:val="single"/>
        </w:rPr>
        <w:t xml:space="preserve">                           </w:t>
      </w:r>
    </w:p>
    <w:p w14:paraId="5D30B3B3">
      <w:pPr>
        <w:spacing w:line="400" w:lineRule="exact"/>
        <w:rPr>
          <w:rFonts w:ascii="宋体" w:hAnsi="宋体" w:cs="宋体"/>
          <w:szCs w:val="21"/>
          <w:u w:val="single"/>
        </w:rPr>
      </w:pPr>
      <w:r>
        <w:rPr>
          <w:rFonts w:hint="eastAsia" w:ascii="宋体" w:hAnsi="宋体" w:cs="宋体"/>
          <w:szCs w:val="21"/>
        </w:rPr>
        <w:t xml:space="preserve">                 大写：</w:t>
      </w:r>
      <w:r>
        <w:rPr>
          <w:rFonts w:hint="eastAsia" w:ascii="宋体" w:hAnsi="宋体" w:cs="宋体"/>
          <w:szCs w:val="21"/>
          <w:u w:val="single"/>
        </w:rPr>
        <w:t xml:space="preserve">                           </w:t>
      </w:r>
    </w:p>
    <w:p w14:paraId="1741AC1B">
      <w:pPr>
        <w:spacing w:line="400" w:lineRule="exact"/>
        <w:rPr>
          <w:rFonts w:ascii="宋体" w:hAnsi="宋体" w:cs="宋体"/>
          <w:szCs w:val="21"/>
        </w:rPr>
      </w:pPr>
      <w:r>
        <w:rPr>
          <w:rFonts w:hint="eastAsia" w:ascii="宋体" w:hAnsi="宋体" w:cs="宋体"/>
          <w:szCs w:val="21"/>
        </w:rPr>
        <w:t xml:space="preserve">         分包金额（如有）小写：</w:t>
      </w:r>
      <w:r>
        <w:rPr>
          <w:rFonts w:hint="eastAsia" w:ascii="宋体" w:hAnsi="宋体" w:cs="宋体"/>
          <w:szCs w:val="21"/>
          <w:u w:val="single"/>
        </w:rPr>
        <w:t xml:space="preserve">                   </w:t>
      </w:r>
    </w:p>
    <w:p w14:paraId="73F6E9A3">
      <w:pPr>
        <w:spacing w:line="400" w:lineRule="exact"/>
        <w:rPr>
          <w:rFonts w:ascii="宋体" w:hAnsi="宋体" w:cs="宋体"/>
          <w:szCs w:val="21"/>
          <w:u w:val="single"/>
        </w:rPr>
      </w:pPr>
      <w:r>
        <w:rPr>
          <w:rFonts w:hint="eastAsia" w:ascii="宋体" w:hAnsi="宋体" w:cs="宋体"/>
          <w:szCs w:val="21"/>
        </w:rPr>
        <w:t xml:space="preserve">                     大写：</w:t>
      </w:r>
      <w:r>
        <w:rPr>
          <w:rFonts w:hint="eastAsia" w:ascii="宋体" w:hAnsi="宋体" w:cs="宋体"/>
          <w:szCs w:val="21"/>
          <w:u w:val="single"/>
        </w:rPr>
        <w:t xml:space="preserve">                       </w:t>
      </w:r>
    </w:p>
    <w:p w14:paraId="61B64DED">
      <w:pPr>
        <w:spacing w:line="400" w:lineRule="exact"/>
        <w:rPr>
          <w:rFonts w:ascii="宋体" w:hAnsi="宋体" w:cs="宋体"/>
          <w:szCs w:val="21"/>
        </w:rPr>
      </w:pPr>
      <w:r>
        <w:rPr>
          <w:rFonts w:hint="eastAsia" w:ascii="宋体" w:hAnsi="宋体" w:cs="宋体"/>
          <w:szCs w:val="21"/>
        </w:rPr>
        <w:t xml:space="preserve">    （注：固定单价合同应填写单价和最高限价）</w:t>
      </w:r>
    </w:p>
    <w:p w14:paraId="4CBFB4B7">
      <w:pPr>
        <w:spacing w:line="400" w:lineRule="exact"/>
        <w:rPr>
          <w:rFonts w:ascii="宋体" w:hAnsi="宋体" w:cs="宋体"/>
          <w:szCs w:val="21"/>
        </w:rPr>
      </w:pPr>
      <w:r>
        <w:rPr>
          <w:rFonts w:hint="eastAsia" w:ascii="宋体" w:hAnsi="宋体" w:cs="宋体"/>
          <w:szCs w:val="21"/>
        </w:rPr>
        <w:t xml:space="preserve">    （2）合同定价方式（采用组合定价方式的，可以勾选多项）：</w:t>
      </w:r>
    </w:p>
    <w:p w14:paraId="4B6B5F19">
      <w:pPr>
        <w:spacing w:line="400" w:lineRule="exact"/>
        <w:ind w:firstLine="420"/>
        <w:rPr>
          <w:rFonts w:ascii="宋体" w:hAnsi="宋体" w:cs="宋体"/>
          <w:szCs w:val="21"/>
        </w:rPr>
      </w:pPr>
      <w:r>
        <w:rPr>
          <w:rFonts w:hint="eastAsia" w:ascii="宋体" w:hAnsi="宋体" w:cs="宋体"/>
          <w:iCs/>
          <w:szCs w:val="21"/>
        </w:rPr>
        <w:t xml:space="preserve">  </w:t>
      </w:r>
      <w:r>
        <w:rPr>
          <w:rFonts w:ascii="Wingdings" w:hAnsi="Wingdings" w:eastAsia="Wingdings" w:cs="Wingdings"/>
          <w:iCs/>
          <w:szCs w:val="21"/>
        </w:rPr>
        <w:t>þ</w:t>
      </w:r>
      <w:r>
        <w:rPr>
          <w:rFonts w:hint="eastAsia" w:ascii="宋体" w:hAnsi="宋体" w:cs="宋体"/>
          <w:iCs/>
          <w:szCs w:val="21"/>
        </w:rPr>
        <w:t xml:space="preserve">固定总价 </w:t>
      </w:r>
      <w:r>
        <w:rPr>
          <w:rFonts w:ascii="Wingdings" w:hAnsi="Wingdings" w:eastAsia="Wingdings" w:cs="Wingdings"/>
          <w:iCs/>
          <w:szCs w:val="21"/>
        </w:rPr>
        <w:t>¨</w:t>
      </w:r>
      <w:r>
        <w:rPr>
          <w:rFonts w:hint="eastAsia" w:ascii="宋体" w:hAnsi="宋体" w:cs="宋体"/>
          <w:iCs/>
          <w:szCs w:val="21"/>
        </w:rPr>
        <w:t xml:space="preserve">固定单价 </w:t>
      </w:r>
      <w:r>
        <w:rPr>
          <w:rFonts w:ascii="Wingdings" w:hAnsi="Wingdings" w:eastAsia="Wingdings" w:cs="Wingdings"/>
          <w:iCs/>
          <w:szCs w:val="21"/>
        </w:rPr>
        <w:t>¨</w:t>
      </w:r>
      <w:r>
        <w:rPr>
          <w:rFonts w:hint="eastAsia" w:ascii="宋体" w:hAnsi="宋体" w:cs="宋体"/>
          <w:iCs/>
          <w:szCs w:val="21"/>
        </w:rPr>
        <w:t xml:space="preserve">固定费率 </w:t>
      </w:r>
      <w:r>
        <w:rPr>
          <w:rFonts w:ascii="Wingdings" w:hAnsi="Wingdings" w:eastAsia="Wingdings" w:cs="Wingdings"/>
          <w:iCs/>
          <w:szCs w:val="21"/>
        </w:rPr>
        <w:t>¨</w:t>
      </w:r>
      <w:r>
        <w:rPr>
          <w:rFonts w:hint="eastAsia" w:ascii="宋体" w:hAnsi="宋体" w:cs="宋体"/>
          <w:iCs/>
          <w:szCs w:val="21"/>
        </w:rPr>
        <w:t xml:space="preserve">成本补偿 </w:t>
      </w:r>
      <w:r>
        <w:rPr>
          <w:rFonts w:ascii="Wingdings" w:hAnsi="Wingdings" w:eastAsia="Wingdings" w:cs="Wingdings"/>
          <w:iCs/>
          <w:szCs w:val="21"/>
        </w:rPr>
        <w:t>¨</w:t>
      </w:r>
      <w:r>
        <w:rPr>
          <w:rFonts w:hint="eastAsia" w:ascii="宋体" w:hAnsi="宋体" w:cs="宋体"/>
          <w:iCs/>
          <w:szCs w:val="21"/>
        </w:rPr>
        <w:t xml:space="preserve">绩效激励 </w:t>
      </w:r>
      <w:r>
        <w:rPr>
          <w:rFonts w:ascii="Wingdings" w:hAnsi="Wingdings" w:eastAsia="Wingdings" w:cs="Wingdings"/>
          <w:iCs/>
          <w:szCs w:val="21"/>
        </w:rPr>
        <w:t>¨</w:t>
      </w:r>
      <w:r>
        <w:rPr>
          <w:rFonts w:hint="eastAsia" w:ascii="宋体" w:hAnsi="宋体" w:cs="宋体"/>
          <w:iCs/>
          <w:szCs w:val="21"/>
        </w:rPr>
        <w:t>其他</w:t>
      </w:r>
      <w:r>
        <w:rPr>
          <w:rFonts w:hint="eastAsia" w:ascii="宋体" w:hAnsi="宋体" w:cs="宋体"/>
          <w:szCs w:val="21"/>
          <w:u w:val="single"/>
        </w:rPr>
        <w:t xml:space="preserve">       </w:t>
      </w:r>
    </w:p>
    <w:p w14:paraId="5BD2DB04">
      <w:pPr>
        <w:spacing w:line="400" w:lineRule="exact"/>
        <w:ind w:firstLine="420"/>
        <w:rPr>
          <w:rFonts w:ascii="宋体" w:hAnsi="宋体" w:cs="宋体"/>
          <w:szCs w:val="21"/>
        </w:rPr>
      </w:pPr>
      <w:r>
        <w:rPr>
          <w:rFonts w:hint="eastAsia" w:ascii="宋体" w:hAnsi="宋体" w:cs="宋体"/>
          <w:szCs w:val="21"/>
        </w:rPr>
        <w:t>（3）付款方式（按项目实际勾选填写）：</w:t>
      </w:r>
    </w:p>
    <w:p w14:paraId="2404B48D">
      <w:pPr>
        <w:spacing w:line="400" w:lineRule="exact"/>
        <w:ind w:firstLine="630"/>
        <w:rPr>
          <w:rFonts w:ascii="宋体" w:hAnsi="宋体" w:cs="宋体"/>
          <w:szCs w:val="21"/>
          <w:u w:val="single"/>
        </w:rPr>
      </w:pPr>
      <w:r>
        <w:rPr>
          <w:rFonts w:ascii="Wingdings" w:hAnsi="Wingdings" w:eastAsia="Wingdings" w:cs="Wingdings"/>
          <w:szCs w:val="21"/>
        </w:rPr>
        <w:t>¨</w:t>
      </w:r>
      <w:r>
        <w:rPr>
          <w:rFonts w:hint="eastAsia" w:ascii="宋体" w:hAnsi="宋体" w:cs="宋体"/>
          <w:szCs w:val="21"/>
        </w:rPr>
        <w:t>全额付款：</w:t>
      </w:r>
      <w:r>
        <w:rPr>
          <w:rFonts w:hint="eastAsia" w:ascii="宋体" w:hAnsi="宋体" w:cs="宋体"/>
          <w:szCs w:val="21"/>
          <w:u w:val="single"/>
        </w:rPr>
        <w:t xml:space="preserve">     （应明确一次性支付合同款项的条件）                    </w:t>
      </w:r>
    </w:p>
    <w:p w14:paraId="528EA981">
      <w:pPr>
        <w:spacing w:line="400" w:lineRule="exact"/>
        <w:ind w:firstLine="630"/>
        <w:rPr>
          <w:rFonts w:ascii="宋体" w:hAnsi="宋体" w:cs="宋体"/>
          <w:szCs w:val="21"/>
        </w:rPr>
      </w:pPr>
      <w:r>
        <w:rPr>
          <w:rFonts w:ascii="Wingdings" w:hAnsi="Wingdings" w:eastAsia="Wingdings" w:cs="Wingdings"/>
          <w:szCs w:val="21"/>
        </w:rPr>
        <w:t>¨</w:t>
      </w:r>
      <w:r>
        <w:rPr>
          <w:rFonts w:hint="eastAsia" w:ascii="宋体" w:hAnsi="宋体" w:cs="宋体"/>
          <w:szCs w:val="21"/>
        </w:rPr>
        <w:t>分期付款：</w:t>
      </w:r>
      <w:r>
        <w:rPr>
          <w:rFonts w:hint="eastAsia" w:ascii="宋体" w:hAnsi="宋体" w:cs="宋体"/>
          <w:szCs w:val="21"/>
          <w:u w:val="single"/>
        </w:rPr>
        <w:t xml:space="preserve">  （应明确分期支付合同款项的各期比例和支付条件，各期支付条件应与分期履约验收情况挂钩） </w:t>
      </w:r>
      <w:r>
        <w:rPr>
          <w:rFonts w:hint="eastAsia" w:ascii="宋体" w:hAnsi="宋体" w:cs="宋体"/>
          <w:szCs w:val="21"/>
        </w:rPr>
        <w:t>，其中涉及预付款的：</w:t>
      </w:r>
      <w:r>
        <w:rPr>
          <w:rFonts w:hint="eastAsia" w:ascii="宋体" w:hAnsi="宋体" w:cs="宋体"/>
          <w:szCs w:val="21"/>
          <w:u w:val="single"/>
        </w:rPr>
        <w:t xml:space="preserve"> （应明确预付款的支付比例和支付条件） </w:t>
      </w:r>
    </w:p>
    <w:p w14:paraId="552615C4">
      <w:pPr>
        <w:spacing w:line="400" w:lineRule="exact"/>
        <w:ind w:firstLine="630"/>
        <w:rPr>
          <w:rFonts w:ascii="宋体" w:hAnsi="宋体" w:cs="宋体"/>
          <w:szCs w:val="21"/>
          <w:u w:val="single"/>
        </w:rPr>
      </w:pPr>
      <w:r>
        <w:rPr>
          <w:rFonts w:ascii="Wingdings" w:hAnsi="Wingdings" w:eastAsia="Wingdings" w:cs="Wingdings"/>
          <w:szCs w:val="21"/>
        </w:rPr>
        <w:t>¨</w:t>
      </w:r>
      <w:r>
        <w:rPr>
          <w:rFonts w:hint="eastAsia" w:ascii="宋体" w:hAnsi="宋体" w:cs="宋体"/>
          <w:szCs w:val="21"/>
        </w:rPr>
        <w:t>成本补偿：</w:t>
      </w:r>
      <w:r>
        <w:rPr>
          <w:rFonts w:hint="eastAsia" w:ascii="宋体" w:hAnsi="宋体" w:cs="宋体"/>
          <w:szCs w:val="21"/>
          <w:u w:val="single"/>
        </w:rPr>
        <w:t xml:space="preserve">      （应明确按照成本补偿方式的支付方式和支付条件）   </w:t>
      </w:r>
    </w:p>
    <w:p w14:paraId="466399C2">
      <w:pPr>
        <w:spacing w:line="400" w:lineRule="exact"/>
        <w:ind w:firstLine="630"/>
        <w:rPr>
          <w:rFonts w:ascii="宋体" w:hAnsi="宋体" w:cs="宋体"/>
          <w:szCs w:val="21"/>
        </w:rPr>
      </w:pPr>
      <w:r>
        <w:rPr>
          <w:rFonts w:ascii="Wingdings" w:hAnsi="Wingdings" w:eastAsia="Wingdings" w:cs="Wingdings"/>
          <w:szCs w:val="21"/>
        </w:rPr>
        <w:t>¨</w:t>
      </w:r>
      <w:r>
        <w:rPr>
          <w:rFonts w:hint="eastAsia" w:ascii="宋体" w:hAnsi="宋体" w:cs="宋体"/>
          <w:szCs w:val="21"/>
        </w:rPr>
        <w:t>绩效激励：</w:t>
      </w:r>
      <w:r>
        <w:rPr>
          <w:rFonts w:hint="eastAsia" w:ascii="宋体" w:hAnsi="宋体" w:cs="宋体"/>
          <w:szCs w:val="21"/>
          <w:u w:val="single"/>
        </w:rPr>
        <w:t xml:space="preserve">      （应明确按照绩效激励方式的支付方式和支付条件）   </w:t>
      </w:r>
    </w:p>
    <w:p w14:paraId="7F69B223">
      <w:pPr>
        <w:numPr>
          <w:ilvl w:val="0"/>
          <w:numId w:val="2"/>
        </w:numPr>
        <w:spacing w:line="400" w:lineRule="exact"/>
        <w:ind w:firstLine="422"/>
        <w:rPr>
          <w:rFonts w:ascii="宋体" w:hAnsi="宋体" w:cs="宋体"/>
          <w:b/>
          <w:szCs w:val="21"/>
          <w:u w:val="single"/>
        </w:rPr>
      </w:pPr>
      <w:r>
        <w:rPr>
          <w:rFonts w:hint="eastAsia" w:ascii="宋体" w:hAnsi="宋体" w:cs="宋体"/>
          <w:b/>
          <w:szCs w:val="21"/>
        </w:rPr>
        <w:t>合同履行</w:t>
      </w:r>
    </w:p>
    <w:p w14:paraId="08C2E20D">
      <w:pPr>
        <w:spacing w:line="400" w:lineRule="exact"/>
        <w:ind w:firstLine="420"/>
        <w:rPr>
          <w:rFonts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D61459C">
      <w:pPr>
        <w:spacing w:line="400" w:lineRule="exact"/>
        <w:ind w:firstLine="420"/>
        <w:rPr>
          <w:rFonts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w:t>
      </w:r>
    </w:p>
    <w:p w14:paraId="6BD64D02">
      <w:pPr>
        <w:spacing w:line="400" w:lineRule="exact"/>
        <w:ind w:firstLine="420"/>
        <w:rPr>
          <w:rFonts w:ascii="宋体" w:hAnsi="宋体" w:cs="宋体"/>
          <w:szCs w:val="21"/>
        </w:rPr>
      </w:pPr>
      <w:r>
        <w:rPr>
          <w:rFonts w:hint="eastAsia" w:ascii="宋体" w:hAnsi="宋体" w:cs="宋体"/>
          <w:bCs/>
          <w:szCs w:val="21"/>
        </w:rPr>
        <w:t>（3）履约担保：</w:t>
      </w:r>
      <w:r>
        <w:rPr>
          <w:rFonts w:hint="eastAsia" w:ascii="宋体" w:hAnsi="宋体" w:cs="宋体"/>
          <w:szCs w:val="21"/>
        </w:rPr>
        <w:t>是否收取履约保证金：</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iCs/>
          <w:szCs w:val="21"/>
        </w:rPr>
        <w:t>¨</w:t>
      </w:r>
      <w:r>
        <w:rPr>
          <w:rFonts w:hint="eastAsia" w:ascii="宋体" w:hAnsi="宋体" w:cs="宋体"/>
          <w:szCs w:val="21"/>
        </w:rPr>
        <w:t>否</w:t>
      </w:r>
    </w:p>
    <w:p w14:paraId="4F290851">
      <w:pPr>
        <w:spacing w:line="400" w:lineRule="exact"/>
        <w:ind w:firstLine="420"/>
        <w:rPr>
          <w:rFonts w:ascii="宋体" w:hAnsi="宋体" w:cs="宋体"/>
          <w:szCs w:val="21"/>
        </w:rPr>
      </w:pPr>
      <w:r>
        <w:rPr>
          <w:rFonts w:hint="eastAsia" w:ascii="宋体" w:hAnsi="宋体" w:cs="宋体"/>
          <w:bCs/>
          <w:szCs w:val="21"/>
        </w:rPr>
        <w:t xml:space="preserve">  </w:t>
      </w:r>
      <w:r>
        <w:rPr>
          <w:rFonts w:hint="eastAsia" w:ascii="宋体" w:hAnsi="宋体" w:cs="宋体"/>
          <w:szCs w:val="21"/>
        </w:rPr>
        <w:t xml:space="preserve">  收取履约保证金形式：</w:t>
      </w:r>
      <w:r>
        <w:rPr>
          <w:rFonts w:hint="eastAsia" w:ascii="宋体" w:hAnsi="宋体" w:cs="宋体"/>
          <w:bCs/>
          <w:szCs w:val="21"/>
          <w:u w:val="single"/>
        </w:rPr>
        <w:t xml:space="preserve">                            </w:t>
      </w:r>
    </w:p>
    <w:p w14:paraId="42AD42C2">
      <w:pPr>
        <w:spacing w:line="400" w:lineRule="exact"/>
        <w:ind w:firstLine="420"/>
        <w:rPr>
          <w:rFonts w:ascii="宋体" w:hAnsi="宋体" w:cs="宋体"/>
          <w:szCs w:val="21"/>
        </w:rPr>
      </w:pPr>
      <w:r>
        <w:rPr>
          <w:rFonts w:hint="eastAsia" w:ascii="宋体" w:hAnsi="宋体" w:cs="宋体"/>
          <w:szCs w:val="21"/>
        </w:rPr>
        <w:t xml:space="preserve">    收取履约保证金金额：</w:t>
      </w:r>
      <w:r>
        <w:rPr>
          <w:rFonts w:hint="eastAsia" w:ascii="宋体" w:hAnsi="宋体" w:cs="宋体"/>
          <w:bCs/>
          <w:szCs w:val="21"/>
          <w:u w:val="single"/>
        </w:rPr>
        <w:t xml:space="preserve">                            </w:t>
      </w:r>
    </w:p>
    <w:p w14:paraId="7952E9CA">
      <w:pPr>
        <w:spacing w:line="400" w:lineRule="exact"/>
        <w:ind w:firstLine="420"/>
        <w:rPr>
          <w:rFonts w:ascii="宋体" w:hAnsi="宋体" w:cs="宋体"/>
          <w:szCs w:val="21"/>
        </w:rPr>
      </w:pPr>
      <w:r>
        <w:rPr>
          <w:rFonts w:hint="eastAsia" w:ascii="宋体" w:hAnsi="宋体" w:cs="宋体"/>
          <w:bCs/>
          <w:szCs w:val="21"/>
        </w:rPr>
        <w:t xml:space="preserve">    履约担保期限：</w:t>
      </w:r>
      <w:r>
        <w:rPr>
          <w:rFonts w:hint="eastAsia" w:ascii="宋体" w:hAnsi="宋体" w:cs="宋体"/>
          <w:bCs/>
          <w:szCs w:val="21"/>
          <w:u w:val="single"/>
        </w:rPr>
        <w:t xml:space="preserve">                                  </w:t>
      </w:r>
    </w:p>
    <w:p w14:paraId="12352DCE">
      <w:pPr>
        <w:spacing w:line="400" w:lineRule="exact"/>
        <w:ind w:firstLine="420"/>
        <w:rPr>
          <w:rFonts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p>
    <w:p w14:paraId="041BFD96">
      <w:pPr>
        <w:spacing w:line="400" w:lineRule="exact"/>
        <w:ind w:firstLine="420"/>
        <w:rPr>
          <w:rFonts w:ascii="宋体" w:hAnsi="宋体" w:cs="宋体"/>
          <w:szCs w:val="21"/>
          <w:u w:val="single"/>
        </w:rPr>
      </w:pPr>
      <w:r>
        <w:rPr>
          <w:rFonts w:hint="eastAsia" w:ascii="宋体" w:hAnsi="宋体" w:cs="宋体"/>
          <w:bCs/>
          <w:szCs w:val="21"/>
        </w:rPr>
        <w:t>（5）风险处置措施和替代方案：</w:t>
      </w:r>
      <w:r>
        <w:rPr>
          <w:rFonts w:hint="eastAsia" w:ascii="宋体" w:hAnsi="宋体" w:cs="宋体"/>
          <w:szCs w:val="21"/>
          <w:u w:val="single"/>
        </w:rPr>
        <w:t xml:space="preserve">                               </w:t>
      </w:r>
    </w:p>
    <w:p w14:paraId="33507CA0">
      <w:pPr>
        <w:numPr>
          <w:ilvl w:val="0"/>
          <w:numId w:val="2"/>
        </w:numPr>
        <w:spacing w:line="400" w:lineRule="exact"/>
        <w:ind w:firstLine="422"/>
        <w:rPr>
          <w:rFonts w:ascii="宋体" w:hAnsi="宋体" w:cs="宋体"/>
          <w:b/>
          <w:szCs w:val="21"/>
        </w:rPr>
      </w:pPr>
      <w:r>
        <w:rPr>
          <w:rFonts w:hint="eastAsia" w:ascii="宋体" w:hAnsi="宋体" w:cs="宋体"/>
          <w:b/>
          <w:szCs w:val="21"/>
        </w:rPr>
        <w:t>合同验收</w:t>
      </w:r>
    </w:p>
    <w:p w14:paraId="3FEBD1DA">
      <w:pPr>
        <w:numPr>
          <w:ilvl w:val="0"/>
          <w:numId w:val="4"/>
        </w:numPr>
        <w:spacing w:line="400" w:lineRule="exact"/>
        <w:ind w:firstLine="420"/>
        <w:rPr>
          <w:rFonts w:ascii="宋体" w:hAnsi="宋体" w:cs="宋体"/>
          <w:bCs/>
          <w:szCs w:val="21"/>
        </w:rPr>
      </w:pPr>
      <w:r>
        <w:rPr>
          <w:rFonts w:hint="eastAsia" w:ascii="宋体" w:hAnsi="宋体" w:cs="宋体"/>
          <w:bCs/>
          <w:szCs w:val="21"/>
        </w:rPr>
        <w:t>验收组织方式：</w:t>
      </w:r>
      <w:r>
        <w:rPr>
          <w:rFonts w:ascii="Wingdings" w:hAnsi="Wingdings" w:eastAsia="Wingdings" w:cs="Wingdings"/>
          <w:iCs/>
          <w:szCs w:val="21"/>
        </w:rPr>
        <w:t>¨</w:t>
      </w:r>
      <w:r>
        <w:rPr>
          <w:rFonts w:hint="eastAsia" w:ascii="宋体" w:hAnsi="宋体" w:cs="宋体"/>
          <w:bCs/>
          <w:szCs w:val="21"/>
        </w:rPr>
        <w:t xml:space="preserve">自行组织 </w:t>
      </w:r>
      <w:r>
        <w:rPr>
          <w:rFonts w:ascii="Wingdings" w:hAnsi="Wingdings" w:eastAsia="Wingdings" w:cs="Wingdings"/>
          <w:szCs w:val="21"/>
        </w:rPr>
        <w:t>¨</w:t>
      </w:r>
      <w:r>
        <w:rPr>
          <w:rFonts w:hint="eastAsia" w:ascii="宋体" w:hAnsi="宋体" w:cs="宋体"/>
          <w:bCs/>
          <w:szCs w:val="21"/>
        </w:rPr>
        <w:t>委托第三方组织</w:t>
      </w:r>
    </w:p>
    <w:p w14:paraId="24F88F3A">
      <w:pPr>
        <w:spacing w:line="400" w:lineRule="exact"/>
        <w:rPr>
          <w:rFonts w:ascii="宋体" w:hAnsi="宋体" w:cs="宋体"/>
          <w:bCs/>
          <w:szCs w:val="21"/>
        </w:rPr>
      </w:pPr>
      <w:r>
        <w:rPr>
          <w:rFonts w:hint="eastAsia" w:ascii="宋体" w:hAnsi="宋体" w:cs="宋体"/>
          <w:bCs/>
          <w:szCs w:val="21"/>
        </w:rPr>
        <w:t xml:space="preserve">         验收主体：</w:t>
      </w:r>
      <w:r>
        <w:rPr>
          <w:rFonts w:hint="eastAsia" w:ascii="宋体" w:hAnsi="宋体" w:cs="宋体"/>
          <w:bCs/>
          <w:szCs w:val="21"/>
          <w:u w:val="single"/>
        </w:rPr>
        <w:t xml:space="preserve">                  </w:t>
      </w:r>
    </w:p>
    <w:p w14:paraId="3D8452E1">
      <w:pPr>
        <w:spacing w:line="400" w:lineRule="exact"/>
        <w:rPr>
          <w:rFonts w:ascii="宋体" w:hAnsi="宋体" w:cs="宋体"/>
          <w:bCs/>
          <w:szCs w:val="21"/>
        </w:rPr>
      </w:pPr>
      <w:r>
        <w:rPr>
          <w:rFonts w:hint="eastAsia" w:ascii="宋体" w:hAnsi="宋体" w:cs="宋体"/>
          <w:bCs/>
          <w:szCs w:val="21"/>
        </w:rPr>
        <w:t xml:space="preserve">        是否邀请本项目的其他供应商参加验收：</w:t>
      </w:r>
      <w:r>
        <w:rPr>
          <w:rFonts w:ascii="Wingdings" w:hAnsi="Wingdings" w:eastAsia="Wingdings" w:cs="Wingdings"/>
          <w:szCs w:val="21"/>
        </w:rPr>
        <w:t>¨</w:t>
      </w:r>
      <w:r>
        <w:rPr>
          <w:rFonts w:hint="eastAsia" w:ascii="宋体" w:hAnsi="宋体" w:cs="宋体"/>
          <w:bCs/>
          <w:szCs w:val="21"/>
        </w:rPr>
        <w:t xml:space="preserve">是  </w:t>
      </w:r>
      <w:r>
        <w:rPr>
          <w:rFonts w:ascii="Wingdings" w:hAnsi="Wingdings" w:eastAsia="Wingdings" w:cs="Wingdings"/>
          <w:iCs/>
          <w:szCs w:val="21"/>
        </w:rPr>
        <w:t>þ</w:t>
      </w:r>
      <w:r>
        <w:rPr>
          <w:rFonts w:hint="eastAsia" w:ascii="宋体" w:hAnsi="宋体" w:cs="宋体"/>
          <w:bCs/>
          <w:szCs w:val="21"/>
        </w:rPr>
        <w:t>否</w:t>
      </w:r>
    </w:p>
    <w:p w14:paraId="5D6DB4BA">
      <w:pPr>
        <w:spacing w:line="400" w:lineRule="exact"/>
        <w:ind w:firstLine="840"/>
        <w:rPr>
          <w:rFonts w:ascii="宋体" w:hAnsi="宋体" w:cs="宋体"/>
          <w:bCs/>
          <w:szCs w:val="21"/>
        </w:rPr>
      </w:pPr>
      <w:r>
        <w:rPr>
          <w:rFonts w:hint="eastAsia" w:ascii="宋体" w:hAnsi="宋体" w:cs="宋体"/>
          <w:bCs/>
          <w:szCs w:val="21"/>
        </w:rPr>
        <w:t>是否邀请专家参加验收：</w:t>
      </w:r>
      <w:r>
        <w:rPr>
          <w:rFonts w:ascii="Wingdings" w:hAnsi="Wingdings" w:eastAsia="Wingdings" w:cs="Wingdings"/>
          <w:szCs w:val="21"/>
        </w:rPr>
        <w:t>¨</w:t>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20399E46">
      <w:pPr>
        <w:spacing w:line="400" w:lineRule="exact"/>
        <w:ind w:firstLine="840"/>
        <w:rPr>
          <w:rFonts w:ascii="宋体" w:hAnsi="宋体" w:cs="宋体"/>
          <w:bCs/>
          <w:szCs w:val="21"/>
        </w:rPr>
      </w:pPr>
      <w:r>
        <w:rPr>
          <w:rFonts w:hint="eastAsia" w:ascii="宋体" w:hAnsi="宋体" w:cs="宋体"/>
          <w:bCs/>
          <w:szCs w:val="21"/>
        </w:rPr>
        <w:t>是否邀请服务对象参加验收：</w:t>
      </w:r>
      <w:r>
        <w:rPr>
          <w:rFonts w:ascii="Wingdings" w:hAnsi="Wingdings" w:eastAsia="Wingdings" w:cs="Wingdings"/>
          <w:szCs w:val="21"/>
        </w:rPr>
        <w:t>¨</w:t>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51CE4AC4">
      <w:pPr>
        <w:spacing w:line="400" w:lineRule="exact"/>
        <w:ind w:firstLine="840"/>
        <w:rPr>
          <w:rFonts w:ascii="宋体" w:hAnsi="宋体" w:cs="宋体"/>
          <w:bCs/>
          <w:szCs w:val="21"/>
        </w:rPr>
      </w:pPr>
      <w:r>
        <w:rPr>
          <w:rFonts w:hint="eastAsia" w:ascii="宋体" w:hAnsi="宋体" w:cs="宋体"/>
          <w:bCs/>
          <w:szCs w:val="21"/>
        </w:rPr>
        <w:t>是否邀请第三方检测机构参加验收：</w:t>
      </w:r>
      <w:r>
        <w:rPr>
          <w:rFonts w:ascii="Wingdings" w:hAnsi="Wingdings" w:eastAsia="Wingdings" w:cs="Wingdings"/>
          <w:szCs w:val="21"/>
        </w:rPr>
        <w:t>¨</w:t>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260411BA">
      <w:pPr>
        <w:spacing w:line="400" w:lineRule="exact"/>
        <w:ind w:firstLine="840"/>
        <w:rPr>
          <w:rFonts w:ascii="宋体" w:hAnsi="宋体" w:cs="宋体"/>
          <w:bCs/>
          <w:szCs w:val="21"/>
        </w:rPr>
      </w:pPr>
      <w:r>
        <w:rPr>
          <w:rFonts w:hint="eastAsia" w:ascii="宋体" w:hAnsi="宋体" w:cs="宋体"/>
          <w:bCs/>
          <w:szCs w:val="21"/>
        </w:rPr>
        <w:t>是否进行抽查检测：</w:t>
      </w:r>
      <w:r>
        <w:rPr>
          <w:rFonts w:ascii="Wingdings" w:hAnsi="Wingdings" w:eastAsia="Wingdings" w:cs="Wingdings"/>
          <w:szCs w:val="21"/>
        </w:rPr>
        <w:t>¨</w:t>
      </w:r>
      <w:r>
        <w:rPr>
          <w:rFonts w:hint="eastAsia" w:ascii="宋体" w:hAnsi="宋体" w:cs="宋体"/>
          <w:bCs/>
          <w:szCs w:val="21"/>
        </w:rPr>
        <w:t>是，抽查比例：</w:t>
      </w:r>
      <w:r>
        <w:rPr>
          <w:rFonts w:hint="eastAsia" w:ascii="宋体" w:hAnsi="宋体" w:cs="宋体"/>
          <w:bCs/>
          <w:szCs w:val="21"/>
          <w:u w:val="single"/>
        </w:rPr>
        <w:t xml:space="preserve">        </w:t>
      </w:r>
      <w:r>
        <w:rPr>
          <w:rFonts w:hint="eastAsia" w:ascii="宋体" w:hAnsi="宋体" w:cs="宋体"/>
          <w:bCs/>
          <w:szCs w:val="21"/>
        </w:rPr>
        <w:t xml:space="preserve"> </w:t>
      </w:r>
      <w:r>
        <w:rPr>
          <w:rFonts w:ascii="Wingdings" w:hAnsi="Wingdings" w:eastAsia="Wingdings" w:cs="Wingdings"/>
          <w:szCs w:val="21"/>
        </w:rPr>
        <w:t>¨</w:t>
      </w:r>
      <w:r>
        <w:rPr>
          <w:rFonts w:hint="eastAsia" w:ascii="宋体" w:hAnsi="宋体" w:cs="宋体"/>
          <w:bCs/>
          <w:szCs w:val="21"/>
        </w:rPr>
        <w:t>否</w:t>
      </w:r>
    </w:p>
    <w:p w14:paraId="5D491D68">
      <w:pPr>
        <w:spacing w:line="400" w:lineRule="exact"/>
        <w:ind w:firstLine="840"/>
        <w:rPr>
          <w:rFonts w:ascii="宋体" w:hAnsi="宋体" w:cs="宋体"/>
          <w:bCs/>
          <w:szCs w:val="21"/>
          <w:u w:val="single"/>
        </w:rPr>
      </w:pPr>
      <w:r>
        <w:rPr>
          <w:rFonts w:hint="eastAsia" w:ascii="宋体" w:hAnsi="宋体" w:cs="宋体"/>
          <w:bCs/>
          <w:szCs w:val="21"/>
        </w:rPr>
        <w:t>是否存在破坏性检测：</w:t>
      </w:r>
      <w:r>
        <w:rPr>
          <w:rFonts w:ascii="Wingdings" w:hAnsi="Wingdings" w:eastAsia="Wingdings" w:cs="Wingdings"/>
          <w:szCs w:val="21"/>
        </w:rPr>
        <w:t>¨</w:t>
      </w:r>
      <w:r>
        <w:rPr>
          <w:rFonts w:hint="eastAsia" w:ascii="宋体" w:hAnsi="宋体" w:cs="宋体"/>
          <w:bCs/>
          <w:szCs w:val="21"/>
        </w:rPr>
        <w:t>是，</w:t>
      </w:r>
      <w:r>
        <w:rPr>
          <w:rFonts w:hint="eastAsia" w:ascii="宋体" w:hAnsi="宋体" w:cs="宋体"/>
          <w:bCs/>
          <w:szCs w:val="21"/>
          <w:u w:val="single"/>
        </w:rPr>
        <w:t>（应明确对被破坏的检测产品的处理方式）</w:t>
      </w:r>
    </w:p>
    <w:p w14:paraId="0D908D7A">
      <w:pPr>
        <w:spacing w:line="400" w:lineRule="exact"/>
        <w:ind w:firstLine="840"/>
        <w:rPr>
          <w:rFonts w:ascii="宋体" w:hAnsi="宋体" w:cs="宋体"/>
          <w:bCs/>
          <w:szCs w:val="21"/>
        </w:rPr>
      </w:pPr>
      <w:r>
        <w:rPr>
          <w:rFonts w:hint="eastAsia" w:ascii="宋体" w:hAnsi="宋体" w:cs="宋体"/>
          <w:bCs/>
          <w:szCs w:val="21"/>
        </w:rPr>
        <w:t xml:space="preserve">                    </w:t>
      </w:r>
      <w:r>
        <w:rPr>
          <w:rFonts w:ascii="Wingdings" w:hAnsi="Wingdings" w:eastAsia="Wingdings" w:cs="Wingdings"/>
          <w:szCs w:val="21"/>
        </w:rPr>
        <w:t>¨</w:t>
      </w:r>
      <w:r>
        <w:rPr>
          <w:rFonts w:hint="eastAsia" w:ascii="宋体" w:hAnsi="宋体" w:cs="宋体"/>
          <w:bCs/>
          <w:szCs w:val="21"/>
        </w:rPr>
        <w:t>否</w:t>
      </w:r>
    </w:p>
    <w:p w14:paraId="44D506DC">
      <w:pPr>
        <w:spacing w:line="400" w:lineRule="exact"/>
        <w:ind w:firstLine="840"/>
        <w:rPr>
          <w:rFonts w:ascii="宋体" w:hAnsi="宋体" w:cs="宋体"/>
          <w:bCs/>
          <w:szCs w:val="21"/>
          <w:u w:val="single"/>
        </w:rPr>
      </w:pPr>
      <w:r>
        <w:rPr>
          <w:rFonts w:hint="eastAsia" w:ascii="宋体" w:hAnsi="宋体" w:cs="宋体"/>
          <w:bCs/>
          <w:szCs w:val="21"/>
        </w:rPr>
        <w:t>验收组织的其他事项：</w:t>
      </w:r>
      <w:r>
        <w:rPr>
          <w:rFonts w:hint="eastAsia" w:ascii="宋体" w:hAnsi="宋体" w:cs="宋体"/>
          <w:bCs/>
          <w:szCs w:val="21"/>
          <w:u w:val="single"/>
        </w:rPr>
        <w:t xml:space="preserve">                </w:t>
      </w:r>
    </w:p>
    <w:p w14:paraId="700D533F">
      <w:pPr>
        <w:spacing w:line="400" w:lineRule="exact"/>
        <w:ind w:firstLine="420"/>
        <w:rPr>
          <w:rFonts w:ascii="宋体" w:hAnsi="宋体" w:cs="宋体"/>
          <w:bCs/>
          <w:szCs w:val="21"/>
          <w:u w:val="single"/>
        </w:rPr>
      </w:pPr>
      <w:r>
        <w:rPr>
          <w:rFonts w:hint="eastAsia" w:ascii="宋体" w:hAnsi="宋体" w:cs="宋体"/>
          <w:bCs/>
          <w:szCs w:val="21"/>
        </w:rPr>
        <w:t>（2）履约验收时间：</w:t>
      </w:r>
      <w:r>
        <w:rPr>
          <w:rFonts w:hint="eastAsia" w:ascii="宋体" w:hAnsi="宋体" w:cs="宋体"/>
          <w:bCs/>
          <w:szCs w:val="21"/>
          <w:u w:val="single"/>
        </w:rPr>
        <w:t xml:space="preserve">（计划于何时验收/供应商提出验收申请之日起   日内组织验收） </w:t>
      </w:r>
    </w:p>
    <w:p w14:paraId="252B501E">
      <w:pPr>
        <w:spacing w:line="400" w:lineRule="exact"/>
        <w:ind w:firstLine="420"/>
        <w:rPr>
          <w:rFonts w:ascii="宋体" w:hAnsi="宋体" w:cs="宋体"/>
          <w:bCs/>
          <w:szCs w:val="21"/>
        </w:rPr>
      </w:pPr>
      <w:r>
        <w:rPr>
          <w:rFonts w:hint="eastAsia" w:ascii="宋体" w:hAnsi="宋体" w:cs="宋体"/>
          <w:bCs/>
          <w:szCs w:val="21"/>
        </w:rPr>
        <w:t>（3）履约验收方式：</w:t>
      </w:r>
      <w:r>
        <w:rPr>
          <w:rFonts w:ascii="Wingdings" w:hAnsi="Wingdings" w:eastAsia="Wingdings" w:cs="Wingdings"/>
          <w:szCs w:val="21"/>
        </w:rPr>
        <w:t>¨</w:t>
      </w:r>
      <w:r>
        <w:rPr>
          <w:rFonts w:hint="eastAsia" w:ascii="宋体" w:hAnsi="宋体" w:cs="宋体"/>
          <w:bCs/>
          <w:szCs w:val="21"/>
        </w:rPr>
        <w:t xml:space="preserve">一次性验收         </w:t>
      </w:r>
    </w:p>
    <w:p w14:paraId="5255EBD2">
      <w:pPr>
        <w:spacing w:line="400" w:lineRule="exact"/>
        <w:rPr>
          <w:rFonts w:ascii="宋体" w:hAnsi="宋体" w:cs="宋体"/>
          <w:bCs/>
          <w:szCs w:val="21"/>
        </w:rPr>
      </w:pPr>
      <w:r>
        <w:rPr>
          <w:rFonts w:hint="eastAsia" w:ascii="宋体" w:hAnsi="宋体" w:cs="宋体"/>
          <w:bCs/>
          <w:szCs w:val="21"/>
        </w:rPr>
        <w:t xml:space="preserve">                       </w:t>
      </w:r>
      <w:r>
        <w:rPr>
          <w:rFonts w:ascii="Wingdings" w:hAnsi="Wingdings" w:eastAsia="Wingdings" w:cs="Wingdings"/>
          <w:szCs w:val="21"/>
        </w:rPr>
        <w:t>¨</w:t>
      </w:r>
      <w:r>
        <w:rPr>
          <w:rFonts w:hint="eastAsia" w:ascii="宋体" w:hAnsi="宋体" w:cs="宋体"/>
          <w:bCs/>
          <w:szCs w:val="21"/>
        </w:rPr>
        <w:t>分期/分项验收：</w:t>
      </w:r>
      <w:r>
        <w:rPr>
          <w:rFonts w:hint="eastAsia" w:ascii="宋体" w:hAnsi="宋体" w:cs="宋体"/>
          <w:bCs/>
          <w:szCs w:val="21"/>
          <w:u w:val="single"/>
        </w:rPr>
        <w:t xml:space="preserve"> （应明确分期</w:t>
      </w:r>
      <w:r>
        <w:rPr>
          <w:rFonts w:hint="eastAsia" w:ascii="宋体" w:hAnsi="宋体" w:cs="宋体"/>
          <w:bCs/>
          <w:szCs w:val="21"/>
          <w:u w:val="single"/>
          <w:lang w:val="en"/>
        </w:rPr>
        <w:t>/分项验收的工作安排</w:t>
      </w:r>
      <w:r>
        <w:rPr>
          <w:rFonts w:hint="eastAsia" w:ascii="宋体" w:hAnsi="宋体" w:cs="宋体"/>
          <w:bCs/>
          <w:szCs w:val="21"/>
          <w:u w:val="single"/>
        </w:rPr>
        <w:t xml:space="preserve">）  </w:t>
      </w:r>
    </w:p>
    <w:p w14:paraId="541DBC3C">
      <w:pPr>
        <w:spacing w:line="400" w:lineRule="exact"/>
        <w:ind w:firstLine="420"/>
        <w:rPr>
          <w:rFonts w:ascii="宋体" w:hAnsi="宋体" w:cs="宋体"/>
          <w:bCs/>
          <w:szCs w:val="21"/>
        </w:rPr>
      </w:pPr>
      <w:r>
        <w:rPr>
          <w:rFonts w:hint="eastAsia" w:ascii="宋体" w:hAnsi="宋体" w:cs="宋体"/>
          <w:bCs/>
          <w:szCs w:val="21"/>
        </w:rPr>
        <w:t>（4）履约验收程序：</w:t>
      </w:r>
      <w:r>
        <w:rPr>
          <w:rFonts w:hint="eastAsia" w:ascii="宋体" w:hAnsi="宋体" w:cs="宋体"/>
          <w:bCs/>
          <w:szCs w:val="21"/>
          <w:u w:val="single"/>
        </w:rPr>
        <w:t xml:space="preserve">                                         </w:t>
      </w:r>
    </w:p>
    <w:p w14:paraId="077D0BB1">
      <w:pPr>
        <w:spacing w:line="400" w:lineRule="exact"/>
        <w:ind w:firstLine="420"/>
        <w:rPr>
          <w:rFonts w:ascii="宋体" w:hAnsi="宋体" w:cs="宋体"/>
          <w:bCs/>
          <w:szCs w:val="21"/>
          <w:u w:val="single"/>
        </w:rPr>
      </w:pPr>
      <w:r>
        <w:rPr>
          <w:rFonts w:hint="eastAsia" w:ascii="宋体" w:hAnsi="宋体" w:cs="宋体"/>
          <w:bCs/>
          <w:szCs w:val="21"/>
        </w:rPr>
        <w:t>（5）履约验收的内容：</w:t>
      </w:r>
      <w:r>
        <w:rPr>
          <w:rFonts w:hint="eastAsia" w:ascii="宋体" w:hAnsi="宋体" w:cs="宋体"/>
          <w:bCs/>
          <w:szCs w:val="21"/>
          <w:u w:val="single"/>
        </w:rPr>
        <w:t xml:space="preserve"> （应当包括每一项技术和商务要求的履约情况，特别是落实政府采购扶持中小企业，支持绿色发展和乡村振兴等政策情况）                                      </w:t>
      </w:r>
    </w:p>
    <w:p w14:paraId="4B23EDEA">
      <w:pPr>
        <w:spacing w:line="400" w:lineRule="exact"/>
        <w:ind w:firstLine="420"/>
        <w:rPr>
          <w:rFonts w:ascii="宋体" w:hAnsi="宋体" w:cs="宋体"/>
          <w:bCs/>
          <w:szCs w:val="21"/>
          <w:u w:val="single"/>
        </w:rPr>
      </w:pPr>
      <w:r>
        <w:rPr>
          <w:rFonts w:hint="eastAsia" w:ascii="宋体" w:hAnsi="宋体" w:cs="宋体"/>
          <w:bCs/>
          <w:szCs w:val="21"/>
        </w:rPr>
        <w:t>（6）履约验收标准：</w:t>
      </w:r>
      <w:r>
        <w:rPr>
          <w:rFonts w:hint="eastAsia" w:ascii="宋体" w:hAnsi="宋体" w:cs="宋体"/>
          <w:bCs/>
          <w:szCs w:val="21"/>
          <w:u w:val="single"/>
        </w:rPr>
        <w:t xml:space="preserve">                                         </w:t>
      </w:r>
    </w:p>
    <w:p w14:paraId="0A49EC58">
      <w:pPr>
        <w:spacing w:line="400" w:lineRule="exact"/>
        <w:ind w:firstLine="420"/>
        <w:rPr>
          <w:rFonts w:ascii="宋体" w:hAnsi="宋体" w:cs="宋体"/>
          <w:szCs w:val="21"/>
        </w:rPr>
      </w:pPr>
      <w:r>
        <w:rPr>
          <w:rFonts w:hint="eastAsia" w:ascii="宋体" w:hAnsi="宋体" w:cs="宋体"/>
          <w:bCs/>
          <w:szCs w:val="21"/>
        </w:rPr>
        <w:t>（7）是否以采购活动中供应商提供的样品作为参考：</w:t>
      </w:r>
      <w:r>
        <w:rPr>
          <w:rFonts w:ascii="Wingdings" w:hAnsi="Wingdings" w:eastAsia="Wingdings" w:cs="Wingdings"/>
          <w:szCs w:val="21"/>
        </w:rPr>
        <w:t>¨</w:t>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5AED65A9">
      <w:pPr>
        <w:spacing w:line="400" w:lineRule="exact"/>
        <w:ind w:firstLine="42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（产权过户登记等）          </w:t>
      </w:r>
    </w:p>
    <w:p w14:paraId="6CA76900">
      <w:pPr>
        <w:numPr>
          <w:ilvl w:val="0"/>
          <w:numId w:val="2"/>
        </w:numPr>
        <w:spacing w:line="400" w:lineRule="exact"/>
        <w:ind w:firstLine="422"/>
        <w:rPr>
          <w:rFonts w:ascii="宋体" w:hAnsi="宋体" w:cs="宋体"/>
          <w:b/>
          <w:szCs w:val="21"/>
        </w:rPr>
      </w:pPr>
      <w:r>
        <w:rPr>
          <w:rFonts w:hint="eastAsia" w:ascii="宋体" w:hAnsi="宋体" w:cs="宋体"/>
          <w:b/>
          <w:szCs w:val="21"/>
        </w:rPr>
        <w:t>组成合同的文件</w:t>
      </w:r>
    </w:p>
    <w:p w14:paraId="7CBA7C53">
      <w:pPr>
        <w:spacing w:line="400" w:lineRule="exact"/>
        <w:ind w:firstLine="420"/>
        <w:rPr>
          <w:rFonts w:ascii="宋体" w:hAnsi="宋体" w:cs="宋体"/>
          <w:szCs w:val="21"/>
        </w:rPr>
      </w:pPr>
      <w:r>
        <w:rPr>
          <w:rFonts w:hint="eastAsia" w:ascii="宋体" w:hAnsi="宋体" w:cs="宋体"/>
          <w:szCs w:val="21"/>
        </w:rPr>
        <w:t>本协议书与下列文件一起构成合同文件，如下述文件之间有任何抵触、矛盾或歧义，应按以下顺序解释：</w:t>
      </w:r>
    </w:p>
    <w:p w14:paraId="56BFBA39">
      <w:pPr>
        <w:spacing w:line="400" w:lineRule="exact"/>
        <w:ind w:firstLine="420"/>
        <w:rPr>
          <w:rFonts w:ascii="宋体" w:hAnsi="宋体" w:cs="宋体"/>
          <w:szCs w:val="21"/>
        </w:rPr>
      </w:pPr>
      <w:r>
        <w:rPr>
          <w:rFonts w:hint="eastAsia" w:ascii="宋体" w:hAnsi="宋体" w:cs="宋体"/>
          <w:szCs w:val="21"/>
        </w:rPr>
        <w:t>（1）政府采购合同协议书及其变更、补充协议</w:t>
      </w:r>
    </w:p>
    <w:p w14:paraId="7901AAEC">
      <w:pPr>
        <w:spacing w:line="400" w:lineRule="exact"/>
        <w:ind w:firstLine="420"/>
        <w:rPr>
          <w:rFonts w:ascii="宋体" w:hAnsi="宋体" w:cs="宋体"/>
          <w:szCs w:val="21"/>
        </w:rPr>
      </w:pPr>
      <w:r>
        <w:rPr>
          <w:rFonts w:hint="eastAsia" w:ascii="宋体" w:hAnsi="宋体" w:cs="宋体"/>
          <w:szCs w:val="21"/>
        </w:rPr>
        <w:t>（2）政府采购合同专用条款</w:t>
      </w:r>
    </w:p>
    <w:p w14:paraId="5D88ECE5">
      <w:pPr>
        <w:spacing w:line="400" w:lineRule="exact"/>
        <w:ind w:firstLine="420"/>
        <w:rPr>
          <w:rFonts w:ascii="宋体" w:hAnsi="宋体" w:cs="宋体"/>
          <w:szCs w:val="21"/>
        </w:rPr>
      </w:pPr>
      <w:r>
        <w:rPr>
          <w:rFonts w:hint="eastAsia" w:ascii="宋体" w:hAnsi="宋体" w:cs="宋体"/>
          <w:szCs w:val="21"/>
        </w:rPr>
        <w:t>（3）政府采购合同通用条款</w:t>
      </w:r>
    </w:p>
    <w:p w14:paraId="51F90810">
      <w:pPr>
        <w:spacing w:line="400" w:lineRule="exact"/>
        <w:ind w:firstLine="420"/>
        <w:rPr>
          <w:rFonts w:ascii="宋体" w:hAnsi="宋体" w:cs="宋体"/>
          <w:szCs w:val="21"/>
        </w:rPr>
      </w:pPr>
      <w:r>
        <w:rPr>
          <w:rFonts w:hint="eastAsia" w:ascii="宋体" w:hAnsi="宋体" w:cs="宋体"/>
          <w:szCs w:val="21"/>
        </w:rPr>
        <w:t>（4）中标（成交）通知书</w:t>
      </w:r>
    </w:p>
    <w:p w14:paraId="57889895">
      <w:pPr>
        <w:spacing w:line="400" w:lineRule="exact"/>
        <w:ind w:firstLine="420"/>
        <w:rPr>
          <w:rFonts w:ascii="宋体" w:hAnsi="宋体" w:cs="宋体"/>
          <w:szCs w:val="21"/>
        </w:rPr>
      </w:pPr>
      <w:r>
        <w:rPr>
          <w:rFonts w:hint="eastAsia" w:ascii="宋体" w:hAnsi="宋体" w:cs="宋体"/>
          <w:szCs w:val="21"/>
        </w:rPr>
        <w:t>（5）投标（响应）文件</w:t>
      </w:r>
    </w:p>
    <w:p w14:paraId="77B39DBA">
      <w:pPr>
        <w:spacing w:line="400" w:lineRule="exact"/>
        <w:ind w:firstLine="420"/>
        <w:rPr>
          <w:rFonts w:ascii="宋体" w:hAnsi="宋体" w:cs="宋体"/>
          <w:szCs w:val="21"/>
        </w:rPr>
      </w:pPr>
      <w:r>
        <w:rPr>
          <w:rFonts w:hint="eastAsia" w:ascii="宋体" w:hAnsi="宋体" w:cs="宋体"/>
          <w:szCs w:val="21"/>
        </w:rPr>
        <w:t>（6）采购文件</w:t>
      </w:r>
    </w:p>
    <w:p w14:paraId="6856F08B">
      <w:pPr>
        <w:spacing w:line="400" w:lineRule="exact"/>
        <w:ind w:firstLine="420"/>
        <w:rPr>
          <w:rFonts w:ascii="宋体" w:hAnsi="宋体" w:cs="宋体"/>
          <w:szCs w:val="21"/>
        </w:rPr>
      </w:pPr>
      <w:r>
        <w:rPr>
          <w:rFonts w:hint="eastAsia" w:ascii="宋体" w:hAnsi="宋体" w:cs="宋体"/>
          <w:szCs w:val="21"/>
        </w:rPr>
        <w:t>（7）有关技术文件，图纸</w:t>
      </w:r>
    </w:p>
    <w:p w14:paraId="06EB7322">
      <w:pPr>
        <w:spacing w:line="400" w:lineRule="exact"/>
        <w:ind w:firstLine="420"/>
        <w:rPr>
          <w:rFonts w:ascii="宋体" w:hAnsi="宋体" w:cs="宋体"/>
          <w:szCs w:val="21"/>
        </w:rPr>
      </w:pPr>
      <w:r>
        <w:rPr>
          <w:rFonts w:hint="eastAsia" w:ascii="宋体" w:hAnsi="宋体" w:cs="宋体"/>
          <w:szCs w:val="21"/>
        </w:rPr>
        <w:t>（8）国家法律、行政法规和规章制度规定或合同约定的作为合同组成部分的其他文件</w:t>
      </w:r>
    </w:p>
    <w:p w14:paraId="6D8DF418">
      <w:pPr>
        <w:numPr>
          <w:ilvl w:val="0"/>
          <w:numId w:val="2"/>
        </w:numPr>
        <w:spacing w:line="400" w:lineRule="exact"/>
        <w:ind w:firstLine="422"/>
        <w:rPr>
          <w:rFonts w:ascii="宋体" w:hAnsi="宋体" w:cs="宋体"/>
          <w:b/>
          <w:szCs w:val="21"/>
        </w:rPr>
      </w:pPr>
      <w:r>
        <w:rPr>
          <w:rFonts w:hint="eastAsia" w:ascii="宋体" w:hAnsi="宋体" w:cs="宋体"/>
          <w:b/>
          <w:szCs w:val="21"/>
        </w:rPr>
        <w:t>合同生效</w:t>
      </w:r>
    </w:p>
    <w:p w14:paraId="76F3FB8C">
      <w:pPr>
        <w:spacing w:line="400" w:lineRule="exact"/>
        <w:ind w:firstLine="420"/>
        <w:rPr>
          <w:rFonts w:ascii="宋体" w:hAnsi="宋体" w:cs="宋体"/>
          <w:szCs w:val="21"/>
        </w:rPr>
      </w:pPr>
      <w:r>
        <w:rPr>
          <w:rFonts w:hint="eastAsia" w:ascii="宋体" w:hAnsi="宋体" w:cs="宋体"/>
          <w:szCs w:val="21"/>
        </w:rPr>
        <w:t>本合同自</w:t>
      </w:r>
      <w:r>
        <w:rPr>
          <w:rFonts w:hint="eastAsia" w:ascii="宋体" w:hAnsi="宋体" w:cs="宋体"/>
          <w:szCs w:val="21"/>
          <w:u w:val="single"/>
        </w:rPr>
        <w:t xml:space="preserve">                             </w:t>
      </w:r>
      <w:r>
        <w:rPr>
          <w:rFonts w:hint="eastAsia" w:ascii="宋体" w:hAnsi="宋体" w:cs="宋体"/>
          <w:szCs w:val="21"/>
        </w:rPr>
        <w:t>生效。</w:t>
      </w:r>
    </w:p>
    <w:p w14:paraId="5350E07E">
      <w:pPr>
        <w:numPr>
          <w:ilvl w:val="0"/>
          <w:numId w:val="2"/>
        </w:numPr>
        <w:spacing w:line="400" w:lineRule="exact"/>
        <w:ind w:firstLine="422"/>
        <w:rPr>
          <w:rFonts w:ascii="宋体" w:hAnsi="宋体" w:cs="宋体"/>
          <w:b/>
          <w:szCs w:val="21"/>
        </w:rPr>
      </w:pPr>
      <w:r>
        <w:rPr>
          <w:rFonts w:hint="eastAsia" w:ascii="宋体" w:hAnsi="宋体" w:cs="宋体"/>
          <w:b/>
          <w:szCs w:val="21"/>
        </w:rPr>
        <w:t>合同份数</w:t>
      </w:r>
    </w:p>
    <w:p w14:paraId="1AD111D7">
      <w:pPr>
        <w:spacing w:line="400" w:lineRule="exact"/>
        <w:ind w:firstLine="420"/>
        <w:rPr>
          <w:rFonts w:ascii="宋体" w:hAnsi="宋体" w:cs="宋体"/>
          <w:szCs w:val="21"/>
        </w:rPr>
      </w:pPr>
      <w:r>
        <w:rPr>
          <w:rFonts w:hint="eastAsia" w:ascii="宋体" w:hAnsi="宋体" w:cs="宋体"/>
          <w:szCs w:val="21"/>
        </w:rPr>
        <w:t>本合同一式</w:t>
      </w:r>
      <w:r>
        <w:rPr>
          <w:rFonts w:hint="eastAsia" w:ascii="宋体" w:hAnsi="宋体" w:cs="宋体"/>
          <w:szCs w:val="21"/>
          <w:u w:val="single"/>
        </w:rPr>
        <w:t xml:space="preserve">    </w:t>
      </w:r>
      <w:r>
        <w:rPr>
          <w:rFonts w:hint="eastAsia" w:ascii="宋体" w:hAnsi="宋体" w:cs="宋体"/>
          <w:szCs w:val="21"/>
        </w:rPr>
        <w:t>份，甲方执</w:t>
      </w:r>
      <w:r>
        <w:rPr>
          <w:rFonts w:hint="eastAsia" w:ascii="宋体" w:hAnsi="宋体" w:cs="宋体"/>
          <w:szCs w:val="21"/>
          <w:u w:val="single"/>
        </w:rPr>
        <w:t xml:space="preserve">    </w:t>
      </w:r>
      <w:r>
        <w:rPr>
          <w:rFonts w:hint="eastAsia" w:ascii="宋体" w:hAnsi="宋体" w:cs="宋体"/>
          <w:szCs w:val="21"/>
        </w:rPr>
        <w:t>份，乙方执</w:t>
      </w:r>
      <w:r>
        <w:rPr>
          <w:rFonts w:hint="eastAsia" w:ascii="宋体" w:hAnsi="宋体" w:cs="宋体"/>
          <w:szCs w:val="21"/>
          <w:u w:val="single"/>
        </w:rPr>
        <w:t xml:space="preserve">    </w:t>
      </w:r>
      <w:r>
        <w:rPr>
          <w:rFonts w:hint="eastAsia" w:ascii="宋体" w:hAnsi="宋体" w:cs="宋体"/>
          <w:szCs w:val="21"/>
        </w:rPr>
        <w:t>份，均具有同等法律效力。</w:t>
      </w:r>
    </w:p>
    <w:p w14:paraId="14877903">
      <w:pPr>
        <w:spacing w:line="400" w:lineRule="exact"/>
        <w:ind w:firstLine="420"/>
        <w:rPr>
          <w:rFonts w:ascii="宋体" w:hAnsi="宋体" w:cs="宋体"/>
          <w:szCs w:val="21"/>
        </w:rPr>
      </w:pPr>
      <w:r>
        <w:rPr>
          <w:rFonts w:hint="eastAsia" w:ascii="宋体" w:hAnsi="宋体" w:cs="宋体"/>
          <w:szCs w:val="21"/>
        </w:rPr>
        <w:t>合同订立时间：</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78CAEBF">
      <w:pPr>
        <w:spacing w:line="400" w:lineRule="exact"/>
        <w:ind w:firstLine="420"/>
        <w:rPr>
          <w:rFonts w:ascii="宋体" w:hAnsi="宋体" w:cs="宋体"/>
          <w:szCs w:val="21"/>
        </w:rPr>
      </w:pPr>
      <w:r>
        <w:rPr>
          <w:rFonts w:hint="eastAsia" w:ascii="宋体" w:hAnsi="宋体" w:cs="宋体"/>
          <w:szCs w:val="21"/>
        </w:rPr>
        <w:t>合同订立地点：</w:t>
      </w:r>
      <w:r>
        <w:rPr>
          <w:rFonts w:hint="eastAsia" w:ascii="宋体" w:hAnsi="宋体" w:cs="宋体"/>
          <w:szCs w:val="21"/>
          <w:u w:val="single"/>
        </w:rPr>
        <w:t xml:space="preserve">                           </w:t>
      </w:r>
    </w:p>
    <w:p w14:paraId="0D62DCD3">
      <w:pPr>
        <w:spacing w:line="400" w:lineRule="exact"/>
        <w:ind w:firstLine="420"/>
        <w:rPr>
          <w:rFonts w:ascii="宋体" w:hAnsi="宋体" w:cs="宋体"/>
          <w:szCs w:val="21"/>
        </w:rPr>
      </w:pPr>
      <w:r>
        <w:rPr>
          <w:rFonts w:hint="eastAsia" w:ascii="宋体" w:hAnsi="宋体" w:cs="宋体"/>
          <w:szCs w:val="21"/>
        </w:rPr>
        <w:t>附件：具体标的及其技术要求和商务要求、联合协议、分包意向协议等。</w:t>
      </w:r>
    </w:p>
    <w:p w14:paraId="437BED1E">
      <w:pPr>
        <w:spacing w:line="400" w:lineRule="exact"/>
        <w:ind w:firstLine="420"/>
        <w:rPr>
          <w:rFonts w:ascii="宋体" w:hAnsi="宋体" w:cs="宋体"/>
          <w:szCs w:val="21"/>
        </w:rPr>
      </w:pPr>
    </w:p>
    <w:p w14:paraId="16A74C0A">
      <w:pPr>
        <w:pStyle w:val="848"/>
        <w:keepNext w:val="0"/>
        <w:keepLines w:val="0"/>
        <w:spacing w:line="400" w:lineRule="exact"/>
        <w:rPr>
          <w:rFonts w:ascii="宋体" w:hAnsi="宋体" w:eastAsia="宋体" w:cs="宋体"/>
          <w:b w:val="0"/>
          <w:bCs w:val="0"/>
          <w:sz w:val="21"/>
          <w:szCs w:val="21"/>
        </w:rPr>
      </w:pPr>
      <w:r>
        <w:rPr>
          <w:rFonts w:hint="eastAsia" w:ascii="宋体" w:hAnsi="宋体" w:eastAsia="宋体" w:cs="宋体"/>
          <w:sz w:val="21"/>
          <w:szCs w:val="21"/>
          <w:lang w:val="en"/>
        </w:rPr>
        <w:t xml:space="preserve">   </w:t>
      </w:r>
    </w:p>
    <w:p w14:paraId="6BFD3F78">
      <w:pPr>
        <w:rPr>
          <w:rFonts w:ascii="宋体" w:hAnsi="宋体" w:cs="宋体"/>
          <w:szCs w:val="21"/>
        </w:rPr>
      </w:pPr>
      <w:r>
        <w:rPr>
          <w:rFonts w:hint="eastAsia" w:ascii="宋体" w:hAnsi="宋体" w:cs="宋体"/>
          <w:szCs w:val="21"/>
        </w:rPr>
        <w:br w:type="page" w:clear="all"/>
      </w:r>
    </w:p>
    <w:p w14:paraId="7AD18904">
      <w:pPr>
        <w:ind w:firstLine="420"/>
        <w:rPr>
          <w:rFonts w:ascii="宋体" w:hAnsi="宋体" w:cs="宋体"/>
          <w:szCs w:val="21"/>
        </w:rPr>
      </w:pPr>
    </w:p>
    <w:tbl>
      <w:tblPr>
        <w:tblStyle w:val="65"/>
        <w:tblW w:w="4927" w:type="pct"/>
        <w:tblInd w:w="-108" w:type="dxa"/>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211"/>
        <w:gridCol w:w="3704"/>
        <w:gridCol w:w="1267"/>
        <w:gridCol w:w="3413"/>
      </w:tblGrid>
      <w:tr w14:paraId="30CF0BC7">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trPr>
        <w:tc>
          <w:tcPr>
            <w:tcW w:w="4569" w:type="dxa"/>
            <w:gridSpan w:val="2"/>
            <w:noWrap w:val="0"/>
            <w:vAlign w:val="center"/>
          </w:tcPr>
          <w:p w14:paraId="5180E3B3">
            <w:pPr>
              <w:spacing w:line="300" w:lineRule="exact"/>
              <w:jc w:val="center"/>
              <w:rPr>
                <w:rFonts w:ascii="宋体" w:hAnsi="宋体" w:cs="宋体"/>
                <w:szCs w:val="21"/>
              </w:rPr>
            </w:pPr>
            <w:r>
              <w:rPr>
                <w:rFonts w:hint="eastAsia" w:ascii="宋体" w:hAnsi="宋体" w:cs="宋体"/>
                <w:szCs w:val="21"/>
              </w:rPr>
              <w:t>甲方（采购人、受采购人委托签订合同的单位或采购文件约定的合同甲方）</w:t>
            </w:r>
          </w:p>
        </w:tc>
        <w:tc>
          <w:tcPr>
            <w:tcW w:w="4349" w:type="dxa"/>
            <w:gridSpan w:val="2"/>
            <w:noWrap w:val="0"/>
            <w:vAlign w:val="center"/>
          </w:tcPr>
          <w:p w14:paraId="5C161801">
            <w:pPr>
              <w:spacing w:line="300" w:lineRule="exact"/>
              <w:jc w:val="center"/>
              <w:rPr>
                <w:rFonts w:ascii="宋体" w:hAnsi="宋体" w:cs="宋体"/>
                <w:szCs w:val="21"/>
              </w:rPr>
            </w:pPr>
            <w:r>
              <w:rPr>
                <w:rFonts w:hint="eastAsia" w:ascii="宋体" w:hAnsi="宋体" w:cs="宋体"/>
                <w:szCs w:val="21"/>
              </w:rPr>
              <w:t>乙方（供应商）</w:t>
            </w:r>
          </w:p>
        </w:tc>
      </w:tr>
      <w:tr w14:paraId="7A025DD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trPr>
        <w:tc>
          <w:tcPr>
            <w:tcW w:w="1126" w:type="dxa"/>
            <w:noWrap w:val="0"/>
            <w:vAlign w:val="center"/>
          </w:tcPr>
          <w:p w14:paraId="79A2D1E8">
            <w:pPr>
              <w:spacing w:line="300" w:lineRule="exact"/>
              <w:jc w:val="center"/>
              <w:rPr>
                <w:rFonts w:ascii="宋体" w:hAnsi="宋体" w:cs="宋体"/>
                <w:szCs w:val="21"/>
              </w:rPr>
            </w:pPr>
            <w:r>
              <w:rPr>
                <w:rFonts w:hint="eastAsia" w:ascii="宋体" w:hAnsi="宋体" w:cs="宋体"/>
                <w:szCs w:val="21"/>
              </w:rPr>
              <w:t>单位名称（公章或合同章）</w:t>
            </w:r>
          </w:p>
        </w:tc>
        <w:tc>
          <w:tcPr>
            <w:tcW w:w="1436" w:type="dxa"/>
            <w:noWrap w:val="0"/>
            <w:vAlign w:val="center"/>
          </w:tcPr>
          <w:p w14:paraId="30BD0470">
            <w:pPr>
              <w:spacing w:line="300" w:lineRule="exact"/>
              <w:jc w:val="center"/>
              <w:rPr>
                <w:rFonts w:ascii="宋体" w:hAnsi="宋体" w:cs="宋体"/>
                <w:szCs w:val="21"/>
              </w:rPr>
            </w:pPr>
          </w:p>
        </w:tc>
        <w:tc>
          <w:tcPr>
            <w:tcW w:w="1178" w:type="dxa"/>
            <w:noWrap w:val="0"/>
            <w:vAlign w:val="center"/>
          </w:tcPr>
          <w:p w14:paraId="169669DE">
            <w:pPr>
              <w:spacing w:line="300" w:lineRule="exact"/>
              <w:jc w:val="center"/>
              <w:rPr>
                <w:rFonts w:ascii="宋体" w:hAnsi="宋体" w:cs="宋体"/>
                <w:szCs w:val="21"/>
              </w:rPr>
            </w:pPr>
            <w:r>
              <w:rPr>
                <w:rFonts w:hint="eastAsia" w:ascii="宋体" w:hAnsi="宋体" w:cs="宋体"/>
                <w:szCs w:val="21"/>
              </w:rPr>
              <w:t>单位名称（公章或合同章）</w:t>
            </w:r>
          </w:p>
        </w:tc>
        <w:tc>
          <w:tcPr>
            <w:tcW w:w="1259" w:type="dxa"/>
            <w:noWrap w:val="0"/>
            <w:vAlign w:val="center"/>
          </w:tcPr>
          <w:p w14:paraId="54F3F395">
            <w:pPr>
              <w:spacing w:line="300" w:lineRule="exact"/>
              <w:jc w:val="center"/>
              <w:rPr>
                <w:rFonts w:ascii="宋体" w:hAnsi="宋体" w:cs="宋体"/>
                <w:spacing w:val="20"/>
                <w:szCs w:val="21"/>
              </w:rPr>
            </w:pPr>
          </w:p>
        </w:tc>
      </w:tr>
      <w:tr w14:paraId="7F907F4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1171" w:hRule="atLeast"/>
        </w:trPr>
        <w:tc>
          <w:tcPr>
            <w:tcW w:w="1126" w:type="dxa"/>
            <w:vMerge w:val="restart"/>
            <w:noWrap w:val="0"/>
            <w:vAlign w:val="center"/>
          </w:tcPr>
          <w:p w14:paraId="5C57D16F">
            <w:pPr>
              <w:spacing w:line="300" w:lineRule="exact"/>
              <w:jc w:val="center"/>
              <w:rPr>
                <w:rFonts w:ascii="宋体" w:hAnsi="宋体" w:cs="宋体"/>
                <w:szCs w:val="21"/>
              </w:rPr>
            </w:pPr>
            <w:r>
              <w:rPr>
                <w:rFonts w:hint="eastAsia" w:ascii="宋体" w:hAnsi="宋体" w:cs="宋体"/>
                <w:szCs w:val="21"/>
              </w:rPr>
              <w:t>法定代表人</w:t>
            </w:r>
          </w:p>
          <w:p w14:paraId="580FABED">
            <w:pPr>
              <w:spacing w:line="300" w:lineRule="exact"/>
              <w:ind w:firstLine="100"/>
              <w:jc w:val="center"/>
              <w:rPr>
                <w:rFonts w:ascii="宋体" w:hAnsi="宋体" w:cs="宋体"/>
                <w:szCs w:val="21"/>
              </w:rPr>
            </w:pPr>
            <w:r>
              <w:rPr>
                <w:rFonts w:hint="eastAsia" w:ascii="宋体" w:hAnsi="宋体" w:cs="宋体"/>
                <w:szCs w:val="21"/>
              </w:rPr>
              <w:t>或其委托代理人（签章）</w:t>
            </w:r>
          </w:p>
        </w:tc>
        <w:tc>
          <w:tcPr>
            <w:tcW w:w="1436" w:type="dxa"/>
            <w:vMerge w:val="restart"/>
            <w:noWrap w:val="0"/>
            <w:vAlign w:val="center"/>
          </w:tcPr>
          <w:p w14:paraId="495F9EE4">
            <w:pPr>
              <w:spacing w:line="300" w:lineRule="exact"/>
              <w:jc w:val="center"/>
              <w:rPr>
                <w:rFonts w:ascii="宋体" w:hAnsi="宋体" w:cs="宋体"/>
                <w:szCs w:val="21"/>
              </w:rPr>
            </w:pPr>
          </w:p>
        </w:tc>
        <w:tc>
          <w:tcPr>
            <w:tcW w:w="1178" w:type="dxa"/>
            <w:noWrap w:val="0"/>
            <w:vAlign w:val="center"/>
          </w:tcPr>
          <w:p w14:paraId="7A2387B1">
            <w:pPr>
              <w:spacing w:line="300" w:lineRule="exact"/>
              <w:jc w:val="center"/>
              <w:rPr>
                <w:rFonts w:ascii="宋体" w:hAnsi="宋体" w:cs="宋体"/>
                <w:szCs w:val="21"/>
              </w:rPr>
            </w:pPr>
            <w:r>
              <w:rPr>
                <w:rFonts w:hint="eastAsia" w:ascii="宋体" w:hAnsi="宋体" w:cs="宋体"/>
                <w:szCs w:val="21"/>
              </w:rPr>
              <w:t>法定代表人</w:t>
            </w:r>
          </w:p>
          <w:p w14:paraId="2B1E43AF">
            <w:pPr>
              <w:spacing w:line="300" w:lineRule="exact"/>
              <w:jc w:val="center"/>
              <w:rPr>
                <w:rFonts w:ascii="宋体" w:hAnsi="宋体" w:cs="宋体"/>
                <w:szCs w:val="21"/>
              </w:rPr>
            </w:pPr>
            <w:r>
              <w:rPr>
                <w:rFonts w:hint="eastAsia" w:ascii="宋体" w:hAnsi="宋体" w:cs="宋体"/>
                <w:szCs w:val="21"/>
              </w:rPr>
              <w:t>或其委托代理人（签章）</w:t>
            </w:r>
          </w:p>
        </w:tc>
        <w:tc>
          <w:tcPr>
            <w:tcW w:w="1259" w:type="dxa"/>
            <w:noWrap w:val="0"/>
            <w:vAlign w:val="center"/>
          </w:tcPr>
          <w:p w14:paraId="60EFF9E1">
            <w:pPr>
              <w:spacing w:line="300" w:lineRule="exact"/>
              <w:jc w:val="center"/>
              <w:rPr>
                <w:rFonts w:ascii="宋体" w:hAnsi="宋体" w:cs="宋体"/>
                <w:szCs w:val="21"/>
              </w:rPr>
            </w:pPr>
          </w:p>
        </w:tc>
      </w:tr>
      <w:tr w14:paraId="64A5928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vMerge w:val="continue"/>
            <w:noWrap w:val="0"/>
            <w:vAlign w:val="center"/>
          </w:tcPr>
          <w:p w14:paraId="3F964785">
            <w:pPr>
              <w:spacing w:line="300" w:lineRule="exact"/>
              <w:jc w:val="center"/>
              <w:rPr>
                <w:rFonts w:ascii="宋体" w:hAnsi="宋体" w:cs="宋体"/>
                <w:szCs w:val="21"/>
              </w:rPr>
            </w:pPr>
          </w:p>
        </w:tc>
        <w:tc>
          <w:tcPr>
            <w:tcW w:w="1436" w:type="dxa"/>
            <w:vMerge w:val="continue"/>
            <w:noWrap w:val="0"/>
            <w:vAlign w:val="center"/>
          </w:tcPr>
          <w:p w14:paraId="7F221DC3">
            <w:pPr>
              <w:spacing w:line="300" w:lineRule="exact"/>
              <w:jc w:val="center"/>
              <w:rPr>
                <w:rFonts w:ascii="宋体" w:hAnsi="宋体" w:cs="宋体"/>
                <w:szCs w:val="21"/>
              </w:rPr>
            </w:pPr>
          </w:p>
        </w:tc>
        <w:tc>
          <w:tcPr>
            <w:tcW w:w="1178" w:type="dxa"/>
            <w:noWrap w:val="0"/>
            <w:vAlign w:val="center"/>
          </w:tcPr>
          <w:p w14:paraId="1EC5D351">
            <w:pPr>
              <w:spacing w:line="300" w:lineRule="exact"/>
              <w:jc w:val="center"/>
              <w:rPr>
                <w:rFonts w:ascii="宋体" w:hAnsi="宋体" w:cs="宋体"/>
                <w:szCs w:val="21"/>
              </w:rPr>
            </w:pPr>
            <w:r>
              <w:rPr>
                <w:rFonts w:hint="eastAsia" w:ascii="宋体" w:hAnsi="宋体" w:cs="宋体"/>
                <w:szCs w:val="21"/>
              </w:rPr>
              <w:t>拥有者性别</w:t>
            </w:r>
          </w:p>
        </w:tc>
        <w:tc>
          <w:tcPr>
            <w:tcW w:w="1259" w:type="dxa"/>
            <w:noWrap w:val="0"/>
            <w:vAlign w:val="center"/>
          </w:tcPr>
          <w:p w14:paraId="2D30CA16">
            <w:pPr>
              <w:spacing w:line="300" w:lineRule="exact"/>
              <w:jc w:val="center"/>
              <w:rPr>
                <w:rFonts w:ascii="宋体" w:hAnsi="宋体" w:cs="宋体"/>
                <w:spacing w:val="20"/>
                <w:szCs w:val="21"/>
              </w:rPr>
            </w:pPr>
          </w:p>
        </w:tc>
      </w:tr>
      <w:tr w14:paraId="155620E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7EBD155">
            <w:pPr>
              <w:spacing w:line="300" w:lineRule="exact"/>
              <w:jc w:val="center"/>
              <w:rPr>
                <w:rFonts w:ascii="宋体" w:hAnsi="宋体" w:cs="宋体"/>
                <w:szCs w:val="21"/>
              </w:rPr>
            </w:pPr>
            <w:r>
              <w:rPr>
                <w:rFonts w:hint="eastAsia" w:ascii="宋体" w:hAnsi="宋体" w:cs="宋体"/>
                <w:szCs w:val="21"/>
              </w:rPr>
              <w:t>住  所</w:t>
            </w:r>
          </w:p>
        </w:tc>
        <w:tc>
          <w:tcPr>
            <w:tcW w:w="1436" w:type="dxa"/>
            <w:noWrap w:val="0"/>
            <w:vAlign w:val="center"/>
          </w:tcPr>
          <w:p w14:paraId="394B6D60">
            <w:pPr>
              <w:spacing w:line="300" w:lineRule="exact"/>
              <w:jc w:val="center"/>
              <w:rPr>
                <w:rFonts w:ascii="宋体" w:hAnsi="宋体" w:cs="宋体"/>
                <w:szCs w:val="21"/>
              </w:rPr>
            </w:pPr>
          </w:p>
        </w:tc>
        <w:tc>
          <w:tcPr>
            <w:tcW w:w="1178" w:type="dxa"/>
            <w:noWrap w:val="0"/>
            <w:vAlign w:val="center"/>
          </w:tcPr>
          <w:p w14:paraId="63ABFFE4">
            <w:pPr>
              <w:spacing w:line="300" w:lineRule="exact"/>
              <w:jc w:val="center"/>
              <w:rPr>
                <w:rFonts w:ascii="宋体" w:hAnsi="宋体" w:cs="宋体"/>
                <w:szCs w:val="21"/>
              </w:rPr>
            </w:pPr>
            <w:r>
              <w:rPr>
                <w:rFonts w:hint="eastAsia" w:ascii="宋体" w:hAnsi="宋体" w:cs="宋体"/>
                <w:szCs w:val="21"/>
              </w:rPr>
              <w:t>住  所</w:t>
            </w:r>
          </w:p>
        </w:tc>
        <w:tc>
          <w:tcPr>
            <w:tcW w:w="1259" w:type="dxa"/>
            <w:noWrap w:val="0"/>
            <w:vAlign w:val="center"/>
          </w:tcPr>
          <w:p w14:paraId="3CEEB0FE">
            <w:pPr>
              <w:spacing w:line="300" w:lineRule="exact"/>
              <w:jc w:val="center"/>
              <w:rPr>
                <w:rFonts w:ascii="宋体" w:hAnsi="宋体" w:cs="宋体"/>
                <w:spacing w:val="20"/>
                <w:szCs w:val="21"/>
              </w:rPr>
            </w:pPr>
          </w:p>
        </w:tc>
      </w:tr>
      <w:tr w14:paraId="63101D2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46D0C745">
            <w:pPr>
              <w:spacing w:line="300" w:lineRule="exact"/>
              <w:jc w:val="center"/>
              <w:rPr>
                <w:rFonts w:ascii="宋体" w:hAnsi="宋体" w:cs="宋体"/>
                <w:szCs w:val="21"/>
              </w:rPr>
            </w:pPr>
            <w:r>
              <w:rPr>
                <w:rFonts w:hint="eastAsia" w:ascii="宋体" w:hAnsi="宋体" w:cs="宋体"/>
                <w:szCs w:val="21"/>
              </w:rPr>
              <w:t>联 系 人</w:t>
            </w:r>
          </w:p>
        </w:tc>
        <w:tc>
          <w:tcPr>
            <w:tcW w:w="1436" w:type="dxa"/>
            <w:noWrap w:val="0"/>
            <w:vAlign w:val="center"/>
          </w:tcPr>
          <w:p w14:paraId="19E84E38">
            <w:pPr>
              <w:spacing w:line="300" w:lineRule="exact"/>
              <w:jc w:val="center"/>
              <w:rPr>
                <w:rFonts w:ascii="宋体" w:hAnsi="宋体" w:cs="宋体"/>
                <w:szCs w:val="21"/>
              </w:rPr>
            </w:pPr>
          </w:p>
        </w:tc>
        <w:tc>
          <w:tcPr>
            <w:tcW w:w="1178" w:type="dxa"/>
            <w:noWrap w:val="0"/>
            <w:vAlign w:val="center"/>
          </w:tcPr>
          <w:p w14:paraId="03270817">
            <w:pPr>
              <w:spacing w:line="300" w:lineRule="exact"/>
              <w:jc w:val="center"/>
              <w:rPr>
                <w:rFonts w:ascii="宋体" w:hAnsi="宋体" w:cs="宋体"/>
                <w:szCs w:val="21"/>
              </w:rPr>
            </w:pPr>
            <w:r>
              <w:rPr>
                <w:rFonts w:hint="eastAsia" w:ascii="宋体" w:hAnsi="宋体" w:cs="宋体"/>
                <w:szCs w:val="21"/>
              </w:rPr>
              <w:t>联 系 人</w:t>
            </w:r>
          </w:p>
        </w:tc>
        <w:tc>
          <w:tcPr>
            <w:tcW w:w="1259" w:type="dxa"/>
            <w:noWrap w:val="0"/>
            <w:vAlign w:val="center"/>
          </w:tcPr>
          <w:p w14:paraId="2A21C6EE">
            <w:pPr>
              <w:spacing w:line="300" w:lineRule="exact"/>
              <w:jc w:val="center"/>
              <w:rPr>
                <w:rFonts w:ascii="宋体" w:hAnsi="宋体" w:cs="宋体"/>
                <w:spacing w:val="20"/>
                <w:szCs w:val="21"/>
              </w:rPr>
            </w:pPr>
          </w:p>
        </w:tc>
      </w:tr>
      <w:tr w14:paraId="672BB974">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1C8C3479">
            <w:pPr>
              <w:spacing w:line="300" w:lineRule="exact"/>
              <w:jc w:val="center"/>
              <w:rPr>
                <w:rFonts w:ascii="宋体" w:hAnsi="宋体" w:cs="宋体"/>
                <w:szCs w:val="21"/>
              </w:rPr>
            </w:pPr>
            <w:r>
              <w:rPr>
                <w:rFonts w:hint="eastAsia" w:ascii="宋体" w:hAnsi="宋体" w:cs="宋体"/>
                <w:szCs w:val="21"/>
              </w:rPr>
              <w:t>联系电话</w:t>
            </w:r>
          </w:p>
        </w:tc>
        <w:tc>
          <w:tcPr>
            <w:tcW w:w="1436" w:type="dxa"/>
            <w:noWrap w:val="0"/>
            <w:vAlign w:val="center"/>
          </w:tcPr>
          <w:p w14:paraId="1097B540">
            <w:pPr>
              <w:spacing w:line="300" w:lineRule="exact"/>
              <w:jc w:val="center"/>
              <w:rPr>
                <w:rFonts w:ascii="宋体" w:hAnsi="宋体" w:cs="宋体"/>
                <w:szCs w:val="21"/>
              </w:rPr>
            </w:pPr>
          </w:p>
        </w:tc>
        <w:tc>
          <w:tcPr>
            <w:tcW w:w="1178" w:type="dxa"/>
            <w:noWrap w:val="0"/>
            <w:vAlign w:val="center"/>
          </w:tcPr>
          <w:p w14:paraId="2CD19677">
            <w:pPr>
              <w:spacing w:line="300" w:lineRule="exact"/>
              <w:jc w:val="center"/>
              <w:rPr>
                <w:rFonts w:ascii="宋体" w:hAnsi="宋体" w:cs="宋体"/>
                <w:szCs w:val="21"/>
              </w:rPr>
            </w:pPr>
            <w:r>
              <w:rPr>
                <w:rFonts w:hint="eastAsia" w:ascii="宋体" w:hAnsi="宋体" w:cs="宋体"/>
                <w:szCs w:val="21"/>
              </w:rPr>
              <w:t>联系电话</w:t>
            </w:r>
          </w:p>
        </w:tc>
        <w:tc>
          <w:tcPr>
            <w:tcW w:w="1259" w:type="dxa"/>
            <w:noWrap w:val="0"/>
            <w:vAlign w:val="center"/>
          </w:tcPr>
          <w:p w14:paraId="07CA74EB">
            <w:pPr>
              <w:spacing w:line="300" w:lineRule="exact"/>
              <w:jc w:val="center"/>
              <w:rPr>
                <w:rFonts w:ascii="宋体" w:hAnsi="宋体" w:cs="宋体"/>
                <w:spacing w:val="20"/>
                <w:szCs w:val="21"/>
              </w:rPr>
            </w:pPr>
          </w:p>
        </w:tc>
      </w:tr>
      <w:tr w14:paraId="6F18F94C">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501D35DB">
            <w:pPr>
              <w:spacing w:line="300" w:lineRule="exact"/>
              <w:jc w:val="center"/>
              <w:rPr>
                <w:rFonts w:ascii="宋体" w:hAnsi="宋体" w:cs="宋体"/>
                <w:szCs w:val="21"/>
              </w:rPr>
            </w:pPr>
            <w:r>
              <w:rPr>
                <w:rFonts w:hint="eastAsia" w:ascii="宋体" w:hAnsi="宋体" w:cs="宋体"/>
                <w:szCs w:val="21"/>
              </w:rPr>
              <w:t>通信地址</w:t>
            </w:r>
          </w:p>
        </w:tc>
        <w:tc>
          <w:tcPr>
            <w:tcW w:w="1436" w:type="dxa"/>
            <w:noWrap w:val="0"/>
            <w:vAlign w:val="center"/>
          </w:tcPr>
          <w:p w14:paraId="14632057">
            <w:pPr>
              <w:spacing w:line="300" w:lineRule="exact"/>
              <w:jc w:val="center"/>
              <w:rPr>
                <w:rFonts w:ascii="宋体" w:hAnsi="宋体" w:cs="宋体"/>
                <w:szCs w:val="21"/>
              </w:rPr>
            </w:pPr>
          </w:p>
        </w:tc>
        <w:tc>
          <w:tcPr>
            <w:tcW w:w="1178" w:type="dxa"/>
            <w:noWrap w:val="0"/>
            <w:vAlign w:val="center"/>
          </w:tcPr>
          <w:p w14:paraId="3A8F6E8E">
            <w:pPr>
              <w:spacing w:line="300" w:lineRule="exact"/>
              <w:jc w:val="center"/>
              <w:rPr>
                <w:rFonts w:ascii="宋体" w:hAnsi="宋体" w:cs="宋体"/>
                <w:szCs w:val="21"/>
              </w:rPr>
            </w:pPr>
            <w:r>
              <w:rPr>
                <w:rFonts w:hint="eastAsia" w:ascii="宋体" w:hAnsi="宋体" w:cs="宋体"/>
                <w:szCs w:val="21"/>
              </w:rPr>
              <w:t>通信地址</w:t>
            </w:r>
          </w:p>
        </w:tc>
        <w:tc>
          <w:tcPr>
            <w:tcW w:w="1259" w:type="dxa"/>
            <w:noWrap w:val="0"/>
            <w:vAlign w:val="center"/>
          </w:tcPr>
          <w:p w14:paraId="35BEA634">
            <w:pPr>
              <w:spacing w:line="300" w:lineRule="exact"/>
              <w:jc w:val="center"/>
              <w:rPr>
                <w:rFonts w:ascii="宋体" w:hAnsi="宋体" w:cs="宋体"/>
                <w:spacing w:val="20"/>
                <w:szCs w:val="21"/>
              </w:rPr>
            </w:pPr>
          </w:p>
        </w:tc>
      </w:tr>
      <w:tr w14:paraId="5435E3A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7EB0F571">
            <w:pPr>
              <w:spacing w:line="300" w:lineRule="exact"/>
              <w:jc w:val="center"/>
              <w:rPr>
                <w:rFonts w:ascii="宋体" w:hAnsi="宋体" w:cs="宋体"/>
                <w:szCs w:val="21"/>
              </w:rPr>
            </w:pPr>
            <w:r>
              <w:rPr>
                <w:rFonts w:hint="eastAsia" w:ascii="宋体" w:hAnsi="宋体" w:cs="宋体"/>
                <w:szCs w:val="21"/>
              </w:rPr>
              <w:t>邮政编码</w:t>
            </w:r>
          </w:p>
        </w:tc>
        <w:tc>
          <w:tcPr>
            <w:tcW w:w="1436" w:type="dxa"/>
            <w:noWrap w:val="0"/>
            <w:vAlign w:val="center"/>
          </w:tcPr>
          <w:p w14:paraId="592F5115">
            <w:pPr>
              <w:spacing w:line="300" w:lineRule="exact"/>
              <w:jc w:val="center"/>
              <w:rPr>
                <w:rFonts w:ascii="宋体" w:hAnsi="宋体" w:cs="宋体"/>
                <w:szCs w:val="21"/>
              </w:rPr>
            </w:pPr>
          </w:p>
        </w:tc>
        <w:tc>
          <w:tcPr>
            <w:tcW w:w="1178" w:type="dxa"/>
            <w:noWrap w:val="0"/>
            <w:vAlign w:val="center"/>
          </w:tcPr>
          <w:p w14:paraId="524C9472">
            <w:pPr>
              <w:spacing w:line="300" w:lineRule="exact"/>
              <w:jc w:val="center"/>
              <w:rPr>
                <w:rFonts w:ascii="宋体" w:hAnsi="宋体" w:cs="宋体"/>
                <w:szCs w:val="21"/>
              </w:rPr>
            </w:pPr>
            <w:r>
              <w:rPr>
                <w:rFonts w:hint="eastAsia" w:ascii="宋体" w:hAnsi="宋体" w:cs="宋体"/>
                <w:szCs w:val="21"/>
              </w:rPr>
              <w:t>邮政编码</w:t>
            </w:r>
          </w:p>
        </w:tc>
        <w:tc>
          <w:tcPr>
            <w:tcW w:w="1259" w:type="dxa"/>
            <w:noWrap w:val="0"/>
            <w:vAlign w:val="center"/>
          </w:tcPr>
          <w:p w14:paraId="0B96A691">
            <w:pPr>
              <w:spacing w:line="300" w:lineRule="exact"/>
              <w:jc w:val="center"/>
              <w:rPr>
                <w:rFonts w:ascii="宋体" w:hAnsi="宋体" w:cs="宋体"/>
                <w:spacing w:val="20"/>
                <w:szCs w:val="21"/>
              </w:rPr>
            </w:pPr>
          </w:p>
        </w:tc>
      </w:tr>
      <w:tr w14:paraId="3793F50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56E2F7B2">
            <w:pPr>
              <w:spacing w:line="300" w:lineRule="exact"/>
              <w:jc w:val="center"/>
              <w:rPr>
                <w:rFonts w:ascii="宋体" w:hAnsi="宋体" w:cs="宋体"/>
                <w:szCs w:val="21"/>
              </w:rPr>
            </w:pPr>
            <w:r>
              <w:rPr>
                <w:rFonts w:hint="eastAsia" w:ascii="宋体" w:hAnsi="宋体" w:cs="宋体"/>
                <w:szCs w:val="21"/>
              </w:rPr>
              <w:t>电子邮箱</w:t>
            </w:r>
          </w:p>
        </w:tc>
        <w:tc>
          <w:tcPr>
            <w:tcW w:w="1436" w:type="dxa"/>
            <w:noWrap w:val="0"/>
            <w:vAlign w:val="center"/>
          </w:tcPr>
          <w:p w14:paraId="45DAF79A">
            <w:pPr>
              <w:spacing w:line="300" w:lineRule="exact"/>
              <w:jc w:val="center"/>
              <w:rPr>
                <w:rFonts w:ascii="宋体" w:hAnsi="宋体" w:cs="宋体"/>
                <w:szCs w:val="21"/>
              </w:rPr>
            </w:pPr>
          </w:p>
        </w:tc>
        <w:tc>
          <w:tcPr>
            <w:tcW w:w="1178" w:type="dxa"/>
            <w:noWrap w:val="0"/>
            <w:vAlign w:val="center"/>
          </w:tcPr>
          <w:p w14:paraId="30BB1F30">
            <w:pPr>
              <w:spacing w:line="300" w:lineRule="exact"/>
              <w:jc w:val="center"/>
              <w:rPr>
                <w:rFonts w:ascii="宋体" w:hAnsi="宋体" w:cs="宋体"/>
                <w:szCs w:val="21"/>
              </w:rPr>
            </w:pPr>
            <w:r>
              <w:rPr>
                <w:rFonts w:hint="eastAsia" w:ascii="宋体" w:hAnsi="宋体" w:cs="宋体"/>
                <w:szCs w:val="21"/>
              </w:rPr>
              <w:t>电子邮箱</w:t>
            </w:r>
          </w:p>
        </w:tc>
        <w:tc>
          <w:tcPr>
            <w:tcW w:w="1259" w:type="dxa"/>
            <w:noWrap w:val="0"/>
            <w:vAlign w:val="center"/>
          </w:tcPr>
          <w:p w14:paraId="218EB74D">
            <w:pPr>
              <w:spacing w:line="300" w:lineRule="exact"/>
              <w:jc w:val="center"/>
              <w:rPr>
                <w:rFonts w:ascii="宋体" w:hAnsi="宋体" w:cs="宋体"/>
                <w:spacing w:val="20"/>
                <w:szCs w:val="21"/>
              </w:rPr>
            </w:pPr>
          </w:p>
        </w:tc>
      </w:tr>
      <w:tr w14:paraId="53F7C0C1">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0399696C">
            <w:pPr>
              <w:spacing w:line="300" w:lineRule="exact"/>
              <w:jc w:val="center"/>
              <w:rPr>
                <w:rFonts w:ascii="宋体" w:hAnsi="宋体" w:cs="宋体"/>
                <w:szCs w:val="21"/>
              </w:rPr>
            </w:pPr>
            <w:r>
              <w:rPr>
                <w:rFonts w:hint="eastAsia" w:ascii="宋体" w:hAnsi="宋体" w:cs="宋体"/>
                <w:szCs w:val="21"/>
              </w:rPr>
              <w:t>统一社会信用代码</w:t>
            </w:r>
          </w:p>
        </w:tc>
        <w:tc>
          <w:tcPr>
            <w:tcW w:w="1436" w:type="dxa"/>
            <w:noWrap w:val="0"/>
            <w:vAlign w:val="center"/>
          </w:tcPr>
          <w:p w14:paraId="3ABEC87F">
            <w:pPr>
              <w:spacing w:line="300" w:lineRule="exact"/>
              <w:jc w:val="center"/>
              <w:rPr>
                <w:rFonts w:ascii="宋体" w:hAnsi="宋体" w:cs="宋体"/>
                <w:szCs w:val="21"/>
              </w:rPr>
            </w:pPr>
          </w:p>
        </w:tc>
        <w:tc>
          <w:tcPr>
            <w:tcW w:w="1178" w:type="dxa"/>
            <w:noWrap w:val="0"/>
            <w:vAlign w:val="center"/>
          </w:tcPr>
          <w:p w14:paraId="537597F7">
            <w:pPr>
              <w:spacing w:line="300" w:lineRule="exact"/>
              <w:jc w:val="center"/>
              <w:rPr>
                <w:rFonts w:ascii="宋体" w:hAnsi="宋体" w:cs="宋体"/>
                <w:szCs w:val="21"/>
              </w:rPr>
            </w:pPr>
            <w:r>
              <w:rPr>
                <w:rFonts w:hint="eastAsia" w:ascii="宋体" w:hAnsi="宋体" w:cs="宋体"/>
                <w:szCs w:val="21"/>
              </w:rPr>
              <w:t>统一社会信用代码</w:t>
            </w:r>
          </w:p>
        </w:tc>
        <w:tc>
          <w:tcPr>
            <w:tcW w:w="1259" w:type="dxa"/>
            <w:noWrap w:val="0"/>
            <w:vAlign w:val="center"/>
          </w:tcPr>
          <w:p w14:paraId="56378A04">
            <w:pPr>
              <w:spacing w:line="300" w:lineRule="exact"/>
              <w:jc w:val="center"/>
              <w:rPr>
                <w:rFonts w:ascii="宋体" w:hAnsi="宋体" w:cs="宋体"/>
                <w:spacing w:val="20"/>
                <w:szCs w:val="21"/>
              </w:rPr>
            </w:pPr>
          </w:p>
        </w:tc>
      </w:tr>
      <w:tr w14:paraId="23EE447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09F06100">
            <w:pPr>
              <w:spacing w:line="300" w:lineRule="exact"/>
              <w:jc w:val="center"/>
              <w:rPr>
                <w:rFonts w:ascii="宋体" w:hAnsi="宋体" w:cs="宋体"/>
                <w:szCs w:val="21"/>
              </w:rPr>
            </w:pPr>
          </w:p>
        </w:tc>
        <w:tc>
          <w:tcPr>
            <w:tcW w:w="1436" w:type="dxa"/>
            <w:noWrap w:val="0"/>
            <w:vAlign w:val="center"/>
          </w:tcPr>
          <w:p w14:paraId="4BFC30A6">
            <w:pPr>
              <w:spacing w:line="300" w:lineRule="exact"/>
              <w:jc w:val="center"/>
              <w:rPr>
                <w:rFonts w:ascii="宋体" w:hAnsi="宋体" w:cs="宋体"/>
                <w:szCs w:val="21"/>
              </w:rPr>
            </w:pPr>
          </w:p>
        </w:tc>
        <w:tc>
          <w:tcPr>
            <w:tcW w:w="1178" w:type="dxa"/>
            <w:noWrap w:val="0"/>
            <w:vAlign w:val="center"/>
          </w:tcPr>
          <w:p w14:paraId="21FA23D7">
            <w:pPr>
              <w:spacing w:line="300" w:lineRule="exact"/>
              <w:jc w:val="center"/>
              <w:rPr>
                <w:rFonts w:ascii="宋体" w:hAnsi="宋体" w:cs="宋体"/>
                <w:szCs w:val="21"/>
              </w:rPr>
            </w:pPr>
            <w:r>
              <w:rPr>
                <w:rFonts w:hint="eastAsia" w:ascii="宋体" w:hAnsi="宋体" w:cs="宋体"/>
                <w:szCs w:val="21"/>
              </w:rPr>
              <w:t>开户名称</w:t>
            </w:r>
          </w:p>
        </w:tc>
        <w:tc>
          <w:tcPr>
            <w:tcW w:w="1259" w:type="dxa"/>
            <w:noWrap w:val="0"/>
            <w:vAlign w:val="center"/>
          </w:tcPr>
          <w:p w14:paraId="1A7CF483">
            <w:pPr>
              <w:spacing w:line="300" w:lineRule="exact"/>
              <w:jc w:val="center"/>
              <w:rPr>
                <w:rFonts w:ascii="宋体" w:hAnsi="宋体" w:cs="宋体"/>
                <w:spacing w:val="20"/>
                <w:szCs w:val="21"/>
              </w:rPr>
            </w:pPr>
          </w:p>
        </w:tc>
      </w:tr>
      <w:tr w14:paraId="1B40211F">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20293143">
            <w:pPr>
              <w:spacing w:line="300" w:lineRule="exact"/>
              <w:jc w:val="center"/>
              <w:rPr>
                <w:rFonts w:ascii="宋体" w:hAnsi="宋体" w:cs="宋体"/>
                <w:szCs w:val="21"/>
              </w:rPr>
            </w:pPr>
          </w:p>
        </w:tc>
        <w:tc>
          <w:tcPr>
            <w:tcW w:w="1436" w:type="dxa"/>
            <w:noWrap w:val="0"/>
            <w:vAlign w:val="center"/>
          </w:tcPr>
          <w:p w14:paraId="436A8304">
            <w:pPr>
              <w:spacing w:line="300" w:lineRule="exact"/>
              <w:jc w:val="center"/>
              <w:rPr>
                <w:rFonts w:ascii="宋体" w:hAnsi="宋体" w:cs="宋体"/>
                <w:szCs w:val="21"/>
              </w:rPr>
            </w:pPr>
          </w:p>
        </w:tc>
        <w:tc>
          <w:tcPr>
            <w:tcW w:w="1178" w:type="dxa"/>
            <w:noWrap w:val="0"/>
            <w:vAlign w:val="center"/>
          </w:tcPr>
          <w:p w14:paraId="0813B3DD">
            <w:pPr>
              <w:spacing w:line="300" w:lineRule="exact"/>
              <w:jc w:val="center"/>
              <w:rPr>
                <w:rFonts w:ascii="宋体" w:hAnsi="宋体" w:cs="宋体"/>
                <w:szCs w:val="21"/>
              </w:rPr>
            </w:pPr>
            <w:r>
              <w:rPr>
                <w:rFonts w:hint="eastAsia" w:ascii="宋体" w:hAnsi="宋体" w:cs="宋体"/>
                <w:szCs w:val="21"/>
              </w:rPr>
              <w:t>开户银行</w:t>
            </w:r>
          </w:p>
        </w:tc>
        <w:tc>
          <w:tcPr>
            <w:tcW w:w="1259" w:type="dxa"/>
            <w:noWrap w:val="0"/>
            <w:vAlign w:val="center"/>
          </w:tcPr>
          <w:p w14:paraId="111E6D0F">
            <w:pPr>
              <w:spacing w:line="300" w:lineRule="exact"/>
              <w:jc w:val="center"/>
              <w:rPr>
                <w:rFonts w:ascii="宋体" w:hAnsi="宋体" w:cs="宋体"/>
                <w:spacing w:val="20"/>
                <w:szCs w:val="21"/>
              </w:rPr>
            </w:pPr>
          </w:p>
        </w:tc>
      </w:tr>
      <w:tr w14:paraId="382990C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trPr>
        <w:tc>
          <w:tcPr>
            <w:tcW w:w="1126" w:type="dxa"/>
            <w:noWrap w:val="0"/>
            <w:vAlign w:val="center"/>
          </w:tcPr>
          <w:p w14:paraId="37FF1B2E">
            <w:pPr>
              <w:spacing w:line="300" w:lineRule="exact"/>
              <w:jc w:val="center"/>
              <w:rPr>
                <w:rFonts w:ascii="宋体" w:hAnsi="宋体" w:cs="宋体"/>
                <w:szCs w:val="21"/>
              </w:rPr>
            </w:pPr>
          </w:p>
        </w:tc>
        <w:tc>
          <w:tcPr>
            <w:tcW w:w="1436" w:type="dxa"/>
            <w:noWrap w:val="0"/>
            <w:vAlign w:val="center"/>
          </w:tcPr>
          <w:p w14:paraId="56D120B9">
            <w:pPr>
              <w:spacing w:line="300" w:lineRule="exact"/>
              <w:jc w:val="center"/>
              <w:rPr>
                <w:rFonts w:ascii="宋体" w:hAnsi="宋体" w:cs="宋体"/>
                <w:szCs w:val="21"/>
              </w:rPr>
            </w:pPr>
          </w:p>
        </w:tc>
        <w:tc>
          <w:tcPr>
            <w:tcW w:w="1178" w:type="dxa"/>
            <w:noWrap w:val="0"/>
            <w:vAlign w:val="center"/>
          </w:tcPr>
          <w:p w14:paraId="0FC02DA5">
            <w:pPr>
              <w:spacing w:line="300" w:lineRule="exact"/>
              <w:jc w:val="center"/>
              <w:rPr>
                <w:rFonts w:ascii="宋体" w:hAnsi="宋体" w:cs="宋体"/>
                <w:szCs w:val="21"/>
              </w:rPr>
            </w:pPr>
            <w:r>
              <w:rPr>
                <w:rFonts w:hint="eastAsia" w:ascii="宋体" w:hAnsi="宋体" w:cs="宋体"/>
                <w:szCs w:val="21"/>
              </w:rPr>
              <w:t>银行账号</w:t>
            </w:r>
          </w:p>
        </w:tc>
        <w:tc>
          <w:tcPr>
            <w:tcW w:w="1259" w:type="dxa"/>
            <w:noWrap w:val="0"/>
            <w:vAlign w:val="center"/>
          </w:tcPr>
          <w:p w14:paraId="0AE26254">
            <w:pPr>
              <w:spacing w:line="300" w:lineRule="exact"/>
              <w:jc w:val="center"/>
              <w:rPr>
                <w:rFonts w:ascii="宋体" w:hAnsi="宋体" w:cs="宋体"/>
                <w:spacing w:val="20"/>
                <w:szCs w:val="21"/>
              </w:rPr>
            </w:pPr>
          </w:p>
        </w:tc>
      </w:tr>
      <w:tr w14:paraId="76AC2D8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trPr>
        <w:tc>
          <w:tcPr>
            <w:tcW w:w="8918" w:type="dxa"/>
            <w:gridSpan w:val="4"/>
            <w:noWrap w:val="0"/>
            <w:vAlign w:val="center"/>
          </w:tcPr>
          <w:p w14:paraId="56D00BD9">
            <w:pPr>
              <w:spacing w:before="120" w:line="360" w:lineRule="auto"/>
              <w:ind w:firstLine="645"/>
              <w:jc w:val="left"/>
              <w:rPr>
                <w:rFonts w:ascii="宋体" w:hAnsi="宋体" w:cs="宋体"/>
                <w:spacing w:val="20"/>
                <w:szCs w:val="21"/>
              </w:rPr>
            </w:pPr>
            <w:r>
              <w:rPr>
                <w:rFonts w:hint="eastAsia" w:ascii="宋体" w:hAnsi="宋体" w:cs="宋体"/>
                <w:szCs w:val="21"/>
              </w:rPr>
              <w:t>注：涉及联合体或其他合同主体的信息应按上表格式加列。</w:t>
            </w:r>
          </w:p>
        </w:tc>
      </w:tr>
    </w:tbl>
    <w:p w14:paraId="0C9C5016">
      <w:pPr>
        <w:pStyle w:val="848"/>
        <w:keepNext w:val="0"/>
        <w:keepLines w:val="0"/>
        <w:spacing w:before="120"/>
        <w:rPr>
          <w:rFonts w:ascii="黑体" w:hAnsi="华文中宋" w:eastAsia="黑体"/>
          <w:b w:val="0"/>
          <w:bCs w:val="0"/>
          <w:sz w:val="28"/>
          <w:szCs w:val="28"/>
        </w:rPr>
      </w:pPr>
      <w:r>
        <w:rPr>
          <w:rFonts w:hint="eastAsia" w:ascii="宋体" w:hAnsi="宋体" w:eastAsia="宋体" w:cs="宋体"/>
          <w:sz w:val="21"/>
          <w:szCs w:val="21"/>
          <w:u w:val="single"/>
        </w:rPr>
        <w:br w:type="page" w:clear="all"/>
      </w:r>
      <w:bookmarkStart w:id="25" w:name="_Toc27624"/>
      <w:r>
        <w:rPr>
          <w:rFonts w:hint="eastAsia" w:ascii="黑体" w:hAnsi="华文中宋" w:eastAsia="黑体"/>
          <w:b w:val="0"/>
          <w:bCs w:val="0"/>
          <w:sz w:val="28"/>
          <w:szCs w:val="28"/>
        </w:rPr>
        <w:t>第二节 政府采购合同通用条款</w:t>
      </w:r>
      <w:bookmarkEnd w:id="25"/>
    </w:p>
    <w:p w14:paraId="61C7215B">
      <w:pPr>
        <w:tabs>
          <w:tab w:val="left" w:pos="8820"/>
          <w:tab w:val="left" w:pos="9345"/>
          <w:tab w:val="left" w:pos="9765"/>
        </w:tabs>
        <w:spacing w:line="400" w:lineRule="exact"/>
        <w:jc w:val="left"/>
        <w:rPr>
          <w:rFonts w:ascii="宋体" w:hAnsi="宋体" w:cs="宋体"/>
          <w:b/>
          <w:bCs/>
          <w:szCs w:val="21"/>
        </w:rPr>
      </w:pPr>
      <w:r>
        <w:rPr>
          <w:rFonts w:hint="eastAsia" w:ascii="宋体" w:hAnsi="宋体" w:cs="宋体"/>
          <w:b/>
          <w:szCs w:val="21"/>
        </w:rPr>
        <w:t xml:space="preserve">1. </w:t>
      </w:r>
      <w:r>
        <w:rPr>
          <w:rFonts w:hint="eastAsia" w:ascii="宋体" w:hAnsi="宋体" w:cs="宋体"/>
          <w:b/>
          <w:bCs/>
          <w:szCs w:val="21"/>
        </w:rPr>
        <w:t>定义</w:t>
      </w:r>
    </w:p>
    <w:p w14:paraId="47D0BBEF">
      <w:pPr>
        <w:spacing w:line="400" w:lineRule="exact"/>
        <w:ind w:firstLine="420"/>
        <w:jc w:val="left"/>
        <w:rPr>
          <w:rFonts w:ascii="宋体" w:hAnsi="宋体" w:cs="宋体"/>
          <w:szCs w:val="21"/>
        </w:rPr>
      </w:pPr>
      <w:r>
        <w:rPr>
          <w:rFonts w:hint="eastAsia" w:ascii="宋体" w:hAnsi="宋体" w:cs="宋体"/>
          <w:szCs w:val="21"/>
        </w:rPr>
        <w:t>1.1合同当事人</w:t>
      </w:r>
    </w:p>
    <w:p w14:paraId="4AEC133A">
      <w:pPr>
        <w:spacing w:line="400" w:lineRule="exact"/>
        <w:ind w:firstLine="420"/>
        <w:jc w:val="left"/>
        <w:rPr>
          <w:rFonts w:ascii="宋体" w:hAnsi="宋体" w:cs="宋体"/>
          <w:szCs w:val="21"/>
        </w:rPr>
      </w:pPr>
      <w:r>
        <w:rPr>
          <w:rFonts w:hint="eastAsia" w:ascii="宋体" w:hAnsi="宋体" w:cs="宋体"/>
          <w:szCs w:val="21"/>
        </w:rPr>
        <w:t>（1）采购人（以下称甲方）是指使用财政性资金，通过政府采购方式向供应商购买货物及其相关服务的国家机关、事业单位、团体组织。</w:t>
      </w:r>
    </w:p>
    <w:p w14:paraId="7FEDBDF7">
      <w:pPr>
        <w:spacing w:line="400" w:lineRule="exact"/>
        <w:ind w:firstLine="420"/>
        <w:jc w:val="left"/>
        <w:rPr>
          <w:rFonts w:ascii="宋体" w:hAnsi="宋体" w:cs="宋体"/>
          <w:szCs w:val="21"/>
        </w:rPr>
      </w:pPr>
      <w:r>
        <w:rPr>
          <w:rFonts w:hint="eastAsia" w:ascii="宋体" w:hAnsi="宋体" w:cs="宋体"/>
          <w:szCs w:val="21"/>
        </w:rPr>
        <w:t>（2）供应商（以下称乙方）是指参加政府采购活动并且中标（成交），向采购人提供合同约定的货物及其相关服务的法人、非法人组织或者自然人。</w:t>
      </w:r>
    </w:p>
    <w:p w14:paraId="55C55E64">
      <w:pPr>
        <w:spacing w:line="400" w:lineRule="exact"/>
        <w:ind w:firstLine="420"/>
        <w:jc w:val="left"/>
        <w:rPr>
          <w:rFonts w:ascii="宋体" w:hAnsi="宋体" w:cs="宋体"/>
          <w:szCs w:val="21"/>
        </w:rPr>
      </w:pPr>
      <w:r>
        <w:rPr>
          <w:rFonts w:hint="eastAsia" w:ascii="宋体" w:hAnsi="宋体" w:cs="宋体"/>
          <w:szCs w:val="21"/>
        </w:rPr>
        <w:t>（3）其他合同主体是指除采购人和供应商以外，</w:t>
      </w:r>
      <w:r>
        <w:rPr>
          <w:rFonts w:hint="eastAsia" w:ascii="宋体" w:hAnsi="宋体" w:cs="宋体"/>
          <w:bCs/>
          <w:szCs w:val="21"/>
        </w:rPr>
        <w:t>依法参与合同缔结或履行，享有权利、承担义务的合同当事人</w:t>
      </w:r>
      <w:r>
        <w:rPr>
          <w:rFonts w:hint="eastAsia" w:ascii="宋体" w:hAnsi="宋体" w:cs="宋体"/>
          <w:szCs w:val="21"/>
        </w:rPr>
        <w:t>。</w:t>
      </w:r>
    </w:p>
    <w:p w14:paraId="46E9D021">
      <w:pPr>
        <w:tabs>
          <w:tab w:val="left" w:pos="570"/>
          <w:tab w:val="left" w:pos="9240"/>
          <w:tab w:val="left" w:pos="9555"/>
        </w:tabs>
        <w:spacing w:line="400" w:lineRule="exact"/>
        <w:ind w:firstLine="420"/>
        <w:jc w:val="left"/>
        <w:rPr>
          <w:rFonts w:ascii="宋体" w:hAnsi="宋体" w:cs="宋体"/>
          <w:szCs w:val="21"/>
        </w:rPr>
      </w:pPr>
      <w:r>
        <w:rPr>
          <w:rFonts w:hint="eastAsia" w:ascii="宋体" w:hAnsi="宋体" w:cs="宋体"/>
          <w:szCs w:val="21"/>
        </w:rPr>
        <w:t>1.2本合同下列术语应解释为：</w:t>
      </w:r>
    </w:p>
    <w:p w14:paraId="652EBBD7">
      <w:pPr>
        <w:spacing w:line="400" w:lineRule="exact"/>
        <w:ind w:firstLine="420"/>
        <w:jc w:val="left"/>
        <w:rPr>
          <w:rFonts w:ascii="宋体" w:hAnsi="宋体" w:cs="宋体"/>
          <w:szCs w:val="21"/>
        </w:rPr>
      </w:pPr>
      <w:r>
        <w:rPr>
          <w:rFonts w:hint="eastAsia" w:ascii="宋体" w:hAnsi="宋体" w:cs="宋体"/>
          <w:szCs w:val="21"/>
        </w:rPr>
        <w:t>（1）“合同”系指</w:t>
      </w:r>
      <w:r>
        <w:rPr>
          <w:rFonts w:hint="eastAsia" w:ascii="宋体" w:hAnsi="宋体" w:cs="宋体"/>
          <w:bCs/>
          <w:szCs w:val="21"/>
        </w:rPr>
        <w:t>合同当事人意思表示达成一致的任何协议，包括签署的</w:t>
      </w:r>
      <w:r>
        <w:rPr>
          <w:rFonts w:hint="eastAsia" w:ascii="宋体" w:hAnsi="宋体" w:cs="宋体"/>
          <w:szCs w:val="21"/>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54EF8FFA">
      <w:pPr>
        <w:tabs>
          <w:tab w:val="left" w:pos="570"/>
          <w:tab w:val="left" w:pos="9240"/>
          <w:tab w:val="left" w:pos="9555"/>
        </w:tabs>
        <w:spacing w:line="400" w:lineRule="exact"/>
        <w:ind w:firstLine="420"/>
        <w:jc w:val="left"/>
        <w:rPr>
          <w:rFonts w:ascii="宋体" w:hAnsi="宋体" w:cs="宋体"/>
          <w:szCs w:val="21"/>
        </w:rPr>
      </w:pPr>
      <w:r>
        <w:rPr>
          <w:rFonts w:hint="eastAsia" w:ascii="宋体" w:hAnsi="宋体" w:cs="宋体"/>
          <w:szCs w:val="21"/>
        </w:rPr>
        <w:t>（2）“合同价款”系指根据本合同规定乙方在全面履行合同义务后甲方应支付给乙方的价款。</w:t>
      </w:r>
    </w:p>
    <w:p w14:paraId="0BC98352">
      <w:pPr>
        <w:tabs>
          <w:tab w:val="left" w:pos="570"/>
          <w:tab w:val="left" w:pos="9240"/>
          <w:tab w:val="left" w:pos="9555"/>
        </w:tabs>
        <w:spacing w:line="400" w:lineRule="exact"/>
        <w:ind w:firstLine="420"/>
        <w:jc w:val="left"/>
        <w:rPr>
          <w:rFonts w:ascii="宋体" w:hAnsi="宋体" w:cs="宋体"/>
          <w:szCs w:val="21"/>
        </w:rPr>
      </w:pPr>
      <w:r>
        <w:rPr>
          <w:rFonts w:hint="eastAsia" w:ascii="宋体" w:hAnsi="宋体" w:cs="宋体"/>
          <w:szCs w:val="21"/>
        </w:rPr>
        <w:t>（3）“货物”系指乙方根据本合同规定须向甲方提供的各种形态和种类的物品，包括原材料、设备、产品（包括软件）及相关的其备品备件、工具、手册及</w:t>
      </w:r>
      <w:r>
        <w:rPr>
          <w:rFonts w:hint="eastAsia" w:ascii="宋体" w:hAnsi="宋体" w:cs="宋体"/>
          <w:szCs w:val="21"/>
          <w:lang w:val="en"/>
        </w:rPr>
        <w:t>其他</w:t>
      </w:r>
      <w:r>
        <w:rPr>
          <w:rFonts w:hint="eastAsia" w:ascii="宋体" w:hAnsi="宋体" w:cs="宋体"/>
          <w:szCs w:val="21"/>
        </w:rPr>
        <w:t>技术资料和材料等。</w:t>
      </w:r>
    </w:p>
    <w:p w14:paraId="39AEE1D5">
      <w:pPr>
        <w:spacing w:line="400" w:lineRule="exact"/>
        <w:ind w:firstLine="420"/>
        <w:jc w:val="left"/>
        <w:rPr>
          <w:rFonts w:ascii="宋体" w:hAnsi="宋体" w:cs="宋体"/>
          <w:szCs w:val="21"/>
        </w:rPr>
      </w:pPr>
      <w:r>
        <w:rPr>
          <w:rFonts w:hint="eastAsia" w:ascii="宋体" w:hAnsi="宋体" w:cs="宋体"/>
          <w:szCs w:val="21"/>
        </w:rPr>
        <w:t>（4）“相关服务”系指根据合同规定，乙方应提供的与货物有关的技术、管理和</w:t>
      </w:r>
      <w:r>
        <w:rPr>
          <w:rFonts w:hint="eastAsia" w:ascii="宋体" w:hAnsi="宋体" w:cs="宋体"/>
          <w:szCs w:val="21"/>
          <w:lang w:val="en"/>
        </w:rPr>
        <w:t>其他</w:t>
      </w:r>
      <w:r>
        <w:rPr>
          <w:rFonts w:hint="eastAsia" w:ascii="宋体" w:hAnsi="宋体" w:cs="宋体"/>
          <w:szCs w:val="21"/>
        </w:rPr>
        <w:t>服务，包括但不限于：管理和质量保证、运输、保险、检验、现场准备、安装、集成、调试、培训、维修、废弃处置、技术支持等以及合同中规定乙方应承担的</w:t>
      </w:r>
      <w:r>
        <w:rPr>
          <w:rFonts w:hint="eastAsia" w:ascii="宋体" w:hAnsi="宋体" w:cs="宋体"/>
          <w:szCs w:val="21"/>
          <w:lang w:val="en"/>
        </w:rPr>
        <w:t>其他</w:t>
      </w:r>
      <w:r>
        <w:rPr>
          <w:rFonts w:hint="eastAsia" w:ascii="宋体" w:hAnsi="宋体" w:cs="宋体"/>
          <w:szCs w:val="21"/>
        </w:rPr>
        <w:t>义务。</w:t>
      </w:r>
    </w:p>
    <w:p w14:paraId="2DE6126D">
      <w:pPr>
        <w:spacing w:line="400" w:lineRule="exact"/>
        <w:ind w:firstLine="420"/>
        <w:jc w:val="left"/>
        <w:rPr>
          <w:rFonts w:ascii="宋体" w:hAnsi="宋体" w:cs="宋体"/>
          <w:szCs w:val="21"/>
        </w:rPr>
      </w:pPr>
      <w:r>
        <w:rPr>
          <w:rFonts w:hint="eastAsia" w:ascii="宋体" w:hAnsi="宋体" w:cs="宋体"/>
          <w:szCs w:val="21"/>
        </w:rPr>
        <w:t>（5）“分包”系指中标（成交）供应商按采购文件、投标（响应）文件的规定，根据分包意向协议，将中标（成交）项目中的部分履约内容，分给具有相应资质条件的供应商履行合同的行为。</w:t>
      </w:r>
    </w:p>
    <w:p w14:paraId="1E5F7D34">
      <w:pPr>
        <w:tabs>
          <w:tab w:val="left" w:pos="570"/>
          <w:tab w:val="left" w:pos="9240"/>
          <w:tab w:val="left" w:pos="9555"/>
        </w:tabs>
        <w:spacing w:line="400" w:lineRule="exact"/>
        <w:ind w:firstLine="420"/>
        <w:jc w:val="left"/>
        <w:rPr>
          <w:rFonts w:ascii="宋体" w:hAnsi="宋体" w:cs="宋体"/>
          <w:szCs w:val="21"/>
        </w:rPr>
      </w:pPr>
      <w:r>
        <w:rPr>
          <w:rFonts w:hint="eastAsia" w:ascii="宋体" w:hAnsi="宋体" w:cs="宋体"/>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cs="宋体"/>
          <w:b/>
          <w:bCs/>
          <w:szCs w:val="21"/>
        </w:rPr>
        <w:t>政府采购合同专用条款</w:t>
      </w:r>
      <w:r>
        <w:rPr>
          <w:rFonts w:hint="eastAsia" w:ascii="宋体" w:hAnsi="宋体" w:cs="宋体"/>
          <w:szCs w:val="21"/>
        </w:rPr>
        <w:t>】。</w:t>
      </w:r>
    </w:p>
    <w:p w14:paraId="6B597F3E">
      <w:pPr>
        <w:tabs>
          <w:tab w:val="left" w:pos="570"/>
          <w:tab w:val="left" w:pos="9240"/>
          <w:tab w:val="left" w:pos="9555"/>
        </w:tabs>
        <w:spacing w:line="400" w:lineRule="exact"/>
        <w:ind w:firstLine="420"/>
        <w:jc w:val="left"/>
        <w:rPr>
          <w:rFonts w:ascii="宋体" w:hAnsi="宋体" w:cs="宋体"/>
          <w:szCs w:val="21"/>
        </w:rPr>
      </w:pPr>
      <w:r>
        <w:rPr>
          <w:rFonts w:hint="eastAsia" w:ascii="宋体" w:hAnsi="宋体" w:cs="宋体"/>
          <w:szCs w:val="21"/>
        </w:rPr>
        <w:t>（7）其他术语解释，见【</w:t>
      </w:r>
      <w:r>
        <w:rPr>
          <w:rFonts w:hint="eastAsia" w:ascii="宋体" w:hAnsi="宋体" w:cs="宋体"/>
          <w:b/>
          <w:bCs/>
          <w:szCs w:val="21"/>
        </w:rPr>
        <w:t>政府采购合同专用条款</w:t>
      </w:r>
      <w:r>
        <w:rPr>
          <w:rFonts w:hint="eastAsia" w:ascii="宋体" w:hAnsi="宋体" w:cs="宋体"/>
          <w:szCs w:val="21"/>
        </w:rPr>
        <w:t>】。</w:t>
      </w:r>
    </w:p>
    <w:p w14:paraId="11BAEC54">
      <w:pPr>
        <w:numPr>
          <w:ilvl w:val="0"/>
          <w:numId w:val="5"/>
        </w:numPr>
        <w:spacing w:line="400" w:lineRule="exact"/>
        <w:jc w:val="left"/>
        <w:rPr>
          <w:rFonts w:ascii="宋体" w:hAnsi="宋体" w:cs="宋体"/>
          <w:b/>
          <w:bCs/>
          <w:szCs w:val="21"/>
        </w:rPr>
      </w:pPr>
      <w:r>
        <w:rPr>
          <w:rFonts w:hint="eastAsia" w:ascii="宋体" w:hAnsi="宋体" w:cs="宋体"/>
          <w:b/>
          <w:szCs w:val="21"/>
        </w:rPr>
        <w:t>合同标的及金额</w:t>
      </w:r>
    </w:p>
    <w:p w14:paraId="1CE0C49F">
      <w:pPr>
        <w:spacing w:line="400" w:lineRule="exact"/>
        <w:ind w:firstLine="420"/>
        <w:jc w:val="left"/>
        <w:rPr>
          <w:rFonts w:ascii="宋体" w:hAnsi="宋体" w:cs="宋体"/>
          <w:b/>
          <w:bCs/>
          <w:i/>
          <w:iCs/>
          <w:szCs w:val="21"/>
        </w:rPr>
      </w:pPr>
      <w:r>
        <w:rPr>
          <w:rFonts w:hint="eastAsia" w:ascii="宋体" w:hAnsi="宋体" w:cs="宋体"/>
          <w:szCs w:val="21"/>
        </w:rPr>
        <w:t>2.1 合同标的及金额应与中标（成交）结果一致。乙方为履行本合同而发生的所有费用均应包含在合同价款中，甲方不再另行支付</w:t>
      </w:r>
      <w:r>
        <w:rPr>
          <w:rFonts w:hint="eastAsia" w:ascii="宋体" w:hAnsi="宋体" w:cs="宋体"/>
          <w:szCs w:val="21"/>
          <w:lang w:val="en"/>
        </w:rPr>
        <w:t>其他</w:t>
      </w:r>
      <w:r>
        <w:rPr>
          <w:rFonts w:hint="eastAsia" w:ascii="宋体" w:hAnsi="宋体" w:cs="宋体"/>
          <w:szCs w:val="21"/>
        </w:rPr>
        <w:t>任何费用。</w:t>
      </w:r>
    </w:p>
    <w:p w14:paraId="22ED93D8">
      <w:pPr>
        <w:spacing w:line="400" w:lineRule="exact"/>
        <w:jc w:val="left"/>
        <w:rPr>
          <w:rFonts w:ascii="宋体" w:hAnsi="宋体" w:cs="宋体"/>
          <w:b/>
          <w:szCs w:val="21"/>
        </w:rPr>
      </w:pPr>
      <w:r>
        <w:rPr>
          <w:rFonts w:hint="eastAsia" w:ascii="宋体" w:hAnsi="宋体" w:cs="宋体"/>
          <w:b/>
          <w:szCs w:val="21"/>
        </w:rPr>
        <w:t>3. 履行合同的时间、地点和方式</w:t>
      </w:r>
    </w:p>
    <w:p w14:paraId="6A792EBC">
      <w:pPr>
        <w:spacing w:line="400" w:lineRule="exact"/>
        <w:ind w:firstLine="420"/>
        <w:jc w:val="left"/>
        <w:rPr>
          <w:rFonts w:ascii="宋体" w:hAnsi="宋体" w:cs="宋体"/>
          <w:szCs w:val="21"/>
        </w:rPr>
      </w:pPr>
      <w:r>
        <w:rPr>
          <w:rFonts w:hint="eastAsia" w:ascii="宋体" w:hAnsi="宋体" w:cs="宋体"/>
          <w:szCs w:val="21"/>
        </w:rPr>
        <w:t>3.1 乙方应当在约定的时间、地点，按照约定方式履行合同。</w:t>
      </w:r>
    </w:p>
    <w:p w14:paraId="0603CE94">
      <w:pPr>
        <w:spacing w:line="400" w:lineRule="exact"/>
        <w:jc w:val="left"/>
        <w:rPr>
          <w:rFonts w:ascii="宋体" w:hAnsi="宋体" w:cs="宋体"/>
          <w:b/>
          <w:bCs/>
          <w:szCs w:val="21"/>
        </w:rPr>
      </w:pPr>
      <w:r>
        <w:rPr>
          <w:rFonts w:hint="eastAsia" w:ascii="宋体" w:hAnsi="宋体" w:cs="宋体"/>
          <w:b/>
          <w:bCs/>
          <w:szCs w:val="21"/>
        </w:rPr>
        <w:t>4. 甲方的权利和义务</w:t>
      </w:r>
    </w:p>
    <w:p w14:paraId="51A94DDF">
      <w:pPr>
        <w:spacing w:line="400" w:lineRule="exact"/>
        <w:ind w:firstLine="420"/>
        <w:jc w:val="left"/>
        <w:rPr>
          <w:rFonts w:ascii="宋体" w:hAnsi="宋体" w:cs="宋体"/>
          <w:szCs w:val="21"/>
        </w:rPr>
      </w:pPr>
      <w:r>
        <w:rPr>
          <w:rFonts w:hint="eastAsia" w:ascii="宋体" w:hAnsi="宋体" w:cs="宋体"/>
          <w:szCs w:val="21"/>
        </w:rPr>
        <w:t>4.1 签署合同后，甲方应确定项目负责人（或项目联系人），负责与本合同有关的事务。甲方有权对乙方的履约行为进行检查，并及时确认乙方提交的事项。甲方应当配合乙方完成相关项目实施工作。</w:t>
      </w:r>
    </w:p>
    <w:p w14:paraId="467FCA10">
      <w:pPr>
        <w:spacing w:line="400" w:lineRule="exact"/>
        <w:ind w:firstLine="420"/>
        <w:jc w:val="left"/>
        <w:rPr>
          <w:rFonts w:ascii="宋体" w:hAnsi="宋体" w:cs="宋体"/>
          <w:szCs w:val="21"/>
        </w:rPr>
      </w:pPr>
      <w:r>
        <w:rPr>
          <w:rFonts w:hint="eastAsia" w:ascii="宋体" w:hAnsi="宋体" w:cs="宋体"/>
          <w:szCs w:val="21"/>
        </w:rPr>
        <w:t>4.2 甲方有权要求乙方按时提交各阶段有关安排计划，并有权定期核对乙方提供货物数量、规格、质量等内容。甲方有权督促乙方工作并要求乙方更换不符合要求的货物。</w:t>
      </w:r>
    </w:p>
    <w:p w14:paraId="6D375EC0">
      <w:pPr>
        <w:spacing w:line="400" w:lineRule="exact"/>
        <w:ind w:firstLine="420"/>
        <w:jc w:val="left"/>
        <w:rPr>
          <w:rFonts w:ascii="宋体" w:hAnsi="宋体" w:cs="宋体"/>
          <w:szCs w:val="21"/>
        </w:rPr>
      </w:pPr>
      <w:r>
        <w:rPr>
          <w:rFonts w:hint="eastAsia" w:ascii="宋体" w:hAnsi="宋体" w:cs="宋体"/>
          <w:szCs w:val="21"/>
        </w:rPr>
        <w:t>4.3 甲方有权要求乙方对缺陷部分予以修复，并按合同约定享有货物保修及其他合同约定的权利。</w:t>
      </w:r>
    </w:p>
    <w:p w14:paraId="3A3AC996">
      <w:pPr>
        <w:spacing w:line="400" w:lineRule="exact"/>
        <w:ind w:firstLine="420"/>
        <w:rPr>
          <w:rFonts w:ascii="宋体" w:hAnsi="宋体" w:cs="宋体"/>
          <w:szCs w:val="21"/>
        </w:rPr>
      </w:pPr>
      <w:r>
        <w:rPr>
          <w:rFonts w:hint="eastAsia" w:ascii="宋体" w:hAnsi="宋体" w:cs="宋体"/>
          <w:szCs w:val="21"/>
        </w:rPr>
        <w:t>4.4 甲方应当按照合同约定及时对交付的货物进行验收，未在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约定的期限内对乙方履约提出任何异议或者向乙方作出任何说明的，视为验收通过。</w:t>
      </w:r>
    </w:p>
    <w:p w14:paraId="5A296710">
      <w:pPr>
        <w:spacing w:line="400" w:lineRule="exact"/>
        <w:ind w:firstLine="420"/>
        <w:jc w:val="left"/>
        <w:rPr>
          <w:rFonts w:ascii="宋体" w:hAnsi="宋体" w:cs="宋体"/>
          <w:szCs w:val="21"/>
        </w:rPr>
      </w:pPr>
      <w:r>
        <w:rPr>
          <w:rFonts w:hint="eastAsia" w:ascii="宋体" w:hAnsi="宋体" w:cs="宋体"/>
          <w:szCs w:val="21"/>
        </w:rPr>
        <w:t>4.5 甲方应当根据合同约定及时向乙方支付合同价款，不得以内部人员变更、履行内部付款流程等为由，拒绝或迟延支付。</w:t>
      </w:r>
    </w:p>
    <w:p w14:paraId="7B8E571B">
      <w:pPr>
        <w:spacing w:line="400" w:lineRule="exact"/>
        <w:ind w:firstLine="420"/>
        <w:jc w:val="left"/>
        <w:rPr>
          <w:rFonts w:ascii="宋体" w:hAnsi="宋体" w:cs="宋体"/>
          <w:szCs w:val="21"/>
        </w:rPr>
      </w:pPr>
      <w:r>
        <w:rPr>
          <w:rFonts w:hint="eastAsia" w:ascii="宋体" w:hAnsi="宋体" w:cs="宋体"/>
          <w:szCs w:val="21"/>
        </w:rPr>
        <w:t>4.6 国家法律法规规定及</w:t>
      </w:r>
      <w:r>
        <w:rPr>
          <w:rFonts w:hint="eastAsia" w:ascii="宋体" w:hAnsi="宋体" w:cs="宋体"/>
          <w:b/>
          <w:bCs/>
          <w:szCs w:val="21"/>
        </w:rPr>
        <w:t>【政府采购合同专用条款】</w:t>
      </w:r>
      <w:r>
        <w:rPr>
          <w:rFonts w:hint="eastAsia" w:ascii="宋体" w:hAnsi="宋体" w:cs="宋体"/>
          <w:szCs w:val="21"/>
        </w:rPr>
        <w:t>约定应由甲方承担的其他义务和责任。</w:t>
      </w:r>
    </w:p>
    <w:p w14:paraId="0444C43F">
      <w:pPr>
        <w:spacing w:line="400" w:lineRule="exact"/>
        <w:jc w:val="left"/>
        <w:rPr>
          <w:rFonts w:ascii="宋体" w:hAnsi="宋体" w:cs="宋体"/>
          <w:b/>
          <w:bCs/>
          <w:szCs w:val="21"/>
        </w:rPr>
      </w:pPr>
      <w:r>
        <w:rPr>
          <w:rFonts w:hint="eastAsia" w:ascii="宋体" w:hAnsi="宋体" w:cs="宋体"/>
          <w:b/>
          <w:bCs/>
          <w:szCs w:val="21"/>
        </w:rPr>
        <w:t>5. 乙方的权利和义务</w:t>
      </w:r>
    </w:p>
    <w:p w14:paraId="33DBE52C">
      <w:pPr>
        <w:spacing w:line="400" w:lineRule="exact"/>
        <w:ind w:firstLine="420"/>
        <w:jc w:val="left"/>
        <w:rPr>
          <w:rFonts w:ascii="宋体" w:hAnsi="宋体" w:cs="宋体"/>
          <w:szCs w:val="21"/>
        </w:rPr>
      </w:pPr>
      <w:r>
        <w:rPr>
          <w:rFonts w:hint="eastAsia" w:ascii="宋体" w:hAnsi="宋体" w:cs="宋体"/>
          <w:szCs w:val="21"/>
        </w:rPr>
        <w:t>5.1 签署合同后，乙方应确定项目负责人（或项目联系人），负责与本合同有关的事务。</w:t>
      </w:r>
    </w:p>
    <w:p w14:paraId="6C178476">
      <w:pPr>
        <w:spacing w:line="400" w:lineRule="exact"/>
        <w:ind w:firstLine="420"/>
        <w:jc w:val="left"/>
        <w:rPr>
          <w:rFonts w:ascii="宋体" w:hAnsi="宋体" w:cs="宋体"/>
          <w:szCs w:val="21"/>
        </w:rPr>
      </w:pPr>
      <w:r>
        <w:rPr>
          <w:rFonts w:hint="eastAsia" w:ascii="宋体" w:hAnsi="宋体" w:cs="宋体"/>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2A3F71C7">
      <w:pPr>
        <w:pStyle w:val="847"/>
        <w:spacing w:line="400" w:lineRule="exact"/>
        <w:ind w:firstLine="369"/>
        <w:rPr>
          <w:rFonts w:ascii="宋体" w:eastAsia="宋体"/>
          <w:sz w:val="21"/>
          <w:szCs w:val="21"/>
        </w:rPr>
      </w:pPr>
      <w:r>
        <w:rPr>
          <w:rFonts w:hint="eastAsia" w:ascii="宋体" w:eastAsia="宋体"/>
          <w:sz w:val="21"/>
          <w:szCs w:val="21"/>
        </w:rPr>
        <w:t>5.3乙方有权根据合同约定向甲方收取合同价款。</w:t>
      </w:r>
    </w:p>
    <w:p w14:paraId="42EED111">
      <w:pPr>
        <w:pStyle w:val="847"/>
        <w:spacing w:line="400" w:lineRule="exact"/>
        <w:ind w:firstLine="369"/>
        <w:rPr>
          <w:rFonts w:ascii="宋体" w:eastAsia="宋体"/>
          <w:sz w:val="21"/>
          <w:szCs w:val="21"/>
        </w:rPr>
      </w:pPr>
      <w:r>
        <w:rPr>
          <w:rFonts w:hint="eastAsia" w:ascii="宋体" w:eastAsia="宋体"/>
          <w:sz w:val="21"/>
          <w:szCs w:val="21"/>
        </w:rPr>
        <w:t>5.4国家法律法规规定及</w:t>
      </w:r>
      <w:r>
        <w:rPr>
          <w:rFonts w:hint="eastAsia" w:ascii="宋体" w:eastAsia="宋体"/>
          <w:b/>
          <w:bCs/>
          <w:sz w:val="21"/>
          <w:szCs w:val="21"/>
        </w:rPr>
        <w:t>【政府采购合同专用条款】</w:t>
      </w:r>
      <w:r>
        <w:rPr>
          <w:rFonts w:hint="eastAsia" w:ascii="宋体" w:eastAsia="宋体"/>
          <w:sz w:val="21"/>
          <w:szCs w:val="21"/>
        </w:rPr>
        <w:t>约定应由乙方承担的其他义务和责任。</w:t>
      </w:r>
    </w:p>
    <w:p w14:paraId="5FD566FB">
      <w:pPr>
        <w:numPr>
          <w:ilvl w:val="0"/>
          <w:numId w:val="6"/>
        </w:numPr>
        <w:spacing w:line="400" w:lineRule="exact"/>
        <w:jc w:val="left"/>
        <w:rPr>
          <w:rFonts w:ascii="宋体" w:hAnsi="宋体" w:cs="宋体"/>
          <w:b/>
          <w:bCs/>
          <w:szCs w:val="21"/>
        </w:rPr>
      </w:pPr>
      <w:r>
        <w:rPr>
          <w:rFonts w:hint="eastAsia" w:ascii="宋体" w:hAnsi="宋体" w:cs="宋体"/>
          <w:b/>
          <w:bCs/>
          <w:szCs w:val="21"/>
        </w:rPr>
        <w:t>合同履行</w:t>
      </w:r>
    </w:p>
    <w:p w14:paraId="161A5C32">
      <w:pPr>
        <w:spacing w:line="400" w:lineRule="exact"/>
        <w:ind w:firstLine="420"/>
        <w:jc w:val="left"/>
        <w:rPr>
          <w:rFonts w:ascii="宋体" w:hAnsi="宋体" w:cs="宋体"/>
          <w:szCs w:val="21"/>
        </w:rPr>
      </w:pPr>
      <w:r>
        <w:rPr>
          <w:rFonts w:hint="eastAsia" w:ascii="宋体" w:hAnsi="宋体" w:cs="宋体"/>
          <w:szCs w:val="21"/>
        </w:rPr>
        <w:t>6.1 甲乙双方应当按照</w:t>
      </w:r>
      <w:r>
        <w:rPr>
          <w:rFonts w:hint="eastAsia" w:ascii="宋体" w:hAnsi="宋体" w:cs="宋体"/>
          <w:b/>
          <w:bCs/>
          <w:szCs w:val="21"/>
        </w:rPr>
        <w:t>【政府采购合同专用条款】</w:t>
      </w:r>
      <w:r>
        <w:rPr>
          <w:rFonts w:hint="eastAsia" w:ascii="宋体" w:hAnsi="宋体" w:cs="宋体"/>
          <w:szCs w:val="21"/>
        </w:rPr>
        <w:t>约定顺序履行合同义务；如果没有先后顺序的，应当同时履行。</w:t>
      </w:r>
    </w:p>
    <w:p w14:paraId="52E3E0F5">
      <w:pPr>
        <w:spacing w:line="400" w:lineRule="exact"/>
        <w:ind w:firstLine="420"/>
        <w:jc w:val="left"/>
        <w:rPr>
          <w:rFonts w:ascii="宋体" w:hAnsi="宋体" w:cs="宋体"/>
          <w:szCs w:val="21"/>
        </w:rPr>
      </w:pPr>
      <w:r>
        <w:rPr>
          <w:rFonts w:hint="eastAsia" w:ascii="宋体" w:hAnsi="宋体" w:cs="宋体"/>
          <w:szCs w:val="21"/>
        </w:rPr>
        <w:t>6.2 甲乙双方按照合同约定顺序履行合同义务时，应当先履行一方未履行的，后履行一方有权拒绝其履行请求。先履行一方履行不符合约定的，后履行一方有权拒绝其相应的履行请求。</w:t>
      </w:r>
    </w:p>
    <w:p w14:paraId="6BEF5B42">
      <w:pPr>
        <w:spacing w:line="400" w:lineRule="exact"/>
        <w:jc w:val="left"/>
        <w:rPr>
          <w:rFonts w:ascii="宋体" w:hAnsi="宋体" w:cs="宋体"/>
          <w:b/>
          <w:bCs/>
          <w:szCs w:val="21"/>
        </w:rPr>
      </w:pPr>
      <w:r>
        <w:rPr>
          <w:rFonts w:hint="eastAsia" w:ascii="宋体" w:hAnsi="宋体" w:cs="宋体"/>
          <w:b/>
          <w:bCs/>
          <w:szCs w:val="21"/>
        </w:rPr>
        <w:t>7. 货物包装、运输、保险和交付要求</w:t>
      </w:r>
    </w:p>
    <w:p w14:paraId="7CB213EF">
      <w:pPr>
        <w:spacing w:line="400" w:lineRule="exact"/>
        <w:ind w:firstLine="420"/>
        <w:jc w:val="left"/>
        <w:rPr>
          <w:rFonts w:ascii="宋体" w:hAnsi="宋体" w:cs="宋体"/>
          <w:szCs w:val="21"/>
        </w:rPr>
      </w:pPr>
      <w:r>
        <w:rPr>
          <w:rFonts w:hint="eastAsia" w:ascii="宋体" w:hAnsi="宋体" w:cs="宋体"/>
          <w:szCs w:val="21"/>
        </w:rPr>
        <w:t>7.1 本合同</w:t>
      </w:r>
      <w:r>
        <w:rPr>
          <w:rFonts w:hint="eastAsia" w:ascii="宋体" w:hAnsi="宋体" w:cs="宋体"/>
          <w:bCs/>
          <w:szCs w:val="21"/>
        </w:rPr>
        <w:t>涉及商品包装、快递包装的，</w:t>
      </w:r>
      <w:r>
        <w:rPr>
          <w:rFonts w:hint="eastAsia" w:ascii="宋体" w:hAnsi="宋体" w:cs="宋体"/>
          <w:szCs w:val="21"/>
        </w:rPr>
        <w:t>除</w:t>
      </w:r>
      <w:r>
        <w:rPr>
          <w:rFonts w:hint="eastAsia" w:ascii="宋体" w:hAnsi="宋体" w:cs="宋体"/>
          <w:b/>
          <w:szCs w:val="21"/>
        </w:rPr>
        <w:t>【政府采购合同专用条款】</w:t>
      </w:r>
      <w:r>
        <w:rPr>
          <w:rFonts w:hint="eastAsia" w:ascii="宋体" w:hAnsi="宋体" w:cs="宋体"/>
          <w:bCs/>
          <w:szCs w:val="21"/>
        </w:rPr>
        <w:t>另有约定外，</w:t>
      </w:r>
      <w:r>
        <w:rPr>
          <w:rFonts w:hint="eastAsia" w:ascii="宋体" w:hAnsi="宋体" w:cs="宋体"/>
          <w:szCs w:val="21"/>
        </w:rPr>
        <w:t>包装应适应远距离运输、防潮、防震、防锈和防野蛮装卸等要求，确保货物安全无损地运抵</w:t>
      </w:r>
      <w:r>
        <w:rPr>
          <w:rFonts w:hint="eastAsia" w:ascii="宋体" w:hAnsi="宋体" w:cs="宋体"/>
          <w:b/>
          <w:szCs w:val="21"/>
        </w:rPr>
        <w:t>【政府采购合同专用条款】</w:t>
      </w:r>
      <w:r>
        <w:rPr>
          <w:rFonts w:hint="eastAsia" w:ascii="宋体" w:hAnsi="宋体" w:cs="宋体"/>
          <w:bCs/>
          <w:szCs w:val="21"/>
        </w:rPr>
        <w:t>约定的</w:t>
      </w:r>
      <w:r>
        <w:rPr>
          <w:rFonts w:hint="eastAsia" w:ascii="宋体" w:hAnsi="宋体" w:cs="宋体"/>
          <w:szCs w:val="21"/>
        </w:rPr>
        <w:t>指定现场。</w:t>
      </w:r>
    </w:p>
    <w:p w14:paraId="1D40479E">
      <w:pPr>
        <w:spacing w:line="400" w:lineRule="exact"/>
        <w:ind w:firstLine="420"/>
        <w:jc w:val="left"/>
        <w:rPr>
          <w:rFonts w:ascii="宋体" w:hAnsi="宋体" w:cs="宋体"/>
          <w:szCs w:val="21"/>
        </w:rPr>
      </w:pPr>
      <w:r>
        <w:rPr>
          <w:rFonts w:hint="eastAsia" w:ascii="宋体" w:hAnsi="宋体" w:cs="宋体"/>
          <w:szCs w:val="21"/>
        </w:rPr>
        <w:t>7.2 除</w:t>
      </w:r>
      <w:r>
        <w:rPr>
          <w:rFonts w:hint="eastAsia" w:ascii="宋体" w:hAnsi="宋体" w:cs="宋体"/>
          <w:b/>
          <w:szCs w:val="21"/>
        </w:rPr>
        <w:t>【政府采购合同专用条款】</w:t>
      </w:r>
      <w:r>
        <w:rPr>
          <w:rFonts w:hint="eastAsia" w:ascii="宋体" w:hAnsi="宋体" w:cs="宋体"/>
          <w:bCs/>
          <w:szCs w:val="21"/>
        </w:rPr>
        <w:t>另有约定外，</w:t>
      </w:r>
      <w:r>
        <w:rPr>
          <w:rFonts w:hint="eastAsia" w:ascii="宋体" w:hAnsi="宋体" w:cs="宋体"/>
          <w:szCs w:val="21"/>
        </w:rPr>
        <w:t>乙方负责办理将货物运抵本合同规定的交货地点，并装卸、交付至甲方的一切运输事项，相关费用应包含在合同价款中。</w:t>
      </w:r>
    </w:p>
    <w:p w14:paraId="56C04723">
      <w:pPr>
        <w:spacing w:line="400" w:lineRule="exact"/>
        <w:ind w:firstLine="420"/>
        <w:jc w:val="left"/>
        <w:rPr>
          <w:rFonts w:ascii="宋体" w:hAnsi="宋体" w:cs="宋体"/>
          <w:szCs w:val="21"/>
        </w:rPr>
      </w:pPr>
      <w:r>
        <w:rPr>
          <w:rFonts w:hint="eastAsia" w:ascii="宋体" w:hAnsi="宋体" w:cs="宋体"/>
          <w:szCs w:val="21"/>
        </w:rPr>
        <w:t>7.3 货物保险要求按</w:t>
      </w:r>
      <w:r>
        <w:rPr>
          <w:rFonts w:hint="eastAsia" w:ascii="宋体" w:hAnsi="宋体" w:cs="宋体"/>
          <w:b/>
          <w:szCs w:val="21"/>
        </w:rPr>
        <w:t>【政府采购合同专用条款】</w:t>
      </w:r>
      <w:r>
        <w:rPr>
          <w:rFonts w:hint="eastAsia" w:ascii="宋体" w:hAnsi="宋体" w:cs="宋体"/>
          <w:bCs/>
          <w:szCs w:val="21"/>
        </w:rPr>
        <w:t>规定执行</w:t>
      </w:r>
      <w:r>
        <w:rPr>
          <w:rFonts w:hint="eastAsia" w:ascii="宋体" w:hAnsi="宋体" w:cs="宋体"/>
          <w:szCs w:val="21"/>
        </w:rPr>
        <w:t>。</w:t>
      </w:r>
    </w:p>
    <w:p w14:paraId="00A929F9">
      <w:pPr>
        <w:spacing w:line="400" w:lineRule="exact"/>
        <w:ind w:firstLine="420"/>
        <w:jc w:val="left"/>
        <w:rPr>
          <w:rFonts w:ascii="宋体" w:hAnsi="宋体" w:cs="宋体"/>
          <w:szCs w:val="21"/>
        </w:rPr>
      </w:pPr>
      <w:r>
        <w:rPr>
          <w:rFonts w:hint="eastAsia" w:ascii="宋体" w:hAnsi="宋体" w:cs="宋体"/>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336480BB">
      <w:pPr>
        <w:spacing w:line="400" w:lineRule="exact"/>
        <w:ind w:firstLine="420"/>
        <w:jc w:val="left"/>
        <w:rPr>
          <w:rFonts w:ascii="宋体" w:hAnsi="宋体" w:cs="宋体"/>
          <w:szCs w:val="21"/>
        </w:rPr>
      </w:pPr>
      <w:r>
        <w:rPr>
          <w:rFonts w:hint="eastAsia" w:ascii="宋体" w:hAnsi="宋体" w:cs="宋体"/>
          <w:szCs w:val="21"/>
        </w:rPr>
        <w:t>7.5 乙方在运输到达之前应提前通知甲方，并提示货物运输装卸的注意事项，甲方配合乙方做好货物的接收工作。</w:t>
      </w:r>
    </w:p>
    <w:p w14:paraId="19CBAE1D">
      <w:pPr>
        <w:spacing w:line="400" w:lineRule="exact"/>
        <w:ind w:firstLine="420"/>
        <w:rPr>
          <w:rFonts w:ascii="宋体" w:hAnsi="宋体" w:cs="宋体"/>
          <w:szCs w:val="21"/>
        </w:rPr>
      </w:pPr>
      <w:r>
        <w:rPr>
          <w:rFonts w:hint="eastAsia" w:ascii="宋体" w:hAnsi="宋体" w:cs="宋体"/>
          <w:szCs w:val="21"/>
        </w:rPr>
        <w:t>7.6 如因包装、运输问题导致货物损毁、丢失或者品质下降，甲方有权要求降价、换货、拒收部分或整批货物，由此产生的费用和损失，均由乙方承担。</w:t>
      </w:r>
    </w:p>
    <w:p w14:paraId="489C0A06">
      <w:pPr>
        <w:spacing w:line="400" w:lineRule="exact"/>
        <w:jc w:val="left"/>
        <w:rPr>
          <w:rFonts w:ascii="宋体" w:hAnsi="宋体" w:cs="宋体"/>
          <w:b/>
          <w:szCs w:val="21"/>
        </w:rPr>
      </w:pPr>
      <w:r>
        <w:rPr>
          <w:rFonts w:hint="eastAsia" w:ascii="宋体" w:hAnsi="宋体" w:cs="宋体"/>
          <w:b/>
          <w:szCs w:val="21"/>
        </w:rPr>
        <w:t>8. 质量标准和保证</w:t>
      </w:r>
    </w:p>
    <w:p w14:paraId="6A2FFA3F">
      <w:pPr>
        <w:spacing w:line="400" w:lineRule="exact"/>
        <w:ind w:firstLine="420"/>
        <w:jc w:val="left"/>
        <w:rPr>
          <w:rFonts w:ascii="宋体" w:hAnsi="Courier New" w:eastAsia="楷体_GB2312" w:cs="宋体"/>
          <w:b/>
          <w:sz w:val="26"/>
          <w:szCs w:val="24"/>
        </w:rPr>
      </w:pPr>
      <w:r>
        <w:rPr>
          <w:rFonts w:hint="eastAsia" w:ascii="宋体" w:hAnsi="Courier New" w:eastAsia="楷体_GB2312" w:cs="宋体"/>
          <w:sz w:val="26"/>
          <w:szCs w:val="24"/>
        </w:rPr>
        <w:t>8.1 质量标准</w:t>
      </w:r>
    </w:p>
    <w:p w14:paraId="7251D2A6">
      <w:pPr>
        <w:spacing w:line="400" w:lineRule="exact"/>
        <w:ind w:firstLine="420"/>
        <w:jc w:val="left"/>
        <w:rPr>
          <w:rFonts w:ascii="宋体" w:hAnsi="宋体" w:cs="宋体"/>
          <w:szCs w:val="21"/>
        </w:rPr>
      </w:pPr>
      <w:r>
        <w:rPr>
          <w:rFonts w:hint="eastAsia" w:ascii="宋体" w:hAnsi="宋体" w:cs="宋体"/>
          <w:szCs w:val="21"/>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08652E01">
      <w:pPr>
        <w:spacing w:line="400" w:lineRule="exact"/>
        <w:ind w:firstLine="420"/>
        <w:jc w:val="left"/>
        <w:rPr>
          <w:rFonts w:cs="宋体"/>
          <w:szCs w:val="24"/>
        </w:rPr>
      </w:pPr>
      <w:r>
        <w:rPr>
          <w:rFonts w:hint="eastAsia" w:cs="宋体"/>
          <w:szCs w:val="24"/>
        </w:rPr>
        <w:t>（2）采用中华人民共和国法定计量单位。</w:t>
      </w:r>
    </w:p>
    <w:p w14:paraId="57A4623D">
      <w:pPr>
        <w:spacing w:line="400" w:lineRule="exact"/>
        <w:ind w:firstLine="420"/>
        <w:jc w:val="left"/>
        <w:rPr>
          <w:rFonts w:ascii="宋体" w:hAnsi="宋体" w:cs="宋体"/>
          <w:szCs w:val="21"/>
        </w:rPr>
      </w:pPr>
      <w:r>
        <w:rPr>
          <w:rFonts w:hint="eastAsia" w:ascii="宋体" w:hAnsi="宋体" w:cs="宋体"/>
          <w:szCs w:val="21"/>
        </w:rPr>
        <w:t>（3）乙方所提供的货物应符合国家有关安全、环保、卫生的规定。</w:t>
      </w:r>
    </w:p>
    <w:p w14:paraId="20E19991">
      <w:pPr>
        <w:spacing w:line="400" w:lineRule="exact"/>
        <w:ind w:firstLine="420"/>
        <w:jc w:val="left"/>
        <w:rPr>
          <w:rFonts w:ascii="宋体" w:hAnsi="宋体" w:cs="宋体"/>
          <w:szCs w:val="21"/>
        </w:rPr>
      </w:pPr>
      <w:r>
        <w:rPr>
          <w:rFonts w:hint="eastAsia" w:ascii="宋体" w:hAnsi="宋体" w:cs="宋体"/>
          <w:szCs w:val="21"/>
        </w:rPr>
        <w:t>（4）乙方应向甲方提交所提供货物的技术文件，包括相应的中文技术文件，如：产品目录、图纸、操作手册、使用说明、维护手册或服务指南等。上述文件应包装好随货物一同发运。</w:t>
      </w:r>
    </w:p>
    <w:p w14:paraId="5CF7C43F">
      <w:pPr>
        <w:spacing w:line="400" w:lineRule="exact"/>
        <w:ind w:firstLine="420"/>
        <w:jc w:val="left"/>
        <w:rPr>
          <w:rFonts w:ascii="宋体" w:hAnsi="宋体" w:cs="宋体"/>
          <w:szCs w:val="21"/>
        </w:rPr>
      </w:pPr>
      <w:r>
        <w:rPr>
          <w:rFonts w:hint="eastAsia" w:ascii="宋体" w:hAnsi="宋体" w:cs="宋体"/>
          <w:szCs w:val="21"/>
        </w:rPr>
        <w:t>8.2 保证</w:t>
      </w:r>
    </w:p>
    <w:p w14:paraId="38C1E97F">
      <w:pPr>
        <w:spacing w:line="400" w:lineRule="exact"/>
        <w:ind w:firstLine="420"/>
        <w:jc w:val="left"/>
        <w:rPr>
          <w:rFonts w:ascii="宋体" w:hAnsi="宋体" w:cs="宋体"/>
          <w:szCs w:val="21"/>
        </w:rPr>
      </w:pPr>
      <w:r>
        <w:rPr>
          <w:rFonts w:hint="eastAsia" w:ascii="宋体" w:hAnsi="宋体" w:cs="宋体"/>
          <w:szCs w:val="21"/>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cs="宋体"/>
          <w:b/>
          <w:szCs w:val="21"/>
        </w:rPr>
        <w:t>【政府采购合同专用条款】</w:t>
      </w:r>
      <w:r>
        <w:rPr>
          <w:rFonts w:hint="eastAsia" w:ascii="宋体" w:hAnsi="宋体" w:cs="宋体"/>
          <w:szCs w:val="21"/>
        </w:rPr>
        <w:t>规定或乙方书面承诺（两者以较长的为准）的质量保证期内，本保证保持有效。</w:t>
      </w:r>
    </w:p>
    <w:p w14:paraId="2888D858">
      <w:pPr>
        <w:spacing w:line="400" w:lineRule="exact"/>
        <w:ind w:firstLine="420"/>
        <w:jc w:val="left"/>
        <w:rPr>
          <w:rFonts w:ascii="宋体" w:hAnsi="宋体" w:cs="宋体"/>
          <w:szCs w:val="21"/>
        </w:rPr>
      </w:pPr>
      <w:r>
        <w:rPr>
          <w:rFonts w:hint="eastAsia" w:ascii="宋体" w:hAnsi="宋体" w:cs="宋体"/>
          <w:szCs w:val="21"/>
        </w:rPr>
        <w:t>（2）在质量保证期内所发现的缺陷，甲方应尽快以书面形式通知乙方。</w:t>
      </w:r>
    </w:p>
    <w:p w14:paraId="1004ADFD">
      <w:pPr>
        <w:spacing w:line="400" w:lineRule="exact"/>
        <w:ind w:firstLine="420"/>
        <w:jc w:val="left"/>
        <w:rPr>
          <w:rFonts w:ascii="宋体" w:hAnsi="宋体" w:cs="宋体"/>
          <w:szCs w:val="21"/>
        </w:rPr>
      </w:pPr>
      <w:r>
        <w:rPr>
          <w:rFonts w:hint="eastAsia" w:ascii="宋体" w:hAnsi="宋体" w:cs="宋体"/>
          <w:szCs w:val="21"/>
        </w:rPr>
        <w:t>（3）乙方收到通知后，应在</w:t>
      </w:r>
      <w:r>
        <w:rPr>
          <w:rFonts w:hint="eastAsia" w:ascii="宋体" w:hAnsi="宋体" w:cs="宋体"/>
          <w:b/>
          <w:szCs w:val="21"/>
        </w:rPr>
        <w:t>【政府采购合同专用条款】</w:t>
      </w:r>
      <w:r>
        <w:rPr>
          <w:rFonts w:hint="eastAsia" w:ascii="宋体" w:hAnsi="宋体" w:cs="宋体"/>
          <w:szCs w:val="21"/>
        </w:rPr>
        <w:t>规定的响应时间内以合理的速度免费维修或更换有缺陷的货物或部件。</w:t>
      </w:r>
    </w:p>
    <w:p w14:paraId="0AC4FA8C">
      <w:pPr>
        <w:spacing w:line="400" w:lineRule="exact"/>
        <w:ind w:firstLine="420"/>
        <w:jc w:val="left"/>
        <w:rPr>
          <w:rFonts w:ascii="宋体" w:hAnsi="宋体" w:cs="宋体"/>
          <w:szCs w:val="21"/>
        </w:rPr>
      </w:pPr>
      <w:r>
        <w:rPr>
          <w:rFonts w:hint="eastAsia" w:ascii="宋体" w:hAnsi="宋体" w:cs="宋体"/>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5B0FA383">
      <w:pPr>
        <w:spacing w:line="400" w:lineRule="exact"/>
        <w:ind w:firstLine="420"/>
        <w:jc w:val="left"/>
        <w:rPr>
          <w:rFonts w:ascii="宋体" w:hAnsi="宋体" w:cs="宋体"/>
          <w:szCs w:val="21"/>
        </w:rPr>
      </w:pPr>
      <w:r>
        <w:rPr>
          <w:rFonts w:hint="eastAsia" w:ascii="宋体" w:hAnsi="宋体" w:cs="宋体"/>
          <w:szCs w:val="21"/>
        </w:rPr>
        <w:t>（5）乙方在约定的时间内未能弥补缺陷，甲方可采取必要的补救措施，但其风险和费用将由乙方承担，甲方根据合同约定对乙方行使的其他权利不受影响。</w:t>
      </w:r>
    </w:p>
    <w:p w14:paraId="23E03814">
      <w:pPr>
        <w:spacing w:line="400" w:lineRule="exact"/>
        <w:jc w:val="left"/>
        <w:rPr>
          <w:rFonts w:ascii="宋体" w:hAnsi="宋体" w:cs="宋体"/>
          <w:b/>
          <w:bCs/>
          <w:szCs w:val="21"/>
        </w:rPr>
      </w:pPr>
      <w:r>
        <w:rPr>
          <w:rFonts w:hint="eastAsia" w:ascii="宋体" w:hAnsi="宋体" w:cs="宋体"/>
          <w:b/>
          <w:bCs/>
          <w:szCs w:val="21"/>
        </w:rPr>
        <w:t>9. 权利瑕疵担保</w:t>
      </w:r>
    </w:p>
    <w:p w14:paraId="4E96251D">
      <w:pPr>
        <w:spacing w:line="400" w:lineRule="exact"/>
        <w:ind w:firstLine="420"/>
        <w:jc w:val="left"/>
        <w:rPr>
          <w:rFonts w:ascii="宋体" w:hAnsi="宋体" w:cs="宋体"/>
          <w:szCs w:val="21"/>
        </w:rPr>
      </w:pPr>
      <w:r>
        <w:rPr>
          <w:rFonts w:hint="eastAsia" w:ascii="宋体" w:hAnsi="宋体" w:cs="宋体"/>
          <w:szCs w:val="21"/>
        </w:rPr>
        <w:t>9.1 乙方保证对其出售的货物享有合法的权利。</w:t>
      </w:r>
    </w:p>
    <w:p w14:paraId="035D2E5C">
      <w:pPr>
        <w:spacing w:line="400" w:lineRule="exact"/>
        <w:ind w:firstLine="420"/>
        <w:jc w:val="left"/>
        <w:rPr>
          <w:rFonts w:ascii="宋体" w:hAnsi="宋体" w:cs="宋体"/>
          <w:szCs w:val="21"/>
        </w:rPr>
      </w:pPr>
      <w:r>
        <w:rPr>
          <w:rFonts w:hint="eastAsia" w:ascii="宋体" w:hAnsi="宋体" w:cs="宋体"/>
          <w:szCs w:val="21"/>
        </w:rPr>
        <w:t>9.2 乙方保证在交付的货物上不存在抵押权等担保物权。</w:t>
      </w:r>
    </w:p>
    <w:p w14:paraId="71D80E09">
      <w:pPr>
        <w:spacing w:line="400" w:lineRule="exact"/>
        <w:ind w:firstLine="420"/>
        <w:jc w:val="left"/>
        <w:rPr>
          <w:rFonts w:ascii="宋体" w:hAnsi="宋体" w:cs="宋体"/>
          <w:szCs w:val="21"/>
        </w:rPr>
      </w:pPr>
      <w:r>
        <w:rPr>
          <w:rFonts w:hint="eastAsia" w:ascii="宋体" w:hAnsi="宋体" w:cs="宋体"/>
          <w:szCs w:val="21"/>
        </w:rPr>
        <w:t>9.3 如甲方使用上述货物构成对第三人侵权的，则由乙方承担全部责任。</w:t>
      </w:r>
    </w:p>
    <w:p w14:paraId="74895F2F">
      <w:pPr>
        <w:spacing w:line="400" w:lineRule="exact"/>
        <w:jc w:val="left"/>
        <w:rPr>
          <w:rFonts w:ascii="宋体" w:hAnsi="宋体" w:cs="宋体"/>
          <w:b/>
          <w:bCs/>
          <w:szCs w:val="21"/>
        </w:rPr>
      </w:pPr>
      <w:r>
        <w:rPr>
          <w:rFonts w:hint="eastAsia" w:ascii="宋体" w:hAnsi="宋体" w:cs="宋体"/>
          <w:b/>
          <w:bCs/>
          <w:szCs w:val="21"/>
        </w:rPr>
        <w:t>10. 知识产权保护</w:t>
      </w:r>
    </w:p>
    <w:p w14:paraId="178AA7BF">
      <w:pPr>
        <w:spacing w:line="400" w:lineRule="exact"/>
        <w:ind w:firstLine="420"/>
        <w:jc w:val="left"/>
        <w:rPr>
          <w:rFonts w:ascii="宋体" w:hAnsi="宋体" w:cs="宋体"/>
          <w:szCs w:val="21"/>
        </w:rPr>
      </w:pPr>
      <w:r>
        <w:rPr>
          <w:rFonts w:hint="eastAsia" w:ascii="宋体" w:hAnsi="宋体" w:cs="宋体"/>
          <w:szCs w:val="21"/>
        </w:rPr>
        <w:t>10.1 乙方对其所销售的货物应当享有知识产权或经权利人合法授权，保证没有侵犯任何第三人的知识产权等权利。</w:t>
      </w:r>
      <w:bookmarkStart w:id="26" w:name="_Hlk163047038"/>
      <w:r>
        <w:rPr>
          <w:rFonts w:hint="eastAsia" w:ascii="宋体" w:hAnsi="宋体" w:cs="宋体"/>
          <w:szCs w:val="21"/>
        </w:rPr>
        <w:t>因违反前述约定对第三人构成侵权的，应当由乙方向第三人承担法律责任；甲方依法向第三人赔偿后，有权向乙方追偿。甲方有其他损失的，乙方应当赔偿</w:t>
      </w:r>
      <w:bookmarkEnd w:id="26"/>
      <w:r>
        <w:rPr>
          <w:rFonts w:hint="eastAsia" w:ascii="宋体" w:hAnsi="宋体" w:cs="宋体"/>
          <w:szCs w:val="21"/>
        </w:rPr>
        <w:t>。</w:t>
      </w:r>
    </w:p>
    <w:p w14:paraId="66336CCE">
      <w:pPr>
        <w:spacing w:line="400" w:lineRule="exact"/>
        <w:jc w:val="left"/>
        <w:rPr>
          <w:rFonts w:ascii="宋体" w:hAnsi="宋体" w:cs="宋体"/>
          <w:b/>
          <w:bCs/>
          <w:szCs w:val="21"/>
        </w:rPr>
      </w:pPr>
      <w:r>
        <w:rPr>
          <w:rFonts w:hint="eastAsia" w:ascii="宋体" w:hAnsi="宋体" w:cs="宋体"/>
          <w:b/>
          <w:bCs/>
          <w:szCs w:val="21"/>
        </w:rPr>
        <w:t>11. 保密义务</w:t>
      </w:r>
    </w:p>
    <w:p w14:paraId="04124E54">
      <w:pPr>
        <w:spacing w:line="400" w:lineRule="exact"/>
        <w:ind w:firstLine="420"/>
        <w:jc w:val="left"/>
        <w:rPr>
          <w:rFonts w:ascii="宋体" w:hAnsi="宋体" w:cs="宋体"/>
          <w:szCs w:val="21"/>
        </w:rPr>
      </w:pPr>
      <w:r>
        <w:rPr>
          <w:rFonts w:hint="eastAsia" w:ascii="宋体" w:hAnsi="宋体" w:cs="宋体"/>
          <w:szCs w:val="21"/>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21"/>
        </w:rPr>
        <w:t>【政府采购合同专用条款】</w:t>
      </w:r>
      <w:r>
        <w:rPr>
          <w:rFonts w:hint="eastAsia" w:ascii="宋体" w:hAnsi="宋体" w:cs="宋体"/>
          <w:szCs w:val="21"/>
        </w:rPr>
        <w:t>中约定。</w:t>
      </w:r>
    </w:p>
    <w:p w14:paraId="4BB9D674">
      <w:pPr>
        <w:spacing w:line="400" w:lineRule="exact"/>
        <w:jc w:val="left"/>
        <w:rPr>
          <w:rFonts w:ascii="宋体" w:hAnsi="宋体" w:cs="宋体"/>
          <w:b/>
          <w:bCs/>
          <w:szCs w:val="21"/>
        </w:rPr>
      </w:pPr>
      <w:r>
        <w:rPr>
          <w:rFonts w:hint="eastAsia" w:ascii="宋体" w:hAnsi="宋体" w:cs="宋体"/>
          <w:b/>
          <w:bCs/>
          <w:szCs w:val="21"/>
        </w:rPr>
        <w:t>12. 合同价款支付</w:t>
      </w:r>
    </w:p>
    <w:p w14:paraId="117B30D9">
      <w:pPr>
        <w:spacing w:line="400" w:lineRule="exact"/>
        <w:ind w:firstLine="420"/>
        <w:jc w:val="left"/>
        <w:rPr>
          <w:rFonts w:ascii="宋体" w:hAnsi="宋体" w:cs="宋体"/>
          <w:szCs w:val="21"/>
        </w:rPr>
      </w:pPr>
      <w:r>
        <w:rPr>
          <w:rFonts w:hint="eastAsia" w:ascii="宋体" w:hAnsi="宋体" w:cs="宋体"/>
          <w:szCs w:val="21"/>
        </w:rPr>
        <w:t>12.1 合同价款支付按照国库集中支付制度及财政管理相关规定执行。</w:t>
      </w:r>
    </w:p>
    <w:p w14:paraId="179E0756">
      <w:pPr>
        <w:spacing w:line="400" w:lineRule="exact"/>
        <w:ind w:firstLine="420"/>
        <w:jc w:val="left"/>
        <w:rPr>
          <w:rFonts w:ascii="宋体" w:hAnsi="宋体" w:cs="宋体"/>
          <w:szCs w:val="21"/>
        </w:rPr>
      </w:pPr>
      <w:r>
        <w:rPr>
          <w:rFonts w:hint="eastAsia" w:ascii="宋体" w:hAnsi="宋体" w:cs="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cs="宋体"/>
          <w:b/>
          <w:bCs/>
          <w:szCs w:val="21"/>
        </w:rPr>
        <w:t>【政府采购合同专用条款】</w:t>
      </w:r>
      <w:r>
        <w:rPr>
          <w:rFonts w:hint="eastAsia" w:ascii="宋体" w:hAnsi="宋体" w:cs="宋体"/>
          <w:szCs w:val="21"/>
        </w:rPr>
        <w:t>中约定。</w:t>
      </w:r>
    </w:p>
    <w:p w14:paraId="6983E27B">
      <w:pPr>
        <w:pStyle w:val="847"/>
        <w:spacing w:line="400" w:lineRule="exact"/>
        <w:rPr>
          <w:rFonts w:ascii="宋体" w:eastAsia="宋体"/>
          <w:b/>
          <w:bCs/>
          <w:sz w:val="21"/>
          <w:szCs w:val="21"/>
        </w:rPr>
      </w:pPr>
      <w:r>
        <w:rPr>
          <w:rFonts w:hint="eastAsia" w:ascii="宋体" w:eastAsia="宋体"/>
          <w:b/>
          <w:bCs/>
          <w:sz w:val="21"/>
          <w:szCs w:val="21"/>
        </w:rPr>
        <w:t>13. 履约保证金</w:t>
      </w:r>
    </w:p>
    <w:p w14:paraId="7A72722B">
      <w:pPr>
        <w:spacing w:line="400" w:lineRule="exact"/>
        <w:ind w:firstLine="420"/>
        <w:jc w:val="left"/>
        <w:rPr>
          <w:rFonts w:ascii="宋体" w:hAnsi="宋体" w:cs="宋体"/>
          <w:szCs w:val="21"/>
        </w:rPr>
      </w:pPr>
      <w:r>
        <w:rPr>
          <w:rFonts w:hint="eastAsia" w:ascii="宋体" w:hAnsi="宋体" w:cs="宋体"/>
          <w:szCs w:val="21"/>
        </w:rPr>
        <w:t>13.1 乙方应当以支票、汇票、本票或者金融机构、担保机构出具的保函等非现金形式提交。</w:t>
      </w:r>
    </w:p>
    <w:p w14:paraId="14902EC6">
      <w:pPr>
        <w:spacing w:line="400" w:lineRule="exact"/>
        <w:ind w:firstLine="420"/>
        <w:jc w:val="left"/>
        <w:rPr>
          <w:rFonts w:ascii="宋体" w:hAnsi="宋体" w:cs="宋体"/>
          <w:szCs w:val="21"/>
        </w:rPr>
      </w:pPr>
      <w:r>
        <w:rPr>
          <w:rFonts w:hint="eastAsia" w:ascii="宋体" w:hAnsi="宋体" w:cs="宋体"/>
          <w:szCs w:val="21"/>
        </w:rPr>
        <w:t>13.2 如果乙方出现</w:t>
      </w:r>
      <w:r>
        <w:rPr>
          <w:rFonts w:hint="eastAsia" w:ascii="宋体" w:hAnsi="宋体" w:cs="宋体"/>
          <w:b/>
          <w:bCs/>
          <w:szCs w:val="21"/>
        </w:rPr>
        <w:t>【政府采购合同专用条款】</w:t>
      </w:r>
      <w:r>
        <w:rPr>
          <w:rFonts w:hint="eastAsia" w:ascii="宋体" w:hAnsi="宋体" w:cs="宋体"/>
          <w:szCs w:val="21"/>
        </w:rPr>
        <w:t>约定情形的，履约保证金不予退还；如果乙方未能按合同约定全面履行义务，甲方有权从履约保证金中取得补偿或赔偿，且不影响甲方要求乙方承担合同约定的超过履约保证金的违约责任的权利。</w:t>
      </w:r>
    </w:p>
    <w:p w14:paraId="4E8F1331">
      <w:pPr>
        <w:spacing w:line="400" w:lineRule="exact"/>
        <w:ind w:firstLine="420"/>
        <w:rPr>
          <w:rFonts w:ascii="宋体" w:hAnsi="宋体" w:cs="宋体"/>
          <w:szCs w:val="21"/>
        </w:rPr>
      </w:pPr>
      <w:r>
        <w:rPr>
          <w:rFonts w:hint="eastAsia" w:ascii="宋体" w:hAnsi="宋体" w:cs="宋体"/>
          <w:szCs w:val="21"/>
        </w:rPr>
        <w:t>13.3 甲方在项目通过验收后按照</w:t>
      </w:r>
      <w:r>
        <w:rPr>
          <w:rFonts w:hint="eastAsia" w:ascii="宋体" w:hAnsi="宋体" w:cs="宋体"/>
          <w:b/>
          <w:szCs w:val="21"/>
        </w:rPr>
        <w:t>【政府采购合同专用条款】</w:t>
      </w:r>
      <w:r>
        <w:rPr>
          <w:rFonts w:hint="eastAsia" w:ascii="宋体" w:hAnsi="宋体" w:cs="宋体"/>
          <w:szCs w:val="21"/>
        </w:rPr>
        <w:t>规定的时间内将履约保证金退还乙方；逾期退还的，乙方可要求甲方支付违约金，违约金按照</w:t>
      </w:r>
      <w:r>
        <w:rPr>
          <w:rFonts w:hint="eastAsia" w:ascii="宋体" w:hAnsi="宋体" w:cs="宋体"/>
          <w:b/>
          <w:szCs w:val="21"/>
        </w:rPr>
        <w:t>【政府采购合同专用条款】</w:t>
      </w:r>
      <w:r>
        <w:rPr>
          <w:rFonts w:hint="eastAsia" w:ascii="宋体" w:hAnsi="宋体" w:cs="宋体"/>
          <w:szCs w:val="21"/>
        </w:rPr>
        <w:t>规定支付。</w:t>
      </w:r>
    </w:p>
    <w:p w14:paraId="3019CC7D">
      <w:pPr>
        <w:spacing w:line="400" w:lineRule="exact"/>
        <w:jc w:val="left"/>
        <w:rPr>
          <w:rFonts w:ascii="宋体" w:hAnsi="宋体" w:cs="宋体"/>
          <w:b/>
          <w:szCs w:val="21"/>
        </w:rPr>
      </w:pPr>
      <w:r>
        <w:rPr>
          <w:rFonts w:hint="eastAsia" w:ascii="宋体" w:hAnsi="宋体" w:cs="宋体"/>
          <w:b/>
          <w:bCs/>
          <w:szCs w:val="21"/>
        </w:rPr>
        <w:t xml:space="preserve">14. </w:t>
      </w:r>
      <w:r>
        <w:rPr>
          <w:rFonts w:hint="eastAsia" w:ascii="宋体" w:hAnsi="宋体" w:cs="宋体"/>
          <w:b/>
          <w:szCs w:val="21"/>
        </w:rPr>
        <w:t>售后服务</w:t>
      </w:r>
    </w:p>
    <w:p w14:paraId="581035DC">
      <w:pPr>
        <w:spacing w:line="400" w:lineRule="exact"/>
        <w:ind w:firstLine="420"/>
        <w:jc w:val="left"/>
        <w:rPr>
          <w:rFonts w:ascii="宋体" w:hAnsi="宋体" w:cs="宋体"/>
          <w:szCs w:val="21"/>
        </w:rPr>
      </w:pPr>
      <w:r>
        <w:rPr>
          <w:rFonts w:hint="eastAsia" w:ascii="宋体" w:hAnsi="宋体" w:cs="宋体"/>
          <w:szCs w:val="21"/>
        </w:rPr>
        <w:t>14.1 除项目不涉及或采购活动中明确约定无须承担外，乙方还应提供下列服务：</w:t>
      </w:r>
    </w:p>
    <w:p w14:paraId="006EAD14">
      <w:pPr>
        <w:spacing w:line="400" w:lineRule="exact"/>
        <w:ind w:firstLine="420"/>
        <w:jc w:val="left"/>
        <w:rPr>
          <w:rFonts w:ascii="宋体" w:hAnsi="宋体" w:cs="宋体"/>
          <w:szCs w:val="21"/>
        </w:rPr>
      </w:pPr>
      <w:r>
        <w:rPr>
          <w:rFonts w:hint="eastAsia" w:ascii="宋体" w:hAnsi="宋体" w:cs="宋体"/>
          <w:szCs w:val="21"/>
        </w:rPr>
        <w:t>（1）货物的现场移动、安装、调试、启动监督及技术支持；</w:t>
      </w:r>
    </w:p>
    <w:p w14:paraId="1345780C">
      <w:pPr>
        <w:spacing w:line="400" w:lineRule="exact"/>
        <w:ind w:firstLine="420"/>
        <w:jc w:val="left"/>
        <w:rPr>
          <w:rFonts w:ascii="宋体" w:hAnsi="宋体" w:cs="宋体"/>
          <w:szCs w:val="21"/>
        </w:rPr>
      </w:pPr>
      <w:r>
        <w:rPr>
          <w:rFonts w:hint="eastAsia" w:ascii="宋体" w:hAnsi="宋体" w:cs="宋体"/>
          <w:szCs w:val="21"/>
        </w:rPr>
        <w:t>（2）提供货物组装和维修所需的专用工具和辅助材料；</w:t>
      </w:r>
    </w:p>
    <w:p w14:paraId="36A98C0D">
      <w:pPr>
        <w:spacing w:line="400" w:lineRule="exact"/>
        <w:ind w:firstLine="420"/>
        <w:jc w:val="left"/>
        <w:rPr>
          <w:rFonts w:ascii="宋体" w:hAnsi="宋体" w:cs="宋体"/>
          <w:szCs w:val="21"/>
        </w:rPr>
      </w:pPr>
      <w:r>
        <w:rPr>
          <w:rFonts w:hint="eastAsia" w:ascii="宋体" w:hAnsi="宋体" w:cs="宋体"/>
          <w:szCs w:val="21"/>
        </w:rPr>
        <w:t>（3）在</w:t>
      </w:r>
      <w:r>
        <w:rPr>
          <w:rFonts w:hint="eastAsia" w:ascii="宋体" w:hAnsi="宋体" w:cs="宋体"/>
          <w:b/>
          <w:bCs/>
          <w:szCs w:val="21"/>
        </w:rPr>
        <w:t>【政府采购合同专用条款】</w:t>
      </w:r>
      <w:r>
        <w:rPr>
          <w:rFonts w:hint="eastAsia" w:ascii="宋体" w:hAnsi="宋体" w:cs="宋体"/>
          <w:szCs w:val="21"/>
        </w:rPr>
        <w:t>约定的期限内对所有的货物实施运行监督、维修，但前提条件是该服务并不能免除乙方在质量保证期内所承担的义务；</w:t>
      </w:r>
    </w:p>
    <w:p w14:paraId="74378A87">
      <w:pPr>
        <w:spacing w:line="400" w:lineRule="exact"/>
        <w:ind w:firstLine="420"/>
        <w:jc w:val="left"/>
        <w:rPr>
          <w:rFonts w:ascii="宋体" w:hAnsi="宋体" w:cs="宋体"/>
          <w:szCs w:val="21"/>
        </w:rPr>
      </w:pPr>
      <w:r>
        <w:rPr>
          <w:rFonts w:hint="eastAsia" w:ascii="宋体" w:hAnsi="宋体" w:cs="宋体"/>
          <w:szCs w:val="21"/>
        </w:rPr>
        <w:t>（4）在制造商所在地或指定现场就货物的安装、启动、运营、维护、废弃处置等对甲方操作人员进行培训；</w:t>
      </w:r>
    </w:p>
    <w:p w14:paraId="150D1DAC">
      <w:pPr>
        <w:spacing w:line="400" w:lineRule="exact"/>
        <w:ind w:firstLine="420"/>
        <w:rPr>
          <w:rFonts w:ascii="宋体" w:hAnsi="宋体" w:cs="宋体"/>
          <w:szCs w:val="21"/>
        </w:rPr>
      </w:pPr>
      <w:r>
        <w:rPr>
          <w:rFonts w:hint="eastAsia" w:ascii="宋体" w:hAnsi="宋体" w:cs="宋体"/>
          <w:szCs w:val="21"/>
        </w:rPr>
        <w:t>（5）依照法律、行政法规的规定或者按照</w:t>
      </w:r>
      <w:r>
        <w:rPr>
          <w:rFonts w:hint="eastAsia" w:ascii="宋体" w:hAnsi="宋体" w:cs="宋体"/>
          <w:b/>
          <w:bCs/>
          <w:szCs w:val="21"/>
        </w:rPr>
        <w:t>【政府采购合同专用条款】</w:t>
      </w:r>
      <w:r>
        <w:rPr>
          <w:rFonts w:hint="eastAsia" w:ascii="宋体" w:hAnsi="宋体" w:cs="宋体"/>
          <w:szCs w:val="21"/>
        </w:rPr>
        <w:t>约定，货物在有效使用年限届满后应予回收的，乙方负有自行或者委托第三人对货物予以回收的义务；</w:t>
      </w:r>
    </w:p>
    <w:p w14:paraId="205C0544">
      <w:pPr>
        <w:spacing w:line="400" w:lineRule="exact"/>
        <w:ind w:firstLine="420"/>
        <w:jc w:val="left"/>
        <w:rPr>
          <w:rFonts w:ascii="宋体" w:hAnsi="宋体" w:cs="宋体"/>
          <w:szCs w:val="21"/>
        </w:rPr>
      </w:pPr>
      <w:r>
        <w:rPr>
          <w:rFonts w:hint="eastAsia" w:ascii="宋体" w:hAnsi="宋体" w:cs="宋体"/>
          <w:szCs w:val="21"/>
        </w:rPr>
        <w:t>（6）</w:t>
      </w:r>
      <w:r>
        <w:rPr>
          <w:rFonts w:hint="eastAsia" w:ascii="宋体" w:hAnsi="宋体" w:cs="宋体"/>
          <w:b/>
          <w:szCs w:val="21"/>
        </w:rPr>
        <w:t>【政府采购合同专用条款】</w:t>
      </w:r>
      <w:r>
        <w:rPr>
          <w:rFonts w:hint="eastAsia" w:ascii="宋体" w:hAnsi="宋体" w:cs="宋体"/>
          <w:szCs w:val="21"/>
        </w:rPr>
        <w:t>规定由乙方提供的其他服务。</w:t>
      </w:r>
    </w:p>
    <w:p w14:paraId="688C6128">
      <w:pPr>
        <w:spacing w:line="400" w:lineRule="exact"/>
        <w:ind w:firstLine="420"/>
        <w:jc w:val="left"/>
        <w:rPr>
          <w:rFonts w:ascii="宋体" w:hAnsi="宋体" w:cs="宋体"/>
          <w:szCs w:val="21"/>
        </w:rPr>
      </w:pPr>
      <w:r>
        <w:rPr>
          <w:rFonts w:hint="eastAsia" w:ascii="宋体" w:hAnsi="宋体" w:cs="宋体"/>
          <w:szCs w:val="21"/>
        </w:rPr>
        <w:t>14.2 乙方提供的售后服务的费用已包含在合同价款中，甲方不再另行支付。</w:t>
      </w:r>
    </w:p>
    <w:p w14:paraId="6BEC698C">
      <w:pPr>
        <w:spacing w:line="400" w:lineRule="exact"/>
        <w:jc w:val="left"/>
        <w:rPr>
          <w:rFonts w:ascii="宋体" w:hAnsi="宋体" w:cs="宋体"/>
          <w:b/>
          <w:bCs/>
          <w:szCs w:val="21"/>
        </w:rPr>
      </w:pPr>
      <w:r>
        <w:rPr>
          <w:rFonts w:hint="eastAsia" w:ascii="宋体" w:hAnsi="宋体" w:cs="宋体"/>
          <w:b/>
          <w:bCs/>
          <w:szCs w:val="21"/>
        </w:rPr>
        <w:t>15. 违约责任</w:t>
      </w:r>
    </w:p>
    <w:p w14:paraId="3CA91BA8">
      <w:pPr>
        <w:spacing w:line="400" w:lineRule="exact"/>
        <w:ind w:firstLine="420"/>
        <w:jc w:val="left"/>
        <w:rPr>
          <w:rFonts w:ascii="宋体" w:hAnsi="宋体" w:cs="宋体"/>
          <w:bCs/>
          <w:szCs w:val="21"/>
        </w:rPr>
      </w:pPr>
      <w:r>
        <w:rPr>
          <w:rFonts w:hint="eastAsia" w:ascii="宋体" w:hAnsi="宋体" w:cs="宋体"/>
          <w:bCs/>
          <w:szCs w:val="21"/>
        </w:rPr>
        <w:t>15.1质量瑕疵的违约责任</w:t>
      </w:r>
    </w:p>
    <w:p w14:paraId="1DFD4642">
      <w:pPr>
        <w:spacing w:line="400" w:lineRule="exact"/>
        <w:ind w:firstLine="420"/>
        <w:jc w:val="left"/>
        <w:rPr>
          <w:rFonts w:ascii="宋体" w:hAnsi="宋体" w:cs="宋体"/>
          <w:szCs w:val="21"/>
        </w:rPr>
      </w:pPr>
      <w:r>
        <w:rPr>
          <w:rFonts w:hint="eastAsia" w:ascii="宋体" w:hAnsi="宋体" w:cs="宋体"/>
          <w:szCs w:val="21"/>
        </w:rPr>
        <w:t>乙方提供的产品不符合合同约定的质量标准或存在产品质量缺陷，甲方有权要求乙方根据</w:t>
      </w:r>
      <w:r>
        <w:rPr>
          <w:rFonts w:hint="eastAsia" w:ascii="宋体" w:hAnsi="宋体" w:cs="宋体"/>
          <w:b/>
          <w:szCs w:val="21"/>
        </w:rPr>
        <w:t>【政府采购合同专用条款】</w:t>
      </w:r>
      <w:r>
        <w:rPr>
          <w:rFonts w:hint="eastAsia" w:ascii="宋体" w:hAnsi="宋体" w:cs="宋体"/>
          <w:bCs/>
          <w:szCs w:val="21"/>
        </w:rPr>
        <w:t>要求</w:t>
      </w:r>
      <w:r>
        <w:rPr>
          <w:rFonts w:hint="eastAsia" w:ascii="宋体" w:hAnsi="宋体" w:cs="宋体"/>
          <w:szCs w:val="21"/>
        </w:rPr>
        <w:t>及时修理、重作、更换；批量器材参数不达标按该品类合同价 10%-20% 支付违约金并承担由此给甲方造成的损失。</w:t>
      </w:r>
    </w:p>
    <w:p w14:paraId="654EE8CD">
      <w:pPr>
        <w:spacing w:line="400" w:lineRule="exact"/>
        <w:ind w:firstLine="420"/>
        <w:jc w:val="left"/>
        <w:rPr>
          <w:rFonts w:ascii="宋体" w:hAnsi="宋体" w:cs="宋体"/>
          <w:bCs/>
          <w:szCs w:val="21"/>
        </w:rPr>
      </w:pPr>
      <w:r>
        <w:rPr>
          <w:rFonts w:hint="eastAsia" w:ascii="宋体" w:hAnsi="宋体" w:cs="宋体"/>
          <w:bCs/>
          <w:szCs w:val="21"/>
        </w:rPr>
        <w:t>15.2 迟延交货的违约责任</w:t>
      </w:r>
    </w:p>
    <w:p w14:paraId="598B7385">
      <w:pPr>
        <w:spacing w:line="400" w:lineRule="exact"/>
        <w:ind w:firstLine="420"/>
        <w:jc w:val="left"/>
        <w:rPr>
          <w:rFonts w:ascii="宋体" w:hAnsi="宋体" w:cs="宋体"/>
          <w:szCs w:val="21"/>
        </w:rPr>
      </w:pPr>
      <w:r>
        <w:rPr>
          <w:rFonts w:hint="eastAsia" w:ascii="宋体" w:hAnsi="宋体" w:cs="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4EDD1D8B">
      <w:pPr>
        <w:spacing w:line="400" w:lineRule="exact"/>
        <w:ind w:firstLine="420"/>
        <w:jc w:val="left"/>
        <w:rPr>
          <w:rFonts w:ascii="宋体" w:hAnsi="宋体" w:cs="宋体"/>
          <w:szCs w:val="21"/>
        </w:rPr>
      </w:pPr>
      <w:r>
        <w:rPr>
          <w:rFonts w:hint="eastAsia" w:ascii="宋体" w:hAnsi="宋体" w:cs="宋体"/>
          <w:szCs w:val="21"/>
        </w:rPr>
        <w:t>（2）如果乙方没有按照合同规定的时间交货和提供相关服务，甲方有权从货款中扣除误期赔偿费而不影响合同项下的其他补救方法，赔偿费按</w:t>
      </w:r>
      <w:r>
        <w:rPr>
          <w:rFonts w:hint="eastAsia" w:ascii="宋体" w:hAnsi="宋体" w:cs="宋体"/>
          <w:b/>
          <w:szCs w:val="21"/>
        </w:rPr>
        <w:t>【政府采购合同专用条款】</w:t>
      </w:r>
      <w:r>
        <w:rPr>
          <w:rFonts w:hint="eastAsia" w:ascii="宋体" w:hAnsi="宋体" w:cs="宋体"/>
          <w:szCs w:val="21"/>
        </w:rPr>
        <w:t>规定执行。如果涉及公共利益，且赔偿金额无法弥补公共利益损失，甲方可要求继续履行或者采取其他补救措施。</w:t>
      </w:r>
    </w:p>
    <w:p w14:paraId="62849658">
      <w:pPr>
        <w:spacing w:line="400" w:lineRule="exact"/>
        <w:ind w:firstLine="420"/>
        <w:jc w:val="left"/>
        <w:rPr>
          <w:rFonts w:ascii="宋体" w:hAnsi="宋体" w:cs="宋体"/>
          <w:szCs w:val="21"/>
        </w:rPr>
      </w:pPr>
      <w:r>
        <w:rPr>
          <w:rFonts w:hint="eastAsia" w:ascii="宋体" w:hAnsi="宋体" w:cs="宋体"/>
          <w:szCs w:val="21"/>
        </w:rPr>
        <w:t>15.3 迟延支付的违约责任</w:t>
      </w:r>
    </w:p>
    <w:p w14:paraId="0E255AB6">
      <w:pPr>
        <w:spacing w:line="400" w:lineRule="exact"/>
        <w:ind w:firstLine="420"/>
        <w:jc w:val="left"/>
        <w:rPr>
          <w:rFonts w:ascii="宋体" w:hAnsi="宋体" w:cs="宋体"/>
          <w:szCs w:val="21"/>
        </w:rPr>
      </w:pPr>
      <w:r>
        <w:rPr>
          <w:rFonts w:hint="eastAsia" w:ascii="宋体" w:hAnsi="宋体" w:cs="宋体"/>
          <w:szCs w:val="21"/>
        </w:rPr>
        <w:t>甲方存在迟延支付乙方合同款项的，应当承担</w:t>
      </w:r>
      <w:r>
        <w:rPr>
          <w:rFonts w:hint="eastAsia" w:ascii="宋体" w:hAnsi="宋体" w:cs="宋体"/>
          <w:b/>
          <w:bCs/>
          <w:szCs w:val="21"/>
        </w:rPr>
        <w:t>【政府采购合同专用条款】</w:t>
      </w:r>
      <w:r>
        <w:rPr>
          <w:rFonts w:hint="eastAsia" w:ascii="宋体" w:hAnsi="宋体" w:cs="宋体"/>
          <w:szCs w:val="21"/>
        </w:rPr>
        <w:t>规定的逾期付款利息。</w:t>
      </w:r>
    </w:p>
    <w:p w14:paraId="40F565C4">
      <w:pPr>
        <w:spacing w:line="400" w:lineRule="exact"/>
        <w:ind w:firstLine="420"/>
        <w:jc w:val="left"/>
        <w:rPr>
          <w:rFonts w:ascii="宋体" w:hAnsi="宋体" w:cs="宋体"/>
          <w:szCs w:val="21"/>
        </w:rPr>
      </w:pPr>
      <w:r>
        <w:rPr>
          <w:rFonts w:hint="eastAsia" w:ascii="宋体" w:hAnsi="宋体" w:cs="宋体"/>
          <w:bCs/>
          <w:szCs w:val="21"/>
        </w:rPr>
        <w:t>15.4其他违约责任根据项目实际需要按</w:t>
      </w:r>
      <w:r>
        <w:rPr>
          <w:rFonts w:hint="eastAsia" w:ascii="宋体" w:hAnsi="宋体" w:cs="宋体"/>
          <w:b/>
          <w:bCs/>
          <w:szCs w:val="21"/>
        </w:rPr>
        <w:t>【政府采购合同专用条款】</w:t>
      </w:r>
      <w:r>
        <w:rPr>
          <w:rFonts w:hint="eastAsia" w:ascii="宋体" w:hAnsi="宋体" w:cs="宋体"/>
          <w:szCs w:val="21"/>
        </w:rPr>
        <w:t>规定执行。</w:t>
      </w:r>
    </w:p>
    <w:p w14:paraId="6488794E">
      <w:pPr>
        <w:numPr>
          <w:ilvl w:val="0"/>
          <w:numId w:val="7"/>
        </w:numPr>
        <w:spacing w:line="400" w:lineRule="exact"/>
        <w:jc w:val="left"/>
        <w:rPr>
          <w:rFonts w:ascii="宋体" w:hAnsi="宋体" w:cs="宋体"/>
          <w:b/>
          <w:szCs w:val="21"/>
        </w:rPr>
      </w:pPr>
      <w:r>
        <w:rPr>
          <w:rFonts w:hint="eastAsia" w:ascii="宋体" w:hAnsi="宋体" w:cs="宋体"/>
          <w:b/>
          <w:szCs w:val="21"/>
        </w:rPr>
        <w:t>合同变更、中止与终止</w:t>
      </w:r>
    </w:p>
    <w:p w14:paraId="7A208A36">
      <w:pPr>
        <w:spacing w:line="400" w:lineRule="exact"/>
        <w:jc w:val="left"/>
        <w:rPr>
          <w:rFonts w:ascii="宋体" w:hAnsi="宋体" w:cs="宋体"/>
          <w:szCs w:val="21"/>
        </w:rPr>
      </w:pPr>
      <w:r>
        <w:rPr>
          <w:rFonts w:hint="eastAsia" w:ascii="宋体" w:hAnsi="宋体" w:cs="宋体"/>
          <w:szCs w:val="21"/>
        </w:rPr>
        <w:t xml:space="preserve">    16.1合同的变更</w:t>
      </w:r>
    </w:p>
    <w:p w14:paraId="5862E530">
      <w:pPr>
        <w:spacing w:line="400" w:lineRule="exact"/>
        <w:ind w:firstLine="420"/>
        <w:jc w:val="left"/>
        <w:rPr>
          <w:rFonts w:ascii="宋体" w:hAnsi="宋体" w:cs="宋体"/>
          <w:szCs w:val="21"/>
        </w:rPr>
      </w:pPr>
      <w:r>
        <w:rPr>
          <w:rFonts w:hint="eastAsia" w:ascii="宋体" w:hAnsi="宋体" w:cs="宋体"/>
          <w:szCs w:val="21"/>
        </w:rPr>
        <w:t>政府采购合同履行中，在不改变合同其他条款的前提下，甲方可以在合同价款10%的范围内追加与合同标的相同的货物，并就此与乙方协商一致后签订补充协议。</w:t>
      </w:r>
    </w:p>
    <w:p w14:paraId="61F9E39C">
      <w:pPr>
        <w:spacing w:line="400" w:lineRule="exact"/>
        <w:ind w:firstLine="420"/>
        <w:jc w:val="left"/>
        <w:rPr>
          <w:rFonts w:ascii="宋体" w:hAnsi="宋体" w:cs="宋体"/>
          <w:szCs w:val="21"/>
        </w:rPr>
      </w:pPr>
      <w:r>
        <w:rPr>
          <w:rFonts w:hint="eastAsia" w:ascii="宋体" w:hAnsi="宋体" w:cs="宋体"/>
          <w:szCs w:val="21"/>
        </w:rPr>
        <w:t>16.2合同的中止</w:t>
      </w:r>
    </w:p>
    <w:p w14:paraId="6DB24616">
      <w:pPr>
        <w:spacing w:line="400" w:lineRule="exact"/>
        <w:ind w:firstLine="420"/>
        <w:jc w:val="left"/>
        <w:rPr>
          <w:rFonts w:ascii="宋体" w:hAnsi="宋体" w:cs="宋体"/>
          <w:szCs w:val="21"/>
        </w:rPr>
      </w:pPr>
      <w:r>
        <w:rPr>
          <w:rFonts w:hint="eastAsia" w:ascii="宋体" w:hAnsi="宋体" w:cs="宋体"/>
          <w:szCs w:val="21"/>
        </w:rPr>
        <w:t>（1）合同履行过程中因供应商就采购文件、采购过程或结果提起投诉的，甲方认为有必要的，可以中止合同的履行。</w:t>
      </w:r>
    </w:p>
    <w:p w14:paraId="79F87CFA">
      <w:pPr>
        <w:spacing w:line="400" w:lineRule="exact"/>
        <w:ind w:firstLine="420"/>
        <w:jc w:val="left"/>
        <w:rPr>
          <w:rFonts w:ascii="宋体" w:hAnsi="宋体" w:cs="宋体"/>
          <w:szCs w:val="21"/>
        </w:rPr>
      </w:pPr>
      <w:r>
        <w:rPr>
          <w:rFonts w:hint="eastAsia" w:ascii="宋体" w:hAnsi="宋体" w:cs="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B3C8190">
      <w:pPr>
        <w:spacing w:line="400" w:lineRule="exact"/>
        <w:ind w:firstLine="420"/>
        <w:rPr>
          <w:rFonts w:ascii="宋体" w:hAnsi="宋体" w:cs="宋体"/>
          <w:szCs w:val="21"/>
        </w:rPr>
      </w:pPr>
      <w:r>
        <w:rPr>
          <w:rFonts w:hint="eastAsia" w:ascii="宋体" w:hAnsi="宋体" w:cs="宋体"/>
          <w:szCs w:val="21"/>
        </w:rPr>
        <w:t>（3）乙方分立、合并或者变更住所的，应当及时以书面形式告知甲方。乙方没有及时告知甲方，致使合同履行发生困难的，甲方可以中止合同履行并要求乙方承担由此给甲方造成的损失。</w:t>
      </w:r>
    </w:p>
    <w:p w14:paraId="07B0F354">
      <w:pPr>
        <w:spacing w:line="400" w:lineRule="exact"/>
        <w:ind w:firstLine="420"/>
        <w:jc w:val="left"/>
        <w:rPr>
          <w:rFonts w:ascii="宋体" w:hAnsi="宋体" w:cs="宋体"/>
          <w:szCs w:val="21"/>
        </w:rPr>
      </w:pPr>
      <w:r>
        <w:rPr>
          <w:rFonts w:hint="eastAsia" w:ascii="宋体" w:hAnsi="宋体" w:cs="宋体"/>
          <w:szCs w:val="21"/>
        </w:rPr>
        <w:t>（4）甲方不得以行政区划调整、政府换届、机构或者职能调整以及相关责任人更替为由中止合同。</w:t>
      </w:r>
    </w:p>
    <w:p w14:paraId="3A1D54BA">
      <w:pPr>
        <w:spacing w:line="400" w:lineRule="exact"/>
        <w:ind w:firstLine="420"/>
        <w:jc w:val="left"/>
        <w:rPr>
          <w:rFonts w:ascii="宋体" w:hAnsi="宋体" w:cs="宋体"/>
          <w:szCs w:val="21"/>
        </w:rPr>
      </w:pPr>
      <w:r>
        <w:rPr>
          <w:rFonts w:hint="eastAsia" w:ascii="宋体" w:hAnsi="宋体" w:cs="宋体"/>
          <w:szCs w:val="21"/>
        </w:rPr>
        <w:t>16.3合同的终止</w:t>
      </w:r>
    </w:p>
    <w:p w14:paraId="097EE346">
      <w:pPr>
        <w:spacing w:line="400" w:lineRule="exact"/>
        <w:ind w:firstLine="420"/>
        <w:jc w:val="left"/>
        <w:rPr>
          <w:rFonts w:ascii="宋体" w:hAnsi="宋体" w:cs="宋体"/>
          <w:szCs w:val="21"/>
        </w:rPr>
      </w:pPr>
      <w:r>
        <w:rPr>
          <w:rFonts w:hint="eastAsia" w:ascii="宋体" w:hAnsi="宋体" w:cs="宋体"/>
          <w:szCs w:val="21"/>
        </w:rPr>
        <w:t>（1）合同因有效期限届满而终止；</w:t>
      </w:r>
    </w:p>
    <w:p w14:paraId="3BD2CECC">
      <w:pPr>
        <w:spacing w:line="400" w:lineRule="exact"/>
        <w:ind w:firstLine="420"/>
        <w:rPr>
          <w:rFonts w:ascii="宋体" w:hAnsi="宋体" w:cs="宋体"/>
          <w:szCs w:val="21"/>
        </w:rPr>
      </w:pPr>
      <w:r>
        <w:rPr>
          <w:rFonts w:hint="eastAsia" w:ascii="宋体" w:hAnsi="宋体" w:cs="宋体"/>
          <w:szCs w:val="21"/>
        </w:rPr>
        <w:t>（2）乙方未按合同约定履行，构成根本性违约的，甲方有权终止合同，并追究乙方的违约责任。</w:t>
      </w:r>
    </w:p>
    <w:p w14:paraId="21A721DD">
      <w:pPr>
        <w:spacing w:line="400" w:lineRule="exact"/>
        <w:ind w:firstLine="420"/>
        <w:rPr>
          <w:rFonts w:ascii="宋体" w:hAnsi="宋体" w:cs="宋体"/>
          <w:szCs w:val="21"/>
        </w:rPr>
      </w:pPr>
      <w:r>
        <w:rPr>
          <w:rFonts w:hint="eastAsia" w:ascii="宋体" w:hAnsi="宋体" w:cs="宋体"/>
          <w:szCs w:val="21"/>
        </w:rPr>
        <w:t>16.4 涉及国家利益、社会公共利益的情形</w:t>
      </w:r>
    </w:p>
    <w:p w14:paraId="53F3CF47">
      <w:pPr>
        <w:spacing w:line="400" w:lineRule="exact"/>
        <w:ind w:firstLine="420"/>
        <w:rPr>
          <w:rFonts w:ascii="宋体" w:hAnsi="宋体" w:cs="宋体"/>
          <w:szCs w:val="21"/>
        </w:rPr>
      </w:pPr>
      <w:r>
        <w:rPr>
          <w:rFonts w:hint="eastAsia" w:ascii="宋体" w:hAnsi="宋体" w:cs="宋体"/>
          <w:szCs w:val="21"/>
        </w:rPr>
        <w:t>政府采购合同继续履行将损害国家利益和社会公共利益的，双方当事人应当变更、中止或者终止合同。有过错的一方应当承担赔偿责任，双方都有过错的，各自承担相应的责任。</w:t>
      </w:r>
    </w:p>
    <w:p w14:paraId="14260C04">
      <w:pPr>
        <w:spacing w:line="400" w:lineRule="exact"/>
        <w:jc w:val="left"/>
        <w:rPr>
          <w:rFonts w:ascii="宋体" w:hAnsi="宋体" w:cs="宋体"/>
          <w:b/>
          <w:bCs/>
          <w:szCs w:val="21"/>
        </w:rPr>
      </w:pPr>
      <w:r>
        <w:rPr>
          <w:rFonts w:hint="eastAsia" w:ascii="宋体" w:hAnsi="宋体" w:cs="宋体"/>
          <w:b/>
          <w:bCs/>
          <w:szCs w:val="21"/>
        </w:rPr>
        <w:t>17. 合同分包</w:t>
      </w:r>
    </w:p>
    <w:p w14:paraId="5289F291">
      <w:pPr>
        <w:spacing w:line="400" w:lineRule="exact"/>
        <w:ind w:firstLine="420"/>
        <w:jc w:val="left"/>
        <w:rPr>
          <w:rFonts w:ascii="宋体" w:hAnsi="宋体" w:cs="宋体"/>
          <w:szCs w:val="21"/>
        </w:rPr>
      </w:pPr>
      <w:r>
        <w:rPr>
          <w:rFonts w:hint="eastAsia" w:ascii="宋体" w:hAnsi="宋体" w:cs="宋体"/>
          <w:szCs w:val="21"/>
        </w:rPr>
        <w:t>17.1 乙方不得将合同转包给其他供应商。涉及合同分包的，乙方应根据采购文件和投标（响应）文件规定进行合同分包。</w:t>
      </w:r>
    </w:p>
    <w:p w14:paraId="6AF9263B">
      <w:pPr>
        <w:spacing w:line="400" w:lineRule="exact"/>
        <w:ind w:firstLine="420"/>
        <w:jc w:val="left"/>
        <w:rPr>
          <w:rFonts w:ascii="宋体" w:hAnsi="宋体" w:cs="宋体"/>
          <w:szCs w:val="21"/>
        </w:rPr>
      </w:pPr>
      <w:r>
        <w:rPr>
          <w:rFonts w:hint="eastAsia" w:ascii="宋体" w:hAnsi="宋体" w:cs="宋体"/>
          <w:szCs w:val="21"/>
        </w:rPr>
        <w:t>17.2 乙方执行政府采购政策向中小企业依法分包的，乙方应当按采购文件和投标（响应）文件签订分包意向协议，分包意向协议属于本合同组成部分。</w:t>
      </w:r>
    </w:p>
    <w:p w14:paraId="4D1F789A">
      <w:pPr>
        <w:spacing w:line="400" w:lineRule="exact"/>
        <w:jc w:val="left"/>
        <w:rPr>
          <w:rFonts w:ascii="宋体" w:hAnsi="宋体" w:cs="宋体"/>
          <w:b/>
          <w:bCs/>
          <w:szCs w:val="21"/>
        </w:rPr>
      </w:pPr>
      <w:r>
        <w:rPr>
          <w:rFonts w:hint="eastAsia" w:ascii="宋体" w:hAnsi="宋体" w:cs="宋体"/>
          <w:b/>
          <w:bCs/>
          <w:szCs w:val="21"/>
        </w:rPr>
        <w:t>18. 不可抗力</w:t>
      </w:r>
    </w:p>
    <w:p w14:paraId="60305E49">
      <w:pPr>
        <w:spacing w:line="400" w:lineRule="exact"/>
        <w:ind w:firstLine="420"/>
        <w:jc w:val="left"/>
        <w:rPr>
          <w:rFonts w:ascii="宋体" w:hAnsi="宋体" w:cs="宋体"/>
          <w:szCs w:val="21"/>
        </w:rPr>
      </w:pPr>
      <w:r>
        <w:rPr>
          <w:rFonts w:hint="eastAsia" w:ascii="宋体" w:hAnsi="宋体" w:cs="宋体"/>
          <w:szCs w:val="21"/>
        </w:rPr>
        <w:t>18.1 不可抗力是指合同双方不能预见、不能避免且不能克服的客观情况。</w:t>
      </w:r>
    </w:p>
    <w:p w14:paraId="5C1C7641">
      <w:pPr>
        <w:spacing w:line="400" w:lineRule="exact"/>
        <w:ind w:firstLine="420"/>
        <w:jc w:val="left"/>
        <w:rPr>
          <w:rFonts w:ascii="宋体" w:hAnsi="宋体" w:cs="宋体"/>
          <w:szCs w:val="21"/>
        </w:rPr>
      </w:pPr>
      <w:r>
        <w:rPr>
          <w:rFonts w:hint="eastAsia" w:ascii="宋体" w:hAnsi="宋体" w:cs="宋体"/>
          <w:szCs w:val="21"/>
        </w:rPr>
        <w:t>18.2 任何一方对由于不可抗力造成的部分或全部不能履行合同不承担违约责任。但迟延履行后发生不可抗力的，不能免除责任。</w:t>
      </w:r>
    </w:p>
    <w:p w14:paraId="67B5266B">
      <w:pPr>
        <w:spacing w:line="400" w:lineRule="exact"/>
        <w:ind w:firstLine="420"/>
        <w:jc w:val="left"/>
        <w:rPr>
          <w:rFonts w:ascii="宋体" w:hAnsi="宋体" w:cs="宋体"/>
          <w:szCs w:val="21"/>
        </w:rPr>
      </w:pPr>
      <w:r>
        <w:rPr>
          <w:rFonts w:hint="eastAsia" w:ascii="宋体" w:hAnsi="宋体" w:cs="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76F0253A">
      <w:pPr>
        <w:spacing w:line="400" w:lineRule="exact"/>
        <w:jc w:val="left"/>
        <w:rPr>
          <w:rFonts w:ascii="宋体" w:hAnsi="宋体" w:cs="宋体"/>
          <w:b/>
          <w:bCs/>
          <w:szCs w:val="21"/>
        </w:rPr>
      </w:pPr>
      <w:r>
        <w:rPr>
          <w:rFonts w:hint="eastAsia" w:ascii="宋体" w:hAnsi="宋体" w:cs="宋体"/>
          <w:b/>
          <w:bCs/>
          <w:szCs w:val="21"/>
        </w:rPr>
        <w:t>19. 解决争议的方法</w:t>
      </w:r>
    </w:p>
    <w:p w14:paraId="3A569D3E">
      <w:pPr>
        <w:spacing w:line="400" w:lineRule="exact"/>
        <w:ind w:firstLine="420"/>
        <w:rPr>
          <w:rFonts w:ascii="宋体" w:hAnsi="宋体" w:cs="宋体"/>
          <w:szCs w:val="21"/>
        </w:rPr>
      </w:pPr>
      <w:r>
        <w:rPr>
          <w:rFonts w:hint="eastAsia" w:ascii="宋体" w:hAnsi="宋体" w:cs="宋体"/>
          <w:szCs w:val="21"/>
        </w:rPr>
        <w:t>19.1 因本合同及合同有关事项发生的争议，由甲乙双方友好协商解决。协商不成时，可以向有关组织申请调解。合同一方或双方不愿调解或调解不成的，可以通过仲裁或诉讼的方式解决争议。</w:t>
      </w:r>
    </w:p>
    <w:p w14:paraId="02E629F1">
      <w:pPr>
        <w:spacing w:line="400" w:lineRule="exact"/>
        <w:ind w:firstLine="420"/>
        <w:rPr>
          <w:rFonts w:ascii="宋体" w:hAnsi="宋体" w:cs="宋体"/>
          <w:szCs w:val="21"/>
        </w:rPr>
      </w:pPr>
      <w:r>
        <w:rPr>
          <w:rFonts w:hint="eastAsia" w:ascii="宋体" w:hAnsi="宋体" w:cs="宋体"/>
          <w:szCs w:val="21"/>
        </w:rPr>
        <w:t>19.2 选择仲裁的，应在</w:t>
      </w:r>
      <w:r>
        <w:rPr>
          <w:rFonts w:hint="eastAsia" w:ascii="宋体" w:hAnsi="宋体" w:cs="宋体"/>
          <w:b/>
          <w:bCs/>
          <w:szCs w:val="21"/>
        </w:rPr>
        <w:t>【政府采购合同专用条款】</w:t>
      </w:r>
      <w:r>
        <w:rPr>
          <w:rFonts w:hint="eastAsia" w:ascii="宋体" w:hAnsi="宋体" w:cs="宋体"/>
          <w:szCs w:val="21"/>
        </w:rPr>
        <w:t>中明确仲裁机构及仲裁地；通过诉讼方式解决的，可以在</w:t>
      </w:r>
      <w:r>
        <w:rPr>
          <w:rFonts w:hint="eastAsia" w:ascii="宋体" w:hAnsi="宋体" w:cs="宋体"/>
          <w:b/>
          <w:bCs/>
          <w:szCs w:val="21"/>
        </w:rPr>
        <w:t>【政府采购合同专用条款】</w:t>
      </w:r>
      <w:r>
        <w:rPr>
          <w:rFonts w:hint="eastAsia" w:ascii="宋体" w:hAnsi="宋体" w:cs="宋体"/>
          <w:szCs w:val="21"/>
        </w:rPr>
        <w:t>中进一步约定选择与争议有实际联系的地点的人民法院管辖，但管辖法院的约定不得违反级别管辖和专属管辖的规定。</w:t>
      </w:r>
    </w:p>
    <w:p w14:paraId="45B2559A">
      <w:pPr>
        <w:spacing w:line="400" w:lineRule="exact"/>
        <w:ind w:firstLine="420"/>
        <w:rPr>
          <w:rFonts w:ascii="宋体" w:hAnsi="宋体" w:cs="宋体"/>
          <w:szCs w:val="21"/>
        </w:rPr>
      </w:pPr>
      <w:r>
        <w:rPr>
          <w:rFonts w:hint="eastAsia" w:ascii="宋体" w:hAnsi="宋体" w:cs="宋体"/>
          <w:szCs w:val="21"/>
        </w:rPr>
        <w:t>19.3 如甲乙双方有争议的事项不影响合同其他部分的履行，在争议解决期间，合同其他部分应当继续履行。</w:t>
      </w:r>
    </w:p>
    <w:p w14:paraId="3A2F676C">
      <w:pPr>
        <w:spacing w:line="400" w:lineRule="exact"/>
        <w:jc w:val="left"/>
        <w:rPr>
          <w:rFonts w:ascii="宋体" w:hAnsi="宋体" w:cs="宋体"/>
          <w:szCs w:val="21"/>
        </w:rPr>
      </w:pPr>
      <w:r>
        <w:rPr>
          <w:rFonts w:hint="eastAsia" w:ascii="宋体" w:hAnsi="宋体" w:cs="宋体"/>
          <w:b/>
          <w:szCs w:val="21"/>
        </w:rPr>
        <w:t>20. 政府采购政策</w:t>
      </w:r>
    </w:p>
    <w:p w14:paraId="4452C31B">
      <w:pPr>
        <w:spacing w:line="400" w:lineRule="exact"/>
        <w:ind w:firstLine="420"/>
        <w:jc w:val="left"/>
        <w:rPr>
          <w:rFonts w:ascii="宋体" w:hAnsi="宋体" w:cs="宋体"/>
          <w:szCs w:val="21"/>
        </w:rPr>
      </w:pPr>
      <w:r>
        <w:rPr>
          <w:rFonts w:hint="eastAsia" w:ascii="宋体" w:hAnsi="宋体" w:cs="宋体"/>
          <w:szCs w:val="21"/>
        </w:rPr>
        <w:t xml:space="preserve">20.1 </w:t>
      </w:r>
      <w:r>
        <w:rPr>
          <w:rFonts w:hint="eastAsia" w:ascii="宋体" w:hAnsi="宋体" w:cs="宋体"/>
          <w:szCs w:val="21"/>
          <w:lang w:val="en-GB"/>
        </w:rPr>
        <w:t>本合同应当按照规定执行政府采购政策。</w:t>
      </w:r>
    </w:p>
    <w:p w14:paraId="795F9C65">
      <w:pPr>
        <w:spacing w:line="400" w:lineRule="exact"/>
        <w:ind w:firstLine="420"/>
        <w:jc w:val="left"/>
        <w:rPr>
          <w:rFonts w:ascii="宋体" w:hAnsi="宋体" w:cs="宋体"/>
          <w:szCs w:val="21"/>
        </w:rPr>
      </w:pPr>
      <w:r>
        <w:rPr>
          <w:rFonts w:hint="eastAsia" w:ascii="宋体" w:hAnsi="宋体" w:cs="宋体"/>
          <w:szCs w:val="21"/>
        </w:rPr>
        <w:t>20.2 本合同依法执行政府采购政策的方式和内容，属于合同履约验收的范围。甲乙双方</w:t>
      </w:r>
      <w:r>
        <w:rPr>
          <w:rFonts w:hint="eastAsia" w:ascii="宋体" w:hAnsi="宋体" w:cs="宋体"/>
          <w:szCs w:val="21"/>
          <w:lang w:val="en-GB"/>
        </w:rPr>
        <w:t>未按规定要求执行政府采购政策造成损失的</w:t>
      </w:r>
      <w:r>
        <w:rPr>
          <w:rFonts w:hint="eastAsia" w:ascii="宋体" w:hAnsi="宋体" w:cs="宋体"/>
          <w:szCs w:val="21"/>
        </w:rPr>
        <w:t>，有过错的一方应当承担赔偿责任，双方都有过错的，各自承担相应的责任。</w:t>
      </w:r>
    </w:p>
    <w:p w14:paraId="3797DC9A">
      <w:pPr>
        <w:pStyle w:val="847"/>
        <w:spacing w:line="400" w:lineRule="exact"/>
        <w:ind w:firstLine="420"/>
        <w:rPr>
          <w:rFonts w:ascii="宋体" w:eastAsia="宋体"/>
          <w:sz w:val="21"/>
          <w:szCs w:val="21"/>
        </w:rPr>
      </w:pPr>
      <w:r>
        <w:rPr>
          <w:rFonts w:hint="eastAsia" w:ascii="宋体" w:eastAsia="宋体"/>
          <w:sz w:val="21"/>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157B3D4">
      <w:pPr>
        <w:spacing w:line="400" w:lineRule="exact"/>
        <w:jc w:val="left"/>
        <w:rPr>
          <w:rFonts w:ascii="宋体" w:hAnsi="宋体" w:cs="宋体"/>
          <w:b/>
          <w:szCs w:val="21"/>
        </w:rPr>
      </w:pPr>
      <w:r>
        <w:rPr>
          <w:rFonts w:hint="eastAsia" w:ascii="宋体" w:hAnsi="宋体" w:cs="宋体"/>
          <w:b/>
          <w:szCs w:val="21"/>
        </w:rPr>
        <w:t>21. 法律适用</w:t>
      </w:r>
    </w:p>
    <w:p w14:paraId="4FEB211A">
      <w:pPr>
        <w:spacing w:line="400" w:lineRule="exact"/>
        <w:ind w:firstLine="420"/>
        <w:rPr>
          <w:rFonts w:ascii="宋体" w:hAnsi="宋体" w:cs="宋体"/>
          <w:szCs w:val="21"/>
        </w:rPr>
      </w:pPr>
      <w:r>
        <w:rPr>
          <w:rFonts w:hint="eastAsia" w:ascii="宋体" w:hAnsi="宋体" w:cs="宋体"/>
          <w:szCs w:val="21"/>
        </w:rPr>
        <w:t>21.1 本合同的订立、生效、解释、履行及与本合同有关的争议解决，均适用法律、行政法规。</w:t>
      </w:r>
    </w:p>
    <w:p w14:paraId="48A4E138">
      <w:pPr>
        <w:spacing w:line="400" w:lineRule="exact"/>
        <w:ind w:firstLine="420"/>
        <w:rPr>
          <w:rFonts w:ascii="宋体" w:hAnsi="宋体" w:cs="宋体"/>
          <w:szCs w:val="21"/>
        </w:rPr>
      </w:pPr>
      <w:r>
        <w:rPr>
          <w:rFonts w:hint="eastAsia" w:ascii="宋体" w:hAnsi="宋体" w:cs="宋体"/>
          <w:szCs w:val="21"/>
        </w:rPr>
        <w:t>21.2 本合同条款与法律、行政法规的强制性规定不一致的，双方当事人应按照法律、行政法规的强制性规定修改本合同的相关条款。</w:t>
      </w:r>
    </w:p>
    <w:p w14:paraId="1C3A043F">
      <w:pPr>
        <w:spacing w:line="400" w:lineRule="exact"/>
        <w:jc w:val="left"/>
        <w:rPr>
          <w:rFonts w:ascii="宋体" w:hAnsi="宋体" w:cs="宋体"/>
          <w:b/>
          <w:szCs w:val="21"/>
        </w:rPr>
      </w:pPr>
      <w:r>
        <w:rPr>
          <w:rFonts w:hint="eastAsia" w:ascii="宋体" w:hAnsi="宋体" w:cs="宋体"/>
          <w:b/>
          <w:szCs w:val="21"/>
        </w:rPr>
        <w:t>22. 通知</w:t>
      </w:r>
    </w:p>
    <w:p w14:paraId="0CB18DCC">
      <w:pPr>
        <w:spacing w:line="400" w:lineRule="exact"/>
        <w:ind w:firstLine="420"/>
        <w:rPr>
          <w:rFonts w:ascii="宋体" w:hAnsi="宋体" w:cs="宋体"/>
          <w:szCs w:val="21"/>
        </w:rPr>
      </w:pPr>
      <w:r>
        <w:rPr>
          <w:rFonts w:hint="eastAsia" w:ascii="宋体" w:hAnsi="宋体" w:cs="宋体"/>
          <w:szCs w:val="21"/>
        </w:rPr>
        <w:t>22.1 本合同任何一方向对方发出的通知、信件、数据电文等，应当发送至本合同第一部分《政府采购合同协议书》所约定的通讯地址、联系人、联系电话或电子邮箱。</w:t>
      </w:r>
    </w:p>
    <w:p w14:paraId="469F03E0">
      <w:pPr>
        <w:spacing w:line="400" w:lineRule="exact"/>
        <w:rPr>
          <w:rFonts w:ascii="宋体" w:hAnsi="宋体" w:cs="宋体"/>
          <w:szCs w:val="21"/>
        </w:rPr>
      </w:pPr>
      <w:r>
        <w:rPr>
          <w:rFonts w:hint="eastAsia" w:ascii="宋体" w:hAnsi="宋体" w:cs="宋体"/>
          <w:szCs w:val="21"/>
        </w:rPr>
        <w:t xml:space="preserve">    22.2 一方当事人变更名称、住所、联系人、联系电话或电子邮箱等信息的，应当在变更后3日内及时书面通知对方，对方实际收到变更通知前的送达仍为有效送达。</w:t>
      </w:r>
    </w:p>
    <w:p w14:paraId="25BFB08B">
      <w:pPr>
        <w:spacing w:line="400" w:lineRule="exact"/>
        <w:ind w:firstLine="420"/>
        <w:jc w:val="left"/>
        <w:rPr>
          <w:rFonts w:ascii="宋体" w:hAnsi="宋体" w:cs="宋体"/>
          <w:szCs w:val="21"/>
        </w:rPr>
      </w:pPr>
      <w:r>
        <w:rPr>
          <w:rFonts w:hint="eastAsia" w:ascii="宋体" w:hAnsi="宋体" w:cs="宋体"/>
          <w:szCs w:val="21"/>
        </w:rPr>
        <w:t>22.3本合同一方给另一方的通知均应采用书面形式，传真或快递送到本合同中规定的对方的地址和办理签收手续。</w:t>
      </w:r>
    </w:p>
    <w:p w14:paraId="1ABC4742">
      <w:pPr>
        <w:spacing w:line="400" w:lineRule="exact"/>
        <w:ind w:firstLine="420"/>
        <w:jc w:val="left"/>
        <w:rPr>
          <w:rFonts w:ascii="宋体" w:hAnsi="宋体" w:cs="宋体"/>
          <w:szCs w:val="21"/>
        </w:rPr>
      </w:pPr>
      <w:r>
        <w:rPr>
          <w:rFonts w:hint="eastAsia" w:ascii="宋体" w:hAnsi="宋体" w:cs="宋体"/>
          <w:szCs w:val="21"/>
        </w:rPr>
        <w:t>22.4通知以送达之日或通知书中规定的生效之日起生效，两者中以较迟之日为准。</w:t>
      </w:r>
    </w:p>
    <w:p w14:paraId="624C0180">
      <w:pPr>
        <w:numPr>
          <w:ilvl w:val="0"/>
          <w:numId w:val="8"/>
        </w:numPr>
        <w:spacing w:line="400" w:lineRule="exact"/>
        <w:jc w:val="left"/>
        <w:rPr>
          <w:rFonts w:ascii="宋体" w:hAnsi="宋体" w:cs="宋体"/>
          <w:b/>
          <w:bCs/>
          <w:szCs w:val="21"/>
        </w:rPr>
      </w:pPr>
      <w:r>
        <w:rPr>
          <w:rFonts w:hint="eastAsia" w:ascii="宋体" w:hAnsi="宋体" w:cs="宋体"/>
          <w:b/>
          <w:bCs/>
          <w:szCs w:val="21"/>
        </w:rPr>
        <w:t>合同未尽事项</w:t>
      </w:r>
    </w:p>
    <w:p w14:paraId="64FB0997">
      <w:pPr>
        <w:spacing w:line="400" w:lineRule="exact"/>
        <w:ind w:firstLine="420"/>
        <w:jc w:val="left"/>
        <w:rPr>
          <w:rFonts w:ascii="宋体" w:hAnsi="宋体" w:cs="宋体"/>
          <w:bCs/>
          <w:szCs w:val="21"/>
        </w:rPr>
      </w:pPr>
      <w:r>
        <w:rPr>
          <w:rFonts w:hint="eastAsia" w:ascii="宋体" w:hAnsi="宋体" w:cs="宋体"/>
          <w:bCs/>
          <w:szCs w:val="21"/>
        </w:rPr>
        <w:t>23.1合同未尽事项见</w:t>
      </w:r>
      <w:r>
        <w:rPr>
          <w:rFonts w:hint="eastAsia" w:ascii="宋体" w:hAnsi="宋体" w:cs="宋体"/>
          <w:b/>
          <w:szCs w:val="21"/>
        </w:rPr>
        <w:t>【政府采购合同专用条款】</w:t>
      </w:r>
      <w:r>
        <w:rPr>
          <w:rFonts w:hint="eastAsia" w:ascii="宋体" w:hAnsi="宋体" w:cs="宋体"/>
          <w:bCs/>
          <w:szCs w:val="21"/>
        </w:rPr>
        <w:t>。</w:t>
      </w:r>
    </w:p>
    <w:p w14:paraId="0B5E2421">
      <w:pPr>
        <w:spacing w:line="400" w:lineRule="exact"/>
        <w:ind w:firstLine="420"/>
        <w:jc w:val="left"/>
        <w:rPr>
          <w:rFonts w:ascii="宋体" w:hAnsi="宋体" w:cs="宋体"/>
          <w:bCs/>
          <w:szCs w:val="21"/>
        </w:rPr>
      </w:pPr>
      <w:r>
        <w:rPr>
          <w:rFonts w:hint="eastAsia" w:ascii="宋体" w:hAnsi="宋体" w:cs="宋体"/>
          <w:bCs/>
          <w:szCs w:val="21"/>
        </w:rPr>
        <w:t>23.2 合同附件与合同正文具有同等的法律效力。</w:t>
      </w:r>
      <w:bookmarkEnd w:id="22"/>
      <w:bookmarkEnd w:id="23"/>
    </w:p>
    <w:p w14:paraId="266AD7A8">
      <w:r>
        <w:rPr>
          <w:rFonts w:hint="eastAsia"/>
        </w:rPr>
        <w:br w:type="page" w:clear="all"/>
      </w:r>
    </w:p>
    <w:p w14:paraId="1FDC28FD">
      <w:pPr>
        <w:spacing w:before="26"/>
        <w:jc w:val="center"/>
        <w:outlineLvl w:val="1"/>
        <w:rPr>
          <w:rFonts w:ascii="宋体" w:hAnsi="宋体" w:cs="宋体"/>
          <w:sz w:val="28"/>
          <w:szCs w:val="28"/>
        </w:rPr>
      </w:pPr>
      <w:bookmarkStart w:id="27" w:name="_Toc188363128"/>
      <w:r>
        <w:rPr>
          <w:rFonts w:hint="eastAsia" w:ascii="宋体" w:hAnsi="宋体" w:cs="宋体"/>
          <w:sz w:val="28"/>
          <w:szCs w:val="28"/>
        </w:rPr>
        <w:t>第三节 政府采购合同专用条款</w:t>
      </w:r>
      <w:bookmarkEnd w:id="27"/>
    </w:p>
    <w:tbl>
      <w:tblPr>
        <w:tblStyle w:val="65"/>
        <w:tblW w:w="9478"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2143"/>
        <w:gridCol w:w="5728"/>
      </w:tblGrid>
      <w:tr w14:paraId="2DF356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6D2A851">
            <w:pPr>
              <w:jc w:val="center"/>
              <w:rPr>
                <w:rFonts w:ascii="宋体" w:hAnsi="宋体" w:cs="宋体"/>
                <w:sz w:val="22"/>
                <w:szCs w:val="21"/>
              </w:rPr>
            </w:pPr>
            <w:r>
              <w:rPr>
                <w:rFonts w:hint="eastAsia" w:ascii="宋体" w:hAnsi="宋体" w:cs="宋体"/>
                <w:sz w:val="22"/>
                <w:szCs w:val="21"/>
              </w:rPr>
              <w:t>第二节</w:t>
            </w:r>
          </w:p>
          <w:p w14:paraId="10A9E9F0">
            <w:pPr>
              <w:jc w:val="center"/>
              <w:rPr>
                <w:rFonts w:ascii="宋体" w:hAnsi="宋体" w:cs="宋体"/>
                <w:sz w:val="22"/>
                <w:szCs w:val="21"/>
              </w:rPr>
            </w:pPr>
            <w:r>
              <w:rPr>
                <w:rFonts w:hint="eastAsia" w:ascii="宋体" w:hAnsi="宋体" w:cs="宋体"/>
                <w:sz w:val="22"/>
                <w:szCs w:val="21"/>
              </w:rPr>
              <w:t>第1.2（6）项</w:t>
            </w:r>
          </w:p>
        </w:tc>
        <w:tc>
          <w:tcPr>
            <w:tcW w:w="2143" w:type="dxa"/>
            <w:noWrap w:val="0"/>
            <w:vAlign w:val="center"/>
          </w:tcPr>
          <w:p w14:paraId="6D0A5DEE">
            <w:pPr>
              <w:jc w:val="left"/>
              <w:rPr>
                <w:rFonts w:ascii="宋体" w:hAnsi="宋体" w:cs="宋体"/>
                <w:sz w:val="22"/>
                <w:szCs w:val="21"/>
              </w:rPr>
            </w:pPr>
            <w:r>
              <w:rPr>
                <w:rFonts w:hint="eastAsia" w:ascii="宋体" w:hAnsi="宋体" w:cs="宋体"/>
                <w:sz w:val="22"/>
                <w:szCs w:val="21"/>
              </w:rPr>
              <w:t>联合体具体要求</w:t>
            </w:r>
          </w:p>
        </w:tc>
        <w:tc>
          <w:tcPr>
            <w:tcW w:w="5728" w:type="dxa"/>
            <w:noWrap w:val="0"/>
            <w:vAlign w:val="center"/>
          </w:tcPr>
          <w:p w14:paraId="69448084">
            <w:pPr>
              <w:jc w:val="left"/>
              <w:rPr>
                <w:rFonts w:ascii="宋体" w:hAnsi="宋体" w:cs="宋体"/>
                <w:sz w:val="22"/>
                <w:szCs w:val="21"/>
              </w:rPr>
            </w:pPr>
          </w:p>
        </w:tc>
      </w:tr>
      <w:tr w14:paraId="56533E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607" w:type="dxa"/>
            <w:noWrap w:val="0"/>
            <w:vAlign w:val="center"/>
          </w:tcPr>
          <w:p w14:paraId="33A4DB43">
            <w:pPr>
              <w:jc w:val="center"/>
              <w:rPr>
                <w:rFonts w:ascii="宋体" w:hAnsi="宋体" w:cs="宋体"/>
                <w:sz w:val="22"/>
                <w:szCs w:val="21"/>
              </w:rPr>
            </w:pPr>
            <w:r>
              <w:rPr>
                <w:rFonts w:hint="eastAsia" w:ascii="宋体" w:hAnsi="宋体" w:cs="宋体"/>
                <w:sz w:val="22"/>
                <w:szCs w:val="21"/>
              </w:rPr>
              <w:t>第二节</w:t>
            </w:r>
          </w:p>
          <w:p w14:paraId="79396352">
            <w:pPr>
              <w:jc w:val="center"/>
              <w:rPr>
                <w:rFonts w:ascii="宋体" w:hAnsi="宋体" w:cs="宋体"/>
                <w:sz w:val="22"/>
                <w:szCs w:val="21"/>
              </w:rPr>
            </w:pPr>
            <w:r>
              <w:rPr>
                <w:rFonts w:hint="eastAsia" w:ascii="宋体" w:hAnsi="宋体" w:cs="宋体"/>
                <w:sz w:val="22"/>
                <w:szCs w:val="21"/>
              </w:rPr>
              <w:t>第1.2（7）项</w:t>
            </w:r>
          </w:p>
        </w:tc>
        <w:tc>
          <w:tcPr>
            <w:tcW w:w="2143" w:type="dxa"/>
            <w:noWrap w:val="0"/>
            <w:vAlign w:val="center"/>
          </w:tcPr>
          <w:p w14:paraId="45BE1597">
            <w:pPr>
              <w:jc w:val="left"/>
              <w:rPr>
                <w:rFonts w:ascii="宋体" w:hAnsi="宋体" w:cs="宋体"/>
                <w:sz w:val="22"/>
                <w:szCs w:val="21"/>
              </w:rPr>
            </w:pPr>
            <w:r>
              <w:rPr>
                <w:rFonts w:hint="eastAsia" w:ascii="宋体" w:hAnsi="宋体" w:cs="宋体"/>
                <w:sz w:val="22"/>
                <w:szCs w:val="21"/>
              </w:rPr>
              <w:t>其他术语解释</w:t>
            </w:r>
          </w:p>
        </w:tc>
        <w:tc>
          <w:tcPr>
            <w:tcW w:w="5728" w:type="dxa"/>
            <w:noWrap w:val="0"/>
            <w:vAlign w:val="center"/>
          </w:tcPr>
          <w:p w14:paraId="06C32C9B">
            <w:pPr>
              <w:jc w:val="left"/>
              <w:rPr>
                <w:rFonts w:ascii="宋体" w:hAnsi="宋体" w:cs="宋体"/>
                <w:sz w:val="22"/>
                <w:szCs w:val="21"/>
              </w:rPr>
            </w:pPr>
          </w:p>
        </w:tc>
      </w:tr>
      <w:tr w14:paraId="24AAEA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42BF341">
            <w:pPr>
              <w:jc w:val="center"/>
              <w:rPr>
                <w:rFonts w:ascii="宋体" w:hAnsi="宋体" w:cs="宋体"/>
                <w:sz w:val="22"/>
                <w:szCs w:val="21"/>
              </w:rPr>
            </w:pPr>
            <w:r>
              <w:rPr>
                <w:rFonts w:hint="eastAsia" w:ascii="宋体" w:hAnsi="宋体" w:cs="宋体"/>
                <w:sz w:val="22"/>
                <w:szCs w:val="21"/>
              </w:rPr>
              <w:t>第二节</w:t>
            </w:r>
          </w:p>
          <w:p w14:paraId="683C9EDB">
            <w:pPr>
              <w:jc w:val="center"/>
              <w:rPr>
                <w:rFonts w:ascii="宋体" w:hAnsi="宋体" w:cs="宋体"/>
                <w:sz w:val="22"/>
                <w:szCs w:val="21"/>
              </w:rPr>
            </w:pPr>
            <w:r>
              <w:rPr>
                <w:rFonts w:hint="eastAsia" w:ascii="宋体" w:hAnsi="宋体" w:cs="宋体"/>
                <w:sz w:val="22"/>
                <w:szCs w:val="21"/>
              </w:rPr>
              <w:t>第4.4款</w:t>
            </w:r>
          </w:p>
        </w:tc>
        <w:tc>
          <w:tcPr>
            <w:tcW w:w="2143" w:type="dxa"/>
            <w:noWrap w:val="0"/>
            <w:vAlign w:val="center"/>
          </w:tcPr>
          <w:p w14:paraId="013D5588">
            <w:pPr>
              <w:jc w:val="left"/>
              <w:rPr>
                <w:rFonts w:ascii="宋体" w:hAnsi="宋体" w:cs="宋体"/>
                <w:sz w:val="22"/>
                <w:szCs w:val="21"/>
              </w:rPr>
            </w:pPr>
            <w:r>
              <w:rPr>
                <w:rFonts w:hint="eastAsia" w:ascii="宋体" w:hAnsi="宋体" w:cs="宋体"/>
                <w:sz w:val="22"/>
                <w:szCs w:val="21"/>
              </w:rPr>
              <w:t>履约验收中甲方提出异议或作出说明的期限</w:t>
            </w:r>
          </w:p>
        </w:tc>
        <w:tc>
          <w:tcPr>
            <w:tcW w:w="5728" w:type="dxa"/>
            <w:noWrap w:val="0"/>
            <w:vAlign w:val="center"/>
          </w:tcPr>
          <w:p w14:paraId="45BED472">
            <w:pPr>
              <w:jc w:val="left"/>
              <w:rPr>
                <w:rFonts w:ascii="宋体" w:hAnsi="宋体" w:cs="宋体"/>
                <w:sz w:val="22"/>
                <w:szCs w:val="21"/>
              </w:rPr>
            </w:pPr>
          </w:p>
        </w:tc>
      </w:tr>
      <w:tr w14:paraId="49440AD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3A835134">
            <w:pPr>
              <w:jc w:val="center"/>
              <w:rPr>
                <w:rFonts w:ascii="宋体" w:hAnsi="宋体" w:cs="宋体"/>
                <w:sz w:val="22"/>
                <w:szCs w:val="21"/>
              </w:rPr>
            </w:pPr>
            <w:r>
              <w:rPr>
                <w:rFonts w:hint="eastAsia" w:ascii="宋体" w:hAnsi="宋体" w:cs="宋体"/>
                <w:sz w:val="22"/>
                <w:szCs w:val="21"/>
              </w:rPr>
              <w:t>第二节</w:t>
            </w:r>
          </w:p>
          <w:p w14:paraId="288B29C6">
            <w:pPr>
              <w:jc w:val="center"/>
              <w:rPr>
                <w:rFonts w:ascii="宋体" w:hAnsi="宋体" w:cs="宋体"/>
                <w:sz w:val="22"/>
                <w:szCs w:val="21"/>
              </w:rPr>
            </w:pPr>
            <w:r>
              <w:rPr>
                <w:rFonts w:hint="eastAsia" w:ascii="宋体" w:hAnsi="宋体" w:cs="宋体"/>
                <w:sz w:val="22"/>
                <w:szCs w:val="21"/>
              </w:rPr>
              <w:t>第4.6款</w:t>
            </w:r>
          </w:p>
        </w:tc>
        <w:tc>
          <w:tcPr>
            <w:tcW w:w="2143" w:type="dxa"/>
            <w:noWrap w:val="0"/>
            <w:vAlign w:val="center"/>
          </w:tcPr>
          <w:p w14:paraId="1F14244D">
            <w:pPr>
              <w:jc w:val="left"/>
              <w:rPr>
                <w:rFonts w:ascii="宋体" w:hAnsi="宋体" w:cs="宋体"/>
                <w:sz w:val="22"/>
                <w:szCs w:val="21"/>
              </w:rPr>
            </w:pPr>
            <w:r>
              <w:rPr>
                <w:rFonts w:hint="eastAsia" w:ascii="宋体" w:hAnsi="宋体" w:cs="宋体"/>
                <w:sz w:val="22"/>
                <w:szCs w:val="21"/>
              </w:rPr>
              <w:t>约定甲方承担的其他义务和责任</w:t>
            </w:r>
          </w:p>
        </w:tc>
        <w:tc>
          <w:tcPr>
            <w:tcW w:w="5728" w:type="dxa"/>
            <w:noWrap w:val="0"/>
            <w:vAlign w:val="center"/>
          </w:tcPr>
          <w:p w14:paraId="451061C4">
            <w:pPr>
              <w:jc w:val="left"/>
              <w:rPr>
                <w:rFonts w:ascii="宋体" w:hAnsi="宋体" w:cs="宋体"/>
                <w:sz w:val="22"/>
                <w:szCs w:val="21"/>
              </w:rPr>
            </w:pPr>
          </w:p>
        </w:tc>
      </w:tr>
      <w:tr w14:paraId="01A604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4B02DE4">
            <w:pPr>
              <w:jc w:val="center"/>
              <w:rPr>
                <w:rFonts w:ascii="宋体" w:hAnsi="宋体" w:cs="宋体"/>
                <w:sz w:val="22"/>
                <w:szCs w:val="21"/>
              </w:rPr>
            </w:pPr>
            <w:r>
              <w:rPr>
                <w:rFonts w:hint="eastAsia" w:ascii="宋体" w:hAnsi="宋体" w:cs="宋体"/>
                <w:sz w:val="22"/>
                <w:szCs w:val="21"/>
              </w:rPr>
              <w:t>第二节</w:t>
            </w:r>
          </w:p>
          <w:p w14:paraId="13FD8308">
            <w:pPr>
              <w:jc w:val="center"/>
              <w:rPr>
                <w:rFonts w:ascii="宋体" w:hAnsi="宋体" w:cs="宋体"/>
                <w:sz w:val="22"/>
                <w:szCs w:val="22"/>
              </w:rPr>
            </w:pPr>
            <w:r>
              <w:rPr>
                <w:rFonts w:hint="eastAsia" w:ascii="宋体" w:hAnsi="宋体" w:cs="宋体"/>
                <w:sz w:val="22"/>
                <w:szCs w:val="21"/>
              </w:rPr>
              <w:t>第5.4款</w:t>
            </w:r>
          </w:p>
        </w:tc>
        <w:tc>
          <w:tcPr>
            <w:tcW w:w="2143" w:type="dxa"/>
            <w:noWrap w:val="0"/>
            <w:vAlign w:val="center"/>
          </w:tcPr>
          <w:p w14:paraId="1A1AF04D">
            <w:pPr>
              <w:jc w:val="left"/>
              <w:rPr>
                <w:rFonts w:ascii="宋体" w:hAnsi="宋体" w:cs="宋体"/>
                <w:sz w:val="22"/>
                <w:szCs w:val="21"/>
              </w:rPr>
            </w:pPr>
            <w:r>
              <w:rPr>
                <w:rFonts w:hint="eastAsia" w:ascii="宋体" w:hAnsi="宋体" w:cs="宋体"/>
                <w:sz w:val="22"/>
                <w:szCs w:val="21"/>
              </w:rPr>
              <w:t>约定乙方承担的其他义务和责任</w:t>
            </w:r>
          </w:p>
        </w:tc>
        <w:tc>
          <w:tcPr>
            <w:tcW w:w="5728" w:type="dxa"/>
            <w:noWrap w:val="0"/>
            <w:vAlign w:val="center"/>
          </w:tcPr>
          <w:p w14:paraId="55F187A3">
            <w:pPr>
              <w:jc w:val="left"/>
              <w:rPr>
                <w:rFonts w:ascii="宋体" w:hAnsi="宋体" w:cs="宋体"/>
                <w:sz w:val="22"/>
                <w:szCs w:val="21"/>
              </w:rPr>
            </w:pPr>
          </w:p>
        </w:tc>
      </w:tr>
      <w:tr w14:paraId="0349C4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DEA9BD3">
            <w:pPr>
              <w:jc w:val="center"/>
              <w:rPr>
                <w:rFonts w:ascii="宋体" w:hAnsi="宋体" w:cs="宋体"/>
                <w:sz w:val="22"/>
                <w:szCs w:val="21"/>
              </w:rPr>
            </w:pPr>
            <w:r>
              <w:rPr>
                <w:rFonts w:hint="eastAsia" w:ascii="宋体" w:hAnsi="宋体" w:cs="宋体"/>
                <w:sz w:val="22"/>
                <w:szCs w:val="21"/>
              </w:rPr>
              <w:t>第二节</w:t>
            </w:r>
          </w:p>
          <w:p w14:paraId="077D5E59">
            <w:pPr>
              <w:jc w:val="center"/>
              <w:rPr>
                <w:rFonts w:ascii="宋体" w:hAnsi="宋体" w:cs="宋体"/>
                <w:sz w:val="22"/>
                <w:szCs w:val="21"/>
              </w:rPr>
            </w:pPr>
            <w:r>
              <w:rPr>
                <w:rFonts w:hint="eastAsia" w:ascii="宋体" w:hAnsi="宋体" w:cs="宋体"/>
                <w:sz w:val="22"/>
                <w:szCs w:val="21"/>
              </w:rPr>
              <w:t>第6.1款</w:t>
            </w:r>
          </w:p>
        </w:tc>
        <w:tc>
          <w:tcPr>
            <w:tcW w:w="2143" w:type="dxa"/>
            <w:noWrap w:val="0"/>
            <w:vAlign w:val="center"/>
          </w:tcPr>
          <w:p w14:paraId="66DB6D8F">
            <w:pPr>
              <w:jc w:val="left"/>
              <w:rPr>
                <w:rFonts w:ascii="宋体" w:hAnsi="宋体" w:cs="宋体"/>
                <w:sz w:val="22"/>
                <w:szCs w:val="21"/>
              </w:rPr>
            </w:pPr>
            <w:r>
              <w:rPr>
                <w:rFonts w:hint="eastAsia" w:ascii="宋体" w:hAnsi="宋体" w:cs="宋体"/>
                <w:sz w:val="22"/>
                <w:szCs w:val="21"/>
              </w:rPr>
              <w:t>履行合同义务的顺序</w:t>
            </w:r>
          </w:p>
        </w:tc>
        <w:tc>
          <w:tcPr>
            <w:tcW w:w="5728" w:type="dxa"/>
            <w:noWrap w:val="0"/>
            <w:vAlign w:val="center"/>
          </w:tcPr>
          <w:p w14:paraId="27235F44">
            <w:pPr>
              <w:jc w:val="left"/>
              <w:rPr>
                <w:rFonts w:ascii="宋体" w:hAnsi="宋体" w:cs="宋体"/>
                <w:sz w:val="22"/>
                <w:szCs w:val="21"/>
              </w:rPr>
            </w:pPr>
          </w:p>
        </w:tc>
      </w:tr>
      <w:tr w14:paraId="58F165D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restart"/>
            <w:noWrap w:val="0"/>
            <w:vAlign w:val="center"/>
          </w:tcPr>
          <w:p w14:paraId="33115B3F">
            <w:pPr>
              <w:jc w:val="center"/>
              <w:rPr>
                <w:rFonts w:ascii="宋体" w:hAnsi="宋体" w:cs="宋体"/>
                <w:sz w:val="22"/>
                <w:szCs w:val="21"/>
              </w:rPr>
            </w:pPr>
            <w:r>
              <w:rPr>
                <w:rFonts w:hint="eastAsia" w:ascii="宋体" w:hAnsi="宋体" w:cs="宋体"/>
                <w:sz w:val="22"/>
                <w:szCs w:val="21"/>
              </w:rPr>
              <w:t>第二节</w:t>
            </w:r>
          </w:p>
          <w:p w14:paraId="5C4426C5">
            <w:pPr>
              <w:jc w:val="center"/>
              <w:rPr>
                <w:rFonts w:ascii="宋体" w:hAnsi="宋体" w:cs="宋体"/>
                <w:sz w:val="22"/>
                <w:szCs w:val="21"/>
              </w:rPr>
            </w:pPr>
            <w:r>
              <w:rPr>
                <w:rFonts w:hint="eastAsia" w:ascii="宋体" w:hAnsi="宋体" w:cs="宋体"/>
                <w:sz w:val="22"/>
                <w:szCs w:val="21"/>
              </w:rPr>
              <w:t>第7.1款</w:t>
            </w:r>
          </w:p>
        </w:tc>
        <w:tc>
          <w:tcPr>
            <w:tcW w:w="2143" w:type="dxa"/>
            <w:noWrap w:val="0"/>
            <w:vAlign w:val="center"/>
          </w:tcPr>
          <w:p w14:paraId="37711D70">
            <w:pPr>
              <w:jc w:val="left"/>
              <w:rPr>
                <w:rFonts w:ascii="宋体" w:hAnsi="宋体" w:cs="宋体"/>
                <w:sz w:val="22"/>
                <w:szCs w:val="21"/>
              </w:rPr>
            </w:pPr>
            <w:r>
              <w:rPr>
                <w:rFonts w:hint="eastAsia" w:ascii="宋体" w:hAnsi="宋体" w:cs="宋体"/>
                <w:sz w:val="22"/>
                <w:szCs w:val="21"/>
              </w:rPr>
              <w:t>包装特殊要求</w:t>
            </w:r>
          </w:p>
        </w:tc>
        <w:tc>
          <w:tcPr>
            <w:tcW w:w="5728" w:type="dxa"/>
            <w:noWrap w:val="0"/>
            <w:vAlign w:val="center"/>
          </w:tcPr>
          <w:p w14:paraId="29DA3BFE">
            <w:pPr>
              <w:jc w:val="left"/>
              <w:rPr>
                <w:rFonts w:ascii="宋体" w:hAnsi="宋体" w:cs="宋体"/>
                <w:sz w:val="22"/>
                <w:szCs w:val="22"/>
              </w:rPr>
            </w:pPr>
          </w:p>
        </w:tc>
      </w:tr>
      <w:tr w14:paraId="736F59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vMerge w:val="continue"/>
            <w:noWrap w:val="0"/>
            <w:vAlign w:val="center"/>
          </w:tcPr>
          <w:p w14:paraId="7390B737">
            <w:pPr>
              <w:jc w:val="center"/>
              <w:rPr>
                <w:rFonts w:ascii="宋体" w:hAnsi="宋体" w:cs="宋体"/>
                <w:sz w:val="22"/>
                <w:szCs w:val="21"/>
              </w:rPr>
            </w:pPr>
          </w:p>
        </w:tc>
        <w:tc>
          <w:tcPr>
            <w:tcW w:w="2143" w:type="dxa"/>
            <w:noWrap w:val="0"/>
            <w:vAlign w:val="center"/>
          </w:tcPr>
          <w:p w14:paraId="50AACCD1">
            <w:pPr>
              <w:jc w:val="left"/>
              <w:rPr>
                <w:rFonts w:ascii="宋体" w:hAnsi="宋体" w:cs="宋体"/>
                <w:sz w:val="22"/>
                <w:szCs w:val="21"/>
              </w:rPr>
            </w:pPr>
            <w:r>
              <w:rPr>
                <w:rFonts w:hint="eastAsia" w:ascii="宋体" w:hAnsi="宋体" w:cs="宋体"/>
                <w:sz w:val="22"/>
                <w:szCs w:val="21"/>
              </w:rPr>
              <w:t>指定现场</w:t>
            </w:r>
          </w:p>
        </w:tc>
        <w:tc>
          <w:tcPr>
            <w:tcW w:w="5728" w:type="dxa"/>
            <w:noWrap w:val="0"/>
            <w:vAlign w:val="center"/>
          </w:tcPr>
          <w:p w14:paraId="5EF8470F">
            <w:pPr>
              <w:jc w:val="left"/>
              <w:rPr>
                <w:rFonts w:ascii="宋体" w:hAnsi="宋体" w:cs="宋体"/>
                <w:sz w:val="22"/>
                <w:szCs w:val="22"/>
              </w:rPr>
            </w:pPr>
          </w:p>
        </w:tc>
      </w:tr>
      <w:tr w14:paraId="7E7BBA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5352FCF2">
            <w:pPr>
              <w:jc w:val="center"/>
              <w:rPr>
                <w:rFonts w:ascii="宋体" w:hAnsi="宋体" w:cs="宋体"/>
                <w:sz w:val="22"/>
                <w:szCs w:val="21"/>
              </w:rPr>
            </w:pPr>
            <w:r>
              <w:rPr>
                <w:rFonts w:hint="eastAsia" w:ascii="宋体" w:hAnsi="宋体" w:cs="宋体"/>
                <w:sz w:val="22"/>
                <w:szCs w:val="21"/>
              </w:rPr>
              <w:t>第二节</w:t>
            </w:r>
          </w:p>
          <w:p w14:paraId="735906F0">
            <w:pPr>
              <w:jc w:val="center"/>
              <w:rPr>
                <w:rFonts w:ascii="宋体" w:hAnsi="宋体" w:cs="宋体"/>
                <w:sz w:val="22"/>
                <w:szCs w:val="21"/>
              </w:rPr>
            </w:pPr>
            <w:r>
              <w:rPr>
                <w:rFonts w:hint="eastAsia" w:ascii="宋体" w:hAnsi="宋体" w:cs="宋体"/>
                <w:sz w:val="22"/>
                <w:szCs w:val="21"/>
              </w:rPr>
              <w:t>第7.2款</w:t>
            </w:r>
          </w:p>
        </w:tc>
        <w:tc>
          <w:tcPr>
            <w:tcW w:w="2143" w:type="dxa"/>
            <w:noWrap w:val="0"/>
            <w:vAlign w:val="center"/>
          </w:tcPr>
          <w:p w14:paraId="59B45CFA">
            <w:pPr>
              <w:jc w:val="left"/>
              <w:rPr>
                <w:rFonts w:ascii="宋体" w:hAnsi="宋体" w:cs="宋体"/>
                <w:sz w:val="22"/>
                <w:szCs w:val="21"/>
              </w:rPr>
            </w:pPr>
            <w:r>
              <w:rPr>
                <w:rFonts w:hint="eastAsia" w:ascii="宋体" w:hAnsi="宋体" w:cs="宋体"/>
                <w:sz w:val="22"/>
                <w:szCs w:val="21"/>
              </w:rPr>
              <w:t>运输特殊要求</w:t>
            </w:r>
          </w:p>
        </w:tc>
        <w:tc>
          <w:tcPr>
            <w:tcW w:w="5728" w:type="dxa"/>
            <w:noWrap w:val="0"/>
            <w:vAlign w:val="center"/>
          </w:tcPr>
          <w:p w14:paraId="06E8CE82">
            <w:pPr>
              <w:jc w:val="left"/>
              <w:rPr>
                <w:rFonts w:ascii="宋体" w:hAnsi="宋体" w:cs="宋体"/>
                <w:sz w:val="22"/>
                <w:szCs w:val="22"/>
              </w:rPr>
            </w:pPr>
          </w:p>
        </w:tc>
      </w:tr>
      <w:tr w14:paraId="324DC8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607" w:type="dxa"/>
            <w:noWrap w:val="0"/>
            <w:vAlign w:val="center"/>
          </w:tcPr>
          <w:p w14:paraId="7D0763D4">
            <w:pPr>
              <w:jc w:val="center"/>
              <w:rPr>
                <w:rFonts w:ascii="宋体" w:hAnsi="宋体" w:cs="宋体"/>
                <w:sz w:val="22"/>
                <w:szCs w:val="21"/>
              </w:rPr>
            </w:pPr>
            <w:r>
              <w:rPr>
                <w:rFonts w:hint="eastAsia" w:ascii="宋体" w:hAnsi="宋体" w:cs="宋体"/>
                <w:sz w:val="22"/>
                <w:szCs w:val="21"/>
              </w:rPr>
              <w:t>第二节</w:t>
            </w:r>
          </w:p>
          <w:p w14:paraId="6CF5BE06">
            <w:pPr>
              <w:jc w:val="center"/>
              <w:rPr>
                <w:rFonts w:ascii="宋体" w:hAnsi="宋体" w:cs="宋体"/>
                <w:sz w:val="22"/>
                <w:szCs w:val="21"/>
              </w:rPr>
            </w:pPr>
            <w:r>
              <w:rPr>
                <w:rFonts w:hint="eastAsia" w:ascii="宋体" w:hAnsi="宋体" w:cs="宋体"/>
                <w:sz w:val="22"/>
                <w:szCs w:val="21"/>
              </w:rPr>
              <w:t>第7.3款</w:t>
            </w:r>
          </w:p>
        </w:tc>
        <w:tc>
          <w:tcPr>
            <w:tcW w:w="2143" w:type="dxa"/>
            <w:noWrap w:val="0"/>
            <w:vAlign w:val="center"/>
          </w:tcPr>
          <w:p w14:paraId="6E6D73CE">
            <w:pPr>
              <w:jc w:val="left"/>
              <w:rPr>
                <w:rFonts w:ascii="宋体" w:hAnsi="宋体" w:cs="宋体"/>
                <w:sz w:val="22"/>
                <w:szCs w:val="21"/>
              </w:rPr>
            </w:pPr>
            <w:r>
              <w:rPr>
                <w:rFonts w:hint="eastAsia" w:ascii="宋体" w:hAnsi="宋体" w:cs="宋体"/>
                <w:sz w:val="22"/>
                <w:szCs w:val="21"/>
              </w:rPr>
              <w:t>保险要求</w:t>
            </w:r>
          </w:p>
        </w:tc>
        <w:tc>
          <w:tcPr>
            <w:tcW w:w="5728" w:type="dxa"/>
            <w:noWrap w:val="0"/>
            <w:vAlign w:val="center"/>
          </w:tcPr>
          <w:p w14:paraId="2336ED33">
            <w:pPr>
              <w:jc w:val="left"/>
              <w:rPr>
                <w:rFonts w:ascii="宋体" w:hAnsi="宋体" w:cs="宋体"/>
                <w:sz w:val="22"/>
                <w:szCs w:val="22"/>
              </w:rPr>
            </w:pPr>
          </w:p>
        </w:tc>
      </w:tr>
      <w:tr w14:paraId="39E0CF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9CA7E6F">
            <w:pPr>
              <w:jc w:val="center"/>
              <w:rPr>
                <w:rFonts w:ascii="宋体" w:hAnsi="宋体" w:cs="宋体"/>
                <w:sz w:val="22"/>
                <w:szCs w:val="21"/>
              </w:rPr>
            </w:pPr>
            <w:r>
              <w:rPr>
                <w:rFonts w:hint="eastAsia" w:ascii="宋体" w:hAnsi="宋体" w:cs="宋体"/>
                <w:sz w:val="22"/>
                <w:szCs w:val="21"/>
              </w:rPr>
              <w:t>第二节</w:t>
            </w:r>
          </w:p>
          <w:p w14:paraId="28BB4B13">
            <w:pPr>
              <w:jc w:val="center"/>
              <w:rPr>
                <w:rFonts w:ascii="宋体" w:hAnsi="宋体" w:cs="宋体"/>
                <w:sz w:val="22"/>
                <w:szCs w:val="21"/>
              </w:rPr>
            </w:pPr>
            <w:r>
              <w:rPr>
                <w:rFonts w:hint="eastAsia" w:ascii="宋体" w:hAnsi="宋体" w:cs="宋体"/>
                <w:sz w:val="22"/>
                <w:szCs w:val="21"/>
              </w:rPr>
              <w:t>第8.2（1）项</w:t>
            </w:r>
          </w:p>
        </w:tc>
        <w:tc>
          <w:tcPr>
            <w:tcW w:w="2143" w:type="dxa"/>
            <w:noWrap w:val="0"/>
            <w:vAlign w:val="center"/>
          </w:tcPr>
          <w:p w14:paraId="39783D53">
            <w:pPr>
              <w:jc w:val="left"/>
              <w:rPr>
                <w:rFonts w:ascii="宋体" w:hAnsi="宋体" w:cs="宋体"/>
                <w:sz w:val="22"/>
                <w:szCs w:val="21"/>
              </w:rPr>
            </w:pPr>
            <w:r>
              <w:rPr>
                <w:rFonts w:hint="eastAsia" w:ascii="宋体" w:hAnsi="宋体" w:cs="宋体"/>
                <w:sz w:val="22"/>
                <w:szCs w:val="21"/>
              </w:rPr>
              <w:t>质量保证期</w:t>
            </w:r>
          </w:p>
        </w:tc>
        <w:tc>
          <w:tcPr>
            <w:tcW w:w="5728" w:type="dxa"/>
            <w:noWrap w:val="0"/>
            <w:vAlign w:val="center"/>
          </w:tcPr>
          <w:p w14:paraId="50B685E7">
            <w:pPr>
              <w:jc w:val="left"/>
              <w:rPr>
                <w:rFonts w:ascii="宋体" w:hAnsi="宋体" w:cs="宋体"/>
                <w:sz w:val="22"/>
                <w:szCs w:val="22"/>
              </w:rPr>
            </w:pPr>
          </w:p>
        </w:tc>
      </w:tr>
      <w:tr w14:paraId="559BCF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3F72C13">
            <w:pPr>
              <w:jc w:val="center"/>
              <w:rPr>
                <w:rFonts w:ascii="宋体" w:hAnsi="宋体" w:cs="宋体"/>
                <w:sz w:val="22"/>
                <w:szCs w:val="21"/>
              </w:rPr>
            </w:pPr>
            <w:r>
              <w:rPr>
                <w:rFonts w:hint="eastAsia" w:ascii="宋体" w:hAnsi="宋体" w:cs="宋体"/>
                <w:sz w:val="22"/>
                <w:szCs w:val="21"/>
              </w:rPr>
              <w:t>第二节</w:t>
            </w:r>
          </w:p>
          <w:p w14:paraId="088C5E1F">
            <w:pPr>
              <w:jc w:val="center"/>
              <w:rPr>
                <w:rFonts w:ascii="宋体" w:hAnsi="宋体" w:cs="宋体"/>
                <w:sz w:val="22"/>
                <w:szCs w:val="21"/>
              </w:rPr>
            </w:pPr>
            <w:r>
              <w:rPr>
                <w:rFonts w:hint="eastAsia" w:ascii="宋体" w:hAnsi="宋体" w:cs="宋体"/>
                <w:sz w:val="22"/>
                <w:szCs w:val="21"/>
              </w:rPr>
              <w:t>第8.2（3）项</w:t>
            </w:r>
          </w:p>
        </w:tc>
        <w:tc>
          <w:tcPr>
            <w:tcW w:w="2143" w:type="dxa"/>
            <w:noWrap w:val="0"/>
            <w:vAlign w:val="center"/>
          </w:tcPr>
          <w:p w14:paraId="2653E162">
            <w:pPr>
              <w:jc w:val="left"/>
              <w:rPr>
                <w:rFonts w:ascii="宋体" w:hAnsi="宋体" w:cs="宋体"/>
                <w:sz w:val="22"/>
                <w:szCs w:val="21"/>
              </w:rPr>
            </w:pPr>
            <w:r>
              <w:rPr>
                <w:rFonts w:hint="eastAsia" w:ascii="宋体" w:hAnsi="宋体" w:cs="宋体"/>
                <w:sz w:val="22"/>
                <w:szCs w:val="21"/>
              </w:rPr>
              <w:t>货物质量缺陷</w:t>
            </w:r>
          </w:p>
          <w:p w14:paraId="332B9B80">
            <w:pPr>
              <w:jc w:val="left"/>
              <w:rPr>
                <w:rFonts w:ascii="宋体" w:hAnsi="宋体" w:cs="宋体"/>
                <w:sz w:val="22"/>
                <w:szCs w:val="21"/>
              </w:rPr>
            </w:pPr>
            <w:r>
              <w:rPr>
                <w:rFonts w:hint="eastAsia" w:ascii="宋体" w:hAnsi="宋体" w:cs="宋体"/>
                <w:sz w:val="22"/>
                <w:szCs w:val="21"/>
              </w:rPr>
              <w:t>响应时间</w:t>
            </w:r>
          </w:p>
        </w:tc>
        <w:tc>
          <w:tcPr>
            <w:tcW w:w="5728" w:type="dxa"/>
            <w:noWrap w:val="0"/>
            <w:vAlign w:val="center"/>
          </w:tcPr>
          <w:p w14:paraId="49669F0E">
            <w:pPr>
              <w:jc w:val="left"/>
              <w:rPr>
                <w:rFonts w:ascii="宋体" w:hAnsi="宋体" w:cs="宋体"/>
                <w:sz w:val="22"/>
                <w:szCs w:val="21"/>
              </w:rPr>
            </w:pPr>
          </w:p>
        </w:tc>
      </w:tr>
      <w:tr w14:paraId="76A128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6068DF67">
            <w:pPr>
              <w:jc w:val="center"/>
              <w:rPr>
                <w:rFonts w:ascii="宋体" w:hAnsi="宋体" w:cs="宋体"/>
                <w:sz w:val="22"/>
                <w:szCs w:val="21"/>
              </w:rPr>
            </w:pPr>
            <w:r>
              <w:rPr>
                <w:rFonts w:hint="eastAsia" w:ascii="宋体" w:hAnsi="宋体" w:cs="宋体"/>
                <w:sz w:val="22"/>
                <w:szCs w:val="21"/>
              </w:rPr>
              <w:t>第二节</w:t>
            </w:r>
          </w:p>
          <w:p w14:paraId="0EA8194C">
            <w:pPr>
              <w:spacing w:line="400" w:lineRule="exact"/>
              <w:jc w:val="center"/>
              <w:rPr>
                <w:rFonts w:ascii="宋体" w:hAnsi="宋体" w:cs="宋体"/>
                <w:sz w:val="22"/>
                <w:szCs w:val="21"/>
              </w:rPr>
            </w:pPr>
            <w:r>
              <w:rPr>
                <w:rFonts w:hint="eastAsia" w:ascii="宋体" w:hAnsi="宋体" w:cs="宋体"/>
                <w:sz w:val="22"/>
                <w:szCs w:val="21"/>
              </w:rPr>
              <w:t>第11.1款</w:t>
            </w:r>
          </w:p>
        </w:tc>
        <w:tc>
          <w:tcPr>
            <w:tcW w:w="2143" w:type="dxa"/>
            <w:noWrap w:val="0"/>
            <w:vAlign w:val="center"/>
          </w:tcPr>
          <w:p w14:paraId="781A9812">
            <w:pPr>
              <w:jc w:val="left"/>
              <w:rPr>
                <w:rFonts w:ascii="宋体" w:hAnsi="宋体" w:cs="宋体"/>
                <w:sz w:val="22"/>
                <w:szCs w:val="21"/>
              </w:rPr>
            </w:pPr>
            <w:r>
              <w:rPr>
                <w:rFonts w:hint="eastAsia" w:ascii="宋体" w:hAnsi="宋体" w:cs="宋体"/>
                <w:sz w:val="22"/>
                <w:szCs w:val="21"/>
              </w:rPr>
              <w:t>其他应当保密的信息</w:t>
            </w:r>
          </w:p>
        </w:tc>
        <w:tc>
          <w:tcPr>
            <w:tcW w:w="5728" w:type="dxa"/>
            <w:noWrap w:val="0"/>
            <w:vAlign w:val="center"/>
          </w:tcPr>
          <w:p w14:paraId="4054DAE2">
            <w:pPr>
              <w:jc w:val="left"/>
              <w:rPr>
                <w:rFonts w:ascii="宋体" w:hAnsi="宋体" w:cs="宋体"/>
                <w:sz w:val="22"/>
                <w:szCs w:val="21"/>
              </w:rPr>
            </w:pPr>
          </w:p>
        </w:tc>
      </w:tr>
      <w:tr w14:paraId="7EDBC5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0E892A1A">
            <w:pPr>
              <w:jc w:val="center"/>
              <w:rPr>
                <w:rFonts w:ascii="宋体" w:hAnsi="宋体" w:cs="宋体"/>
                <w:sz w:val="22"/>
                <w:szCs w:val="21"/>
              </w:rPr>
            </w:pPr>
            <w:r>
              <w:rPr>
                <w:rFonts w:hint="eastAsia" w:ascii="宋体" w:hAnsi="宋体" w:cs="宋体"/>
                <w:sz w:val="22"/>
                <w:szCs w:val="21"/>
              </w:rPr>
              <w:t>第二节</w:t>
            </w:r>
          </w:p>
          <w:p w14:paraId="3A3D7F3F">
            <w:pPr>
              <w:jc w:val="center"/>
              <w:rPr>
                <w:rFonts w:ascii="宋体" w:hAnsi="宋体" w:cs="宋体"/>
                <w:sz w:val="22"/>
                <w:szCs w:val="21"/>
              </w:rPr>
            </w:pPr>
            <w:r>
              <w:rPr>
                <w:rFonts w:hint="eastAsia" w:ascii="宋体" w:hAnsi="宋体" w:cs="宋体"/>
                <w:sz w:val="22"/>
                <w:szCs w:val="21"/>
              </w:rPr>
              <w:t>第12.2款</w:t>
            </w:r>
          </w:p>
        </w:tc>
        <w:tc>
          <w:tcPr>
            <w:tcW w:w="2143" w:type="dxa"/>
            <w:noWrap w:val="0"/>
            <w:vAlign w:val="center"/>
          </w:tcPr>
          <w:p w14:paraId="1CF7390D">
            <w:pPr>
              <w:jc w:val="left"/>
              <w:rPr>
                <w:rFonts w:ascii="宋体" w:hAnsi="宋体" w:cs="宋体"/>
                <w:sz w:val="22"/>
                <w:szCs w:val="21"/>
              </w:rPr>
            </w:pPr>
            <w:r>
              <w:rPr>
                <w:rFonts w:hint="eastAsia" w:ascii="宋体" w:hAnsi="宋体" w:cs="宋体"/>
                <w:sz w:val="22"/>
                <w:szCs w:val="21"/>
              </w:rPr>
              <w:t>合同价款支付时间</w:t>
            </w:r>
          </w:p>
        </w:tc>
        <w:tc>
          <w:tcPr>
            <w:tcW w:w="5728" w:type="dxa"/>
            <w:noWrap w:val="0"/>
            <w:vAlign w:val="center"/>
          </w:tcPr>
          <w:p w14:paraId="39FCFEF2">
            <w:pPr>
              <w:jc w:val="left"/>
              <w:rPr>
                <w:rFonts w:ascii="宋体" w:hAnsi="宋体" w:cs="宋体"/>
                <w:sz w:val="22"/>
                <w:szCs w:val="21"/>
              </w:rPr>
            </w:pPr>
          </w:p>
        </w:tc>
      </w:tr>
      <w:tr w14:paraId="5B4FCF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7BDD7345">
            <w:pPr>
              <w:jc w:val="center"/>
              <w:rPr>
                <w:rFonts w:ascii="宋体" w:hAnsi="宋体" w:cs="宋体"/>
                <w:sz w:val="22"/>
                <w:szCs w:val="21"/>
              </w:rPr>
            </w:pPr>
            <w:r>
              <w:rPr>
                <w:rFonts w:hint="eastAsia" w:ascii="宋体" w:hAnsi="宋体" w:cs="宋体"/>
                <w:sz w:val="22"/>
                <w:szCs w:val="21"/>
              </w:rPr>
              <w:t>第二节</w:t>
            </w:r>
          </w:p>
          <w:p w14:paraId="5EABDC37">
            <w:pPr>
              <w:jc w:val="center"/>
              <w:rPr>
                <w:rFonts w:ascii="宋体" w:hAnsi="宋体" w:cs="宋体"/>
                <w:sz w:val="22"/>
                <w:szCs w:val="21"/>
              </w:rPr>
            </w:pPr>
            <w:r>
              <w:rPr>
                <w:rFonts w:hint="eastAsia" w:ascii="宋体" w:hAnsi="宋体" w:cs="宋体"/>
                <w:sz w:val="22"/>
                <w:szCs w:val="21"/>
              </w:rPr>
              <w:t>第13.2款</w:t>
            </w:r>
          </w:p>
        </w:tc>
        <w:tc>
          <w:tcPr>
            <w:tcW w:w="2143" w:type="dxa"/>
            <w:noWrap w:val="0"/>
            <w:vAlign w:val="center"/>
          </w:tcPr>
          <w:p w14:paraId="2F3D49F7">
            <w:pPr>
              <w:jc w:val="left"/>
              <w:rPr>
                <w:rFonts w:ascii="宋体" w:hAnsi="宋体" w:cs="宋体"/>
                <w:sz w:val="22"/>
                <w:szCs w:val="21"/>
              </w:rPr>
            </w:pPr>
            <w:r>
              <w:rPr>
                <w:rFonts w:hint="eastAsia" w:ascii="宋体" w:hAnsi="宋体" w:cs="宋体"/>
                <w:sz w:val="22"/>
                <w:szCs w:val="21"/>
              </w:rPr>
              <w:t>履约保证金不予退还的情形</w:t>
            </w:r>
          </w:p>
        </w:tc>
        <w:tc>
          <w:tcPr>
            <w:tcW w:w="5728" w:type="dxa"/>
            <w:noWrap w:val="0"/>
            <w:vAlign w:val="center"/>
          </w:tcPr>
          <w:p w14:paraId="4B18A919">
            <w:pPr>
              <w:jc w:val="left"/>
              <w:rPr>
                <w:rFonts w:ascii="宋体" w:hAnsi="宋体" w:cs="宋体"/>
                <w:sz w:val="22"/>
                <w:szCs w:val="21"/>
              </w:rPr>
            </w:pPr>
          </w:p>
        </w:tc>
      </w:tr>
      <w:tr w14:paraId="0A3BA1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9ECA873">
            <w:pPr>
              <w:jc w:val="center"/>
              <w:rPr>
                <w:rFonts w:ascii="宋体" w:hAnsi="宋体" w:cs="宋体"/>
                <w:sz w:val="22"/>
                <w:szCs w:val="21"/>
              </w:rPr>
            </w:pPr>
            <w:r>
              <w:rPr>
                <w:rFonts w:hint="eastAsia" w:ascii="宋体" w:hAnsi="宋体" w:cs="宋体"/>
                <w:sz w:val="22"/>
                <w:szCs w:val="21"/>
              </w:rPr>
              <w:t>第二节</w:t>
            </w:r>
          </w:p>
          <w:p w14:paraId="503740E3">
            <w:pPr>
              <w:jc w:val="center"/>
              <w:rPr>
                <w:rFonts w:ascii="宋体" w:hAnsi="宋体" w:cs="宋体"/>
                <w:sz w:val="22"/>
                <w:szCs w:val="21"/>
              </w:rPr>
            </w:pPr>
            <w:r>
              <w:rPr>
                <w:rFonts w:hint="eastAsia" w:ascii="宋体" w:hAnsi="宋体" w:cs="宋体"/>
                <w:sz w:val="22"/>
                <w:szCs w:val="21"/>
              </w:rPr>
              <w:t>第13.3款</w:t>
            </w:r>
          </w:p>
        </w:tc>
        <w:tc>
          <w:tcPr>
            <w:tcW w:w="2143" w:type="dxa"/>
            <w:noWrap w:val="0"/>
            <w:vAlign w:val="center"/>
          </w:tcPr>
          <w:p w14:paraId="5139B42E">
            <w:pPr>
              <w:jc w:val="left"/>
              <w:rPr>
                <w:rFonts w:ascii="宋体" w:hAnsi="宋体" w:cs="宋体"/>
                <w:sz w:val="22"/>
                <w:szCs w:val="21"/>
              </w:rPr>
            </w:pPr>
            <w:r>
              <w:rPr>
                <w:rFonts w:hint="eastAsia" w:ascii="宋体" w:hAnsi="宋体" w:cs="宋体"/>
                <w:sz w:val="22"/>
                <w:szCs w:val="21"/>
              </w:rPr>
              <w:t>履约保证金退还时间及逾期退还的违约金</w:t>
            </w:r>
          </w:p>
        </w:tc>
        <w:tc>
          <w:tcPr>
            <w:tcW w:w="5728" w:type="dxa"/>
            <w:noWrap w:val="0"/>
            <w:vAlign w:val="center"/>
          </w:tcPr>
          <w:p w14:paraId="27C0CA13">
            <w:pPr>
              <w:jc w:val="left"/>
              <w:rPr>
                <w:rFonts w:ascii="宋体" w:hAnsi="宋体" w:cs="宋体"/>
                <w:sz w:val="22"/>
                <w:szCs w:val="21"/>
              </w:rPr>
            </w:pPr>
          </w:p>
        </w:tc>
      </w:tr>
      <w:tr w14:paraId="69FA64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6361626E">
            <w:pPr>
              <w:jc w:val="center"/>
              <w:rPr>
                <w:rFonts w:ascii="宋体" w:hAnsi="宋体" w:cs="宋体"/>
                <w:sz w:val="22"/>
                <w:szCs w:val="21"/>
              </w:rPr>
            </w:pPr>
            <w:r>
              <w:rPr>
                <w:rFonts w:hint="eastAsia" w:ascii="宋体" w:hAnsi="宋体" w:cs="宋体"/>
                <w:sz w:val="22"/>
                <w:szCs w:val="21"/>
              </w:rPr>
              <w:t>第二节</w:t>
            </w:r>
          </w:p>
          <w:p w14:paraId="7CCA9C99">
            <w:pPr>
              <w:jc w:val="center"/>
              <w:rPr>
                <w:rFonts w:ascii="宋体" w:hAnsi="宋体" w:cs="宋体"/>
                <w:sz w:val="22"/>
                <w:szCs w:val="21"/>
              </w:rPr>
            </w:pPr>
            <w:r>
              <w:rPr>
                <w:rFonts w:hint="eastAsia" w:ascii="宋体" w:hAnsi="宋体" w:cs="宋体"/>
                <w:sz w:val="22"/>
                <w:szCs w:val="21"/>
              </w:rPr>
              <w:t>第14.1（3）项</w:t>
            </w:r>
          </w:p>
        </w:tc>
        <w:tc>
          <w:tcPr>
            <w:tcW w:w="2143" w:type="dxa"/>
            <w:noWrap w:val="0"/>
            <w:vAlign w:val="center"/>
          </w:tcPr>
          <w:p w14:paraId="5CE3FDB6">
            <w:pPr>
              <w:jc w:val="left"/>
              <w:rPr>
                <w:rFonts w:ascii="宋体" w:hAnsi="宋体" w:cs="宋体"/>
                <w:sz w:val="22"/>
                <w:szCs w:val="21"/>
              </w:rPr>
            </w:pPr>
            <w:r>
              <w:rPr>
                <w:rFonts w:hint="eastAsia" w:ascii="宋体" w:hAnsi="宋体" w:cs="宋体"/>
                <w:sz w:val="22"/>
                <w:szCs w:val="21"/>
              </w:rPr>
              <w:t>运行监督、维修期限</w:t>
            </w:r>
          </w:p>
        </w:tc>
        <w:tc>
          <w:tcPr>
            <w:tcW w:w="5728" w:type="dxa"/>
            <w:noWrap w:val="0"/>
            <w:vAlign w:val="center"/>
          </w:tcPr>
          <w:p w14:paraId="522F2638">
            <w:pPr>
              <w:jc w:val="left"/>
              <w:rPr>
                <w:rFonts w:ascii="宋体" w:hAnsi="宋体" w:cs="宋体"/>
                <w:sz w:val="22"/>
                <w:szCs w:val="21"/>
              </w:rPr>
            </w:pPr>
          </w:p>
        </w:tc>
      </w:tr>
      <w:tr w14:paraId="76FCBE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18871BD7">
            <w:pPr>
              <w:jc w:val="center"/>
              <w:rPr>
                <w:rFonts w:ascii="宋体" w:hAnsi="宋体" w:cs="宋体"/>
                <w:sz w:val="22"/>
                <w:szCs w:val="21"/>
              </w:rPr>
            </w:pPr>
            <w:r>
              <w:rPr>
                <w:rFonts w:hint="eastAsia" w:ascii="宋体" w:hAnsi="宋体" w:cs="宋体"/>
                <w:sz w:val="22"/>
                <w:szCs w:val="21"/>
              </w:rPr>
              <w:t>第二节</w:t>
            </w:r>
          </w:p>
          <w:p w14:paraId="1BBDFA92">
            <w:pPr>
              <w:jc w:val="center"/>
              <w:rPr>
                <w:rFonts w:ascii="宋体" w:hAnsi="宋体" w:cs="宋体"/>
                <w:sz w:val="22"/>
                <w:szCs w:val="21"/>
              </w:rPr>
            </w:pPr>
            <w:r>
              <w:rPr>
                <w:rFonts w:hint="eastAsia" w:ascii="宋体" w:hAnsi="宋体" w:cs="宋体"/>
                <w:sz w:val="22"/>
                <w:szCs w:val="21"/>
              </w:rPr>
              <w:t>第14.1（5）项</w:t>
            </w:r>
          </w:p>
        </w:tc>
        <w:tc>
          <w:tcPr>
            <w:tcW w:w="2143" w:type="dxa"/>
            <w:noWrap w:val="0"/>
            <w:vAlign w:val="center"/>
          </w:tcPr>
          <w:p w14:paraId="205ABF0C">
            <w:pPr>
              <w:jc w:val="left"/>
              <w:rPr>
                <w:rFonts w:ascii="宋体" w:hAnsi="宋体" w:cs="宋体"/>
                <w:sz w:val="22"/>
                <w:szCs w:val="21"/>
              </w:rPr>
            </w:pPr>
            <w:r>
              <w:rPr>
                <w:rFonts w:hint="eastAsia" w:ascii="宋体" w:hAnsi="宋体" w:cs="宋体"/>
                <w:sz w:val="22"/>
                <w:szCs w:val="21"/>
              </w:rPr>
              <w:t>货物回收的约定</w:t>
            </w:r>
          </w:p>
        </w:tc>
        <w:tc>
          <w:tcPr>
            <w:tcW w:w="5728" w:type="dxa"/>
            <w:noWrap w:val="0"/>
            <w:vAlign w:val="center"/>
          </w:tcPr>
          <w:p w14:paraId="76E51328">
            <w:pPr>
              <w:jc w:val="left"/>
              <w:rPr>
                <w:rFonts w:ascii="宋体" w:hAnsi="宋体" w:cs="宋体"/>
                <w:sz w:val="22"/>
                <w:szCs w:val="21"/>
              </w:rPr>
            </w:pPr>
          </w:p>
        </w:tc>
      </w:tr>
      <w:tr w14:paraId="36C312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B65F052">
            <w:pPr>
              <w:jc w:val="center"/>
              <w:rPr>
                <w:rFonts w:ascii="宋体" w:hAnsi="宋体" w:cs="宋体"/>
                <w:sz w:val="22"/>
                <w:szCs w:val="21"/>
              </w:rPr>
            </w:pPr>
            <w:r>
              <w:rPr>
                <w:rFonts w:hint="eastAsia" w:ascii="宋体" w:hAnsi="宋体" w:cs="宋体"/>
                <w:sz w:val="22"/>
                <w:szCs w:val="21"/>
              </w:rPr>
              <w:t>第二节</w:t>
            </w:r>
          </w:p>
          <w:p w14:paraId="6ED06071">
            <w:pPr>
              <w:jc w:val="center"/>
              <w:rPr>
                <w:rFonts w:ascii="宋体" w:hAnsi="宋体" w:cs="宋体"/>
                <w:sz w:val="22"/>
                <w:szCs w:val="21"/>
              </w:rPr>
            </w:pPr>
            <w:r>
              <w:rPr>
                <w:rFonts w:hint="eastAsia" w:ascii="宋体" w:hAnsi="宋体" w:cs="宋体"/>
                <w:sz w:val="22"/>
                <w:szCs w:val="21"/>
              </w:rPr>
              <w:t>第14.1（6）项</w:t>
            </w:r>
          </w:p>
        </w:tc>
        <w:tc>
          <w:tcPr>
            <w:tcW w:w="2143" w:type="dxa"/>
            <w:noWrap w:val="0"/>
            <w:vAlign w:val="center"/>
          </w:tcPr>
          <w:p w14:paraId="666647CF">
            <w:pPr>
              <w:jc w:val="left"/>
              <w:rPr>
                <w:rFonts w:ascii="宋体" w:hAnsi="宋体" w:cs="宋体"/>
                <w:sz w:val="22"/>
                <w:szCs w:val="21"/>
              </w:rPr>
            </w:pPr>
            <w:r>
              <w:rPr>
                <w:rFonts w:hint="eastAsia" w:ascii="宋体" w:hAnsi="宋体" w:cs="宋体"/>
                <w:sz w:val="22"/>
                <w:szCs w:val="21"/>
              </w:rPr>
              <w:t>乙方提供的其他服务</w:t>
            </w:r>
          </w:p>
        </w:tc>
        <w:tc>
          <w:tcPr>
            <w:tcW w:w="5728" w:type="dxa"/>
            <w:noWrap w:val="0"/>
            <w:vAlign w:val="center"/>
          </w:tcPr>
          <w:p w14:paraId="35D09471">
            <w:pPr>
              <w:jc w:val="left"/>
              <w:rPr>
                <w:rFonts w:ascii="宋体" w:hAnsi="宋体" w:cs="宋体"/>
                <w:sz w:val="22"/>
                <w:szCs w:val="21"/>
              </w:rPr>
            </w:pPr>
          </w:p>
        </w:tc>
      </w:tr>
      <w:tr w14:paraId="19CC6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EEB2188">
            <w:pPr>
              <w:jc w:val="center"/>
              <w:rPr>
                <w:rFonts w:ascii="宋体" w:hAnsi="宋体" w:cs="宋体"/>
                <w:sz w:val="22"/>
                <w:szCs w:val="21"/>
              </w:rPr>
            </w:pPr>
            <w:r>
              <w:rPr>
                <w:rFonts w:hint="eastAsia" w:ascii="宋体" w:hAnsi="宋体" w:cs="宋体"/>
                <w:sz w:val="22"/>
                <w:szCs w:val="21"/>
              </w:rPr>
              <w:t>第二节</w:t>
            </w:r>
          </w:p>
          <w:p w14:paraId="42D6744F">
            <w:pPr>
              <w:jc w:val="center"/>
              <w:rPr>
                <w:rFonts w:ascii="宋体" w:hAnsi="宋体" w:cs="宋体"/>
                <w:sz w:val="22"/>
                <w:szCs w:val="21"/>
              </w:rPr>
            </w:pPr>
            <w:r>
              <w:rPr>
                <w:rFonts w:hint="eastAsia" w:ascii="宋体" w:hAnsi="宋体" w:cs="宋体"/>
                <w:sz w:val="22"/>
                <w:szCs w:val="21"/>
              </w:rPr>
              <w:t>第15.1款</w:t>
            </w:r>
          </w:p>
        </w:tc>
        <w:tc>
          <w:tcPr>
            <w:tcW w:w="2143" w:type="dxa"/>
            <w:noWrap w:val="0"/>
            <w:vAlign w:val="center"/>
          </w:tcPr>
          <w:p w14:paraId="45CB2F17">
            <w:pPr>
              <w:jc w:val="left"/>
              <w:rPr>
                <w:rFonts w:ascii="宋体" w:hAnsi="宋体" w:cs="宋体"/>
                <w:sz w:val="22"/>
                <w:szCs w:val="21"/>
              </w:rPr>
            </w:pPr>
            <w:r>
              <w:rPr>
                <w:rFonts w:hint="eastAsia" w:ascii="宋体" w:hAnsi="宋体" w:cs="宋体"/>
                <w:sz w:val="22"/>
                <w:szCs w:val="21"/>
              </w:rPr>
              <w:t>修理、重作、更换相关具体规定</w:t>
            </w:r>
          </w:p>
        </w:tc>
        <w:tc>
          <w:tcPr>
            <w:tcW w:w="5728" w:type="dxa"/>
            <w:noWrap w:val="0"/>
            <w:vAlign w:val="center"/>
          </w:tcPr>
          <w:p w14:paraId="1A102BFF">
            <w:pPr>
              <w:jc w:val="left"/>
              <w:rPr>
                <w:rFonts w:ascii="宋体" w:hAnsi="宋体" w:cs="宋体"/>
                <w:sz w:val="22"/>
                <w:szCs w:val="21"/>
              </w:rPr>
            </w:pPr>
          </w:p>
        </w:tc>
      </w:tr>
      <w:tr w14:paraId="0F3342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F9727E7">
            <w:pPr>
              <w:jc w:val="center"/>
              <w:rPr>
                <w:rFonts w:ascii="宋体" w:hAnsi="宋体" w:cs="宋体"/>
                <w:sz w:val="22"/>
                <w:szCs w:val="21"/>
              </w:rPr>
            </w:pPr>
            <w:r>
              <w:rPr>
                <w:rFonts w:hint="eastAsia" w:ascii="宋体" w:hAnsi="宋体" w:cs="宋体"/>
                <w:sz w:val="22"/>
                <w:szCs w:val="21"/>
              </w:rPr>
              <w:t>第二节</w:t>
            </w:r>
          </w:p>
          <w:p w14:paraId="2FE8EC49">
            <w:pPr>
              <w:jc w:val="center"/>
              <w:rPr>
                <w:rFonts w:ascii="宋体" w:hAnsi="宋体" w:cs="宋体"/>
                <w:sz w:val="22"/>
                <w:szCs w:val="21"/>
              </w:rPr>
            </w:pPr>
            <w:r>
              <w:rPr>
                <w:rFonts w:hint="eastAsia" w:ascii="宋体" w:hAnsi="宋体" w:cs="宋体"/>
                <w:sz w:val="22"/>
                <w:szCs w:val="21"/>
              </w:rPr>
              <w:t>第15.2（2）项</w:t>
            </w:r>
          </w:p>
        </w:tc>
        <w:tc>
          <w:tcPr>
            <w:tcW w:w="2143" w:type="dxa"/>
            <w:noWrap w:val="0"/>
            <w:vAlign w:val="center"/>
          </w:tcPr>
          <w:p w14:paraId="1FD5C0F5">
            <w:pPr>
              <w:jc w:val="left"/>
              <w:rPr>
                <w:rFonts w:ascii="宋体" w:hAnsi="宋体" w:cs="宋体"/>
                <w:sz w:val="22"/>
                <w:szCs w:val="21"/>
              </w:rPr>
            </w:pPr>
            <w:r>
              <w:rPr>
                <w:rFonts w:hint="eastAsia" w:ascii="宋体" w:hAnsi="宋体" w:cs="宋体"/>
                <w:sz w:val="22"/>
                <w:szCs w:val="21"/>
              </w:rPr>
              <w:t>迟延交货赔偿费</w:t>
            </w:r>
          </w:p>
        </w:tc>
        <w:tc>
          <w:tcPr>
            <w:tcW w:w="5728" w:type="dxa"/>
            <w:noWrap w:val="0"/>
            <w:vAlign w:val="center"/>
          </w:tcPr>
          <w:p w14:paraId="5145B8B6">
            <w:pPr>
              <w:jc w:val="left"/>
              <w:rPr>
                <w:rFonts w:ascii="宋体" w:hAnsi="宋体" w:cs="宋体"/>
                <w:sz w:val="22"/>
                <w:szCs w:val="21"/>
              </w:rPr>
            </w:pPr>
          </w:p>
        </w:tc>
      </w:tr>
      <w:tr w14:paraId="75FFE6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26DD0DD">
            <w:pPr>
              <w:jc w:val="center"/>
              <w:rPr>
                <w:rFonts w:ascii="宋体" w:hAnsi="宋体" w:cs="宋体"/>
                <w:sz w:val="22"/>
                <w:szCs w:val="21"/>
              </w:rPr>
            </w:pPr>
            <w:r>
              <w:rPr>
                <w:rFonts w:hint="eastAsia" w:ascii="宋体" w:hAnsi="宋体" w:cs="宋体"/>
                <w:sz w:val="22"/>
                <w:szCs w:val="21"/>
              </w:rPr>
              <w:t>第二节</w:t>
            </w:r>
          </w:p>
          <w:p w14:paraId="7635B994">
            <w:pPr>
              <w:jc w:val="center"/>
              <w:rPr>
                <w:rFonts w:ascii="宋体" w:hAnsi="宋体" w:cs="宋体"/>
                <w:sz w:val="22"/>
                <w:szCs w:val="21"/>
              </w:rPr>
            </w:pPr>
            <w:r>
              <w:rPr>
                <w:rFonts w:hint="eastAsia" w:ascii="宋体" w:hAnsi="宋体" w:cs="宋体"/>
                <w:sz w:val="22"/>
                <w:szCs w:val="21"/>
              </w:rPr>
              <w:t>第15.3款</w:t>
            </w:r>
          </w:p>
        </w:tc>
        <w:tc>
          <w:tcPr>
            <w:tcW w:w="2143" w:type="dxa"/>
            <w:noWrap w:val="0"/>
            <w:vAlign w:val="center"/>
          </w:tcPr>
          <w:p w14:paraId="344DA87E">
            <w:pPr>
              <w:jc w:val="left"/>
              <w:rPr>
                <w:rFonts w:ascii="宋体" w:hAnsi="宋体" w:cs="宋体"/>
                <w:sz w:val="22"/>
                <w:szCs w:val="21"/>
              </w:rPr>
            </w:pPr>
            <w:r>
              <w:rPr>
                <w:rFonts w:hint="eastAsia" w:ascii="宋体" w:hAnsi="宋体" w:cs="宋体"/>
                <w:sz w:val="22"/>
                <w:szCs w:val="21"/>
              </w:rPr>
              <w:t>逾期付款利息</w:t>
            </w:r>
          </w:p>
        </w:tc>
        <w:tc>
          <w:tcPr>
            <w:tcW w:w="5728" w:type="dxa"/>
            <w:noWrap w:val="0"/>
            <w:vAlign w:val="center"/>
          </w:tcPr>
          <w:p w14:paraId="2F3B27AE">
            <w:pPr>
              <w:jc w:val="left"/>
              <w:rPr>
                <w:rFonts w:ascii="宋体" w:hAnsi="宋体" w:cs="宋体"/>
                <w:sz w:val="22"/>
                <w:szCs w:val="21"/>
                <w:u w:val="single"/>
              </w:rPr>
            </w:pPr>
          </w:p>
        </w:tc>
      </w:tr>
      <w:tr w14:paraId="589B79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jc w:val="center"/>
        </w:trPr>
        <w:tc>
          <w:tcPr>
            <w:tcW w:w="1607" w:type="dxa"/>
            <w:tcBorders>
              <w:bottom w:val="single" w:color="auto" w:sz="2" w:space="0"/>
              <w:right w:val="single" w:color="auto" w:sz="2" w:space="0"/>
            </w:tcBorders>
            <w:noWrap w:val="0"/>
            <w:vAlign w:val="center"/>
          </w:tcPr>
          <w:p w14:paraId="18599495">
            <w:pPr>
              <w:jc w:val="center"/>
              <w:rPr>
                <w:rFonts w:ascii="宋体" w:hAnsi="宋体" w:cs="宋体"/>
                <w:sz w:val="22"/>
                <w:szCs w:val="21"/>
              </w:rPr>
            </w:pPr>
            <w:r>
              <w:rPr>
                <w:rFonts w:hint="eastAsia" w:ascii="宋体" w:hAnsi="宋体" w:cs="宋体"/>
                <w:sz w:val="22"/>
                <w:szCs w:val="21"/>
              </w:rPr>
              <w:t>第二节</w:t>
            </w:r>
          </w:p>
          <w:p w14:paraId="5EECBC0C">
            <w:pPr>
              <w:jc w:val="center"/>
              <w:rPr>
                <w:rFonts w:ascii="宋体" w:hAnsi="宋体" w:cs="宋体"/>
                <w:sz w:val="22"/>
                <w:szCs w:val="21"/>
              </w:rPr>
            </w:pPr>
            <w:r>
              <w:rPr>
                <w:rFonts w:hint="eastAsia" w:ascii="宋体" w:hAnsi="宋体" w:cs="宋体"/>
                <w:sz w:val="22"/>
                <w:szCs w:val="21"/>
              </w:rPr>
              <w:t>第15.4款</w:t>
            </w:r>
          </w:p>
        </w:tc>
        <w:tc>
          <w:tcPr>
            <w:tcW w:w="2143" w:type="dxa"/>
            <w:tcBorders>
              <w:left w:val="single" w:color="auto" w:sz="2" w:space="0"/>
              <w:bottom w:val="single" w:color="auto" w:sz="2" w:space="0"/>
              <w:right w:val="single" w:color="auto" w:sz="2" w:space="0"/>
            </w:tcBorders>
            <w:noWrap w:val="0"/>
            <w:vAlign w:val="center"/>
          </w:tcPr>
          <w:p w14:paraId="0BB3B3AE">
            <w:pPr>
              <w:jc w:val="left"/>
              <w:rPr>
                <w:rFonts w:ascii="宋体" w:hAnsi="宋体" w:cs="宋体"/>
                <w:sz w:val="22"/>
                <w:szCs w:val="21"/>
              </w:rPr>
            </w:pPr>
            <w:r>
              <w:rPr>
                <w:rFonts w:hint="eastAsia" w:ascii="宋体" w:hAnsi="宋体" w:cs="宋体"/>
                <w:sz w:val="22"/>
                <w:szCs w:val="21"/>
              </w:rPr>
              <w:t>其他违约责任</w:t>
            </w:r>
          </w:p>
        </w:tc>
        <w:tc>
          <w:tcPr>
            <w:tcW w:w="5728" w:type="dxa"/>
            <w:tcBorders>
              <w:left w:val="single" w:color="auto" w:sz="2" w:space="0"/>
              <w:bottom w:val="single" w:color="auto" w:sz="2" w:space="0"/>
            </w:tcBorders>
            <w:noWrap w:val="0"/>
            <w:vAlign w:val="center"/>
          </w:tcPr>
          <w:p w14:paraId="233A3EAE">
            <w:pPr>
              <w:jc w:val="left"/>
              <w:rPr>
                <w:rFonts w:ascii="宋体" w:hAnsi="宋体" w:cs="宋体"/>
                <w:sz w:val="22"/>
                <w:szCs w:val="21"/>
                <w:u w:val="single"/>
              </w:rPr>
            </w:pPr>
          </w:p>
        </w:tc>
      </w:tr>
      <w:tr w14:paraId="0CAE18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607" w:type="dxa"/>
            <w:tcBorders>
              <w:top w:val="single" w:color="auto" w:sz="2" w:space="0"/>
              <w:right w:val="single" w:color="auto" w:sz="2" w:space="0"/>
            </w:tcBorders>
            <w:noWrap w:val="0"/>
            <w:vAlign w:val="center"/>
          </w:tcPr>
          <w:p w14:paraId="4D4417C0">
            <w:pPr>
              <w:jc w:val="center"/>
              <w:rPr>
                <w:rFonts w:ascii="宋体" w:hAnsi="宋体" w:cs="宋体"/>
                <w:sz w:val="22"/>
                <w:szCs w:val="21"/>
              </w:rPr>
            </w:pPr>
            <w:r>
              <w:rPr>
                <w:rFonts w:hint="eastAsia" w:ascii="宋体" w:hAnsi="宋体" w:cs="宋体"/>
                <w:sz w:val="22"/>
                <w:szCs w:val="21"/>
              </w:rPr>
              <w:t>第二节</w:t>
            </w:r>
          </w:p>
          <w:p w14:paraId="2821EB9A">
            <w:pPr>
              <w:jc w:val="center"/>
              <w:rPr>
                <w:rFonts w:ascii="宋体" w:hAnsi="宋体" w:cs="宋体"/>
                <w:sz w:val="22"/>
                <w:szCs w:val="21"/>
              </w:rPr>
            </w:pPr>
            <w:r>
              <w:rPr>
                <w:rFonts w:hint="eastAsia" w:ascii="宋体" w:hAnsi="宋体" w:cs="宋体"/>
                <w:sz w:val="22"/>
                <w:szCs w:val="21"/>
              </w:rPr>
              <w:t>第19.2款</w:t>
            </w:r>
          </w:p>
        </w:tc>
        <w:tc>
          <w:tcPr>
            <w:tcW w:w="2143" w:type="dxa"/>
            <w:tcBorders>
              <w:top w:val="single" w:color="auto" w:sz="2" w:space="0"/>
              <w:left w:val="single" w:color="auto" w:sz="2" w:space="0"/>
              <w:right w:val="single" w:color="auto" w:sz="2" w:space="0"/>
            </w:tcBorders>
            <w:noWrap w:val="0"/>
            <w:vAlign w:val="center"/>
          </w:tcPr>
          <w:p w14:paraId="326F27EE">
            <w:pPr>
              <w:jc w:val="left"/>
              <w:rPr>
                <w:rFonts w:ascii="宋体" w:hAnsi="宋体" w:cs="宋体"/>
                <w:sz w:val="22"/>
                <w:szCs w:val="21"/>
              </w:rPr>
            </w:pPr>
            <w:r>
              <w:rPr>
                <w:rFonts w:hint="eastAsia" w:ascii="宋体" w:hAnsi="宋体" w:cs="宋体"/>
                <w:sz w:val="22"/>
                <w:szCs w:val="21"/>
              </w:rPr>
              <w:t>解决争议的方法</w:t>
            </w:r>
          </w:p>
        </w:tc>
        <w:tc>
          <w:tcPr>
            <w:tcW w:w="5728" w:type="dxa"/>
            <w:tcBorders>
              <w:top w:val="single" w:color="auto" w:sz="2" w:space="0"/>
              <w:left w:val="single" w:color="auto" w:sz="2" w:space="0"/>
            </w:tcBorders>
            <w:noWrap w:val="0"/>
            <w:vAlign w:val="center"/>
          </w:tcPr>
          <w:p w14:paraId="3242D0FA">
            <w:pPr>
              <w:spacing w:line="400" w:lineRule="exact"/>
              <w:jc w:val="left"/>
              <w:rPr>
                <w:rFonts w:ascii="宋体" w:hAnsi="宋体" w:cs="宋体"/>
                <w:iCs/>
                <w:sz w:val="22"/>
                <w:szCs w:val="21"/>
              </w:rPr>
            </w:pPr>
            <w:r>
              <w:rPr>
                <w:rFonts w:hint="eastAsia" w:ascii="宋体" w:hAnsi="宋体" w:cs="宋体"/>
                <w:iCs/>
                <w:sz w:val="22"/>
                <w:szCs w:val="21"/>
              </w:rPr>
              <w:t>因本合同及合同有关事项发生的争议，按下列第</w:t>
            </w:r>
            <w:r>
              <w:rPr>
                <w:rFonts w:hint="eastAsia" w:ascii="宋体" w:hAnsi="宋体" w:cs="宋体"/>
                <w:iCs/>
                <w:sz w:val="22"/>
                <w:szCs w:val="21"/>
                <w:u w:val="single"/>
              </w:rPr>
              <w:t xml:space="preserve">   </w:t>
            </w:r>
            <w:r>
              <w:rPr>
                <w:rFonts w:hint="eastAsia" w:ascii="宋体" w:hAnsi="宋体" w:cs="宋体"/>
                <w:iCs/>
                <w:sz w:val="22"/>
                <w:szCs w:val="21"/>
              </w:rPr>
              <w:t>种方式解决：</w:t>
            </w:r>
          </w:p>
          <w:p w14:paraId="5F9A825C">
            <w:pPr>
              <w:spacing w:line="400" w:lineRule="exact"/>
              <w:jc w:val="left"/>
              <w:rPr>
                <w:rFonts w:ascii="宋体" w:hAnsi="宋体" w:cs="宋体"/>
                <w:iCs/>
                <w:sz w:val="22"/>
                <w:szCs w:val="21"/>
              </w:rPr>
            </w:pPr>
            <w:r>
              <w:rPr>
                <w:rFonts w:hint="eastAsia" w:ascii="宋体" w:hAnsi="宋体" w:cs="宋体"/>
                <w:iCs/>
                <w:sz w:val="22"/>
                <w:szCs w:val="21"/>
              </w:rPr>
              <w:t>（1）向</w:t>
            </w:r>
            <w:r>
              <w:rPr>
                <w:rFonts w:hint="eastAsia" w:ascii="宋体" w:hAnsi="宋体" w:cs="宋体"/>
                <w:iCs/>
                <w:sz w:val="22"/>
                <w:szCs w:val="21"/>
                <w:u w:val="single"/>
              </w:rPr>
              <w:t xml:space="preserve">           </w:t>
            </w:r>
            <w:r>
              <w:rPr>
                <w:rFonts w:hint="eastAsia" w:ascii="宋体" w:hAnsi="宋体" w:cs="宋体"/>
                <w:iCs/>
                <w:sz w:val="22"/>
                <w:szCs w:val="21"/>
              </w:rPr>
              <w:t>仲裁委员会申请仲裁，仲裁地点为</w:t>
            </w:r>
            <w:r>
              <w:rPr>
                <w:rFonts w:hint="eastAsia" w:ascii="宋体" w:hAnsi="宋体" w:cs="宋体"/>
                <w:iCs/>
                <w:sz w:val="22"/>
                <w:szCs w:val="21"/>
                <w:u w:val="single"/>
              </w:rPr>
              <w:t xml:space="preserve">        </w:t>
            </w:r>
            <w:r>
              <w:rPr>
                <w:rFonts w:hint="eastAsia" w:ascii="宋体" w:hAnsi="宋体" w:cs="宋体"/>
                <w:iCs/>
                <w:sz w:val="22"/>
                <w:szCs w:val="21"/>
              </w:rPr>
              <w:t>；</w:t>
            </w:r>
          </w:p>
          <w:p w14:paraId="7F3E0847">
            <w:pPr>
              <w:jc w:val="left"/>
              <w:rPr>
                <w:rFonts w:ascii="宋体" w:hAnsi="宋体" w:cs="宋体"/>
                <w:sz w:val="22"/>
                <w:szCs w:val="21"/>
                <w:u w:val="single"/>
              </w:rPr>
            </w:pPr>
            <w:r>
              <w:rPr>
                <w:rFonts w:hint="eastAsia" w:ascii="宋体" w:hAnsi="宋体" w:cs="宋体"/>
                <w:iCs/>
                <w:sz w:val="22"/>
                <w:szCs w:val="21"/>
              </w:rPr>
              <w:t>（2）向</w:t>
            </w:r>
            <w:r>
              <w:rPr>
                <w:rFonts w:hint="eastAsia" w:ascii="宋体" w:hAnsi="宋体" w:cs="宋体"/>
                <w:iCs/>
                <w:sz w:val="22"/>
                <w:szCs w:val="21"/>
                <w:u w:val="single"/>
              </w:rPr>
              <w:t xml:space="preserve">        </w:t>
            </w:r>
            <w:r>
              <w:rPr>
                <w:rFonts w:hint="eastAsia" w:ascii="宋体" w:hAnsi="宋体" w:cs="宋体"/>
                <w:iCs/>
                <w:sz w:val="22"/>
                <w:szCs w:val="21"/>
              </w:rPr>
              <w:t>人民法院起诉。</w:t>
            </w:r>
          </w:p>
        </w:tc>
      </w:tr>
      <w:tr w14:paraId="3B1228C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0E0DFCBC">
            <w:pPr>
              <w:jc w:val="center"/>
              <w:rPr>
                <w:rFonts w:ascii="宋体" w:hAnsi="宋体" w:cs="宋体"/>
                <w:sz w:val="22"/>
                <w:szCs w:val="21"/>
              </w:rPr>
            </w:pPr>
            <w:r>
              <w:rPr>
                <w:rFonts w:hint="eastAsia" w:ascii="宋体" w:hAnsi="宋体" w:cs="宋体"/>
                <w:sz w:val="22"/>
                <w:szCs w:val="21"/>
              </w:rPr>
              <w:t>第二节</w:t>
            </w:r>
          </w:p>
          <w:p w14:paraId="19FA08EC">
            <w:pPr>
              <w:jc w:val="center"/>
              <w:rPr>
                <w:rFonts w:ascii="宋体" w:hAnsi="宋体" w:cs="宋体"/>
                <w:sz w:val="22"/>
                <w:szCs w:val="21"/>
              </w:rPr>
            </w:pPr>
            <w:r>
              <w:rPr>
                <w:rFonts w:hint="eastAsia" w:ascii="宋体" w:hAnsi="宋体" w:cs="宋体"/>
                <w:sz w:val="22"/>
                <w:szCs w:val="21"/>
              </w:rPr>
              <w:t>第23.1款</w:t>
            </w:r>
          </w:p>
        </w:tc>
        <w:tc>
          <w:tcPr>
            <w:tcW w:w="2143" w:type="dxa"/>
            <w:noWrap w:val="0"/>
            <w:vAlign w:val="center"/>
          </w:tcPr>
          <w:p w14:paraId="5402D4B0">
            <w:pPr>
              <w:jc w:val="left"/>
              <w:rPr>
                <w:rFonts w:ascii="宋体" w:hAnsi="宋体" w:cs="宋体"/>
                <w:sz w:val="22"/>
                <w:szCs w:val="21"/>
              </w:rPr>
            </w:pPr>
            <w:r>
              <w:rPr>
                <w:rFonts w:hint="eastAsia" w:ascii="宋体" w:hAnsi="宋体" w:cs="宋体"/>
                <w:bCs/>
                <w:sz w:val="22"/>
                <w:szCs w:val="21"/>
              </w:rPr>
              <w:t>其他专用条款</w:t>
            </w:r>
          </w:p>
        </w:tc>
        <w:tc>
          <w:tcPr>
            <w:tcW w:w="5728" w:type="dxa"/>
            <w:noWrap w:val="0"/>
            <w:vAlign w:val="center"/>
          </w:tcPr>
          <w:p w14:paraId="71E946C5">
            <w:pPr>
              <w:jc w:val="left"/>
              <w:rPr>
                <w:rFonts w:ascii="宋体" w:hAnsi="宋体" w:cs="宋体"/>
                <w:sz w:val="22"/>
                <w:szCs w:val="21"/>
              </w:rPr>
            </w:pPr>
          </w:p>
        </w:tc>
      </w:tr>
    </w:tbl>
    <w:p w14:paraId="4BFDCE02">
      <w:pPr>
        <w:jc w:val="left"/>
        <w:rPr>
          <w:rFonts w:ascii="宋体" w:hAnsi="宋体" w:cs="宋体"/>
          <w:sz w:val="22"/>
          <w:szCs w:val="22"/>
        </w:rPr>
      </w:pPr>
    </w:p>
    <w:p w14:paraId="46A8A92F">
      <w:pPr>
        <w:spacing w:line="242" w:lineRule="auto"/>
        <w:ind w:left="470" w:right="757"/>
        <w:jc w:val="center"/>
        <w:rPr>
          <w:rFonts w:ascii="宋体" w:hAnsi="宋体" w:cs="宋体"/>
          <w:sz w:val="24"/>
          <w:szCs w:val="24"/>
        </w:rPr>
      </w:pPr>
    </w:p>
    <w:p w14:paraId="0F5EB880">
      <w:pPr>
        <w:jc w:val="right"/>
        <w:rPr>
          <w:rFonts w:ascii="宋体" w:hAnsi="宋体" w:cs="宋体"/>
        </w:rPr>
      </w:pPr>
      <w:r>
        <w:rPr>
          <w:rFonts w:hint="eastAsia" w:ascii="宋体" w:hAnsi="宋体" w:cs="宋体"/>
        </w:rPr>
        <w:t>全文完</w:t>
      </w:r>
    </w:p>
    <w:sectPr>
      <w:headerReference r:id="rId9" w:type="first"/>
      <w:footerReference r:id="rId12" w:type="first"/>
      <w:headerReference r:id="rId8" w:type="default"/>
      <w:footerReference r:id="rId10" w:type="default"/>
      <w:footerReference r:id="rId11" w:type="even"/>
      <w:pgSz w:w="11907" w:h="16839"/>
      <w:pgMar w:top="1440" w:right="1080" w:bottom="1440" w:left="1080" w:header="567" w:footer="794"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华文细黑.">
    <w:altName w:val="黑体"/>
    <w:panose1 w:val="02010600040101010101"/>
    <w:charset w:val="00"/>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宋体ラ...">
    <w:altName w:val="宋体"/>
    <w:panose1 w:val="02010600030101010101"/>
    <w:charset w:val="00"/>
    <w:family w:val="auto"/>
    <w:pitch w:val="default"/>
    <w:sig w:usb0="00000000" w:usb1="00000000" w:usb2="00000000" w:usb3="00000000" w:csb0="00000000" w:csb1="00000000"/>
  </w:font>
  <w:font w:name="Verdana">
    <w:panose1 w:val="020B0604030504040204"/>
    <w:charset w:val="00"/>
    <w:family w:val="auto"/>
    <w:pitch w:val="default"/>
    <w:sig w:usb0="A00006FF" w:usb1="4000205B" w:usb2="00000010" w:usb3="00000000" w:csb0="2000019F" w:csb1="00000000"/>
  </w:font>
  <w:font w:name="Arial Unicode MS">
    <w:altName w:val="Arial"/>
    <w:panose1 w:val="020B0604020202020204"/>
    <w:charset w:val="00"/>
    <w:family w:val="auto"/>
    <w:pitch w:val="default"/>
    <w:sig w:usb0="00000000" w:usb1="00000000" w:usb2="00000000" w:usb3="00000000" w:csb0="00000000" w:csb1="00000000"/>
  </w:font>
  <w:font w:name="Time New Roman">
    <w:altName w:val="NumberOnly"/>
    <w:panose1 w:val="020B0503020202020204"/>
    <w:charset w:val="00"/>
    <w:family w:val="auto"/>
    <w:pitch w:val="default"/>
    <w:sig w:usb0="00000000" w:usb1="00000000" w:usb2="00000000" w:usb3="00000000" w:csb0="00000000" w:csb1="00000000"/>
  </w:font>
  <w:font w:name="NumberOnly">
    <w:panose1 w:val="020B0500000000000000"/>
    <w:charset w:val="00"/>
    <w:family w:val="auto"/>
    <w:pitch w:val="default"/>
    <w:sig w:usb0="8000002F" w:usb1="10000048" w:usb2="00000000" w:usb3="00000000" w:csb0="00000111" w:csb1="40000000"/>
  </w:font>
  <w:font w:name="昆仑仿宋">
    <w:altName w:val="仿宋"/>
    <w:panose1 w:val="020B0503020202020204"/>
    <w:charset w:val="00"/>
    <w:family w:val="auto"/>
    <w:pitch w:val="default"/>
    <w:sig w:usb0="00000000" w:usb1="00000000" w:usb2="00000000" w:usb3="00000000" w:csb0="00000000" w:csb1="00000000"/>
  </w:font>
  <w:font w:name="微软雅黑.">
    <w:altName w:val="黑体"/>
    <w:panose1 w:val="020B0503020204020204"/>
    <w:charset w:val="00"/>
    <w:family w:val="auto"/>
    <w:pitch w:val="default"/>
    <w:sig w:usb0="00000000" w:usb1="00000000" w:usb2="00000000" w:usb3="00000000" w:csb0="00000000" w:csb1="00000000"/>
  </w:font>
  <w:font w:name="华文细黑">
    <w:altName w:val="微软雅黑"/>
    <w:panose1 w:val="02010600040101010101"/>
    <w:charset w:val="00"/>
    <w:family w:val="auto"/>
    <w:pitch w:val="default"/>
    <w:sig w:usb0="00000000" w:usb1="00000000" w:usb2="00000000" w:usb3="00000000" w:csb0="00000000" w:csb1="00000000"/>
  </w:font>
  <w:font w:name="2OcuAe">
    <w:altName w:val="NumberOnly"/>
    <w:panose1 w:val="020B0503020202020204"/>
    <w:charset w:val="00"/>
    <w:family w:val="auto"/>
    <w:pitch w:val="default"/>
    <w:sig w:usb0="00000000" w:usb1="00000000" w:usb2="00000000" w:usb3="00000000" w:csb0="00000000" w:csb1="00000000"/>
  </w:font>
  <w:font w:name="华文楷体">
    <w:altName w:val="宋体"/>
    <w:panose1 w:val="02010600040101010101"/>
    <w:charset w:val="00"/>
    <w:family w:val="auto"/>
    <w:pitch w:val="default"/>
    <w:sig w:usb0="00000000" w:usb1="00000000" w:usb2="00000000" w:usb3="00000000" w:csb0="00000000" w:csb1="00000000"/>
  </w:font>
  <w:font w:name="华文中宋">
    <w:altName w:val="宋体"/>
    <w:panose1 w:val="02010600040101010101"/>
    <w:charset w:val="00"/>
    <w:family w:val="auto"/>
    <w:pitch w:val="default"/>
    <w:sig w:usb0="00000000" w:usb1="00000000" w:usb2="00000000" w:usb3="00000000" w:csb0="00000000" w:csb1="00000000"/>
  </w:font>
  <w:font w:name="幼圆">
    <w:altName w:val="NumberOnly"/>
    <w:panose1 w:val="02010509060101010101"/>
    <w:charset w:val="00"/>
    <w:family w:val="auto"/>
    <w:pitch w:val="default"/>
    <w:sig w:usb0="00000000" w:usb1="00000000" w:usb2="00000000" w:usb3="00000000" w:csb0="0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F03BE">
    <w:pPr>
      <w:pStyle w:val="3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F5313">
    <w:pPr>
      <w:pStyle w:val="3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8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CAA2F">
                          <w:pPr>
                            <w:pStyle w:val="3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8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SUAG+jgCAABlBAAADgAAAAAAAAABACAAAAAfAQAAZHJzL2Uyb0RvYy54&#10;bWxQSwUGAAAAAAYABgBZAQAAyQUAAAAA&#10;">
              <v:fill on="f" focussize="0,0"/>
              <v:stroke on="f" weight="0.5pt"/>
              <v:imagedata o:title=""/>
              <o:lock v:ext="edit" aspectratio="f"/>
              <v:textbox inset="0mm,0mm,0mm,0mm" style="mso-fit-shape-to-text:t;">
                <w:txbxContent>
                  <w:p w14:paraId="723CAA2F">
                    <w:pPr>
                      <w:pStyle w:val="3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A029A">
    <w:pPr>
      <w:jc w:val="left"/>
      <w:rPr>
        <w:sz w:val="18"/>
        <w:szCs w:val="18"/>
      </w:rPr>
    </w:pPr>
    <w:r>
      <w:rPr>
        <w:sz w:val="18"/>
        <w:szCs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139D29D4">
                          <w:pPr>
                            <w:jc w:val="left"/>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wps:txbx>
                    <wps:bodyPr wrap="none" lIns="0" tIns="0" rIns="0" bIns="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VthTRzAEAAJsDAAAOAAAAAAAAAAEAIAAAAB4BAABkcnMvZTJv&#10;RG9jLnhtbFBLBQYAAAAABgAGAFkBAABcBQAAAAA=&#10;">
              <v:fill on="f" focussize="0,0"/>
              <v:stroke on="f"/>
              <v:imagedata o:title=""/>
              <o:lock v:ext="edit" aspectratio="f"/>
              <v:textbox inset="0mm,0mm,0mm,0mm" style="mso-fit-shape-to-text:t;">
                <w:txbxContent>
                  <w:p w14:paraId="139D29D4">
                    <w:pPr>
                      <w:jc w:val="left"/>
                      <w:rPr>
                        <w:sz w:val="18"/>
                      </w:rPr>
                    </w:pPr>
                    <w:r>
                      <w:rPr>
                        <w:sz w:val="18"/>
                      </w:rPr>
                      <w:fldChar w:fldCharType="begin"/>
                    </w:r>
                    <w:r>
                      <w:rPr>
                        <w:sz w:val="18"/>
                      </w:rPr>
                      <w:instrText xml:space="preserve"> PAGE  \* MERGEFORMAT </w:instrText>
                    </w:r>
                    <w:r>
                      <w:rPr>
                        <w:sz w:val="18"/>
                      </w:rPr>
                      <w:fldChar w:fldCharType="separate"/>
                    </w:r>
                    <w:r>
                      <w:rPr>
                        <w:sz w:val="18"/>
                      </w:rPr>
                      <w:t>2</w:t>
                    </w:r>
                    <w:r>
                      <w:rPr>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FE1F5">
    <w:pPr>
      <w:pStyle w:val="3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87"/>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09637">
                          <w:pPr>
                            <w:pStyle w:val="3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8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kzc5/jgCAABlBAAADgAAAAAAAAABACAAAAAfAQAAZHJzL2Uyb0RvYy54&#10;bWxQSwUGAAAAAAYABgBZAQAAyQUAAAAA&#10;">
              <v:fill on="f" focussize="0,0"/>
              <v:stroke on="f" weight="0.5pt"/>
              <v:imagedata o:title=""/>
              <o:lock v:ext="edit" aspectratio="f"/>
              <v:textbox inset="0mm,0mm,0mm,0mm" style="mso-fit-shape-to-text:t;">
                <w:txbxContent>
                  <w:p w14:paraId="25109637">
                    <w:pPr>
                      <w:pStyle w:val="3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D7DD0">
    <w:pPr>
      <w:pStyle w:val="39"/>
      <w:framePr w:wrap="around" w:vAnchor="text" w:hAnchor="margin" w:xAlign="right" w:y="1"/>
      <w:rPr>
        <w:rStyle w:val="70"/>
      </w:rPr>
    </w:pPr>
    <w:r>
      <w:fldChar w:fldCharType="begin"/>
    </w:r>
    <w:r>
      <w:rPr>
        <w:rStyle w:val="70"/>
      </w:rPr>
      <w:instrText xml:space="preserve">PAGE  </w:instrText>
    </w:r>
    <w:r>
      <w:fldChar w:fldCharType="separate"/>
    </w:r>
    <w:r>
      <w:rPr>
        <w:rStyle w:val="70"/>
      </w:rPr>
      <w:t>16</w:t>
    </w:r>
    <w:r>
      <w:fldChar w:fldCharType="end"/>
    </w:r>
  </w:p>
  <w:p w14:paraId="2A82B91F">
    <w:pPr>
      <w:pStyle w:val="39"/>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18236">
    <w:pPr>
      <w:pStyle w:val="3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88"/>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19059A">
                          <w:pPr>
                            <w:pStyle w:val="39"/>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8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2Z6sDTgCAABlBAAADgAAAAAAAAABACAAAAAfAQAAZHJzL2Uyb0RvYy54&#10;bWxQSwUGAAAAAAYABgBZAQAAyQUAAAAA&#10;">
              <v:fill on="f" focussize="0,0"/>
              <v:stroke on="f" weight="0.5pt"/>
              <v:imagedata o:title=""/>
              <o:lock v:ext="edit" aspectratio="f"/>
              <v:textbox inset="0mm,0mm,0mm,0mm" style="mso-fit-shape-to-text:t;">
                <w:txbxContent>
                  <w:p w14:paraId="2519059A">
                    <w:pPr>
                      <w:pStyle w:val="39"/>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28BAA">
    <w:pPr>
      <w:jc w:val="center"/>
      <w:rPr>
        <w:rFonts w:ascii="宋体" w:hAnsi="宋体"/>
        <w:color w:val="808080"/>
        <w:spacing w:val="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2F0B1">
    <w:pPr>
      <w:pStyle w:val="849"/>
      <w:pBdr>
        <w:top w:val="none" w:color="auto" w:sz="0" w:space="1"/>
        <w:left w:val="none" w:color="auto" w:sz="0" w:space="4"/>
        <w:bottom w:val="none" w:color="000000" w:sz="0" w:space="1"/>
        <w:right w:val="none" w:color="auto" w:sz="0" w:space="4"/>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E58B1">
    <w:pPr>
      <w:pStyle w:val="41"/>
      <w:pBdr>
        <w:bottom w:val="none" w:color="auto" w:sz="0" w:space="0"/>
      </w:pBdr>
      <w:rPr>
        <w:rFonts w:ascii="宋体" w:hAnsi="宋体"/>
        <w:color w:val="808080"/>
        <w:spacing w:val="6"/>
        <w:sz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4A08C">
    <w:pPr>
      <w:pStyle w:val="4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053208E"/>
    <w:multiLevelType w:val="multilevel"/>
    <w:tmpl w:val="0053208E"/>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826"/>
      <w:suff w:val="nothing"/>
      <w:lvlText w:val="%1%2　"/>
      <w:lvlJc w:val="left"/>
      <w:pPr>
        <w:ind w:left="360" w:firstLine="0"/>
      </w:pPr>
      <w:rPr>
        <w:rFonts w:hint="eastAsia" w:ascii="黑体" w:hAnsi="Times New Roman" w:eastAsia="黑体"/>
        <w:b w:val="0"/>
        <w:i w:val="0"/>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54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03D62ECE"/>
    <w:multiLevelType w:val="multilevel"/>
    <w:tmpl w:val="03D62ECE"/>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25B654F3"/>
    <w:multiLevelType w:val="multilevel"/>
    <w:tmpl w:val="25B654F3"/>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59ADCABA"/>
    <w:multiLevelType w:val="multilevel"/>
    <w:tmpl w:val="59ADCABA"/>
    <w:lvl w:ilvl="0" w:tentative="0">
      <w:start w:val="1"/>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7">
    <w:nsid w:val="72183CF9"/>
    <w:multiLevelType w:val="multilevel"/>
    <w:tmpl w:val="72183CF9"/>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6"/>
  </w:num>
  <w:num w:numId="4">
    <w:abstractNumId w:val="1"/>
  </w:num>
  <w:num w:numId="5">
    <w:abstractNumId w:val="0"/>
  </w:num>
  <w:num w:numId="6">
    <w:abstractNumId w:val="4"/>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5"/>
  <w:characterSpacingControl w:val="doNotCompress"/>
  <w:compat>
    <w:balanceSingleByteDoubleByteWidth/>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90063D"/>
    <w:rsid w:val="1CA92C52"/>
    <w:rsid w:val="1D9E208B"/>
    <w:rsid w:val="26C37006"/>
    <w:rsid w:val="2CDE6947"/>
    <w:rsid w:val="33097646"/>
    <w:rsid w:val="461F5BAF"/>
    <w:rsid w:val="4ACF7478"/>
    <w:rsid w:val="5438608E"/>
    <w:rsid w:val="55F3226C"/>
    <w:rsid w:val="57127259"/>
    <w:rsid w:val="573945F7"/>
    <w:rsid w:val="5EB97DCB"/>
    <w:rsid w:val="621B3277"/>
    <w:rsid w:val="65293EFC"/>
    <w:rsid w:val="673F17B5"/>
    <w:rsid w:val="6B885205"/>
    <w:rsid w:val="6CE40709"/>
    <w:rsid w:val="74E6194D"/>
    <w:rsid w:val="7A0E2FF7"/>
    <w:rsid w:val="7E3037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qFormat="1"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nhideWhenUsed="0" w:uiPriority="99"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qFormat="1" w:unhideWhenUsed="0" w:uiPriority="0" w:semiHidden="0"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imes New Roman" w:hAnsi="Times New Roman" w:eastAsia="宋体" w:cs="Times New Roman"/>
      <w:sz w:val="21"/>
      <w:lang w:val="en-US" w:eastAsia="zh-CN" w:bidi="ar-SA"/>
    </w:rPr>
  </w:style>
  <w:style w:type="paragraph" w:styleId="2">
    <w:name w:val="heading 1"/>
    <w:basedOn w:val="1"/>
    <w:next w:val="1"/>
    <w:link w:val="284"/>
    <w:qFormat/>
    <w:uiPriority w:val="0"/>
    <w:pPr>
      <w:keepNext/>
      <w:tabs>
        <w:tab w:val="left" w:pos="200"/>
      </w:tabs>
      <w:jc w:val="center"/>
      <w:outlineLvl w:val="0"/>
    </w:pPr>
    <w:rPr>
      <w:rFonts w:ascii="宋体" w:hAnsi="宋体"/>
      <w:b/>
      <w:sz w:val="36"/>
    </w:rPr>
  </w:style>
  <w:style w:type="paragraph" w:styleId="3">
    <w:name w:val="heading 2"/>
    <w:basedOn w:val="1"/>
    <w:next w:val="1"/>
    <w:link w:val="336"/>
    <w:qFormat/>
    <w:uiPriority w:val="0"/>
    <w:pPr>
      <w:keepNext/>
      <w:jc w:val="center"/>
      <w:outlineLvl w:val="1"/>
    </w:pPr>
    <w:rPr>
      <w:rFonts w:ascii="宋体" w:hAnsi="宋体"/>
      <w:b/>
      <w:bCs/>
      <w:sz w:val="28"/>
      <w:szCs w:val="28"/>
    </w:rPr>
  </w:style>
  <w:style w:type="paragraph" w:styleId="4">
    <w:name w:val="heading 3"/>
    <w:basedOn w:val="1"/>
    <w:next w:val="1"/>
    <w:link w:val="329"/>
    <w:qFormat/>
    <w:uiPriority w:val="0"/>
    <w:pPr>
      <w:keepNext/>
      <w:jc w:val="center"/>
      <w:outlineLvl w:val="2"/>
    </w:pPr>
    <w:rPr>
      <w:rFonts w:ascii="宋体" w:hAnsi="宋体"/>
      <w:sz w:val="28"/>
    </w:rPr>
  </w:style>
  <w:style w:type="paragraph" w:styleId="5">
    <w:name w:val="heading 4"/>
    <w:basedOn w:val="1"/>
    <w:next w:val="1"/>
    <w:link w:val="316"/>
    <w:qFormat/>
    <w:uiPriority w:val="0"/>
    <w:pPr>
      <w:keepNext/>
      <w:outlineLvl w:val="3"/>
    </w:pPr>
    <w:rPr>
      <w:b/>
      <w:bCs/>
      <w:sz w:val="18"/>
    </w:rPr>
  </w:style>
  <w:style w:type="paragraph" w:styleId="6">
    <w:name w:val="heading 5"/>
    <w:basedOn w:val="1"/>
    <w:next w:val="1"/>
    <w:link w:val="331"/>
    <w:qFormat/>
    <w:uiPriority w:val="0"/>
    <w:pPr>
      <w:keepNext/>
      <w:jc w:val="center"/>
      <w:outlineLvl w:val="4"/>
    </w:pPr>
    <w:rPr>
      <w:b/>
      <w:bCs/>
      <w:sz w:val="18"/>
    </w:rPr>
  </w:style>
  <w:style w:type="paragraph" w:styleId="7">
    <w:name w:val="heading 6"/>
    <w:basedOn w:val="1"/>
    <w:next w:val="1"/>
    <w:link w:val="314"/>
    <w:qFormat/>
    <w:uiPriority w:val="0"/>
    <w:pPr>
      <w:keepNext/>
      <w:keepLines/>
      <w:spacing w:before="240" w:after="64" w:line="320" w:lineRule="auto"/>
      <w:ind w:left="992" w:hanging="567"/>
      <w:outlineLvl w:val="5"/>
    </w:pPr>
    <w:rPr>
      <w:rFonts w:ascii="Cambria" w:hAnsi="Cambria" w:eastAsia="黑体"/>
      <w:b/>
      <w:bCs/>
      <w:sz w:val="28"/>
      <w:szCs w:val="24"/>
    </w:rPr>
  </w:style>
  <w:style w:type="paragraph" w:styleId="8">
    <w:name w:val="heading 7"/>
    <w:basedOn w:val="1"/>
    <w:next w:val="1"/>
    <w:link w:val="278"/>
    <w:qFormat/>
    <w:uiPriority w:val="0"/>
    <w:pPr>
      <w:keepNext/>
      <w:outlineLvl w:val="6"/>
    </w:pPr>
    <w:rPr>
      <w:rFonts w:ascii="Arial" w:hAnsi="Arial"/>
      <w:b/>
      <w:bCs/>
      <w:sz w:val="16"/>
      <w:szCs w:val="16"/>
    </w:rPr>
  </w:style>
  <w:style w:type="paragraph" w:styleId="9">
    <w:name w:val="heading 8"/>
    <w:basedOn w:val="1"/>
    <w:next w:val="1"/>
    <w:link w:val="311"/>
    <w:qFormat/>
    <w:uiPriority w:val="0"/>
    <w:pPr>
      <w:keepNext/>
      <w:outlineLvl w:val="7"/>
    </w:pPr>
    <w:rPr>
      <w:b/>
      <w:bCs/>
      <w:sz w:val="24"/>
      <w:szCs w:val="24"/>
    </w:rPr>
  </w:style>
  <w:style w:type="paragraph" w:styleId="10">
    <w:name w:val="heading 9"/>
    <w:basedOn w:val="1"/>
    <w:next w:val="1"/>
    <w:link w:val="270"/>
    <w:qFormat/>
    <w:uiPriority w:val="0"/>
    <w:pPr>
      <w:keepNext/>
      <w:jc w:val="center"/>
      <w:outlineLvl w:val="8"/>
    </w:pPr>
    <w:rPr>
      <w:b/>
      <w:bCs/>
      <w:szCs w:val="24"/>
    </w:rPr>
  </w:style>
  <w:style w:type="character" w:default="1" w:styleId="67">
    <w:name w:val="Default Paragraph Font"/>
    <w:semiHidden/>
    <w:unhideWhenUsed/>
    <w:qFormat/>
    <w:uiPriority w:val="1"/>
  </w:style>
  <w:style w:type="table" w:default="1" w:styleId="65">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hanging="200"/>
    </w:pPr>
    <w:rPr>
      <w:rFonts w:eastAsia="楷体_GB2312"/>
      <w:sz w:val="26"/>
    </w:rPr>
  </w:style>
  <w:style w:type="paragraph" w:styleId="12">
    <w:name w:val="toc 7"/>
    <w:basedOn w:val="1"/>
    <w:next w:val="1"/>
    <w:qFormat/>
    <w:uiPriority w:val="39"/>
    <w:pPr>
      <w:ind w:left="1260"/>
      <w:jc w:val="left"/>
    </w:pPr>
    <w:rPr>
      <w:szCs w:val="21"/>
    </w:rPr>
  </w:style>
  <w:style w:type="paragraph" w:styleId="13">
    <w:name w:val="List Number 2"/>
    <w:basedOn w:val="1"/>
    <w:qFormat/>
    <w:uiPriority w:val="0"/>
    <w:pPr>
      <w:spacing w:line="312" w:lineRule="atLeast"/>
    </w:pPr>
    <w:rPr>
      <w:sz w:val="20"/>
    </w:rPr>
  </w:style>
  <w:style w:type="paragraph" w:styleId="14">
    <w:name w:val="Note Heading"/>
    <w:basedOn w:val="1"/>
    <w:next w:val="1"/>
    <w:link w:val="272"/>
    <w:qFormat/>
    <w:uiPriority w:val="0"/>
    <w:pPr>
      <w:spacing w:line="360" w:lineRule="auto"/>
      <w:jc w:val="center"/>
    </w:pPr>
    <w:rPr>
      <w:sz w:val="24"/>
      <w:szCs w:val="24"/>
    </w:rPr>
  </w:style>
  <w:style w:type="paragraph" w:styleId="15">
    <w:name w:val="index 8"/>
    <w:basedOn w:val="1"/>
    <w:next w:val="1"/>
    <w:semiHidden/>
    <w:qFormat/>
    <w:uiPriority w:val="0"/>
    <w:pPr>
      <w:ind w:left="1400"/>
    </w:pPr>
  </w:style>
  <w:style w:type="paragraph" w:styleId="16">
    <w:name w:val="Normal Indent"/>
    <w:basedOn w:val="1"/>
    <w:next w:val="1"/>
    <w:link w:val="289"/>
    <w:qFormat/>
    <w:uiPriority w:val="0"/>
    <w:pPr>
      <w:ind w:firstLine="420"/>
    </w:pPr>
  </w:style>
  <w:style w:type="paragraph" w:styleId="17">
    <w:name w:val="caption"/>
    <w:basedOn w:val="1"/>
    <w:next w:val="1"/>
    <w:link w:val="350"/>
    <w:qFormat/>
    <w:uiPriority w:val="0"/>
    <w:rPr>
      <w:rFonts w:ascii="Arial" w:hAnsi="Arial" w:eastAsia="黑体"/>
      <w:sz w:val="20"/>
    </w:rPr>
  </w:style>
  <w:style w:type="paragraph" w:styleId="18">
    <w:name w:val="index 5"/>
    <w:basedOn w:val="1"/>
    <w:next w:val="1"/>
    <w:semiHidden/>
    <w:qFormat/>
    <w:uiPriority w:val="0"/>
    <w:pPr>
      <w:ind w:left="800"/>
    </w:pPr>
  </w:style>
  <w:style w:type="paragraph" w:styleId="19">
    <w:name w:val="List Bullet"/>
    <w:basedOn w:val="1"/>
    <w:qFormat/>
    <w:uiPriority w:val="0"/>
    <w:pPr>
      <w:spacing w:line="360" w:lineRule="auto"/>
      <w:ind w:left="840" w:hanging="360"/>
      <w:jc w:val="left"/>
    </w:pPr>
    <w:rPr>
      <w:b/>
      <w:sz w:val="24"/>
      <w:szCs w:val="24"/>
    </w:rPr>
  </w:style>
  <w:style w:type="paragraph" w:styleId="20">
    <w:name w:val="Document Map"/>
    <w:basedOn w:val="1"/>
    <w:link w:val="337"/>
    <w:qFormat/>
    <w:uiPriority w:val="0"/>
    <w:pPr>
      <w:shd w:val="clear" w:color="auto" w:fill="000080"/>
    </w:pPr>
  </w:style>
  <w:style w:type="paragraph" w:styleId="21">
    <w:name w:val="annotation text"/>
    <w:basedOn w:val="1"/>
    <w:link w:val="307"/>
    <w:qFormat/>
    <w:uiPriority w:val="99"/>
    <w:pPr>
      <w:jc w:val="left"/>
    </w:pPr>
    <w:rPr>
      <w:rFonts w:ascii="Calibri" w:hAnsi="Calibri"/>
      <w:szCs w:val="22"/>
    </w:rPr>
  </w:style>
  <w:style w:type="paragraph" w:styleId="22">
    <w:name w:val="index 6"/>
    <w:basedOn w:val="1"/>
    <w:next w:val="1"/>
    <w:semiHidden/>
    <w:qFormat/>
    <w:uiPriority w:val="0"/>
    <w:pPr>
      <w:ind w:left="1000"/>
    </w:pPr>
  </w:style>
  <w:style w:type="paragraph" w:styleId="23">
    <w:name w:val="Body Text 3"/>
    <w:basedOn w:val="1"/>
    <w:link w:val="347"/>
    <w:unhideWhenUsed/>
    <w:qFormat/>
    <w:uiPriority w:val="99"/>
    <w:pPr>
      <w:jc w:val="center"/>
    </w:pPr>
    <w:rPr>
      <w:rFonts w:ascii="宋体" w:hAnsi="宋体" w:eastAsia="楷体_GB2312"/>
      <w:sz w:val="26"/>
    </w:rPr>
  </w:style>
  <w:style w:type="paragraph" w:styleId="24">
    <w:name w:val="Body Text"/>
    <w:basedOn w:val="1"/>
    <w:next w:val="16"/>
    <w:link w:val="317"/>
    <w:qFormat/>
    <w:uiPriority w:val="0"/>
    <w:rPr>
      <w:rFonts w:ascii="楷体_GB2312" w:hAnsi="Arial" w:eastAsia="楷体_GB2312"/>
      <w:sz w:val="28"/>
    </w:rPr>
  </w:style>
  <w:style w:type="paragraph" w:styleId="25">
    <w:name w:val="Body Text Indent"/>
    <w:basedOn w:val="1"/>
    <w:next w:val="1"/>
    <w:link w:val="332"/>
    <w:qFormat/>
    <w:uiPriority w:val="0"/>
    <w:pPr>
      <w:spacing w:line="312" w:lineRule="atLeast"/>
      <w:ind w:firstLine="574"/>
    </w:pPr>
    <w:rPr>
      <w:rFonts w:ascii="宋体"/>
      <w:sz w:val="28"/>
    </w:rPr>
  </w:style>
  <w:style w:type="paragraph" w:styleId="26">
    <w:name w:val="List 2"/>
    <w:basedOn w:val="1"/>
    <w:qFormat/>
    <w:uiPriority w:val="0"/>
    <w:pPr>
      <w:ind w:left="100" w:hanging="200"/>
    </w:pPr>
    <w:rPr>
      <w:szCs w:val="24"/>
    </w:rPr>
  </w:style>
  <w:style w:type="paragraph" w:styleId="27">
    <w:name w:val="Block Text"/>
    <w:basedOn w:val="1"/>
    <w:qFormat/>
    <w:uiPriority w:val="0"/>
    <w:pPr>
      <w:tabs>
        <w:tab w:val="left" w:pos="822"/>
        <w:tab w:val="left" w:pos="2205"/>
        <w:tab w:val="left" w:pos="9000"/>
      </w:tabs>
      <w:spacing w:before="89"/>
      <w:ind w:left="1890" w:right="11" w:hanging="1409"/>
    </w:pPr>
    <w:rPr>
      <w:sz w:val="24"/>
    </w:rPr>
  </w:style>
  <w:style w:type="paragraph" w:styleId="28">
    <w:name w:val="List Bullet 2"/>
    <w:basedOn w:val="1"/>
    <w:qFormat/>
    <w:uiPriority w:val="0"/>
    <w:pPr>
      <w:tabs>
        <w:tab w:val="left" w:pos="420"/>
      </w:tabs>
      <w:spacing w:line="312" w:lineRule="atLeast"/>
      <w:ind w:left="420" w:hanging="420"/>
    </w:pPr>
    <w:rPr>
      <w:sz w:val="20"/>
    </w:rPr>
  </w:style>
  <w:style w:type="paragraph" w:styleId="29">
    <w:name w:val="index 4"/>
    <w:basedOn w:val="1"/>
    <w:next w:val="1"/>
    <w:semiHidden/>
    <w:qFormat/>
    <w:uiPriority w:val="0"/>
    <w:pPr>
      <w:ind w:left="600"/>
    </w:pPr>
  </w:style>
  <w:style w:type="paragraph" w:styleId="30">
    <w:name w:val="toc 5"/>
    <w:basedOn w:val="1"/>
    <w:next w:val="1"/>
    <w:qFormat/>
    <w:uiPriority w:val="39"/>
    <w:pPr>
      <w:ind w:left="840"/>
      <w:jc w:val="left"/>
    </w:pPr>
    <w:rPr>
      <w:szCs w:val="21"/>
    </w:rPr>
  </w:style>
  <w:style w:type="paragraph" w:styleId="31">
    <w:name w:val="toc 3"/>
    <w:basedOn w:val="1"/>
    <w:next w:val="1"/>
    <w:qFormat/>
    <w:uiPriority w:val="0"/>
    <w:pPr>
      <w:ind w:left="420"/>
      <w:jc w:val="left"/>
    </w:pPr>
    <w:rPr>
      <w:i/>
      <w:iCs/>
      <w:szCs w:val="24"/>
    </w:rPr>
  </w:style>
  <w:style w:type="paragraph" w:styleId="32">
    <w:name w:val="Plain Text"/>
    <w:basedOn w:val="1"/>
    <w:link w:val="277"/>
    <w:qFormat/>
    <w:uiPriority w:val="0"/>
    <w:rPr>
      <w:rFonts w:ascii="宋体" w:hAnsi="Courier New"/>
    </w:rPr>
  </w:style>
  <w:style w:type="paragraph" w:styleId="33">
    <w:name w:val="toc 8"/>
    <w:basedOn w:val="1"/>
    <w:next w:val="1"/>
    <w:qFormat/>
    <w:uiPriority w:val="39"/>
    <w:pPr>
      <w:ind w:left="1470"/>
      <w:jc w:val="left"/>
    </w:pPr>
    <w:rPr>
      <w:szCs w:val="21"/>
    </w:rPr>
  </w:style>
  <w:style w:type="paragraph" w:styleId="34">
    <w:name w:val="index 3"/>
    <w:basedOn w:val="1"/>
    <w:next w:val="1"/>
    <w:semiHidden/>
    <w:qFormat/>
    <w:uiPriority w:val="0"/>
    <w:pPr>
      <w:ind w:left="400"/>
    </w:pPr>
  </w:style>
  <w:style w:type="paragraph" w:styleId="35">
    <w:name w:val="Date"/>
    <w:basedOn w:val="1"/>
    <w:next w:val="1"/>
    <w:link w:val="340"/>
    <w:qFormat/>
    <w:uiPriority w:val="0"/>
    <w:pPr>
      <w:spacing w:line="312" w:lineRule="atLeast"/>
    </w:pPr>
    <w:rPr>
      <w:rFonts w:ascii="宋体"/>
      <w:sz w:val="28"/>
    </w:rPr>
  </w:style>
  <w:style w:type="paragraph" w:styleId="36">
    <w:name w:val="Body Text Indent 2"/>
    <w:basedOn w:val="1"/>
    <w:link w:val="313"/>
    <w:qFormat/>
    <w:uiPriority w:val="0"/>
    <w:pPr>
      <w:tabs>
        <w:tab w:val="left" w:pos="1785"/>
        <w:tab w:val="left" w:pos="1887"/>
        <w:tab w:val="left" w:pos="2112"/>
        <w:tab w:val="left" w:pos="9000"/>
      </w:tabs>
      <w:ind w:left="1890" w:hanging="1409"/>
    </w:pPr>
    <w:rPr>
      <w:sz w:val="24"/>
    </w:rPr>
  </w:style>
  <w:style w:type="paragraph" w:styleId="37">
    <w:name w:val="endnote text"/>
    <w:basedOn w:val="1"/>
    <w:link w:val="254"/>
    <w:semiHidden/>
    <w:unhideWhenUsed/>
    <w:qFormat/>
    <w:uiPriority w:val="99"/>
    <w:rPr>
      <w:sz w:val="20"/>
    </w:rPr>
  </w:style>
  <w:style w:type="paragraph" w:styleId="38">
    <w:name w:val="Balloon Text"/>
    <w:basedOn w:val="1"/>
    <w:link w:val="274"/>
    <w:unhideWhenUsed/>
    <w:qFormat/>
    <w:uiPriority w:val="0"/>
    <w:rPr>
      <w:rFonts w:ascii="Calibri" w:hAnsi="Calibri"/>
      <w:sz w:val="18"/>
      <w:szCs w:val="18"/>
    </w:rPr>
  </w:style>
  <w:style w:type="paragraph" w:styleId="39">
    <w:name w:val="footer"/>
    <w:basedOn w:val="1"/>
    <w:link w:val="291"/>
    <w:qFormat/>
    <w:uiPriority w:val="99"/>
    <w:pPr>
      <w:tabs>
        <w:tab w:val="center" w:pos="4153"/>
        <w:tab w:val="right" w:pos="8306"/>
      </w:tabs>
      <w:jc w:val="left"/>
    </w:pPr>
    <w:rPr>
      <w:sz w:val="18"/>
    </w:rPr>
  </w:style>
  <w:style w:type="paragraph" w:styleId="40">
    <w:name w:val="envelope return"/>
    <w:basedOn w:val="1"/>
    <w:qFormat/>
    <w:uiPriority w:val="0"/>
    <w:rPr>
      <w:rFonts w:ascii="Arial" w:hAnsi="Arial" w:eastAsia="楷体_GB2312"/>
      <w:sz w:val="26"/>
    </w:rPr>
  </w:style>
  <w:style w:type="paragraph" w:styleId="41">
    <w:name w:val="header"/>
    <w:basedOn w:val="1"/>
    <w:link w:val="266"/>
    <w:qFormat/>
    <w:uiPriority w:val="99"/>
    <w:pPr>
      <w:pBdr>
        <w:bottom w:val="single" w:color="auto" w:sz="6" w:space="1"/>
      </w:pBdr>
      <w:tabs>
        <w:tab w:val="center" w:pos="4153"/>
        <w:tab w:val="right" w:pos="8306"/>
      </w:tabs>
      <w:jc w:val="center"/>
    </w:pPr>
    <w:rPr>
      <w:sz w:val="18"/>
    </w:rPr>
  </w:style>
  <w:style w:type="paragraph" w:styleId="42">
    <w:name w:val="Signature"/>
    <w:basedOn w:val="1"/>
    <w:link w:val="257"/>
    <w:qFormat/>
    <w:uiPriority w:val="0"/>
    <w:pPr>
      <w:spacing w:after="600" w:line="312" w:lineRule="atLeast"/>
      <w:jc w:val="center"/>
    </w:pPr>
    <w:rPr>
      <w:rFonts w:eastAsia="仿宋_GB2312"/>
      <w:sz w:val="24"/>
    </w:rPr>
  </w:style>
  <w:style w:type="paragraph" w:styleId="43">
    <w:name w:val="toc 1"/>
    <w:basedOn w:val="1"/>
    <w:next w:val="1"/>
    <w:qFormat/>
    <w:uiPriority w:val="39"/>
    <w:pPr>
      <w:tabs>
        <w:tab w:val="right" w:leader="dot" w:pos="9450"/>
      </w:tabs>
      <w:spacing w:before="100" w:beforeAutospacing="1" w:after="100" w:afterAutospacing="1" w:line="360" w:lineRule="exact"/>
      <w:ind w:left="210"/>
    </w:pPr>
    <w:rPr>
      <w:b/>
      <w:bCs/>
      <w:caps/>
      <w:sz w:val="28"/>
      <w:szCs w:val="36"/>
    </w:rPr>
  </w:style>
  <w:style w:type="paragraph" w:styleId="44">
    <w:name w:val="toc 4"/>
    <w:basedOn w:val="1"/>
    <w:next w:val="1"/>
    <w:qFormat/>
    <w:uiPriority w:val="0"/>
    <w:pPr>
      <w:ind w:left="630"/>
      <w:jc w:val="left"/>
    </w:pPr>
    <w:rPr>
      <w:szCs w:val="21"/>
    </w:rPr>
  </w:style>
  <w:style w:type="paragraph" w:styleId="45">
    <w:name w:val="index heading"/>
    <w:basedOn w:val="1"/>
    <w:next w:val="46"/>
    <w:semiHidden/>
    <w:qFormat/>
    <w:uiPriority w:val="0"/>
  </w:style>
  <w:style w:type="paragraph" w:styleId="46">
    <w:name w:val="index 1"/>
    <w:basedOn w:val="1"/>
    <w:next w:val="1"/>
    <w:qFormat/>
    <w:uiPriority w:val="0"/>
  </w:style>
  <w:style w:type="paragraph" w:styleId="47">
    <w:name w:val="Subtitle"/>
    <w:basedOn w:val="1"/>
    <w:next w:val="1"/>
    <w:link w:val="290"/>
    <w:qFormat/>
    <w:uiPriority w:val="0"/>
    <w:pPr>
      <w:spacing w:before="240" w:after="60" w:line="312" w:lineRule="auto"/>
      <w:jc w:val="center"/>
      <w:outlineLvl w:val="1"/>
    </w:pPr>
    <w:rPr>
      <w:rFonts w:ascii="Cambria" w:hAnsi="Cambria"/>
      <w:b/>
      <w:bCs/>
      <w:sz w:val="32"/>
      <w:szCs w:val="32"/>
    </w:rPr>
  </w:style>
  <w:style w:type="paragraph" w:styleId="48">
    <w:name w:val="List"/>
    <w:basedOn w:val="1"/>
    <w:qFormat/>
    <w:uiPriority w:val="99"/>
    <w:pPr>
      <w:ind w:left="200" w:hanging="200"/>
    </w:pPr>
    <w:rPr>
      <w:szCs w:val="24"/>
    </w:rPr>
  </w:style>
  <w:style w:type="paragraph" w:styleId="49">
    <w:name w:val="footnote text"/>
    <w:basedOn w:val="1"/>
    <w:link w:val="253"/>
    <w:semiHidden/>
    <w:unhideWhenUsed/>
    <w:qFormat/>
    <w:uiPriority w:val="99"/>
    <w:pPr>
      <w:spacing w:after="40"/>
    </w:pPr>
    <w:rPr>
      <w:sz w:val="18"/>
    </w:rPr>
  </w:style>
  <w:style w:type="paragraph" w:styleId="50">
    <w:name w:val="toc 6"/>
    <w:basedOn w:val="1"/>
    <w:next w:val="1"/>
    <w:qFormat/>
    <w:uiPriority w:val="39"/>
    <w:pPr>
      <w:ind w:left="1050"/>
      <w:jc w:val="left"/>
    </w:pPr>
    <w:rPr>
      <w:szCs w:val="21"/>
    </w:rPr>
  </w:style>
  <w:style w:type="paragraph" w:styleId="51">
    <w:name w:val="Body Text Indent 3"/>
    <w:basedOn w:val="1"/>
    <w:link w:val="267"/>
    <w:qFormat/>
    <w:uiPriority w:val="0"/>
    <w:pPr>
      <w:ind w:firstLine="555"/>
    </w:pPr>
    <w:rPr>
      <w:b/>
      <w:bCs/>
      <w:sz w:val="28"/>
      <w:u w:val="single"/>
    </w:rPr>
  </w:style>
  <w:style w:type="paragraph" w:styleId="52">
    <w:name w:val="index 7"/>
    <w:basedOn w:val="1"/>
    <w:next w:val="1"/>
    <w:semiHidden/>
    <w:qFormat/>
    <w:uiPriority w:val="0"/>
    <w:pPr>
      <w:ind w:left="1200"/>
    </w:pPr>
  </w:style>
  <w:style w:type="paragraph" w:styleId="53">
    <w:name w:val="index 9"/>
    <w:basedOn w:val="1"/>
    <w:next w:val="1"/>
    <w:semiHidden/>
    <w:qFormat/>
    <w:uiPriority w:val="0"/>
    <w:pPr>
      <w:ind w:left="1600"/>
    </w:pPr>
  </w:style>
  <w:style w:type="paragraph" w:styleId="54">
    <w:name w:val="table of figures"/>
    <w:basedOn w:val="1"/>
    <w:next w:val="1"/>
    <w:semiHidden/>
    <w:qFormat/>
    <w:uiPriority w:val="0"/>
    <w:pPr>
      <w:ind w:left="840" w:hanging="420"/>
    </w:pPr>
  </w:style>
  <w:style w:type="paragraph" w:styleId="55">
    <w:name w:val="toc 2"/>
    <w:basedOn w:val="1"/>
    <w:next w:val="1"/>
    <w:qFormat/>
    <w:uiPriority w:val="39"/>
    <w:pPr>
      <w:tabs>
        <w:tab w:val="right" w:leader="dot" w:pos="9450"/>
      </w:tabs>
      <w:spacing w:line="400" w:lineRule="exact"/>
      <w:ind w:left="250"/>
      <w:jc w:val="left"/>
    </w:pPr>
    <w:rPr>
      <w:bCs/>
      <w:smallCaps/>
      <w:sz w:val="24"/>
      <w:szCs w:val="24"/>
    </w:rPr>
  </w:style>
  <w:style w:type="paragraph" w:styleId="56">
    <w:name w:val="toc 9"/>
    <w:basedOn w:val="1"/>
    <w:next w:val="1"/>
    <w:qFormat/>
    <w:uiPriority w:val="0"/>
    <w:pPr>
      <w:ind w:left="1680"/>
      <w:jc w:val="left"/>
    </w:pPr>
    <w:rPr>
      <w:szCs w:val="21"/>
    </w:rPr>
  </w:style>
  <w:style w:type="paragraph" w:styleId="57">
    <w:name w:val="Body Text 2"/>
    <w:basedOn w:val="1"/>
    <w:link w:val="343"/>
    <w:qFormat/>
    <w:uiPriority w:val="99"/>
    <w:pPr>
      <w:spacing w:after="120" w:line="480" w:lineRule="auto"/>
    </w:pPr>
  </w:style>
  <w:style w:type="paragraph" w:styleId="58">
    <w:name w:val="HTML Preformatted"/>
    <w:basedOn w:val="1"/>
    <w:link w:val="30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sz w:val="20"/>
      <w:szCs w:val="24"/>
    </w:rPr>
  </w:style>
  <w:style w:type="paragraph" w:styleId="59">
    <w:name w:val="Normal (Web)"/>
    <w:basedOn w:val="1"/>
    <w:link w:val="817"/>
    <w:unhideWhenUsed/>
    <w:qFormat/>
    <w:uiPriority w:val="0"/>
    <w:pPr>
      <w:widowControl/>
      <w:spacing w:before="100" w:beforeAutospacing="1" w:after="100" w:afterAutospacing="1"/>
      <w:jc w:val="left"/>
    </w:pPr>
    <w:rPr>
      <w:rFonts w:ascii="宋体" w:hAnsi="宋体" w:eastAsia="楷体_GB2312" w:cs="宋体"/>
      <w:sz w:val="24"/>
    </w:rPr>
  </w:style>
  <w:style w:type="paragraph" w:styleId="60">
    <w:name w:val="index 2"/>
    <w:basedOn w:val="1"/>
    <w:next w:val="1"/>
    <w:semiHidden/>
    <w:qFormat/>
    <w:uiPriority w:val="0"/>
    <w:pPr>
      <w:ind w:left="200"/>
    </w:pPr>
  </w:style>
  <w:style w:type="paragraph" w:styleId="61">
    <w:name w:val="Title"/>
    <w:basedOn w:val="1"/>
    <w:next w:val="1"/>
    <w:link w:val="300"/>
    <w:qFormat/>
    <w:uiPriority w:val="0"/>
    <w:pPr>
      <w:spacing w:before="240" w:after="60"/>
      <w:jc w:val="center"/>
      <w:outlineLvl w:val="0"/>
    </w:pPr>
    <w:rPr>
      <w:rFonts w:ascii="Cambria" w:hAnsi="Cambria"/>
      <w:b/>
      <w:bCs/>
      <w:sz w:val="32"/>
      <w:szCs w:val="32"/>
    </w:rPr>
  </w:style>
  <w:style w:type="paragraph" w:styleId="62">
    <w:name w:val="annotation subject"/>
    <w:basedOn w:val="21"/>
    <w:next w:val="21"/>
    <w:link w:val="325"/>
    <w:qFormat/>
    <w:uiPriority w:val="99"/>
    <w:rPr>
      <w:rFonts w:eastAsia="楷体_GB2312"/>
      <w:b/>
      <w:bCs/>
      <w:sz w:val="26"/>
    </w:rPr>
  </w:style>
  <w:style w:type="paragraph" w:styleId="63">
    <w:name w:val="Body Text First Indent"/>
    <w:basedOn w:val="1"/>
    <w:next w:val="1"/>
    <w:link w:val="268"/>
    <w:qFormat/>
    <w:uiPriority w:val="0"/>
    <w:pPr>
      <w:spacing w:after="120"/>
      <w:ind w:firstLine="420"/>
    </w:pPr>
    <w:rPr>
      <w:rFonts w:ascii="Tahoma" w:hAnsi="Tahoma" w:eastAsia="Times New Roman"/>
      <w:szCs w:val="24"/>
    </w:rPr>
  </w:style>
  <w:style w:type="paragraph" w:styleId="64">
    <w:name w:val="Body Text First Indent 2"/>
    <w:basedOn w:val="25"/>
    <w:next w:val="1"/>
    <w:link w:val="302"/>
    <w:qFormat/>
    <w:uiPriority w:val="0"/>
    <w:pPr>
      <w:spacing w:after="120" w:line="240" w:lineRule="auto"/>
      <w:ind w:left="420" w:firstLine="420"/>
    </w:pPr>
    <w:rPr>
      <w:rFonts w:ascii="Times New Roman"/>
      <w:sz w:val="21"/>
      <w:szCs w:val="24"/>
    </w:rPr>
  </w:style>
  <w:style w:type="table" w:styleId="66">
    <w:name w:val="Table Grid"/>
    <w:basedOn w:val="6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68">
    <w:name w:val="Strong"/>
    <w:qFormat/>
    <w:uiPriority w:val="0"/>
    <w:rPr>
      <w:b/>
      <w:bCs/>
    </w:rPr>
  </w:style>
  <w:style w:type="character" w:styleId="69">
    <w:name w:val="endnote reference"/>
    <w:basedOn w:val="67"/>
    <w:semiHidden/>
    <w:unhideWhenUsed/>
    <w:qFormat/>
    <w:uiPriority w:val="99"/>
    <w:rPr>
      <w:vertAlign w:val="superscript"/>
    </w:rPr>
  </w:style>
  <w:style w:type="character" w:styleId="70">
    <w:name w:val="page number"/>
    <w:basedOn w:val="67"/>
    <w:qFormat/>
    <w:uiPriority w:val="0"/>
  </w:style>
  <w:style w:type="character" w:styleId="71">
    <w:name w:val="FollowedHyperlink"/>
    <w:qFormat/>
    <w:uiPriority w:val="99"/>
    <w:rPr>
      <w:color w:val="333333"/>
      <w:u w:val="none"/>
    </w:rPr>
  </w:style>
  <w:style w:type="character" w:styleId="72">
    <w:name w:val="Emphasis"/>
    <w:qFormat/>
    <w:uiPriority w:val="20"/>
    <w:rPr>
      <w:i/>
      <w:iCs/>
    </w:rPr>
  </w:style>
  <w:style w:type="character" w:styleId="73">
    <w:name w:val="line number"/>
    <w:qFormat/>
    <w:uiPriority w:val="0"/>
    <w:rPr>
      <w:rFonts w:ascii="Tahoma" w:hAnsi="Tahoma" w:eastAsia="宋体"/>
      <w:sz w:val="24"/>
      <w:szCs w:val="24"/>
      <w:lang w:val="en-US" w:eastAsia="zh-CN" w:bidi="ar-SA"/>
    </w:rPr>
  </w:style>
  <w:style w:type="character" w:styleId="74">
    <w:name w:val="HTML Typewriter"/>
    <w:qFormat/>
    <w:uiPriority w:val="0"/>
    <w:rPr>
      <w:rFonts w:ascii="黑体" w:hAnsi="Courier New" w:eastAsia="黑体"/>
      <w:sz w:val="14"/>
    </w:rPr>
  </w:style>
  <w:style w:type="character" w:styleId="75">
    <w:name w:val="Hyperlink"/>
    <w:qFormat/>
    <w:uiPriority w:val="99"/>
    <w:rPr>
      <w:color w:val="333333"/>
      <w:u w:val="none"/>
    </w:rPr>
  </w:style>
  <w:style w:type="character" w:styleId="76">
    <w:name w:val="annotation reference"/>
    <w:qFormat/>
    <w:uiPriority w:val="0"/>
    <w:rPr>
      <w:sz w:val="21"/>
      <w:szCs w:val="21"/>
    </w:rPr>
  </w:style>
  <w:style w:type="character" w:styleId="77">
    <w:name w:val="footnote reference"/>
    <w:qFormat/>
    <w:uiPriority w:val="0"/>
    <w:rPr>
      <w:vertAlign w:val="superscript"/>
    </w:rPr>
  </w:style>
  <w:style w:type="table" w:customStyle="1" w:styleId="78">
    <w:name w:val="Plain Table 1"/>
    <w:basedOn w:val="6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79">
    <w:name w:val="Plain Table 2"/>
    <w:basedOn w:val="6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0">
    <w:name w:val="Plain Table 3"/>
    <w:basedOn w:val="6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1">
    <w:name w:val="Plain Table 4"/>
    <w:basedOn w:val="6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2">
    <w:name w:val="Plain Table 5"/>
    <w:basedOn w:val="6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3">
    <w:name w:val="Grid Table 1 Light"/>
    <w:basedOn w:val="6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84">
    <w:name w:val="Grid Table 2"/>
    <w:basedOn w:val="6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5">
    <w:name w:val="Grid Table 3"/>
    <w:basedOn w:val="6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6">
    <w:name w:val="Grid Table 4"/>
    <w:basedOn w:val="6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7">
    <w:name w:val="Grid Table 5 Dark"/>
    <w:basedOn w:val="6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8">
    <w:name w:val="Grid Table 6 Colorful"/>
    <w:basedOn w:val="6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9">
    <w:name w:val="Grid Table 7 Colorful"/>
    <w:basedOn w:val="6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0">
    <w:name w:val="List Table 1 Light"/>
    <w:basedOn w:val="6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91">
    <w:name w:val="List Table 2"/>
    <w:basedOn w:val="6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2">
    <w:name w:val="List Table 3"/>
    <w:basedOn w:val="6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93">
    <w:name w:val="List Table 4"/>
    <w:basedOn w:val="6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94">
    <w:name w:val="List Table 5 Dark"/>
    <w:basedOn w:val="6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95">
    <w:name w:val="List Table 6 Colorful"/>
    <w:basedOn w:val="6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96">
    <w:name w:val="List Table 7 Colorful"/>
    <w:basedOn w:val="6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97">
    <w:name w:val="TOC Heading"/>
    <w:unhideWhenUsed/>
    <w:qFormat/>
    <w:uiPriority w:val="39"/>
    <w:rPr>
      <w:rFonts w:hint="default" w:ascii="Times New Roman" w:hAnsi="Times New Roman" w:eastAsia="宋体" w:cs="Times New Roman"/>
    </w:rPr>
  </w:style>
  <w:style w:type="character" w:customStyle="1" w:styleId="98">
    <w:name w:val="标题 1 字符"/>
    <w:qFormat/>
    <w:uiPriority w:val="0"/>
    <w:rPr>
      <w:rFonts w:eastAsia="楷体_GB2312"/>
      <w:b/>
      <w:sz w:val="44"/>
      <w:lang w:val="en-US" w:eastAsia="zh-CN" w:bidi="ar-SA"/>
    </w:rPr>
  </w:style>
  <w:style w:type="character" w:customStyle="1" w:styleId="99">
    <w:name w:val="标题 2 字符"/>
    <w:qFormat/>
    <w:uiPriority w:val="0"/>
    <w:rPr>
      <w:rFonts w:ascii="Arial" w:hAnsi="Arial"/>
      <w:b/>
      <w:bCs/>
      <w:sz w:val="28"/>
      <w:szCs w:val="32"/>
    </w:rPr>
  </w:style>
  <w:style w:type="character" w:customStyle="1" w:styleId="100">
    <w:name w:val="标题 3 字符"/>
    <w:qFormat/>
    <w:uiPriority w:val="0"/>
    <w:rPr>
      <w:rFonts w:eastAsia="宋体"/>
      <w:b/>
      <w:bCs/>
      <w:sz w:val="32"/>
      <w:szCs w:val="32"/>
      <w:lang w:val="en-US" w:eastAsia="zh-CN" w:bidi="ar-SA"/>
    </w:rPr>
  </w:style>
  <w:style w:type="table" w:customStyle="1" w:styleId="101">
    <w:name w:val="无格式表格 11"/>
    <w:basedOn w:val="6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102">
    <w:name w:val="无格式表格 21"/>
    <w:basedOn w:val="65"/>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103">
    <w:name w:val="无格式表格 31"/>
    <w:basedOn w:val="65"/>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4">
    <w:name w:val="无格式表格 41"/>
    <w:basedOn w:val="65"/>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5">
    <w:name w:val="无格式表格 51"/>
    <w:basedOn w:val="65"/>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106">
    <w:name w:val="网格表 1 浅色1"/>
    <w:basedOn w:val="65"/>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107">
    <w:name w:val="网格表 21"/>
    <w:basedOn w:val="6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8">
    <w:name w:val="网格表 31"/>
    <w:basedOn w:val="6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9">
    <w:name w:val="网格表 41"/>
    <w:basedOn w:val="65"/>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0">
    <w:name w:val="网格表 5 深色1"/>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1">
    <w:name w:val="网格表 6 彩色1"/>
    <w:basedOn w:val="65"/>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2">
    <w:name w:val="网格表 7 彩色1"/>
    <w:basedOn w:val="65"/>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3">
    <w:name w:val="清单表 1 浅色1"/>
    <w:basedOn w:val="65"/>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4">
    <w:name w:val="清单表 21"/>
    <w:basedOn w:val="65"/>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5">
    <w:name w:val="清单表 31"/>
    <w:basedOn w:val="6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6">
    <w:name w:val="清单表 41"/>
    <w:basedOn w:val="6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7">
    <w:name w:val="清单表 5 深色1"/>
    <w:basedOn w:val="65"/>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18">
    <w:name w:val="清单表 6 彩色1"/>
    <w:basedOn w:val="65"/>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19">
    <w:name w:val="清单表 7 彩色1"/>
    <w:basedOn w:val="65"/>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paragraph" w:customStyle="1" w:styleId="120">
    <w:name w:val="TOC 标题1"/>
    <w:unhideWhenUsed/>
    <w:qFormat/>
    <w:uiPriority w:val="39"/>
    <w:rPr>
      <w:rFonts w:hint="default" w:ascii="Times New Roman" w:hAnsi="Times New Roman" w:eastAsia="宋体" w:cs="Times New Roman"/>
      <w:lang w:val="en-US" w:eastAsia="zh-CN" w:bidi="ar-SA"/>
    </w:rPr>
  </w:style>
  <w:style w:type="character" w:customStyle="1" w:styleId="121">
    <w:name w:val="Quote Char"/>
    <w:qFormat/>
    <w:uiPriority w:val="29"/>
    <w:rPr>
      <w:i/>
    </w:rPr>
  </w:style>
  <w:style w:type="character" w:customStyle="1" w:styleId="122">
    <w:name w:val="Intense Quote Char"/>
    <w:qFormat/>
    <w:uiPriority w:val="30"/>
    <w:rPr>
      <w:i/>
    </w:rPr>
  </w:style>
  <w:style w:type="character" w:customStyle="1" w:styleId="123">
    <w:name w:val="Footnote Text Char"/>
    <w:qFormat/>
    <w:uiPriority w:val="99"/>
    <w:rPr>
      <w:sz w:val="18"/>
    </w:rPr>
  </w:style>
  <w:style w:type="character" w:customStyle="1" w:styleId="124">
    <w:name w:val="Endnote Text Char"/>
    <w:qFormat/>
    <w:uiPriority w:val="99"/>
    <w:rPr>
      <w:sz w:val="20"/>
    </w:rPr>
  </w:style>
  <w:style w:type="paragraph" w:customStyle="1" w:styleId="125">
    <w:name w:val="TOC 标题112"/>
    <w:unhideWhenUsed/>
    <w:qFormat/>
    <w:uiPriority w:val="39"/>
    <w:rPr>
      <w:rFonts w:hint="default" w:ascii="Times New Roman" w:hAnsi="Times New Roman" w:eastAsia="宋体" w:cs="Times New Roman"/>
      <w:lang w:val="en-US" w:eastAsia="zh-CN" w:bidi="ar-SA"/>
    </w:rPr>
  </w:style>
  <w:style w:type="paragraph" w:customStyle="1" w:styleId="126">
    <w:name w:val="正文文本1"/>
    <w:next w:val="127"/>
    <w:qFormat/>
    <w:uiPriority w:val="99"/>
    <w:pPr>
      <w:widowControl w:val="0"/>
      <w:spacing w:before="132"/>
      <w:ind w:left="367"/>
    </w:pPr>
    <w:rPr>
      <w:rFonts w:hint="default" w:ascii="宋体" w:hAnsi="Times New Roman" w:eastAsia="宋体" w:cs="Times New Roman"/>
      <w:szCs w:val="21"/>
      <w:lang w:val="en-US" w:eastAsia="zh-CN" w:bidi="ar-SA"/>
    </w:rPr>
  </w:style>
  <w:style w:type="paragraph" w:customStyle="1" w:styleId="127">
    <w:name w:val="正文缩进1"/>
    <w:next w:val="1"/>
    <w:qFormat/>
    <w:uiPriority w:val="0"/>
    <w:pPr>
      <w:widowControl w:val="0"/>
      <w:ind w:firstLine="420"/>
    </w:pPr>
    <w:rPr>
      <w:rFonts w:hint="default" w:ascii="Times New Roman" w:hAnsi="Times New Roman" w:eastAsia="楷体_GB2312" w:cs="Times New Roman"/>
      <w:sz w:val="21"/>
      <w:lang w:val="en-US" w:eastAsia="zh-CN" w:bidi="ar-SA"/>
    </w:rPr>
  </w:style>
  <w:style w:type="paragraph" w:customStyle="1" w:styleId="128">
    <w:name w:val="文档结构图1"/>
    <w:qFormat/>
    <w:uiPriority w:val="0"/>
    <w:pPr>
      <w:widowControl w:val="0"/>
      <w:shd w:val="clear" w:color="auto" w:fill="000080"/>
      <w:jc w:val="both"/>
    </w:pPr>
    <w:rPr>
      <w:rFonts w:hint="default" w:ascii="Times New Roman" w:hAnsi="Times New Roman" w:eastAsia="宋体" w:cs="Times New Roman"/>
      <w:sz w:val="21"/>
      <w:lang w:val="en-US" w:eastAsia="zh-CN" w:bidi="ar-SA"/>
    </w:rPr>
  </w:style>
  <w:style w:type="character" w:customStyle="1" w:styleId="129">
    <w:name w:val="Heading 1 Char"/>
    <w:basedOn w:val="67"/>
    <w:qFormat/>
    <w:uiPriority w:val="9"/>
    <w:rPr>
      <w:rFonts w:ascii="Arial" w:hAnsi="Arial" w:eastAsia="Arial" w:cs="Arial"/>
      <w:sz w:val="40"/>
      <w:szCs w:val="40"/>
    </w:rPr>
  </w:style>
  <w:style w:type="character" w:customStyle="1" w:styleId="130">
    <w:name w:val="Heading 2 Char"/>
    <w:basedOn w:val="67"/>
    <w:qFormat/>
    <w:uiPriority w:val="9"/>
    <w:rPr>
      <w:rFonts w:ascii="Arial" w:hAnsi="Arial" w:eastAsia="Arial" w:cs="Arial"/>
      <w:sz w:val="34"/>
    </w:rPr>
  </w:style>
  <w:style w:type="character" w:customStyle="1" w:styleId="131">
    <w:name w:val="Heading 3 Char"/>
    <w:basedOn w:val="67"/>
    <w:qFormat/>
    <w:uiPriority w:val="9"/>
    <w:rPr>
      <w:rFonts w:ascii="Arial" w:hAnsi="Arial" w:eastAsia="Arial" w:cs="Arial"/>
      <w:sz w:val="30"/>
      <w:szCs w:val="30"/>
    </w:rPr>
  </w:style>
  <w:style w:type="character" w:customStyle="1" w:styleId="132">
    <w:name w:val="Heading 4 Char"/>
    <w:basedOn w:val="67"/>
    <w:qFormat/>
    <w:uiPriority w:val="9"/>
    <w:rPr>
      <w:rFonts w:ascii="Arial" w:hAnsi="Arial" w:eastAsia="Arial" w:cs="Arial"/>
      <w:b/>
      <w:bCs/>
      <w:sz w:val="26"/>
      <w:szCs w:val="26"/>
    </w:rPr>
  </w:style>
  <w:style w:type="character" w:customStyle="1" w:styleId="133">
    <w:name w:val="Heading 5 Char"/>
    <w:basedOn w:val="67"/>
    <w:qFormat/>
    <w:uiPriority w:val="9"/>
    <w:rPr>
      <w:rFonts w:ascii="Arial" w:hAnsi="Arial" w:eastAsia="Arial" w:cs="Arial"/>
      <w:b/>
      <w:bCs/>
      <w:sz w:val="24"/>
      <w:szCs w:val="24"/>
    </w:rPr>
  </w:style>
  <w:style w:type="character" w:customStyle="1" w:styleId="134">
    <w:name w:val="Heading 6 Char"/>
    <w:basedOn w:val="67"/>
    <w:qFormat/>
    <w:uiPriority w:val="9"/>
    <w:rPr>
      <w:rFonts w:ascii="Arial" w:hAnsi="Arial" w:eastAsia="Arial" w:cs="Arial"/>
      <w:b/>
      <w:bCs/>
      <w:sz w:val="22"/>
      <w:szCs w:val="22"/>
    </w:rPr>
  </w:style>
  <w:style w:type="character" w:customStyle="1" w:styleId="135">
    <w:name w:val="Heading 7 Char"/>
    <w:basedOn w:val="67"/>
    <w:qFormat/>
    <w:uiPriority w:val="9"/>
    <w:rPr>
      <w:rFonts w:ascii="Arial" w:hAnsi="Arial" w:eastAsia="Arial" w:cs="Arial"/>
      <w:b/>
      <w:bCs/>
      <w:i/>
      <w:iCs/>
      <w:sz w:val="22"/>
      <w:szCs w:val="22"/>
    </w:rPr>
  </w:style>
  <w:style w:type="character" w:customStyle="1" w:styleId="136">
    <w:name w:val="Heading 8 Char"/>
    <w:basedOn w:val="67"/>
    <w:qFormat/>
    <w:uiPriority w:val="9"/>
    <w:rPr>
      <w:rFonts w:ascii="Arial" w:hAnsi="Arial" w:eastAsia="Arial" w:cs="Arial"/>
      <w:i/>
      <w:iCs/>
      <w:sz w:val="22"/>
      <w:szCs w:val="22"/>
    </w:rPr>
  </w:style>
  <w:style w:type="character" w:customStyle="1" w:styleId="137">
    <w:name w:val="Heading 9 Char"/>
    <w:basedOn w:val="67"/>
    <w:qFormat/>
    <w:uiPriority w:val="9"/>
    <w:rPr>
      <w:rFonts w:ascii="Arial" w:hAnsi="Arial" w:eastAsia="Arial" w:cs="Arial"/>
      <w:i/>
      <w:iCs/>
      <w:sz w:val="21"/>
      <w:szCs w:val="21"/>
    </w:rPr>
  </w:style>
  <w:style w:type="character" w:customStyle="1" w:styleId="138">
    <w:name w:val="Title Char"/>
    <w:basedOn w:val="67"/>
    <w:qFormat/>
    <w:uiPriority w:val="10"/>
    <w:rPr>
      <w:sz w:val="48"/>
      <w:szCs w:val="48"/>
    </w:rPr>
  </w:style>
  <w:style w:type="character" w:customStyle="1" w:styleId="139">
    <w:name w:val="Subtitle Char"/>
    <w:basedOn w:val="67"/>
    <w:qFormat/>
    <w:uiPriority w:val="11"/>
    <w:rPr>
      <w:sz w:val="24"/>
      <w:szCs w:val="24"/>
    </w:rPr>
  </w:style>
  <w:style w:type="paragraph" w:styleId="140">
    <w:name w:val="Quote"/>
    <w:basedOn w:val="1"/>
    <w:next w:val="1"/>
    <w:link w:val="141"/>
    <w:qFormat/>
    <w:uiPriority w:val="29"/>
    <w:pPr>
      <w:ind w:left="720" w:right="720"/>
    </w:pPr>
    <w:rPr>
      <w:i/>
    </w:rPr>
  </w:style>
  <w:style w:type="character" w:customStyle="1" w:styleId="141">
    <w:name w:val="引用 字符"/>
    <w:link w:val="140"/>
    <w:qFormat/>
    <w:uiPriority w:val="29"/>
    <w:rPr>
      <w:i/>
    </w:rPr>
  </w:style>
  <w:style w:type="paragraph" w:styleId="142">
    <w:name w:val="Intense Quote"/>
    <w:basedOn w:val="1"/>
    <w:next w:val="1"/>
    <w:link w:val="14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43">
    <w:name w:val="明显引用 字符"/>
    <w:link w:val="142"/>
    <w:qFormat/>
    <w:uiPriority w:val="30"/>
    <w:rPr>
      <w:i/>
    </w:rPr>
  </w:style>
  <w:style w:type="character" w:customStyle="1" w:styleId="144">
    <w:name w:val="Header Char"/>
    <w:basedOn w:val="67"/>
    <w:qFormat/>
    <w:uiPriority w:val="99"/>
  </w:style>
  <w:style w:type="character" w:customStyle="1" w:styleId="145">
    <w:name w:val="Footer Char"/>
    <w:basedOn w:val="67"/>
    <w:qFormat/>
    <w:uiPriority w:val="99"/>
  </w:style>
  <w:style w:type="character" w:customStyle="1" w:styleId="146">
    <w:name w:val="Caption Char"/>
    <w:qFormat/>
    <w:uiPriority w:val="99"/>
  </w:style>
  <w:style w:type="table" w:customStyle="1" w:styleId="147">
    <w:name w:val="Table Grid Light"/>
    <w:basedOn w:val="6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148">
    <w:name w:val="Grid Table 1 Light - Accent 1"/>
    <w:basedOn w:val="6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49">
    <w:name w:val="Grid Table 1 Light - Accent 2"/>
    <w:basedOn w:val="6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50">
    <w:name w:val="Grid Table 1 Light - Accent 3"/>
    <w:basedOn w:val="6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51">
    <w:name w:val="Grid Table 1 Light - Accent 4"/>
    <w:basedOn w:val="6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52">
    <w:name w:val="Grid Table 1 Light - Accent 5"/>
    <w:basedOn w:val="6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53">
    <w:name w:val="Grid Table 1 Light - Accent 6"/>
    <w:basedOn w:val="6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154">
    <w:name w:val="Grid Table 2 - Accent 1"/>
    <w:basedOn w:val="6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55">
    <w:name w:val="Grid Table 2 - Accent 2"/>
    <w:basedOn w:val="6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56">
    <w:name w:val="Grid Table 2 - Accent 3"/>
    <w:basedOn w:val="6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57">
    <w:name w:val="Grid Table 2 - Accent 4"/>
    <w:basedOn w:val="6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58">
    <w:name w:val="Grid Table 2 - Accent 5"/>
    <w:basedOn w:val="6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59">
    <w:name w:val="Grid Table 2 - Accent 6"/>
    <w:basedOn w:val="6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60">
    <w:name w:val="Grid Table 3 - Accent 1"/>
    <w:basedOn w:val="6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61">
    <w:name w:val="Grid Table 3 - Accent 2"/>
    <w:basedOn w:val="6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62">
    <w:name w:val="Grid Table 3 - Accent 3"/>
    <w:basedOn w:val="6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63">
    <w:name w:val="Grid Table 3 - Accent 4"/>
    <w:basedOn w:val="6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64">
    <w:name w:val="Grid Table 3 - Accent 5"/>
    <w:basedOn w:val="6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65">
    <w:name w:val="Grid Table 3 - Accent 6"/>
    <w:basedOn w:val="6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66">
    <w:name w:val="Grid Table 4 - Accent 1"/>
    <w:basedOn w:val="65"/>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67">
    <w:name w:val="Grid Table 4 - Accent 2"/>
    <w:basedOn w:val="65"/>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68">
    <w:name w:val="Grid Table 4 - Accent 3"/>
    <w:basedOn w:val="65"/>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69">
    <w:name w:val="Grid Table 4 - Accent 4"/>
    <w:basedOn w:val="65"/>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70">
    <w:name w:val="Grid Table 4 - Accent 5"/>
    <w:basedOn w:val="6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71">
    <w:name w:val="Grid Table 4 - Accent 6"/>
    <w:basedOn w:val="65"/>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72">
    <w:name w:val="Grid Table 5 Dark- Accent 1"/>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73">
    <w:name w:val="Grid Table 5 Dark - Accent 2"/>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74">
    <w:name w:val="Grid Table 5 Dark - Accent 3"/>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75">
    <w:name w:val="Grid Table 5 Dark- Accent 4"/>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76">
    <w:name w:val="Grid Table 5 Dark - Accent 5"/>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77">
    <w:name w:val="Grid Table 5 Dark - Accent 6"/>
    <w:basedOn w:val="6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78">
    <w:name w:val="Grid Table 6 Colorful - Accent 1"/>
    <w:basedOn w:val="65"/>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79">
    <w:name w:val="Grid Table 6 Colorful - Accent 2"/>
    <w:basedOn w:val="6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0">
    <w:name w:val="Grid Table 6 Colorful - Accent 3"/>
    <w:basedOn w:val="65"/>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14:textFill>
          <w14:solidFill>
            <w14:schemeClr w14:val="accent3"/>
          </w14:solidFill>
        </w14:textFill>
      </w:rPr>
      <w:tcPr>
        <w:tcBorders>
          <w:bottom w:val="single" w:color="9BBB59" w:themeColor="accent3" w:themeTint="FE" w:sz="12" w:space="0"/>
        </w:tcBorders>
      </w:tcPr>
    </w:tblStylePr>
    <w:tblStylePr w:type="lastRow">
      <w:rPr>
        <w:b/>
        <w:color w:val="9BBB59" w:themeColor="accent3"/>
        <w14:textFill>
          <w14:solidFill>
            <w14:schemeClr w14:val="accent3"/>
          </w14:solidFill>
        </w14:textFill>
      </w:rPr>
    </w:tblStylePr>
    <w:tblStylePr w:type="firstCol">
      <w:rPr>
        <w:b/>
        <w:color w:val="9BBB59" w:themeColor="accent3"/>
        <w14:textFill>
          <w14:solidFill>
            <w14:schemeClr w14:val="accent3"/>
          </w14:solidFill>
        </w14:textFill>
      </w:rPr>
    </w:tblStylePr>
    <w:tblStylePr w:type="lastCol">
      <w:rPr>
        <w:b/>
        <w:color w:val="9BBB59" w:themeColor="accent3"/>
        <w14:textFill>
          <w14:solidFill>
            <w14:schemeClr w14:val="accent3"/>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81">
    <w:name w:val="Grid Table 6 Colorful - Accent 4"/>
    <w:basedOn w:val="6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2">
    <w:name w:val="Grid Table 6 Colorful - Accent 5"/>
    <w:basedOn w:val="6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83">
    <w:name w:val="Grid Table 6 Colorful - Accent 6"/>
    <w:basedOn w:val="65"/>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84">
    <w:name w:val="Grid Table 7 Colorful - Accent 1"/>
    <w:basedOn w:val="65"/>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85">
    <w:name w:val="Grid Table 7 Colorful - Accent 2"/>
    <w:basedOn w:val="65"/>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6">
    <w:name w:val="Grid Table 7 Colorful - Accent 3"/>
    <w:basedOn w:val="65"/>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sz w:val="22"/>
        <w14:textFill>
          <w14:solidFill>
            <w14:schemeClr w14:val="accent3"/>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sz w:val="22"/>
        <w14:textFill>
          <w14:solidFill>
            <w14:schemeClr w14:val="accent3"/>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14:textFill>
          <w14:solidFill>
            <w14:schemeClr w14:val="accent3"/>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sz w:val="22"/>
        <w14:textFill>
          <w14:solidFill>
            <w14:schemeClr w14:val="accent3"/>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sz w:val="22"/>
        <w14:textFill>
          <w14:solidFill>
            <w14:schemeClr w14:val="accent3"/>
          </w14:solidFill>
        </w14:textFill>
      </w:rPr>
      <w:tcPr>
        <w:shd w:val="clear" w:color="EAF1DD" w:themeColor="accent3" w:themeTint="34" w:fill="EAF1DD" w:themeFill="accent3" w:themeFillTint="34"/>
      </w:tcPr>
    </w:tblStylePr>
    <w:tblStylePr w:type="band2Horz">
      <w:rPr>
        <w:rFonts w:ascii="Arial" w:hAnsi="Arial"/>
        <w:color w:val="9BBB59" w:themeColor="accent3"/>
        <w:sz w:val="22"/>
        <w14:textFill>
          <w14:solidFill>
            <w14:schemeClr w14:val="accent3"/>
          </w14:solidFill>
        </w14:textFill>
      </w:rPr>
    </w:tblStylePr>
  </w:style>
  <w:style w:type="table" w:customStyle="1" w:styleId="187">
    <w:name w:val="Grid Table 7 Colorful - Accent 4"/>
    <w:basedOn w:val="65"/>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8">
    <w:name w:val="Grid Table 7 Colorful - Accent 5"/>
    <w:basedOn w:val="6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89">
    <w:name w:val="Grid Table 7 Colorful - Accent 6"/>
    <w:basedOn w:val="65"/>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90">
    <w:name w:val="List Table 1 Light - Accent 1"/>
    <w:basedOn w:val="65"/>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91">
    <w:name w:val="List Table 1 Light - Accent 2"/>
    <w:basedOn w:val="65"/>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92">
    <w:name w:val="List Table 1 Light - Accent 3"/>
    <w:basedOn w:val="65"/>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93">
    <w:name w:val="List Table 1 Light - Accent 4"/>
    <w:basedOn w:val="65"/>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94">
    <w:name w:val="List Table 1 Light - Accent 5"/>
    <w:basedOn w:val="65"/>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95">
    <w:name w:val="List Table 1 Light - Accent 6"/>
    <w:basedOn w:val="65"/>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96">
    <w:name w:val="List Table 2 - Accent 1"/>
    <w:basedOn w:val="65"/>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97">
    <w:name w:val="List Table 2 - Accent 2"/>
    <w:basedOn w:val="65"/>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98">
    <w:name w:val="List Table 2 - Accent 3"/>
    <w:basedOn w:val="65"/>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99">
    <w:name w:val="List Table 2 - Accent 4"/>
    <w:basedOn w:val="65"/>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200">
    <w:name w:val="List Table 2 - Accent 5"/>
    <w:basedOn w:val="6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201">
    <w:name w:val="List Table 2 - Accent 6"/>
    <w:basedOn w:val="65"/>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202">
    <w:name w:val="List Table 3 - Accent 1"/>
    <w:basedOn w:val="65"/>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203">
    <w:name w:val="List Table 3 - Accent 2"/>
    <w:basedOn w:val="6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204">
    <w:name w:val="List Table 3 - Accent 3"/>
    <w:basedOn w:val="65"/>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205">
    <w:name w:val="List Table 3 - Accent 4"/>
    <w:basedOn w:val="6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206">
    <w:name w:val="List Table 3 - Accent 5"/>
    <w:basedOn w:val="6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207">
    <w:name w:val="List Table 3 - Accent 6"/>
    <w:basedOn w:val="65"/>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208">
    <w:name w:val="List Table 4 - Accent 1"/>
    <w:basedOn w:val="65"/>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209">
    <w:name w:val="List Table 4 - Accent 2"/>
    <w:basedOn w:val="65"/>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210">
    <w:name w:val="List Table 4 - Accent 3"/>
    <w:basedOn w:val="65"/>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211">
    <w:name w:val="List Table 4 - Accent 4"/>
    <w:basedOn w:val="65"/>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212">
    <w:name w:val="List Table 4 - Accent 5"/>
    <w:basedOn w:val="6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213">
    <w:name w:val="List Table 4 - Accent 6"/>
    <w:basedOn w:val="65"/>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214">
    <w:name w:val="List Table 5 Dark - Accent 1"/>
    <w:basedOn w:val="65"/>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215">
    <w:name w:val="List Table 5 Dark - Accent 2"/>
    <w:basedOn w:val="65"/>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216">
    <w:name w:val="List Table 5 Dark - Accent 3"/>
    <w:basedOn w:val="65"/>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217">
    <w:name w:val="List Table 5 Dark - Accent 4"/>
    <w:basedOn w:val="65"/>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218">
    <w:name w:val="List Table 5 Dark - Accent 5"/>
    <w:basedOn w:val="6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219">
    <w:name w:val="List Table 5 Dark - Accent 6"/>
    <w:basedOn w:val="65"/>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220">
    <w:name w:val="List Table 6 Colorful - Accent 1"/>
    <w:basedOn w:val="65"/>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221">
    <w:name w:val="List Table 6 Colorful - Accent 2"/>
    <w:basedOn w:val="65"/>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222">
    <w:name w:val="List Table 6 Colorful - Accent 3"/>
    <w:basedOn w:val="65"/>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223">
    <w:name w:val="List Table 6 Colorful - Accent 4"/>
    <w:basedOn w:val="65"/>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224">
    <w:name w:val="List Table 6 Colorful - Accent 5"/>
    <w:basedOn w:val="65"/>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25">
    <w:name w:val="List Table 6 Colorful - Accent 6"/>
    <w:basedOn w:val="65"/>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26">
    <w:name w:val="List Table 7 Colorful - Accent 1"/>
    <w:basedOn w:val="65"/>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227">
    <w:name w:val="List Table 7 Colorful - Accent 2"/>
    <w:basedOn w:val="65"/>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228">
    <w:name w:val="List Table 7 Colorful - Accent 3"/>
    <w:basedOn w:val="65"/>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229">
    <w:name w:val="List Table 7 Colorful - Accent 4"/>
    <w:basedOn w:val="65"/>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230">
    <w:name w:val="List Table 7 Colorful - Accent 5"/>
    <w:basedOn w:val="65"/>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231">
    <w:name w:val="List Table 7 Colorful - Accent 6"/>
    <w:basedOn w:val="65"/>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232">
    <w:name w:val="Lined - Accent"/>
    <w:basedOn w:val="65"/>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33">
    <w:name w:val="Lined - Accent 1"/>
    <w:basedOn w:val="65"/>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34">
    <w:name w:val="Lined - Accent 2"/>
    <w:basedOn w:val="65"/>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35">
    <w:name w:val="Lined - Accent 3"/>
    <w:basedOn w:val="65"/>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36">
    <w:name w:val="Lined - Accent 4"/>
    <w:basedOn w:val="65"/>
    <w:qFormat/>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37">
    <w:name w:val="Lined - Accent 5"/>
    <w:basedOn w:val="65"/>
    <w:qFormat/>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38">
    <w:name w:val="Lined - Accent 6"/>
    <w:basedOn w:val="65"/>
    <w:qFormat/>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39">
    <w:name w:val="Bordered &amp; Lined - Accent"/>
    <w:basedOn w:val="65"/>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240">
    <w:name w:val="Bordered &amp; Lined - Accent 1"/>
    <w:basedOn w:val="65"/>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241">
    <w:name w:val="Bordered &amp; Lined - Accent 2"/>
    <w:basedOn w:val="65"/>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242">
    <w:name w:val="Bordered &amp; Lined - Accent 3"/>
    <w:basedOn w:val="65"/>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243">
    <w:name w:val="Bordered &amp; Lined - Accent 4"/>
    <w:basedOn w:val="65"/>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44">
    <w:name w:val="Bordered &amp; Lined - Accent 5"/>
    <w:basedOn w:val="65"/>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45">
    <w:name w:val="Bordered &amp; Lined - Accent 6"/>
    <w:basedOn w:val="65"/>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46">
    <w:name w:val="Bordered"/>
    <w:basedOn w:val="65"/>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47">
    <w:name w:val="Bordered - Accent 1"/>
    <w:basedOn w:val="6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48">
    <w:name w:val="Bordered - Accent 2"/>
    <w:basedOn w:val="6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49">
    <w:name w:val="Bordered - Accent 3"/>
    <w:basedOn w:val="6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50">
    <w:name w:val="Bordered - Accent 4"/>
    <w:basedOn w:val="6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51">
    <w:name w:val="Bordered - Accent 5"/>
    <w:basedOn w:val="6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52">
    <w:name w:val="Bordered - Accent 6"/>
    <w:basedOn w:val="6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53">
    <w:name w:val="脚注文本 字符"/>
    <w:link w:val="49"/>
    <w:qFormat/>
    <w:uiPriority w:val="99"/>
    <w:rPr>
      <w:sz w:val="18"/>
    </w:rPr>
  </w:style>
  <w:style w:type="character" w:customStyle="1" w:styleId="254">
    <w:name w:val="尾注文本 字符"/>
    <w:link w:val="37"/>
    <w:qFormat/>
    <w:uiPriority w:val="99"/>
    <w:rPr>
      <w:sz w:val="20"/>
    </w:rPr>
  </w:style>
  <w:style w:type="paragraph" w:customStyle="1" w:styleId="255">
    <w:name w:val="TOC 标题111"/>
    <w:unhideWhenUsed/>
    <w:qFormat/>
    <w:uiPriority w:val="39"/>
    <w:rPr>
      <w:rFonts w:hint="default" w:ascii="Times New Roman" w:hAnsi="Times New Roman" w:eastAsia="宋体" w:cs="Times New Roman"/>
      <w:lang w:val="en-US" w:eastAsia="zh-CN" w:bidi="ar-SA"/>
    </w:rPr>
  </w:style>
  <w:style w:type="paragraph" w:customStyle="1" w:styleId="256">
    <w:name w:val="段"/>
    <w:next w:val="1"/>
    <w:qFormat/>
    <w:uiPriority w:val="0"/>
    <w:pPr>
      <w:ind w:firstLine="200"/>
      <w:jc w:val="both"/>
    </w:pPr>
    <w:rPr>
      <w:rFonts w:hint="default" w:ascii="宋体" w:hAnsi="Times New Roman" w:eastAsia="宋体" w:cs="Times New Roman"/>
      <w:sz w:val="21"/>
      <w:lang w:val="en-US" w:eastAsia="zh-CN" w:bidi="ar-SA"/>
    </w:rPr>
  </w:style>
  <w:style w:type="character" w:customStyle="1" w:styleId="257">
    <w:name w:val="签名 字符"/>
    <w:link w:val="42"/>
    <w:qFormat/>
    <w:uiPriority w:val="0"/>
    <w:rPr>
      <w:rFonts w:eastAsia="仿宋_GB2312"/>
      <w:sz w:val="24"/>
    </w:rPr>
  </w:style>
  <w:style w:type="character" w:customStyle="1" w:styleId="258">
    <w:name w:val="A8"/>
    <w:qFormat/>
    <w:uiPriority w:val="0"/>
    <w:rPr>
      <w:rFonts w:ascii="华文细黑." w:eastAsia="华文细黑." w:cs="华文细黑."/>
      <w:color w:val="000000"/>
      <w:sz w:val="14"/>
      <w:szCs w:val="14"/>
    </w:rPr>
  </w:style>
  <w:style w:type="character" w:customStyle="1" w:styleId="259">
    <w:name w:val="标题 3 字符1"/>
    <w:qFormat/>
    <w:uiPriority w:val="0"/>
    <w:rPr>
      <w:rFonts w:ascii="宋体" w:hAnsi="宋体" w:eastAsia="宋体"/>
      <w:sz w:val="28"/>
      <w:lang w:val="en-US" w:eastAsia="zh-CN" w:bidi="ar-SA"/>
    </w:rPr>
  </w:style>
  <w:style w:type="character" w:customStyle="1" w:styleId="260">
    <w:name w:val="正文缩进1 Char"/>
    <w:qFormat/>
    <w:uiPriority w:val="0"/>
    <w:rPr>
      <w:rFonts w:ascii="Times New Roman" w:hAnsi="Times New Roman" w:eastAsia="楷体_GB2312" w:cs="Times New Roman"/>
      <w:sz w:val="24"/>
      <w:szCs w:val="20"/>
    </w:rPr>
  </w:style>
  <w:style w:type="character" w:customStyle="1" w:styleId="261">
    <w:name w:val="ih151"/>
    <w:qFormat/>
    <w:uiPriority w:val="0"/>
    <w:rPr>
      <w:color w:val="666666"/>
      <w:sz w:val="18"/>
      <w:szCs w:val="18"/>
      <w:u w:val="none"/>
    </w:rPr>
  </w:style>
  <w:style w:type="character" w:customStyle="1" w:styleId="262">
    <w:name w:val="02 标题 Char"/>
    <w:link w:val="263"/>
    <w:qFormat/>
    <w:uiPriority w:val="0"/>
    <w:rPr>
      <w:b/>
      <w:sz w:val="21"/>
      <w:szCs w:val="21"/>
    </w:rPr>
  </w:style>
  <w:style w:type="paragraph" w:customStyle="1" w:styleId="263">
    <w:name w:val="02 标题"/>
    <w:basedOn w:val="1"/>
    <w:link w:val="262"/>
    <w:qFormat/>
    <w:uiPriority w:val="0"/>
    <w:pPr>
      <w:keepNext/>
      <w:widowControl/>
      <w:spacing w:line="360" w:lineRule="auto"/>
      <w:outlineLvl w:val="0"/>
    </w:pPr>
    <w:rPr>
      <w:b/>
      <w:szCs w:val="21"/>
    </w:rPr>
  </w:style>
  <w:style w:type="character" w:customStyle="1" w:styleId="264">
    <w:name w:val="3级方案标题 字符"/>
    <w:link w:val="265"/>
    <w:qFormat/>
    <w:uiPriority w:val="0"/>
    <w:rPr>
      <w:rFonts w:ascii="宋体" w:hAnsi="宋体"/>
      <w:b/>
      <w:color w:val="000000"/>
      <w:sz w:val="32"/>
      <w:szCs w:val="32"/>
    </w:rPr>
  </w:style>
  <w:style w:type="paragraph" w:customStyle="1" w:styleId="265">
    <w:name w:val="3级方案标题"/>
    <w:basedOn w:val="4"/>
    <w:link w:val="264"/>
    <w:qFormat/>
    <w:uiPriority w:val="0"/>
    <w:pPr>
      <w:keepLines/>
      <w:tabs>
        <w:tab w:val="left" w:pos="2717"/>
        <w:tab w:val="left" w:pos="3556"/>
      </w:tabs>
      <w:spacing w:before="100" w:beforeAutospacing="1" w:after="100" w:afterAutospacing="1" w:line="360" w:lineRule="auto"/>
      <w:ind w:left="1260" w:hanging="420"/>
      <w:jc w:val="both"/>
    </w:pPr>
    <w:rPr>
      <w:b/>
      <w:color w:val="000000"/>
      <w:sz w:val="32"/>
      <w:szCs w:val="32"/>
    </w:rPr>
  </w:style>
  <w:style w:type="character" w:customStyle="1" w:styleId="266">
    <w:name w:val="页眉 字符2"/>
    <w:link w:val="41"/>
    <w:qFormat/>
    <w:uiPriority w:val="99"/>
    <w:rPr>
      <w:rFonts w:eastAsia="宋体"/>
      <w:sz w:val="18"/>
      <w:lang w:val="en-US" w:eastAsia="zh-CN" w:bidi="ar-SA"/>
    </w:rPr>
  </w:style>
  <w:style w:type="character" w:customStyle="1" w:styleId="267">
    <w:name w:val="正文文本缩进 3 字符1"/>
    <w:link w:val="51"/>
    <w:qFormat/>
    <w:uiPriority w:val="0"/>
    <w:rPr>
      <w:b/>
      <w:bCs/>
      <w:sz w:val="28"/>
      <w:u w:val="single"/>
    </w:rPr>
  </w:style>
  <w:style w:type="character" w:customStyle="1" w:styleId="268">
    <w:name w:val="正文文本首行缩进 字符"/>
    <w:basedOn w:val="269"/>
    <w:link w:val="63"/>
    <w:qFormat/>
    <w:uiPriority w:val="0"/>
    <w:rPr>
      <w:rFonts w:ascii="Tahoma" w:hAnsi="Tahoma" w:eastAsia="Times New Roman"/>
      <w:sz w:val="21"/>
      <w:szCs w:val="24"/>
      <w:lang w:val="en-US" w:eastAsia="zh-CN" w:bidi="ar-SA"/>
    </w:rPr>
  </w:style>
  <w:style w:type="character" w:customStyle="1" w:styleId="269">
    <w:name w:val="正文文本 字符"/>
    <w:qFormat/>
    <w:uiPriority w:val="0"/>
    <w:rPr>
      <w:rFonts w:ascii="Tahoma" w:hAnsi="Tahoma" w:eastAsia="Times New Roman"/>
      <w:sz w:val="21"/>
      <w:szCs w:val="24"/>
      <w:lang w:val="en-US" w:eastAsia="zh-CN" w:bidi="ar-SA"/>
    </w:rPr>
  </w:style>
  <w:style w:type="character" w:customStyle="1" w:styleId="270">
    <w:name w:val="标题 9 字符1"/>
    <w:link w:val="10"/>
    <w:qFormat/>
    <w:uiPriority w:val="0"/>
    <w:rPr>
      <w:b/>
      <w:bCs/>
      <w:sz w:val="21"/>
      <w:szCs w:val="24"/>
    </w:rPr>
  </w:style>
  <w:style w:type="character" w:customStyle="1" w:styleId="271">
    <w:name w:val="Char Char9"/>
    <w:qFormat/>
    <w:uiPriority w:val="0"/>
    <w:rPr>
      <w:sz w:val="18"/>
      <w:szCs w:val="18"/>
    </w:rPr>
  </w:style>
  <w:style w:type="character" w:customStyle="1" w:styleId="272">
    <w:name w:val="注释标题 字符"/>
    <w:link w:val="14"/>
    <w:qFormat/>
    <w:uiPriority w:val="0"/>
    <w:rPr>
      <w:sz w:val="24"/>
      <w:szCs w:val="24"/>
    </w:rPr>
  </w:style>
  <w:style w:type="character" w:customStyle="1" w:styleId="273">
    <w:name w:val="正文缩进 Char1"/>
    <w:qFormat/>
    <w:uiPriority w:val="0"/>
    <w:rPr>
      <w:rFonts w:eastAsia="楷体_GB2312"/>
      <w:sz w:val="24"/>
    </w:rPr>
  </w:style>
  <w:style w:type="character" w:customStyle="1" w:styleId="274">
    <w:name w:val="批注框文本 字符1"/>
    <w:link w:val="38"/>
    <w:qFormat/>
    <w:uiPriority w:val="0"/>
    <w:rPr>
      <w:rFonts w:ascii="Calibri" w:hAnsi="Calibri" w:eastAsia="宋体"/>
      <w:sz w:val="18"/>
      <w:szCs w:val="18"/>
      <w:lang w:val="en-US" w:eastAsia="zh-CN" w:bidi="ar-SA"/>
    </w:rPr>
  </w:style>
  <w:style w:type="character" w:customStyle="1" w:styleId="275">
    <w:name w:val="UH正文 Char"/>
    <w:link w:val="276"/>
    <w:qFormat/>
    <w:uiPriority w:val="0"/>
    <w:rPr>
      <w:rFonts w:ascii="Arial" w:hAnsi="Arial"/>
      <w:sz w:val="24"/>
      <w:szCs w:val="21"/>
      <w:lang w:val="en-US" w:eastAsia="zh-CN" w:bidi="ar-SA"/>
    </w:rPr>
  </w:style>
  <w:style w:type="paragraph" w:customStyle="1" w:styleId="276">
    <w:name w:val="UH正文"/>
    <w:link w:val="275"/>
    <w:qFormat/>
    <w:uiPriority w:val="0"/>
    <w:pPr>
      <w:spacing w:line="360" w:lineRule="auto"/>
      <w:ind w:firstLine="200"/>
    </w:pPr>
    <w:rPr>
      <w:rFonts w:hint="default" w:ascii="Arial" w:hAnsi="Arial" w:eastAsia="宋体" w:cs="Times New Roman"/>
      <w:sz w:val="24"/>
      <w:szCs w:val="21"/>
      <w:lang w:val="en-US" w:eastAsia="zh-CN" w:bidi="ar-SA"/>
    </w:rPr>
  </w:style>
  <w:style w:type="character" w:customStyle="1" w:styleId="277">
    <w:name w:val="纯文本 字符1"/>
    <w:link w:val="32"/>
    <w:qFormat/>
    <w:uiPriority w:val="0"/>
    <w:rPr>
      <w:rFonts w:ascii="宋体" w:hAnsi="Courier New" w:eastAsia="宋体"/>
      <w:sz w:val="21"/>
      <w:lang w:val="en-US" w:eastAsia="zh-CN" w:bidi="ar-SA"/>
    </w:rPr>
  </w:style>
  <w:style w:type="character" w:customStyle="1" w:styleId="278">
    <w:name w:val="标题 7 字符1"/>
    <w:link w:val="8"/>
    <w:qFormat/>
    <w:uiPriority w:val="0"/>
    <w:rPr>
      <w:rFonts w:ascii="Arial" w:hAnsi="Arial" w:cs="Arial"/>
      <w:b/>
      <w:bCs/>
      <w:sz w:val="16"/>
      <w:szCs w:val="16"/>
    </w:rPr>
  </w:style>
  <w:style w:type="character" w:customStyle="1" w:styleId="279">
    <w:name w:val="Andy_3级 Char"/>
    <w:link w:val="280"/>
    <w:qFormat/>
    <w:uiPriority w:val="0"/>
    <w:rPr>
      <w:rFonts w:ascii="Calibri" w:hAnsi="Calibri"/>
      <w:sz w:val="24"/>
    </w:rPr>
  </w:style>
  <w:style w:type="paragraph" w:customStyle="1" w:styleId="280">
    <w:name w:val="Andy_3级"/>
    <w:basedOn w:val="1"/>
    <w:link w:val="279"/>
    <w:qFormat/>
    <w:uiPriority w:val="0"/>
    <w:pPr>
      <w:tabs>
        <w:tab w:val="left" w:pos="1260"/>
      </w:tabs>
      <w:spacing w:line="360" w:lineRule="auto"/>
      <w:ind w:left="1260" w:hanging="420"/>
    </w:pPr>
    <w:rPr>
      <w:rFonts w:ascii="Calibri" w:hAnsi="Calibri"/>
      <w:sz w:val="24"/>
    </w:rPr>
  </w:style>
  <w:style w:type="character" w:customStyle="1" w:styleId="281">
    <w:name w:val="Plain Text Char1"/>
    <w:link w:val="282"/>
    <w:qFormat/>
    <w:uiPriority w:val="0"/>
    <w:rPr>
      <w:rFonts w:ascii="宋体" w:hAnsi="Courier New" w:eastAsia="楷体_GB2312"/>
      <w:sz w:val="26"/>
    </w:rPr>
  </w:style>
  <w:style w:type="paragraph" w:customStyle="1" w:styleId="282">
    <w:name w:val="纯文本1"/>
    <w:basedOn w:val="1"/>
    <w:link w:val="281"/>
    <w:qFormat/>
    <w:uiPriority w:val="0"/>
    <w:rPr>
      <w:rFonts w:ascii="宋体" w:hAnsi="Courier New" w:eastAsia="楷体_GB2312"/>
      <w:sz w:val="26"/>
    </w:rPr>
  </w:style>
  <w:style w:type="character" w:customStyle="1" w:styleId="283">
    <w:name w:val="不明显参考1"/>
    <w:qFormat/>
    <w:uiPriority w:val="0"/>
    <w:rPr>
      <w:smallCaps/>
      <w:color w:val="C0504D"/>
      <w:u w:val="single"/>
    </w:rPr>
  </w:style>
  <w:style w:type="character" w:customStyle="1" w:styleId="284">
    <w:name w:val="标题 1 字符1"/>
    <w:link w:val="2"/>
    <w:qFormat/>
    <w:uiPriority w:val="0"/>
    <w:rPr>
      <w:rFonts w:ascii="宋体" w:hAnsi="宋体"/>
      <w:b/>
      <w:sz w:val="36"/>
    </w:rPr>
  </w:style>
  <w:style w:type="character" w:customStyle="1" w:styleId="285">
    <w:name w:val="样式6 Char"/>
    <w:link w:val="286"/>
    <w:qFormat/>
    <w:uiPriority w:val="0"/>
    <w:rPr>
      <w:rFonts w:ascii="Arial" w:hAnsi="Arial"/>
      <w:b/>
      <w:bCs/>
      <w:sz w:val="28"/>
      <w:szCs w:val="32"/>
    </w:rPr>
  </w:style>
  <w:style w:type="paragraph" w:customStyle="1" w:styleId="286">
    <w:name w:val="样式6"/>
    <w:basedOn w:val="3"/>
    <w:link w:val="285"/>
    <w:qFormat/>
    <w:uiPriority w:val="0"/>
    <w:pPr>
      <w:keepLines/>
      <w:jc w:val="both"/>
    </w:pPr>
    <w:rPr>
      <w:rFonts w:ascii="Arial" w:hAnsi="Arial"/>
      <w:szCs w:val="32"/>
    </w:rPr>
  </w:style>
  <w:style w:type="character" w:customStyle="1" w:styleId="287">
    <w:name w:val="*正文 Char"/>
    <w:link w:val="288"/>
    <w:qFormat/>
    <w:uiPriority w:val="0"/>
    <w:rPr>
      <w:rFonts w:ascii="宋体" w:hAnsi="宋体" w:cs="MS Gothic"/>
      <w:sz w:val="24"/>
      <w:szCs w:val="21"/>
      <w:u w:val="none"/>
    </w:rPr>
  </w:style>
  <w:style w:type="paragraph" w:customStyle="1" w:styleId="288">
    <w:name w:val="*正文"/>
    <w:basedOn w:val="1"/>
    <w:link w:val="287"/>
    <w:qFormat/>
    <w:uiPriority w:val="0"/>
    <w:pPr>
      <w:spacing w:line="360" w:lineRule="auto"/>
      <w:ind w:firstLine="480"/>
    </w:pPr>
    <w:rPr>
      <w:rFonts w:ascii="宋体" w:hAnsi="宋体"/>
      <w:sz w:val="24"/>
      <w:szCs w:val="21"/>
    </w:rPr>
  </w:style>
  <w:style w:type="character" w:customStyle="1" w:styleId="289">
    <w:name w:val="正文缩进 字符3"/>
    <w:link w:val="16"/>
    <w:qFormat/>
    <w:uiPriority w:val="0"/>
    <w:rPr>
      <w:sz w:val="21"/>
    </w:rPr>
  </w:style>
  <w:style w:type="character" w:customStyle="1" w:styleId="290">
    <w:name w:val="副标题 字符"/>
    <w:link w:val="47"/>
    <w:qFormat/>
    <w:uiPriority w:val="0"/>
    <w:rPr>
      <w:rFonts w:ascii="Cambria" w:hAnsi="Cambria" w:eastAsia="宋体"/>
      <w:b/>
      <w:bCs/>
      <w:sz w:val="32"/>
      <w:szCs w:val="32"/>
      <w:lang w:val="en-US" w:eastAsia="zh-CN" w:bidi="ar-SA"/>
    </w:rPr>
  </w:style>
  <w:style w:type="character" w:customStyle="1" w:styleId="291">
    <w:name w:val="页脚 字符2"/>
    <w:link w:val="39"/>
    <w:qFormat/>
    <w:uiPriority w:val="99"/>
    <w:rPr>
      <w:rFonts w:eastAsia="宋体"/>
      <w:sz w:val="18"/>
      <w:lang w:val="en-US" w:eastAsia="zh-CN" w:bidi="ar-SA"/>
    </w:rPr>
  </w:style>
  <w:style w:type="character" w:customStyle="1" w:styleId="292">
    <w:name w:val="王兴华的论文正文 Char"/>
    <w:link w:val="293"/>
    <w:qFormat/>
    <w:uiPriority w:val="0"/>
    <w:rPr>
      <w:rFonts w:eastAsia="宋体"/>
      <w:sz w:val="24"/>
      <w:szCs w:val="24"/>
      <w:lang w:val="en-US" w:eastAsia="zh-CN" w:bidi="ar-SA"/>
    </w:rPr>
  </w:style>
  <w:style w:type="paragraph" w:customStyle="1" w:styleId="293">
    <w:name w:val="王兴华的论文正文"/>
    <w:basedOn w:val="16"/>
    <w:link w:val="292"/>
    <w:qFormat/>
    <w:uiPriority w:val="0"/>
    <w:pPr>
      <w:spacing w:line="360" w:lineRule="auto"/>
      <w:ind w:firstLine="200"/>
    </w:pPr>
    <w:rPr>
      <w:sz w:val="24"/>
      <w:szCs w:val="24"/>
    </w:rPr>
  </w:style>
  <w:style w:type="character" w:customStyle="1" w:styleId="294">
    <w:name w:val="页眉 字符"/>
    <w:qFormat/>
    <w:uiPriority w:val="0"/>
    <w:rPr>
      <w:rFonts w:eastAsia="宋体"/>
      <w:sz w:val="18"/>
      <w:lang w:val="en-US" w:eastAsia="zh-CN" w:bidi="ar-SA"/>
    </w:rPr>
  </w:style>
  <w:style w:type="character" w:customStyle="1" w:styleId="295">
    <w:name w:val="HTML 预设格式 Char1"/>
    <w:qFormat/>
    <w:uiPriority w:val="0"/>
    <w:rPr>
      <w:rFonts w:ascii="Courier New" w:hAnsi="Courier New" w:eastAsia="楷体_GB2312" w:cs="Courier New"/>
    </w:rPr>
  </w:style>
  <w:style w:type="character" w:customStyle="1" w:styleId="296">
    <w:name w:val="标题 5 字符"/>
    <w:qFormat/>
    <w:uiPriority w:val="0"/>
    <w:rPr>
      <w:rFonts w:eastAsia="宋体"/>
      <w:b/>
      <w:bCs/>
      <w:sz w:val="28"/>
      <w:szCs w:val="28"/>
      <w:lang w:val="en-US" w:eastAsia="zh-CN" w:bidi="ar-SA"/>
    </w:rPr>
  </w:style>
  <w:style w:type="character" w:customStyle="1" w:styleId="297">
    <w:name w:val="正文首行缩进2字 Char"/>
    <w:link w:val="298"/>
    <w:qFormat/>
    <w:uiPriority w:val="0"/>
    <w:rPr>
      <w:rFonts w:eastAsia="楷体_GB2312"/>
      <w:sz w:val="24"/>
      <w:szCs w:val="24"/>
    </w:rPr>
  </w:style>
  <w:style w:type="paragraph" w:customStyle="1" w:styleId="298">
    <w:name w:val="正文首行缩进2字"/>
    <w:basedOn w:val="1"/>
    <w:link w:val="297"/>
    <w:qFormat/>
    <w:uiPriority w:val="0"/>
    <w:pPr>
      <w:spacing w:line="288" w:lineRule="auto"/>
      <w:ind w:firstLine="540"/>
    </w:pPr>
    <w:rPr>
      <w:rFonts w:eastAsia="楷体_GB2312"/>
      <w:sz w:val="24"/>
      <w:szCs w:val="24"/>
    </w:rPr>
  </w:style>
  <w:style w:type="character" w:customStyle="1" w:styleId="299">
    <w:name w:val="批注框文本 字符"/>
    <w:qFormat/>
    <w:uiPriority w:val="0"/>
    <w:rPr>
      <w:rFonts w:eastAsia="楷体_GB2312"/>
      <w:sz w:val="18"/>
      <w:szCs w:val="18"/>
      <w:lang w:bidi="ar-SA"/>
    </w:rPr>
  </w:style>
  <w:style w:type="character" w:customStyle="1" w:styleId="300">
    <w:name w:val="标题 字符"/>
    <w:link w:val="61"/>
    <w:qFormat/>
    <w:uiPriority w:val="0"/>
    <w:rPr>
      <w:rFonts w:ascii="Cambria" w:hAnsi="Cambria" w:eastAsia="宋体"/>
      <w:b/>
      <w:bCs/>
      <w:sz w:val="32"/>
      <w:szCs w:val="32"/>
      <w:lang w:val="en-US" w:eastAsia="zh-CN" w:bidi="ar-SA"/>
    </w:rPr>
  </w:style>
  <w:style w:type="character" w:customStyle="1" w:styleId="301">
    <w:name w:val="纯文本 Char"/>
    <w:qFormat/>
    <w:uiPriority w:val="0"/>
    <w:rPr>
      <w:rFonts w:ascii="宋体" w:hAnsi="Courier New" w:eastAsia="楷体_GB2312"/>
      <w:sz w:val="28"/>
      <w:lang w:val="en-US" w:eastAsia="zh-CN" w:bidi="ar-SA"/>
    </w:rPr>
  </w:style>
  <w:style w:type="character" w:customStyle="1" w:styleId="302">
    <w:name w:val="正文文本首行缩进 2 字符"/>
    <w:link w:val="64"/>
    <w:qFormat/>
    <w:uiPriority w:val="0"/>
    <w:rPr>
      <w:sz w:val="21"/>
      <w:szCs w:val="24"/>
    </w:rPr>
  </w:style>
  <w:style w:type="character" w:customStyle="1" w:styleId="303">
    <w:name w:val="表格正文 Char"/>
    <w:link w:val="304"/>
    <w:qFormat/>
    <w:uiPriority w:val="0"/>
    <w:rPr>
      <w:rFonts w:ascii="等线" w:hAnsi="等线"/>
      <w:sz w:val="21"/>
      <w:szCs w:val="21"/>
    </w:rPr>
  </w:style>
  <w:style w:type="paragraph" w:customStyle="1" w:styleId="304">
    <w:name w:val="表格正文"/>
    <w:basedOn w:val="1"/>
    <w:link w:val="303"/>
    <w:qFormat/>
    <w:uiPriority w:val="0"/>
    <w:rPr>
      <w:rFonts w:ascii="等线" w:hAnsi="等线"/>
      <w:szCs w:val="21"/>
    </w:rPr>
  </w:style>
  <w:style w:type="character" w:customStyle="1" w:styleId="305">
    <w:name w:val="HTML 预设格式 字符1"/>
    <w:link w:val="58"/>
    <w:qFormat/>
    <w:uiPriority w:val="0"/>
    <w:rPr>
      <w:rFonts w:ascii="黑体" w:hAnsi="Courier New" w:eastAsia="黑体" w:cs="Times New Roman"/>
      <w:szCs w:val="24"/>
    </w:rPr>
  </w:style>
  <w:style w:type="character" w:customStyle="1" w:styleId="306">
    <w:name w:val="Char Char2"/>
    <w:qFormat/>
    <w:uiPriority w:val="0"/>
    <w:rPr>
      <w:rFonts w:ascii="宋体" w:hAnsi="宋体" w:eastAsia="楷体_GB2312"/>
      <w:sz w:val="24"/>
      <w:lang w:val="en-US" w:eastAsia="zh-CN" w:bidi="ar-SA"/>
    </w:rPr>
  </w:style>
  <w:style w:type="character" w:customStyle="1" w:styleId="307">
    <w:name w:val="批注文字 字符1"/>
    <w:link w:val="21"/>
    <w:qFormat/>
    <w:uiPriority w:val="99"/>
    <w:rPr>
      <w:rFonts w:ascii="Calibri" w:hAnsi="Calibri"/>
      <w:sz w:val="21"/>
      <w:szCs w:val="22"/>
    </w:rPr>
  </w:style>
  <w:style w:type="character" w:customStyle="1" w:styleId="308">
    <w:name w:val="正文2 字符"/>
    <w:link w:val="309"/>
    <w:qFormat/>
    <w:uiPriority w:val="0"/>
    <w:rPr>
      <w:sz w:val="24"/>
      <w:szCs w:val="24"/>
    </w:rPr>
  </w:style>
  <w:style w:type="paragraph" w:customStyle="1" w:styleId="309">
    <w:name w:val="正文2"/>
    <w:basedOn w:val="1"/>
    <w:link w:val="308"/>
    <w:qFormat/>
    <w:uiPriority w:val="0"/>
    <w:pPr>
      <w:spacing w:line="360" w:lineRule="auto"/>
      <w:ind w:firstLine="420"/>
    </w:pPr>
    <w:rPr>
      <w:sz w:val="24"/>
      <w:szCs w:val="24"/>
    </w:rPr>
  </w:style>
  <w:style w:type="character" w:customStyle="1" w:styleId="310">
    <w:name w:val="font31"/>
    <w:qFormat/>
    <w:uiPriority w:val="0"/>
    <w:rPr>
      <w:rFonts w:hint="eastAsia" w:ascii="黑体" w:eastAsia="黑体" w:cs="黑体"/>
      <w:color w:val="000000"/>
      <w:sz w:val="20"/>
      <w:szCs w:val="20"/>
      <w:u w:val="none"/>
    </w:rPr>
  </w:style>
  <w:style w:type="character" w:customStyle="1" w:styleId="311">
    <w:name w:val="标题 8 字符1"/>
    <w:link w:val="9"/>
    <w:qFormat/>
    <w:uiPriority w:val="0"/>
    <w:rPr>
      <w:b/>
      <w:bCs/>
      <w:sz w:val="24"/>
      <w:szCs w:val="24"/>
    </w:rPr>
  </w:style>
  <w:style w:type="character" w:customStyle="1" w:styleId="312">
    <w:name w:val="正文首行缩进 Char"/>
    <w:qFormat/>
    <w:uiPriority w:val="0"/>
    <w:rPr>
      <w:rFonts w:ascii="楷体_GB2312" w:hAnsi="Arial" w:eastAsia="楷体_GB2312"/>
      <w:sz w:val="21"/>
    </w:rPr>
  </w:style>
  <w:style w:type="character" w:customStyle="1" w:styleId="313">
    <w:name w:val="正文文本缩进 2 字符"/>
    <w:link w:val="36"/>
    <w:qFormat/>
    <w:uiPriority w:val="0"/>
    <w:rPr>
      <w:sz w:val="24"/>
    </w:rPr>
  </w:style>
  <w:style w:type="character" w:customStyle="1" w:styleId="314">
    <w:name w:val="标题 6 字符1"/>
    <w:link w:val="7"/>
    <w:qFormat/>
    <w:uiPriority w:val="0"/>
    <w:rPr>
      <w:rFonts w:ascii="Cambria" w:hAnsi="Cambria" w:eastAsia="黑体"/>
      <w:b/>
      <w:bCs/>
      <w:sz w:val="28"/>
      <w:szCs w:val="24"/>
    </w:rPr>
  </w:style>
  <w:style w:type="character" w:customStyle="1" w:styleId="315">
    <w:name w:val="Char Char10"/>
    <w:qFormat/>
    <w:uiPriority w:val="0"/>
    <w:rPr>
      <w:rFonts w:ascii="Times New Roman" w:hAnsi="Times New Roman" w:eastAsia="宋体" w:cs="Times New Roman"/>
      <w:b/>
      <w:bCs/>
      <w:sz w:val="28"/>
      <w:szCs w:val="28"/>
    </w:rPr>
  </w:style>
  <w:style w:type="character" w:customStyle="1" w:styleId="316">
    <w:name w:val="标题 4 字符1"/>
    <w:link w:val="5"/>
    <w:qFormat/>
    <w:uiPriority w:val="0"/>
    <w:rPr>
      <w:b/>
      <w:bCs/>
      <w:sz w:val="18"/>
    </w:rPr>
  </w:style>
  <w:style w:type="character" w:customStyle="1" w:styleId="317">
    <w:name w:val="正文文本 字符1"/>
    <w:link w:val="24"/>
    <w:qFormat/>
    <w:uiPriority w:val="0"/>
    <w:rPr>
      <w:rFonts w:ascii="楷体_GB2312" w:hAnsi="Arial" w:eastAsia="楷体_GB2312"/>
      <w:sz w:val="28"/>
    </w:rPr>
  </w:style>
  <w:style w:type="character" w:customStyle="1" w:styleId="318">
    <w:name w:val="标题 8 字符"/>
    <w:qFormat/>
    <w:uiPriority w:val="0"/>
    <w:rPr>
      <w:rFonts w:ascii="Arial" w:hAnsi="Arial" w:eastAsia="黑体"/>
      <w:sz w:val="24"/>
      <w:szCs w:val="24"/>
      <w:lang w:val="en-US" w:eastAsia="zh-CN" w:bidi="ar-SA"/>
    </w:rPr>
  </w:style>
  <w:style w:type="character" w:customStyle="1" w:styleId="319">
    <w:name w:val="无间隔 Char"/>
    <w:link w:val="320"/>
    <w:qFormat/>
    <w:uiPriority w:val="1"/>
    <w:rPr>
      <w:rFonts w:ascii="Calibri" w:hAnsi="Calibri"/>
      <w:sz w:val="22"/>
      <w:szCs w:val="22"/>
      <w:lang w:val="en-US" w:eastAsia="zh-CN" w:bidi="ar-SA"/>
    </w:rPr>
  </w:style>
  <w:style w:type="paragraph" w:customStyle="1" w:styleId="320">
    <w:name w:val="无间隔1"/>
    <w:link w:val="319"/>
    <w:qFormat/>
    <w:uiPriority w:val="1"/>
    <w:rPr>
      <w:rFonts w:hint="default" w:ascii="Calibri" w:hAnsi="Calibri" w:eastAsia="宋体" w:cs="Times New Roman"/>
      <w:sz w:val="22"/>
      <w:szCs w:val="22"/>
      <w:lang w:val="en-US" w:eastAsia="zh-CN" w:bidi="ar-SA"/>
    </w:rPr>
  </w:style>
  <w:style w:type="character" w:customStyle="1" w:styleId="321">
    <w:name w:val="正文首行缩进 Char Char"/>
    <w:link w:val="322"/>
    <w:qFormat/>
    <w:uiPriority w:val="0"/>
    <w:rPr>
      <w:szCs w:val="24"/>
    </w:rPr>
  </w:style>
  <w:style w:type="paragraph" w:customStyle="1" w:styleId="322">
    <w:name w:val="正文首行缩进1"/>
    <w:basedOn w:val="24"/>
    <w:link w:val="321"/>
    <w:qFormat/>
    <w:uiPriority w:val="0"/>
    <w:pPr>
      <w:widowControl/>
      <w:spacing w:after="120"/>
      <w:ind w:firstLine="420"/>
    </w:pPr>
    <w:rPr>
      <w:rFonts w:ascii="Times New Roman" w:hAnsi="Times New Roman" w:eastAsia="宋体"/>
      <w:sz w:val="20"/>
      <w:szCs w:val="24"/>
    </w:rPr>
  </w:style>
  <w:style w:type="character" w:customStyle="1" w:styleId="323">
    <w:name w:val="font11"/>
    <w:basedOn w:val="67"/>
    <w:qFormat/>
    <w:uiPriority w:val="0"/>
    <w:rPr>
      <w:rFonts w:hint="eastAsia" w:ascii="宋体" w:hAnsi="宋体" w:eastAsia="宋体" w:cs="宋体"/>
      <w:color w:val="000000"/>
      <w:sz w:val="20"/>
      <w:szCs w:val="20"/>
      <w:u w:val="none"/>
    </w:rPr>
  </w:style>
  <w:style w:type="character" w:customStyle="1" w:styleId="324">
    <w:name w:val="列出段落 Char1"/>
    <w:qFormat/>
    <w:uiPriority w:val="34"/>
    <w:rPr>
      <w:sz w:val="21"/>
      <w:szCs w:val="22"/>
    </w:rPr>
  </w:style>
  <w:style w:type="character" w:customStyle="1" w:styleId="325">
    <w:name w:val="批注主题 字符1"/>
    <w:link w:val="62"/>
    <w:qFormat/>
    <w:uiPriority w:val="99"/>
    <w:rPr>
      <w:rFonts w:ascii="Calibri" w:hAnsi="Calibri" w:eastAsia="楷体_GB2312"/>
      <w:b/>
      <w:bCs/>
      <w:sz w:val="26"/>
      <w:szCs w:val="22"/>
    </w:rPr>
  </w:style>
  <w:style w:type="character" w:customStyle="1" w:styleId="326">
    <w:name w:val="blue3"/>
    <w:qFormat/>
    <w:uiPriority w:val="0"/>
    <w:rPr>
      <w:color w:val="0000FF"/>
      <w:spacing w:val="270"/>
      <w:u w:val="none"/>
    </w:rPr>
  </w:style>
  <w:style w:type="character" w:customStyle="1" w:styleId="327">
    <w:name w:val="列出段落 字符"/>
    <w:link w:val="328"/>
    <w:qFormat/>
    <w:uiPriority w:val="34"/>
    <w:rPr>
      <w:sz w:val="21"/>
      <w:szCs w:val="24"/>
    </w:rPr>
  </w:style>
  <w:style w:type="paragraph" w:customStyle="1" w:styleId="328">
    <w:name w:val="列出段落1"/>
    <w:basedOn w:val="1"/>
    <w:link w:val="327"/>
    <w:qFormat/>
    <w:uiPriority w:val="34"/>
    <w:pPr>
      <w:ind w:firstLine="420"/>
    </w:pPr>
    <w:rPr>
      <w:szCs w:val="24"/>
    </w:rPr>
  </w:style>
  <w:style w:type="character" w:customStyle="1" w:styleId="329">
    <w:name w:val="标题 3 字符2"/>
    <w:link w:val="4"/>
    <w:qFormat/>
    <w:uiPriority w:val="0"/>
    <w:rPr>
      <w:rFonts w:ascii="宋体" w:hAnsi="宋体" w:eastAsia="宋体"/>
      <w:sz w:val="28"/>
      <w:lang w:val="en-US" w:eastAsia="zh-CN" w:bidi="ar-SA"/>
    </w:rPr>
  </w:style>
  <w:style w:type="character" w:customStyle="1" w:styleId="330">
    <w:name w:val="正文首行缩进 2 Char"/>
    <w:qFormat/>
    <w:uiPriority w:val="0"/>
    <w:rPr>
      <w:rFonts w:ascii="宋体" w:eastAsia="宋体"/>
      <w:sz w:val="21"/>
      <w:lang w:val="en-US" w:eastAsia="zh-CN" w:bidi="ar-SA"/>
    </w:rPr>
  </w:style>
  <w:style w:type="character" w:customStyle="1" w:styleId="331">
    <w:name w:val="标题 5 字符1"/>
    <w:link w:val="6"/>
    <w:qFormat/>
    <w:uiPriority w:val="0"/>
    <w:rPr>
      <w:rFonts w:eastAsia="宋体"/>
      <w:b/>
      <w:bCs/>
      <w:sz w:val="18"/>
      <w:lang w:val="en-US" w:eastAsia="zh-CN" w:bidi="ar-SA"/>
    </w:rPr>
  </w:style>
  <w:style w:type="character" w:customStyle="1" w:styleId="332">
    <w:name w:val="正文文本缩进 字符3"/>
    <w:link w:val="25"/>
    <w:qFormat/>
    <w:uiPriority w:val="0"/>
    <w:rPr>
      <w:rFonts w:ascii="宋体" w:eastAsia="宋体"/>
      <w:sz w:val="28"/>
      <w:lang w:val="en-US" w:eastAsia="zh-CN" w:bidi="ar-SA"/>
    </w:rPr>
  </w:style>
  <w:style w:type="character" w:customStyle="1" w:styleId="333">
    <w:name w:val="ca-0"/>
    <w:qFormat/>
    <w:uiPriority w:val="0"/>
    <w:rPr>
      <w:rFonts w:ascii="Tahoma" w:hAnsi="Tahoma" w:eastAsia="宋体"/>
      <w:sz w:val="24"/>
      <w:szCs w:val="24"/>
      <w:lang w:val="en-US" w:eastAsia="zh-CN" w:bidi="ar-SA"/>
    </w:rPr>
  </w:style>
  <w:style w:type="character" w:customStyle="1" w:styleId="334">
    <w:name w:val="font41"/>
    <w:qFormat/>
    <w:uiPriority w:val="0"/>
    <w:rPr>
      <w:rFonts w:hint="eastAsia" w:ascii="宋体" w:hAnsi="宋体" w:eastAsia="宋体" w:cs="宋体"/>
      <w:color w:val="000000"/>
      <w:sz w:val="20"/>
      <w:szCs w:val="20"/>
      <w:u w:val="none"/>
    </w:rPr>
  </w:style>
  <w:style w:type="character" w:customStyle="1" w:styleId="335">
    <w:name w:val="apple-converted-space"/>
    <w:qFormat/>
    <w:uiPriority w:val="0"/>
  </w:style>
  <w:style w:type="character" w:customStyle="1" w:styleId="336">
    <w:name w:val="标题 2 字符1"/>
    <w:link w:val="3"/>
    <w:qFormat/>
    <w:uiPriority w:val="0"/>
    <w:rPr>
      <w:rFonts w:ascii="宋体" w:hAnsi="宋体"/>
      <w:b/>
      <w:bCs/>
      <w:sz w:val="28"/>
      <w:szCs w:val="28"/>
    </w:rPr>
  </w:style>
  <w:style w:type="character" w:customStyle="1" w:styleId="337">
    <w:name w:val="文档结构图 字符"/>
    <w:link w:val="20"/>
    <w:qFormat/>
    <w:uiPriority w:val="99"/>
    <w:rPr>
      <w:sz w:val="21"/>
      <w:shd w:val="clear" w:color="auto" w:fill="000080"/>
    </w:rPr>
  </w:style>
  <w:style w:type="character" w:customStyle="1" w:styleId="338">
    <w:name w:val="日期 字符"/>
    <w:qFormat/>
    <w:uiPriority w:val="0"/>
    <w:rPr>
      <w:rFonts w:ascii="宋体" w:hAnsi="宋体" w:eastAsia="楷体_GB2312"/>
      <w:sz w:val="24"/>
      <w:szCs w:val="24"/>
      <w:lang w:val="en-US" w:eastAsia="zh-CN" w:bidi="ar-SA"/>
    </w:rPr>
  </w:style>
  <w:style w:type="character" w:customStyle="1" w:styleId="339">
    <w:name w:val="不明显强调1"/>
    <w:qFormat/>
    <w:uiPriority w:val="19"/>
    <w:rPr>
      <w:i/>
      <w:iCs/>
      <w:color w:val="808080"/>
    </w:rPr>
  </w:style>
  <w:style w:type="character" w:customStyle="1" w:styleId="340">
    <w:name w:val="日期 字符1"/>
    <w:link w:val="35"/>
    <w:qFormat/>
    <w:uiPriority w:val="0"/>
    <w:rPr>
      <w:rFonts w:ascii="宋体"/>
      <w:sz w:val="28"/>
    </w:rPr>
  </w:style>
  <w:style w:type="character" w:customStyle="1" w:styleId="341">
    <w:name w:val="标题 7 字符"/>
    <w:qFormat/>
    <w:uiPriority w:val="0"/>
    <w:rPr>
      <w:rFonts w:ascii="宋体" w:hAnsi="Tahoma" w:eastAsia="仿宋_GB2312"/>
      <w:b/>
      <w:sz w:val="24"/>
      <w:szCs w:val="24"/>
      <w:lang w:val="en-US" w:eastAsia="zh-CN" w:bidi="ar-SA"/>
    </w:rPr>
  </w:style>
  <w:style w:type="character" w:customStyle="1" w:styleId="342">
    <w:name w:val="style221"/>
    <w:qFormat/>
    <w:uiPriority w:val="0"/>
    <w:rPr>
      <w:b/>
      <w:bCs/>
      <w:color w:val="000099"/>
    </w:rPr>
  </w:style>
  <w:style w:type="character" w:customStyle="1" w:styleId="343">
    <w:name w:val="正文文本 2 字符1"/>
    <w:link w:val="57"/>
    <w:qFormat/>
    <w:uiPriority w:val="99"/>
    <w:rPr>
      <w:sz w:val="21"/>
    </w:rPr>
  </w:style>
  <w:style w:type="character" w:customStyle="1" w:styleId="344">
    <w:name w:val="_正文 Char"/>
    <w:link w:val="345"/>
    <w:qFormat/>
    <w:uiPriority w:val="0"/>
    <w:rPr>
      <w:sz w:val="24"/>
      <w:szCs w:val="24"/>
    </w:rPr>
  </w:style>
  <w:style w:type="paragraph" w:customStyle="1" w:styleId="345">
    <w:name w:val="_正文"/>
    <w:basedOn w:val="1"/>
    <w:link w:val="344"/>
    <w:qFormat/>
    <w:uiPriority w:val="0"/>
    <w:pPr>
      <w:spacing w:line="360" w:lineRule="auto"/>
      <w:ind w:firstLine="200"/>
    </w:pPr>
    <w:rPr>
      <w:sz w:val="24"/>
      <w:szCs w:val="24"/>
    </w:rPr>
  </w:style>
  <w:style w:type="character" w:customStyle="1" w:styleId="346">
    <w:name w:val="明显强调1"/>
    <w:qFormat/>
    <w:uiPriority w:val="21"/>
    <w:rPr>
      <w:b/>
      <w:bCs/>
      <w:i/>
      <w:iCs/>
      <w:color w:val="4F81BD"/>
    </w:rPr>
  </w:style>
  <w:style w:type="character" w:customStyle="1" w:styleId="347">
    <w:name w:val="正文文本 3 字符"/>
    <w:link w:val="23"/>
    <w:qFormat/>
    <w:uiPriority w:val="99"/>
    <w:rPr>
      <w:rFonts w:ascii="宋体" w:hAnsi="宋体" w:eastAsia="楷体_GB2312"/>
      <w:sz w:val="26"/>
    </w:rPr>
  </w:style>
  <w:style w:type="character" w:customStyle="1" w:styleId="348">
    <w:name w:val="正文缩进 字符"/>
    <w:qFormat/>
    <w:uiPriority w:val="0"/>
    <w:rPr>
      <w:rFonts w:eastAsia="楷体_GB2312"/>
      <w:sz w:val="24"/>
      <w:lang w:bidi="ar-SA"/>
    </w:rPr>
  </w:style>
  <w:style w:type="character" w:customStyle="1" w:styleId="349">
    <w:name w:val="正文文本缩进 3 Char1"/>
    <w:qFormat/>
    <w:uiPriority w:val="0"/>
    <w:rPr>
      <w:rFonts w:hint="default" w:ascii="Calibri" w:hAnsi="Calibri" w:cs="Calibri"/>
      <w:sz w:val="16"/>
      <w:szCs w:val="16"/>
    </w:rPr>
  </w:style>
  <w:style w:type="character" w:customStyle="1" w:styleId="350">
    <w:name w:val="题注 字符"/>
    <w:link w:val="17"/>
    <w:qFormat/>
    <w:uiPriority w:val="0"/>
    <w:rPr>
      <w:rFonts w:ascii="Arial" w:hAnsi="Arial" w:eastAsia="黑体"/>
    </w:rPr>
  </w:style>
  <w:style w:type="character" w:customStyle="1" w:styleId="351">
    <w:name w:val="批注框文本 Char1"/>
    <w:qFormat/>
    <w:uiPriority w:val="0"/>
    <w:rPr>
      <w:rFonts w:hint="default" w:ascii="Calibri" w:hAnsi="Calibri" w:cs="Calibri"/>
      <w:sz w:val="18"/>
      <w:szCs w:val="18"/>
    </w:rPr>
  </w:style>
  <w:style w:type="character" w:customStyle="1" w:styleId="352">
    <w:name w:val="正文文本缩进 Char"/>
    <w:qFormat/>
    <w:uiPriority w:val="99"/>
    <w:rPr>
      <w:rFonts w:ascii="宋体" w:eastAsia="宋体"/>
      <w:sz w:val="28"/>
      <w:lang w:val="en-US" w:eastAsia="zh-CN" w:bidi="ar-SA"/>
    </w:rPr>
  </w:style>
  <w:style w:type="character" w:customStyle="1" w:styleId="353">
    <w:name w:val="纯文本 字符"/>
    <w:qFormat/>
    <w:uiPriority w:val="0"/>
    <w:rPr>
      <w:rFonts w:ascii="宋体" w:hAnsi="Courier New" w:eastAsia="楷体_GB2312"/>
      <w:sz w:val="26"/>
      <w:lang w:bidi="ar-SA"/>
    </w:rPr>
  </w:style>
  <w:style w:type="character" w:customStyle="1" w:styleId="354">
    <w:name w:val="文章正文 字符"/>
    <w:link w:val="355"/>
    <w:qFormat/>
    <w:uiPriority w:val="0"/>
    <w:rPr>
      <w:sz w:val="24"/>
    </w:rPr>
  </w:style>
  <w:style w:type="paragraph" w:customStyle="1" w:styleId="355">
    <w:name w:val="文章正文"/>
    <w:basedOn w:val="1"/>
    <w:link w:val="354"/>
    <w:qFormat/>
    <w:uiPriority w:val="0"/>
    <w:pPr>
      <w:widowControl/>
      <w:spacing w:line="360" w:lineRule="auto"/>
      <w:ind w:firstLine="560"/>
      <w:jc w:val="left"/>
    </w:pPr>
    <w:rPr>
      <w:sz w:val="24"/>
    </w:rPr>
  </w:style>
  <w:style w:type="character" w:customStyle="1" w:styleId="356">
    <w:name w:val="Andy_2级 Char"/>
    <w:link w:val="357"/>
    <w:qFormat/>
    <w:uiPriority w:val="0"/>
    <w:rPr>
      <w:rFonts w:ascii="Calibri" w:hAnsi="Calibri"/>
      <w:sz w:val="24"/>
    </w:rPr>
  </w:style>
  <w:style w:type="paragraph" w:customStyle="1" w:styleId="357">
    <w:name w:val="Andy_2级"/>
    <w:basedOn w:val="1"/>
    <w:link w:val="356"/>
    <w:qFormat/>
    <w:uiPriority w:val="0"/>
    <w:pPr>
      <w:tabs>
        <w:tab w:val="left" w:pos="840"/>
      </w:tabs>
      <w:spacing w:line="360" w:lineRule="auto"/>
      <w:ind w:left="840" w:hanging="420"/>
    </w:pPr>
    <w:rPr>
      <w:rFonts w:ascii="Calibri" w:hAnsi="Calibri"/>
      <w:sz w:val="24"/>
    </w:rPr>
  </w:style>
  <w:style w:type="character" w:customStyle="1" w:styleId="358">
    <w:name w:val="方案正文 Char"/>
    <w:link w:val="359"/>
    <w:qFormat/>
    <w:uiPriority w:val="0"/>
    <w:rPr>
      <w:sz w:val="24"/>
    </w:rPr>
  </w:style>
  <w:style w:type="paragraph" w:customStyle="1" w:styleId="359">
    <w:name w:val="方案正文"/>
    <w:basedOn w:val="1"/>
    <w:link w:val="358"/>
    <w:qFormat/>
    <w:uiPriority w:val="0"/>
    <w:pPr>
      <w:spacing w:line="440" w:lineRule="atLeast"/>
    </w:pPr>
    <w:rPr>
      <w:sz w:val="24"/>
    </w:rPr>
  </w:style>
  <w:style w:type="character" w:customStyle="1" w:styleId="360">
    <w:name w:val="para1"/>
    <w:qFormat/>
    <w:uiPriority w:val="0"/>
    <w:rPr>
      <w:rFonts w:hint="default" w:ascii="Arial" w:hAnsi="Arial" w:cs="Arial"/>
      <w:sz w:val="18"/>
      <w:szCs w:val="18"/>
    </w:rPr>
  </w:style>
  <w:style w:type="character" w:customStyle="1" w:styleId="361">
    <w:name w:val="03 正文 Char"/>
    <w:link w:val="362"/>
    <w:qFormat/>
    <w:uiPriority w:val="0"/>
    <w:rPr>
      <w:sz w:val="21"/>
      <w:szCs w:val="22"/>
    </w:rPr>
  </w:style>
  <w:style w:type="paragraph" w:customStyle="1" w:styleId="362">
    <w:name w:val="03 正文"/>
    <w:basedOn w:val="1"/>
    <w:link w:val="361"/>
    <w:qFormat/>
    <w:uiPriority w:val="0"/>
    <w:pPr>
      <w:widowControl/>
      <w:spacing w:line="500" w:lineRule="atLeast"/>
      <w:ind w:firstLine="420"/>
    </w:pPr>
    <w:rPr>
      <w:szCs w:val="22"/>
    </w:rPr>
  </w:style>
  <w:style w:type="character" w:customStyle="1" w:styleId="363">
    <w:name w:val="param-name"/>
    <w:qFormat/>
    <w:uiPriority w:val="0"/>
    <w:rPr>
      <w:rFonts w:ascii="Tahoma" w:hAnsi="Tahoma" w:eastAsia="宋体"/>
      <w:sz w:val="24"/>
      <w:szCs w:val="24"/>
      <w:lang w:val="en-US" w:eastAsia="zh-CN" w:bidi="ar-SA"/>
    </w:rPr>
  </w:style>
  <w:style w:type="character" w:customStyle="1" w:styleId="364">
    <w:name w:val="apple-style-span"/>
    <w:qFormat/>
    <w:uiPriority w:val="0"/>
    <w:rPr>
      <w:rFonts w:ascii="Tahoma" w:hAnsi="Tahoma" w:eastAsia="宋体"/>
      <w:sz w:val="24"/>
      <w:szCs w:val="24"/>
      <w:lang w:val="en-US" w:eastAsia="zh-CN" w:bidi="ar-SA"/>
    </w:rPr>
  </w:style>
  <w:style w:type="character" w:customStyle="1" w:styleId="365">
    <w:name w:val="列出段落 Char"/>
    <w:qFormat/>
    <w:uiPriority w:val="34"/>
    <w:rPr>
      <w:rFonts w:ascii="Calibri" w:hAnsi="Calibri"/>
      <w:sz w:val="24"/>
    </w:rPr>
  </w:style>
  <w:style w:type="character" w:customStyle="1" w:styleId="366">
    <w:name w:val="Char Char8"/>
    <w:qFormat/>
    <w:uiPriority w:val="0"/>
    <w:rPr>
      <w:sz w:val="18"/>
      <w:szCs w:val="18"/>
    </w:rPr>
  </w:style>
  <w:style w:type="character" w:customStyle="1" w:styleId="367">
    <w:name w:val="正文文本缩进 字符1"/>
    <w:qFormat/>
    <w:uiPriority w:val="0"/>
    <w:rPr>
      <w:rFonts w:ascii="宋体" w:eastAsia="宋体"/>
      <w:sz w:val="28"/>
      <w:lang w:val="en-US" w:eastAsia="zh-CN" w:bidi="ar-SA"/>
    </w:rPr>
  </w:style>
  <w:style w:type="character" w:customStyle="1" w:styleId="368">
    <w:name w:val="HTML 预设格式 字符"/>
    <w:qFormat/>
    <w:uiPriority w:val="0"/>
    <w:rPr>
      <w:rFonts w:ascii="宋体" w:hAnsi="宋体" w:cs="宋体"/>
      <w:sz w:val="24"/>
      <w:szCs w:val="24"/>
    </w:rPr>
  </w:style>
  <w:style w:type="character" w:customStyle="1" w:styleId="369">
    <w:name w:val="style141"/>
    <w:qFormat/>
    <w:uiPriority w:val="0"/>
    <w:rPr>
      <w:rFonts w:hint="eastAsia" w:ascii="宋体" w:hAnsi="宋体" w:eastAsia="宋体"/>
    </w:rPr>
  </w:style>
  <w:style w:type="character" w:customStyle="1" w:styleId="370">
    <w:name w:val="_标题3 Char"/>
    <w:link w:val="371"/>
    <w:qFormat/>
    <w:uiPriority w:val="0"/>
    <w:rPr>
      <w:rFonts w:ascii="Calibri" w:hAnsi="Calibri" w:eastAsia="宋体" w:cs="Times New Roman"/>
      <w:b/>
      <w:sz w:val="28"/>
      <w:szCs w:val="21"/>
    </w:rPr>
  </w:style>
  <w:style w:type="paragraph" w:customStyle="1" w:styleId="371">
    <w:name w:val="_标题3"/>
    <w:basedOn w:val="1"/>
    <w:next w:val="1"/>
    <w:link w:val="370"/>
    <w:qFormat/>
    <w:uiPriority w:val="0"/>
    <w:pPr>
      <w:keepNext/>
      <w:spacing w:line="360" w:lineRule="auto"/>
      <w:jc w:val="left"/>
      <w:outlineLvl w:val="2"/>
    </w:pPr>
    <w:rPr>
      <w:rFonts w:ascii="Calibri" w:hAnsi="Calibri"/>
      <w:b/>
      <w:sz w:val="28"/>
      <w:szCs w:val="21"/>
    </w:rPr>
  </w:style>
  <w:style w:type="character" w:customStyle="1" w:styleId="372">
    <w:name w:val="列表段落 字符"/>
    <w:link w:val="373"/>
    <w:qFormat/>
    <w:uiPriority w:val="34"/>
    <w:rPr>
      <w:rFonts w:ascii="Calibri" w:hAnsi="Calibri"/>
      <w:sz w:val="24"/>
    </w:rPr>
  </w:style>
  <w:style w:type="paragraph" w:styleId="373">
    <w:name w:val="List Paragraph"/>
    <w:basedOn w:val="1"/>
    <w:link w:val="372"/>
    <w:qFormat/>
    <w:uiPriority w:val="34"/>
    <w:pPr>
      <w:spacing w:line="360" w:lineRule="auto"/>
      <w:ind w:firstLine="420"/>
    </w:pPr>
    <w:rPr>
      <w:rFonts w:ascii="Calibri" w:hAnsi="Calibri"/>
      <w:sz w:val="24"/>
    </w:rPr>
  </w:style>
  <w:style w:type="character" w:customStyle="1" w:styleId="374">
    <w:name w:val="para"/>
    <w:qFormat/>
    <w:uiPriority w:val="0"/>
    <w:rPr>
      <w:rFonts w:ascii="Tahoma" w:hAnsi="Tahoma" w:eastAsia="宋体"/>
      <w:sz w:val="24"/>
      <w:szCs w:val="24"/>
      <w:lang w:val="en-US" w:eastAsia="zh-CN" w:bidi="ar-SA"/>
    </w:rPr>
  </w:style>
  <w:style w:type="character" w:customStyle="1" w:styleId="375">
    <w:name w:val="font21"/>
    <w:qFormat/>
    <w:uiPriority w:val="0"/>
    <w:rPr>
      <w:rFonts w:hint="eastAsia" w:ascii="宋体" w:hAnsi="宋体" w:eastAsia="宋体" w:cs="宋体"/>
      <w:color w:val="000000"/>
      <w:sz w:val="22"/>
      <w:szCs w:val="22"/>
      <w:u w:val="none"/>
    </w:rPr>
  </w:style>
  <w:style w:type="character" w:customStyle="1" w:styleId="376">
    <w:name w:val="ca-1"/>
    <w:qFormat/>
    <w:uiPriority w:val="0"/>
    <w:rPr>
      <w:rFonts w:ascii="Tahoma" w:hAnsi="Tahoma" w:eastAsia="宋体"/>
      <w:sz w:val="24"/>
      <w:szCs w:val="24"/>
      <w:lang w:val="en-US" w:eastAsia="zh-CN" w:bidi="ar-SA"/>
    </w:rPr>
  </w:style>
  <w:style w:type="character" w:customStyle="1" w:styleId="377">
    <w:name w:val="style21"/>
    <w:qFormat/>
    <w:uiPriority w:val="0"/>
    <w:rPr>
      <w:rFonts w:ascii="Tahoma" w:hAnsi="Tahoma" w:eastAsia="宋体"/>
      <w:color w:val="2E65B5"/>
      <w:sz w:val="24"/>
      <w:szCs w:val="24"/>
      <w:lang w:val="en-US" w:eastAsia="zh-CN" w:bidi="ar-SA"/>
    </w:rPr>
  </w:style>
  <w:style w:type="character" w:customStyle="1" w:styleId="378">
    <w:name w:val="纯文本 Char Char Char Char Char Char Char Char Char Char"/>
    <w:qFormat/>
    <w:uiPriority w:val="0"/>
    <w:rPr>
      <w:rFonts w:ascii="宋体" w:hAnsi="Courier New" w:eastAsia="楷体_GB2312"/>
      <w:sz w:val="26"/>
      <w:lang w:val="en-US" w:eastAsia="zh-CN" w:bidi="ar-SA"/>
    </w:rPr>
  </w:style>
  <w:style w:type="character" w:customStyle="1" w:styleId="379">
    <w:name w:val="无间隔 字符"/>
    <w:link w:val="380"/>
    <w:qFormat/>
    <w:uiPriority w:val="1"/>
    <w:rPr>
      <w:sz w:val="24"/>
      <w:szCs w:val="24"/>
      <w:lang w:val="en-US" w:eastAsia="zh-CN" w:bidi="ar-SA"/>
    </w:rPr>
  </w:style>
  <w:style w:type="paragraph" w:styleId="380">
    <w:name w:val="No Spacing"/>
    <w:link w:val="379"/>
    <w:qFormat/>
    <w:uiPriority w:val="1"/>
    <w:pPr>
      <w:widowControl w:val="0"/>
      <w:spacing w:line="360" w:lineRule="auto"/>
      <w:ind w:firstLine="200"/>
      <w:jc w:val="both"/>
    </w:pPr>
    <w:rPr>
      <w:rFonts w:hint="default" w:ascii="Times New Roman" w:hAnsi="Times New Roman" w:eastAsia="宋体" w:cs="Times New Roman"/>
      <w:sz w:val="24"/>
      <w:szCs w:val="24"/>
      <w:lang w:val="en-US" w:eastAsia="zh-CN" w:bidi="ar-SA"/>
    </w:rPr>
  </w:style>
  <w:style w:type="character" w:customStyle="1" w:styleId="381">
    <w:name w:val="09汇 表 Char"/>
    <w:link w:val="382"/>
    <w:qFormat/>
    <w:uiPriority w:val="0"/>
    <w:rPr>
      <w:bCs/>
      <w:color w:val="000000"/>
      <w:sz w:val="22"/>
      <w:szCs w:val="24"/>
    </w:rPr>
  </w:style>
  <w:style w:type="paragraph" w:customStyle="1" w:styleId="382">
    <w:name w:val="09汇 表"/>
    <w:basedOn w:val="1"/>
    <w:link w:val="381"/>
    <w:qFormat/>
    <w:uiPriority w:val="0"/>
    <w:pPr>
      <w:widowControl/>
      <w:jc w:val="center"/>
    </w:pPr>
    <w:rPr>
      <w:bCs/>
      <w:color w:val="000000"/>
      <w:sz w:val="22"/>
      <w:szCs w:val="24"/>
    </w:rPr>
  </w:style>
  <w:style w:type="character" w:customStyle="1" w:styleId="383">
    <w:name w:val="正文文本缩进 字符"/>
    <w:qFormat/>
    <w:uiPriority w:val="0"/>
    <w:rPr>
      <w:sz w:val="24"/>
      <w:lang w:bidi="ar-SA"/>
    </w:rPr>
  </w:style>
  <w:style w:type="character" w:customStyle="1" w:styleId="384">
    <w:name w:val="表格 Char"/>
    <w:link w:val="385"/>
    <w:qFormat/>
    <w:uiPriority w:val="0"/>
    <w:rPr>
      <w:rFonts w:ascii="等线" w:hAnsi="等线"/>
      <w:color w:val="000000"/>
      <w:szCs w:val="21"/>
      <w:lang w:val="en-US" w:eastAsia="zh-CN" w:bidi="ar-SA"/>
    </w:rPr>
  </w:style>
  <w:style w:type="paragraph" w:customStyle="1" w:styleId="385">
    <w:name w:val="表格"/>
    <w:next w:val="1"/>
    <w:link w:val="384"/>
    <w:qFormat/>
    <w:uiPriority w:val="0"/>
    <w:rPr>
      <w:rFonts w:hint="default" w:ascii="等线" w:hAnsi="等线" w:eastAsia="宋体" w:cs="Times New Roman"/>
      <w:color w:val="000000"/>
      <w:szCs w:val="21"/>
      <w:lang w:val="en-US" w:eastAsia="zh-CN" w:bidi="ar-SA"/>
    </w:rPr>
  </w:style>
  <w:style w:type="character" w:customStyle="1" w:styleId="386">
    <w:name w:val="a"/>
    <w:qFormat/>
    <w:uiPriority w:val="0"/>
  </w:style>
  <w:style w:type="character" w:customStyle="1" w:styleId="387">
    <w:name w:val="一. 字符"/>
    <w:link w:val="388"/>
    <w:qFormat/>
    <w:uiPriority w:val="0"/>
    <w:rPr>
      <w:b/>
      <w:bCs/>
      <w:sz w:val="28"/>
      <w:szCs w:val="28"/>
    </w:rPr>
  </w:style>
  <w:style w:type="paragraph" w:customStyle="1" w:styleId="388">
    <w:name w:val="一."/>
    <w:basedOn w:val="1"/>
    <w:link w:val="387"/>
    <w:qFormat/>
    <w:uiPriority w:val="0"/>
    <w:pPr>
      <w:spacing w:line="360" w:lineRule="auto"/>
      <w:jc w:val="left"/>
    </w:pPr>
    <w:rPr>
      <w:b/>
      <w:bCs/>
      <w:sz w:val="28"/>
      <w:szCs w:val="28"/>
    </w:rPr>
  </w:style>
  <w:style w:type="character" w:customStyle="1" w:styleId="389">
    <w:name w:val="纯文本 Char Char"/>
    <w:link w:val="390"/>
    <w:qFormat/>
    <w:uiPriority w:val="0"/>
    <w:rPr>
      <w:rFonts w:ascii="宋体" w:hAnsi="Courier New" w:eastAsia="楷体_GB2312"/>
      <w:sz w:val="26"/>
      <w:szCs w:val="24"/>
    </w:rPr>
  </w:style>
  <w:style w:type="paragraph" w:customStyle="1" w:styleId="390">
    <w:name w:val="纯文本11"/>
    <w:basedOn w:val="1"/>
    <w:link w:val="389"/>
    <w:qFormat/>
    <w:uiPriority w:val="0"/>
    <w:pPr>
      <w:widowControl/>
      <w:jc w:val="left"/>
    </w:pPr>
    <w:rPr>
      <w:rFonts w:ascii="宋体" w:hAnsi="Courier New" w:eastAsia="楷体_GB2312"/>
      <w:sz w:val="26"/>
      <w:szCs w:val="24"/>
    </w:rPr>
  </w:style>
  <w:style w:type="character" w:customStyle="1" w:styleId="391">
    <w:name w:val="_正文段落 Char"/>
    <w:link w:val="392"/>
    <w:qFormat/>
    <w:uiPriority w:val="0"/>
    <w:rPr>
      <w:rFonts w:ascii="宋体" w:hAnsi="宋体"/>
      <w:sz w:val="24"/>
      <w:szCs w:val="24"/>
    </w:rPr>
  </w:style>
  <w:style w:type="paragraph" w:customStyle="1" w:styleId="392">
    <w:name w:val="_正文段落"/>
    <w:basedOn w:val="1"/>
    <w:link w:val="391"/>
    <w:qFormat/>
    <w:uiPriority w:val="0"/>
    <w:pPr>
      <w:widowControl/>
      <w:spacing w:line="360" w:lineRule="auto"/>
      <w:ind w:firstLine="480"/>
      <w:jc w:val="left"/>
    </w:pPr>
    <w:rPr>
      <w:rFonts w:ascii="宋体" w:hAnsi="宋体"/>
      <w:sz w:val="24"/>
      <w:szCs w:val="24"/>
    </w:rPr>
  </w:style>
  <w:style w:type="character" w:customStyle="1" w:styleId="393">
    <w:name w:val="纯文本 Char1"/>
    <w:qFormat/>
    <w:uiPriority w:val="0"/>
    <w:rPr>
      <w:rFonts w:ascii="宋体" w:hAnsi="Courier New" w:eastAsia="宋体"/>
      <w:sz w:val="21"/>
      <w:lang w:val="en-US" w:eastAsia="zh-CN" w:bidi="ar-SA"/>
    </w:rPr>
  </w:style>
  <w:style w:type="character" w:customStyle="1" w:styleId="394">
    <w:name w:val="wen Char1"/>
    <w:link w:val="395"/>
    <w:qFormat/>
    <w:uiPriority w:val="0"/>
    <w:rPr>
      <w:rFonts w:ascii="微软雅黑" w:hAnsi="微软雅黑" w:eastAsia="微软雅黑"/>
      <w:sz w:val="21"/>
      <w:szCs w:val="24"/>
    </w:rPr>
  </w:style>
  <w:style w:type="paragraph" w:customStyle="1" w:styleId="395">
    <w:name w:val="wen"/>
    <w:basedOn w:val="1"/>
    <w:link w:val="394"/>
    <w:qFormat/>
    <w:uiPriority w:val="0"/>
    <w:pPr>
      <w:spacing w:line="269" w:lineRule="auto"/>
      <w:ind w:firstLine="425"/>
    </w:pPr>
    <w:rPr>
      <w:rFonts w:ascii="微软雅黑" w:hAnsi="微软雅黑" w:eastAsia="微软雅黑"/>
      <w:szCs w:val="24"/>
    </w:rPr>
  </w:style>
  <w:style w:type="character" w:customStyle="1" w:styleId="396">
    <w:name w:val="style181"/>
    <w:qFormat/>
    <w:uiPriority w:val="0"/>
    <w:rPr>
      <w:sz w:val="18"/>
      <w:szCs w:val="18"/>
    </w:rPr>
  </w:style>
  <w:style w:type="character" w:customStyle="1" w:styleId="397">
    <w:name w:val="style4 style24"/>
    <w:qFormat/>
    <w:uiPriority w:val="0"/>
    <w:rPr>
      <w:rFonts w:ascii="Tahoma" w:hAnsi="Tahoma" w:eastAsia="宋体"/>
      <w:sz w:val="24"/>
      <w:szCs w:val="24"/>
      <w:lang w:val="en-US" w:eastAsia="zh-CN" w:bidi="ar-SA"/>
    </w:rPr>
  </w:style>
  <w:style w:type="character" w:customStyle="1" w:styleId="398">
    <w:name w:val="样式11"/>
    <w:qFormat/>
    <w:uiPriority w:val="0"/>
    <w:rPr>
      <w:b/>
    </w:rPr>
  </w:style>
  <w:style w:type="character" w:customStyle="1" w:styleId="399">
    <w:name w:val="01 章标 Char"/>
    <w:link w:val="400"/>
    <w:qFormat/>
    <w:uiPriority w:val="0"/>
    <w:rPr>
      <w:b/>
      <w:sz w:val="44"/>
      <w:szCs w:val="44"/>
    </w:rPr>
  </w:style>
  <w:style w:type="paragraph" w:customStyle="1" w:styleId="400">
    <w:name w:val="01 章标"/>
    <w:basedOn w:val="1"/>
    <w:link w:val="399"/>
    <w:qFormat/>
    <w:uiPriority w:val="0"/>
    <w:pPr>
      <w:ind w:firstLine="883"/>
      <w:jc w:val="center"/>
      <w:outlineLvl w:val="0"/>
    </w:pPr>
    <w:rPr>
      <w:b/>
      <w:sz w:val="44"/>
      <w:szCs w:val="44"/>
    </w:rPr>
  </w:style>
  <w:style w:type="character" w:customStyle="1" w:styleId="401">
    <w:name w:val="文档结构图 Char1"/>
    <w:qFormat/>
    <w:uiPriority w:val="0"/>
    <w:rPr>
      <w:rFonts w:ascii="宋体"/>
      <w:sz w:val="18"/>
      <w:szCs w:val="18"/>
    </w:rPr>
  </w:style>
  <w:style w:type="character" w:customStyle="1" w:styleId="402">
    <w:name w:val="日期 Char1"/>
    <w:qFormat/>
    <w:uiPriority w:val="0"/>
    <w:rPr>
      <w:rFonts w:eastAsia="楷体_GB2312"/>
      <w:sz w:val="28"/>
    </w:rPr>
  </w:style>
  <w:style w:type="character" w:customStyle="1" w:styleId="403">
    <w:name w:val="标题 9 字符"/>
    <w:qFormat/>
    <w:uiPriority w:val="0"/>
    <w:rPr>
      <w:rFonts w:ascii="Arial" w:hAnsi="Arial" w:eastAsia="黑体"/>
      <w:sz w:val="28"/>
      <w:szCs w:val="24"/>
      <w:lang w:val="en-US" w:eastAsia="zh-CN" w:bidi="ar-SA"/>
    </w:rPr>
  </w:style>
  <w:style w:type="character" w:customStyle="1" w:styleId="404">
    <w:name w:val="批注主题 字符"/>
    <w:qFormat/>
    <w:uiPriority w:val="0"/>
    <w:rPr>
      <w:rFonts w:ascii="Tahoma" w:hAnsi="Tahoma" w:eastAsia="宋体"/>
      <w:b/>
      <w:bCs/>
      <w:sz w:val="21"/>
      <w:szCs w:val="24"/>
      <w:lang w:val="en-US" w:eastAsia="zh-CN" w:bidi="ar-SA"/>
    </w:rPr>
  </w:style>
  <w:style w:type="character" w:customStyle="1" w:styleId="405">
    <w:name w:val="页脚 Char1"/>
    <w:semiHidden/>
    <w:qFormat/>
    <w:uiPriority w:val="99"/>
    <w:rPr>
      <w:rFonts w:eastAsia="楷体_GB2312"/>
      <w:sz w:val="18"/>
      <w:szCs w:val="18"/>
    </w:rPr>
  </w:style>
  <w:style w:type="character" w:customStyle="1" w:styleId="406">
    <w:name w:val="Andy_正文 Char"/>
    <w:link w:val="407"/>
    <w:qFormat/>
    <w:uiPriority w:val="0"/>
    <w:rPr>
      <w:rFonts w:ascii="Calibri" w:hAnsi="Calibri"/>
      <w:sz w:val="24"/>
      <w:szCs w:val="24"/>
    </w:rPr>
  </w:style>
  <w:style w:type="paragraph" w:customStyle="1" w:styleId="407">
    <w:name w:val="Andy_正文"/>
    <w:basedOn w:val="1"/>
    <w:link w:val="406"/>
    <w:qFormat/>
    <w:uiPriority w:val="0"/>
    <w:pPr>
      <w:spacing w:line="360" w:lineRule="auto"/>
      <w:ind w:firstLine="480"/>
    </w:pPr>
    <w:rPr>
      <w:rFonts w:ascii="Calibri" w:hAnsi="Calibri"/>
      <w:sz w:val="24"/>
      <w:szCs w:val="24"/>
    </w:rPr>
  </w:style>
  <w:style w:type="character" w:customStyle="1" w:styleId="408">
    <w:name w:val="Char Char1"/>
    <w:qFormat/>
    <w:uiPriority w:val="0"/>
    <w:rPr>
      <w:rFonts w:ascii="宋体" w:hAnsi="宋体" w:eastAsia="楷体_GB2312"/>
      <w:sz w:val="24"/>
      <w:lang w:val="en-US" w:eastAsia="zh-CN" w:bidi="ar-SA"/>
    </w:rPr>
  </w:style>
  <w:style w:type="character" w:customStyle="1" w:styleId="409">
    <w:name w:val="正文 首行缩进:  2 字符 Char Char Char"/>
    <w:link w:val="410"/>
    <w:qFormat/>
    <w:uiPriority w:val="0"/>
    <w:rPr>
      <w:sz w:val="21"/>
    </w:rPr>
  </w:style>
  <w:style w:type="paragraph" w:customStyle="1" w:styleId="410">
    <w:name w:val="正文 首行缩进:  2 字符 Char"/>
    <w:basedOn w:val="1"/>
    <w:link w:val="409"/>
    <w:qFormat/>
    <w:uiPriority w:val="0"/>
    <w:pPr>
      <w:spacing w:line="360" w:lineRule="auto"/>
      <w:ind w:firstLine="480"/>
      <w:jc w:val="left"/>
    </w:pPr>
  </w:style>
  <w:style w:type="character" w:customStyle="1" w:styleId="411">
    <w:name w:val="Plain Text Char Char"/>
    <w:link w:val="412"/>
    <w:qFormat/>
    <w:uiPriority w:val="0"/>
    <w:rPr>
      <w:rFonts w:ascii="宋体" w:hAnsi="Courier New" w:eastAsia="楷体_GB2312"/>
      <w:sz w:val="26"/>
    </w:rPr>
  </w:style>
  <w:style w:type="paragraph" w:customStyle="1" w:styleId="412">
    <w:name w:val="纯文本2"/>
    <w:basedOn w:val="1"/>
    <w:link w:val="411"/>
    <w:qFormat/>
    <w:uiPriority w:val="0"/>
    <w:rPr>
      <w:rFonts w:ascii="宋体" w:hAnsi="Courier New" w:eastAsia="楷体_GB2312"/>
      <w:sz w:val="26"/>
    </w:rPr>
  </w:style>
  <w:style w:type="character" w:customStyle="1" w:styleId="413">
    <w:name w:val="font51"/>
    <w:qFormat/>
    <w:uiPriority w:val="0"/>
    <w:rPr>
      <w:rFonts w:hint="eastAsia" w:ascii="微软雅黑" w:hAnsi="微软雅黑" w:eastAsia="微软雅黑" w:cs="微软雅黑"/>
      <w:color w:val="000000"/>
      <w:sz w:val="24"/>
      <w:szCs w:val="24"/>
      <w:u w:val="none"/>
    </w:rPr>
  </w:style>
  <w:style w:type="character" w:customStyle="1" w:styleId="414">
    <w:name w:val="正文缩进1 Char1"/>
    <w:qFormat/>
    <w:uiPriority w:val="0"/>
    <w:rPr>
      <w:rFonts w:eastAsia="楷体_GB2312"/>
      <w:sz w:val="24"/>
      <w:lang w:val="en-US" w:eastAsia="zh-CN" w:bidi="ar-SA"/>
    </w:rPr>
  </w:style>
  <w:style w:type="character" w:customStyle="1" w:styleId="415">
    <w:name w:val="Plain Text Char"/>
    <w:link w:val="416"/>
    <w:qFormat/>
    <w:uiPriority w:val="0"/>
    <w:rPr>
      <w:rFonts w:ascii="宋体" w:hAnsi="Courier New" w:eastAsia="楷体_GB2312"/>
      <w:sz w:val="26"/>
    </w:rPr>
  </w:style>
  <w:style w:type="paragraph" w:customStyle="1" w:styleId="416">
    <w:name w:val="纯文本5"/>
    <w:basedOn w:val="1"/>
    <w:link w:val="415"/>
    <w:qFormat/>
    <w:uiPriority w:val="0"/>
    <w:rPr>
      <w:rFonts w:ascii="宋体" w:hAnsi="Courier New" w:eastAsia="楷体_GB2312"/>
      <w:sz w:val="26"/>
    </w:rPr>
  </w:style>
  <w:style w:type="character" w:customStyle="1" w:styleId="417">
    <w:name w:val="正文文本 2 字符"/>
    <w:qFormat/>
    <w:uiPriority w:val="0"/>
    <w:rPr>
      <w:rFonts w:ascii="Tahoma" w:hAnsi="Tahoma" w:eastAsia="宋体"/>
      <w:color w:val="000000"/>
      <w:sz w:val="24"/>
      <w:szCs w:val="24"/>
      <w:lang w:val="en-US" w:eastAsia="zh-CN" w:bidi="ar-SA"/>
    </w:rPr>
  </w:style>
  <w:style w:type="character" w:customStyle="1" w:styleId="418">
    <w:name w:val="页脚 字符"/>
    <w:qFormat/>
    <w:uiPriority w:val="99"/>
    <w:rPr>
      <w:sz w:val="18"/>
      <w:lang w:bidi="ar-SA"/>
    </w:rPr>
  </w:style>
  <w:style w:type="character" w:customStyle="1" w:styleId="419">
    <w:name w:val="批注文字 字符"/>
    <w:semiHidden/>
    <w:qFormat/>
    <w:uiPriority w:val="0"/>
    <w:rPr>
      <w:rFonts w:ascii="Tahoma" w:hAnsi="Tahoma" w:eastAsia="宋体"/>
      <w:sz w:val="21"/>
      <w:szCs w:val="24"/>
      <w:lang w:val="en-US" w:eastAsia="zh-CN" w:bidi="ar-SA"/>
    </w:rPr>
  </w:style>
  <w:style w:type="character" w:customStyle="1" w:styleId="420">
    <w:name w:val="标题 4 字符"/>
    <w:qFormat/>
    <w:uiPriority w:val="0"/>
    <w:rPr>
      <w:rFonts w:ascii="Times New Roman" w:hAnsi="Times New Roman" w:eastAsia="宋体" w:cs="Times New Roman"/>
      <w:b/>
      <w:bCs/>
      <w:sz w:val="28"/>
      <w:szCs w:val="28"/>
    </w:rPr>
  </w:style>
  <w:style w:type="character" w:customStyle="1" w:styleId="421">
    <w:name w:val="页脚 字符1"/>
    <w:qFormat/>
    <w:uiPriority w:val="99"/>
    <w:rPr>
      <w:sz w:val="18"/>
      <w:szCs w:val="18"/>
    </w:rPr>
  </w:style>
  <w:style w:type="character" w:customStyle="1" w:styleId="422">
    <w:name w:val="HTML 预设格式 Char2"/>
    <w:semiHidden/>
    <w:qFormat/>
    <w:uiPriority w:val="99"/>
    <w:rPr>
      <w:rFonts w:ascii="Courier New" w:hAnsi="Courier New" w:eastAsia="楷体_GB2312" w:cs="Courier New"/>
    </w:rPr>
  </w:style>
  <w:style w:type="character" w:customStyle="1" w:styleId="423">
    <w:name w:val="font61"/>
    <w:qFormat/>
    <w:uiPriority w:val="0"/>
    <w:rPr>
      <w:rFonts w:hint="eastAsia" w:ascii="宋体" w:hAnsi="宋体" w:eastAsia="宋体" w:cs="宋体"/>
      <w:color w:val="000000"/>
      <w:sz w:val="20"/>
      <w:szCs w:val="20"/>
      <w:u w:val="none"/>
    </w:rPr>
  </w:style>
  <w:style w:type="character" w:customStyle="1" w:styleId="424">
    <w:name w:val="font01"/>
    <w:qFormat/>
    <w:uiPriority w:val="0"/>
    <w:rPr>
      <w:rFonts w:hint="eastAsia" w:ascii="宋体" w:hAnsi="宋体" w:eastAsia="宋体" w:cs="宋体"/>
      <w:color w:val="000000"/>
      <w:sz w:val="24"/>
      <w:szCs w:val="24"/>
      <w:u w:val="none"/>
    </w:rPr>
  </w:style>
  <w:style w:type="character" w:customStyle="1" w:styleId="425">
    <w:name w:val="正文缩进 字符1"/>
    <w:qFormat/>
    <w:uiPriority w:val="0"/>
    <w:rPr>
      <w:sz w:val="21"/>
    </w:rPr>
  </w:style>
  <w:style w:type="character" w:customStyle="1" w:styleId="426">
    <w:name w:val="标题 6 字符"/>
    <w:qFormat/>
    <w:uiPriority w:val="0"/>
    <w:rPr>
      <w:rFonts w:ascii="Arial" w:hAnsi="Arial" w:eastAsia="黑体"/>
      <w:b/>
      <w:bCs/>
      <w:sz w:val="24"/>
      <w:szCs w:val="24"/>
      <w:lang w:val="en-US" w:eastAsia="zh-CN" w:bidi="ar-SA"/>
    </w:rPr>
  </w:style>
  <w:style w:type="character" w:customStyle="1" w:styleId="427">
    <w:name w:val="批注主题 Char1"/>
    <w:semiHidden/>
    <w:qFormat/>
    <w:uiPriority w:val="99"/>
    <w:rPr>
      <w:rFonts w:eastAsia="楷体_GB2312"/>
      <w:b/>
      <w:bCs/>
      <w:sz w:val="28"/>
    </w:rPr>
  </w:style>
  <w:style w:type="character" w:customStyle="1" w:styleId="428">
    <w:name w:val="size31"/>
    <w:qFormat/>
    <w:uiPriority w:val="0"/>
    <w:rPr>
      <w:rFonts w:hint="default" w:ascii="Arial" w:hAnsi="Arial" w:eastAsia="宋体" w:cs="Arial"/>
      <w:b/>
      <w:bCs/>
      <w:color w:val="2D2D2D"/>
      <w:sz w:val="18"/>
      <w:szCs w:val="18"/>
      <w:lang w:val="en-US" w:eastAsia="en-US" w:bidi="ar-SA"/>
    </w:rPr>
  </w:style>
  <w:style w:type="character" w:customStyle="1" w:styleId="429">
    <w:name w:val="正文缩进 字符2"/>
    <w:qFormat/>
    <w:uiPriority w:val="0"/>
    <w:rPr>
      <w:sz w:val="21"/>
    </w:rPr>
  </w:style>
  <w:style w:type="character" w:customStyle="1" w:styleId="430">
    <w:name w:val="Char Char"/>
    <w:qFormat/>
    <w:uiPriority w:val="0"/>
    <w:rPr>
      <w:rFonts w:ascii="宋体" w:hAnsi="宋体" w:eastAsia="楷体_GB2312"/>
      <w:sz w:val="24"/>
      <w:lang w:val="en-US" w:eastAsia="zh-CN" w:bidi="ar-SA"/>
    </w:rPr>
  </w:style>
  <w:style w:type="character" w:customStyle="1" w:styleId="431">
    <w:name w:val="Body Text Char"/>
    <w:qFormat/>
    <w:uiPriority w:val="0"/>
    <w:rPr>
      <w:rFonts w:ascii="楷体_GB2312" w:hAnsi="Arial" w:eastAsia="楷体_GB2312" w:cs="Times New Roman"/>
      <w:sz w:val="28"/>
      <w:szCs w:val="20"/>
    </w:rPr>
  </w:style>
  <w:style w:type="character" w:customStyle="1" w:styleId="432">
    <w:name w:val="正文文本缩进 3 字符"/>
    <w:qFormat/>
    <w:uiPriority w:val="0"/>
    <w:rPr>
      <w:rFonts w:eastAsia="宋体"/>
      <w:sz w:val="16"/>
      <w:szCs w:val="16"/>
      <w:lang w:val="en-US" w:eastAsia="zh-CN" w:bidi="ar-SA"/>
    </w:rPr>
  </w:style>
  <w:style w:type="character" w:customStyle="1" w:styleId="433">
    <w:name w:val="表格 Char Char"/>
    <w:qFormat/>
    <w:uiPriority w:val="0"/>
    <w:rPr>
      <w:rFonts w:ascii="仿宋_GB2312" w:hAnsi="宋体" w:eastAsia="仿宋_GB2312"/>
      <w:sz w:val="21"/>
      <w:szCs w:val="21"/>
    </w:rPr>
  </w:style>
  <w:style w:type="character" w:customStyle="1" w:styleId="434">
    <w:name w:val="Char Char7"/>
    <w:qFormat/>
    <w:uiPriority w:val="0"/>
    <w:rPr>
      <w:rFonts w:ascii="Times New Roman" w:hAnsi="Times New Roman" w:eastAsia="宋体" w:cs="Times New Roman"/>
      <w:sz w:val="24"/>
      <w:szCs w:val="24"/>
    </w:rPr>
  </w:style>
  <w:style w:type="character" w:customStyle="1" w:styleId="435">
    <w:name w:val="批注文字 Char1"/>
    <w:semiHidden/>
    <w:qFormat/>
    <w:uiPriority w:val="99"/>
    <w:rPr>
      <w:rFonts w:ascii="Times New Roman" w:hAnsi="Times New Roman" w:eastAsia="宋体" w:cs="Times New Roman"/>
      <w:szCs w:val="20"/>
    </w:rPr>
  </w:style>
  <w:style w:type="character" w:customStyle="1" w:styleId="436">
    <w:name w:val="页眉 字符1"/>
    <w:qFormat/>
    <w:uiPriority w:val="99"/>
    <w:rPr>
      <w:sz w:val="18"/>
      <w:szCs w:val="18"/>
    </w:rPr>
  </w:style>
  <w:style w:type="character" w:customStyle="1" w:styleId="437">
    <w:name w:val="List Paragraph Char"/>
    <w:qFormat/>
    <w:uiPriority w:val="0"/>
  </w:style>
  <w:style w:type="character" w:customStyle="1" w:styleId="438">
    <w:name w:val="font122"/>
    <w:qFormat/>
    <w:uiPriority w:val="0"/>
    <w:rPr>
      <w:rFonts w:ascii="Calibri" w:hAnsi="Calibri" w:cs="Calibri"/>
      <w:color w:val="000000"/>
      <w:sz w:val="20"/>
      <w:szCs w:val="20"/>
      <w:u w:val="none"/>
    </w:rPr>
  </w:style>
  <w:style w:type="paragraph" w:customStyle="1" w:styleId="439">
    <w:name w:val="xl2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40">
    <w:name w:val="xl242"/>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441">
    <w:name w:val="表格内文"/>
    <w:basedOn w:val="1"/>
    <w:qFormat/>
    <w:uiPriority w:val="0"/>
    <w:pPr>
      <w:spacing w:line="360" w:lineRule="auto"/>
    </w:pPr>
    <w:rPr>
      <w:rFonts w:ascii="宋体" w:hAnsi="宋体"/>
      <w:color w:val="000000"/>
      <w:sz w:val="20"/>
    </w:rPr>
  </w:style>
  <w:style w:type="paragraph" w:customStyle="1" w:styleId="442">
    <w:name w:val="xl12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443">
    <w:name w:val="xl413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444">
    <w:name w:val="列出段落11"/>
    <w:basedOn w:val="1"/>
    <w:qFormat/>
    <w:uiPriority w:val="34"/>
    <w:pPr>
      <w:spacing w:line="360" w:lineRule="atLeast"/>
      <w:ind w:firstLine="420"/>
      <w:jc w:val="left"/>
    </w:pPr>
    <w:rPr>
      <w:rFonts w:ascii="Arial" w:hAnsi="Arial" w:cs="Arial"/>
      <w:sz w:val="24"/>
    </w:rPr>
  </w:style>
  <w:style w:type="paragraph" w:customStyle="1" w:styleId="445">
    <w:name w:val="xl24253"/>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46">
    <w:name w:val="+正文"/>
    <w:basedOn w:val="1"/>
    <w:qFormat/>
    <w:uiPriority w:val="0"/>
    <w:pPr>
      <w:spacing w:line="360" w:lineRule="auto"/>
      <w:ind w:firstLine="200"/>
    </w:pPr>
    <w:rPr>
      <w:sz w:val="24"/>
      <w:szCs w:val="28"/>
    </w:rPr>
  </w:style>
  <w:style w:type="paragraph" w:customStyle="1" w:styleId="447">
    <w:name w:val="xl242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49">
    <w:name w:val="No Spacing1"/>
    <w:qFormat/>
    <w:uiPriority w:val="0"/>
    <w:pPr>
      <w:spacing w:line="360" w:lineRule="auto"/>
      <w:ind w:firstLine="200"/>
    </w:pPr>
    <w:rPr>
      <w:rFonts w:hint="default" w:ascii="宋体" w:hAnsi="宋体" w:eastAsia="宋体" w:cs="Times New Roman"/>
      <w:sz w:val="24"/>
      <w:szCs w:val="22"/>
      <w:lang w:val="en-US" w:eastAsia="zh-CN" w:bidi="ar-SA"/>
    </w:rPr>
  </w:style>
  <w:style w:type="paragraph" w:customStyle="1" w:styleId="450">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969696"/>
      <w:spacing w:before="100" w:beforeAutospacing="1" w:after="100" w:afterAutospacing="1"/>
      <w:jc w:val="left"/>
    </w:pPr>
    <w:rPr>
      <w:rFonts w:ascii="微软雅黑" w:hAnsi="微软雅黑" w:eastAsia="微软雅黑" w:cs="宋体"/>
      <w:sz w:val="20"/>
    </w:rPr>
  </w:style>
  <w:style w:type="paragraph" w:customStyle="1" w:styleId="451">
    <w:name w:val="xl25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452">
    <w:name w:val="l18"/>
    <w:basedOn w:val="1"/>
    <w:qFormat/>
    <w:uiPriority w:val="0"/>
    <w:pPr>
      <w:widowControl/>
      <w:spacing w:before="30" w:after="100" w:afterAutospacing="1" w:line="270" w:lineRule="atLeast"/>
      <w:ind w:left="90"/>
      <w:jc w:val="left"/>
    </w:pPr>
    <w:rPr>
      <w:rFonts w:ascii="Arial" w:hAnsi="Arial" w:cs="Arial"/>
      <w:color w:val="000000"/>
      <w:sz w:val="18"/>
      <w:szCs w:val="18"/>
    </w:rPr>
  </w:style>
  <w:style w:type="paragraph" w:customStyle="1" w:styleId="453">
    <w:name w:val="reader-word-layer"/>
    <w:basedOn w:val="1"/>
    <w:qFormat/>
    <w:uiPriority w:val="0"/>
    <w:pPr>
      <w:widowControl/>
      <w:spacing w:before="100" w:beforeAutospacing="1" w:after="100" w:afterAutospacing="1"/>
      <w:jc w:val="left"/>
    </w:pPr>
    <w:rPr>
      <w:rFonts w:ascii="宋体" w:hAnsi="宋体" w:cs="宋体"/>
      <w:sz w:val="24"/>
      <w:szCs w:val="24"/>
    </w:rPr>
  </w:style>
  <w:style w:type="paragraph" w:customStyle="1" w:styleId="454">
    <w:name w:val="Char2"/>
    <w:basedOn w:val="1"/>
    <w:qFormat/>
    <w:uiPriority w:val="0"/>
    <w:pPr>
      <w:ind w:left="432" w:hanging="432"/>
    </w:pPr>
    <w:rPr>
      <w:sz w:val="24"/>
      <w:szCs w:val="24"/>
    </w:rPr>
  </w:style>
  <w:style w:type="paragraph" w:customStyle="1" w:styleId="455">
    <w:name w:val="Char Char Char Char"/>
    <w:basedOn w:val="1"/>
    <w:qFormat/>
    <w:uiPriority w:val="0"/>
    <w:pPr>
      <w:spacing w:line="360" w:lineRule="atLeast"/>
    </w:pPr>
    <w:rPr>
      <w:sz w:val="20"/>
    </w:rPr>
  </w:style>
  <w:style w:type="paragraph" w:customStyle="1" w:styleId="456">
    <w:name w:val="xl130"/>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457">
    <w:name w:val="xl413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58">
    <w:name w:val="xl41295"/>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459">
    <w:name w:val="p15"/>
    <w:basedOn w:val="1"/>
    <w:qFormat/>
    <w:uiPriority w:val="0"/>
    <w:pPr>
      <w:widowControl/>
      <w:ind w:firstLine="420"/>
    </w:pPr>
    <w:rPr>
      <w:rFonts w:ascii="Calibri" w:hAnsi="Calibri" w:cs="宋体"/>
      <w:sz w:val="20"/>
      <w:szCs w:val="21"/>
    </w:rPr>
  </w:style>
  <w:style w:type="paragraph" w:customStyle="1" w:styleId="460">
    <w:name w:val="xl24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61">
    <w:name w:val="xl242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462">
    <w:name w:val="纯文本4"/>
    <w:basedOn w:val="1"/>
    <w:qFormat/>
    <w:uiPriority w:val="0"/>
    <w:rPr>
      <w:rFonts w:ascii="宋体" w:hAnsi="Courier New" w:eastAsia="楷体_GB2312"/>
      <w:sz w:val="26"/>
    </w:rPr>
  </w:style>
  <w:style w:type="paragraph" w:customStyle="1" w:styleId="463">
    <w:name w:val="Char Char Char Char Char Char Char Char Char1 Char"/>
    <w:basedOn w:val="20"/>
    <w:qFormat/>
    <w:uiPriority w:val="0"/>
    <w:pPr>
      <w:spacing w:line="360" w:lineRule="auto"/>
    </w:pPr>
    <w:rPr>
      <w:rFonts w:ascii="Tahoma" w:hAnsi="Tahoma"/>
      <w:sz w:val="24"/>
      <w:szCs w:val="24"/>
    </w:rPr>
  </w:style>
  <w:style w:type="paragraph" w:customStyle="1" w:styleId="464">
    <w:name w:val="xl2424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65">
    <w:name w:val="Char Char Char Char Char Char Char Char Char Char"/>
    <w:basedOn w:val="1"/>
    <w:qFormat/>
    <w:uiPriority w:val="0"/>
    <w:pPr>
      <w:tabs>
        <w:tab w:val="left" w:pos="360"/>
      </w:tabs>
      <w:ind w:left="360" w:hanging="360"/>
    </w:pPr>
    <w:rPr>
      <w:sz w:val="24"/>
      <w:szCs w:val="24"/>
    </w:rPr>
  </w:style>
  <w:style w:type="paragraph" w:customStyle="1" w:styleId="466">
    <w:name w:val="msolistparagraph"/>
    <w:basedOn w:val="1"/>
    <w:qFormat/>
    <w:uiPriority w:val="0"/>
    <w:pPr>
      <w:ind w:firstLine="420"/>
    </w:pPr>
    <w:rPr>
      <w:rFonts w:ascii="Calibri" w:hAnsi="Calibri"/>
      <w:szCs w:val="22"/>
    </w:rPr>
  </w:style>
  <w:style w:type="paragraph" w:customStyle="1" w:styleId="467">
    <w:name w:val="xl4132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68">
    <w:name w:val="xl242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469">
    <w:name w:val="xl2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470">
    <w:name w:val="xl413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0"/>
    </w:rPr>
  </w:style>
  <w:style w:type="paragraph" w:customStyle="1" w:styleId="471">
    <w:name w:val="Plain Text1"/>
    <w:basedOn w:val="1"/>
    <w:qFormat/>
    <w:uiPriority w:val="0"/>
    <w:rPr>
      <w:rFonts w:ascii="宋体" w:hAnsi="Courier New" w:eastAsia="楷体_GB2312"/>
      <w:sz w:val="28"/>
    </w:rPr>
  </w:style>
  <w:style w:type="paragraph" w:customStyle="1" w:styleId="472">
    <w:name w:val="font5"/>
    <w:basedOn w:val="1"/>
    <w:qFormat/>
    <w:uiPriority w:val="0"/>
    <w:pPr>
      <w:widowControl/>
      <w:spacing w:before="100" w:beforeAutospacing="1" w:after="100" w:afterAutospacing="1"/>
      <w:jc w:val="left"/>
    </w:pPr>
    <w:rPr>
      <w:rFonts w:ascii="宋体" w:hAnsi="宋体" w:cs="宋体"/>
      <w:sz w:val="18"/>
      <w:szCs w:val="18"/>
    </w:rPr>
  </w:style>
  <w:style w:type="paragraph" w:customStyle="1" w:styleId="473">
    <w:name w:val="列出段落2"/>
    <w:basedOn w:val="1"/>
    <w:qFormat/>
    <w:uiPriority w:val="34"/>
    <w:pPr>
      <w:ind w:firstLine="420"/>
    </w:pPr>
    <w:rPr>
      <w:rFonts w:ascii="Calibri" w:hAnsi="Calibri"/>
      <w:sz w:val="28"/>
      <w:szCs w:val="22"/>
    </w:rPr>
  </w:style>
  <w:style w:type="paragraph" w:customStyle="1" w:styleId="474">
    <w:name w:val="Char Char Char Char Char Char Char Char Char Char Char Char Char Char Char Char"/>
    <w:basedOn w:val="1"/>
    <w:qFormat/>
    <w:uiPriority w:val="0"/>
    <w:pPr>
      <w:tabs>
        <w:tab w:val="left" w:pos="360"/>
      </w:tabs>
    </w:pPr>
    <w:rPr>
      <w:sz w:val="24"/>
      <w:szCs w:val="24"/>
    </w:rPr>
  </w:style>
  <w:style w:type="paragraph" w:customStyle="1" w:styleId="475">
    <w:name w:val="xl10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sz w:val="18"/>
      <w:szCs w:val="18"/>
    </w:rPr>
  </w:style>
  <w:style w:type="paragraph" w:customStyle="1" w:styleId="476">
    <w:name w:val="Default"/>
    <w:qFormat/>
    <w:uiPriority w:val="0"/>
    <w:pPr>
      <w:widowControl w:val="0"/>
    </w:pPr>
    <w:rPr>
      <w:rFonts w:hint="default" w:ascii="宋体ラ..." w:hAnsi="Times New Roman" w:eastAsia="宋体ラ..." w:cs="宋体ラ..."/>
      <w:color w:val="000000"/>
      <w:sz w:val="24"/>
      <w:szCs w:val="24"/>
      <w:lang w:val="en-US" w:eastAsia="zh-CN" w:bidi="ar-SA"/>
    </w:rPr>
  </w:style>
  <w:style w:type="paragraph" w:customStyle="1" w:styleId="477">
    <w:name w:val="Char1 Char Char Char"/>
    <w:basedOn w:val="1"/>
    <w:qFormat/>
    <w:uiPriority w:val="0"/>
    <w:rPr>
      <w:rFonts w:ascii="Tahoma" w:hAnsi="Tahoma"/>
      <w:sz w:val="24"/>
    </w:rPr>
  </w:style>
  <w:style w:type="paragraph" w:customStyle="1" w:styleId="478">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79">
    <w:name w:val="[正文行首缩进]"/>
    <w:qFormat/>
    <w:uiPriority w:val="0"/>
    <w:pPr>
      <w:widowControl w:val="0"/>
      <w:spacing w:line="360" w:lineRule="auto"/>
      <w:ind w:firstLine="480"/>
      <w:jc w:val="both"/>
    </w:pPr>
    <w:rPr>
      <w:rFonts w:hint="default" w:ascii="Times New Roman" w:hAnsi="Times New Roman" w:eastAsia="宋体" w:cs="Times New Roman"/>
      <w:bCs/>
      <w:color w:val="000000"/>
      <w:sz w:val="24"/>
      <w:szCs w:val="24"/>
      <w:lang w:val="en-US" w:eastAsia="zh-CN" w:bidi="ar-SA"/>
    </w:rPr>
  </w:style>
  <w:style w:type="paragraph" w:customStyle="1" w:styleId="480">
    <w:name w:val="xl2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rPr>
  </w:style>
  <w:style w:type="paragraph" w:customStyle="1" w:styleId="481">
    <w:name w:val="wfxRecipient"/>
    <w:basedOn w:val="1"/>
    <w:qFormat/>
    <w:uiPriority w:val="0"/>
    <w:pPr>
      <w:widowControl/>
      <w:jc w:val="left"/>
    </w:pPr>
    <w:rPr>
      <w:sz w:val="20"/>
      <w:lang w:eastAsia="en-US"/>
    </w:rPr>
  </w:style>
  <w:style w:type="paragraph" w:customStyle="1" w:styleId="482">
    <w:name w:val="xl242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483">
    <w:name w:val="pa-14"/>
    <w:basedOn w:val="1"/>
    <w:qFormat/>
    <w:uiPriority w:val="0"/>
    <w:pPr>
      <w:widowControl/>
      <w:spacing w:before="100" w:beforeAutospacing="1" w:after="100" w:afterAutospacing="1"/>
      <w:jc w:val="left"/>
    </w:pPr>
    <w:rPr>
      <w:rFonts w:ascii="宋体" w:hAnsi="宋体" w:cs="宋体"/>
      <w:sz w:val="24"/>
      <w:szCs w:val="24"/>
    </w:rPr>
  </w:style>
  <w:style w:type="paragraph" w:customStyle="1" w:styleId="484">
    <w:name w:val="xl24227"/>
    <w:basedOn w:val="1"/>
    <w:qFormat/>
    <w:uiPriority w:val="0"/>
    <w:pPr>
      <w:widowControl/>
      <w:pBdr>
        <w:top w:val="single" w:color="auto" w:sz="4" w:space="0"/>
        <w:left w:val="single" w:color="auto" w:sz="4" w:space="0"/>
        <w:bottom w:val="single" w:color="auto" w:sz="4" w:space="0"/>
        <w:right w:val="single" w:color="auto" w:sz="4" w:space="0"/>
      </w:pBdr>
      <w:shd w:val="clear" w:color="000000" w:fill="ACB9CA"/>
      <w:spacing w:before="100" w:beforeAutospacing="1" w:after="100" w:afterAutospacing="1"/>
      <w:jc w:val="left"/>
    </w:pPr>
    <w:rPr>
      <w:rFonts w:ascii="宋体" w:hAnsi="宋体" w:cs="宋体"/>
      <w:b/>
      <w:bCs/>
      <w:sz w:val="20"/>
    </w:rPr>
  </w:style>
  <w:style w:type="paragraph" w:customStyle="1" w:styleId="485">
    <w:name w:val="xl115"/>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486">
    <w:name w:val="xl270"/>
    <w:basedOn w:val="1"/>
    <w:qFormat/>
    <w:uiPriority w:val="0"/>
    <w:pPr>
      <w:widowControl/>
      <w:pBdr>
        <w:left w:val="single" w:color="auto" w:sz="4" w:space="0"/>
        <w:bottom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487">
    <w:name w:val="xl11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88">
    <w:name w:val="Char Char Char Char Char Char Char Char Char1 Char1"/>
    <w:basedOn w:val="20"/>
    <w:qFormat/>
    <w:uiPriority w:val="0"/>
    <w:pPr>
      <w:spacing w:line="360" w:lineRule="auto"/>
    </w:pPr>
    <w:rPr>
      <w:rFonts w:ascii="Tahoma" w:hAnsi="Tahoma"/>
      <w:sz w:val="24"/>
      <w:szCs w:val="24"/>
    </w:rPr>
  </w:style>
  <w:style w:type="paragraph" w:customStyle="1" w:styleId="489">
    <w:name w:val="List Paragraph1"/>
    <w:basedOn w:val="1"/>
    <w:qFormat/>
    <w:uiPriority w:val="0"/>
    <w:pPr>
      <w:ind w:firstLine="420"/>
    </w:pPr>
    <w:rPr>
      <w:rFonts w:hint="eastAsia" w:eastAsia="楷体_GB2312"/>
      <w:sz w:val="26"/>
    </w:rPr>
  </w:style>
  <w:style w:type="paragraph" w:customStyle="1" w:styleId="490">
    <w:name w:val="xl274"/>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491">
    <w:name w:val="正文_0"/>
    <w:qFormat/>
    <w:uiPriority w:val="0"/>
    <w:pPr>
      <w:widowControl w:val="0"/>
      <w:ind w:firstLine="560"/>
      <w:jc w:val="both"/>
    </w:pPr>
    <w:rPr>
      <w:rFonts w:hint="default" w:ascii="Calibri" w:hAnsi="Calibri" w:eastAsia="宋体" w:cs="Times New Roman"/>
      <w:sz w:val="28"/>
      <w:szCs w:val="28"/>
      <w:lang w:val="en-US" w:eastAsia="zh-CN" w:bidi="ar-SA"/>
    </w:rPr>
  </w:style>
  <w:style w:type="paragraph" w:customStyle="1" w:styleId="49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493">
    <w:name w:val="xl41299"/>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494">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49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496">
    <w:name w:val="标书标准正文"/>
    <w:basedOn w:val="1"/>
    <w:qFormat/>
    <w:uiPriority w:val="0"/>
    <w:pPr>
      <w:spacing w:line="360" w:lineRule="auto"/>
      <w:ind w:firstLine="540"/>
    </w:pPr>
    <w:rPr>
      <w:sz w:val="24"/>
      <w:szCs w:val="24"/>
    </w:rPr>
  </w:style>
  <w:style w:type="paragraph" w:customStyle="1" w:styleId="497">
    <w:name w:val="xl282"/>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4"/>
      <w:szCs w:val="24"/>
    </w:rPr>
  </w:style>
  <w:style w:type="paragraph" w:customStyle="1" w:styleId="498">
    <w:name w:val="xl77"/>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499">
    <w:name w:val="列表段落1"/>
    <w:basedOn w:val="1"/>
    <w:qFormat/>
    <w:uiPriority w:val="34"/>
    <w:pPr>
      <w:ind w:firstLine="420"/>
    </w:pPr>
    <w:rPr>
      <w:szCs w:val="24"/>
    </w:rPr>
  </w:style>
  <w:style w:type="paragraph" w:customStyle="1" w:styleId="500">
    <w:name w:val="xl413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501">
    <w:name w:val="xl24"/>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502">
    <w:name w:val="xl413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03">
    <w:name w:val="xl125"/>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sz w:val="24"/>
      <w:szCs w:val="24"/>
    </w:rPr>
  </w:style>
  <w:style w:type="paragraph" w:customStyle="1" w:styleId="504">
    <w:name w:val="xl413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0"/>
    </w:rPr>
  </w:style>
  <w:style w:type="paragraph" w:customStyle="1" w:styleId="505">
    <w:name w:val="Char Char1 Char Char Char Char Char Char Char Char"/>
    <w:basedOn w:val="1"/>
    <w:qFormat/>
    <w:uiPriority w:val="0"/>
    <w:pPr>
      <w:widowControl/>
      <w:spacing w:after="160" w:line="240" w:lineRule="exact"/>
      <w:jc w:val="left"/>
    </w:pPr>
    <w:rPr>
      <w:rFonts w:ascii="Verdana" w:hAnsi="Verdana"/>
      <w:sz w:val="20"/>
      <w:lang w:eastAsia="en-US"/>
    </w:rPr>
  </w:style>
  <w:style w:type="paragraph" w:customStyle="1" w:styleId="506">
    <w:name w:val="Char Char Char1 Char Char Char Char"/>
    <w:basedOn w:val="1"/>
    <w:qFormat/>
    <w:uiPriority w:val="0"/>
    <w:pPr>
      <w:widowControl/>
      <w:spacing w:after="160" w:line="240" w:lineRule="exact"/>
      <w:jc w:val="left"/>
    </w:pPr>
    <w:rPr>
      <w:sz w:val="24"/>
      <w:szCs w:val="24"/>
    </w:rPr>
  </w:style>
  <w:style w:type="paragraph" w:customStyle="1" w:styleId="507">
    <w:name w:val="xl134"/>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508">
    <w:name w:val="xl228"/>
    <w:basedOn w:val="1"/>
    <w:qFormat/>
    <w:uiPriority w:val="0"/>
    <w:pPr>
      <w:widowControl/>
      <w:spacing w:before="100" w:beforeAutospacing="1" w:after="100" w:afterAutospacing="1"/>
      <w:jc w:val="left"/>
    </w:pPr>
    <w:rPr>
      <w:rFonts w:ascii="宋体" w:hAnsi="宋体" w:cs="宋体"/>
      <w:sz w:val="24"/>
      <w:szCs w:val="24"/>
    </w:rPr>
  </w:style>
  <w:style w:type="paragraph" w:customStyle="1" w:styleId="509">
    <w:name w:val="xl24259"/>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sz w:val="20"/>
    </w:rPr>
  </w:style>
  <w:style w:type="paragraph" w:customStyle="1" w:styleId="510">
    <w:name w:val="Javis"/>
    <w:basedOn w:val="1"/>
    <w:qFormat/>
    <w:uiPriority w:val="0"/>
    <w:pPr>
      <w:spacing w:line="360" w:lineRule="auto"/>
      <w:ind w:right="210"/>
    </w:pPr>
    <w:rPr>
      <w:rFonts w:cs="宋体"/>
      <w:sz w:val="24"/>
    </w:rPr>
  </w:style>
  <w:style w:type="paragraph" w:customStyle="1" w:styleId="511">
    <w:name w:val="xl124"/>
    <w:basedOn w:val="1"/>
    <w:qFormat/>
    <w:uiPriority w:val="0"/>
    <w:pPr>
      <w:widowControl/>
      <w:pBdr>
        <w:left w:val="single" w:color="auto" w:sz="4" w:space="0"/>
        <w:right w:val="single" w:color="auto" w:sz="4" w:space="0"/>
      </w:pBdr>
      <w:shd w:val="clear" w:color="000000" w:fill="FFFFFF"/>
      <w:spacing w:before="100" w:beforeAutospacing="1" w:after="100" w:afterAutospacing="1"/>
      <w:jc w:val="left"/>
    </w:pPr>
    <w:rPr>
      <w:rFonts w:ascii="宋体" w:hAnsi="宋体" w:cs="宋体"/>
      <w:b/>
      <w:bCs/>
      <w:sz w:val="24"/>
      <w:szCs w:val="24"/>
    </w:rPr>
  </w:style>
  <w:style w:type="paragraph" w:customStyle="1" w:styleId="512">
    <w:name w:val="text12"/>
    <w:basedOn w:val="1"/>
    <w:qFormat/>
    <w:uiPriority w:val="0"/>
    <w:pPr>
      <w:widowControl/>
      <w:spacing w:before="100" w:beforeAutospacing="1" w:after="100" w:afterAutospacing="1"/>
      <w:ind w:firstLine="480"/>
      <w:jc w:val="left"/>
    </w:pPr>
    <w:rPr>
      <w:rFonts w:ascii="Arial Unicode MS" w:hAnsi="Arial Unicode MS"/>
      <w:sz w:val="24"/>
      <w:szCs w:val="24"/>
    </w:rPr>
  </w:style>
  <w:style w:type="paragraph" w:customStyle="1" w:styleId="513">
    <w:name w:val="xl8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514">
    <w:name w:val="pic-info"/>
    <w:basedOn w:val="1"/>
    <w:qFormat/>
    <w:uiPriority w:val="0"/>
    <w:pPr>
      <w:widowControl/>
      <w:spacing w:before="100" w:beforeAutospacing="1" w:after="100" w:afterAutospacing="1"/>
      <w:jc w:val="left"/>
    </w:pPr>
    <w:rPr>
      <w:rFonts w:ascii="宋体" w:hAnsi="宋体" w:cs="宋体"/>
      <w:sz w:val="24"/>
      <w:szCs w:val="24"/>
    </w:rPr>
  </w:style>
  <w:style w:type="paragraph" w:customStyle="1" w:styleId="515">
    <w:name w:val="xl11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516">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17">
    <w:name w:val="xl41309"/>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cs="宋体"/>
      <w:color w:val="000000"/>
      <w:sz w:val="20"/>
    </w:rPr>
  </w:style>
  <w:style w:type="paragraph" w:customStyle="1" w:styleId="518">
    <w:name w:val="xl2423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519">
    <w:name w:val="xl2424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521">
    <w:name w:val="正文符号1"/>
    <w:basedOn w:val="298"/>
    <w:qFormat/>
    <w:uiPriority w:val="0"/>
    <w:pPr>
      <w:tabs>
        <w:tab w:val="left" w:pos="840"/>
        <w:tab w:val="left" w:pos="975"/>
        <w:tab w:val="left" w:pos="1080"/>
      </w:tabs>
      <w:ind w:left="975" w:hanging="340"/>
    </w:pPr>
  </w:style>
  <w:style w:type="paragraph" w:customStyle="1" w:styleId="522">
    <w:name w:val="xl242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sz w:val="20"/>
    </w:rPr>
  </w:style>
  <w:style w:type="paragraph" w:customStyle="1" w:styleId="523">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4"/>
      <w:szCs w:val="24"/>
    </w:rPr>
  </w:style>
  <w:style w:type="paragraph" w:customStyle="1" w:styleId="524">
    <w:name w:val="xl242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25">
    <w:name w:val="xl2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526">
    <w:name w:val="xl2426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27">
    <w:name w:val="样式4"/>
    <w:basedOn w:val="61"/>
    <w:qFormat/>
    <w:uiPriority w:val="0"/>
    <w:pPr>
      <w:tabs>
        <w:tab w:val="right" w:leader="dot" w:pos="8494"/>
      </w:tabs>
      <w:spacing w:line="480" w:lineRule="auto"/>
    </w:pPr>
    <w:rPr>
      <w:rFonts w:ascii="Arial" w:hAnsi="Arial" w:eastAsia="黑体" w:cs="Arial"/>
      <w:b w:val="0"/>
      <w:bCs w:val="0"/>
    </w:rPr>
  </w:style>
  <w:style w:type="paragraph" w:customStyle="1" w:styleId="528">
    <w:name w:val="Char2 Char Char Char Char Char Char Char Char Char"/>
    <w:basedOn w:val="1"/>
    <w:qFormat/>
    <w:uiPriority w:val="0"/>
    <w:pPr>
      <w:spacing w:line="360" w:lineRule="auto"/>
      <w:ind w:firstLine="200"/>
    </w:pPr>
    <w:rPr>
      <w:rFonts w:eastAsia="楷体_GB2312"/>
      <w:sz w:val="28"/>
    </w:rPr>
  </w:style>
  <w:style w:type="paragraph" w:customStyle="1" w:styleId="529">
    <w:name w:val="xl2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30">
    <w:name w:val="xl10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531">
    <w:name w:val="xl129"/>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532">
    <w:name w:val="xl242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33">
    <w:name w:val="font8"/>
    <w:basedOn w:val="1"/>
    <w:qFormat/>
    <w:uiPriority w:val="0"/>
    <w:pPr>
      <w:widowControl/>
      <w:spacing w:before="100" w:beforeAutospacing="1" w:after="100" w:afterAutospacing="1"/>
      <w:jc w:val="left"/>
    </w:pPr>
    <w:rPr>
      <w:sz w:val="22"/>
      <w:szCs w:val="22"/>
    </w:rPr>
  </w:style>
  <w:style w:type="paragraph" w:customStyle="1" w:styleId="534">
    <w:name w:val="xl24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535">
    <w:name w:val="xl2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rPr>
  </w:style>
  <w:style w:type="paragraph" w:customStyle="1" w:styleId="536">
    <w:name w:val="Definition List"/>
    <w:basedOn w:val="1"/>
    <w:next w:val="1"/>
    <w:qFormat/>
    <w:uiPriority w:val="0"/>
    <w:pPr>
      <w:ind w:left="360"/>
      <w:jc w:val="left"/>
    </w:pPr>
    <w:rPr>
      <w:sz w:val="24"/>
    </w:rPr>
  </w:style>
  <w:style w:type="paragraph" w:customStyle="1" w:styleId="537">
    <w:name w:val="Char Char3"/>
    <w:basedOn w:val="1"/>
    <w:qFormat/>
    <w:uiPriority w:val="0"/>
    <w:rPr>
      <w:rFonts w:ascii="Tahoma" w:hAnsi="Tahoma"/>
      <w:sz w:val="24"/>
    </w:rPr>
  </w:style>
  <w:style w:type="paragraph" w:customStyle="1" w:styleId="538">
    <w:name w:val="xl2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39">
    <w:name w:val="xl94"/>
    <w:basedOn w:val="1"/>
    <w:qFormat/>
    <w:uiPriority w:val="0"/>
    <w:pPr>
      <w:widowControl/>
      <w:shd w:val="clear" w:color="000000" w:fill="FFFFFF"/>
      <w:spacing w:before="100" w:beforeAutospacing="1" w:after="100" w:afterAutospacing="1"/>
      <w:jc w:val="left"/>
    </w:pPr>
    <w:rPr>
      <w:rFonts w:ascii="微软雅黑" w:hAnsi="微软雅黑" w:eastAsia="微软雅黑" w:cs="宋体"/>
      <w:sz w:val="20"/>
    </w:rPr>
  </w:style>
  <w:style w:type="paragraph" w:customStyle="1" w:styleId="540">
    <w:name w:val="Char1"/>
    <w:basedOn w:val="20"/>
    <w:qFormat/>
    <w:uiPriority w:val="0"/>
    <w:pPr>
      <w:spacing w:line="436" w:lineRule="exact"/>
      <w:ind w:left="357"/>
      <w:jc w:val="left"/>
      <w:outlineLvl w:val="3"/>
    </w:pPr>
    <w:rPr>
      <w:rFonts w:ascii="Tahoma" w:hAnsi="Tahoma"/>
      <w:b/>
      <w:sz w:val="24"/>
      <w:szCs w:val="24"/>
    </w:rPr>
  </w:style>
  <w:style w:type="paragraph" w:customStyle="1" w:styleId="541">
    <w:name w:val="xl91"/>
    <w:basedOn w:val="1"/>
    <w:qFormat/>
    <w:uiPriority w:val="0"/>
    <w:pPr>
      <w:widowControl/>
      <w:shd w:val="clear" w:color="000000" w:fill="FFFFFF"/>
      <w:spacing w:before="100" w:beforeAutospacing="1" w:after="100" w:afterAutospacing="1"/>
      <w:jc w:val="left"/>
    </w:pPr>
    <w:rPr>
      <w:rFonts w:ascii="宋体" w:hAnsi="宋体" w:cs="宋体"/>
      <w:sz w:val="24"/>
      <w:szCs w:val="24"/>
    </w:rPr>
  </w:style>
  <w:style w:type="paragraph" w:customStyle="1" w:styleId="542">
    <w:name w:val="xl244"/>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sz w:val="20"/>
    </w:rPr>
  </w:style>
  <w:style w:type="paragraph" w:customStyle="1" w:styleId="543">
    <w:name w:val="xl413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544">
    <w:name w:val="纯文本3"/>
    <w:basedOn w:val="1"/>
    <w:qFormat/>
    <w:uiPriority w:val="0"/>
    <w:rPr>
      <w:rFonts w:ascii="宋体" w:hAnsi="Courier New" w:eastAsia="楷体_GB2312"/>
      <w:sz w:val="26"/>
    </w:rPr>
  </w:style>
  <w:style w:type="paragraph" w:customStyle="1" w:styleId="545">
    <w:name w:val="xl12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546">
    <w:name w:val="xl73"/>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宋体"/>
      <w:b/>
      <w:bCs/>
      <w:sz w:val="20"/>
    </w:rPr>
  </w:style>
  <w:style w:type="paragraph" w:customStyle="1" w:styleId="547">
    <w:name w:val="Char Char Char Char Char Char1 Char"/>
    <w:basedOn w:val="1"/>
    <w:qFormat/>
    <w:uiPriority w:val="0"/>
    <w:rPr>
      <w:rFonts w:ascii="Tahoma" w:hAnsi="Tahoma"/>
      <w:sz w:val="24"/>
    </w:rPr>
  </w:style>
  <w:style w:type="paragraph" w:customStyle="1" w:styleId="548">
    <w:name w:val="xl71"/>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b/>
      <w:bCs/>
      <w:sz w:val="20"/>
    </w:rPr>
  </w:style>
  <w:style w:type="paragraph" w:customStyle="1" w:styleId="549">
    <w:name w:val="表头"/>
    <w:basedOn w:val="17"/>
    <w:qFormat/>
    <w:uiPriority w:val="0"/>
    <w:pPr>
      <w:keepNext/>
      <w:keepLines/>
      <w:widowControl/>
      <w:spacing w:before="120" w:after="120" w:line="300" w:lineRule="auto"/>
      <w:jc w:val="center"/>
    </w:pPr>
    <w:rPr>
      <w:sz w:val="21"/>
    </w:rPr>
  </w:style>
  <w:style w:type="paragraph" w:customStyle="1" w:styleId="55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551">
    <w:name w:val="xl413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52">
    <w:name w:val="a1"/>
    <w:basedOn w:val="1"/>
    <w:qFormat/>
    <w:uiPriority w:val="0"/>
    <w:pPr>
      <w:widowControl/>
      <w:spacing w:before="100" w:beforeAutospacing="1" w:after="100" w:afterAutospacing="1"/>
      <w:jc w:val="left"/>
    </w:pPr>
    <w:rPr>
      <w:rFonts w:ascii="宋体" w:hAnsi="宋体" w:cs="宋体"/>
      <w:sz w:val="24"/>
      <w:szCs w:val="24"/>
    </w:rPr>
  </w:style>
  <w:style w:type="paragraph" w:customStyle="1" w:styleId="553">
    <w:name w:val="xl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54">
    <w:name w:val="xl255"/>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55">
    <w:name w:val="列出段落3"/>
    <w:basedOn w:val="1"/>
    <w:qFormat/>
    <w:uiPriority w:val="99"/>
    <w:pPr>
      <w:ind w:firstLine="420"/>
    </w:pPr>
    <w:rPr>
      <w:szCs w:val="24"/>
    </w:rPr>
  </w:style>
  <w:style w:type="paragraph" w:customStyle="1" w:styleId="556">
    <w:name w:val="表格形式1"/>
    <w:basedOn w:val="1"/>
    <w:qFormat/>
    <w:uiPriority w:val="0"/>
    <w:pPr>
      <w:spacing w:line="360" w:lineRule="atLeast"/>
      <w:jc w:val="left"/>
    </w:pPr>
    <w:rPr>
      <w:rFonts w:ascii="宋体" w:eastAsia="仿宋_GB2312"/>
      <w:sz w:val="24"/>
      <w:szCs w:val="24"/>
    </w:rPr>
  </w:style>
  <w:style w:type="paragraph" w:customStyle="1" w:styleId="557">
    <w:name w:val="xl280"/>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32"/>
      <w:szCs w:val="32"/>
    </w:rPr>
  </w:style>
  <w:style w:type="paragraph" w:customStyle="1" w:styleId="558">
    <w:name w:val="xl2424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59">
    <w:name w:val="xl4133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560">
    <w:name w:val="xl121"/>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561">
    <w:name w:val="IBM 正文"/>
    <w:basedOn w:val="1"/>
    <w:qFormat/>
    <w:uiPriority w:val="0"/>
    <w:pPr>
      <w:spacing w:line="400" w:lineRule="exact"/>
    </w:pPr>
    <w:rPr>
      <w:spacing w:val="20"/>
      <w:sz w:val="24"/>
    </w:rPr>
  </w:style>
  <w:style w:type="paragraph" w:customStyle="1" w:styleId="562">
    <w:name w:val="xl413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0"/>
    </w:rPr>
  </w:style>
  <w:style w:type="paragraph" w:customStyle="1" w:styleId="563">
    <w:name w:val="xl2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64">
    <w:name w:val="xl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65">
    <w:name w:val="xl41307"/>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rFonts w:ascii="宋体" w:hAnsi="宋体" w:cs="宋体"/>
      <w:color w:val="000000"/>
      <w:sz w:val="20"/>
    </w:rPr>
  </w:style>
  <w:style w:type="paragraph" w:customStyle="1" w:styleId="566">
    <w:name w:val="表格文本"/>
    <w:qFormat/>
    <w:uiPriority w:val="0"/>
    <w:pPr>
      <w:tabs>
        <w:tab w:val="decimal" w:pos="0"/>
      </w:tabs>
    </w:pPr>
    <w:rPr>
      <w:rFonts w:hint="default" w:ascii="Arial" w:hAnsi="Arial" w:eastAsia="宋体" w:cs="Times New Roman"/>
      <w:sz w:val="21"/>
      <w:szCs w:val="21"/>
      <w:lang w:val="en-US" w:eastAsia="zh-CN" w:bidi="ar-SA"/>
    </w:rPr>
  </w:style>
  <w:style w:type="paragraph" w:customStyle="1" w:styleId="567">
    <w:name w:val="xl41302"/>
    <w:basedOn w:val="1"/>
    <w:qFormat/>
    <w:uiPriority w:val="0"/>
    <w:pPr>
      <w:widowControl/>
      <w:pBdr>
        <w:top w:val="single" w:color="auto" w:sz="4" w:space="0"/>
        <w:left w:val="single" w:color="auto" w:sz="4" w:space="0"/>
        <w:bottom w:val="single" w:color="auto" w:sz="4" w:space="0"/>
        <w:right w:val="single" w:color="auto" w:sz="4" w:space="0"/>
      </w:pBdr>
      <w:shd w:val="clear" w:color="000000" w:fill="B6DDE8"/>
      <w:spacing w:before="100" w:beforeAutospacing="1" w:after="100" w:afterAutospacing="1"/>
      <w:jc w:val="left"/>
    </w:pPr>
    <w:rPr>
      <w:rFonts w:ascii="宋体" w:hAnsi="宋体" w:cs="宋体"/>
      <w:b/>
      <w:bCs/>
      <w:sz w:val="24"/>
      <w:szCs w:val="24"/>
    </w:rPr>
  </w:style>
  <w:style w:type="paragraph" w:customStyle="1" w:styleId="568">
    <w:name w:val="absatz4"/>
    <w:basedOn w:val="1"/>
    <w:qFormat/>
    <w:uiPriority w:val="0"/>
    <w:pPr>
      <w:widowControl/>
      <w:tabs>
        <w:tab w:val="left" w:pos="709"/>
        <w:tab w:val="left" w:pos="2268"/>
        <w:tab w:val="right" w:pos="10206"/>
      </w:tabs>
      <w:ind w:left="2268" w:hanging="2268"/>
    </w:pPr>
    <w:rPr>
      <w:sz w:val="24"/>
      <w:lang w:val="de-DE" w:eastAsia="de-DE"/>
    </w:rPr>
  </w:style>
  <w:style w:type="paragraph" w:customStyle="1" w:styleId="569">
    <w:name w:val="Char Char Char Char Char Char Char"/>
    <w:basedOn w:val="1"/>
    <w:qFormat/>
    <w:uiPriority w:val="0"/>
    <w:rPr>
      <w:rFonts w:ascii="仿宋_GB2312" w:eastAsia="仿宋_GB2312"/>
      <w:b/>
      <w:sz w:val="32"/>
      <w:szCs w:val="32"/>
    </w:rPr>
  </w:style>
  <w:style w:type="paragraph" w:customStyle="1" w:styleId="570">
    <w:name w:val="_Style 101"/>
    <w:basedOn w:val="1"/>
    <w:next w:val="373"/>
    <w:qFormat/>
    <w:uiPriority w:val="34"/>
    <w:pPr>
      <w:spacing w:line="360" w:lineRule="auto"/>
      <w:ind w:firstLine="420"/>
    </w:pPr>
    <w:rPr>
      <w:rFonts w:ascii="Calibri" w:hAnsi="Calibri"/>
      <w:lang w:val="zh-CN"/>
    </w:rPr>
  </w:style>
  <w:style w:type="paragraph" w:customStyle="1" w:styleId="571">
    <w:name w:val="小四 段落 宋体 Char Char"/>
    <w:basedOn w:val="1"/>
    <w:qFormat/>
    <w:uiPriority w:val="0"/>
    <w:pPr>
      <w:spacing w:line="360" w:lineRule="auto"/>
      <w:ind w:firstLine="480"/>
    </w:pPr>
    <w:rPr>
      <w:rFonts w:ascii="宋体" w:hAnsi="宋体"/>
      <w:sz w:val="24"/>
      <w:szCs w:val="24"/>
    </w:rPr>
  </w:style>
  <w:style w:type="paragraph" w:customStyle="1" w:styleId="572">
    <w:name w:val="5级方案标题"/>
    <w:basedOn w:val="5"/>
    <w:qFormat/>
    <w:uiPriority w:val="0"/>
    <w:pPr>
      <w:keepLines/>
      <w:spacing w:line="377" w:lineRule="auto"/>
      <w:outlineLvl w:val="4"/>
    </w:pPr>
    <w:rPr>
      <w:rFonts w:ascii="宋体" w:hAnsi="宋体"/>
      <w:sz w:val="24"/>
      <w:szCs w:val="28"/>
      <w:lang w:val="zh-CN"/>
    </w:rPr>
  </w:style>
  <w:style w:type="paragraph" w:customStyle="1" w:styleId="573">
    <w:name w:val="xl21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74">
    <w:name w:val="xl10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575">
    <w:name w:val="xl24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76">
    <w:name w:val="xl24261"/>
    <w:basedOn w:val="1"/>
    <w:qFormat/>
    <w:uiPriority w:val="0"/>
    <w:pPr>
      <w:widowControl/>
      <w:pBdr>
        <w:left w:val="single" w:color="auto" w:sz="4" w:space="0"/>
      </w:pBdr>
      <w:spacing w:before="100" w:beforeAutospacing="1" w:after="100" w:afterAutospacing="1"/>
      <w:jc w:val="center"/>
    </w:pPr>
    <w:rPr>
      <w:rFonts w:ascii="宋体" w:hAnsi="宋体" w:cs="宋体"/>
      <w:sz w:val="20"/>
    </w:rPr>
  </w:style>
  <w:style w:type="paragraph" w:customStyle="1" w:styleId="577">
    <w:name w:val="xl2425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78">
    <w:name w:val="xl2426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79">
    <w:name w:val="xl12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580">
    <w:name w:val="_Style 4"/>
    <w:basedOn w:val="1"/>
    <w:qFormat/>
    <w:uiPriority w:val="34"/>
    <w:pPr>
      <w:ind w:firstLine="420"/>
    </w:pPr>
    <w:rPr>
      <w:rFonts w:ascii="Calibri" w:hAnsi="Calibri"/>
      <w:szCs w:val="22"/>
    </w:rPr>
  </w:style>
  <w:style w:type="paragraph" w:customStyle="1" w:styleId="581">
    <w:name w:val="xl413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82">
    <w:name w:val="xl271"/>
    <w:basedOn w:val="1"/>
    <w:qFormat/>
    <w:uiPriority w:val="0"/>
    <w:pPr>
      <w:widowControl/>
      <w:pBdr>
        <w:bottom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583">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969696"/>
      <w:spacing w:before="100" w:beforeAutospacing="1" w:after="100" w:afterAutospacing="1"/>
      <w:jc w:val="center"/>
    </w:pPr>
    <w:rPr>
      <w:rFonts w:ascii="微软雅黑" w:hAnsi="微软雅黑" w:eastAsia="微软雅黑" w:cs="宋体"/>
      <w:sz w:val="20"/>
    </w:rPr>
  </w:style>
  <w:style w:type="paragraph" w:customStyle="1" w:styleId="584">
    <w:name w:val="xl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85">
    <w:name w:val="font10"/>
    <w:basedOn w:val="1"/>
    <w:qFormat/>
    <w:uiPriority w:val="0"/>
    <w:pPr>
      <w:widowControl/>
      <w:spacing w:before="100" w:beforeAutospacing="1" w:after="100" w:afterAutospacing="1"/>
      <w:jc w:val="left"/>
    </w:pPr>
    <w:rPr>
      <w:rFonts w:ascii="宋体" w:hAnsi="宋体" w:cs="宋体"/>
      <w:sz w:val="18"/>
      <w:szCs w:val="18"/>
    </w:rPr>
  </w:style>
  <w:style w:type="paragraph" w:customStyle="1" w:styleId="586">
    <w:name w:val="xl279"/>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sz w:val="32"/>
      <w:szCs w:val="32"/>
    </w:rPr>
  </w:style>
  <w:style w:type="paragraph" w:customStyle="1" w:styleId="58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588">
    <w:name w:val="xl118"/>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589">
    <w:name w:val="xl242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590">
    <w:name w:val="正文 A"/>
    <w:next w:val="256"/>
    <w:qFormat/>
    <w:uiPriority w:val="0"/>
    <w:pPr>
      <w:widowControl w:val="0"/>
      <w:jc w:val="both"/>
    </w:pPr>
    <w:rPr>
      <w:rFonts w:hint="default" w:ascii="Times New Roman" w:hAnsi="Arial Unicode MS" w:eastAsia="Arial Unicode MS" w:cs="Arial Unicode MS"/>
      <w:color w:val="000000"/>
      <w:sz w:val="21"/>
      <w:szCs w:val="21"/>
      <w:lang w:val="en-US" w:eastAsia="zh-CN" w:bidi="ar-SA"/>
    </w:rPr>
  </w:style>
  <w:style w:type="paragraph" w:customStyle="1" w:styleId="591">
    <w:name w:val="xl6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592">
    <w:name w:val="xl132"/>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593">
    <w:name w:val="xl4133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594">
    <w:name w:val="xl24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0"/>
    </w:rPr>
  </w:style>
  <w:style w:type="paragraph" w:customStyle="1" w:styleId="595">
    <w:name w:val="正文 New"/>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596">
    <w:name w:val="正文文本 21"/>
    <w:basedOn w:val="1"/>
    <w:qFormat/>
    <w:uiPriority w:val="0"/>
    <w:pPr>
      <w:widowControl/>
      <w:ind w:left="720" w:hanging="720"/>
    </w:pPr>
    <w:rPr>
      <w:sz w:val="24"/>
      <w:lang w:val="en-GB"/>
    </w:rPr>
  </w:style>
  <w:style w:type="paragraph" w:customStyle="1" w:styleId="597">
    <w:name w:val="普通正文"/>
    <w:basedOn w:val="1"/>
    <w:qFormat/>
    <w:uiPriority w:val="0"/>
    <w:pPr>
      <w:ind w:firstLine="425"/>
      <w:jc w:val="left"/>
    </w:pPr>
    <w:rPr>
      <w:rFonts w:ascii="宋体" w:hAnsi="宋体"/>
      <w:color w:val="000000"/>
      <w:sz w:val="24"/>
    </w:rPr>
  </w:style>
  <w:style w:type="paragraph" w:customStyle="1" w:styleId="598">
    <w:name w:val="xl2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599">
    <w:name w:val="2级方案标题"/>
    <w:basedOn w:val="3"/>
    <w:qFormat/>
    <w:uiPriority w:val="0"/>
    <w:pPr>
      <w:keepLines/>
      <w:tabs>
        <w:tab w:val="left" w:pos="1002"/>
        <w:tab w:val="left" w:pos="2717"/>
      </w:tabs>
      <w:spacing w:before="100" w:beforeAutospacing="1" w:after="100" w:afterAutospacing="1"/>
      <w:jc w:val="both"/>
    </w:pPr>
    <w:rPr>
      <w:bCs w:val="0"/>
      <w:color w:val="000000"/>
      <w:sz w:val="32"/>
      <w:szCs w:val="32"/>
    </w:rPr>
  </w:style>
  <w:style w:type="paragraph" w:customStyle="1" w:styleId="600">
    <w:name w:val="xl242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01">
    <w:name w:val="正文alt+z"/>
    <w:basedOn w:val="1"/>
    <w:qFormat/>
    <w:uiPriority w:val="0"/>
    <w:pPr>
      <w:spacing w:line="360" w:lineRule="auto"/>
      <w:ind w:firstLine="200"/>
    </w:pPr>
    <w:rPr>
      <w:rFonts w:ascii="Time New Roman" w:hAnsi="Time New Roman"/>
      <w:sz w:val="24"/>
      <w:szCs w:val="24"/>
    </w:rPr>
  </w:style>
  <w:style w:type="paragraph" w:customStyle="1" w:styleId="602">
    <w:name w:val="正文－恩普"/>
    <w:basedOn w:val="16"/>
    <w:qFormat/>
    <w:uiPriority w:val="0"/>
    <w:pPr>
      <w:spacing w:line="360" w:lineRule="auto"/>
      <w:ind w:firstLine="200"/>
    </w:pPr>
    <w:rPr>
      <w:rFonts w:eastAsia="楷体_GB2312"/>
      <w:sz w:val="24"/>
    </w:rPr>
  </w:style>
  <w:style w:type="paragraph" w:customStyle="1" w:styleId="603">
    <w:name w:val="Char Char Char Char Char Char Char Char Char"/>
    <w:basedOn w:val="1"/>
    <w:qFormat/>
    <w:uiPriority w:val="0"/>
    <w:pPr>
      <w:widowControl/>
      <w:spacing w:after="160" w:line="240" w:lineRule="exact"/>
      <w:jc w:val="left"/>
    </w:pPr>
    <w:rPr>
      <w:sz w:val="24"/>
      <w:szCs w:val="24"/>
    </w:rPr>
  </w:style>
  <w:style w:type="paragraph" w:customStyle="1" w:styleId="604">
    <w:name w:val="font6"/>
    <w:basedOn w:val="1"/>
    <w:qFormat/>
    <w:uiPriority w:val="0"/>
    <w:pPr>
      <w:widowControl/>
      <w:spacing w:before="100" w:beforeAutospacing="1" w:after="100" w:afterAutospacing="1"/>
      <w:jc w:val="left"/>
    </w:pPr>
    <w:rPr>
      <w:rFonts w:ascii="宋体" w:hAnsi="宋体" w:cs="宋体"/>
      <w:sz w:val="18"/>
      <w:szCs w:val="18"/>
    </w:rPr>
  </w:style>
  <w:style w:type="paragraph" w:customStyle="1" w:styleId="60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606">
    <w:name w:val="xl242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607">
    <w:name w:val="xl11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608">
    <w:name w:val="xl2423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0"/>
    </w:rPr>
  </w:style>
  <w:style w:type="paragraph" w:customStyle="1" w:styleId="609">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微软雅黑" w:hAnsi="微软雅黑" w:eastAsia="微软雅黑" w:cs="宋体"/>
      <w:sz w:val="20"/>
    </w:rPr>
  </w:style>
  <w:style w:type="paragraph" w:customStyle="1" w:styleId="610">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611">
    <w:name w:val="正式行文"/>
    <w:basedOn w:val="1"/>
    <w:qFormat/>
    <w:uiPriority w:val="0"/>
    <w:pPr>
      <w:spacing w:line="360" w:lineRule="auto"/>
      <w:ind w:firstLine="200"/>
    </w:pPr>
    <w:rPr>
      <w:sz w:val="24"/>
      <w:szCs w:val="24"/>
    </w:rPr>
  </w:style>
  <w:style w:type="paragraph" w:customStyle="1" w:styleId="612">
    <w:name w:val="xl2423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613">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614">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615">
    <w:name w:val="Char Char11"/>
    <w:basedOn w:val="1"/>
    <w:qFormat/>
    <w:uiPriority w:val="0"/>
    <w:pPr>
      <w:widowControl/>
      <w:spacing w:after="160" w:line="240" w:lineRule="exact"/>
      <w:jc w:val="left"/>
    </w:pPr>
    <w:rPr>
      <w:rFonts w:ascii="Verdana" w:hAnsi="Verdana"/>
      <w:sz w:val="20"/>
      <w:lang w:eastAsia="en-US"/>
    </w:rPr>
  </w:style>
  <w:style w:type="paragraph" w:customStyle="1" w:styleId="616">
    <w:name w:val="xl217"/>
    <w:basedOn w:val="1"/>
    <w:qFormat/>
    <w:uiPriority w:val="0"/>
    <w:pPr>
      <w:widowControl/>
      <w:spacing w:before="100" w:beforeAutospacing="1" w:after="100" w:afterAutospacing="1"/>
      <w:jc w:val="center"/>
    </w:pPr>
    <w:rPr>
      <w:rFonts w:ascii="宋体" w:hAnsi="宋体" w:cs="宋体"/>
      <w:sz w:val="24"/>
      <w:szCs w:val="24"/>
    </w:rPr>
  </w:style>
  <w:style w:type="paragraph" w:customStyle="1" w:styleId="61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618">
    <w:name w:val="xl24255"/>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sz w:val="24"/>
      <w:szCs w:val="24"/>
    </w:rPr>
  </w:style>
  <w:style w:type="paragraph" w:customStyle="1" w:styleId="619">
    <w:name w:val="Char Char1 Char Char Char Char Char Char Char"/>
    <w:basedOn w:val="1"/>
    <w:qFormat/>
    <w:uiPriority w:val="0"/>
    <w:rPr>
      <w:rFonts w:eastAsia="楷体_GB2312"/>
      <w:sz w:val="26"/>
    </w:rPr>
  </w:style>
  <w:style w:type="paragraph" w:customStyle="1" w:styleId="620">
    <w:name w:val="xl131"/>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621">
    <w:name w:val="Definition Term"/>
    <w:basedOn w:val="1"/>
    <w:next w:val="1"/>
    <w:qFormat/>
    <w:uiPriority w:val="0"/>
    <w:pPr>
      <w:jc w:val="left"/>
    </w:pPr>
    <w:rPr>
      <w:sz w:val="24"/>
    </w:rPr>
  </w:style>
  <w:style w:type="paragraph" w:customStyle="1" w:styleId="622">
    <w:name w:val="xl9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微软雅黑" w:hAnsi="微软雅黑" w:eastAsia="微软雅黑" w:cs="宋体"/>
      <w:sz w:val="20"/>
    </w:rPr>
  </w:style>
  <w:style w:type="paragraph" w:customStyle="1" w:styleId="623">
    <w:name w:val="分发表内容"/>
    <w:basedOn w:val="1"/>
    <w:qFormat/>
    <w:uiPriority w:val="0"/>
    <w:pPr>
      <w:spacing w:before="120" w:after="120"/>
      <w:jc w:val="center"/>
    </w:pPr>
    <w:rPr>
      <w:rFonts w:ascii="昆仑仿宋" w:eastAsia="昆仑仿宋"/>
      <w:sz w:val="20"/>
    </w:rPr>
  </w:style>
  <w:style w:type="paragraph" w:customStyle="1" w:styleId="624">
    <w:name w:val="List Paragraph2"/>
    <w:basedOn w:val="1"/>
    <w:qFormat/>
    <w:uiPriority w:val="34"/>
    <w:pPr>
      <w:spacing w:line="360" w:lineRule="auto"/>
      <w:ind w:firstLine="420"/>
    </w:pPr>
    <w:rPr>
      <w:rFonts w:ascii="Calibri" w:hAnsi="Calibri"/>
      <w:sz w:val="24"/>
    </w:rPr>
  </w:style>
  <w:style w:type="paragraph" w:customStyle="1" w:styleId="625">
    <w:name w:val="xl2424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626">
    <w:name w:val="普通(Web)9"/>
    <w:basedOn w:val="1"/>
    <w:qFormat/>
    <w:uiPriority w:val="0"/>
    <w:pPr>
      <w:widowControl/>
      <w:spacing w:before="100" w:beforeAutospacing="1" w:after="100" w:afterAutospacing="1"/>
      <w:jc w:val="left"/>
    </w:pPr>
    <w:rPr>
      <w:rFonts w:ascii="宋体" w:hAnsi="宋体" w:cs="宋体"/>
      <w:sz w:val="20"/>
      <w:szCs w:val="21"/>
    </w:rPr>
  </w:style>
  <w:style w:type="paragraph" w:customStyle="1" w:styleId="627">
    <w:name w:val="Default Paragraph Font Para Char"/>
    <w:basedOn w:val="1"/>
    <w:qFormat/>
    <w:uiPriority w:val="0"/>
    <w:pPr>
      <w:widowControl/>
      <w:spacing w:after="160" w:line="240" w:lineRule="exact"/>
      <w:jc w:val="left"/>
    </w:pPr>
  </w:style>
  <w:style w:type="paragraph" w:customStyle="1" w:styleId="628">
    <w:name w:val="1级方案标题"/>
    <w:basedOn w:val="1"/>
    <w:qFormat/>
    <w:uiPriority w:val="0"/>
    <w:pPr>
      <w:keepNext/>
      <w:keepLines/>
      <w:tabs>
        <w:tab w:val="left" w:pos="1418"/>
      </w:tabs>
      <w:spacing w:before="340" w:after="330" w:line="360" w:lineRule="auto"/>
      <w:jc w:val="center"/>
      <w:outlineLvl w:val="0"/>
    </w:pPr>
    <w:rPr>
      <w:rFonts w:ascii="宋体" w:hAnsi="宋体"/>
      <w:b/>
      <w:bCs/>
      <w:sz w:val="44"/>
      <w:szCs w:val="44"/>
    </w:rPr>
  </w:style>
  <w:style w:type="paragraph" w:customStyle="1" w:styleId="629">
    <w:name w:val="_Style 447"/>
    <w:unhideWhenUsed/>
    <w:qFormat/>
    <w:uiPriority w:val="99"/>
    <w:rPr>
      <w:rFonts w:hint="default" w:ascii="Times New Roman" w:hAnsi="Times New Roman" w:eastAsia="宋体" w:cs="Times New Roman"/>
      <w:sz w:val="21"/>
      <w:lang w:val="en-US" w:eastAsia="zh-CN" w:bidi="ar-SA"/>
    </w:rPr>
  </w:style>
  <w:style w:type="paragraph" w:customStyle="1" w:styleId="630">
    <w:name w:val="p17"/>
    <w:basedOn w:val="1"/>
    <w:qFormat/>
    <w:uiPriority w:val="0"/>
    <w:pPr>
      <w:widowControl/>
    </w:pPr>
    <w:rPr>
      <w:szCs w:val="21"/>
    </w:rPr>
  </w:style>
  <w:style w:type="paragraph" w:customStyle="1" w:styleId="631">
    <w:name w:val="xl413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32">
    <w:name w:val="xl242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633">
    <w:name w:val="xl413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634">
    <w:name w:val="xl2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635">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636">
    <w:name w:val="正文标准"/>
    <w:basedOn w:val="1"/>
    <w:qFormat/>
    <w:uiPriority w:val="0"/>
    <w:pPr>
      <w:spacing w:line="360" w:lineRule="auto"/>
      <w:ind w:firstLine="200"/>
    </w:pPr>
    <w:rPr>
      <w:rFonts w:eastAsia="MS Gothic"/>
      <w:sz w:val="24"/>
      <w:szCs w:val="21"/>
    </w:rPr>
  </w:style>
  <w:style w:type="paragraph" w:customStyle="1" w:styleId="63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638">
    <w:name w:val="xl24257"/>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639">
    <w:name w:val="剑鱼三"/>
    <w:basedOn w:val="1"/>
    <w:next w:val="1"/>
    <w:qFormat/>
    <w:uiPriority w:val="0"/>
    <w:pPr>
      <w:ind w:left="840" w:hanging="420"/>
    </w:pPr>
    <w:rPr>
      <w:rFonts w:ascii="Arial" w:hAnsi="Arial"/>
      <w:b/>
      <w:sz w:val="20"/>
      <w:szCs w:val="21"/>
    </w:rPr>
  </w:style>
  <w:style w:type="paragraph" w:customStyle="1" w:styleId="640">
    <w:name w:val="xl4131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641">
    <w:name w:val="xl2424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642">
    <w:name w:val="style23"/>
    <w:basedOn w:val="1"/>
    <w:qFormat/>
    <w:uiPriority w:val="0"/>
    <w:pPr>
      <w:widowControl/>
      <w:spacing w:before="100" w:beforeAutospacing="1" w:after="100" w:afterAutospacing="1"/>
      <w:jc w:val="left"/>
    </w:pPr>
    <w:rPr>
      <w:rFonts w:ascii="Arial Unicode MS" w:hAnsi="Arial Unicode MS" w:eastAsia="Arial Unicode MS" w:cs="Arial Unicode MS"/>
      <w:sz w:val="18"/>
      <w:szCs w:val="18"/>
    </w:rPr>
  </w:style>
  <w:style w:type="paragraph" w:customStyle="1" w:styleId="643">
    <w:name w:val="Char"/>
    <w:basedOn w:val="1"/>
    <w:qFormat/>
    <w:uiPriority w:val="0"/>
    <w:pPr>
      <w:tabs>
        <w:tab w:val="left" w:pos="480"/>
      </w:tabs>
      <w:ind w:left="480" w:hanging="480"/>
    </w:pPr>
    <w:rPr>
      <w:sz w:val="24"/>
      <w:szCs w:val="24"/>
    </w:rPr>
  </w:style>
  <w:style w:type="paragraph" w:customStyle="1" w:styleId="644">
    <w:name w:val="xl272"/>
    <w:basedOn w:val="1"/>
    <w:qFormat/>
    <w:uiPriority w:val="0"/>
    <w:pPr>
      <w:widowControl/>
      <w:pBdr>
        <w:bottom w:val="single" w:color="auto" w:sz="4" w:space="0"/>
        <w:right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645">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微软雅黑" w:hAnsi="微软雅黑" w:eastAsia="微软雅黑" w:cs="宋体"/>
      <w:sz w:val="20"/>
    </w:rPr>
  </w:style>
  <w:style w:type="paragraph" w:customStyle="1" w:styleId="64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47">
    <w:name w:val="默认段落字体 Para Char Char Char Char Char Char Char"/>
    <w:basedOn w:val="20"/>
    <w:qFormat/>
    <w:uiPriority w:val="0"/>
    <w:pPr>
      <w:spacing w:line="436" w:lineRule="exact"/>
      <w:ind w:left="357"/>
      <w:jc w:val="left"/>
      <w:outlineLvl w:val="3"/>
    </w:pPr>
    <w:rPr>
      <w:rFonts w:ascii="Tahoma" w:hAnsi="Tahoma"/>
      <w:b/>
      <w:sz w:val="24"/>
      <w:szCs w:val="24"/>
    </w:rPr>
  </w:style>
  <w:style w:type="paragraph" w:customStyle="1" w:styleId="648">
    <w:name w:val="Char Char Char Char Char Char Char Char Char Char1"/>
    <w:basedOn w:val="20"/>
    <w:qFormat/>
    <w:uiPriority w:val="0"/>
    <w:rPr>
      <w:rFonts w:ascii="Tahoma" w:hAnsi="Tahoma" w:cs="Tahoma"/>
      <w:sz w:val="24"/>
      <w:szCs w:val="24"/>
    </w:rPr>
  </w:style>
  <w:style w:type="paragraph" w:customStyle="1" w:styleId="649">
    <w:name w:val="xl85"/>
    <w:basedOn w:val="1"/>
    <w:qFormat/>
    <w:uiPriority w:val="0"/>
    <w:pPr>
      <w:widowControl/>
      <w:spacing w:before="100" w:beforeAutospacing="1" w:after="100" w:afterAutospacing="1"/>
      <w:jc w:val="left"/>
    </w:pPr>
    <w:rPr>
      <w:rFonts w:ascii="宋体" w:hAnsi="宋体" w:cs="宋体"/>
      <w:sz w:val="24"/>
      <w:szCs w:val="24"/>
    </w:rPr>
  </w:style>
  <w:style w:type="paragraph" w:customStyle="1" w:styleId="650">
    <w:name w:val="Char Char Char"/>
    <w:basedOn w:val="1"/>
    <w:qFormat/>
    <w:uiPriority w:val="0"/>
    <w:pPr>
      <w:tabs>
        <w:tab w:val="left" w:pos="1545"/>
      </w:tabs>
      <w:ind w:left="375" w:hanging="375"/>
    </w:pPr>
  </w:style>
  <w:style w:type="paragraph" w:customStyle="1" w:styleId="651">
    <w:name w:val="xl281"/>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sz w:val="24"/>
      <w:szCs w:val="24"/>
    </w:rPr>
  </w:style>
  <w:style w:type="paragraph" w:customStyle="1" w:styleId="652">
    <w:name w:val="_Style 30"/>
    <w:basedOn w:val="1"/>
    <w:next w:val="32"/>
    <w:qFormat/>
    <w:uiPriority w:val="0"/>
    <w:rPr>
      <w:rFonts w:ascii="宋体" w:hAnsi="Courier New"/>
    </w:rPr>
  </w:style>
  <w:style w:type="paragraph" w:customStyle="1" w:styleId="653">
    <w:name w:val="xl4133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sz w:val="20"/>
    </w:rPr>
  </w:style>
  <w:style w:type="paragraph" w:customStyle="1" w:styleId="654">
    <w:name w:val="xl412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655">
    <w:name w:val="xl2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656">
    <w:name w:val="xl41325"/>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657">
    <w:name w:val="xl413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sz w:val="20"/>
    </w:rPr>
  </w:style>
  <w:style w:type="paragraph" w:customStyle="1" w:styleId="658">
    <w:name w:val="xl24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659">
    <w:name w:val="xl74"/>
    <w:basedOn w:val="1"/>
    <w:qFormat/>
    <w:uiPriority w:val="0"/>
    <w:pPr>
      <w:widowControl/>
      <w:spacing w:before="100" w:beforeAutospacing="1" w:after="100" w:afterAutospacing="1"/>
      <w:jc w:val="left"/>
    </w:pPr>
    <w:rPr>
      <w:rFonts w:ascii="宋体" w:hAnsi="宋体" w:cs="宋体"/>
      <w:sz w:val="24"/>
      <w:szCs w:val="24"/>
    </w:rPr>
  </w:style>
  <w:style w:type="paragraph" w:customStyle="1" w:styleId="660">
    <w:name w:val="xl133"/>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661">
    <w:name w:val="修订1"/>
    <w:semiHidden/>
    <w:qFormat/>
    <w:uiPriority w:val="0"/>
    <w:rPr>
      <w:rFonts w:hint="default" w:ascii="Times New Roman" w:hAnsi="Times New Roman" w:eastAsia="楷体_GB2312" w:cs="Times New Roman"/>
      <w:sz w:val="28"/>
      <w:lang w:val="en-US" w:eastAsia="zh-CN" w:bidi="ar-SA"/>
    </w:rPr>
  </w:style>
  <w:style w:type="paragraph" w:customStyle="1" w:styleId="662">
    <w:name w:val="xl25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18"/>
      <w:szCs w:val="18"/>
    </w:rPr>
  </w:style>
  <w:style w:type="paragraph" w:customStyle="1" w:styleId="663">
    <w:name w:val="xl127"/>
    <w:basedOn w:val="1"/>
    <w:qFormat/>
    <w:uiPriority w:val="0"/>
    <w:pPr>
      <w:widowControl/>
      <w:pBdr>
        <w:bottom w:val="single" w:color="auto" w:sz="4" w:space="0"/>
      </w:pBdr>
      <w:spacing w:before="100" w:beforeAutospacing="1" w:after="100" w:afterAutospacing="1"/>
      <w:jc w:val="center"/>
    </w:pPr>
    <w:rPr>
      <w:rFonts w:ascii="宋体" w:hAnsi="宋体" w:cs="宋体"/>
      <w:b/>
      <w:bCs/>
      <w:sz w:val="28"/>
      <w:szCs w:val="28"/>
    </w:rPr>
  </w:style>
  <w:style w:type="paragraph" w:customStyle="1" w:styleId="664">
    <w:name w:val="p0"/>
    <w:basedOn w:val="1"/>
    <w:qFormat/>
    <w:uiPriority w:val="0"/>
    <w:pPr>
      <w:widowControl/>
    </w:pPr>
    <w:rPr>
      <w:spacing w:val="16"/>
    </w:rPr>
  </w:style>
  <w:style w:type="paragraph" w:customStyle="1" w:styleId="665">
    <w:name w:val="xl275"/>
    <w:basedOn w:val="1"/>
    <w:qFormat/>
    <w:uiPriority w:val="0"/>
    <w:pPr>
      <w:widowControl/>
      <w:pBdr>
        <w:top w:val="single" w:color="auto" w:sz="4" w:space="0"/>
        <w:left w:val="single" w:color="auto" w:sz="4" w:space="0"/>
        <w:bottom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666">
    <w:name w:val="xl4133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6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s="宋体"/>
      <w:sz w:val="20"/>
    </w:rPr>
  </w:style>
  <w:style w:type="paragraph" w:customStyle="1" w:styleId="668">
    <w:name w:val="文档正文"/>
    <w:basedOn w:val="1"/>
    <w:qFormat/>
    <w:uiPriority w:val="0"/>
    <w:pPr>
      <w:spacing w:line="500" w:lineRule="exact"/>
      <w:ind w:firstLine="567"/>
    </w:pPr>
    <w:rPr>
      <w:rFonts w:ascii="仿宋_GB2312" w:eastAsia="仿宋_GB2312"/>
      <w:sz w:val="28"/>
    </w:rPr>
  </w:style>
  <w:style w:type="paragraph" w:customStyle="1" w:styleId="669">
    <w:name w:val="Char11"/>
    <w:basedOn w:val="20"/>
    <w:qFormat/>
    <w:uiPriority w:val="0"/>
    <w:pPr>
      <w:spacing w:line="436" w:lineRule="exact"/>
      <w:ind w:left="357"/>
      <w:jc w:val="left"/>
      <w:outlineLvl w:val="3"/>
    </w:pPr>
    <w:rPr>
      <w:rFonts w:ascii="Tahoma" w:hAnsi="Tahoma"/>
      <w:b/>
      <w:sz w:val="24"/>
      <w:szCs w:val="24"/>
    </w:rPr>
  </w:style>
  <w:style w:type="paragraph" w:customStyle="1" w:styleId="670">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671">
    <w:name w:val="此正文"/>
    <w:basedOn w:val="1"/>
    <w:qFormat/>
    <w:uiPriority w:val="0"/>
    <w:pPr>
      <w:spacing w:line="360" w:lineRule="auto"/>
      <w:ind w:firstLine="200"/>
    </w:pPr>
    <w:rPr>
      <w:sz w:val="24"/>
      <w:szCs w:val="24"/>
    </w:rPr>
  </w:style>
  <w:style w:type="paragraph" w:customStyle="1" w:styleId="672">
    <w:name w:val="xl242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73">
    <w:name w:val="xl252"/>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674">
    <w:name w:val="xl24264"/>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75">
    <w:name w:val="style1"/>
    <w:basedOn w:val="1"/>
    <w:qFormat/>
    <w:uiPriority w:val="0"/>
    <w:pPr>
      <w:widowControl/>
      <w:spacing w:before="100" w:beforeAutospacing="1" w:after="100" w:afterAutospacing="1"/>
      <w:jc w:val="left"/>
    </w:pPr>
    <w:rPr>
      <w:rFonts w:ascii="宋体" w:hAnsi="宋体" w:cs="宋体"/>
      <w:sz w:val="24"/>
      <w:szCs w:val="24"/>
    </w:rPr>
  </w:style>
  <w:style w:type="paragraph" w:customStyle="1" w:styleId="676">
    <w:name w:val="xl2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77">
    <w:name w:val="正文文本缩进 21"/>
    <w:basedOn w:val="1"/>
    <w:qFormat/>
    <w:uiPriority w:val="0"/>
    <w:pPr>
      <w:spacing w:line="360" w:lineRule="auto"/>
      <w:ind w:left="-61" w:firstLine="458"/>
    </w:pPr>
    <w:rPr>
      <w:rFonts w:ascii="宋体" w:hAnsi="宋体"/>
      <w:sz w:val="20"/>
    </w:rPr>
  </w:style>
  <w:style w:type="paragraph" w:customStyle="1" w:styleId="678">
    <w:name w:val="font9"/>
    <w:basedOn w:val="1"/>
    <w:qFormat/>
    <w:uiPriority w:val="0"/>
    <w:pPr>
      <w:widowControl/>
      <w:spacing w:before="100" w:beforeAutospacing="1" w:after="100" w:afterAutospacing="1"/>
      <w:jc w:val="left"/>
    </w:pPr>
    <w:rPr>
      <w:rFonts w:ascii="宋体" w:hAnsi="宋体" w:cs="宋体"/>
      <w:sz w:val="22"/>
      <w:szCs w:val="22"/>
    </w:rPr>
  </w:style>
  <w:style w:type="paragraph" w:customStyle="1" w:styleId="679">
    <w:name w:val="多级符号2"/>
    <w:basedOn w:val="1"/>
    <w:qFormat/>
    <w:uiPriority w:val="0"/>
    <w:pPr>
      <w:spacing w:line="360" w:lineRule="auto"/>
      <w:ind w:left="420" w:hanging="420"/>
      <w:jc w:val="left"/>
    </w:pPr>
    <w:rPr>
      <w:rFonts w:eastAsia="仿宋_GB2312"/>
      <w:sz w:val="24"/>
      <w:szCs w:val="24"/>
    </w:rPr>
  </w:style>
  <w:style w:type="paragraph" w:customStyle="1" w:styleId="680">
    <w:name w:val="xl126"/>
    <w:basedOn w:val="1"/>
    <w:qFormat/>
    <w:uiPriority w:val="0"/>
    <w:pPr>
      <w:widowControl/>
      <w:pBdr>
        <w:left w:val="single" w:color="auto" w:sz="4" w:space="0"/>
      </w:pBdr>
      <w:shd w:val="clear" w:color="000000" w:fill="FFFFFF"/>
      <w:spacing w:before="100" w:beforeAutospacing="1" w:after="100" w:afterAutospacing="1"/>
      <w:jc w:val="left"/>
    </w:pPr>
    <w:rPr>
      <w:rFonts w:ascii="宋体" w:hAnsi="宋体" w:cs="宋体"/>
      <w:b/>
      <w:bCs/>
      <w:sz w:val="24"/>
      <w:szCs w:val="24"/>
    </w:rPr>
  </w:style>
  <w:style w:type="paragraph" w:customStyle="1" w:styleId="681">
    <w:name w:val="font7"/>
    <w:basedOn w:val="1"/>
    <w:qFormat/>
    <w:uiPriority w:val="0"/>
    <w:pPr>
      <w:widowControl/>
      <w:spacing w:before="100" w:beforeAutospacing="1" w:after="100" w:afterAutospacing="1"/>
      <w:jc w:val="left"/>
    </w:pPr>
    <w:rPr>
      <w:sz w:val="20"/>
    </w:rPr>
  </w:style>
  <w:style w:type="paragraph" w:customStyle="1" w:styleId="682">
    <w:name w:val="xl413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83">
    <w:name w:val="xl24250"/>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684">
    <w:name w:val="style2"/>
    <w:basedOn w:val="1"/>
    <w:qFormat/>
    <w:uiPriority w:val="0"/>
    <w:pPr>
      <w:widowControl/>
      <w:spacing w:before="100" w:beforeAutospacing="1" w:after="100" w:afterAutospacing="1"/>
      <w:jc w:val="left"/>
    </w:pPr>
    <w:rPr>
      <w:rFonts w:hint="eastAsia" w:ascii="宋体" w:hAnsi="宋体" w:cs="Arial Unicode MS"/>
      <w:sz w:val="18"/>
      <w:szCs w:val="18"/>
    </w:rPr>
  </w:style>
  <w:style w:type="paragraph" w:customStyle="1" w:styleId="685">
    <w:name w:val="_Style 7"/>
    <w:basedOn w:val="1"/>
    <w:next w:val="1"/>
    <w:qFormat/>
    <w:uiPriority w:val="0"/>
    <w:pPr>
      <w:spacing w:line="240" w:lineRule="atLeast"/>
      <w:ind w:left="420" w:firstLine="420"/>
      <w:jc w:val="left"/>
    </w:pPr>
    <w:rPr>
      <w:sz w:val="20"/>
      <w:szCs w:val="21"/>
    </w:rPr>
  </w:style>
  <w:style w:type="paragraph" w:customStyle="1" w:styleId="686">
    <w:name w:val="xl72"/>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0"/>
    </w:rPr>
  </w:style>
  <w:style w:type="paragraph" w:customStyle="1" w:styleId="687">
    <w:name w:val="xl8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688">
    <w:name w:val="纯文本111"/>
    <w:basedOn w:val="1"/>
    <w:qFormat/>
    <w:uiPriority w:val="0"/>
    <w:rPr>
      <w:rFonts w:hint="eastAsia" w:ascii="宋体" w:hAnsi="Courier New" w:eastAsia="楷体_GB2312"/>
      <w:sz w:val="28"/>
    </w:rPr>
  </w:style>
  <w:style w:type="paragraph" w:customStyle="1" w:styleId="689">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690">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微软雅黑" w:hAnsi="微软雅黑" w:eastAsia="微软雅黑" w:cs="宋体"/>
      <w:sz w:val="20"/>
    </w:rPr>
  </w:style>
  <w:style w:type="paragraph" w:customStyle="1" w:styleId="691">
    <w:name w:val="Char Char Char Char Char Char Char Char Char Char Char Char Char Char Char Char1"/>
    <w:basedOn w:val="1"/>
    <w:qFormat/>
    <w:uiPriority w:val="0"/>
    <w:rPr>
      <w:rFonts w:ascii="Tahoma" w:hAnsi="Tahoma"/>
      <w:sz w:val="24"/>
      <w:szCs w:val="24"/>
    </w:rPr>
  </w:style>
  <w:style w:type="paragraph" w:customStyle="1" w:styleId="692">
    <w:name w:val="4级方案标题"/>
    <w:basedOn w:val="1"/>
    <w:qFormat/>
    <w:uiPriority w:val="0"/>
    <w:pPr>
      <w:spacing w:before="100" w:beforeAutospacing="1" w:after="100" w:afterAutospacing="1" w:line="360" w:lineRule="auto"/>
      <w:outlineLvl w:val="3"/>
    </w:pPr>
    <w:rPr>
      <w:rFonts w:ascii="等线" w:hAnsi="等线"/>
      <w:b/>
      <w:sz w:val="24"/>
      <w:szCs w:val="28"/>
    </w:rPr>
  </w:style>
  <w:style w:type="paragraph" w:customStyle="1" w:styleId="693">
    <w:name w:val="xl2424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694">
    <w:name w:val="xl123"/>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left"/>
    </w:pPr>
    <w:rPr>
      <w:rFonts w:ascii="宋体" w:hAnsi="宋体" w:cs="宋体"/>
      <w:b/>
      <w:bCs/>
      <w:sz w:val="24"/>
      <w:szCs w:val="24"/>
    </w:rPr>
  </w:style>
  <w:style w:type="paragraph" w:customStyle="1" w:styleId="695">
    <w:name w:val="TOC 标题11"/>
    <w:basedOn w:val="2"/>
    <w:next w:val="1"/>
    <w:unhideWhenUsed/>
    <w:qFormat/>
    <w:uiPriority w:val="39"/>
    <w:pPr>
      <w:keepLines/>
      <w:widowControl/>
      <w:tabs>
        <w:tab w:val="clear" w:pos="200"/>
      </w:tabs>
      <w:spacing w:before="480" w:line="276" w:lineRule="auto"/>
      <w:jc w:val="left"/>
      <w:outlineLvl w:val="9"/>
    </w:pPr>
    <w:rPr>
      <w:rFonts w:ascii="Cambria" w:hAnsi="Cambria" w:cs="黑体"/>
      <w:bCs/>
      <w:color w:val="365F90"/>
      <w:sz w:val="28"/>
      <w:szCs w:val="28"/>
    </w:rPr>
  </w:style>
  <w:style w:type="paragraph" w:customStyle="1" w:styleId="696">
    <w:name w:val="xl26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sz w:val="20"/>
    </w:rPr>
  </w:style>
  <w:style w:type="paragraph" w:customStyle="1" w:styleId="697">
    <w:name w:val="xl242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698">
    <w:name w:val="列表内容"/>
    <w:basedOn w:val="1"/>
    <w:next w:val="1"/>
    <w:qFormat/>
    <w:uiPriority w:val="0"/>
    <w:pPr>
      <w:widowControl/>
      <w:tabs>
        <w:tab w:val="left" w:pos="840"/>
      </w:tabs>
      <w:ind w:left="840" w:hanging="420"/>
      <w:jc w:val="left"/>
    </w:pPr>
    <w:rPr>
      <w:sz w:val="18"/>
      <w:szCs w:val="24"/>
    </w:rPr>
  </w:style>
  <w:style w:type="paragraph" w:customStyle="1" w:styleId="699">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00">
    <w:name w:val="xl273"/>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701">
    <w:name w:val="xl413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4"/>
      <w:szCs w:val="24"/>
    </w:rPr>
  </w:style>
  <w:style w:type="paragraph" w:customStyle="1" w:styleId="702">
    <w:name w:val="xl4133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rFonts w:ascii="宋体" w:hAnsi="宋体" w:cs="宋体"/>
      <w:b/>
      <w:bCs/>
      <w:sz w:val="20"/>
    </w:rPr>
  </w:style>
  <w:style w:type="paragraph" w:customStyle="1" w:styleId="703">
    <w:name w:val="xl276"/>
    <w:basedOn w:val="1"/>
    <w:qFormat/>
    <w:uiPriority w:val="0"/>
    <w:pPr>
      <w:widowControl/>
      <w:pBdr>
        <w:top w:val="single" w:color="auto" w:sz="4" w:space="0"/>
        <w:bottom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704">
    <w:name w:val="标题3"/>
    <w:basedOn w:val="4"/>
    <w:qFormat/>
    <w:uiPriority w:val="0"/>
    <w:pPr>
      <w:keepNext w:val="0"/>
      <w:spacing w:line="360" w:lineRule="auto"/>
      <w:jc w:val="both"/>
    </w:pPr>
    <w:rPr>
      <w:rFonts w:ascii="Times New Roman" w:hAnsi="Times New Roman" w:eastAsia="仿宋_GB2312"/>
      <w:b/>
      <w:bCs/>
      <w:sz w:val="30"/>
      <w:szCs w:val="32"/>
    </w:rPr>
  </w:style>
  <w:style w:type="paragraph" w:customStyle="1" w:styleId="705">
    <w:name w:val="xl95"/>
    <w:basedOn w:val="1"/>
    <w:qFormat/>
    <w:uiPriority w:val="0"/>
    <w:pPr>
      <w:widowControl/>
      <w:pBdr>
        <w:top w:val="single" w:color="969696" w:sz="4" w:space="0"/>
        <w:left w:val="single" w:color="969696" w:sz="4" w:space="0"/>
        <w:bottom w:val="single" w:color="969696" w:sz="4" w:space="0"/>
        <w:right w:val="single" w:color="969696" w:sz="4" w:space="0"/>
      </w:pBdr>
      <w:shd w:val="clear" w:color="000000" w:fill="FFFFFF"/>
      <w:spacing w:before="100" w:beforeAutospacing="1" w:after="100" w:afterAutospacing="1"/>
      <w:jc w:val="left"/>
    </w:pPr>
    <w:rPr>
      <w:rFonts w:ascii="微软雅黑" w:hAnsi="微软雅黑" w:eastAsia="微软雅黑" w:cs="宋体"/>
      <w:sz w:val="20"/>
    </w:rPr>
  </w:style>
  <w:style w:type="paragraph" w:customStyle="1" w:styleId="706">
    <w:name w:val="样式 正文缩进 + 首行缩进:  2 字符"/>
    <w:basedOn w:val="16"/>
    <w:qFormat/>
    <w:uiPriority w:val="0"/>
    <w:pPr>
      <w:spacing w:line="360" w:lineRule="auto"/>
      <w:ind w:firstLine="200"/>
      <w:jc w:val="left"/>
    </w:pPr>
    <w:rPr>
      <w:rFonts w:ascii="Calibri" w:hAnsi="Calibri" w:eastAsia="楷体_GB2312"/>
      <w:sz w:val="24"/>
      <w:szCs w:val="22"/>
    </w:rPr>
  </w:style>
  <w:style w:type="paragraph" w:customStyle="1" w:styleId="707">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08">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709">
    <w:name w:val="xl251"/>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0"/>
    </w:rPr>
  </w:style>
  <w:style w:type="paragraph" w:customStyle="1" w:styleId="710">
    <w:name w:val="样式2"/>
    <w:basedOn w:val="2"/>
    <w:qFormat/>
    <w:uiPriority w:val="0"/>
    <w:pPr>
      <w:keepLines/>
      <w:tabs>
        <w:tab w:val="clear" w:pos="200"/>
      </w:tabs>
      <w:spacing w:before="340" w:after="330" w:line="578" w:lineRule="atLeast"/>
      <w:jc w:val="both"/>
    </w:pPr>
    <w:rPr>
      <w:bCs/>
      <w:sz w:val="44"/>
      <w:szCs w:val="44"/>
    </w:rPr>
  </w:style>
  <w:style w:type="paragraph" w:customStyle="1" w:styleId="711">
    <w:name w:val="xl24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0"/>
    </w:rPr>
  </w:style>
  <w:style w:type="paragraph" w:customStyle="1" w:styleId="712">
    <w:name w:val="xl26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18"/>
      <w:szCs w:val="18"/>
    </w:rPr>
  </w:style>
  <w:style w:type="paragraph" w:customStyle="1" w:styleId="71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4"/>
      <w:szCs w:val="24"/>
    </w:rPr>
  </w:style>
  <w:style w:type="paragraph" w:customStyle="1" w:styleId="714">
    <w:name w:val="Pa3"/>
    <w:basedOn w:val="1"/>
    <w:next w:val="1"/>
    <w:qFormat/>
    <w:uiPriority w:val="0"/>
    <w:pPr>
      <w:spacing w:line="181" w:lineRule="atLeast"/>
      <w:jc w:val="left"/>
    </w:pPr>
    <w:rPr>
      <w:rFonts w:ascii="微软雅黑." w:eastAsia="微软雅黑."/>
      <w:sz w:val="24"/>
      <w:szCs w:val="24"/>
    </w:rPr>
  </w:style>
  <w:style w:type="paragraph" w:customStyle="1" w:styleId="715">
    <w:name w:val="xl9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color w:val="FF0000"/>
      <w:sz w:val="22"/>
      <w:szCs w:val="22"/>
    </w:rPr>
  </w:style>
  <w:style w:type="paragraph" w:customStyle="1" w:styleId="716">
    <w:name w:val="xl24241"/>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17">
    <w:name w:val="xl412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718">
    <w:name w:val="样式5"/>
    <w:basedOn w:val="61"/>
    <w:qFormat/>
    <w:uiPriority w:val="0"/>
    <w:rPr>
      <w:rFonts w:ascii="Arial" w:hAnsi="Arial" w:cs="Arial"/>
    </w:rPr>
  </w:style>
  <w:style w:type="paragraph" w:customStyle="1" w:styleId="719">
    <w:name w:val="Char3"/>
    <w:basedOn w:val="1"/>
    <w:qFormat/>
    <w:uiPriority w:val="0"/>
    <w:rPr>
      <w:rFonts w:ascii="Tahoma" w:hAnsi="Tahoma"/>
      <w:sz w:val="24"/>
    </w:rPr>
  </w:style>
  <w:style w:type="paragraph" w:customStyle="1" w:styleId="720">
    <w:name w:val="xl111"/>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721">
    <w:name w:val="xl269"/>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722">
    <w:name w:val="xl2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23">
    <w:name w:val="xl41335"/>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24">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725">
    <w:name w:val="Plain Text2"/>
    <w:basedOn w:val="1"/>
    <w:qFormat/>
    <w:uiPriority w:val="0"/>
    <w:rPr>
      <w:rFonts w:ascii="宋体" w:hAnsi="Courier New" w:eastAsia="楷体_GB2312"/>
      <w:sz w:val="28"/>
    </w:rPr>
  </w:style>
  <w:style w:type="paragraph" w:customStyle="1" w:styleId="726">
    <w:name w:val="段落正文 Char Char"/>
    <w:basedOn w:val="1"/>
    <w:qFormat/>
    <w:uiPriority w:val="0"/>
    <w:pPr>
      <w:spacing w:line="360" w:lineRule="auto"/>
      <w:ind w:firstLine="461"/>
    </w:pPr>
    <w:rPr>
      <w:rFonts w:ascii="宋体" w:hAnsi="宋体"/>
      <w:sz w:val="24"/>
      <w:szCs w:val="24"/>
    </w:rPr>
  </w:style>
  <w:style w:type="paragraph" w:customStyle="1" w:styleId="727">
    <w:name w:val="南通方案正文"/>
    <w:basedOn w:val="1"/>
    <w:qFormat/>
    <w:uiPriority w:val="0"/>
    <w:pPr>
      <w:spacing w:line="360" w:lineRule="auto"/>
      <w:ind w:firstLine="480"/>
    </w:pPr>
    <w:rPr>
      <w:sz w:val="24"/>
    </w:rPr>
  </w:style>
  <w:style w:type="paragraph" w:customStyle="1" w:styleId="728">
    <w:name w:val="xl13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729">
    <w:name w:val="Pa1"/>
    <w:basedOn w:val="1"/>
    <w:next w:val="1"/>
    <w:qFormat/>
    <w:uiPriority w:val="0"/>
    <w:pPr>
      <w:spacing w:line="241" w:lineRule="atLeast"/>
      <w:jc w:val="left"/>
    </w:pPr>
    <w:rPr>
      <w:rFonts w:ascii="华文细黑" w:eastAsia="华文细黑"/>
      <w:sz w:val="24"/>
      <w:szCs w:val="24"/>
    </w:rPr>
  </w:style>
  <w:style w:type="paragraph" w:customStyle="1" w:styleId="730">
    <w:name w:val="xl24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31">
    <w:name w:val="xl2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32">
    <w:name w:val="Char Char Char Char Char Char Char Char1 Char Char Char Char"/>
    <w:basedOn w:val="20"/>
    <w:qFormat/>
    <w:uiPriority w:val="0"/>
    <w:pPr>
      <w:spacing w:line="360" w:lineRule="auto"/>
    </w:pPr>
    <w:rPr>
      <w:rFonts w:eastAsia="楷体_GB2312"/>
      <w:sz w:val="28"/>
    </w:rPr>
  </w:style>
  <w:style w:type="paragraph" w:customStyle="1" w:styleId="733">
    <w:name w:val="xl24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0"/>
    </w:rPr>
  </w:style>
  <w:style w:type="paragraph" w:customStyle="1" w:styleId="734">
    <w:name w:val="xl2426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32"/>
      <w:szCs w:val="32"/>
    </w:rPr>
  </w:style>
  <w:style w:type="paragraph" w:customStyle="1" w:styleId="735">
    <w:name w:val="xl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sz w:val="20"/>
    </w:rPr>
  </w:style>
  <w:style w:type="paragraph" w:customStyle="1" w:styleId="736">
    <w:name w:val="xl278"/>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sz w:val="32"/>
      <w:szCs w:val="32"/>
    </w:rPr>
  </w:style>
  <w:style w:type="paragraph" w:customStyle="1" w:styleId="737">
    <w:name w:val="正文序号 3"/>
    <w:basedOn w:val="1"/>
    <w:qFormat/>
    <w:uiPriority w:val="0"/>
    <w:pPr>
      <w:tabs>
        <w:tab w:val="left" w:pos="1259"/>
      </w:tabs>
      <w:spacing w:before="60"/>
      <w:ind w:left="1259" w:hanging="420"/>
    </w:pPr>
    <w:rPr>
      <w:szCs w:val="24"/>
    </w:rPr>
  </w:style>
  <w:style w:type="paragraph" w:customStyle="1" w:styleId="738">
    <w:name w:val="xl413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39">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40">
    <w:name w:val="xl2425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41">
    <w:name w:val="xl2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42">
    <w:name w:val="xl75"/>
    <w:basedOn w:val="1"/>
    <w:qFormat/>
    <w:uiPriority w:val="0"/>
    <w:pPr>
      <w:widowControl/>
      <w:spacing w:before="100" w:beforeAutospacing="1" w:after="100" w:afterAutospacing="1"/>
      <w:jc w:val="left"/>
    </w:pPr>
    <w:rPr>
      <w:rFonts w:ascii="宋体" w:hAnsi="宋体" w:cs="宋体"/>
      <w:sz w:val="24"/>
      <w:szCs w:val="24"/>
    </w:rPr>
  </w:style>
  <w:style w:type="paragraph" w:customStyle="1" w:styleId="743">
    <w:name w:val="msonormal"/>
    <w:basedOn w:val="1"/>
    <w:qFormat/>
    <w:uiPriority w:val="0"/>
    <w:pPr>
      <w:widowControl/>
      <w:spacing w:before="100" w:beforeAutospacing="1" w:after="100" w:afterAutospacing="1"/>
      <w:jc w:val="left"/>
    </w:pPr>
    <w:rPr>
      <w:rFonts w:ascii="宋体" w:hAnsi="宋体" w:cs="宋体"/>
      <w:sz w:val="24"/>
      <w:szCs w:val="24"/>
    </w:rPr>
  </w:style>
  <w:style w:type="paragraph" w:customStyle="1" w:styleId="744">
    <w:name w:val="xl41298"/>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745">
    <w:name w:val="Char Char2 Char Char"/>
    <w:basedOn w:val="1"/>
    <w:qFormat/>
    <w:uiPriority w:val="0"/>
    <w:rPr>
      <w:rFonts w:ascii="Tahoma" w:hAnsi="Tahoma"/>
      <w:sz w:val="24"/>
    </w:rPr>
  </w:style>
  <w:style w:type="paragraph" w:customStyle="1" w:styleId="746">
    <w:name w:val="xl413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47">
    <w:name w:val="默认段落字体 Para Char Char Char Char"/>
    <w:basedOn w:val="1"/>
    <w:qFormat/>
    <w:uiPriority w:val="0"/>
    <w:rPr>
      <w:sz w:val="20"/>
      <w:szCs w:val="24"/>
    </w:rPr>
  </w:style>
  <w:style w:type="paragraph" w:customStyle="1" w:styleId="748">
    <w:name w:val="xl41301"/>
    <w:basedOn w:val="1"/>
    <w:qFormat/>
    <w:uiPriority w:val="0"/>
    <w:pPr>
      <w:widowControl/>
      <w:pBdr>
        <w:top w:val="single" w:color="auto" w:sz="4" w:space="0"/>
        <w:left w:val="single" w:color="auto" w:sz="4" w:space="0"/>
        <w:bottom w:val="single" w:color="auto" w:sz="4" w:space="0"/>
        <w:right w:val="single" w:color="auto" w:sz="4" w:space="0"/>
      </w:pBdr>
      <w:shd w:val="clear" w:color="000000" w:fill="B6DDE8"/>
      <w:spacing w:before="100" w:beforeAutospacing="1" w:after="100" w:afterAutospacing="1"/>
      <w:jc w:val="center"/>
    </w:pPr>
    <w:rPr>
      <w:rFonts w:ascii="宋体" w:hAnsi="宋体" w:cs="宋体"/>
      <w:b/>
      <w:bCs/>
      <w:sz w:val="24"/>
      <w:szCs w:val="24"/>
    </w:rPr>
  </w:style>
  <w:style w:type="paragraph" w:customStyle="1" w:styleId="749">
    <w:name w:val="纯文本21"/>
    <w:basedOn w:val="1"/>
    <w:qFormat/>
    <w:uiPriority w:val="0"/>
    <w:rPr>
      <w:rFonts w:ascii="宋体" w:hAnsi="Courier New" w:eastAsia="楷体_GB2312"/>
      <w:sz w:val="26"/>
    </w:rPr>
  </w:style>
  <w:style w:type="paragraph" w:customStyle="1" w:styleId="750">
    <w:name w:val="Bullet"/>
    <w:basedOn w:val="1"/>
    <w:qFormat/>
    <w:uiPriority w:val="0"/>
    <w:pPr>
      <w:tabs>
        <w:tab w:val="left" w:pos="420"/>
        <w:tab w:val="left" w:pos="2552"/>
      </w:tabs>
      <w:spacing w:before="60" w:after="60"/>
      <w:ind w:left="420" w:right="709" w:hanging="420"/>
    </w:pPr>
    <w:rPr>
      <w:rFonts w:eastAsia="2OcuAe"/>
      <w:spacing w:val="2"/>
      <w:sz w:val="20"/>
      <w:lang w:eastAsia="zh-TW"/>
    </w:rPr>
  </w:style>
  <w:style w:type="paragraph" w:customStyle="1" w:styleId="75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752">
    <w:name w:val="Char Char1 Char"/>
    <w:basedOn w:val="20"/>
    <w:qFormat/>
    <w:uiPriority w:val="0"/>
    <w:pPr>
      <w:spacing w:line="360" w:lineRule="auto"/>
    </w:pPr>
    <w:rPr>
      <w:rFonts w:ascii="Tahoma" w:hAnsi="Tahoma"/>
      <w:sz w:val="24"/>
      <w:szCs w:val="24"/>
    </w:rPr>
  </w:style>
  <w:style w:type="paragraph" w:customStyle="1" w:styleId="753">
    <w:name w:val="xl41294"/>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754">
    <w:name w:val="xl24226"/>
    <w:basedOn w:val="1"/>
    <w:qFormat/>
    <w:uiPriority w:val="0"/>
    <w:pPr>
      <w:widowControl/>
      <w:pBdr>
        <w:top w:val="single" w:color="auto" w:sz="4" w:space="0"/>
        <w:left w:val="single" w:color="auto" w:sz="4" w:space="0"/>
        <w:bottom w:val="single" w:color="auto" w:sz="4" w:space="0"/>
        <w:right w:val="single" w:color="auto" w:sz="4" w:space="0"/>
      </w:pBdr>
      <w:shd w:val="clear" w:color="000000" w:fill="ACB9CA"/>
      <w:spacing w:before="100" w:beforeAutospacing="1" w:after="100" w:afterAutospacing="1"/>
      <w:jc w:val="center"/>
    </w:pPr>
    <w:rPr>
      <w:rFonts w:ascii="宋体" w:hAnsi="宋体" w:cs="宋体"/>
      <w:b/>
      <w:bCs/>
      <w:sz w:val="20"/>
    </w:rPr>
  </w:style>
  <w:style w:type="paragraph" w:customStyle="1" w:styleId="755">
    <w:name w:val="Char Char1 Char Char Char Char Char Char Char1"/>
    <w:basedOn w:val="1"/>
    <w:qFormat/>
    <w:uiPriority w:val="0"/>
    <w:rPr>
      <w:rFonts w:ascii="Tahoma" w:hAnsi="Tahoma"/>
      <w:sz w:val="24"/>
    </w:rPr>
  </w:style>
  <w:style w:type="paragraph" w:customStyle="1" w:styleId="756">
    <w:name w:val="xl2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sz w:val="20"/>
    </w:rPr>
  </w:style>
  <w:style w:type="paragraph" w:customStyle="1" w:styleId="757">
    <w:name w:val="xl4131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0"/>
    </w:rPr>
  </w:style>
  <w:style w:type="paragraph" w:customStyle="1" w:styleId="758">
    <w:name w:val="xl24262"/>
    <w:basedOn w:val="1"/>
    <w:qFormat/>
    <w:uiPriority w:val="0"/>
    <w:pPr>
      <w:widowControl/>
      <w:pBdr>
        <w:right w:val="single" w:color="auto" w:sz="4" w:space="0"/>
      </w:pBdr>
      <w:spacing w:before="100" w:beforeAutospacing="1" w:after="100" w:afterAutospacing="1"/>
      <w:jc w:val="center"/>
    </w:pPr>
    <w:rPr>
      <w:rFonts w:ascii="宋体" w:hAnsi="宋体" w:cs="宋体"/>
      <w:sz w:val="20"/>
    </w:rPr>
  </w:style>
  <w:style w:type="paragraph" w:customStyle="1" w:styleId="759">
    <w:name w:val="xl218"/>
    <w:basedOn w:val="1"/>
    <w:qFormat/>
    <w:uiPriority w:val="0"/>
    <w:pPr>
      <w:widowControl/>
      <w:spacing w:before="100" w:beforeAutospacing="1" w:after="100" w:afterAutospacing="1"/>
      <w:jc w:val="left"/>
    </w:pPr>
    <w:rPr>
      <w:rFonts w:ascii="宋体" w:hAnsi="宋体" w:cs="宋体"/>
      <w:sz w:val="24"/>
      <w:szCs w:val="24"/>
    </w:rPr>
  </w:style>
  <w:style w:type="paragraph" w:customStyle="1" w:styleId="760">
    <w:name w:val="xl10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761">
    <w:name w:val="xl2425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sz w:val="24"/>
      <w:szCs w:val="24"/>
    </w:rPr>
  </w:style>
  <w:style w:type="paragraph" w:customStyle="1" w:styleId="762">
    <w:name w:val="xl2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63">
    <w:name w:val="xl2426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sz w:val="32"/>
      <w:szCs w:val="32"/>
    </w:rPr>
  </w:style>
  <w:style w:type="paragraph" w:customStyle="1" w:styleId="764">
    <w:name w:val="xl2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65">
    <w:name w:val="xl2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66">
    <w:name w:val="reader-word-layer reader-word-s7-11"/>
    <w:basedOn w:val="1"/>
    <w:qFormat/>
    <w:uiPriority w:val="0"/>
    <w:pPr>
      <w:widowControl/>
      <w:spacing w:before="100" w:beforeAutospacing="1" w:after="100" w:afterAutospacing="1"/>
      <w:jc w:val="left"/>
    </w:pPr>
    <w:rPr>
      <w:rFonts w:ascii="宋体" w:hAnsi="宋体" w:cs="宋体"/>
      <w:sz w:val="24"/>
      <w:szCs w:val="24"/>
    </w:rPr>
  </w:style>
  <w:style w:type="paragraph" w:customStyle="1" w:styleId="767">
    <w:name w:val="xl413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68">
    <w:name w:val="xl41300"/>
    <w:basedOn w:val="1"/>
    <w:qFormat/>
    <w:uiPriority w:val="0"/>
    <w:pPr>
      <w:widowControl/>
      <w:spacing w:before="100" w:beforeAutospacing="1" w:after="100" w:afterAutospacing="1"/>
      <w:jc w:val="center"/>
    </w:pPr>
    <w:rPr>
      <w:rFonts w:ascii="宋体" w:hAnsi="宋体" w:cs="宋体"/>
      <w:sz w:val="24"/>
      <w:szCs w:val="24"/>
    </w:rPr>
  </w:style>
  <w:style w:type="paragraph" w:customStyle="1" w:styleId="769">
    <w:name w:val="Char Char Char1"/>
    <w:basedOn w:val="1"/>
    <w:qFormat/>
    <w:uiPriority w:val="0"/>
    <w:pPr>
      <w:tabs>
        <w:tab w:val="left" w:pos="375"/>
        <w:tab w:val="left" w:pos="1545"/>
      </w:tabs>
      <w:ind w:left="375" w:hanging="375"/>
    </w:pPr>
  </w:style>
  <w:style w:type="paragraph" w:customStyle="1" w:styleId="770">
    <w:name w:val="Pa8"/>
    <w:basedOn w:val="1"/>
    <w:next w:val="1"/>
    <w:qFormat/>
    <w:uiPriority w:val="0"/>
    <w:pPr>
      <w:spacing w:line="481" w:lineRule="atLeast"/>
      <w:jc w:val="left"/>
    </w:pPr>
    <w:rPr>
      <w:rFonts w:ascii="微软雅黑." w:eastAsia="微软雅黑."/>
      <w:sz w:val="24"/>
      <w:szCs w:val="24"/>
    </w:rPr>
  </w:style>
  <w:style w:type="paragraph" w:customStyle="1" w:styleId="771">
    <w:name w:val="Char Char Char Char1"/>
    <w:basedOn w:val="20"/>
    <w:qFormat/>
    <w:uiPriority w:val="0"/>
    <w:pPr>
      <w:spacing w:line="360" w:lineRule="auto"/>
    </w:pPr>
    <w:rPr>
      <w:rFonts w:ascii="Tahoma" w:hAnsi="Tahoma"/>
      <w:sz w:val="24"/>
      <w:szCs w:val="24"/>
    </w:rPr>
  </w:style>
  <w:style w:type="paragraph" w:customStyle="1" w:styleId="772">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4"/>
      <w:szCs w:val="24"/>
    </w:rPr>
  </w:style>
  <w:style w:type="paragraph" w:customStyle="1" w:styleId="773">
    <w:name w:val="_Style 12"/>
    <w:basedOn w:val="20"/>
    <w:qFormat/>
    <w:uiPriority w:val="0"/>
    <w:pPr>
      <w:widowControl/>
      <w:spacing w:line="360" w:lineRule="auto"/>
      <w:jc w:val="left"/>
    </w:pPr>
    <w:rPr>
      <w:sz w:val="24"/>
      <w:szCs w:val="24"/>
    </w:rPr>
  </w:style>
  <w:style w:type="paragraph" w:customStyle="1" w:styleId="774">
    <w:name w:val="xl25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775">
    <w:name w:val="xl41336"/>
    <w:basedOn w:val="1"/>
    <w:qFormat/>
    <w:uiPriority w:val="0"/>
    <w:pPr>
      <w:widowControl/>
      <w:pBdr>
        <w:left w:val="single" w:color="auto" w:sz="4" w:space="0"/>
        <w:bottom w:val="single" w:color="auto" w:sz="6" w:space="0"/>
        <w:right w:val="single" w:color="auto" w:sz="4" w:space="0"/>
      </w:pBdr>
      <w:spacing w:before="100" w:beforeAutospacing="1" w:after="100" w:afterAutospacing="1"/>
      <w:jc w:val="left"/>
    </w:pPr>
    <w:rPr>
      <w:rFonts w:ascii="宋体" w:hAnsi="宋体" w:cs="宋体"/>
      <w:sz w:val="20"/>
    </w:rPr>
  </w:style>
  <w:style w:type="paragraph" w:customStyle="1" w:styleId="776">
    <w:name w:val="xl24263"/>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sz w:val="20"/>
    </w:rPr>
  </w:style>
  <w:style w:type="paragraph" w:customStyle="1" w:styleId="777">
    <w:name w:val="xl41334"/>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sz w:val="20"/>
    </w:rPr>
  </w:style>
  <w:style w:type="paragraph" w:customStyle="1" w:styleId="778">
    <w:name w:val="xl242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779">
    <w:name w:val="Table Text"/>
    <w:basedOn w:val="1"/>
    <w:qFormat/>
    <w:uiPriority w:val="0"/>
    <w:pPr>
      <w:widowControl/>
      <w:tabs>
        <w:tab w:val="decimal" w:pos="0"/>
      </w:tabs>
      <w:jc w:val="left"/>
    </w:pPr>
    <w:rPr>
      <w:rFonts w:eastAsia="Times New Roman"/>
      <w:sz w:val="20"/>
      <w:lang w:eastAsia="en-US"/>
    </w:rPr>
  </w:style>
  <w:style w:type="paragraph" w:customStyle="1" w:styleId="780">
    <w:name w:val="xl413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color w:val="000000"/>
      <w:sz w:val="20"/>
    </w:rPr>
  </w:style>
  <w:style w:type="paragraph" w:customStyle="1" w:styleId="781">
    <w:name w:val="xl413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782">
    <w:name w:val="xl41296"/>
    <w:basedOn w:val="1"/>
    <w:qFormat/>
    <w:uiPriority w:val="0"/>
    <w:pPr>
      <w:widowControl/>
      <w:spacing w:before="100" w:beforeAutospacing="1" w:after="100" w:afterAutospacing="1"/>
      <w:jc w:val="center"/>
    </w:pPr>
    <w:rPr>
      <w:rFonts w:ascii="宋体" w:hAnsi="宋体" w:cs="宋体"/>
      <w:sz w:val="24"/>
      <w:szCs w:val="24"/>
    </w:rPr>
  </w:style>
  <w:style w:type="paragraph" w:customStyle="1" w:styleId="783">
    <w:name w:val="xl2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18"/>
      <w:szCs w:val="18"/>
    </w:rPr>
  </w:style>
  <w:style w:type="paragraph" w:customStyle="1" w:styleId="784">
    <w:name w:val="正文序号 1"/>
    <w:basedOn w:val="1"/>
    <w:qFormat/>
    <w:uiPriority w:val="0"/>
    <w:pPr>
      <w:tabs>
        <w:tab w:val="left" w:pos="839"/>
      </w:tabs>
      <w:spacing w:before="60"/>
      <w:ind w:left="839" w:hanging="419"/>
    </w:pPr>
    <w:rPr>
      <w:szCs w:val="24"/>
    </w:rPr>
  </w:style>
  <w:style w:type="paragraph" w:customStyle="1" w:styleId="785">
    <w:name w:val="xl2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86">
    <w:name w:val="xl7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paragraph" w:customStyle="1" w:styleId="787">
    <w:name w:val="样式 样式 标题 2 + (中文) 宋体 小四 非加粗 段前: 0 磅 段后: 0 磅 行距: 单倍行距 + 行距: 固定值 2..."/>
    <w:basedOn w:val="1"/>
    <w:qFormat/>
    <w:uiPriority w:val="0"/>
    <w:pPr>
      <w:keepNext/>
      <w:keepLines/>
      <w:tabs>
        <w:tab w:val="left" w:pos="780"/>
      </w:tabs>
      <w:spacing w:before="120" w:after="120" w:line="400" w:lineRule="atLeast"/>
      <w:ind w:left="360" w:hanging="360"/>
      <w:outlineLvl w:val="1"/>
    </w:pPr>
    <w:rPr>
      <w:rFonts w:ascii="Arial" w:hAnsi="Arial"/>
      <w:b/>
      <w:sz w:val="28"/>
      <w:szCs w:val="30"/>
    </w:rPr>
  </w:style>
  <w:style w:type="paragraph" w:customStyle="1" w:styleId="788">
    <w:name w:val="样式 表格正文 + 两端对齐"/>
    <w:basedOn w:val="1"/>
    <w:qFormat/>
    <w:uiPriority w:val="0"/>
    <w:pPr>
      <w:spacing w:line="300" w:lineRule="auto"/>
    </w:pPr>
    <w:rPr>
      <w:sz w:val="24"/>
    </w:rPr>
  </w:style>
  <w:style w:type="paragraph" w:customStyle="1" w:styleId="789">
    <w:name w:val="xl25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790">
    <w:name w:val="样式 标题 3 + 小四 非加粗 段前: 0 磅 段后: 0 磅 行距: 单倍行距"/>
    <w:basedOn w:val="4"/>
    <w:qFormat/>
    <w:uiPriority w:val="0"/>
    <w:pPr>
      <w:keepNext w:val="0"/>
      <w:tabs>
        <w:tab w:val="left" w:pos="240"/>
      </w:tabs>
      <w:spacing w:before="120" w:after="120"/>
      <w:ind w:left="240" w:hanging="240"/>
      <w:jc w:val="left"/>
    </w:pPr>
    <w:rPr>
      <w:rFonts w:ascii="Times New Roman" w:hAnsi="Times New Roman"/>
      <w:color w:val="000000"/>
      <w:sz w:val="24"/>
    </w:rPr>
  </w:style>
  <w:style w:type="paragraph" w:customStyle="1" w:styleId="791">
    <w:name w:val="_Style 610"/>
    <w:basedOn w:val="2"/>
    <w:next w:val="1"/>
    <w:qFormat/>
    <w:uiPriority w:val="39"/>
    <w:pPr>
      <w:keepLines/>
      <w:widowControl/>
      <w:tabs>
        <w:tab w:val="clear" w:pos="200"/>
      </w:tabs>
      <w:spacing w:before="480" w:line="276" w:lineRule="auto"/>
      <w:jc w:val="left"/>
      <w:outlineLvl w:val="9"/>
    </w:pPr>
    <w:rPr>
      <w:rFonts w:ascii="Cambria" w:hAnsi="Cambria"/>
      <w:bCs/>
      <w:color w:val="365F91"/>
      <w:sz w:val="28"/>
      <w:szCs w:val="28"/>
    </w:rPr>
  </w:style>
  <w:style w:type="paragraph" w:customStyle="1" w:styleId="792">
    <w:name w:val="xl24260"/>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93">
    <w:name w:val="xl4131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94">
    <w:name w:val="Andy_一级"/>
    <w:basedOn w:val="373"/>
    <w:qFormat/>
    <w:uiPriority w:val="0"/>
    <w:pPr>
      <w:keepNext/>
      <w:tabs>
        <w:tab w:val="left" w:pos="360"/>
      </w:tabs>
      <w:ind w:left="360" w:hanging="360"/>
    </w:pPr>
    <w:rPr>
      <w:rFonts w:ascii="Times New Roman" w:hAnsi="Times New Roman"/>
      <w:b/>
      <w:szCs w:val="22"/>
    </w:rPr>
  </w:style>
  <w:style w:type="paragraph" w:customStyle="1" w:styleId="795">
    <w:name w:val="xl25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796">
    <w:name w:val="正文序号 2"/>
    <w:basedOn w:val="1"/>
    <w:qFormat/>
    <w:uiPriority w:val="0"/>
    <w:pPr>
      <w:tabs>
        <w:tab w:val="left" w:pos="1049"/>
      </w:tabs>
      <w:spacing w:before="60"/>
      <w:ind w:left="1049" w:hanging="420"/>
    </w:pPr>
    <w:rPr>
      <w:szCs w:val="24"/>
    </w:rPr>
  </w:style>
  <w:style w:type="paragraph" w:customStyle="1" w:styleId="797">
    <w:name w:val="xl2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sz w:val="20"/>
    </w:rPr>
  </w:style>
  <w:style w:type="paragraph" w:customStyle="1" w:styleId="798">
    <w:name w:val="xl250"/>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20"/>
    </w:rPr>
  </w:style>
  <w:style w:type="paragraph" w:customStyle="1" w:styleId="799">
    <w:name w:val="xl413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80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801">
    <w:name w:val="样式1"/>
    <w:basedOn w:val="1"/>
    <w:qFormat/>
    <w:uiPriority w:val="0"/>
    <w:pPr>
      <w:tabs>
        <w:tab w:val="left" w:pos="709"/>
      </w:tabs>
      <w:ind w:left="709" w:hanging="709"/>
    </w:pPr>
    <w:rPr>
      <w:rFonts w:ascii="宋体" w:hAnsi="宋体"/>
      <w:szCs w:val="21"/>
    </w:rPr>
  </w:style>
  <w:style w:type="paragraph" w:customStyle="1" w:styleId="802">
    <w:name w:val="xl2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0"/>
    </w:rPr>
  </w:style>
  <w:style w:type="paragraph" w:customStyle="1" w:styleId="803">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4"/>
      <w:szCs w:val="24"/>
    </w:rPr>
  </w:style>
  <w:style w:type="paragraph" w:customStyle="1" w:styleId="804">
    <w:name w:val="xl2426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sz w:val="32"/>
      <w:szCs w:val="32"/>
    </w:rPr>
  </w:style>
  <w:style w:type="paragraph" w:customStyle="1" w:styleId="805">
    <w:name w:val="正文首行缩进两字符"/>
    <w:basedOn w:val="1"/>
    <w:qFormat/>
    <w:uiPriority w:val="0"/>
    <w:pPr>
      <w:spacing w:line="360" w:lineRule="auto"/>
      <w:ind w:firstLine="200"/>
    </w:pPr>
    <w:rPr>
      <w:szCs w:val="24"/>
    </w:rPr>
  </w:style>
  <w:style w:type="paragraph" w:customStyle="1" w:styleId="806">
    <w:name w:val="xl242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sz w:val="20"/>
    </w:rPr>
  </w:style>
  <w:style w:type="paragraph" w:customStyle="1" w:styleId="807">
    <w:name w:val="正文 New New New New"/>
    <w:qFormat/>
    <w:uiPriority w:val="0"/>
    <w:pPr>
      <w:widowControl w:val="0"/>
      <w:jc w:val="both"/>
    </w:pPr>
    <w:rPr>
      <w:rFonts w:hint="default" w:ascii="Times New Roman" w:hAnsi="Times New Roman" w:eastAsia="Arial Unicode MS" w:cs="Arial Unicode MS"/>
      <w:color w:val="000000"/>
      <w:lang w:val="en-US" w:eastAsia="zh-CN" w:bidi="ar-SA"/>
    </w:rPr>
  </w:style>
  <w:style w:type="paragraph" w:customStyle="1" w:styleId="808">
    <w:name w:val="缩正文"/>
    <w:basedOn w:val="64"/>
    <w:qFormat/>
    <w:uiPriority w:val="0"/>
    <w:pPr>
      <w:ind w:left="2268" w:firstLine="0"/>
    </w:pPr>
    <w:rPr>
      <w:szCs w:val="20"/>
    </w:rPr>
  </w:style>
  <w:style w:type="paragraph" w:customStyle="1" w:styleId="809">
    <w:name w:val="xl2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sz w:val="20"/>
    </w:rPr>
  </w:style>
  <w:style w:type="paragraph" w:customStyle="1" w:styleId="810">
    <w:name w:val="tabletext"/>
    <w:basedOn w:val="1"/>
    <w:qFormat/>
    <w:uiPriority w:val="0"/>
    <w:pPr>
      <w:widowControl/>
      <w:spacing w:before="100" w:beforeAutospacing="1" w:after="100" w:afterAutospacing="1"/>
      <w:jc w:val="left"/>
    </w:pPr>
    <w:rPr>
      <w:rFonts w:ascii="宋体" w:hAnsi="宋体" w:cs="宋体"/>
      <w:sz w:val="24"/>
      <w:szCs w:val="24"/>
    </w:rPr>
  </w:style>
  <w:style w:type="paragraph" w:customStyle="1" w:styleId="811">
    <w:name w:val="xl277"/>
    <w:basedOn w:val="1"/>
    <w:qFormat/>
    <w:uiPriority w:val="0"/>
    <w:pPr>
      <w:widowControl/>
      <w:pBdr>
        <w:top w:val="single" w:color="auto" w:sz="4" w:space="0"/>
        <w:bottom w:val="single" w:color="auto" w:sz="4" w:space="0"/>
        <w:right w:val="single" w:color="auto" w:sz="4" w:space="0"/>
      </w:pBdr>
      <w:shd w:val="clear" w:color="000000" w:fill="D9D9D9"/>
      <w:spacing w:before="100" w:beforeAutospacing="1" w:after="100" w:afterAutospacing="1"/>
      <w:jc w:val="left"/>
    </w:pPr>
    <w:rPr>
      <w:rFonts w:ascii="宋体" w:hAnsi="宋体" w:cs="宋体"/>
      <w:sz w:val="24"/>
      <w:szCs w:val="24"/>
    </w:rPr>
  </w:style>
  <w:style w:type="paragraph" w:customStyle="1" w:styleId="812">
    <w:name w:val="xl2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sz w:val="20"/>
    </w:rPr>
  </w:style>
  <w:style w:type="paragraph" w:customStyle="1" w:styleId="813">
    <w:name w:val="xl413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sz w:val="20"/>
    </w:rPr>
  </w:style>
  <w:style w:type="character" w:customStyle="1" w:styleId="814">
    <w:name w:val="正文文本缩进 字符2"/>
    <w:qFormat/>
    <w:uiPriority w:val="0"/>
    <w:rPr>
      <w:rFonts w:ascii="宋体" w:eastAsia="宋体"/>
      <w:sz w:val="28"/>
      <w:lang w:val="en-US" w:eastAsia="zh-CN" w:bidi="ar-SA"/>
    </w:rPr>
  </w:style>
  <w:style w:type="character" w:customStyle="1" w:styleId="815">
    <w:name w:val="正文缩进 Char2"/>
    <w:qFormat/>
    <w:uiPriority w:val="0"/>
    <w:rPr>
      <w:sz w:val="21"/>
    </w:rPr>
  </w:style>
  <w:style w:type="paragraph" w:customStyle="1" w:styleId="816">
    <w:name w:val="修订2"/>
    <w:hidden/>
    <w:semiHidden/>
    <w:qFormat/>
    <w:uiPriority w:val="99"/>
    <w:rPr>
      <w:rFonts w:hint="default" w:ascii="Times New Roman" w:hAnsi="Times New Roman" w:eastAsia="宋体" w:cs="Times New Roman"/>
      <w:sz w:val="21"/>
      <w:lang w:val="en-US" w:eastAsia="zh-CN" w:bidi="ar-SA"/>
    </w:rPr>
  </w:style>
  <w:style w:type="character" w:customStyle="1" w:styleId="817">
    <w:name w:val="普通(网站) 字符"/>
    <w:link w:val="59"/>
    <w:qFormat/>
    <w:uiPriority w:val="99"/>
    <w:rPr>
      <w:rFonts w:ascii="宋体" w:hAnsi="宋体" w:eastAsia="楷体_GB2312" w:cs="宋体"/>
      <w:sz w:val="24"/>
    </w:rPr>
  </w:style>
  <w:style w:type="character" w:customStyle="1" w:styleId="818">
    <w:name w:val="4级 Char"/>
    <w:link w:val="819"/>
    <w:qFormat/>
    <w:uiPriority w:val="0"/>
    <w:rPr>
      <w:rFonts w:ascii="Cambria" w:hAnsi="Cambria" w:eastAsia="黑体"/>
      <w:b/>
      <w:caps/>
      <w:spacing w:val="10"/>
      <w:sz w:val="30"/>
      <w:szCs w:val="22"/>
      <w:lang w:eastAsia="en-US" w:bidi="en-US"/>
    </w:rPr>
  </w:style>
  <w:style w:type="paragraph" w:customStyle="1" w:styleId="819">
    <w:name w:val="4级"/>
    <w:basedOn w:val="5"/>
    <w:next w:val="1"/>
    <w:link w:val="818"/>
    <w:qFormat/>
    <w:uiPriority w:val="0"/>
    <w:pPr>
      <w:keepNext w:val="0"/>
      <w:widowControl/>
      <w:spacing w:after="120" w:line="240" w:lineRule="atLeast"/>
      <w:jc w:val="left"/>
    </w:pPr>
    <w:rPr>
      <w:rFonts w:ascii="Cambria" w:hAnsi="Cambria" w:eastAsia="黑体"/>
      <w:bCs w:val="0"/>
      <w:caps/>
      <w:spacing w:val="10"/>
      <w:sz w:val="30"/>
      <w:szCs w:val="22"/>
      <w:lang w:eastAsia="en-US" w:bidi="en-US"/>
    </w:rPr>
  </w:style>
  <w:style w:type="paragraph" w:customStyle="1" w:styleId="820">
    <w:name w:val="首行缩进"/>
    <w:basedOn w:val="1"/>
    <w:qFormat/>
    <w:uiPriority w:val="0"/>
    <w:pPr>
      <w:ind w:firstLine="480"/>
    </w:pPr>
    <w:rPr>
      <w:lang w:val="zh-CN"/>
    </w:rPr>
  </w:style>
  <w:style w:type="character" w:customStyle="1" w:styleId="821">
    <w:name w:val="font71"/>
    <w:basedOn w:val="67"/>
    <w:qFormat/>
    <w:uiPriority w:val="0"/>
    <w:rPr>
      <w:rFonts w:hint="eastAsia" w:ascii="宋体" w:hAnsi="宋体" w:eastAsia="宋体" w:cs="宋体"/>
      <w:b/>
      <w:bCs/>
      <w:color w:val="000000"/>
      <w:sz w:val="20"/>
      <w:szCs w:val="20"/>
      <w:u w:val="none"/>
    </w:rPr>
  </w:style>
  <w:style w:type="paragraph" w:customStyle="1" w:styleId="822">
    <w:name w:val="__正文"/>
    <w:qFormat/>
    <w:uiPriority w:val="0"/>
    <w:pPr>
      <w:spacing w:line="360" w:lineRule="auto"/>
      <w:ind w:firstLine="200"/>
    </w:pPr>
    <w:rPr>
      <w:rFonts w:hint="default" w:ascii="Calibri" w:hAnsi="Calibri" w:eastAsia="宋体" w:cs="Times New Roman"/>
      <w:sz w:val="24"/>
      <w:szCs w:val="21"/>
      <w:lang w:val="en-US" w:eastAsia="zh-CN" w:bidi="ar-SA"/>
    </w:rPr>
  </w:style>
  <w:style w:type="paragraph" w:customStyle="1" w:styleId="823">
    <w:name w:val="修订3"/>
    <w:hidden/>
    <w:semiHidden/>
    <w:qFormat/>
    <w:uiPriority w:val="99"/>
    <w:rPr>
      <w:rFonts w:hint="default" w:ascii="Times New Roman" w:hAnsi="Times New Roman" w:eastAsia="宋体" w:cs="Times New Roman"/>
      <w:sz w:val="21"/>
      <w:lang w:val="en-US" w:eastAsia="zh-CN" w:bidi="ar-SA"/>
    </w:rPr>
  </w:style>
  <w:style w:type="paragraph" w:customStyle="1" w:styleId="824">
    <w:name w:val="纯文本10"/>
    <w:basedOn w:val="1"/>
    <w:qFormat/>
    <w:uiPriority w:val="0"/>
    <w:rPr>
      <w:rFonts w:ascii="宋体" w:hAnsi="Courier New" w:eastAsia="楷体_GB2312"/>
      <w:sz w:val="28"/>
      <w:lang w:val="zh-CN"/>
    </w:rPr>
  </w:style>
  <w:style w:type="paragraph" w:customStyle="1" w:styleId="825">
    <w:name w:val="Body text|2"/>
    <w:basedOn w:val="1"/>
    <w:qFormat/>
    <w:uiPriority w:val="0"/>
    <w:pPr>
      <w:spacing w:line="480" w:lineRule="auto"/>
      <w:ind w:firstLine="400"/>
    </w:pPr>
    <w:rPr>
      <w:rFonts w:ascii="宋体" w:hAnsi="宋体" w:cs="宋体"/>
      <w:sz w:val="22"/>
      <w:szCs w:val="22"/>
      <w:lang w:val="zh-TW" w:eastAsia="zh-TW" w:bidi="zh-TW"/>
    </w:rPr>
  </w:style>
  <w:style w:type="paragraph" w:customStyle="1" w:styleId="826">
    <w:name w:val="Char12"/>
    <w:basedOn w:val="1"/>
    <w:qFormat/>
    <w:uiPriority w:val="0"/>
    <w:pPr>
      <w:numPr>
        <w:ilvl w:val="1"/>
        <w:numId w:val="1"/>
      </w:numPr>
      <w:ind w:left="0"/>
      <w:jc w:val="left"/>
    </w:pPr>
    <w:rPr>
      <w:rFonts w:ascii="仿宋_GB2312" w:eastAsia="仿宋_GB2312"/>
      <w:b/>
      <w:sz w:val="32"/>
      <w:szCs w:val="32"/>
    </w:rPr>
  </w:style>
  <w:style w:type="paragraph" w:customStyle="1" w:styleId="827">
    <w:name w:val="正文空2格  1."/>
    <w:basedOn w:val="1"/>
    <w:qFormat/>
    <w:uiPriority w:val="0"/>
    <w:pPr>
      <w:spacing w:line="360" w:lineRule="auto"/>
      <w:ind w:firstLine="480"/>
    </w:pPr>
    <w:rPr>
      <w:rFonts w:hint="eastAsia" w:ascii="宋体" w:eastAsia="仿宋"/>
      <w:sz w:val="28"/>
    </w:rPr>
  </w:style>
  <w:style w:type="paragraph" w:customStyle="1" w:styleId="828">
    <w:name w:val="纯文本6"/>
    <w:basedOn w:val="1"/>
    <w:qFormat/>
    <w:uiPriority w:val="0"/>
    <w:rPr>
      <w:rFonts w:hAnsi="Courier New" w:eastAsia="楷体_GB2312"/>
      <w:sz w:val="26"/>
    </w:rPr>
  </w:style>
  <w:style w:type="character" w:customStyle="1" w:styleId="829">
    <w:name w:val="NormalCharacter"/>
    <w:qFormat/>
    <w:uiPriority w:val="0"/>
  </w:style>
  <w:style w:type="paragraph" w:customStyle="1" w:styleId="830">
    <w:name w:val="标题 11"/>
    <w:basedOn w:val="1"/>
    <w:next w:val="1"/>
    <w:qFormat/>
    <w:uiPriority w:val="0"/>
    <w:pPr>
      <w:keepNext/>
      <w:keepLines/>
      <w:spacing w:before="340" w:after="330" w:line="578" w:lineRule="auto"/>
      <w:outlineLvl w:val="0"/>
    </w:pPr>
    <w:rPr>
      <w:b/>
      <w:bCs/>
      <w:sz w:val="44"/>
      <w:szCs w:val="44"/>
    </w:rPr>
  </w:style>
  <w:style w:type="paragraph" w:customStyle="1" w:styleId="831">
    <w:name w:val="正文文本缩进1"/>
    <w:basedOn w:val="1"/>
    <w:qFormat/>
    <w:uiPriority w:val="0"/>
    <w:pPr>
      <w:spacing w:line="360" w:lineRule="auto"/>
      <w:ind w:firstLine="425"/>
    </w:pPr>
    <w:rPr>
      <w:sz w:val="24"/>
    </w:rPr>
  </w:style>
  <w:style w:type="paragraph" w:customStyle="1" w:styleId="832">
    <w:name w:val="列出段落111"/>
    <w:basedOn w:val="1"/>
    <w:qFormat/>
    <w:uiPriority w:val="0"/>
    <w:pPr>
      <w:spacing w:line="360" w:lineRule="auto"/>
      <w:ind w:firstLine="420"/>
    </w:pPr>
    <w:rPr>
      <w:rFonts w:ascii="Calibri" w:hAnsi="Calibri"/>
      <w:szCs w:val="22"/>
    </w:rPr>
  </w:style>
  <w:style w:type="paragraph" w:customStyle="1" w:styleId="833">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834">
    <w:name w:val="正文文本，"/>
    <w:basedOn w:val="1"/>
    <w:qFormat/>
    <w:uiPriority w:val="0"/>
    <w:pPr>
      <w:spacing w:line="360" w:lineRule="auto"/>
      <w:ind w:firstLine="480"/>
    </w:pPr>
    <w:rPr>
      <w:rFonts w:ascii="华文中宋" w:hAnsi="华文中宋" w:eastAsia="华文中宋" w:cs="宋体"/>
      <w:sz w:val="24"/>
      <w:szCs w:val="24"/>
    </w:rPr>
  </w:style>
  <w:style w:type="table" w:customStyle="1" w:styleId="835">
    <w:name w:val="Table Normal1"/>
    <w:qFormat/>
    <w:uiPriority w:val="0"/>
    <w:tblPr>
      <w:tblCellMar>
        <w:top w:w="0" w:type="dxa"/>
        <w:left w:w="0" w:type="dxa"/>
        <w:bottom w:w="0" w:type="dxa"/>
        <w:right w:w="0" w:type="dxa"/>
      </w:tblCellMar>
    </w:tblPr>
  </w:style>
  <w:style w:type="table" w:customStyle="1" w:styleId="836">
    <w:name w:val="Table Normal"/>
    <w:unhideWhenUsed/>
    <w:qFormat/>
    <w:uiPriority w:val="0"/>
    <w:pPr>
      <w:widowControl w:val="0"/>
    </w:pPr>
    <w:rPr>
      <w:rFonts w:ascii="Arial" w:hAnsi="Arial"/>
      <w:sz w:val="22"/>
      <w:szCs w:val="22"/>
      <w:lang w:eastAsia="en-US"/>
    </w:rPr>
    <w:tblPr>
      <w:tblCellMar>
        <w:top w:w="0" w:type="dxa"/>
        <w:left w:w="0" w:type="dxa"/>
        <w:bottom w:w="0" w:type="dxa"/>
        <w:right w:w="0" w:type="dxa"/>
      </w:tblCellMar>
    </w:tblPr>
  </w:style>
  <w:style w:type="character" w:customStyle="1" w:styleId="837">
    <w:name w:val="18"/>
    <w:basedOn w:val="67"/>
    <w:qFormat/>
    <w:uiPriority w:val="0"/>
    <w:rPr>
      <w:rFonts w:hint="default" w:ascii="Calibri" w:hAnsi="Calibri" w:eastAsia="宋体" w:cs="Times New Roman"/>
      <w:sz w:val="21"/>
      <w:szCs w:val="21"/>
    </w:rPr>
  </w:style>
  <w:style w:type="character" w:customStyle="1" w:styleId="838">
    <w:name w:val="10"/>
    <w:basedOn w:val="67"/>
    <w:qFormat/>
    <w:uiPriority w:val="0"/>
    <w:rPr>
      <w:rFonts w:hint="default" w:ascii="Times New Roman" w:hAnsi="Times New Roman" w:cs="Times New Roman"/>
    </w:rPr>
  </w:style>
  <w:style w:type="character" w:customStyle="1" w:styleId="839">
    <w:name w:val="15"/>
    <w:basedOn w:val="67"/>
    <w:qFormat/>
    <w:uiPriority w:val="0"/>
    <w:rPr>
      <w:rFonts w:hint="default" w:ascii="Symbol" w:hAnsi="Symbol" w:cs="Symbol"/>
      <w:color w:val="000000"/>
      <w:sz w:val="20"/>
      <w:szCs w:val="20"/>
    </w:rPr>
  </w:style>
  <w:style w:type="character" w:customStyle="1" w:styleId="840">
    <w:name w:val="17"/>
    <w:basedOn w:val="67"/>
    <w:qFormat/>
    <w:uiPriority w:val="0"/>
    <w:rPr>
      <w:rFonts w:hint="eastAsia" w:ascii="宋体" w:hAnsi="宋体" w:eastAsia="宋体" w:cs="宋体"/>
      <w:color w:val="000000"/>
      <w:sz w:val="20"/>
      <w:szCs w:val="20"/>
    </w:rPr>
  </w:style>
  <w:style w:type="character" w:customStyle="1" w:styleId="841">
    <w:name w:val="16"/>
    <w:basedOn w:val="67"/>
    <w:qFormat/>
    <w:uiPriority w:val="0"/>
    <w:rPr>
      <w:rFonts w:hint="default" w:ascii="Times New Roman" w:hAnsi="Times New Roman" w:cs="Times New Roman"/>
    </w:rPr>
  </w:style>
  <w:style w:type="character" w:customStyle="1" w:styleId="842">
    <w:name w:val="19"/>
    <w:basedOn w:val="67"/>
    <w:qFormat/>
    <w:uiPriority w:val="0"/>
    <w:rPr>
      <w:rFonts w:hint="default" w:ascii="Times New Roman" w:hAnsi="Times New Roman" w:cs="Times New Roman"/>
      <w:color w:val="000000"/>
      <w:sz w:val="20"/>
      <w:szCs w:val="20"/>
    </w:rPr>
  </w:style>
  <w:style w:type="character" w:customStyle="1" w:styleId="843">
    <w:name w:val="20"/>
    <w:basedOn w:val="67"/>
    <w:qFormat/>
    <w:uiPriority w:val="0"/>
    <w:rPr>
      <w:rFonts w:hint="eastAsia" w:ascii="宋体" w:hAnsi="宋体" w:eastAsia="宋体" w:cs="宋体"/>
      <w:color w:val="000000"/>
      <w:sz w:val="22"/>
      <w:szCs w:val="22"/>
    </w:rPr>
  </w:style>
  <w:style w:type="paragraph" w:customStyle="1" w:styleId="844">
    <w:name w:val="页脚1"/>
    <w:qFormat/>
    <w:uiPriority w:val="99"/>
    <w:pPr>
      <w:widowControl w:val="0"/>
      <w:tabs>
        <w:tab w:val="center" w:pos="4153"/>
        <w:tab w:val="right" w:pos="8306"/>
      </w:tabs>
    </w:pPr>
    <w:rPr>
      <w:rFonts w:hint="default" w:ascii="Times New Roman" w:hAnsi="Times New Roman" w:eastAsia="宋体" w:cs="Times New Roman"/>
      <w:sz w:val="18"/>
      <w:lang w:val="en-US" w:eastAsia="zh-CN" w:bidi="ar-SA"/>
    </w:rPr>
  </w:style>
  <w:style w:type="table" w:customStyle="1" w:styleId="845">
    <w:name w:val="网格型1"/>
    <w:qFormat/>
    <w:uiPriority w:val="39"/>
    <w:tblPr>
      <w:tblCellMar>
        <w:top w:w="0" w:type="dxa"/>
        <w:left w:w="0" w:type="dxa"/>
        <w:bottom w:w="0" w:type="dxa"/>
        <w:right w:w="0" w:type="dxa"/>
      </w:tblCellMar>
    </w:tblPr>
  </w:style>
  <w:style w:type="table" w:customStyle="1" w:styleId="846">
    <w:name w:val="普通表格1"/>
    <w:unhideWhenUsed/>
    <w:qFormat/>
    <w:uiPriority w:val="99"/>
    <w:tblPr>
      <w:tblCellMar>
        <w:top w:w="0" w:type="dxa"/>
        <w:left w:w="0" w:type="dxa"/>
        <w:bottom w:w="0" w:type="dxa"/>
        <w:right w:w="0" w:type="dxa"/>
      </w:tblCellMar>
    </w:tblPr>
  </w:style>
  <w:style w:type="paragraph" w:customStyle="1" w:styleId="847">
    <w:name w:val="正文文本11"/>
    <w:next w:val="1"/>
    <w:qFormat/>
    <w:uiPriority w:val="0"/>
    <w:pPr>
      <w:widowControl w:val="0"/>
      <w:jc w:val="both"/>
    </w:pPr>
    <w:rPr>
      <w:rFonts w:hint="default" w:ascii="楷体_GB2312" w:hAnsi="宋体" w:eastAsia="楷体_GB2312" w:cs="宋体"/>
      <w:sz w:val="28"/>
      <w:szCs w:val="28"/>
      <w:lang w:val="en-US" w:eastAsia="zh-CN" w:bidi="ar-SA"/>
    </w:rPr>
  </w:style>
  <w:style w:type="paragraph" w:customStyle="1" w:styleId="848">
    <w:name w:val="标题 21"/>
    <w:next w:val="1"/>
    <w:qFormat/>
    <w:uiPriority w:val="0"/>
    <w:pPr>
      <w:keepNext/>
      <w:keepLines/>
      <w:widowControl w:val="0"/>
      <w:spacing w:before="260" w:after="260" w:line="415" w:lineRule="auto"/>
      <w:jc w:val="center"/>
      <w:outlineLvl w:val="1"/>
    </w:pPr>
    <w:rPr>
      <w:rFonts w:hint="default" w:ascii="Arial" w:hAnsi="Arial" w:eastAsia="幼圆" w:cs="Times New Roman"/>
      <w:b/>
      <w:bCs/>
      <w:sz w:val="44"/>
      <w:szCs w:val="44"/>
      <w:lang w:val="en-US" w:eastAsia="zh-CN" w:bidi="ar-SA"/>
    </w:rPr>
  </w:style>
  <w:style w:type="paragraph" w:customStyle="1" w:styleId="849">
    <w:name w:val="页眉11"/>
    <w:qFormat/>
    <w:uiPriority w:val="99"/>
    <w:pPr>
      <w:widowControl w:val="0"/>
      <w:pBdr>
        <w:bottom w:val="single" w:color="000000" w:sz="6" w:space="1"/>
      </w:pBdr>
      <w:tabs>
        <w:tab w:val="center" w:pos="4153"/>
        <w:tab w:val="right" w:pos="8306"/>
      </w:tabs>
      <w:jc w:val="center"/>
    </w:pPr>
    <w:rPr>
      <w:rFonts w:hint="default" w:ascii="Times New Roman" w:hAnsi="Times New Roman" w:eastAsia="宋体" w:cs="Times New Roman"/>
      <w:sz w:val="18"/>
      <w:szCs w:val="18"/>
      <w:lang w:val="en-US" w:eastAsia="zh-CN" w:bidi="ar-SA"/>
    </w:rPr>
  </w:style>
  <w:style w:type="character" w:customStyle="1" w:styleId="850">
    <w:name w:val="font12"/>
    <w:basedOn w:val="67"/>
    <w:qFormat/>
    <w:uiPriority w:val="0"/>
    <w:rPr>
      <w:rFonts w:hint="default" w:ascii="等线" w:hAnsi="等线" w:eastAsia="等线" w:cs="等线"/>
      <w:color w:val="000000"/>
      <w:sz w:val="18"/>
      <w:szCs w:val="18"/>
      <w:u w:val="none"/>
    </w:rPr>
  </w:style>
  <w:style w:type="paragraph" w:customStyle="1" w:styleId="851">
    <w:name w:val="修订4"/>
    <w:hidden/>
    <w:unhideWhenUsed/>
    <w:qFormat/>
    <w:uiPriority w:val="99"/>
    <w:rPr>
      <w:rFonts w:hint="default" w:ascii="Times New Roman" w:hAnsi="Times New Roman" w:eastAsia="宋体" w:cs="Times New Roman"/>
      <w:sz w:val="21"/>
      <w:lang w:val="en-US" w:eastAsia="zh-CN" w:bidi="ar-SA"/>
    </w:rPr>
  </w:style>
  <w:style w:type="paragraph" w:customStyle="1" w:styleId="852">
    <w:name w:val="Revision"/>
    <w:hidden/>
    <w:unhideWhenUsed/>
    <w:qFormat/>
    <w:uiPriority w:val="99"/>
    <w:rPr>
      <w:rFonts w:hint="default"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3.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cfee8058-b329-4fbd-904e-29fcbaf3ba4c</errorID>
      <errorWord>,</errorWord>
      <group>L1_Format</group>
      <groupName>格式问题</groupName>
      <ability>L2_HalfPunc_CN</ability>
      <abilityName>全半角问题</abilityName>
      <candidateList>
        <item>，</item>
      </candidateList>
      <explain>文本全半角错误。</explain>
      <paraID>354CD918</paraID>
      <start>80</start>
      <end>82</end>
      <status>modified</status>
      <modifiedWord>，</modifiedWord>
      <trackRevisions>true</trackRevisions>
    </reviewItem>
    <reviewItem>
      <errorID>a3c232a8-bb19-4300-ab85-dabfbb0e4bf3</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 7E806FD</paraID>
      <start>10</start>
      <end>15</end>
      <status>modified</status>
      <modifiedWord>涉及</modifiedWord>
      <trackRevisions>true</trackRevisions>
    </reviewItem>
    <reviewItem>
      <errorID>571bed47-2872-4ce9-a508-b567319af3b3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469E112</paraID>
      <start>0</start>
      <end>2</end>
      <status>ignored</status>
      <modifiedWord/>
      <trackRevisions>false</trackRevisions>
    </reviewItem>
    <reviewItem>
      <errorID>7ccd62f5-f632-4ec7-b4a4-c857bc0ce778</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24C11556</paraID>
      <start>13</start>
      <end>17</end>
      <status>ignored</status>
      <modifiedWord/>
      <trackRevisions>false</trackRevisions>
    </reviewItem>
    <reviewItem>
      <errorID>57f6819f-6093-4795-9f2f-6e71eee3c694</errorID>
      <errorWord>（</errorWord>
      <group>L1_Punc</group>
      <groupName>标点问题</groupName>
      <ability>L2_Punc_CN</ability>
      <abilityName>标点符号问题</abilityName>
      <candidateList/>
      <explain>同一形式括号套用。</explain>
      <paraID>42495B1D</paraID>
      <start>104</start>
      <end>105</end>
      <status>ignored</status>
      <modifiedWord/>
      <trackRevisions>false</trackRevisions>
    </reviewItem>
    <reviewItem>
      <errorID>bcf5d755-4ba3-46f6-95e0-9b2623ecbbca</errorID>
      <errorWord>）</errorWord>
      <group>L1_Punc</group>
      <groupName>标点问题</groupName>
      <ability>L2_Punc_CN</ability>
      <abilityName>标点符号问题</abilityName>
      <candidateList/>
      <explain>同一形式括号套用。</explain>
      <paraID>42495B1D</paraID>
      <start>109</start>
      <end>110</end>
      <status>ignored</status>
      <modifiedWord/>
      <trackRevisions>false</trackRevisions>
    </reviewItem>
    <reviewItem>
      <errorID>e013ec71-b6b0-4753-8183-aeb3adc0e90e</errorID>
      <errorWord>&lt;</errorWord>
      <group>L1_Format</group>
      <groupName>格式问题</groupName>
      <ability>L2_HalfPunc_CN</ability>
      <abilityName>全半角问题</abilityName>
      <candidateList>
        <item>〈</item>
      </candidateList>
      <explain>文本全半角错误。</explain>
      <paraID>443F6945</paraID>
      <start>54</start>
      <end>55</end>
      <status>ignored</status>
      <modifiedWord/>
      <trackRevisions>false</trackRevisions>
    </reviewItem>
    <reviewItem>
      <errorID>c209ffb7-bf8d-4432-b54e-933cca6386b2</errorID>
      <errorWord>&lt;</errorWord>
      <group>L1_Format</group>
      <groupName>格式问题</groupName>
      <ability>L2_HalfPunc_CN</ability>
      <abilityName>全半角问题</abilityName>
      <candidateList>
        <item>〈</item>
      </candidateList>
      <explain>文本全半角错误。</explain>
      <paraID>4FB642F3</paraID>
      <start>54</start>
      <end>55</end>
      <status>ignored</status>
      <modifiedWord/>
      <trackRevisions>false</trackRevisions>
    </reviewItem>
    <reviewItem>
      <errorID>7cbefe08-f0e9-44fb-989d-c8ed861cc607</errorID>
      <errorWord>&lt;</errorWord>
      <group>L1_Format</group>
      <groupName>格式问题</groupName>
      <ability>L2_HalfPunc_CN</ability>
      <abilityName>全半角问题</abilityName>
      <candidateList>
        <item>〈</item>
      </candidateList>
      <explain>文本全半角错误。</explain>
      <paraID>1E3337AD</paraID>
      <start>39</start>
      <end>40</end>
      <status>ignored</status>
      <modifiedWord/>
      <trackRevisions>false</trackRevisions>
    </reviewItem>
    <reviewItem>
      <errorID>d4f22bfe-ee26-4d5f-a57b-f79910e14523</errorID>
      <errorWord>，</errorWord>
      <group>L1_Word</group>
      <groupName>字词问题</groupName>
      <ability>L2_Typo</ability>
      <abilityName>字词错误</abilityName>
      <candidateList>
        <item>，并</item>
      </candidateList>
      <explain/>
      <paraID>43A6E5D5</paraID>
      <start>74</start>
      <end>75</end>
      <status>ignored</status>
      <modifiedWord/>
      <trackRevisions>false</trackRevisions>
    </reviewItem>
    <reviewItem>
      <errorID>d0b2f6e7-ae33-4cfa-81ff-74b2b6a5a3bb</errorID>
      <errorWord>供应商的</errorWord>
      <group>L1_Word</group>
      <groupName>字词问题</groupName>
      <ability>L2_Typo</ability>
      <abilityName>字词错误</abilityName>
      <candidateList>
        <item>供应商</item>
      </candidateList>
      <explain/>
      <paraID>43A6E5D5</paraID>
      <start>135</start>
      <end>142</end>
      <status>modified</status>
      <modifiedWord>供应商</modifiedWord>
      <trackRevisions>true</trackRevisions>
    </reviewItem>
    <reviewItem>
      <errorID>d1caa7cd-c9e7-4ed0-8a3e-a788b85398f6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432CFBDC</paraID>
      <start>74</start>
      <end>77</end>
      <status>ignored</status>
      <modifiedWord/>
      <trackRevisions>false</trackRevisions>
    </reviewItem>
    <reviewItem>
      <errorID>353860b8-136b-4538-acbc-5ba4849e1acf</errorID>
      <errorWord>年</errorWord>
      <group>L1_Word</group>
      <groupName>字词问题</groupName>
      <ability>L2_Typo</ability>
      <abilityName>字词错误</abilityName>
      <candidateList>
        <item>年内</item>
      </candidateList>
      <explain/>
      <paraID>771D79B0</paraID>
      <start>31</start>
      <end>32</end>
      <status>ignored</status>
      <modifiedWord/>
      <trackRevisions>false</trackRevisions>
    </reviewItem>
    <reviewItem>
      <errorID>ce7c7632-edc7-4438-a9e9-d05e512de92e</errorID>
      <errorWord>,</errorWord>
      <group>L1_Format</group>
      <groupName>格式问题</groupName>
      <ability>L2_HalfPunc_CN</ability>
      <abilityName>全半角问题</abilityName>
      <candidateList>
        <item>，</item>
      </candidateList>
      <explain>文本全半角错误。</explain>
      <paraID>55D0C678</paraID>
      <start>34</start>
      <end>36</end>
      <status>modified</status>
      <modifiedWord>，</modifiedWord>
      <trackRevisions>true</trackRevisions>
    </reviewItem>
    <reviewItem>
      <errorID>9573efde-bbb7-4bfc-9ec6-b008c0c85270</errorID>
      <errorWord>,</errorWord>
      <group>L1_Format</group>
      <groupName>格式问题</groupName>
      <ability>L2_HalfPunc_CN</ability>
      <abilityName>全半角问题</abilityName>
      <candidateList>
        <item>，</item>
      </candidateList>
      <explain>文本全半角错误。</explain>
      <paraID>455AD4BE</paraID>
      <start>32</start>
      <end>34</end>
      <status>modified</status>
      <modifiedWord>，</modifiedWord>
      <trackRevisions>true</trackRevisions>
    </reviewItem>
    <reviewItem>
      <errorID>c8a8c771-23fc-43b1-ad30-c01fd7c0df74</errorID>
      <errorWord>,</errorWord>
      <group>L1_Format</group>
      <groupName>格式问题</groupName>
      <ability>L2_HalfPunc_CN</ability>
      <abilityName>全半角问题</abilityName>
      <candidateList>
        <item>，</item>
      </candidateList>
      <explain>文本全半角错误。</explain>
      <paraID>48A04D1F</paraID>
      <start>35</start>
      <end>37</end>
      <status>modified</status>
      <modifiedWord>，</modifiedWord>
      <trackRevisions>true</trackRevisions>
    </reviewItem>
    <reviewItem>
      <errorID>e30da362-4e46-4384-b90d-69735035cc5b</errorID>
      <errorWord>,</errorWord>
      <group>L1_Format</group>
      <groupName>格式问题</groupName>
      <ability>L2_HalfPunc_CN</ability>
      <abilityName>全半角问题</abilityName>
      <candidateList>
        <item>，</item>
      </candidateList>
      <explain>文本全半角错误。</explain>
      <paraID>48BB7EC5</paraID>
      <start>33</start>
      <end>35</end>
      <status>modified</status>
      <modifiedWord>，</modifiedWord>
      <trackRevisions>true</trackRevisions>
    </reviewItem>
    <reviewItem>
      <errorID>aa192eac-1ebb-4fb2-8e85-6973c091cbaa</errorID>
      <errorWord>耐侯性</errorWord>
      <group>L1_Word</group>
      <groupName>字词问题</groupName>
      <ability>L2_Typo</ability>
      <abilityName>字词错误</abilityName>
      <candidateList>
        <item>耐候性</item>
      </candidateList>
      <explain/>
      <paraID>5BFB239B</paraID>
      <start>49</start>
      <end>55</end>
      <status>modified</status>
      <modifiedWord>耐候性</modifiedWord>
      <trackRevisions>true</trackRevisions>
    </reviewItem>
    <reviewItem>
      <errorID>4ae4a5c2-ab9c-40e9-ac74-9168b56e23a1</errorID>
      <errorWord>，</errorWord>
      <group>L1_Word</group>
      <groupName>字词问题</groupName>
      <ability>L2_Typo</ability>
      <abilityName>字词错误</abilityName>
      <candidateList>
        <item>，具</item>
      </candidateList>
      <explain/>
      <paraID>12A0C628</paraID>
      <start>58</start>
      <end>59</end>
      <status>ignored</status>
      <modifiedWord/>
      <trackRevisions>false</trackRevisions>
    </reviewItem>
    <reviewItem>
      <errorID>c5befdbf-d01e-4db9-8192-a491b8045186</errorID>
      <errorWord>:</errorWord>
      <group>L1_Format</group>
      <groupName>格式问题</groupName>
      <ability>L2_HalfPunc_CN</ability>
      <abilityName>全半角问题</abilityName>
      <candidateList>
        <item>：</item>
      </candidateList>
      <explain>文本全半角错误。</explain>
      <paraID>3CDEB1C4</paraID>
      <start>85</start>
      <end>86</end>
      <status>ignored</status>
      <modifiedWord/>
      <trackRevisions>false</trackRevisions>
    </reviewItem>
    <reviewItem>
      <errorID>91fcff3b-8ec9-4955-8a80-4932a203169d</errorID>
      <errorWord>市场监督总局</errorWord>
      <group>L1_Political</group>
      <groupName>政治性问题</groupName>
      <ability>L2_Unpolitical</ability>
      <abilityName>政治敏感错误</abilityName>
      <candidateList>
        <item>市场监管总局</item>
      </candidateList>
      <explain/>
      <paraID>3CDEB1C4</paraID>
      <start>112</start>
      <end>124</end>
      <status>modified</status>
      <modifiedWord>市场监管总局</modifiedWord>
      <trackRevisions>true</trackRevisions>
    </reviewItem>
    <reviewItem>
      <errorID>b1f3cfa9-a074-4077-958c-338d583692ea</errorID>
      <errorWord>:</errorWord>
      <group>L1_Format</group>
      <groupName>格式问题</groupName>
      <ability>L2_HalfPunc_CN</ability>
      <abilityName>全半角问题</abilityName>
      <candidateList>
        <item>：</item>
      </candidateList>
      <explain>文本全半角错误。</explain>
      <paraID>23093B2D</paraID>
      <start>65</start>
      <end>66</end>
      <status>ignored</status>
      <modifiedWord/>
      <trackRevisions>false</trackRevisions>
    </reviewItem>
    <reviewItem>
      <errorID>f5224c37-b6f2-4e64-a8d9-fd04a2012974</errorID>
      <errorWord>市场监督总局</errorWord>
      <group>L1_Political</group>
      <groupName>政治性问题</groupName>
      <ability>L2_Unpolitical</ability>
      <abilityName>政治敏感错误</abilityName>
      <candidateList>
        <item>市场监管总局</item>
      </candidateList>
      <explain/>
      <paraID>23093B2D</paraID>
      <start>104</start>
      <end>116</end>
      <status>modified</status>
      <modifiedWord>市场监管总局</modifiedWord>
      <trackRevisions>true</trackRevisions>
    </reviewItem>
    <reviewItem>
      <errorID>eb3203ef-2e5c-41be-b374-a391928e1c20</errorID>
      <errorWord>,</errorWord>
      <group>L1_Format</group>
      <groupName>格式问题</groupName>
      <ability>L2_HalfPunc_CN</ability>
      <abilityName>全半角问题</abilityName>
      <candidateList>
        <item>，</item>
      </candidateList>
      <explain>文本全半角错误。</explain>
      <paraID>644D3A38</paraID>
      <start>15</start>
      <end>17</end>
      <status>modified</status>
      <modifiedWord>，</modifiedWord>
      <trackRevisions>true</trackRevisions>
    </reviewItem>
    <reviewItem>
      <errorID>098145cb-2e08-4e72-acf7-632f367bab1a</errorID>
      <errorWord>~</errorWord>
      <group>L1_Format</group>
      <groupName>格式问题</groupName>
      <ability>L2_HalfPunc_CN</ability>
      <abilityName>全半角问题</abilityName>
      <candidateList>
        <item>～</item>
      </candidateList>
      <explain>文本全半角错误。</explain>
      <paraID>24570288</paraID>
      <start>32</start>
      <end>34</end>
      <status>modified</status>
      <modifiedWord>～</modifiedWord>
      <trackRevisions>true</trackRevisions>
    </reviewItem>
    <reviewItem>
      <errorID>ca62d782-57db-4590-8214-832b7cfcafd6</errorID>
      <errorWord>~</errorWord>
      <group>L1_Format</group>
      <groupName>格式问题</groupName>
      <ability>L2_HalfPunc_CN</ability>
      <abilityName>全半角问题</abilityName>
      <candidateList>
        <item>～</item>
      </candidateList>
      <explain>文本全半角错误。</explain>
      <paraID>24570288</paraID>
      <start>46</start>
      <end>48</end>
      <status>modified</status>
      <modifiedWord>～</modifiedWord>
      <trackRevisions>true</trackRevisions>
    </reviewItem>
    <reviewItem>
      <errorID>a5fcc2ad-cee5-431f-980a-5f52105f607f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24D85B8B</paraID>
      <start>20</start>
      <end>21</end>
      <status>ignored</status>
      <modifiedWord/>
      <trackRevisions>false</trackRevisions>
    </reviewItem>
    <reviewItem>
      <errorID>6b29d86c-0340-4ebb-a83d-cd7e0c8ff2f8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4566567E</paraID>
      <start>9</start>
      <end>10</end>
      <status>ignored</status>
      <modifiedWord/>
      <trackRevisions>false</trackRevisions>
    </reviewItem>
    <reviewItem>
      <errorID>5b485fc4-81a0-4ceb-bed5-5f93df76d024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41EAFDA9</paraID>
      <start>38</start>
      <end>39</end>
      <status>ignored</status>
      <modifiedWord/>
      <trackRevisions>false</trackRevisions>
    </reviewItem>
    <reviewItem>
      <errorID>c30254d7-64d4-42da-bd57-89f56e7efd37</errorID>
      <errorWord>市场监督总局</errorWord>
      <group>L1_Political</group>
      <groupName>政治性问题</groupName>
      <ability>L2_Unpolitical</ability>
      <abilityName>政治敏感错误</abilityName>
      <candidateList>
        <item>市场监管总局</item>
      </candidateList>
      <explain/>
      <paraID>6F121A5A</paraID>
      <start>92</start>
      <end>104</end>
      <status>modified</status>
      <modifiedWord>市场监管总局</modifiedWord>
      <trackRevisions>true</trackRevisions>
    </reviewItem>
    <reviewItem>
      <errorID>ae9858e9-0323-4029-b318-256cccfe567a</errorID>
      <errorWord>~</errorWord>
      <group>L1_Format</group>
      <groupName>格式问题</groupName>
      <ability>L2_HalfPunc_CN</ability>
      <abilityName>全半角问题</abilityName>
      <candidateList>
        <item>～</item>
      </candidateList>
      <explain>文本全半角错误。</explain>
      <paraID>1C5637C5</paraID>
      <start>12</start>
      <end>14</end>
      <status>modified</status>
      <modifiedWord>～</modifiedWord>
      <trackRevisions>true</trackRevisions>
    </reviewItem>
    <reviewItem>
      <errorID>4a54cbd2-6577-48e0-8fa1-5a9cb8e300a9</errorID>
      <errorWord>市场监督总局</errorWord>
      <group>L1_Political</group>
      <groupName>政治性问题</groupName>
      <ability>L2_Unpolitical</ability>
      <abilityName>政治敏感错误</abilityName>
      <candidateList>
        <item>市场监管总局</item>
      </candidateList>
      <explain/>
      <paraID>37D01C83</paraID>
      <start>92</start>
      <end>104</end>
      <status>modified</status>
      <modifiedWord>市场监管总局</modifiedWord>
      <trackRevisions>true</trackRevisions>
    </reviewItem>
    <reviewItem>
      <errorID>150b74ca-d7ea-4849-9537-eb34bd8d3fdb</errorID>
      <errorWord>埋入底</errorWord>
      <group>L1_Word</group>
      <groupName>字词问题</groupName>
      <ability>L2_Typo</ability>
      <abilityName>字词错误</abilityName>
      <candidateList>
        <item>埋入</item>
      </candidateList>
      <explain/>
      <paraID>2C2B4489</paraID>
      <start>4</start>
      <end>9</end>
      <status>modified</status>
      <modifiedWord>埋入</modifiedWord>
      <trackRevisions>true</trackRevisions>
    </reviewItem>
    <reviewItem>
      <errorID>6b73c464-5d61-4a18-b762-20ac02ca2a0d</errorID>
      <errorWord>市场监督总局</errorWord>
      <group>L1_Political</group>
      <groupName>政治性问题</groupName>
      <ability>L2_Unpolitical</ability>
      <abilityName>政治敏感错误</abilityName>
      <candidateList>
        <item>市场监管总局</item>
      </candidateList>
      <explain/>
      <paraID>12F105A7</paraID>
      <start>92</start>
      <end>104</end>
      <status>modified</status>
      <modifiedWord>市场监管总局</modifiedWord>
      <trackRevisions>true</trackRevisions>
    </reviewItem>
    <reviewItem>
      <errorID>6bce66d6-219d-49fd-bd09-102bab14ab95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6A6E7480</paraID>
      <start>20</start>
      <end>21</end>
      <status>ignored</status>
      <modifiedWord/>
      <trackRevisions>false</trackRevisions>
    </reviewItem>
    <reviewItem>
      <errorID>3a8cb8d2-2151-4394-aa7b-d5aeaffbe706</errorID>
      <errorWord>.</errorWord>
      <group>L1_Format</group>
      <groupName>格式问题</groupName>
      <ability>L2_HalfPunc_CN</ability>
      <abilityName>全半角问题</abilityName>
      <candidateList>
        <item>。</item>
      </candidateList>
      <explain>文本全半角错误。</explain>
      <paraID>63F5A17A</paraID>
      <start>67</start>
      <end>69</end>
      <status>modified</status>
      <modifiedWord>。</modifiedWord>
      <trackRevisions>true</trackRevisions>
    </reviewItem>
    <reviewItem>
      <errorID>113634a0-d1e5-4c30-b46f-69533466fd24</errorID>
      <errorWord>市场监督总局</errorWord>
      <group>L1_Political</group>
      <groupName>政治性问题</groupName>
      <ability>L2_Unpolitical</ability>
      <abilityName>政治敏感错误</abilityName>
      <candidateList>
        <item>市场监管总局</item>
      </candidateList>
      <explain/>
      <paraID> 8E165A7</paraID>
      <start>92</start>
      <end>104</end>
      <status>modified</status>
      <modifiedWord>市场监管总局</modifiedWord>
      <trackRevisions>true</trackRevisions>
    </reviewItem>
    <reviewItem>
      <errorID>5c702c34-50da-448d-80e5-76838998861c</errorID>
      <errorWord>浇注的混凝土</errorWord>
      <group>L1_Word</group>
      <groupName>字词问题</groupName>
      <ability>L2_Typo</ability>
      <abilityName>字词错误</abilityName>
      <candidateList>
        <item>浇筑的混凝土</item>
      </candidateList>
      <explain/>
      <paraID>1248E901</paraID>
      <start>77</start>
      <end>89</end>
      <status>modified</status>
      <modifiedWord>浇筑的混凝土</modifiedWord>
      <trackRevisions>true</trackRevisions>
    </reviewItem>
    <reviewItem>
      <errorID>3d5d74d0-b526-4898-9151-06fce2d2926e</errorID>
      <errorWord>,</errorWord>
      <group>L1_Format</group>
      <groupName>格式问题</groupName>
      <ability>L2_HalfPunc_CN</ability>
      <abilityName>全半角问题</abilityName>
      <candidateList>
        <item>，</item>
      </candidateList>
      <explain>文本全半角错误。</explain>
      <paraID>121F91F3</paraID>
      <start>59</start>
      <end>61</end>
      <status>modified</status>
      <modifiedWord>，</modifiedWord>
      <trackRevisions>true</trackRevisions>
    </reviewItem>
    <reviewItem>
      <errorID>4da9c10b-92e6-4b8c-aed7-4a96cc0e4fda</errorID>
      <errorWord>勾</errorWord>
      <group>L1_Word</group>
      <groupName>字词问题</groupName>
      <ability>L2_Typo</ability>
      <abilityName>字词错误</abilityName>
      <candidateList>
        <item>钩</item>
      </candidateList>
      <explain>存在发音相同字词的误用。</explain>
      <paraID>3A01F0D1</paraID>
      <start>32</start>
      <end>34</end>
      <status>modified</status>
      <modifiedWord>钩</modifiedWord>
      <trackRevisions>true</trackRevisions>
    </reviewItem>
    <reviewItem>
      <errorID>c75c4653-ccf8-47d4-b00e-b74dd2ff9d1d</errorID>
      <errorWord>市场监督总局</errorWord>
      <group>L1_Political</group>
      <groupName>政治性问题</groupName>
      <ability>L2_Unpolitical</ability>
      <abilityName>政治敏感错误</abilityName>
      <candidateList>
        <item>市场监管总局</item>
      </candidateList>
      <explain/>
      <paraID> C684015</paraID>
      <start>93</start>
      <end>105</end>
      <status>modified</status>
      <modifiedWord>市场监管总局</modifiedWord>
      <trackRevisions>true</trackRevisions>
    </reviewItem>
    <reviewItem>
      <errorID>207af0aa-0a68-4784-9232-ad21adbc3cbd</errorID>
      <errorWord>勾</errorWord>
      <group>L1_Word</group>
      <groupName>字词问题</groupName>
      <ability>L2_Typo</ability>
      <abilityName>字词错误</abilityName>
      <candidateList>
        <item>钩</item>
      </candidateList>
      <explain>存在发音相同字词的误用。</explain>
      <paraID>4AA4FAF0</paraID>
      <start>27</start>
      <end>29</end>
      <status>modified</status>
      <modifiedWord>钩</modifiedWord>
      <trackRevisions>true</trackRevisions>
    </reviewItem>
    <reviewItem>
      <errorID>7d7b8d37-4d2c-48f6-9a65-14d0d479da3f</errorID>
      <errorWord>市场监督总局</errorWord>
      <group>L1_Political</group>
      <groupName>政治性问题</groupName>
      <ability>L2_Unpolitical</ability>
      <abilityName>政治敏感错误</abilityName>
      <candidateList>
        <item>市场监管总局</item>
      </candidateList>
      <explain/>
      <paraID>5A6A75BA</paraID>
      <start>93</start>
      <end>105</end>
      <status>modified</status>
      <modifiedWord>市场监管总局</modifiedWord>
      <trackRevisions>true</trackRevisions>
    </reviewItem>
    <reviewItem>
      <errorID>0ff4e199-b0e1-4f70-a62c-69dddebed388</errorID>
      <errorWord>,</errorWord>
      <group>L1_Format</group>
      <groupName>格式问题</groupName>
      <ability>L2_HalfPunc_CN</ability>
      <abilityName>全半角问题</abilityName>
      <candidateList>
        <item>，</item>
      </candidateList>
      <explain>文本全半角错误。</explain>
      <paraID>7143A195</paraID>
      <start>18</start>
      <end>20</end>
      <status>modified</status>
      <modifiedWord>，</modifiedWord>
      <trackRevisions>true</trackRevisions>
    </reviewItem>
    <reviewItem>
      <errorID>05a68e56-5cbc-4386-a2e4-8dc21d4ed9bd</errorID>
      <errorWord>~</errorWord>
      <group>L1_Format</group>
      <groupName>格式问题</groupName>
      <ability>L2_HalfPunc_CN</ability>
      <abilityName>全半角问题</abilityName>
      <candidateList>
        <item>～</item>
      </candidateList>
      <explain>文本全半角错误。</explain>
      <paraID>2F2EE8AE</paraID>
      <start>21</start>
      <end>23</end>
      <status>modified</status>
      <modifiedWord>～</modifiedWord>
      <trackRevisions>true</trackRevisions>
    </reviewItem>
    <reviewItem>
      <errorID>f162056d-913c-4f82-8145-7ea1637d5abf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2F2EE8AE</paraID>
      <start>42</start>
      <end>43</end>
      <status>ignored</status>
      <modifiedWord/>
      <trackRevisions>false</trackRevisions>
    </reviewItem>
    <reviewItem>
      <errorID>03a86314-f280-4263-af18-3227f443f3f2</errorID>
      <errorWord>配</errorWord>
      <group>L1_Word</group>
      <groupName>字词问题</groupName>
      <ability>L2_Typo</ability>
      <abilityName>字词错误</abilityName>
      <candidateList>
        <item>配备</item>
      </candidateList>
      <explain/>
      <paraID>5D5BA24E</paraID>
      <start>2</start>
      <end>3</end>
      <status>ignored</status>
      <modifiedWord/>
      <trackRevisions>false</trackRevisions>
    </reviewItem>
    <reviewItem>
      <errorID>630960da-8258-4e2d-b63a-faec5c552efc</errorID>
      <errorWord>(</errorWord>
      <group>L1_Format</group>
      <groupName>格式问题</groupName>
      <ability>L2_HalfPunc_CN</ability>
      <abilityName>全半角问题</abilityName>
      <candidateList>
        <item>（</item>
      </candidateList>
      <explain>文本全半角错误。</explain>
      <paraID>358ACA46</paraID>
      <start>2</start>
      <end>4</end>
      <status>modified</status>
      <modifiedWord>（</modifiedWord>
      <trackRevisions>true</trackRevisions>
    </reviewItem>
    <reviewItem>
      <errorID>ebcbbbfa-21f6-4415-842a-5e0a34cae4df</errorID>
      <errorWord>)</errorWord>
      <group>L1_Format</group>
      <groupName>格式问题</groupName>
      <ability>L2_HalfPunc_CN</ability>
      <abilityName>全半角问题</abilityName>
      <candidateList>
        <item>）</item>
      </candidateList>
      <explain>文本全半角错误。</explain>
      <paraID>358ACA46</paraID>
      <start>7</start>
      <end>9</end>
      <status>modified</status>
      <modifiedWord>）</modifiedWord>
      <trackRevisions>true</trackRevisions>
    </reviewItem>
    <reviewItem>
      <errorID>95e66fcf-3d42-440f-8e5c-6ba7a02d6d86</errorID>
      <errorWord>,</errorWord>
      <group>L1_Format</group>
      <groupName>格式问题</groupName>
      <ability>L2_HalfPunc_CN</ability>
      <abilityName>全半角问题</abilityName>
      <candidateList>
        <item>，</item>
      </candidateList>
      <explain>文本全半角错误。</explain>
      <paraID>6A7B7015</paraID>
      <start>10</start>
      <end>12</end>
      <status>modified</status>
      <modifiedWord>，</modifiedWord>
      <trackRevisions>true</trackRevisions>
    </reviewItem>
    <reviewItem>
      <errorID>dc5462a4-9a45-4536-a35c-1f732db713da</errorID>
      <errorWord>~</errorWord>
      <group>L1_Format</group>
      <groupName>格式问题</groupName>
      <ability>L2_HalfPunc_CN</ability>
      <abilityName>全半角问题</abilityName>
      <candidateList>
        <item>～</item>
      </candidateList>
      <explain>文本全半角错误。</explain>
      <paraID>11679D58</paraID>
      <start>12</start>
      <end>14</end>
      <status>modified</status>
      <modifiedWord>～</modifiedWord>
      <trackRevisions>true</trackRevisions>
    </reviewItem>
    <reviewItem>
      <errorID>01735c1c-09a6-4a66-a657-7fe390f5c23c</errorID>
      <errorWord>60%~65%</errorWord>
      <group>L1_Knowledge</group>
      <groupName>知识性问题</groupName>
      <ability>L2_Knowledge</ability>
      <abilityName>其他知识</abilityName>
      <candidateList>
        <item>60%～65%</item>
      </candidateList>
      <explain>1. “60%~65%”中的单位“%”仅出现在后一个数字上，容易引起歧义；根据《现代汉语标点符号数字用法规范手册》，数字表示范围两边需要使用统一的格式。2. 根据标点国标 4.13 中的规则，数字、时间或地域连接符应使用（视觉上更长的）“—”或“～”。</explain>
      <paraID>16FF08A6</paraID>
      <start>44</start>
      <end>58</end>
      <status>modified</status>
      <modifiedWord>60%～65%</modifiedWord>
      <trackRevisions>true</trackRevisions>
    </reviewItem>
    <reviewItem>
      <errorID>7a3ca300-7436-4cd1-bc87-98b27cdaaaa7</errorID>
      <errorWord>~</errorWord>
      <group>L1_Format</group>
      <groupName>格式问题</groupName>
      <ability>L2_HalfPunc_CN</ability>
      <abilityName>全半角问题</abilityName>
      <candidateList>
        <item>～</item>
      </candidateList>
      <explain>文本全半角错误。</explain>
      <paraID>5E46711B</paraID>
      <start>15</start>
      <end>17</end>
      <status>modified</status>
      <modifiedWord>～</modifiedWord>
      <trackRevisions>true</trackRevisions>
    </reviewItem>
    <reviewItem>
      <errorID>a560d7ce-4a9d-450e-bdf1-7ceac0155ee5</errorID>
      <errorWord>和在一起</errorWord>
      <group>L1_Word</group>
      <groupName>字词问题</groupName>
      <ability>L2_Typo</ability>
      <abilityName>字词错误</abilityName>
      <candidateList>
        <item>合在一起</item>
      </candidateList>
      <explain>存在发音相同字词的误用。</explain>
      <paraID>4A05ED2F</paraID>
      <start>46</start>
      <end>54</end>
      <status>modified</status>
      <modifiedWord>合在一起</modifiedWord>
      <trackRevisions>true</trackRevisions>
    </reviewItem>
    <reviewItem>
      <errorID>460c55a0-b975-4420-af46-5426aa826fa5</errorID>
      <errorWord>"</errorWord>
      <group>L1_Format</group>
      <groupName>格式问题</groupName>
      <ability>L2_HalfPunc_CN</ability>
      <abilityName>全半角问题</abilityName>
      <candidateList/>
      <explain>文本全半角错误。</explain>
      <paraID>39FEC412</paraID>
      <start>43</start>
      <end>44</end>
      <status>ignored</status>
      <modifiedWord/>
      <trackRevisions>false</trackRevisions>
    </reviewItem>
    <reviewItem>
      <errorID>b95973e1-a7b3-424d-acd3-b5cca91d55d1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B07C70A</paraID>
      <start>34</start>
      <end>35</end>
      <status>ignored</status>
      <modifiedWord/>
      <trackRevisions>false</trackRevisions>
    </reviewItem>
    <reviewItem>
      <errorID>fd54ccd4-733d-4c3f-893d-141af8322d25</errorID>
      <errorWord>板板</errorWord>
      <group>L1_Word</group>
      <groupName>字词问题</groupName>
      <ability>L2_Typo</ability>
      <abilityName>字词错误</abilityName>
      <candidateList>
        <item>板</item>
      </candidateList>
      <explain/>
      <paraID>211FA0AD</paraID>
      <start>4</start>
      <end>7</end>
      <status>modified</status>
      <modifiedWord>板</modifiedWord>
      <trackRevisions>true</trackRevisions>
    </reviewItem>
    <reviewItem>
      <errorID>3348982f-bc50-45cd-8f9b-5d35eeb1df18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69295AE1</paraID>
      <start>12</start>
      <end>13</end>
      <status>ignored</status>
      <modifiedWord/>
      <trackRevisions>false</trackRevisions>
    </reviewItem>
    <reviewItem>
      <errorID>260f4aff-7575-45dd-9523-414598b32c06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546001EC</paraID>
      <start>5</start>
      <end>6</end>
      <status>ignored</status>
      <modifiedWord/>
      <trackRevisions>false</trackRevisions>
    </reviewItem>
    <reviewItem>
      <errorID>ee6e44ad-4119-4d6e-9cf5-bdf7afe944a4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25923CE</paraID>
      <start>9</start>
      <end>10</end>
      <status>ignored</status>
      <modifiedWord/>
      <trackRevisions>false</trackRevisions>
    </reviewItem>
    <reviewItem>
      <errorID>75126bae-36fc-4823-84cd-ccf0f8b2d9f8</errorID>
      <errorWord>)</errorWord>
      <group>L1_Format</group>
      <groupName>格式问题</groupName>
      <ability>L2_HalfPunc_CN</ability>
      <abilityName>全半角问题</abilityName>
      <candidateList>
        <item>）</item>
      </candidateList>
      <explain>文本全半角错误。</explain>
      <paraID>702A0446</paraID>
      <start>64</start>
      <end>66</end>
      <status>modified</status>
      <modifiedWord>）</modifiedWord>
      <trackRevisions>true</trackRevisions>
    </reviewItem>
    <reviewItem>
      <errorID>e3a36b9f-b084-4b1d-8787-ea4e8ee7acc7</errorID>
      <errorWord>)</errorWord>
      <group>L1_Format</group>
      <groupName>格式问题</groupName>
      <ability>L2_HalfPunc_CN</ability>
      <abilityName>全半角问题</abilityName>
      <candidateList>
        <item>）</item>
      </candidateList>
      <explain>文本全半角错误。</explain>
      <paraID>335B9756</paraID>
      <start>63</start>
      <end>65</end>
      <status>modified</status>
      <modifiedWord>）</modifiedWord>
      <trackRevisions>true</trackRevisions>
    </reviewItem>
    <reviewItem>
      <errorID>28bcb37b-69be-4897-97b1-0ff718694438</errorID>
      <errorWord>)</errorWord>
      <group>L1_Format</group>
      <groupName>格式问题</groupName>
      <ability>L2_HalfPunc_CN</ability>
      <abilityName>全半角问题</abilityName>
      <candidateList>
        <item>）</item>
      </candidateList>
      <explain>文本全半角错误。</explain>
      <paraID>248ACD56</paraID>
      <start>62</start>
      <end>64</end>
      <status>modified</status>
      <modifiedWord>）</modifiedWord>
      <trackRevisions>true</trackRevisions>
    </reviewItem>
    <reviewItem>
      <errorID>481c1cd2-d3b0-4a7c-afc0-61fa772344e5</errorID>
      <errorWord>~</errorWord>
      <group>L1_Format</group>
      <groupName>格式问题</groupName>
      <ability>L2_HalfPunc_CN</ability>
      <abilityName>全半角问题</abilityName>
      <candidateList>
        <item>～</item>
      </candidateList>
      <explain>文本全半角错误。</explain>
      <paraID>5D1756FF</paraID>
      <start>6</start>
      <end>8</end>
      <status>modified</status>
      <modifiedWord>～</modifiedWord>
      <trackRevisions>true</trackRevisions>
    </reviewItem>
    <reviewItem>
      <errorID>a9da3609-1254-4244-936f-f8187077c1c1</errorID>
      <errorWord>~</errorWord>
      <group>L1_Format</group>
      <groupName>格式问题</groupName>
      <ability>L2_HalfPunc_CN</ability>
      <abilityName>全半角问题</abilityName>
      <candidateList>
        <item>～</item>
      </candidateList>
      <explain>文本全半角错误。</explain>
      <paraID>691B4E61</paraID>
      <start>10</start>
      <end>12</end>
      <status>modified</status>
      <modifiedWord>～</modifiedWord>
      <trackRevisions>true</trackRevisions>
    </reviewItem>
    <reviewItem>
      <errorID>becbbed5-0a48-4715-b57f-0afce7fa4d70</errorID>
      <errorWord>~</errorWord>
      <group>L1_Format</group>
      <groupName>格式问题</groupName>
      <ability>L2_HalfPunc_CN</ability>
      <abilityName>全半角问题</abilityName>
      <candidateList>
        <item>～</item>
      </candidateList>
      <explain>文本全半角错误。</explain>
      <paraID>714E07F0</paraID>
      <start>12</start>
      <end>14</end>
      <status>modified</status>
      <modifiedWord>～</modifiedWord>
      <trackRevisions>true</trackRevisions>
    </reviewItem>
    <reviewItem>
      <errorID>65562f96-eacd-41ba-9a6e-b0c2d81f9eab</errorID>
      <errorWord>~</errorWord>
      <group>L1_Format</group>
      <groupName>格式问题</groupName>
      <ability>L2_HalfPunc_CN</ability>
      <abilityName>全半角问题</abilityName>
      <candidateList>
        <item>～</item>
      </candidateList>
      <explain>文本全半角错误。</explain>
      <paraID> 9645A1A</paraID>
      <start>12</start>
      <end>14</end>
      <status>modified</status>
      <modifiedWord>～</modifiedWord>
      <trackRevisions>true</trackRevisions>
    </reviewItem>
    <reviewItem>
      <errorID>d2ca5177-6336-42d8-a203-dff4d544a7c7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53FD5B31</paraID>
      <start>17</start>
      <end>18</end>
      <status>ignored</status>
      <modifiedWord/>
      <trackRevisions>false</trackRevisions>
    </reviewItem>
    <reviewItem>
      <errorID>4ccce30a-2ab3-47ed-9b98-54266fea23f3</errorID>
      <errorWord>Kg</errorWord>
      <group>L1_Word</group>
      <groupName>字词问题</groupName>
      <ability>L2_Typo</ability>
      <abilityName>字词错误</abilityName>
      <candidateList>
        <item>kg</item>
      </candidateList>
      <explain/>
      <paraID>6E85E32B</paraID>
      <start>3</start>
      <end>5</end>
      <status>ignored</status>
      <modifiedWord/>
      <trackRevisions>false</trackRevisions>
    </reviewItem>
    <reviewItem>
      <errorID>24b7ca3a-5dbf-42e1-bf99-30155315c7d2</errorID>
      <errorWord>~</errorWord>
      <group>L1_Format</group>
      <groupName>格式问题</groupName>
      <ability>L2_HalfPunc_CN</ability>
      <abilityName>全半角问题</abilityName>
      <candidateList>
        <item>～</item>
      </candidateList>
      <explain>文本全半角错误。</explain>
      <paraID>70646B9D</paraID>
      <start>7</start>
      <end>9</end>
      <status>modified</status>
      <modifiedWord>～</modifiedWord>
      <trackRevisions>true</trackRevisions>
    </reviewItem>
    <reviewItem>
      <errorID>33032656-7865-4946-9a3d-ccd23212d5ac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1092083</paraID>
      <start>85</start>
      <end>86</end>
      <status>ignored</status>
      <modifiedWord/>
      <trackRevisions>false</trackRevisions>
    </reviewItem>
    <reviewItem>
      <errorID>89d5e6c6-c86e-4317-8d99-23b8efe9adf3</errorID>
      <errorWord>横竿</errorWord>
      <group>L1_Word</group>
      <groupName>字词问题</groupName>
      <ability>L2_Typo</ability>
      <abilityName>字词错误</abilityName>
      <candidateList>
        <item>横杆</item>
      </candidateList>
      <explain>存在发音相同字词的误用。</explain>
      <paraID>11D85D6C</paraID>
      <start>2</start>
      <end>4</end>
      <status>ignored</status>
      <modifiedWord/>
      <trackRevisions>false</trackRevisions>
    </reviewItem>
    <reviewItem>
      <errorID>675bcab1-67e9-4fd3-be7e-aa55e01769cf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1D894B6F</paraID>
      <start>39</start>
      <end>40</end>
      <status>ignored</status>
      <modifiedWord/>
      <trackRevisions>false</trackRevisions>
    </reviewItem>
    <reviewItem>
      <errorID>9a0ffc98-d52c-423a-80ab-dbb10021e803</errorID>
      <errorWord>兰色</errorWord>
      <group>L1_Word</group>
      <groupName>字词问题</groupName>
      <ability>L2_Typo</ability>
      <abilityName>字词错误</abilityName>
      <candidateList>
        <item>蓝色</item>
      </candidateList>
      <explain/>
      <paraID>3B3F64F4</paraID>
      <start>7</start>
      <end>11</end>
      <status>modified</status>
      <modifiedWord>蓝色</modifiedWord>
      <trackRevisions>true</trackRevisions>
    </reviewItem>
    <reviewItem>
      <errorID>31c4f40d-3820-4b98-ba03-9e075d978578</errorID>
      <errorWord>Kg</errorWord>
      <group>L1_Word</group>
      <groupName>字词问题</groupName>
      <ability>L2_Typo</ability>
      <abilityName>字词错误</abilityName>
      <candidateList>
        <item>kg</item>
      </candidateList>
      <explain/>
      <paraID>7175B650</paraID>
      <start>1</start>
      <end>3</end>
      <status>ignored</status>
      <modifiedWord/>
      <trackRevisions>false</trackRevisions>
    </reviewItem>
    <reviewItem>
      <errorID>d5e2918c-bef8-4c66-a266-3b1e90fa31f6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7138E6F6</paraID>
      <start>14</start>
      <end>15</end>
      <status>ignored</status>
      <modifiedWord/>
      <trackRevisions>false</trackRevisions>
    </reviewItem>
    <reviewItem>
      <errorID>728d05f2-1a54-4724-8b68-d3e433fea1dd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7138E6F6</paraID>
      <start>27</start>
      <end>28</end>
      <status>ignored</status>
      <modifiedWord/>
      <trackRevisions>false</trackRevisions>
    </reviewItem>
    <reviewItem>
      <errorID>2d9ac6a5-6258-456f-a9e3-0db7464e281c</errorID>
      <errorWord>Kg</errorWord>
      <group>L1_Word</group>
      <groupName>字词问题</groupName>
      <ability>L2_Typo</ability>
      <abilityName>字词错误</abilityName>
      <candidateList>
        <item>kg</item>
      </candidateList>
      <explain/>
      <paraID> 863ABA9</paraID>
      <start>1</start>
      <end>3</end>
      <status>ignored</status>
      <modifiedWord/>
      <trackRevisions>false</trackRevisions>
    </reviewItem>
    <reviewItem>
      <errorID>86d764e1-e219-4eff-87ec-009b7c3669f0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4F59514D</paraID>
      <start>14</start>
      <end>15</end>
      <status>ignored</status>
      <modifiedWord/>
      <trackRevisions>false</trackRevisions>
    </reviewItem>
    <reviewItem>
      <errorID>7222886e-3d6e-4a9d-ab7e-c601a9292ae8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4F59514D</paraID>
      <start>27</start>
      <end>28</end>
      <status>ignored</status>
      <modifiedWord/>
      <trackRevisions>false</trackRevisions>
    </reviewItem>
    <reviewItem>
      <errorID>f4f208ac-f531-4299-bf70-dd0fb3221fa8</errorID>
      <errorWord>Kg</errorWord>
      <group>L1_Word</group>
      <groupName>字词问题</groupName>
      <ability>L2_Typo</ability>
      <abilityName>字词错误</abilityName>
      <candidateList>
        <item>kg</item>
      </candidateList>
      <explain/>
      <paraID>7133727B</paraID>
      <start>1</start>
      <end>3</end>
      <status>ignored</status>
      <modifiedWord/>
      <trackRevisions>false</trackRevisions>
    </reviewItem>
    <reviewItem>
      <errorID>122f1ef9-bb68-47c3-90f7-a7bc6a1e1a94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F716243</paraID>
      <start>14</start>
      <end>15</end>
      <status>ignored</status>
      <modifiedWord/>
      <trackRevisions>false</trackRevisions>
    </reviewItem>
    <reviewItem>
      <errorID>6da0535c-81d1-4f81-9b27-ef57a478611d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F716243</paraID>
      <start>28</start>
      <end>29</end>
      <status>ignored</status>
      <modifiedWord/>
      <trackRevisions>false</trackRevisions>
    </reviewItem>
    <reviewItem>
      <errorID>2f5c25c1-c79b-4475-b02e-84a3b365adc8</errorID>
      <errorWord>拦架</errorWord>
      <group>L1_Word</group>
      <groupName>字词问题</groupName>
      <ability>L2_Typo</ability>
      <abilityName>字词错误</abilityName>
      <candidateList>
        <item>栏架</item>
      </candidateList>
      <explain/>
      <paraID>4FC43607</paraID>
      <start>1</start>
      <end>3</end>
      <status>ignored</status>
      <modifiedWord/>
      <trackRevisions>false</trackRevisions>
    </reviewItem>
    <reviewItem>
      <errorID>28e853ea-d6cd-412a-8d6d-2382ba84f729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7617FAFD</paraID>
      <start>31</start>
      <end>32</end>
      <status>ignored</status>
      <modifiedWord/>
      <trackRevisions>false</trackRevisions>
    </reviewItem>
    <reviewItem>
      <errorID>f3e49fc5-f39b-4516-bfa5-bb8e5186f6aa</errorID>
      <errorWord>拦架</errorWord>
      <group>L1_Word</group>
      <groupName>字词问题</groupName>
      <ability>L2_Typo</ability>
      <abilityName>字词错误</abilityName>
      <candidateList>
        <item>栏架</item>
      </candidateList>
      <explain/>
      <paraID>3A323FBC</paraID>
      <start>1</start>
      <end>3</end>
      <status>ignored</status>
      <modifiedWord/>
      <trackRevisions>false</trackRevisions>
    </reviewItem>
    <reviewItem>
      <errorID>c5e3971a-a425-4cf6-931c-25720625b54d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2A10A20F</paraID>
      <start>31</start>
      <end>32</end>
      <status>ignored</status>
      <modifiedWord/>
      <trackRevisions>false</trackRevisions>
    </reviewItem>
    <reviewItem>
      <errorID>e243c521-985c-414a-9bcf-e0eea2d6ad04</errorID>
      <errorWord>平米</errorWord>
      <group>L1_Word</group>
      <groupName>字词问题</groupName>
      <ability>L2_Typo</ability>
      <abilityName>字词错误</abilityName>
      <candidateList>
        <item>平方米</item>
      </candidateList>
      <explain/>
      <paraID>61AB94EF</paraID>
      <start>0</start>
      <end>2</end>
      <status>ignored</status>
      <modifiedWord/>
      <trackRevisions>false</trackRevisions>
    </reviewItem>
    <reviewItem>
      <errorID>8a91ba2b-6a95-46e1-aafe-c05cc8a13c63</errorID>
      <errorWord>(</errorWord>
      <group>L1_Format</group>
      <groupName>格式问题</groupName>
      <ability>L2_HalfPunc_CN</ability>
      <abilityName>全半角问题</abilityName>
      <candidateList>
        <item>（</item>
      </candidateList>
      <explain>文本全半角错误。</explain>
      <paraID>30F6F9E1</paraID>
      <start>3</start>
      <end>5</end>
      <status>modified</status>
      <modifiedWord>（</modifiedWord>
      <trackRevisions>true</trackRevisions>
    </reviewItem>
    <reviewItem>
      <errorID>71f0d12e-74e2-43e4-b51b-b43477f73bf6</errorID>
      <errorWord>)</errorWord>
      <group>L1_Format</group>
      <groupName>格式问题</groupName>
      <ability>L2_HalfPunc_CN</ability>
      <abilityName>全半角问题</abilityName>
      <candidateList>
        <item>）</item>
      </candidateList>
      <explain>文本全半角错误。</explain>
      <paraID>30F6F9E1</paraID>
      <start>7</start>
      <end>9</end>
      <status>modified</status>
      <modifiedWord>）</modifiedWord>
      <trackRevisions>true</trackRevisions>
    </reviewItem>
    <reviewItem>
      <errorID>d416abe9-4b81-4284-83d4-7b3afd715bef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64268A62</paraID>
      <start>20</start>
      <end>21</end>
      <status>ignored</status>
      <modifiedWord/>
      <trackRevisions>false</trackRevisions>
    </reviewItem>
    <reviewItem>
      <errorID>db5ab42e-946d-438d-98b8-c822b75ec3bc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64268A62</paraID>
      <start>38</start>
      <end>39</end>
      <status>ignored</status>
      <modifiedWord/>
      <trackRevisions>false</trackRevisions>
    </reviewItem>
    <reviewItem>
      <errorID>b6335a4e-d6fb-4167-9b1b-659f7e0a49a4</errorID>
      <errorWord>只</errorWord>
      <group>L1_Knowledge</group>
      <groupName>知识性问题</groupName>
      <ability>L2_Knowledge</ability>
      <abilityName>其他知识</abilityName>
      <candidateList>
        <item>支</item>
      </candidateList>
      <explain>请检查“只”是否为量词使用错误，建议修改为“支”。</explain>
      <paraID>385F743A</paraID>
      <start>20</start>
      <end>21</end>
      <status>ignored</status>
      <modifiedWord/>
      <trackRevisions>false</trackRevisions>
    </reviewItem>
    <reviewItem>
      <errorID>1e201d76-13cf-4764-855c-cf7a6654c8e4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30E11EC5</paraID>
      <start>0</start>
      <end>4</end>
      <status>modified</status>
      <modifiedWord>1.</modifiedWord>
      <trackRevisions>true</trackRevisions>
    </reviewItem>
    <reviewItem>
      <errorID>2ef1f3bd-ec6a-424d-9128-fb1b5bdca057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6FE8D7D8</paraID>
      <start>17</start>
      <end>18</end>
      <status>ignored</status>
      <modifiedWord/>
      <trackRevisions>false</trackRevisions>
    </reviewItem>
    <reviewItem>
      <errorID>c95cfecc-9b6f-49b5-9c57-1f0534c54ee7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6FE8D7D8</paraID>
      <start>39</start>
      <end>40</end>
      <status>ignored</status>
      <modifiedWord/>
      <trackRevisions>false</trackRevisions>
    </reviewItem>
    <reviewItem>
      <errorID>2ac31563-df02-48f1-bc31-e8b5decdde84</errorID>
      <errorWord>粘合</errorWord>
      <group>L1_Word</group>
      <groupName>字词问题</groupName>
      <ability>L2_Alias</ability>
      <abilityName>也作/曾用词</abilityName>
      <candidateList>
        <item>黏合</item>
      </candidateList>
      <explain>词汇[粘合]为不规范表述或旧称，其规范书面表述为[黏合]。</explain>
      <paraID>60393A3C</paraID>
      <start>19</start>
      <end>21</end>
      <status>ignored</status>
      <modifiedWord/>
      <trackRevisions>false</trackRevisions>
    </reviewItem>
    <reviewItem>
      <errorID>9aadf8d8-9a91-4168-ae66-f19fa6d57e60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E7BFED8</paraID>
      <start>16</start>
      <end>17</end>
      <status>ignored</status>
      <modifiedWord/>
      <trackRevisions>false</trackRevisions>
    </reviewItem>
    <reviewItem>
      <errorID>78e06e6f-f6a8-4a44-95a6-3e631ef20930</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 E7BFED8</paraID>
      <start>46</start>
      <end>53</end>
      <status>ignored</status>
      <modifiedWord/>
      <trackRevisions>false</trackRevisions>
    </reviewItem>
    <reviewItem>
      <errorID>8bef196b-0a45-4a06-b838-5faa73917515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E7BFED8</paraID>
      <start>59</start>
      <end>60</end>
      <status>ignored</status>
      <modifiedWord/>
      <trackRevisions>false</trackRevisions>
    </reviewItem>
    <reviewItem>
      <errorID>070dc65a-6eaf-4aeb-9c06-73763aa4adff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2E0AADF6</paraID>
      <start>17</start>
      <end>18</end>
      <status>ignored</status>
      <modifiedWord/>
      <trackRevisions>false</trackRevisions>
    </reviewItem>
    <reviewItem>
      <errorID>1f8aa34e-b6f2-4485-88f7-94ef94ebe9de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2E0AADF6</paraID>
      <start>40</start>
      <end>41</end>
      <status>ignored</status>
      <modifiedWord/>
      <trackRevisions>false</trackRevisions>
    </reviewItem>
    <reviewItem>
      <errorID>b7caff85-182b-467c-84f3-2ffa1f039e55</errorID>
      <errorWord>粘合</errorWord>
      <group>L1_Word</group>
      <groupName>字词问题</groupName>
      <ability>L2_Alias</ability>
      <abilityName>也作/曾用词</abilityName>
      <candidateList>
        <item>黏合</item>
      </candidateList>
      <explain>词汇[粘合]为不规范表述或旧称，其规范书面表述为[黏合]。</explain>
      <paraID>7826F5E6</paraID>
      <start>22</start>
      <end>24</end>
      <status>ignored</status>
      <modifiedWord/>
      <trackRevisions>false</trackRevisions>
    </reviewItem>
    <reviewItem>
      <errorID>20efc29d-f93d-4575-8a54-6812159a93f6</errorID>
      <errorWord>粘合</errorWord>
      <group>L1_Word</group>
      <groupName>字词问题</groupName>
      <ability>L2_Alias</ability>
      <abilityName>也作/曾用词</abilityName>
      <candidateList>
        <item>黏合</item>
      </candidateList>
      <explain>词汇[粘合]为不规范表述或旧称，其规范书面表述为[黏合]。</explain>
      <paraID>7826F5E6</paraID>
      <start>34</start>
      <end>36</end>
      <status>ignored</status>
      <modifiedWord/>
      <trackRevisions>false</trackRevisions>
    </reviewItem>
    <reviewItem>
      <errorID>7055a8a8-d1b2-47e4-9b12-2f8f16f6ee85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9B46401</paraID>
      <start>16</start>
      <end>17</end>
      <status>ignored</status>
      <modifiedWord/>
      <trackRevisions>false</trackRevisions>
    </reviewItem>
    <reviewItem>
      <errorID>fffa21ec-f5bf-4908-aa68-2a30894f0876</errorID>
      <errorWord>VHF：136-174</errorWord>
      <group>L1_English</group>
      <groupName>英文问题</groupName>
      <ability>L2_Other_Grammar</ability>
      <abilityName>其他语法问题</abilityName>
      <candidateList>
        <item>VHF: 136–174</item>
      </candidateList>
      <explain>疑似单词/词组使用不当, 建议将VHF：136-174修改为VHF: 136–174</explain>
      <paraID>3889C2D5</paraID>
      <start>0</start>
      <end>11</end>
      <status>ignored</status>
      <modifiedWord/>
      <trackRevisions>false</trackRevisions>
    </reviewItem>
    <reviewItem>
      <errorID>ebc7cb66-11bd-4b12-bf0e-2101300d2009</errorID>
      <errorWord>UHF：400-520</errorWord>
      <group>L1_English</group>
      <groupName>英文问题</groupName>
      <ability>L2_Other_Grammar</ability>
      <abilityName>其他语法问题</abilityName>
      <candidateList>
        <item>UHF: 400–520</item>
      </candidateList>
      <explain>疑似单词/词组使用不当, 建议将UHF：400-520修改为UHF: 400–520</explain>
      <paraID>1804278B</paraID>
      <start>0</start>
      <end>11</end>
      <status>ignored</status>
      <modifiedWord/>
      <trackRevisions>false</trackRevisions>
    </reviewItem>
    <reviewItem>
      <errorID>897b0df9-5829-4b1f-a670-6a429586bfbd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28C2659B</paraID>
      <start>12</start>
      <end>13</end>
      <status>ignored</status>
      <modifiedWord/>
      <trackRevisions>false</trackRevisions>
    </reviewItem>
    <reviewItem>
      <errorID>eb458c12-dc19-4162-8a3c-b6cad6806330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28C2659B</paraID>
      <start>35</start>
      <end>36</end>
      <status>ignored</status>
      <modifiedWord/>
      <trackRevisions>false</trackRevisions>
    </reviewItem>
    <reviewItem>
      <errorID>28ff6a07-b9e1-45a6-b2f3-929ee0c7b454</errorID>
      <errorWord>KW</errorWord>
      <group>L1_Word</group>
      <groupName>字词问题</groupName>
      <ability>L2_Typo</ability>
      <abilityName>字词错误</abilityName>
      <candidateList>
        <item>kW</item>
      </candidateList>
      <explain/>
      <paraID>44C0B0FE</paraID>
      <start>34</start>
      <end>36</end>
      <status>ignored</status>
      <modifiedWord/>
      <trackRevisions>false</trackRevisions>
    </reviewItem>
    <reviewItem>
      <errorID>ed461eb2-0158-41cb-b3d3-eb79ce48b797</errorID>
      <errorWord>:</errorWord>
      <group>L1_Format</group>
      <groupName>格式问题</groupName>
      <ability>L2_HalfPunc_CN</ability>
      <abilityName>全半角问题</abilityName>
      <candidateList>
        <item>：</item>
      </candidateList>
      <explain>文本全半角错误。</explain>
      <paraID>2F52D744</paraID>
      <start>6</start>
      <end>8</end>
      <status>modified</status>
      <modifiedWord>：</modifiedWord>
      <trackRevisions>true</trackRevisions>
    </reviewItem>
    <reviewItem>
      <errorID>3e7f824d-7548-44ce-bc6a-4f4a0052e393</errorID>
      <errorWord>噪音</errorWord>
      <group>L1_Word</group>
      <groupName>字词问题</groupName>
      <ability>L2_Alias</ability>
      <abilityName>也作/曾用词</abilityName>
      <candidateList>
        <item>噪声</item>
      </candidateList>
      <explain>词汇[噪音]为不规范表述或旧称，其规范书面表述为[噪声]。</explain>
      <paraID>2F52D744</paraID>
      <start>61</start>
      <end>63</end>
      <status>ignored</status>
      <modifiedWord/>
      <trackRevisions>false</trackRevisions>
    </reviewItem>
    <reviewItem>
      <errorID>6c3c9fae-db41-4141-a5df-eb41b8c2de42</errorID>
      <errorWord>耐侯性</errorWord>
      <group>L1_Word</group>
      <groupName>字词问题</groupName>
      <ability>L2_Typo</ability>
      <abilityName>字词错误</abilityName>
      <candidateList>
        <item>耐候性</item>
      </candidateList>
      <explain/>
      <paraID>18192120</paraID>
      <start>60</start>
      <end>66</end>
      <status>modified</status>
      <modifiedWord>耐候性</modifiedWord>
      <trackRevisions>true</trackRevisions>
    </reviewItem>
    <reviewItem>
      <errorID>ea37350f-c60c-4cef-b37a-3d4bd2942d56</errorID>
      <errorWord>市场监督总局</errorWord>
      <group>L1_Political</group>
      <groupName>政治性问题</groupName>
      <ability>L2_Unpolitical</ability>
      <abilityName>政治敏感错误</abilityName>
      <candidateList>
        <item>市场监管总局</item>
      </candidateList>
      <explain/>
      <paraID>21C53E77</paraID>
      <start>74</start>
      <end>86</end>
      <status>modified</status>
      <modifiedWord>市场监管总局</modifiedWord>
      <trackRevisions>true</trackRevisions>
    </reviewItem>
    <reviewItem>
      <errorID>83889ce0-75ed-4b61-86b1-25b275856d0f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3C491E7D</paraID>
      <start>7</start>
      <end>8</end>
      <status>ignored</status>
      <modifiedWord/>
      <trackRevisions>false</trackRevisions>
    </reviewItem>
    <reviewItem>
      <errorID>2c9316d9-e6a7-4cf4-85ce-206b88fcc4cc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5C2363B8</paraID>
      <start>16</start>
      <end>17</end>
      <status>ignored</status>
      <modifiedWord/>
      <trackRevisions>false</trackRevisions>
    </reviewItem>
    <reviewItem>
      <errorID>4d76798b-b50a-45ea-80b9-981b97605a08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54B58087</paraID>
      <start>11</start>
      <end>12</end>
      <status>ignored</status>
      <modifiedWord/>
      <trackRevisions>false</trackRevisions>
    </reviewItem>
    <reviewItem>
      <errorID>48537953-2ed1-4382-a77e-9583478c7e88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4E11676C</paraID>
      <start>48</start>
      <end>49</end>
      <status>ignored</status>
      <modifiedWord/>
      <trackRevisions>false</trackRevisions>
    </reviewItem>
    <reviewItem>
      <errorID>64773c6f-df08-4cb9-b706-8732be4384da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614ABB22</paraID>
      <start>48</start>
      <end>49</end>
      <status>ignored</status>
      <modifiedWord/>
      <trackRevisions>false</trackRevisions>
    </reviewItem>
    <reviewItem>
      <errorID>dfdd38aa-f2a2-467c-9353-dda26888c4c4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614ABB22</paraID>
      <start>76</start>
      <end>77</end>
      <status>ignored</status>
      <modifiedWord/>
      <trackRevisions>false</trackRevisions>
    </reviewItem>
    <reviewItem>
      <errorID>e9bb3346-e025-40c6-98a1-9a16fce6985c</errorID>
      <errorWord>Kg</errorWord>
      <group>L1_Word</group>
      <groupName>字词问题</groupName>
      <ability>L2_Typo</ability>
      <abilityName>字词错误</abilityName>
      <candidateList>
        <item>kg</item>
      </candidateList>
      <explain/>
      <paraID>614ABB22</paraID>
      <start>80</start>
      <end>82</end>
      <status>ignored</status>
      <modifiedWord/>
      <trackRevisions>false</trackRevisions>
    </reviewItem>
    <reviewItem>
      <errorID>1e2fef4a-8fa3-4a77-b150-3e3bde0e0d89</errorID>
      <errorWord>HZ</errorWord>
      <group>L1_Word</group>
      <groupName>字词问题</groupName>
      <ability>L2_Typo</ability>
      <abilityName>字词错误</abilityName>
      <candidateList>
        <item>Hz</item>
      </candidateList>
      <explain/>
      <paraID>3DE0E517</paraID>
      <start>40</start>
      <end>42</end>
      <status>ignored</status>
      <modifiedWord/>
      <trackRevisions>false</trackRevisions>
    </reviewItem>
    <reviewItem>
      <errorID>44e0b9b1-d11a-49c2-b802-a7900f0112d1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3DE0E517</paraID>
      <start>51</start>
      <end>52</end>
      <status>ignored</status>
      <modifiedWord/>
      <trackRevisions>false</trackRevisions>
    </reviewItem>
    <reviewItem>
      <errorID>ffcdc9ca-25d5-4b95-b171-f0504118985b</errorID>
      <errorWord>兰色</errorWord>
      <group>L1_Word</group>
      <groupName>字词问题</groupName>
      <ability>L2_Typo</ability>
      <abilityName>字词错误</abilityName>
      <candidateList>
        <item>蓝色</item>
      </candidateList>
      <explain/>
      <paraID>  DD2138</paraID>
      <start>11</start>
      <end>15</end>
      <status>modified</status>
      <modifiedWord>蓝色</modifiedWord>
      <trackRevisions>true</trackRevisions>
    </reviewItem>
    <reviewItem>
      <errorID>aa4c7d5d-fc75-4b64-b169-a2e43ceeb5fa</errorID>
      <errorWord>(</errorWord>
      <group>L1_Format</group>
      <groupName>格式问题</groupName>
      <ability>L2_HalfPunc_CN</ability>
      <abilityName>全半角问题</abilityName>
      <candidateList>
        <item>（</item>
      </candidateList>
      <explain>文本全半角错误。</explain>
      <paraID>  DD2138</paraID>
      <start>19</start>
      <end>21</end>
      <status>modified</status>
      <modifiedWord>（</modifiedWord>
      <trackRevisions>true</trackRevisions>
    </reviewItem>
    <reviewItem>
      <errorID>de0820e3-61e4-4350-8ad7-cc49823a49a3</errorID>
      <errorWord>)</errorWord>
      <group>L1_Format</group>
      <groupName>格式问题</groupName>
      <ability>L2_HalfPunc_CN</ability>
      <abilityName>全半角问题</abilityName>
      <candidateList>
        <item>）</item>
      </candidateList>
      <explain>文本全半角错误。</explain>
      <paraID>462AF667</paraID>
      <start>30</start>
      <end>32</end>
      <status>modified</status>
      <modifiedWord>）</modifiedWord>
      <trackRevisions>true</trackRevisions>
    </reviewItem>
    <reviewItem>
      <errorID>11db636c-e651-431d-a6f5-3b4e6dac7d4f</errorID>
      <errorWord>)</errorWord>
      <group>L1_Format</group>
      <groupName>格式问题</groupName>
      <ability>L2_HalfPunc_CN</ability>
      <abilityName>全半角问题</abilityName>
      <candidateList>
        <item>）</item>
      </candidateList>
      <explain>文本全半角错误。</explain>
      <paraID>4F027124</paraID>
      <start>25</start>
      <end>27</end>
      <status>modified</status>
      <modifiedWord>）</modifiedWord>
      <trackRevisions>true</trackRevisions>
    </reviewItem>
    <reviewItem>
      <errorID>8d248323-b575-44af-83b2-3aa68243966f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2DD71E9C</paraID>
      <start>8</start>
      <end>9</end>
      <status>ignored</status>
      <modifiedWord/>
      <trackRevisions>false</trackRevisions>
    </reviewItem>
    <reviewItem>
      <errorID>4c0df54e-b7a5-4507-9c8d-251990b29a5f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2F14CEF2</paraID>
      <start>8</start>
      <end>9</end>
      <status>ignored</status>
      <modifiedWord/>
      <trackRevisions>false</trackRevisions>
    </reviewItem>
    <reviewItem>
      <errorID>634ace53-472a-4615-b44a-f12ee30473f9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6122F8C5</paraID>
      <start>7</start>
      <end>8</end>
      <status>ignored</status>
      <modifiedWord/>
      <trackRevisions>false</trackRevisions>
    </reviewItem>
    <reviewItem>
      <errorID>f65d93b0-319d-4378-ae85-474fb3171bc2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7294390</paraID>
      <start>7</start>
      <end>8</end>
      <status>ignored</status>
      <modifiedWord/>
      <trackRevisions>false</trackRevisions>
    </reviewItem>
    <reviewItem>
      <errorID>c6ba1068-0c31-444f-85e4-82b4216bff1d</errorID>
      <errorWord>半付</errorWord>
      <group>L1_Word</group>
      <groupName>字词问题</groupName>
      <ability>L2_Typo</ability>
      <abilityName>字词错误</abilityName>
      <candidateList>
        <item>半幅</item>
      </candidateList>
      <explain>存在发音相同字词的误用。</explain>
      <paraID>4300ECF8</paraID>
      <start>15</start>
      <end>17</end>
      <status>ignored</status>
      <modifiedWord/>
      <trackRevisions>false</trackRevisions>
    </reviewItem>
    <reviewItem>
      <errorID>aac62efa-7482-4263-bd62-5021d0a02c72</errorID>
      <errorWord>市场监督总局</errorWord>
      <group>L1_Political</group>
      <groupName>政治性问题</groupName>
      <ability>L2_Unpolitical</ability>
      <abilityName>政治敏感错误</abilityName>
      <candidateList>
        <item>市场监管总局</item>
      </candidateList>
      <explain/>
      <paraID>158FCC99</paraID>
      <start>107</start>
      <end>119</end>
      <status>modified</status>
      <modifiedWord>市场监管总局</modifiedWord>
      <trackRevisions>true</trackRevisions>
    </reviewItem>
    <reviewItem>
      <errorID>6a52db48-0d00-474d-95a4-603ec7ed24af</errorID>
      <errorWord>~</errorWord>
      <group>L1_Format</group>
      <groupName>格式问题</groupName>
      <ability>L2_HalfPunc_CN</ability>
      <abilityName>全半角问题</abilityName>
      <candidateList>
        <item>～</item>
      </candidateList>
      <explain>文本全半角错误。</explain>
      <paraID> 7CED5A5</paraID>
      <start>33</start>
      <end>35</end>
      <status>modified</status>
      <modifiedWord>～</modifiedWord>
      <trackRevisions>true</trackRevisions>
    </reviewItem>
    <reviewItem>
      <errorID>4eaf15fc-4905-42ed-9cad-b46b51c96382</errorID>
      <errorWord>~</errorWord>
      <group>L1_Format</group>
      <groupName>格式问题</groupName>
      <ability>L2_HalfPunc_CN</ability>
      <abilityName>全半角问题</abilityName>
      <candidateList>
        <item>～</item>
      </candidateList>
      <explain>文本全半角错误。</explain>
      <paraID> 7CED5A5</paraID>
      <start>118</start>
      <end>120</end>
      <status>modified</status>
      <modifiedWord>～</modifiedWord>
      <trackRevisions>true</trackRevisions>
    </reviewItem>
    <reviewItem>
      <errorID>6ba132e1-8445-4fe0-a60f-42dda3f63b40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115B561D</paraID>
      <start>20</start>
      <end>21</end>
      <status>ignored</status>
      <modifiedWord/>
      <trackRevisions>false</trackRevisions>
    </reviewItem>
    <reviewItem>
      <errorID>944f5efc-dda3-4887-affc-65c5b2bb3a67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5C365777</paraID>
      <start>9</start>
      <end>10</end>
      <status>ignored</status>
      <modifiedWord/>
      <trackRevisions>false</trackRevisions>
    </reviewItem>
    <reviewItem>
      <errorID>8e098760-04a1-4ae2-adb0-93ab61bd4bc3</errorID>
      <errorWord>(</errorWord>
      <group>L1_Format</group>
      <groupName>格式问题</groupName>
      <ability>L2_HalfPunc_CN</ability>
      <abilityName>全半角问题</abilityName>
      <candidateList>
        <item>（</item>
      </candidateList>
      <explain>文本全半角错误。</explain>
      <paraID>5F6327DC</paraID>
      <start>5</start>
      <end>7</end>
      <status>modified</status>
      <modifiedWord>（</modifiedWord>
      <trackRevisions>true</trackRevisions>
    </reviewItem>
    <reviewItem>
      <errorID>af184145-4925-427e-b7c9-926705c2383c</errorID>
      <errorWord>)</errorWord>
      <group>L1_Format</group>
      <groupName>格式问题</groupName>
      <ability>L2_HalfPunc_CN</ability>
      <abilityName>全半角问题</abilityName>
      <candidateList>
        <item>）</item>
      </candidateList>
      <explain>文本全半角错误。</explain>
      <paraID>5F6327DC</paraID>
      <start>8</start>
      <end>10</end>
      <status>modified</status>
      <modifiedWord>）</modifiedWord>
      <trackRevisions>true</trackRevisions>
    </reviewItem>
    <reviewItem>
      <errorID>9dd3cb5c-cd27-4627-bf07-9f038623b270</errorID>
      <errorWord>平米</errorWord>
      <group>L1_Word</group>
      <groupName>字词问题</groupName>
      <ability>L2_Typo</ability>
      <abilityName>字词错误</abilityName>
      <candidateList>
        <item>平方米</item>
      </candidateList>
      <explain/>
      <paraID>7D538A26</paraID>
      <start>0</start>
      <end>2</end>
      <status>ignored</status>
      <modifiedWord/>
      <trackRevisions>false</trackRevisions>
    </reviewItem>
    <reviewItem>
      <errorID>0d743f0a-0140-4819-bb21-fc6e477fd81c</errorID>
      <errorWord>:</errorWord>
      <group>L1_Format</group>
      <groupName>格式问题</groupName>
      <ability>L2_HalfPunc_CN</ability>
      <abilityName>全半角问题</abilityName>
      <candidateList>
        <item>：</item>
      </candidateList>
      <explain>文本全半角错误。</explain>
      <paraID>4191D8E7</paraID>
      <start>6</start>
      <end>8</end>
      <status>modified</status>
      <modifiedWord>：</modifiedWord>
      <trackRevisions>true</trackRevisions>
    </reviewItem>
    <reviewItem>
      <errorID>0bc55476-1955-4f3b-80ef-c7d4a072fa1f</errorID>
      <errorWord>20%~50%</errorWord>
      <group>L1_Knowledge</group>
      <groupName>知识性问题</groupName>
      <ability>L2_Knowledge</ability>
      <abilityName>其他知识</abilityName>
      <candidateList>
        <item>20%～50%</item>
      </candidateList>
      <explain>1. “20%~50%”中的单位“%”仅出现在后一个数字上，容易引起歧义；根据《现代汉语标点符号数字用法规范手册》，数字表示范围两边需要使用统一的格式。2.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4191D8E7</paraID>
      <start>8</start>
      <end>22</end>
      <status>modified</status>
      <modifiedWord>20%～50%</modifiedWord>
      <trackRevisions>true</trackRevisions>
    </reviewItem>
    <reviewItem>
      <errorID>c94d9ba3-5252-4d66-8822-50c439163249</errorID>
      <errorWord>(</errorWord>
      <group>L1_Format</group>
      <groupName>格式问题</groupName>
      <ability>L2_HalfPunc_CN</ability>
      <abilityName>全半角问题</abilityName>
      <candidateList>
        <item>（</item>
      </candidateList>
      <explain>文本全半角错误。</explain>
      <paraID>4191D8E7</paraID>
      <start>92</start>
      <end>94</end>
      <status>modified</status>
      <modifiedWord>（</modifiedWord>
      <trackRevisions>true</trackRevisions>
    </reviewItem>
    <reviewItem>
      <errorID>6551f0bb-ba40-4ec5-8fa2-da80dbe69455</errorID>
      <errorWord>)</errorWord>
      <group>L1_Format</group>
      <groupName>格式问题</groupName>
      <ability>L2_HalfPunc_CN</ability>
      <abilityName>全半角问题</abilityName>
      <candidateList>
        <item>）</item>
      </candidateList>
      <explain>文本全半角错误。</explain>
      <paraID>4191D8E7</paraID>
      <start>96</start>
      <end>98</end>
      <status>modified</status>
      <modifiedWord>）</modifiedWord>
      <trackRevisions>true</trackRevisions>
    </reviewItem>
    <reviewItem>
      <errorID>fac36ebf-9e97-4678-a64e-b6a57d9b49e1</errorID>
      <errorWord>(</errorWord>
      <group>L1_Format</group>
      <groupName>格式问题</groupName>
      <ability>L2_HalfPunc_CN</ability>
      <abilityName>全半角问题</abilityName>
      <candidateList>
        <item>（</item>
      </candidateList>
      <explain>文本全半角错误。</explain>
      <paraID>58518889</paraID>
      <start>9</start>
      <end>11</end>
      <status>modified</status>
      <modifiedWord>（</modifiedWord>
      <trackRevisions>true</trackRevisions>
    </reviewItem>
    <reviewItem>
      <errorID>603807b0-65e1-4d69-b7d7-314928375cb8</errorID>
      <errorWord>)</errorWord>
      <group>L1_Format</group>
      <groupName>格式问题</groupName>
      <ability>L2_HalfPunc_CN</ability>
      <abilityName>全半角问题</abilityName>
      <candidateList>
        <item>）</item>
      </candidateList>
      <explain>文本全半角错误。</explain>
      <paraID>58518889</paraID>
      <start>16</start>
      <end>18</end>
      <status>modified</status>
      <modifiedWord>）</modifiedWord>
      <trackRevisions>true</trackRevisions>
    </reviewItem>
    <reviewItem>
      <errorID>64a4e6b5-5f51-4d35-b440-395e09d9e8cd</errorID>
      <errorWord>(</errorWord>
      <group>L1_Format</group>
      <groupName>格式问题</groupName>
      <ability>L2_HalfPunc_CN</ability>
      <abilityName>全半角问题</abilityName>
      <candidateList>
        <item>（</item>
      </candidateList>
      <explain>文本全半角错误。</explain>
      <paraID>6B38E14D</paraID>
      <start>10</start>
      <end>12</end>
      <status>modified</status>
      <modifiedWord>（</modifiedWord>
      <trackRevisions>true</trackRevisions>
    </reviewItem>
    <reviewItem>
      <errorID>72153f78-a8e0-4cd0-8042-4658da0b3821</errorID>
      <errorWord>)</errorWord>
      <group>L1_Format</group>
      <groupName>格式问题</groupName>
      <ability>L2_HalfPunc_CN</ability>
      <abilityName>全半角问题</abilityName>
      <candidateList>
        <item>）</item>
      </candidateList>
      <explain>文本全半角错误。</explain>
      <paraID>6B38E14D</paraID>
      <start>19</start>
      <end>21</end>
      <status>modified</status>
      <modifiedWord>）</modifiedWord>
      <trackRevisions>true</trackRevisions>
    </reviewItem>
    <reviewItem>
      <errorID>7b95f05b-24ae-4fd6-90ed-20f781a8485e</errorID>
      <errorWord>(</errorWord>
      <group>L1_Format</group>
      <groupName>格式问题</groupName>
      <ability>L2_HalfPunc_CN</ability>
      <abilityName>全半角问题</abilityName>
      <candidateList>
        <item>（</item>
      </candidateList>
      <explain>文本全半角错误。</explain>
      <paraID>  282AC8</paraID>
      <start>13</start>
      <end>15</end>
      <status>modified</status>
      <modifiedWord>（</modifiedWord>
      <trackRevisions>true</trackRevisions>
    </reviewItem>
    <reviewItem>
      <errorID>4638b841-ea26-4f0c-8d49-a2c87fff7671</errorID>
      <errorWord>)</errorWord>
      <group>L1_Format</group>
      <groupName>格式问题</groupName>
      <ability>L2_HalfPunc_CN</ability>
      <abilityName>全半角问题</abilityName>
      <candidateList>
        <item>）</item>
      </candidateList>
      <explain>文本全半角错误。</explain>
      <paraID>  282AC8</paraID>
      <start>18</start>
      <end>20</end>
      <status>modified</status>
      <modifiedWord>）</modifiedWord>
      <trackRevisions>true</trackRevisions>
    </reviewItem>
    <reviewItem>
      <errorID>d7fbc288-e1cf-48f8-a098-c3588a48da23</errorID>
      <errorWord>计分牌</errorWord>
      <group>L1_Word</group>
      <groupName>字词问题</groupName>
      <ability>L2_Typo</ability>
      <abilityName>字词错误</abilityName>
      <candidateList>
        <item>记分牌</item>
      </candidateList>
      <explain/>
      <paraID>45EAC9B3</paraID>
      <start>3</start>
      <end>6</end>
      <status>ignored</status>
      <modifiedWord/>
      <trackRevisions>false</trackRevisions>
    </reviewItem>
    <reviewItem>
      <errorID>d52a975d-868a-4026-a921-44e5bd09c696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5155D162</paraID>
      <start>15</start>
      <end>16</end>
      <status>ignored</status>
      <modifiedWord/>
      <trackRevisions>false</trackRevisions>
    </reviewItem>
    <reviewItem>
      <errorID>4f99f7b5-1558-4010-9c21-bc7dce7f4ead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644E8C9E</paraID>
      <start>9</start>
      <end>10</end>
      <status>ignored</status>
      <modifiedWord/>
      <trackRevisions>false</trackRevisions>
    </reviewItem>
    <reviewItem>
      <errorID>3a0987df-86b3-4009-80ae-cdb3cd4f8a7e</errorID>
      <errorWord>,</errorWord>
      <group>L1_Format</group>
      <groupName>格式问题</groupName>
      <ability>L2_HalfPunc_CN</ability>
      <abilityName>全半角问题</abilityName>
      <candidateList>
        <item>，</item>
      </candidateList>
      <explain>文本全半角错误。</explain>
      <paraID>7C774B4E</paraID>
      <start>60</start>
      <end>62</end>
      <status>modified</status>
      <modifiedWord>，</modifiedWord>
      <trackRevisions>true</trackRevisions>
    </reviewItem>
    <reviewItem>
      <errorID>521e2ddb-40b4-44b9-a081-23e037a17631</errorID>
      <errorWord>有</errorWord>
      <group>L1_Word</group>
      <groupName>字词问题</groupName>
      <ability>L2_Typo</ability>
      <abilityName>字词错误</abilityName>
      <candidateList>
        <item>由</item>
      </candidateList>
      <explain>存在发音相同字词的误用。</explain>
      <paraID>46230598</paraID>
      <start>7</start>
      <end>9</end>
      <status>modified</status>
      <modifiedWord>由</modifiedWord>
      <trackRevisions>true</trackRevisions>
    </reviewItem>
    <reviewItem>
      <errorID>e3a7921a-5d64-4767-92b9-dd38413daa5f</errorID>
      <errorWord>,</errorWord>
      <group>L1_Format</group>
      <groupName>格式问题</groupName>
      <ability>L2_HalfPunc_CN</ability>
      <abilityName>全半角问题</abilityName>
      <candidateList>
        <item>，</item>
      </candidateList>
      <explain>文本全半角错误。</explain>
      <paraID>59AB62CE</paraID>
      <start>23</start>
      <end>25</end>
      <status>modified</status>
      <modifiedWord>，</modifiedWord>
      <trackRevisions>true</trackRevisions>
    </reviewItem>
    <reviewItem>
      <errorID>d230cc1f-6d58-4c07-bd35-d96f97e15a1a</errorID>
      <errorWord>)</errorWord>
      <group>L1_Format</group>
      <groupName>格式问题</groupName>
      <ability>L2_HalfPunc_CN</ability>
      <abilityName>全半角问题</abilityName>
      <candidateList>
        <item>）</item>
      </candidateList>
      <explain>文本全半角错误。</explain>
      <paraID> 62CC8F4</paraID>
      <start>22</start>
      <end>24</end>
      <status>modified</status>
      <modifiedWord>）</modifiedWord>
      <trackRevisions>true</trackRevisions>
    </reviewItem>
    <reviewItem>
      <errorID>195e2818-56c0-45c2-b233-da07afe161b1</errorID>
      <errorWord>杆</errorWord>
      <group>L1_Word</group>
      <groupName>字词问题</groupName>
      <ability>L2_Typo</ability>
      <abilityName>字词错误</abilityName>
      <candidateList>
        <item>秆</item>
      </candidateList>
      <explain/>
      <paraID>426EFE06</paraID>
      <start>39</start>
      <end>40</end>
      <status>ignored</status>
      <modifiedWord/>
      <trackRevisions>false</trackRevisions>
    </reviewItem>
    <reviewItem>
      <errorID>4ebfa874-d435-4cd1-b961-1a2b33c6a995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37140618</paraID>
      <start>12</start>
      <end>13</end>
      <status>ignored</status>
      <modifiedWord/>
      <trackRevisions>false</trackRevisions>
    </reviewItem>
    <reviewItem>
      <errorID>647a10df-66b9-4bbe-95f5-1b92cc54ec67</errorID>
      <errorWord>平米</errorWord>
      <group>L1_Word</group>
      <groupName>字词问题</groupName>
      <ability>L2_Typo</ability>
      <abilityName>字词错误</abilityName>
      <candidateList>
        <item>平方米</item>
      </candidateList>
      <explain/>
      <paraID>69596EE3</paraID>
      <start>0</start>
      <end>2</end>
      <status>ignored</status>
      <modifiedWord/>
      <trackRevisions>false</trackRevisions>
    </reviewItem>
    <reviewItem>
      <errorID>d3e1ec41-6462-44e8-801e-d422bda59e81</errorID>
      <errorWord>:</errorWord>
      <group>L1_Format</group>
      <groupName>格式问题</groupName>
      <ability>L2_HalfPunc_CN</ability>
      <abilityName>全半角问题</abilityName>
      <candidateList>
        <item>：</item>
      </candidateList>
      <explain>文本全半角错误。</explain>
      <paraID>41D0AB5E</paraID>
      <start>6</start>
      <end>8</end>
      <status>modified</status>
      <modifiedWord>：</modifiedWord>
      <trackRevisions>true</trackRevisions>
    </reviewItem>
    <reviewItem>
      <errorID>7bc5e0df-db6a-4a89-9ca3-0e1283206fee</errorID>
      <errorWord>20%~50%</errorWord>
      <group>L1_Knowledge</group>
      <groupName>知识性问题</groupName>
      <ability>L2_Knowledge</ability>
      <abilityName>其他知识</abilityName>
      <candidateList>
        <item>20%～50%</item>
      </candidateList>
      <explain>1. “20%~50%”中的单位“%”仅出现在后一个数字上，容易引起歧义；根据《现代汉语标点符号数字用法规范手册》，数字表示范围两边需要使用统一的格式。2.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41D0AB5E</paraID>
      <start>8</start>
      <end>22</end>
      <status>modified</status>
      <modifiedWord>20%～50%</modifiedWord>
      <trackRevisions>true</trackRevisions>
    </reviewItem>
    <reviewItem>
      <errorID>0cd68f34-6e7b-4ea3-8566-fa1d7df81e1e</errorID>
      <errorWord>(</errorWord>
      <group>L1_Format</group>
      <groupName>格式问题</groupName>
      <ability>L2_HalfPunc_CN</ability>
      <abilityName>全半角问题</abilityName>
      <candidateList>
        <item>（</item>
      </candidateList>
      <explain>文本全半角错误。</explain>
      <paraID>41D0AB5E</paraID>
      <start>92</start>
      <end>94</end>
      <status>modified</status>
      <modifiedWord>（</modifiedWord>
      <trackRevisions>true</trackRevisions>
    </reviewItem>
    <reviewItem>
      <errorID>236c909c-e268-425b-800e-a83042a6bbf3</errorID>
      <errorWord>)</errorWord>
      <group>L1_Format</group>
      <groupName>格式问题</groupName>
      <ability>L2_HalfPunc_CN</ability>
      <abilityName>全半角问题</abilityName>
      <candidateList>
        <item>）</item>
      </candidateList>
      <explain>文本全半角错误。</explain>
      <paraID>41D0AB5E</paraID>
      <start>96</start>
      <end>98</end>
      <status>modified</status>
      <modifiedWord>）</modifiedWord>
      <trackRevisions>true</trackRevisions>
    </reviewItem>
    <reviewItem>
      <errorID>312d829b-9cba-4b4e-b461-71e3e7075cc0</errorID>
      <errorWord>(</errorWord>
      <group>L1_Format</group>
      <groupName>格式问题</groupName>
      <ability>L2_HalfPunc_CN</ability>
      <abilityName>全半角问题</abilityName>
      <candidateList>
        <item>（</item>
      </candidateList>
      <explain>文本全半角错误。</explain>
      <paraID>42BBDAE5</paraID>
      <start>9</start>
      <end>11</end>
      <status>modified</status>
      <modifiedWord>（</modifiedWord>
      <trackRevisions>true</trackRevisions>
    </reviewItem>
    <reviewItem>
      <errorID>25d0f05c-2f90-4904-a036-0c6419ac35bb</errorID>
      <errorWord>)</errorWord>
      <group>L1_Format</group>
      <groupName>格式问题</groupName>
      <ability>L2_HalfPunc_CN</ability>
      <abilityName>全半角问题</abilityName>
      <candidateList>
        <item>）</item>
      </candidateList>
      <explain>文本全半角错误。</explain>
      <paraID>42BBDAE5</paraID>
      <start>16</start>
      <end>18</end>
      <status>modified</status>
      <modifiedWord>）</modifiedWord>
      <trackRevisions>true</trackRevisions>
    </reviewItem>
    <reviewItem>
      <errorID>95fb825c-e470-4c4f-9969-558b57a89285</errorID>
      <errorWord>(</errorWord>
      <group>L1_Format</group>
      <groupName>格式问题</groupName>
      <ability>L2_HalfPunc_CN</ability>
      <abilityName>全半角问题</abilityName>
      <candidateList>
        <item>（</item>
      </candidateList>
      <explain>文本全半角错误。</explain>
      <paraID>35705FAF</paraID>
      <start>10</start>
      <end>12</end>
      <status>modified</status>
      <modifiedWord>（</modifiedWord>
      <trackRevisions>true</trackRevisions>
    </reviewItem>
    <reviewItem>
      <errorID>3a1ae08d-f096-4d0b-8ef4-d2582c0e92a4</errorID>
      <errorWord>)</errorWord>
      <group>L1_Format</group>
      <groupName>格式问题</groupName>
      <ability>L2_HalfPunc_CN</ability>
      <abilityName>全半角问题</abilityName>
      <candidateList>
        <item>）</item>
      </candidateList>
      <explain>文本全半角错误。</explain>
      <paraID>35705FAF</paraID>
      <start>19</start>
      <end>21</end>
      <status>modified</status>
      <modifiedWord>）</modifiedWord>
      <trackRevisions>true</trackRevisions>
    </reviewItem>
    <reviewItem>
      <errorID>8dfe9b77-abdf-4dff-a518-887fda24e4bb</errorID>
      <errorWord>(</errorWord>
      <group>L1_Format</group>
      <groupName>格式问题</groupName>
      <ability>L2_HalfPunc_CN</ability>
      <abilityName>全半角问题</abilityName>
      <candidateList>
        <item>（</item>
      </candidateList>
      <explain>文本全半角错误。</explain>
      <paraID>33139777</paraID>
      <start>13</start>
      <end>15</end>
      <status>modified</status>
      <modifiedWord>（</modifiedWord>
      <trackRevisions>true</trackRevisions>
    </reviewItem>
    <reviewItem>
      <errorID>5b332f5b-d834-42fb-ac39-5e2688334f97</errorID>
      <errorWord>)</errorWord>
      <group>L1_Format</group>
      <groupName>格式问题</groupName>
      <ability>L2_HalfPunc_CN</ability>
      <abilityName>全半角问题</abilityName>
      <candidateList>
        <item>）</item>
      </candidateList>
      <explain>文本全半角错误。</explain>
      <paraID>33139777</paraID>
      <start>18</start>
      <end>20</end>
      <status>modified</status>
      <modifiedWord>）</modifiedWord>
      <trackRevisions>true</trackRevisions>
    </reviewItem>
    <reviewItem>
      <errorID>977b8b7d-3911-488b-8c89-586d115ab321</errorID>
      <errorWord>适适</errorWord>
      <group>L1_Word</group>
      <groupName>字词问题</groupName>
      <ability>L2_Typo</ability>
      <abilityName>字词错误</abilityName>
      <candidateList>
        <item>适</item>
      </candidateList>
      <explain/>
      <paraID>333284B2</paraID>
      <start>33</start>
      <end>36</end>
      <status>modified</status>
      <modifiedWord>适</modifiedWord>
      <trackRevisions>true</trackRevisions>
    </reviewItem>
    <reviewItem>
      <errorID>5d4c32f5-5db3-4a50-9510-e2cf84315c4f</errorID>
      <errorWord>,</errorWord>
      <group>L1_Format</group>
      <groupName>格式问题</groupName>
      <ability>L2_HalfPunc_CN</ability>
      <abilityName>全半角问题</abilityName>
      <candidateList>
        <item>，</item>
      </candidateList>
      <explain>文本全半角错误。</explain>
      <paraID>341975EF</paraID>
      <start>98</start>
      <end>100</end>
      <status>modified</status>
      <modifiedWord>，</modifiedWord>
      <trackRevisions>true</trackRevisions>
    </reviewItem>
    <reviewItem>
      <errorID>3777f363-4953-4fe9-b54d-72481a0e96c3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31BEBDD4</paraID>
      <start>61</start>
      <end>62</end>
      <status>ignored</status>
      <modifiedWord/>
      <trackRevisions>false</trackRevisions>
    </reviewItem>
    <reviewItem>
      <errorID>1f9b7550-4c9d-4024-ba05-4e3e96e0eee5</errorID>
      <errorWord>无极</errorWord>
      <group>L1_Word</group>
      <groupName>字词问题</groupName>
      <ability>L2_Typo</ability>
      <abilityName>字词错误</abilityName>
      <candidateList>
        <item>无级</item>
      </candidateList>
      <explain>存在发音相同字词的误用。</explain>
      <paraID>7DB7E781</paraID>
      <start>13</start>
      <end>15</end>
      <status>ignored</status>
      <modifiedWord/>
      <trackRevisions>false</trackRevisions>
    </reviewItem>
    <reviewItem>
      <errorID>272345e1-bba4-4fa4-8ce7-c99c5f89b237</errorID>
      <errorWord>)</errorWord>
      <group>L1_Format</group>
      <groupName>格式问题</groupName>
      <ability>L2_HalfPunc_CN</ability>
      <abilityName>全半角问题</abilityName>
      <candidateList>
        <item>）</item>
      </candidateList>
      <explain>文本全半角错误。</explain>
      <paraID>1E28248E</paraID>
      <start>31</start>
      <end>33</end>
      <status>modified</status>
      <modifiedWord>）</modifiedWord>
      <trackRevisions>true</trackRevisions>
    </reviewItem>
    <reviewItem>
      <errorID>ea96e089-43b6-413c-8d94-ff7daceea541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416D5CA0</paraID>
      <start>14</start>
      <end>15</end>
      <status>ignored</status>
      <modifiedWord/>
      <trackRevisions>false</trackRevisions>
    </reviewItem>
    <reviewItem>
      <errorID>a6ef5d2f-a2c1-4b44-893a-07492e07488d</errorID>
      <errorWord>外挂</errorWord>
      <group>L1_Sensitive</group>
      <groupName>敏感问题</groupName>
      <ability>L2_Prohibited</ability>
      <abilityName>违禁内容</abilityName>
      <candidateList/>
      <explain>【违禁内容】句中涉及国家法律明令禁止的违禁内容，请注意甄别。</explain>
      <paraID>55919D12</paraID>
      <start>8</start>
      <end>10</end>
      <status>ignored</status>
      <modifiedWord/>
      <trackRevisions>false</trackRevisions>
    </reviewItem>
    <reviewItem>
      <errorID>71a47a25-11a2-4586-b4a3-07af4df481f4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55919D12</paraID>
      <start>40</start>
      <end>41</end>
      <status>ignored</status>
      <modifiedWord/>
      <trackRevisions>false</trackRevisions>
    </reviewItem>
    <reviewItem>
      <errorID>fe8a3a48-ab45-4331-977b-221ecb636682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512A3DB</paraID>
      <start>19</start>
      <end>20</end>
      <status>ignored</status>
      <modifiedWord/>
      <trackRevisions>false</trackRevisions>
    </reviewItem>
    <reviewItem>
      <errorID>9da2c348-1e69-486a-87df-3f90acd32423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19DE0E15</paraID>
      <start>27</start>
      <end>28</end>
      <status>ignored</status>
      <modifiedWord/>
      <trackRevisions>false</trackRevisions>
    </reviewItem>
    <reviewItem>
      <errorID>b36bc0ef-b79e-41fc-90f7-24de70c906c5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50F10057</paraID>
      <start>18</start>
      <end>19</end>
      <status>ignored</status>
      <modifiedWord/>
      <trackRevisions>false</trackRevisions>
    </reviewItem>
    <reviewItem>
      <errorID>e6421823-ca00-4d4e-b844-cfb082ba2889</errorID>
      <errorWord>托</errorWord>
      <group>L1_Word</group>
      <groupName>字词问题</groupName>
      <ability>L2_Typo</ability>
      <abilityName>字词错误</abilityName>
      <candidateList>
        <item>托车</item>
      </candidateList>
      <explain/>
      <paraID>4D7AD0B8</paraID>
      <start>14</start>
      <end>15</end>
      <status>ignored</status>
      <modifiedWord/>
      <trackRevisions>false</trackRevisions>
    </reviewItem>
    <reviewItem>
      <errorID>6c70e916-6667-4b56-a1cb-1b93f0c3ff7a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392B669C</paraID>
      <start>7</start>
      <end>8</end>
      <status>ignored</status>
      <modifiedWord/>
      <trackRevisions>false</trackRevisions>
    </reviewItem>
    <reviewItem>
      <errorID>bb949c3f-ef62-400a-9c1f-51c13a4ba2d8</errorID>
      <errorWord>,</errorWord>
      <group>L1_Format</group>
      <groupName>格式问题</groupName>
      <ability>L2_HalfPunc_CN</ability>
      <abilityName>全半角问题</abilityName>
      <candidateList>
        <item>，</item>
      </candidateList>
      <explain>文本全半角错误。</explain>
      <paraID>3BB970B9</paraID>
      <start>13</start>
      <end>15</end>
      <status>modified</status>
      <modifiedWord>，</modifiedWord>
      <trackRevisions>true</trackRevisions>
    </reviewItem>
    <reviewItem>
      <errorID>8f3d3cd7-4d17-41f1-b43d-745d5de77676</errorID>
      <errorWord>市场监督总局</errorWord>
      <group>L1_Political</group>
      <groupName>政治性问题</groupName>
      <ability>L2_Unpolitical</ability>
      <abilityName>政治敏感错误</abilityName>
      <candidateList>
        <item>市场监管总局</item>
      </candidateList>
      <explain/>
      <paraID> B3CACC6</paraID>
      <start>126</start>
      <end>138</end>
      <status>modified</status>
      <modifiedWord>市场监管总局</modifiedWord>
      <trackRevisions>true</trackRevisions>
    </reviewItem>
    <reviewItem>
      <errorID>0e05eb8e-a52d-4572-8f99-a3a0c187d6cc</errorID>
      <errorWord>,</errorWord>
      <group>L1_Format</group>
      <groupName>格式问题</groupName>
      <ability>L2_HalfPunc_CN</ability>
      <abilityName>全半角问题</abilityName>
      <candidateList>
        <item>，</item>
      </candidateList>
      <explain>文本全半角错误。</explain>
      <paraID>7C7A6528</paraID>
      <start>12</start>
      <end>14</end>
      <status>modified</status>
      <modifiedWord>，</modifiedWord>
      <trackRevisions>true</trackRevisions>
    </reviewItem>
    <reviewItem>
      <errorID>c03083fa-04b3-497f-9d26-97ea8f7a6c67</errorID>
      <errorWord>市场监督总局</errorWord>
      <group>L1_Political</group>
      <groupName>政治性问题</groupName>
      <ability>L2_Unpolitical</ability>
      <abilityName>政治敏感错误</abilityName>
      <candidateList>
        <item>市场监管总局</item>
      </candidateList>
      <explain/>
      <paraID>16A26D79</paraID>
      <start>77</start>
      <end>89</end>
      <status>modified</status>
      <modifiedWord>市场监管总局</modifiedWord>
      <trackRevisions>true</trackRevisions>
    </reviewItem>
    <reviewItem>
      <errorID>af56661e-ebd4-4614-b72b-c6ef1c9ea3e9</errorID>
      <errorWord>,</errorWord>
      <group>L1_Format</group>
      <groupName>格式问题</groupName>
      <ability>L2_HalfPunc_CN</ability>
      <abilityName>全半角问题</abilityName>
      <candidateList>
        <item>，</item>
      </candidateList>
      <explain>文本全半角错误。</explain>
      <paraID>5B10F5F6</paraID>
      <start>12</start>
      <end>14</end>
      <status>modified</status>
      <modifiedWord>，</modifiedWord>
      <trackRevisions>true</trackRevisions>
    </reviewItem>
    <reviewItem>
      <errorID>b071a382-e9e4-44da-bb8c-3ffcf5f7971f</errorID>
      <errorWord>,</errorWord>
      <group>L1_Format</group>
      <groupName>格式问题</groupName>
      <ability>L2_HalfPunc_CN</ability>
      <abilityName>全半角问题</abilityName>
      <candidateList>
        <item>，</item>
      </candidateList>
      <explain>文本全半角错误。</explain>
      <paraID>25CFE7AE</paraID>
      <start>12</start>
      <end>14</end>
      <status>modified</status>
      <modifiedWord>，</modifiedWord>
      <trackRevisions>true</trackRevisions>
    </reviewItem>
    <reviewItem>
      <errorID>94633d04-3aa1-4401-a424-075221da62b7</errorID>
      <errorWord>,</errorWord>
      <group>L1_Format</group>
      <groupName>格式问题</groupName>
      <ability>L2_HalfPunc_CN</ability>
      <abilityName>全半角问题</abilityName>
      <candidateList>
        <item>，</item>
      </candidateList>
      <explain>文本全半角错误。</explain>
      <paraID>25CFE7AE</paraID>
      <start>24</start>
      <end>26</end>
      <status>modified</status>
      <modifiedWord>，</modifiedWord>
      <trackRevisions>true</trackRevisions>
    </reviewItem>
    <reviewItem>
      <errorID>301f3b8b-be31-408b-b7f5-a0eff43b5d39</errorID>
      <errorWord>,</errorWord>
      <group>L1_Format</group>
      <groupName>格式问题</groupName>
      <ability>L2_HalfPunc_CN</ability>
      <abilityName>全半角问题</abilityName>
      <candidateList>
        <item>，</item>
      </candidateList>
      <explain>文本全半角错误。</explain>
      <paraID>2F4529CB</paraID>
      <start>13</start>
      <end>15</end>
      <status>modified</status>
      <modifiedWord>，</modifiedWord>
      <trackRevisions>true</trackRevisions>
    </reviewItem>
    <reviewItem>
      <errorID>eb9f904a-2882-464f-96ce-f14a7c92f5da</errorID>
      <errorWord>,</errorWord>
      <group>L1_Format</group>
      <groupName>格式问题</groupName>
      <ability>L2_HalfPunc_CN</ability>
      <abilityName>全半角问题</abilityName>
      <candidateList>
        <item>，</item>
      </candidateList>
      <explain>文本全半角错误。</explain>
      <paraID>2F4529CB</paraID>
      <start>26</start>
      <end>28</end>
      <status>modified</status>
      <modifiedWord>，</modifiedWord>
      <trackRevisions>true</trackRevisions>
    </reviewItem>
    <reviewItem>
      <errorID>5fab947f-9dd0-44d7-85ad-dca396bad1a9</errorID>
      <errorWord>)</errorWord>
      <group>L1_Format</group>
      <groupName>格式问题</groupName>
      <ability>L2_HalfPunc_CN</ability>
      <abilityName>全半角问题</abilityName>
      <candidateList>
        <item>）</item>
      </candidateList>
      <explain>文本全半角错误。</explain>
      <paraID>265E825B</paraID>
      <start>58</start>
      <end>60</end>
      <status>modified</status>
      <modifiedWord>）</modifiedWord>
      <trackRevisions>true</trackRevisions>
    </reviewItem>
    <reviewItem>
      <errorID>bc78934a-44cb-43a2-b41f-c314be37999d</errorID>
      <errorWord>)</errorWord>
      <group>L1_Format</group>
      <groupName>格式问题</groupName>
      <ability>L2_HalfPunc_CN</ability>
      <abilityName>全半角问题</abilityName>
      <candidateList>
        <item>）</item>
      </candidateList>
      <explain>文本全半角错误。</explain>
      <paraID>12BBA3A5</paraID>
      <start>18</start>
      <end>20</end>
      <status>modified</status>
      <modifiedWord>）</modifiedWord>
      <trackRevisions>true</trackRevisions>
    </reviewItem>
    <reviewItem>
      <errorID>61d35216-699f-4158-9fe7-99c4f285b438</errorID>
      <errorWord>:</errorWord>
      <group>L1_Format</group>
      <groupName>格式问题</groupName>
      <ability>L2_HalfPunc_CN</ability>
      <abilityName>全半角问题</abilityName>
      <candidateList>
        <item>：</item>
      </candidateList>
      <explain>文本全半角错误。</explain>
      <paraID>12B0F9FC</paraID>
      <start>13</start>
      <end>15</end>
      <status>modified</status>
      <modifiedWord>：</modifiedWord>
      <trackRevisions>true</trackRevisions>
    </reviewItem>
    <reviewItem>
      <errorID>085876e3-81c7-43ea-b6ed-9dacce5d2507</errorID>
      <errorWord>与</errorWord>
      <group>L1_Word</group>
      <groupName>字词问题</groupName>
      <ability>L2_Typo</ability>
      <abilityName>字词错误</abilityName>
      <candidateList>
        <item>于</item>
      </candidateList>
      <explain/>
      <paraID>3F0A8F09</paraID>
      <start>51</start>
      <end>53</end>
      <status>modified</status>
      <modifiedWord>于</modifiedWord>
      <trackRevisions>true</trackRevisions>
    </reviewItem>
    <reviewItem>
      <errorID>64d3a353-d171-45dc-955e-68468ed96898</errorID>
      <errorWord>:</errorWord>
      <group>L1_Format</group>
      <groupName>格式问题</groupName>
      <ability>L2_HalfPunc_CN</ability>
      <abilityName>全半角问题</abilityName>
      <candidateList>
        <item>：</item>
      </candidateList>
      <explain>文本全半角错误。</explain>
      <paraID> 718ECCE</paraID>
      <start>8</start>
      <end>10</end>
      <status>modified</status>
      <modifiedWord>：</modifiedWord>
      <trackRevisions>true</trackRevisions>
    </reviewItem>
    <reviewItem>
      <errorID>abbb3945-fe6e-4c73-b149-ae810fb932f1</errorID>
      <errorWord>20%-85%</errorWord>
      <group>L1_Knowledge</group>
      <groupName>知识性问题</groupName>
      <ability>L2_Knowledge</ability>
      <abilityName>其他知识</abilityName>
      <candidateList>
        <item>20%—85%</item>
      </candidateList>
      <explain>1. “20%-85%”中的单位“%”仅出现在后一个数字上，容易引起歧义；根据《现代汉语标点符号数字用法规范手册》，数字表示范围两边需要使用统一的格式。2. 根据标点国标 4.13 中的规则，数字、时间或地域连接符应使用（视觉上更长的）“—”或“～”。</explain>
      <paraID> 718ECCE</paraID>
      <start>22</start>
      <end>29</end>
      <status>ignored</status>
      <modifiedWord/>
      <trackRevisions>false</trackRevisions>
    </reviewItem>
    <reviewItem>
      <errorID>0f712650-2e81-4da6-b3cd-704d29da5502</errorID>
      <errorWord>:</errorWord>
      <group>L1_Format</group>
      <groupName>格式问题</groupName>
      <ability>L2_HalfPunc_CN</ability>
      <abilityName>全半角问题</abilityName>
      <candidateList>
        <item>：</item>
      </candidateList>
      <explain>文本全半角错误。</explain>
      <paraID>62414698</paraID>
      <start>7</start>
      <end>9</end>
      <status>modified</status>
      <modifiedWord>：</modifiedWord>
      <trackRevisions>true</trackRevisions>
    </reviewItem>
    <reviewItem>
      <errorID>820d1009-b78f-4f44-bade-515b8f5b5d4e</errorID>
      <errorWord>HZ</errorWord>
      <group>L1_Word</group>
      <groupName>字词问题</groupName>
      <ability>L2_Typo</ability>
      <abilityName>字词错误</abilityName>
      <candidateList>
        <item>Hz</item>
      </candidateList>
      <explain/>
      <paraID>62414698</paraID>
      <start>17</start>
      <end>19</end>
      <status>ignored</status>
      <modifiedWord/>
      <trackRevisions>false</trackRevisions>
    </reviewItem>
    <reviewItem>
      <errorID>4168161d-62f2-42e9-95a2-26492aec1be2</errorID>
      <errorWord>:</errorWord>
      <group>L1_Format</group>
      <groupName>格式问题</groupName>
      <ability>L2_HalfPunc_CN</ability>
      <abilityName>全半角问题</abilityName>
      <candidateList>
        <item>：</item>
      </candidateList>
      <explain>文本全半角错误。</explain>
      <paraID>62414698</paraID>
      <start>24</start>
      <end>26</end>
      <status>modified</status>
      <modifiedWord>：</modifiedWord>
      <trackRevisions>true</trackRevisions>
    </reviewItem>
    <reviewItem>
      <errorID>7c43ec45-922f-4632-b556-0642a2eb748c</errorID>
      <errorWord>:</errorWord>
      <group>L1_Format</group>
      <groupName>格式问题</groupName>
      <ability>L2_HalfPunc_CN</ability>
      <abilityName>全半角问题</abilityName>
      <candidateList>
        <item>：</item>
      </candidateList>
      <explain>文本全半角错误。</explain>
      <paraID>7D3E120D</paraID>
      <start>7</start>
      <end>9</end>
      <status>modified</status>
      <modifiedWord>：</modifiedWord>
      <trackRevisions>true</trackRevisions>
    </reviewItem>
    <reviewItem>
      <errorID>92a9e1cc-e645-458b-a0da-da6e511d2e82</errorID>
      <errorWord>:</errorWord>
      <group>L1_Format</group>
      <groupName>格式问题</groupName>
      <ability>L2_HalfPunc_CN</ability>
      <abilityName>全半角问题</abilityName>
      <candidateList>
        <item>：</item>
      </candidateList>
      <explain>文本全半角错误。</explain>
      <paraID>61EAF774</paraID>
      <start>13</start>
      <end>15</end>
      <status>modified</status>
      <modifiedWord>：</modifiedWord>
      <trackRevisions>true</trackRevisions>
    </reviewItem>
    <reviewItem>
      <errorID>e39c6852-0529-4aab-93ed-e559ec6253ba</errorID>
      <errorWord>:</errorWord>
      <group>L1_Format</group>
      <groupName>格式问题</groupName>
      <ability>L2_HalfPunc_CN</ability>
      <abilityName>全半角问题</abilityName>
      <candidateList>
        <item>：</item>
      </candidateList>
      <explain>文本全半角错误。</explain>
      <paraID> E240538</paraID>
      <start>6</start>
      <end>8</end>
      <status>modified</status>
      <modifiedWord>：</modifiedWord>
      <trackRevisions>true</trackRevisions>
    </reviewItem>
    <reviewItem>
      <errorID>725a2567-8112-4f37-b2ac-f609b0eb63d7</errorID>
      <errorWord>与</errorWord>
      <group>L1_Word</group>
      <groupName>字词问题</groupName>
      <ability>L2_Typo</ability>
      <abilityName>字词错误</abilityName>
      <candidateList>
        <item>于</item>
      </candidateList>
      <explain/>
      <paraID>7D59AD06</paraID>
      <start>50</start>
      <end>52</end>
      <status>modified</status>
      <modifiedWord>于</modifiedWord>
      <trackRevisions>true</trackRevisions>
    </reviewItem>
    <reviewItem>
      <errorID>4a53617a-6b42-4131-a625-5042761a7d52</errorID>
      <errorWord>20%-85%</errorWord>
      <group>L1_Knowledge</group>
      <groupName>知识性问题</groupName>
      <ability>L2_Knowledge</ability>
      <abilityName>其他知识</abilityName>
      <candidateList>
        <item>20%—85%</item>
      </candidateList>
      <explain>1. “20%-85%”中的单位“%”仅出现在后一个数字上，容易引起歧义；根据《现代汉语标点符号数字用法规范手册》，数字表示范围两边需要使用统一的格式。2. 根据标点国标 4.13 中的规则，数字、时间或地域连接符应使用（视觉上更长的）“—”或“～”。</explain>
      <paraID>77422C79</paraID>
      <start>21</start>
      <end>28</end>
      <status>ignored</status>
      <modifiedWord/>
      <trackRevisions>false</trackRevisions>
    </reviewItem>
    <reviewItem>
      <errorID>4a807af5-d99e-41dc-95cb-a299f67a0d28</errorID>
      <errorWord>HZ</errorWord>
      <group>L1_Word</group>
      <groupName>字词问题</groupName>
      <ability>L2_Typo</ability>
      <abilityName>字词错误</abilityName>
      <candidateList>
        <item>Hz</item>
      </candidateList>
      <explain/>
      <paraID>40B118B1</paraID>
      <start>16</start>
      <end>18</end>
      <status>ignored</status>
      <modifiedWord/>
      <trackRevisions>false</trackRevisions>
    </reviewItem>
    <reviewItem>
      <errorID>68dbd5fe-ab7d-4e9b-9536-f04379d5a0e5</errorID>
      <errorWord>:</errorWord>
      <group>L1_Format</group>
      <groupName>格式问题</groupName>
      <ability>L2_HalfPunc_CN</ability>
      <abilityName>全半角问题</abilityName>
      <candidateList>
        <item>：</item>
      </candidateList>
      <explain>文本全半角错误。</explain>
      <paraID>40B118B1</paraID>
      <start>23</start>
      <end>25</end>
      <status>modified</status>
      <modifiedWord>：</modifiedWord>
      <trackRevisions>true</trackRevisions>
    </reviewItem>
    <reviewItem>
      <errorID>73fbbf08-0214-431e-a0af-dab9099d56a1</errorID>
      <errorWord>、也</errorWord>
      <group>L1_Punc</group>
      <groupName>标点问题</groupName>
      <ability>L2_Punc_CN</ability>
      <abilityName>标点符号问题</abilityName>
      <candidateList>
        <item>，也</item>
      </candidateList>
      <explain>连接词前后不宜使用顿号，建议使用逗号。</explain>
      <paraID> 96C1D65</paraID>
      <start>32</start>
      <end>34</end>
      <status>ignored</status>
      <modifiedWord/>
      <trackRevisions>false</trackRevisions>
    </reviewItem>
    <reviewItem>
      <errorID>e8ea89df-13b8-4a8d-bb92-be04cb3e3c29</errorID>
      <errorWord>、以及</errorWord>
      <group>L1_Punc</group>
      <groupName>标点问题</groupName>
      <ability>L2_Punc_CN</ability>
      <abilityName>标点符号问题</abilityName>
      <candidateList>
        <item>，以及</item>
      </candidateList>
      <explain>连接词前后不宜使用顿号，建议使用逗号。</explain>
      <paraID>4D15E7FA</paraID>
      <start>63</start>
      <end>66</end>
      <status>ignored</status>
      <modifiedWord/>
      <trackRevisions>false</trackRevisions>
    </reviewItem>
    <reviewItem>
      <errorID>6fbde92a-830f-4906-8e8c-ea40cb7a951a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F8DE64F</paraID>
      <start>59</start>
      <end>60</end>
      <status>ignored</status>
      <modifiedWord/>
      <trackRevisions>false</trackRevisions>
    </reviewItem>
    <reviewItem>
      <errorID>8c45b9ea-b5c1-4a58-a506-ce2de8f915ff</errorID>
      <errorWord>(</errorWord>
      <group>L1_Format</group>
      <groupName>格式问题</groupName>
      <ability>L2_HalfPunc_CN</ability>
      <abilityName>全半角问题</abilityName>
      <candidateList>
        <item>（</item>
      </candidateList>
      <explain>文本全半角错误。</explain>
      <paraID>3AD29418</paraID>
      <start>40</start>
      <end>42</end>
      <status>modified</status>
      <modifiedWord>（</modifiedWord>
      <trackRevisions>true</trackRevisions>
    </reviewItem>
    <reviewItem>
      <errorID>485d1334-9357-4043-89f5-d23b09602413</errorID>
      <errorWord>、以及</errorWord>
      <group>L1_Punc</group>
      <groupName>标点问题</groupName>
      <ability>L2_Punc_CN</ability>
      <abilityName>标点符号问题</abilityName>
      <candidateList>
        <item>，以及</item>
      </candidateList>
      <explain>连接词前后不宜使用顿号，建议使用逗号。</explain>
      <paraID>75372B62</paraID>
      <start>36</start>
      <end>39</end>
      <status>ignored</status>
      <modifiedWord/>
      <trackRevisions>false</trackRevisions>
    </reviewItem>
    <reviewItem>
      <errorID>0bb82fa8-80a8-4fef-a2b4-56d86b99e667</errorID>
      <errorWord>、也</errorWord>
      <group>L1_Punc</group>
      <groupName>标点问题</groupName>
      <ability>L2_Punc_CN</ability>
      <abilityName>标点符号问题</abilityName>
      <candidateList>
        <item>，也</item>
      </candidateList>
      <explain>连接词前后不宜使用顿号，建议使用逗号。</explain>
      <paraID>7D75FB3B</paraID>
      <start>35</start>
      <end>37</end>
      <status>ignored</status>
      <modifiedWord/>
      <trackRevisions>false</trackRevisions>
    </reviewItem>
    <reviewItem>
      <errorID>71e82215-d070-4aa1-a37f-1b93df7cb2fc</errorID>
      <errorWord>登入</errorWord>
      <group>L1_Word</group>
      <groupName>字词问题</groupName>
      <ability>L2_Typo</ability>
      <abilityName>字词错误</abilityName>
      <candidateList>
        <item>登录</item>
      </candidateList>
      <explain/>
      <paraID>5B2B3002</paraID>
      <start>15</start>
      <end>19</end>
      <status>modified</status>
      <modifiedWord>登录</modifiedWord>
      <trackRevisions>true</trackRevisions>
    </reviewItem>
    <reviewItem>
      <errorID>b141f9c2-f4ba-4771-ab82-f7c538d8710c</errorID>
      <errorWord>隐私信息保护</errorWord>
      <group>L1_Political</group>
      <groupName>政治性问题</groupName>
      <ability>L2_Keyword</ability>
      <abilityName>固定表述</abilityName>
      <candidateList>
        <item>个人信息保护</item>
      </candidateList>
      <explain>词汇“个人信息保护”在特定场景下为固定表述形式，请确认此处的“隐私信息保护”是否存在不当。</explain>
      <paraID>20A2A9D9</paraID>
      <start>34</start>
      <end>40</end>
      <status>ignored</status>
      <modifiedWord/>
      <trackRevisions>false</trackRevisions>
    </reviewItem>
    <reviewItem>
      <errorID>ec997db3-11b1-4d88-abed-94e3a9d10937</errorID>
      <errorWord>隐私信息保护</errorWord>
      <group>L1_Political</group>
      <groupName>政治性问题</groupName>
      <ability>L2_Keyword</ability>
      <abilityName>固定表述</abilityName>
      <candidateList>
        <item>个人信息保护</item>
      </candidateList>
      <explain>词汇“个人信息保护”在特定场景下为固定表述形式，请确认此处的“隐私信息保护”是否存在不当。</explain>
      <paraID>469A0336</paraID>
      <start>34</start>
      <end>40</end>
      <status>ignored</status>
      <modifiedWord/>
      <trackRevisions>false</trackRevisions>
    </reviewItem>
    <reviewItem>
      <errorID>c32d99cd-1f61-4bc2-903b-207307992085</errorID>
      <errorWord>平米</errorWord>
      <group>L1_Word</group>
      <groupName>字词问题</groupName>
      <ability>L2_Typo</ability>
      <abilityName>字词错误</abilityName>
      <candidateList>
        <item>平方米</item>
      </candidateList>
      <explain/>
      <paraID> 6338A52</paraID>
      <start>0</start>
      <end>2</end>
      <status>ignored</status>
      <modifiedWord/>
      <trackRevisions>false</trackRevisions>
    </reviewItem>
    <reviewItem>
      <errorID>eec77f2f-3d48-4e94-926b-c770381bcbc5</errorID>
      <errorWord>:</errorWord>
      <group>L1_Format</group>
      <groupName>格式问题</groupName>
      <ability>L2_HalfPunc_CN</ability>
      <abilityName>全半角问题</abilityName>
      <candidateList>
        <item>：</item>
      </candidateList>
      <explain>文本全半角错误。</explain>
      <paraID> BAA7304</paraID>
      <start>6</start>
      <end>8</end>
      <status>modified</status>
      <modifiedWord>：</modifiedWord>
      <trackRevisions>true</trackRevisions>
    </reviewItem>
    <reviewItem>
      <errorID>10d94882-57a6-4d87-a897-f8e4a67313e8</errorID>
      <errorWord>20%~50%</errorWord>
      <group>L1_Knowledge</group>
      <groupName>知识性问题</groupName>
      <ability>L2_Knowledge</ability>
      <abilityName>其他知识</abilityName>
      <candidateList>
        <item>20%～50%</item>
      </candidateList>
      <explain>1. “20%~50%”中的单位“%”仅出现在后一个数字上，容易引起歧义；根据《现代汉语标点符号数字用法规范手册》，数字表示范围两边需要使用统一的格式。2. 根据标点国标 4.13 中的规则，数字、时间或地域连接符应使用（视觉上更长的）“—”或“～”。</explain>
      <paraID> BAA7304</paraID>
      <start>8</start>
      <end>22</end>
      <status>modified</status>
      <modifiedWord>20%～50%</modifiedWord>
      <trackRevisions>true</trackRevisions>
    </reviewItem>
    <reviewItem>
      <errorID>5905063d-df61-4205-97aa-a2b46963f6e2</errorID>
      <errorWord>(</errorWord>
      <group>L1_Format</group>
      <groupName>格式问题</groupName>
      <ability>L2_HalfPunc_CN</ability>
      <abilityName>全半角问题</abilityName>
      <candidateList>
        <item>（</item>
      </candidateList>
      <explain>文本全半角错误。</explain>
      <paraID> BAA7304</paraID>
      <start>92</start>
      <end>94</end>
      <status>modified</status>
      <modifiedWord>（</modifiedWord>
      <trackRevisions>true</trackRevisions>
    </reviewItem>
    <reviewItem>
      <errorID>674b52e7-81ec-4283-9a7d-6df25262e042</errorID>
      <errorWord>)</errorWord>
      <group>L1_Format</group>
      <groupName>格式问题</groupName>
      <ability>L2_HalfPunc_CN</ability>
      <abilityName>全半角问题</abilityName>
      <candidateList>
        <item>）</item>
      </candidateList>
      <explain>文本全半角错误。</explain>
      <paraID> BAA7304</paraID>
      <start>96</start>
      <end>98</end>
      <status>modified</status>
      <modifiedWord>）</modifiedWord>
      <trackRevisions>true</trackRevisions>
    </reviewItem>
    <reviewItem>
      <errorID>b6d58f86-6b51-44c7-8888-17fd2766d34f</errorID>
      <errorWord>(</errorWord>
      <group>L1_Format</group>
      <groupName>格式问题</groupName>
      <ability>L2_HalfPunc_CN</ability>
      <abilityName>全半角问题</abilityName>
      <candidateList>
        <item>（</item>
      </candidateList>
      <explain>文本全半角错误。</explain>
      <paraID>33818BB7</paraID>
      <start>9</start>
      <end>11</end>
      <status>modified</status>
      <modifiedWord>（</modifiedWord>
      <trackRevisions>true</trackRevisions>
    </reviewItem>
    <reviewItem>
      <errorID>7e57b24c-a853-465d-abbf-050c454b54e9</errorID>
      <errorWord>)</errorWord>
      <group>L1_Format</group>
      <groupName>格式问题</groupName>
      <ability>L2_HalfPunc_CN</ability>
      <abilityName>全半角问题</abilityName>
      <candidateList>
        <item>）</item>
      </candidateList>
      <explain>文本全半角错误。</explain>
      <paraID>33818BB7</paraID>
      <start>16</start>
      <end>18</end>
      <status>modified</status>
      <modifiedWord>）</modifiedWord>
      <trackRevisions>true</trackRevisions>
    </reviewItem>
    <reviewItem>
      <errorID>634614b8-d9d1-4c98-95b5-1ccc88ec012b</errorID>
      <errorWord>(</errorWord>
      <group>L1_Format</group>
      <groupName>格式问题</groupName>
      <ability>L2_HalfPunc_CN</ability>
      <abilityName>全半角问题</abilityName>
      <candidateList>
        <item>（</item>
      </candidateList>
      <explain>文本全半角错误。</explain>
      <paraID>3C3E7EDB</paraID>
      <start>10</start>
      <end>12</end>
      <status>modified</status>
      <modifiedWord>（</modifiedWord>
      <trackRevisions>true</trackRevisions>
    </reviewItem>
    <reviewItem>
      <errorID>df5bb4d0-2686-476d-abc8-b517c50855ab</errorID>
      <errorWord>)</errorWord>
      <group>L1_Format</group>
      <groupName>格式问题</groupName>
      <ability>L2_HalfPunc_CN</ability>
      <abilityName>全半角问题</abilityName>
      <candidateList>
        <item>）</item>
      </candidateList>
      <explain>文本全半角错误。</explain>
      <paraID>3C3E7EDB</paraID>
      <start>19</start>
      <end>21</end>
      <status>modified</status>
      <modifiedWord>）</modifiedWord>
      <trackRevisions>true</trackRevisions>
    </reviewItem>
    <reviewItem>
      <errorID>8277ac11-f55d-4f10-8053-6e1df7465f90</errorID>
      <errorWord>(</errorWord>
      <group>L1_Format</group>
      <groupName>格式问题</groupName>
      <ability>L2_HalfPunc_CN</ability>
      <abilityName>全半角问题</abilityName>
      <candidateList>
        <item>（</item>
      </candidateList>
      <explain>文本全半角错误。</explain>
      <paraID>44955D48</paraID>
      <start>13</start>
      <end>15</end>
      <status>modified</status>
      <modifiedWord>（</modifiedWord>
      <trackRevisions>true</trackRevisions>
    </reviewItem>
    <reviewItem>
      <errorID>00b44451-fb99-4ace-b238-7188558d8622</errorID>
      <errorWord>)</errorWord>
      <group>L1_Format</group>
      <groupName>格式问题</groupName>
      <ability>L2_HalfPunc_CN</ability>
      <abilityName>全半角问题</abilityName>
      <candidateList>
        <item>）</item>
      </candidateList>
      <explain>文本全半角错误。</explain>
      <paraID>44955D48</paraID>
      <start>18</start>
      <end>20</end>
      <status>modified</status>
      <modifiedWord>）</modifiedWord>
      <trackRevisions>true</trackRevisions>
    </reviewItem>
    <reviewItem>
      <errorID>086bdc9a-a741-4710-a57b-d343b19c2793</errorID>
      <errorWord>.</errorWord>
      <group>L1_Format</group>
      <groupName>格式问题</groupName>
      <ability>L2_HalfPunc_CN</ability>
      <abilityName>全半角问题</abilityName>
      <candidateList>
        <item>。</item>
      </candidateList>
      <explain>文本全半角错误。</explain>
      <paraID>7FCDDBD4</paraID>
      <start>17</start>
      <end>19</end>
      <status>modified</status>
      <modifiedWord>。</modifiedWord>
      <trackRevisions>true</trackRevisions>
    </reviewItem>
    <reviewItem>
      <errorID>eb683c80-81da-4a3e-874b-161e5600ea37</errorID>
      <errorWord>噪音</errorWord>
      <group>L1_Word</group>
      <groupName>字词问题</groupName>
      <ability>L2_Alias</ability>
      <abilityName>也作/曾用词</abilityName>
      <candidateList>
        <item>噪声</item>
      </candidateList>
      <explain>词汇[噪音]为不规范表述或旧称，其规范书面表述为[噪声]。</explain>
      <paraID>2232B7E2</paraID>
      <start>13</start>
      <end>15</end>
      <status>ignored</status>
      <modifiedWord/>
      <trackRevisions>false</trackRevisions>
    </reviewItem>
    <reviewItem>
      <errorID>b24d2483-d626-4a84-8e30-76221322c719</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3B0B44A3</paraID>
      <start>87</start>
      <end>90</end>
      <status>ignored</status>
      <modifiedWord/>
      <trackRevisions>false</trackRevisions>
    </reviewItem>
    <reviewItem>
      <errorID>0da29156-87de-4125-9cd7-ccf9bef44c80</errorID>
      <errorWord>rpm</errorWord>
      <group>L1_Knowledge</group>
      <groupName>知识性问题</groupName>
      <ability>L2_Knowledge</ability>
      <abilityName>其他知识</abilityName>
      <candidateList/>
      <explain>非法定单位</explain>
      <paraID>69F3BF2A</paraID>
      <start>15</start>
      <end>18</end>
      <status>ignored</status>
      <modifiedWord/>
      <trackRevisions>false</trackRevisions>
    </reviewItem>
    <reviewItem>
      <errorID>86b74f45-169e-4a9d-9879-bc86f364057f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46F98ED7</paraID>
      <start>13</start>
      <end>14</end>
      <status>ignored</status>
      <modifiedWord/>
      <trackRevisions>false</trackRevisions>
    </reviewItem>
    <reviewItem>
      <errorID>8b507a77-cf2c-43a2-8032-fd6f323c1231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425A80CB</paraID>
      <start>14</start>
      <end>15</end>
      <status>ignored</status>
      <modifiedWord/>
      <trackRevisions>false</trackRevisions>
    </reviewItem>
    <reviewItem>
      <errorID>0f0e7fd9-1507-4ce2-ba66-87de850317d9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4C8E80DC</paraID>
      <start>20</start>
      <end>21</end>
      <status>ignored</status>
      <modifiedWord/>
      <trackRevisions>false</trackRevisions>
    </reviewItem>
    <reviewItem>
      <errorID>269286b5-0654-4918-b8a0-7ee988fe32a6</errorID>
      <errorWord>匀</errorWord>
      <group>L1_Word</group>
      <groupName>字词问题</groupName>
      <ability>L2_Typo</ability>
      <abilityName>字词错误</abilityName>
      <candidateList>
        <item>匀的</item>
      </candidateList>
      <explain/>
      <paraID>30CDE17B</paraID>
      <start>10</start>
      <end>11</end>
      <status>ignored</status>
      <modifiedWord/>
      <trackRevisions>false</trackRevisions>
    </reviewItem>
    <reviewItem>
      <errorID>3ce64fb8-a58d-46cb-aa20-c1b5b26937de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22BE9FDB</paraID>
      <start>28</start>
      <end>29</end>
      <status>ignored</status>
      <modifiedWord/>
      <trackRevisions>false</trackRevisions>
    </reviewItem>
    <reviewItem>
      <errorID>54d2b048-de73-43e0-8cb6-ca1a8c97ba40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22BE9FDB</paraID>
      <start>40</start>
      <end>41</end>
      <status>ignored</status>
      <modifiedWord/>
      <trackRevisions>false</trackRevisions>
    </reviewItem>
    <reviewItem>
      <errorID>a20297e0-c6e6-4b88-bb80-af8bec431b22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1ABE6937</paraID>
      <start>9</start>
      <end>10</end>
      <status>ignored</status>
      <modifiedWord/>
      <trackRevisions>false</trackRevisions>
    </reviewItem>
    <reviewItem>
      <errorID>b67a1436-4a9c-43e4-a194-bc69cd7b47eb</errorID>
      <errorWord>,</errorWord>
      <group>L1_Format</group>
      <groupName>格式问题</groupName>
      <ability>L2_HalfPunc_CN</ability>
      <abilityName>全半角问题</abilityName>
      <candidateList>
        <item>，</item>
      </candidateList>
      <explain>文本全半角错误。</explain>
      <paraID>25D5A861</paraID>
      <start>33</start>
      <end>35</end>
      <status>modified</status>
      <modifiedWord>，</modifiedWord>
      <trackRevisions>true</trackRevisions>
    </reviewItem>
    <reviewItem>
      <errorID>5d703b70-7914-40dd-b90d-870f5f180e31</errorID>
      <errorWord>,</errorWord>
      <group>L1_Format</group>
      <groupName>格式问题</groupName>
      <ability>L2_HalfPunc_CN</ability>
      <abilityName>全半角问题</abilityName>
      <candidateList>
        <item>，</item>
      </candidateList>
      <explain>文本全半角错误。</explain>
      <paraID>32C2FC6E</paraID>
      <start>28</start>
      <end>30</end>
      <status>modified</status>
      <modifiedWord>，</modifiedWord>
      <trackRevisions>true</trackRevisions>
    </reviewItem>
    <reviewItem>
      <errorID>bb665406-c708-43eb-91d3-096dd10addcc</errorID>
      <errorWord>,</errorWord>
      <group>L1_Format</group>
      <groupName>格式问题</groupName>
      <ability>L2_HalfPunc_CN</ability>
      <abilityName>全半角问题</abilityName>
      <candidateList>
        <item>，</item>
      </candidateList>
      <explain>文本全半角错误。</explain>
      <paraID>32C2FC6E</paraID>
      <start>53</start>
      <end>55</end>
      <status>modified</status>
      <modifiedWord>，</modifiedWord>
      <trackRevisions>true</trackRevisions>
    </reviewItem>
    <reviewItem>
      <errorID>165a105f-7740-4b10-9571-decf378f4007</errorID>
      <errorWord>静电粉沫喷涂</errorWord>
      <group>L1_Knowledge</group>
      <groupName>知识性问题</groupName>
      <ability>L2_Term</ability>
      <abilityName>专业术语</abilityName>
      <candidateList>
        <item>静电粉末喷涂</item>
      </candidateList>
      <explain/>
      <paraID>48352157</paraID>
      <start>150</start>
      <end>162</end>
      <status>modified</status>
      <modifiedWord>静电粉末喷涂</modifiedWord>
      <trackRevisions>true</trackRevisions>
    </reviewItem>
    <reviewItem>
      <errorID>4a21a8d1-2d9d-4d8f-ac47-fdaa630de07a</errorID>
      <errorWord>外型</errorWord>
      <group>L1_Word</group>
      <groupName>字词问题</groupName>
      <ability>L2_Typo</ability>
      <abilityName>字词错误</abilityName>
      <candidateList>
        <item>外形</item>
      </candidateList>
      <explain>存在发音相同字词的误用。</explain>
      <paraID>394CD727</paraID>
      <start>85</start>
      <end>89</end>
      <status>modified</status>
      <modifiedWord>外形</modifiedWord>
      <trackRevisions>true</trackRevisions>
    </reviewItem>
    <reviewItem>
      <errorID>7bca2c7d-9a5b-455c-b2fe-db6f85596d07</errorID>
      <errorWord>最大称量</errorWord>
      <group>L1_Knowledge</group>
      <groupName>知识性问题</groupName>
      <ability>L2_Term</ability>
      <abilityName>专业术语</abilityName>
      <candidateList>
        <item>最大秤量</item>
      </candidateList>
      <explain/>
      <paraID>6B5C7AE5</paraID>
      <start>2</start>
      <end>6</end>
      <status>ignored</status>
      <modifiedWord/>
      <trackRevisions>false</trackRevisions>
    </reviewItem>
    <reviewItem>
      <errorID>5c97265a-b7b6-42a0-b3d4-b50d2aedc216</errorID>
      <errorWord>,</errorWord>
      <group>L1_Format</group>
      <groupName>格式问题</groupName>
      <ability>L2_HalfPunc_CN</ability>
      <abilityName>全半角问题</abilityName>
      <candidateList>
        <item>，</item>
      </candidateList>
      <explain>文本全半角错误。</explain>
      <paraID>6B5C7AE5</paraID>
      <start>33</start>
      <end>35</end>
      <status>modified</status>
      <modifiedWord>，</modifiedWord>
      <trackRevisions>true</trackRevisions>
    </reviewItem>
    <reviewItem>
      <errorID>62b3698a-3d86-4010-ace2-c49349973d54</errorID>
      <errorWord>~</errorWord>
      <group>L1_Format</group>
      <groupName>格式问题</groupName>
      <ability>L2_HalfPunc_CN</ability>
      <abilityName>全半角问题</abilityName>
      <candidateList>
        <item>～</item>
      </candidateList>
      <explain>文本全半角错误。</explain>
      <paraID>6B5C7AE5</paraID>
      <start>42</start>
      <end>44</end>
      <status>modified</status>
      <modifiedWord>～</modifiedWord>
      <trackRevisions>true</trackRevisions>
    </reviewItem>
    <reviewItem>
      <errorID>4465cf06-c6dc-403f-905f-3caa0550dfbe</errorID>
      <errorWord>)</errorWord>
      <group>L1_Format</group>
      <groupName>格式问题</groupName>
      <ability>L2_HalfPunc_CN</ability>
      <abilityName>全半角问题</abilityName>
      <candidateList>
        <item>）</item>
      </candidateList>
      <explain>文本全半角错误。</explain>
      <paraID>37B26EFD</paraID>
      <start>25</start>
      <end>27</end>
      <status>modified</status>
      <modifiedWord>）</modifiedWord>
      <trackRevisions>true</trackRevisions>
    </reviewItem>
    <reviewItem>
      <errorID>6020acfd-bab4-4155-9ed0-10fd0fcd638f</errorID>
      <errorWord>hz</errorWord>
      <group>L1_Word</group>
      <groupName>字词问题</groupName>
      <ability>L2_Typo</ability>
      <abilityName>字词错误</abilityName>
      <candidateList>
        <item>Hz</item>
      </candidateList>
      <explain/>
      <paraID> 650079B</paraID>
      <start>12</start>
      <end>14</end>
      <status>ignored</status>
      <modifiedWord/>
      <trackRevisions>false</trackRevisions>
    </reviewItem>
    <reviewItem>
      <errorID>7577b44a-415d-4770-a3e5-1d409c6dbd80</errorID>
      <errorWord>,</errorWord>
      <group>L1_Format</group>
      <groupName>格式问题</groupName>
      <ability>L2_HalfPunc_CN</ability>
      <abilityName>全半角问题</abilityName>
      <candidateList>
        <item>，</item>
      </candidateList>
      <explain>文本全半角错误。</explain>
      <paraID> 650079B</paraID>
      <start>14</start>
      <end>16</end>
      <status>modified</status>
      <modifiedWord>，</modifiedWord>
      <trackRevisions>true</trackRevisions>
    </reviewItem>
    <reviewItem>
      <errorID>a97af5b4-c007-4782-a179-126d796436c4</errorID>
      <errorWord>~</errorWord>
      <group>L1_Format</group>
      <groupName>格式问题</groupName>
      <ability>L2_HalfPunc_CN</ability>
      <abilityName>全半角问题</abilityName>
      <candidateList>
        <item>～</item>
      </candidateList>
      <explain>文本全半角错误。</explain>
      <paraID>6B68FC1F</paraID>
      <start>13</start>
      <end>15</end>
      <status>modified</status>
      <modifiedWord>～</modifiedWord>
      <trackRevisions>true</trackRevisions>
    </reviewItem>
    <reviewItem>
      <errorID>c39a3062-94dc-4ca8-b0f4-eeb7afbb2bb5</errorID>
      <errorWord>创口贴</errorWord>
      <group>L1_Word</group>
      <groupName>字词问题</groupName>
      <ability>L2_Typo</ability>
      <abilityName>字词错误</abilityName>
      <candidateList>
        <item>创可贴</item>
      </candidateList>
      <explain/>
      <paraID>294736A6</paraID>
      <start>25</start>
      <end>31</end>
      <status>modified</status>
      <modifiedWord>创可贴</modifiedWord>
      <trackRevisions>true</trackRevisions>
    </reviewItem>
    <reviewItem>
      <errorID>c54434bb-5beb-4493-a445-1cf3d0eeb15d</errorID>
      <errorWord>(</errorWord>
      <group>L1_Format</group>
      <groupName>格式问题</groupName>
      <ability>L2_HalfPunc_CN</ability>
      <abilityName>全半角问题</abilityName>
      <candidateList>
        <item>（</item>
      </candidateList>
      <explain>文本全半角错误。</explain>
      <paraID>78B86D3F</paraID>
      <start>3</start>
      <end>5</end>
      <status>modified</status>
      <modifiedWord>（</modifiedWord>
      <trackRevisions>true</trackRevisions>
    </reviewItem>
    <reviewItem>
      <errorID>642efca1-afa8-49ba-9ede-f29a83abc6ec</errorID>
      <errorWord>)</errorWord>
      <group>L1_Format</group>
      <groupName>格式问题</groupName>
      <ability>L2_HalfPunc_CN</ability>
      <abilityName>全半角问题</abilityName>
      <candidateList>
        <item>）</item>
      </candidateList>
      <explain>文本全半角错误。</explain>
      <paraID>78B86D3F</paraID>
      <start>6</start>
      <end>8</end>
      <status>modified</status>
      <modifiedWord>）</modifiedWord>
      <trackRevisions>true</trackRevisions>
    </reviewItem>
    <reviewItem>
      <errorID>20577201-7d10-4602-9642-31fa2acd26c2</errorID>
      <errorWord>~</errorWord>
      <group>L1_Format</group>
      <groupName>格式问题</groupName>
      <ability>L2_HalfPunc_CN</ability>
      <abilityName>全半角问题</abilityName>
      <candidateList>
        <item>～</item>
      </candidateList>
      <explain>文本全半角错误。</explain>
      <paraID>76EF48C3</paraID>
      <start>35</start>
      <end>37</end>
      <status>modified</status>
      <modifiedWord>～</modifiedWord>
      <trackRevisions>true</trackRevisions>
    </reviewItem>
    <reviewItem>
      <errorID>5ff3e852-176b-44fc-b926-41ef3a65fd59</errorID>
      <errorWord>~</errorWord>
      <group>L1_Format</group>
      <groupName>格式问题</groupName>
      <ability>L2_HalfPunc_CN</ability>
      <abilityName>全半角问题</abilityName>
      <candidateList>
        <item>～</item>
      </candidateList>
      <explain>文本全半角错误。</explain>
      <paraID>55AFFFD4</paraID>
      <start>34</start>
      <end>36</end>
      <status>modified</status>
      <modifiedWord>～</modifiedWord>
      <trackRevisions>true</trackRevisions>
    </reviewItem>
    <reviewItem>
      <errorID>1284be8b-2084-4282-8ea0-940123037b48</errorID>
      <errorWord>(</errorWord>
      <group>L1_Format</group>
      <groupName>格式问题</groupName>
      <ability>L2_HalfPunc_CN</ability>
      <abilityName>全半角问题</abilityName>
      <candidateList>
        <item>（</item>
      </candidateList>
      <explain>文本全半角错误。</explain>
      <paraID>21EE356E</paraID>
      <start>55</start>
      <end>57</end>
      <status>modified</status>
      <modifiedWord>（</modifiedWord>
      <trackRevisions>true</trackRevisions>
    </reviewItem>
    <reviewItem>
      <errorID>cbdc6f61-aebb-4fa8-a80d-485599e693be</errorID>
      <errorWord>)</errorWord>
      <group>L1_Format</group>
      <groupName>格式问题</groupName>
      <ability>L2_HalfPunc_CN</ability>
      <abilityName>全半角问题</abilityName>
      <candidateList>
        <item>）</item>
      </candidateList>
      <explain>文本全半角错误。</explain>
      <paraID>21EE356E</paraID>
      <start>71</start>
      <end>73</end>
      <status>modified</status>
      <modifiedWord>）</modifiedWord>
      <trackRevisions>true</trackRevisions>
    </reviewItem>
    <reviewItem>
      <errorID>b5f0f39f-744f-4a15-95a4-92552352a586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70155428</paraID>
      <start>16</start>
      <end>17</end>
      <status>ignored</status>
      <modifiedWord/>
      <trackRevisions>false</trackRevisions>
    </reviewItem>
    <reviewItem>
      <errorID>797afa43-7c23-41ab-8bcd-7175a8b40d36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70155428</paraID>
      <start>32</start>
      <end>33</end>
      <status>ignored</status>
      <modifiedWord/>
      <trackRevisions>false</trackRevisions>
    </reviewItem>
    <reviewItem>
      <errorID>e0b707e5-3b5a-47fb-89a0-da10acd20dc3</errorID>
      <errorWord>年</errorWord>
      <group>L1_Word</group>
      <groupName>字词问题</groupName>
      <ability>L2_Typo</ability>
      <abilityName>字词错误</abilityName>
      <candidateList>
        <item>年内</item>
      </candidateList>
      <explain/>
      <paraID>68184BC4</paraID>
      <start>28</start>
      <end>29</end>
      <status>ignored</status>
      <modifiedWord/>
      <trackRevisions>false</trackRevisions>
    </reviewItem>
    <reviewItem>
      <errorID>18c2f294-0948-4d79-9eb0-4438e5bd109f</errorID>
      <errorWord>(</errorWord>
      <group>L1_Format</group>
      <groupName>格式问题</groupName>
      <ability>L2_HalfPunc_CN</ability>
      <abilityName>全半角问题</abilityName>
      <candidateList>
        <item>（</item>
      </candidateList>
      <explain>文本全半角错误。</explain>
      <paraID>4D4F37F4</paraID>
      <start>13</start>
      <end>15</end>
      <status>modified</status>
      <modifiedWord>（</modifiedWord>
      <trackRevisions>true</trackRevisions>
    </reviewItem>
    <reviewItem>
      <errorID>9d3133d3-85c0-4cf5-82dc-629d7c1903e2</errorID>
      <errorWord>)</errorWord>
      <group>L1_Format</group>
      <groupName>格式问题</groupName>
      <ability>L2_HalfPunc_CN</ability>
      <abilityName>全半角问题</abilityName>
      <candidateList>
        <item>）</item>
      </candidateList>
      <explain>文本全半角错误。</explain>
      <paraID>4D4F37F4</paraID>
      <start>18</start>
      <end>20</end>
      <status>modified</status>
      <modifiedWord>）</modifiedWord>
      <trackRevisions>true</trackRevisions>
    </reviewItem>
    <reviewItem>
      <errorID>118edf7b-4f5f-4a9a-9f8d-1259b1f9b8bd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3FE9BBDD</paraID>
      <start>0</start>
      <end>2</end>
      <status>unmodified</status>
      <modifiedWord/>
      <trackRevisions>false</trackRevisions>
    </reviewItem>
    <reviewItem>
      <errorID>c2a2179e-fcd3-48dc-b159-79198417ca44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4D8EFAC</paraID>
      <start>0</start>
      <end>2</end>
      <status>unmodified</status>
      <modifiedWord/>
      <trackRevisions>false</trackRevisions>
    </reviewItem>
    <reviewItem>
      <errorID>c7b847da-8f02-485b-96ec-39450641fa9e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116F398F</paraID>
      <start>0</start>
      <end>2</end>
      <status>unmodified</status>
      <modifiedWord/>
      <trackRevisions>false</trackRevisions>
    </reviewItem>
    <reviewItem>
      <errorID>baff53ea-2c16-4c20-8ca0-b21678828818</errorID>
      <errorWord>(</errorWord>
      <group>L1_Format</group>
      <groupName>格式问题</groupName>
      <ability>L2_HalfPunc_CN</ability>
      <abilityName>全半角问题</abilityName>
      <candidateList>
        <item>（</item>
      </candidateList>
      <explain>文本全半角错误。</explain>
      <paraID>116F398F</paraID>
      <start>22</start>
      <end>24</end>
      <status>modified</status>
      <modifiedWord>（</modifiedWord>
      <trackRevisions>true</trackRevisions>
    </reviewItem>
    <reviewItem>
      <errorID>6c1d9224-4471-4970-8c47-d527351cf861</errorID>
      <errorWord>)</errorWord>
      <group>L1_Format</group>
      <groupName>格式问题</groupName>
      <ability>L2_HalfPunc_CN</ability>
      <abilityName>全半角问题</abilityName>
      <candidateList>
        <item>）</item>
      </candidateList>
      <explain>文本全半角错误。</explain>
      <paraID>116F398F</paraID>
      <start>26</start>
      <end>28</end>
      <status>modified</status>
      <modifiedWord>）</modifiedWord>
      <trackRevisions>true</trackRevisions>
    </reviewItem>
    <reviewItem>
      <errorID>654f96fb-5bfa-42d1-9e55-2fb4a3a684cf</errorID>
      <errorWord>(</errorWord>
      <group>L1_Format</group>
      <groupName>格式问题</groupName>
      <ability>L2_HalfPunc_CN</ability>
      <abilityName>全半角问题</abilityName>
      <candidateList>
        <item>（</item>
      </candidateList>
      <explain>文本全半角错误。</explain>
      <paraID>116F398F</paraID>
      <start>39</start>
      <end>41</end>
      <status>modified</status>
      <modifiedWord>（</modifiedWord>
      <trackRevisions>true</trackRevisions>
    </reviewItem>
    <reviewItem>
      <errorID>75fea43f-1922-403f-aea9-8b45c44d6502</errorID>
      <errorWord>)</errorWord>
      <group>L1_Format</group>
      <groupName>格式问题</groupName>
      <ability>L2_HalfPunc_CN</ability>
      <abilityName>全半角问题</abilityName>
      <candidateList>
        <item>）</item>
      </candidateList>
      <explain>文本全半角错误。</explain>
      <paraID>116F398F</paraID>
      <start>43</start>
      <end>45</end>
      <status>modified</status>
      <modifiedWord>）</modifiedWord>
      <trackRevisions>true</trackRevisions>
    </reviewItem>
    <reviewItem>
      <errorID>700238fe-5667-4b47-8423-01c0c679becc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72FFCC88</paraID>
      <start>0</start>
      <end>2</end>
      <status>unmodified</status>
      <modifiedWord/>
      <trackRevisions>false</trackRevisions>
    </reviewItem>
    <reviewItem>
      <errorID>21d787c4-da42-4a8f-b12f-e775df2a6b79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5A567657</paraID>
      <start>0</start>
      <end>2</end>
      <status>unmodified</status>
      <modifiedWord/>
      <trackRevisions>false</trackRevisions>
    </reviewItem>
    <reviewItem>
      <errorID>3bfa74c2-f743-4d8a-992d-aefc8741a340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4206C80A</paraID>
      <start>0</start>
      <end>2</end>
      <status>unmodified</status>
      <modifiedWord/>
      <trackRevisions>false</trackRevisions>
    </reviewItem>
    <reviewItem>
      <errorID>5bff5f55-3ffb-4cd8-b337-1d6884956711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1934F8B5</paraID>
      <start>0</start>
      <end>2</end>
      <status>unmodified</status>
      <modifiedWord/>
      <trackRevisions>false</trackRevisions>
    </reviewItem>
    <reviewItem>
      <errorID>7f9b8ec2-9cf9-4bb9-a99f-09bc1f55ba67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2035FFC3</paraID>
      <start>0</start>
      <end>2</end>
      <status>unmodified</status>
      <modifiedWord/>
      <trackRevisions>false</trackRevisions>
    </reviewItem>
    <reviewItem>
      <errorID>1ebc819e-62a9-4179-b7ee-9b08a6bc2b47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52A1A4AB</paraID>
      <start>0</start>
      <end>2</end>
      <status>unmodified</status>
      <modifiedWord/>
      <trackRevisions>false</trackRevisions>
    </reviewItem>
    <reviewItem>
      <errorID>b5f4dcb0-b272-4dc4-80e3-c13c54c152ac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1F8B7E0E</paraID>
      <start>0</start>
      <end>6</end>
      <status>modified</status>
      <modifiedWord>（1）</modifiedWord>
      <trackRevisions>true</trackRevisions>
    </reviewItem>
    <reviewItem>
      <errorID>c5a27c36-105f-4404-baef-b5f803e04763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26D97859</paraID>
      <start>0</start>
      <end>6</end>
      <status>modified</status>
      <modifiedWord>（2）</modifiedWord>
      <trackRevisions>true</trackRevisions>
    </reviewItem>
    <reviewItem>
      <errorID>77ec2f92-4160-489f-8557-eae44edab6f2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78ECA0DE</paraID>
      <start>0</start>
      <end>2</end>
      <status>unmodified</status>
      <modifiedWord/>
      <trackRevisions>false</trackRevisions>
    </reviewItem>
    <reviewItem>
      <errorID>51924b4e-fd83-4c8f-9a20-95478bf4fe23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28E465C0</paraID>
      <start>0</start>
      <end>2</end>
      <status>unmodified</status>
      <modifiedWord/>
      <trackRevisions>false</trackRevisions>
    </reviewItem>
    <reviewItem>
      <errorID>36f941fc-79db-4eab-b238-ed9f15da472a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3FFA9406</paraID>
      <start>0</start>
      <end>2</end>
      <status>unmodified</status>
      <modifiedWord/>
      <trackRevisions>false</trackRevisions>
    </reviewItem>
    <reviewItem>
      <errorID>2cea5010-56cf-4be9-a2bc-6505b48db0e0</errorID>
      <errorWord>,</errorWord>
      <group>L1_Format</group>
      <groupName>格式问题</groupName>
      <ability>L2_HalfPunc_CN</ability>
      <abilityName>全半角问题</abilityName>
      <candidateList>
        <item>，</item>
      </candidateList>
      <explain>文本全半角错误。</explain>
      <paraID>3FFA9406</paraID>
      <start>83</start>
      <end>85</end>
      <status>modified</status>
      <modifiedWord>，</modifiedWord>
      <trackRevisions>true</trackRevisions>
    </reviewItem>
    <reviewItem>
      <errorID>eb5b8e1b-1047-4c33-8b61-714c2cb0e511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B0D7EA1</paraID>
      <start>0</start>
      <end>2</end>
      <status>unmodified</status>
      <modifiedWord/>
      <trackRevisions>false</trackRevisions>
    </reviewItem>
    <reviewItem>
      <errorID>fcc3c0b3-e713-4725-9b0b-c02cb782ff54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1FBF8ECD</paraID>
      <start>0</start>
      <end>2</end>
      <status>unmodified</status>
      <modifiedWord/>
      <trackRevisions>false</trackRevisions>
    </reviewItem>
    <reviewItem>
      <errorID>35af8c30-e7a9-47ec-a1f5-b0e23858c7b1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7288C98</paraID>
      <start>0</start>
      <end>2</end>
      <status>unmodified</status>
      <modifiedWord/>
      <trackRevisions>false</trackRevisions>
    </reviewItem>
    <reviewItem>
      <errorID>5bd9f406-20ed-4789-8041-a8f39fabb9ec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39A647A2</paraID>
      <start>0</start>
      <end>2</end>
      <status>unmodified</status>
      <modifiedWord/>
      <trackRevisions>false</trackRevisions>
    </reviewItem>
    <reviewItem>
      <errorID>a3d6e5a8-c081-4bee-92d3-9e6dd31048e2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3B16F655</paraID>
      <start>0</start>
      <end>2</end>
      <status>unmodified</status>
      <modifiedWord/>
      <trackRevisions>false</trackRevisions>
    </reviewItem>
    <reviewItem>
      <errorID>7fce3920-cddd-466b-8c0a-d238fd331a0e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7AF4E49B</paraID>
      <start>0</start>
      <end>2</end>
      <status>unmodified</status>
      <modifiedWord/>
      <trackRevisions>false</trackRevisions>
    </reviewItem>
    <reviewItem>
      <errorID>113bc591-9933-45db-82cc-2c887ffcfcfd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26C8C809</paraID>
      <start>0</start>
      <end>2</end>
      <status>unmodified</status>
      <modifiedWord/>
      <trackRevisions>false</trackRevisions>
    </reviewItem>
    <reviewItem>
      <errorID>4082ac40-35f6-4119-be0a-b9e85cbc8bd9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7FAEC4DA</paraID>
      <start>0</start>
      <end>2</end>
      <status>unmodified</status>
      <modifiedWord/>
      <trackRevisions>false</trackRevisions>
    </reviewItem>
    <reviewItem>
      <errorID>796cb6cc-661f-4165-8be7-a943b543a52b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6EC2D940</paraID>
      <start>0</start>
      <end>2</end>
      <status>unmodified</status>
      <modifiedWord/>
      <trackRevisions>false</trackRevisions>
    </reviewItem>
    <reviewItem>
      <errorID>027991a0-e62d-42d8-9cd0-42c30ea562ff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3E210E4D</paraID>
      <start>0</start>
      <end>2</end>
      <status>unmodified</status>
      <modifiedWord/>
      <trackRevisions>false</trackRevisions>
    </reviewItem>
    <reviewItem>
      <errorID>b09c8d3c-e466-40a6-804d-2b9dddc6f509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152E6702</paraID>
      <start>0</start>
      <end>2</end>
      <status>unmodified</status>
      <modifiedWord/>
      <trackRevisions>false</trackRevisions>
    </reviewItem>
    <reviewItem>
      <errorID>ee3c429c-c30e-4ecf-aedc-f7b9638f24cf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303272B2</paraID>
      <start>0</start>
      <end>2</end>
      <status>unmodified</status>
      <modifiedWord/>
      <trackRevisions>false</trackRevisions>
    </reviewItem>
    <reviewItem>
      <errorID>56d62d3f-70e7-468f-8a4b-8109f0c62b19</errorID>
      <errorWord>(</errorWord>
      <group>L1_Format</group>
      <groupName>格式问题</groupName>
      <ability>L2_HalfPunc_CN</ability>
      <abilityName>全半角问题</abilityName>
      <candidateList>
        <item>（</item>
      </candidateList>
      <explain>文本全半角错误。</explain>
      <paraID>303272B2</paraID>
      <start>65</start>
      <end>67</end>
      <status>modified</status>
      <modifiedWord>（</modifiedWord>
      <trackRevisions>true</trackRevisions>
    </reviewItem>
    <reviewItem>
      <errorID>98415c78-166a-422a-b836-272d878b5833</errorID>
      <errorWord>)</errorWord>
      <group>L1_Format</group>
      <groupName>格式问题</groupName>
      <ability>L2_HalfPunc_CN</ability>
      <abilityName>全半角问题</abilityName>
      <candidateList>
        <item>）</item>
      </candidateList>
      <explain>文本全半角错误。</explain>
      <paraID>303272B2</paraID>
      <start>72</start>
      <end>74</end>
      <status>modified</status>
      <modifiedWord>）</modifiedWord>
      <trackRevisions>true</trackRevisions>
    </reviewItem>
    <reviewItem>
      <errorID>15af847a-d9b8-49d0-a16c-bb7154147b29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1A66EEA2</paraID>
      <start>0</start>
      <end>2</end>
      <status>unmodified</status>
      <modifiedWord/>
      <trackRevisions>false</trackRevisions>
    </reviewItem>
    <reviewItem>
      <errorID>01ee5f62-4471-4485-9dfb-a6c6c7e3ae9d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79DD79C4</paraID>
      <start>0</start>
      <end>2</end>
      <status>unmodified</status>
      <modifiedWord/>
      <trackRevisions>false</trackRevisions>
    </reviewItem>
    <reviewItem>
      <errorID>2d8804d2-8825-4314-ab88-d15173ff5c5d</errorID>
      <errorWord>:</errorWord>
      <group>L1_Format</group>
      <groupName>格式问题</groupName>
      <ability>L2_HalfPunc_CN</ability>
      <abilityName>全半角问题</abilityName>
      <candidateList>
        <item>：</item>
      </candidateList>
      <explain>文本全半角错误。</explain>
      <paraID>1D4790FC</paraID>
      <start>6</start>
      <end>8</end>
      <status>modified</status>
      <modifiedWord>：</modifiedWord>
      <trackRevisions>true</trackRevisions>
    </reviewItem>
    <reviewItem>
      <errorID>cc7a3dbe-4344-49c3-be57-44220a4a6c73</errorID>
      <errorWord>&lt;</errorWord>
      <group>L1_Format</group>
      <groupName>格式问题</groupName>
      <ability>L2_HalfPunc_CN</ability>
      <abilityName>全半角问题</abilityName>
      <candidateList>
        <item>〈</item>
      </candidateList>
      <explain>文本全半角错误。</explain>
      <paraID> 275F9F4</paraID>
      <start>95</start>
      <end>96</end>
      <status>unmodified</status>
      <modifiedWord/>
      <trackRevisions>false</trackRevisions>
    </reviewItem>
    <reviewItem>
      <errorID>4bb52aee-e7d8-44e5-b904-826bf59556ca</errorID>
      <errorWord>&lt;</errorWord>
      <group>L1_Format</group>
      <groupName>格式问题</groupName>
      <ability>L2_HalfPunc_CN</ability>
      <abilityName>全半角问题</abilityName>
      <candidateList>
        <item>〈</item>
      </candidateList>
      <explain>文本全半角错误。</explain>
      <paraID> 275F9F4</paraID>
      <start>125</start>
      <end>126</end>
      <status>unmodified</status>
      <modifiedWord/>
      <trackRevisions>false</trackRevisions>
    </reviewItem>
    <reviewItem>
      <errorID>d28def2f-314f-4665-a78e-c0b0d6fae6ed</errorID>
      <errorWord>&lt;</errorWord>
      <group>L1_Format</group>
      <groupName>格式问题</groupName>
      <ability>L2_HalfPunc_CN</ability>
      <abilityName>全半角问题</abilityName>
      <candidateList>
        <item>〈</item>
      </candidateList>
      <explain>文本全半角错误。</explain>
      <paraID> 275F9F4</paraID>
      <start>155</start>
      <end>156</end>
      <status>unmodified</status>
      <modifiedWord/>
      <trackRevisions>false</trackRevisions>
    </reviewItem>
    <reviewItem>
      <errorID>9d91cafe-569f-423c-825c-a3cf9c84e160</errorID>
      <errorWord>:</errorWord>
      <group>L1_Format</group>
      <groupName>格式问题</groupName>
      <ability>L2_HalfPunc_CN</ability>
      <abilityName>全半角问题</abilityName>
      <candidateList>
        <item>：</item>
      </candidateList>
      <explain>文本全半角错误。</explain>
      <paraID>2E65522F</paraID>
      <start>55</start>
      <end>56</end>
      <status>unmodified</status>
      <modifiedWord/>
      <trackRevisions>false</trackRevisions>
    </reviewItem>
    <reviewItem>
      <errorID>c106fc2f-3c25-45d5-be24-aad08be89d8d</errorID>
      <errorWord>市场监督总局</errorWord>
      <group>L1_Political</group>
      <groupName>政治性问题</groupName>
      <ability>L2_Unpolitical</ability>
      <abilityName>政治敏感错误</abilityName>
      <candidateList>
        <item>市场监管总局</item>
      </candidateList>
      <explain/>
      <paraID>2E65522F</paraID>
      <start>82</start>
      <end>94</end>
      <status>modified</status>
      <modifiedWord>市场监管总局</modifiedWord>
      <trackRevisions>true</trackRevisions>
    </reviewItem>
    <reviewItem>
      <errorID>7a265b97-3b74-4f0f-86b8-0d793afa4952</errorID>
      <errorWord>:</errorWord>
      <group>L1_Format</group>
      <groupName>格式问题</groupName>
      <ability>L2_HalfPunc_CN</ability>
      <abilityName>全半角问题</abilityName>
      <candidateList>
        <item>：</item>
      </candidateList>
      <explain>文本全半角错误。</explain>
      <paraID>5BCA101F</paraID>
      <start>35</start>
      <end>36</end>
      <status>unmodified</status>
      <modifiedWord/>
      <trackRevisions>false</trackRevisions>
    </reviewItem>
    <reviewItem>
      <errorID>e898bea6-fc45-4a6f-a12b-8c4bc5b6447e</errorID>
      <errorWord>市场监督总局</errorWord>
      <group>L1_Political</group>
      <groupName>政治性问题</groupName>
      <ability>L2_Unpolitical</ability>
      <abilityName>政治敏感错误</abilityName>
      <candidateList>
        <item>市场监管总局</item>
      </candidateList>
      <explain/>
      <paraID>5BCA101F</paraID>
      <start>74</start>
      <end>86</end>
      <status>modified</status>
      <modifiedWord>市场监管总局</modifiedWord>
      <trackRevisions>true</trackRevisions>
    </reviewItem>
    <reviewItem>
      <errorID>08b8d7e4-1475-4062-8e54-5783a1941023</errorID>
      <errorWord>市场监督总局</errorWord>
      <group>L1_Political</group>
      <groupName>政治性问题</groupName>
      <ability>L2_Unpolitical</ability>
      <abilityName>政治敏感错误</abilityName>
      <candidateList>
        <item>市场监管总局</item>
      </candidateList>
      <explain/>
      <paraID> 880E3F7</paraID>
      <start>62</start>
      <end>74</end>
      <status>modified</status>
      <modifiedWord>市场监管总局</modifiedWord>
      <trackRevisions>true</trackRevisions>
    </reviewItem>
    <reviewItem>
      <errorID>31053df7-f91d-4915-88e7-fedc373ced70</errorID>
      <errorWord>市场监督总局</errorWord>
      <group>L1_Political</group>
      <groupName>政治性问题</groupName>
      <ability>L2_Unpolitical</ability>
      <abilityName>政治敏感错误</abilityName>
      <candidateList>
        <item>市场监管总局</item>
      </candidateList>
      <explain/>
      <paraID>6FD242C9</paraID>
      <start>62</start>
      <end>74</end>
      <status>modified</status>
      <modifiedWord>市场监管总局</modifiedWord>
      <trackRevisions>true</trackRevisions>
    </reviewItem>
    <reviewItem>
      <errorID>7cbd208e-a575-4a4d-a3ef-029bc7777ca8</errorID>
      <errorWord>市场监督总局</errorWord>
      <group>L1_Political</group>
      <groupName>政治性问题</groupName>
      <ability>L2_Unpolitical</ability>
      <abilityName>政治敏感错误</abilityName>
      <candidateList>
        <item>市场监管总局</item>
      </candidateList>
      <explain/>
      <paraID>40E5D2E5</paraID>
      <start>62</start>
      <end>74</end>
      <status>modified</status>
      <modifiedWord>市场监管总局</modifiedWord>
      <trackRevisions>true</trackRevisions>
    </reviewItem>
    <reviewItem>
      <errorID>70672438-4087-4f91-b57d-e0daaaee5834</errorID>
      <errorWord>市场监督总局</errorWord>
      <group>L1_Political</group>
      <groupName>政治性问题</groupName>
      <ability>L2_Unpolitical</ability>
      <abilityName>政治敏感错误</abilityName>
      <candidateList>
        <item>市场监管总局</item>
      </candidateList>
      <explain/>
      <paraID>73CEC0B8</paraID>
      <start>62</start>
      <end>74</end>
      <status>modified</status>
      <modifiedWord>市场监管总局</modifiedWord>
      <trackRevisions>true</trackRevisions>
    </reviewItem>
    <reviewItem>
      <errorID>239f0dd2-0142-4129-b305-74def783d786</errorID>
      <errorWord>市场监督总局</errorWord>
      <group>L1_Political</group>
      <groupName>政治性问题</groupName>
      <ability>L2_Unpolitical</ability>
      <abilityName>政治敏感错误</abilityName>
      <candidateList>
        <item>市场监管总局</item>
      </candidateList>
      <explain/>
      <paraID>56D27F86</paraID>
      <start>63</start>
      <end>75</end>
      <status>modified</status>
      <modifiedWord>市场监管总局</modifiedWord>
      <trackRevisions>true</trackRevisions>
    </reviewItem>
    <reviewItem>
      <errorID>a4f0d7e3-affe-490f-ae26-c9cad1850a1b</errorID>
      <errorWord>市场监督总局</errorWord>
      <group>L1_Political</group>
      <groupName>政治性问题</groupName>
      <ability>L2_Unpolitical</ability>
      <abilityName>政治敏感错误</abilityName>
      <candidateList>
        <item>市场监管总局</item>
      </candidateList>
      <explain/>
      <paraID>122816D0</paraID>
      <start>63</start>
      <end>75</end>
      <status>modified</status>
      <modifiedWord>市场监管总局</modifiedWord>
      <trackRevisions>true</trackRevisions>
    </reviewItem>
    <reviewItem>
      <errorID>de3fccad-6aa4-4191-9a73-2ce08354c2e0</errorID>
      <errorWord>:</errorWord>
      <group>L1_Format</group>
      <groupName>格式问题</groupName>
      <ability>L2_HalfPunc_CN</ability>
      <abilityName>全半角问题</abilityName>
      <candidateList>
        <item>：</item>
      </candidateList>
      <explain>文本全半角错误。</explain>
      <paraID>3A9D90C8</paraID>
      <start>55</start>
      <end>56</end>
      <status>ignored</status>
      <modifiedWord/>
      <trackRevisions>false</trackRevisions>
    </reviewItem>
    <reviewItem>
      <errorID>1552b2ed-a1db-4926-ad5b-3ec311133a42</errorID>
      <errorWord>市场监督总局</errorWord>
      <group>L1_Political</group>
      <groupName>政治性问题</groupName>
      <ability>L2_Unpolitical</ability>
      <abilityName>政治敏感错误</abilityName>
      <candidateList>
        <item>市场监管总局</item>
      </candidateList>
      <explain/>
      <paraID>3A9D90C8</paraID>
      <start>82</start>
      <end>94</end>
      <status>modified</status>
      <modifiedWord>市场监管总局</modifiedWord>
      <trackRevisions>true</trackRevisions>
    </reviewItem>
    <reviewItem>
      <errorID>b948308e-057a-40de-903f-c18cafdd1632</errorID>
      <errorWord>市场监督总局</errorWord>
      <group>L1_Political</group>
      <groupName>政治性问题</groupName>
      <ability>L2_Unpolitical</ability>
      <abilityName>政治敏感错误</abilityName>
      <candidateList>
        <item>市场监管总局</item>
      </candidateList>
      <explain/>
      <paraID>48270F43</paraID>
      <start>77</start>
      <end>89</end>
      <status>modified</status>
      <modifiedWord>市场监管总局</modifiedWord>
      <trackRevisions>true</trackRevisions>
    </reviewItem>
    <reviewItem>
      <errorID>b3e71e95-f056-40e8-b64f-a169ddc58fae</errorID>
      <errorWord>市场监督总局</errorWord>
      <group>L1_Political</group>
      <groupName>政治性问题</groupName>
      <ability>L2_Unpolitical</ability>
      <abilityName>政治敏感错误</abilityName>
      <candidateList>
        <item>市场监管总局</item>
      </candidateList>
      <explain/>
      <paraID>1624023B</paraID>
      <start>105</start>
      <end>117</end>
      <status>modified</status>
      <modifiedWord>市场监管总局</modifiedWord>
      <trackRevisions>true</trackRevisions>
    </reviewItem>
    <reviewItem>
      <errorID>aa45f8ca-d5f9-4335-8bca-0d4c8e1fa44c</errorID>
      <errorWord>市场监督总局</errorWord>
      <group>L1_Political</group>
      <groupName>政治性问题</groupName>
      <ability>L2_Unpolitical</ability>
      <abilityName>政治敏感错误</abilityName>
      <candidateList>
        <item>市场监管总局</item>
      </candidateList>
      <explain/>
      <paraID>411D24D7</paraID>
      <start>74</start>
      <end>86</end>
      <status>modified</status>
      <modifiedWord>市场监管总局</modifiedWord>
      <trackRevisions>true</trackRevisions>
    </reviewItem>
    <reviewItem>
      <errorID>20e6a3e6-acf4-4114-8771-dc5d58ce749d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6B6F170F</paraID>
      <start>0</start>
      <end>2</end>
      <status>unmodified</status>
      <modifiedWord/>
      <trackRevisions>false</trackRevisions>
    </reviewItem>
    <reviewItem>
      <errorID>59174091-fa9e-4013-9443-64798eb6b940</errorID>
      <errorWord>（</errorWord>
      <group>L1_Punc</group>
      <groupName>标点问题</groupName>
      <ability>L2_Punc_CN</ability>
      <abilityName>标点符号问题</abilityName>
      <candidateList/>
      <explain>同一形式括号套用。</explain>
      <paraID>30DD455C</paraID>
      <start>69</start>
      <end>70</end>
      <status>unmodified</status>
      <modifiedWord/>
      <trackRevisions>false</trackRevisions>
    </reviewItem>
    <reviewItem>
      <errorID>114afe42-5a9d-4aa2-b6c8-5a933656a519</errorID>
      <errorWord>）</errorWord>
      <group>L1_Punc</group>
      <groupName>标点问题</groupName>
      <ability>L2_Punc_CN</ability>
      <abilityName>标点符号问题</abilityName>
      <candidateList/>
      <explain>同一形式括号套用。</explain>
      <paraID>30DD455C</paraID>
      <start>71</start>
      <end>72</end>
      <status>ignored</status>
      <modifiedWord/>
      <trackRevisions>false</trackRevisions>
    </reviewItem>
    <reviewItem>
      <errorID>ea4135bc-5f81-4e86-a713-977c923b84a4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12072284</paraID>
      <start>0</start>
      <end>2</end>
      <status>unmodified</status>
      <modifiedWord/>
      <trackRevisions>false</trackRevisions>
    </reviewItem>
    <reviewItem>
      <errorID>2b8d9558-51bd-413c-a34a-fdb0ac1a712f</errorID>
      <errorWord>,</errorWord>
      <group>L1_Format</group>
      <groupName>格式问题</groupName>
      <ability>L2_HalfPunc_CN</ability>
      <abilityName>全半角问题</abilityName>
      <candidateList>
        <item>，</item>
      </candidateList>
      <explain>文本全半角错误。</explain>
      <paraID>74255D4F</paraID>
      <start>99</start>
      <end>101</end>
      <status>modified</status>
      <modifiedWord>，</modifiedWord>
      <trackRevisions>true</trackRevisions>
    </reviewItem>
    <reviewItem>
      <errorID>a4256a24-87f0-4efa-9d5d-65686f3b3fc8</errorID>
      <errorWord>,</errorWord>
      <group>L1_Format</group>
      <groupName>格式问题</groupName>
      <ability>L2_HalfPunc_CN</ability>
      <abilityName>全半角问题</abilityName>
      <candidateList>
        <item>，</item>
      </candidateList>
      <explain>文本全半角错误。</explain>
      <paraID>587993E9</paraID>
      <start>93</start>
      <end>95</end>
      <status>modified</status>
      <modifiedWord>，</modifiedWord>
      <trackRevisions>true</trackRevisions>
    </reviewItem>
    <reviewItem>
      <errorID>0d0d15d3-da10-41c7-8711-06449dee4a6d</errorID>
      <errorWord>,</errorWord>
      <group>L1_Format</group>
      <groupName>格式问题</groupName>
      <ability>L2_HalfPunc_CN</ability>
      <abilityName>全半角问题</abilityName>
      <candidateList>
        <item>，</item>
      </candidateList>
      <explain>文本全半角错误。</explain>
      <paraID>4B2C475B</paraID>
      <start>84</start>
      <end>86</end>
      <status>modified</status>
      <modifiedWord>，</modifiedWord>
      <trackRevisions>true</trackRevisions>
    </reviewItem>
    <reviewItem>
      <errorID>624254d4-85c3-43d5-9b11-7d7fa4b465dc</errorID>
      <errorWord>（</errorWord>
      <group>L1_Punc</group>
      <groupName>标点问题</groupName>
      <ability>L2_Punc_CN</ability>
      <abilityName>标点符号问题</abilityName>
      <candidateList/>
      <explain>同一形式括号套用。</explain>
      <paraID>30C5D7E2</paraID>
      <start>59</start>
      <end>60</end>
      <status>ignored</status>
      <modifiedWord/>
      <trackRevisions>false</trackRevisions>
    </reviewItem>
    <reviewItem>
      <errorID>9fe7d9c5-6cd5-49ca-9743-31cb2d52510c</errorID>
      <errorWord>）</errorWord>
      <group>L1_Punc</group>
      <groupName>标点问题</groupName>
      <ability>L2_Punc_CN</ability>
      <abilityName>标点符号问题</abilityName>
      <candidateList/>
      <explain>同一形式括号套用。</explain>
      <paraID>30C5D7E2</paraID>
      <start>61</start>
      <end>62</end>
      <status>ignored</status>
      <modifiedWord/>
      <trackRevisions>false</trackRevisions>
    </reviewItem>
    <reviewItem>
      <errorID>b2a97f06-9f68-4b82-908b-87b9080b21a5</errorID>
      <errorWord>（</errorWord>
      <group>L1_Punc</group>
      <groupName>标点问题</groupName>
      <ability>L2_Punc_CN</ability>
      <abilityName>标点符号问题</abilityName>
      <candidateList/>
      <explain>同一形式括号套用。</explain>
      <paraID>6A36B212</paraID>
      <start>180</start>
      <end>181</end>
      <status>ignored</status>
      <modifiedWord/>
      <trackRevisions>false</trackRevisions>
    </reviewItem>
    <reviewItem>
      <errorID>2217c128-1da6-4289-ab9b-3a8764e6890f</errorID>
      <errorWord>(</errorWord>
      <group>L1_Punc</group>
      <groupName>标点问题</groupName>
      <ability>L2_Punc_CN</ability>
      <abilityName>标点符号问题</abilityName>
      <candidateList/>
      <explain>同一形式括号套用。</explain>
      <paraID>6A36B212</paraID>
      <start>191</start>
      <end>192</end>
      <status>ignored</status>
      <modifiedWord/>
      <trackRevisions>false</trackRevisions>
    </reviewItem>
    <reviewItem>
      <errorID>731faa3a-4ad4-4f79-99ba-d5e92af2511f</errorID>
      <errorWord>)</errorWord>
      <group>L1_Punc</group>
      <groupName>标点问题</groupName>
      <ability>L2_Punc_CN</ability>
      <abilityName>标点符号问题</abilityName>
      <candidateList/>
      <explain>同一形式括号套用。</explain>
      <paraID>6A36B212</paraID>
      <start>193</start>
      <end>194</end>
      <status>ignored</status>
      <modifiedWord/>
      <trackRevisions>false</trackRevisions>
    </reviewItem>
    <reviewItem>
      <errorID>5089d78a-0459-46fc-9ff7-858118d5d243</errorID>
      <errorWord>）</errorWord>
      <group>L1_Punc</group>
      <groupName>标点问题</groupName>
      <ability>L2_Punc_CN</ability>
      <abilityName>标点符号问题</abilityName>
      <candidateList/>
      <explain>同一形式括号套用。</explain>
      <paraID>6A36B212</paraID>
      <start>195</start>
      <end>196</end>
      <status>ignored</status>
      <modifiedWord/>
      <trackRevisions>false</trackRevisions>
    </reviewItem>
    <reviewItem>
      <errorID>ede30b9d-fb38-482b-af77-51b4f5be7832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47B37345</paraID>
      <start>13</start>
      <end>16</end>
      <status>unmodified</status>
      <modifiedWord/>
      <trackRevisions>false</trackRevisions>
    </reviewItem>
    <reviewItem>
      <errorID>fd109f77-926b-4e28-99e0-643b7d09cd22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19357E7C</paraID>
      <start>42</start>
      <end>45</end>
      <status>unmodified</status>
      <modifiedWord/>
      <trackRevisions>false</trackRevisions>
    </reviewItem>
    <reviewItem>
      <errorID>49b10c1d-e3b7-4c11-ad62-6db76299315a</errorID>
      <errorWord>下</errorWord>
      <group>L1_Word</group>
      <groupName>字词问题</groupName>
      <ability>L2_Typo</ability>
      <abilityName>字词错误</abilityName>
      <candidateList>
        <item>下简</item>
      </candidateList>
      <explain/>
      <paraID>63D6EB2F</paraID>
      <start>8</start>
      <end>9</end>
      <status>unmodified</status>
      <modifiedWord/>
      <trackRevisions>false</trackRevisions>
    </reviewItem>
    <reviewItem>
      <errorID>87779b84-0d73-482b-82f0-4c8c1bdce28e</errorID>
      <errorWord>下</errorWord>
      <group>L1_Word</group>
      <groupName>字词问题</groupName>
      <ability>L2_Typo</ability>
      <abilityName>字词错误</abilityName>
      <candidateList>
        <item>下简</item>
      </candidateList>
      <explain/>
      <paraID>47094B2E</paraID>
      <start>8</start>
      <end>9</end>
      <status>unmodified</status>
      <modifiedWord/>
      <trackRevisions>false</trackRevisions>
    </reviewItem>
    <reviewItem>
      <errorID>1c4dc44e-5c4b-414e-a9e6-649e3c3d0292</errorID>
      <errorWord>其</errorWord>
      <group>L1_Word</group>
      <groupName>字词问题</groupName>
      <ability>L2_Typo</ability>
      <abilityName>字词错误</abilityName>
      <candidateList>
        <item>其他</item>
      </candidateList>
      <explain/>
      <paraID>709DE66E</paraID>
      <start>57</start>
      <end>58</end>
      <status>unmodified</status>
      <modifiedWord/>
      <trackRevisions>false</trackRevisions>
    </reviewItem>
    <reviewItem>
      <errorID>8817232e-91dd-4a43-99e7-150a6469af8b</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3C44597D</paraID>
      <start>40</start>
      <end>43</end>
      <status>unmodified</status>
      <modifiedWord/>
      <trackRevisions>false</trackRevisions>
    </reviewItem>
    <reviewItem>
      <errorID>1bf4e33a-2b82-434a-896b-6ba2b45a4abf</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2823601A</paraID>
      <start>81</start>
      <end>88</end>
      <status>unmodified</status>
      <modifiedWord/>
      <trackRevisions>false</trackRevisions>
    </reviewItem>
    <reviewItem>
      <errorID>00a9622b-57ea-47a0-a7d5-5862b906c481</errorID>
      <errorWord>应</errorWord>
      <group>L1_Word</group>
      <groupName>字词问题</groupName>
      <ability>L2_Typo</ability>
      <abilityName>字词错误</abilityName>
      <candidateList>
        <item>应当</item>
      </candidateList>
      <explain/>
      <paraID>492A4662</paraID>
      <start>34</start>
      <end>35</end>
      <status>unmodified</status>
      <modifiedWord/>
      <trackRevisions>false</trackRevisions>
    </reviewItem>
    <reviewItem>
      <errorID>eab943d7-4d39-4482-bcbb-215d75a47eb3</errorID>
      <errorWord>作</errorWord>
      <group>L1_Word</group>
      <groupName>字词问题</groupName>
      <ability>L2_Typo</ability>
      <abilityName>字词错误</abilityName>
      <candidateList>
        <item>做</item>
      </candidateList>
      <explain>存在发音相同字词的误用。</explain>
      <paraID>7ED140ED</paraID>
      <start>4</start>
      <end>5</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C5D497-6E33-44E0-A7D7-4E634D305A8D}">
  <ds:schemaRefs/>
</ds:datastoreItem>
</file>

<file path=customXml/itemProps3.xml><?xml version="1.0" encoding="utf-8"?>
<ds:datastoreItem xmlns:ds="http://schemas.openxmlformats.org/officeDocument/2006/customXml" ds:itemID="{452964BF-DDEE-4BD8-AB4B-94606F7767D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100</Pages>
  <Words>13258</Words>
  <Characters>14521</Characters>
  <TotalTime>21</TotalTime>
  <ScaleCrop>false</ScaleCrop>
  <LinksUpToDate>false</LinksUpToDate>
  <CharactersWithSpaces>14630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2023-03-23T08:26:00Z</dcterms:created>
  <dc:creator>user</dc:creator>
  <cp:lastModifiedBy>F</cp:lastModifiedBy>
  <dcterms:modified xsi:type="dcterms:W3CDTF">2026-10-13T06:48:27Z</dcterms:modified>
  <dc:title>招  标  文  件</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C770E9A0EC824BEB862EA52D4AF17E97_13</vt:lpwstr>
  </property>
  <property fmtid="{D5CDD505-2E9C-101B-9397-08002B2CF9AE}" pid="4" name="KSOTemplateDocerSaveRecord">
    <vt:lpwstr>eyJoZGlkIjoiMWQ4NTkwNmFiY2M5MGQzMzUyYmZkYTI0Zjg4Nzk3MmQiLCJ1c2VySWQiOiI1NjEyNDU1MTgifQ==</vt:lpwstr>
  </property>
</Properties>
</file>