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70283">
      <w:pPr>
        <w:snapToGrid w:val="0"/>
        <w:spacing w:line="440" w:lineRule="atLeast"/>
        <w:ind w:firstLine="465"/>
        <w:jc w:val="center"/>
        <w:rPr>
          <w:rFonts w:hint="eastAsia" w:ascii="宋体" w:hAnsi="宋体"/>
          <w:b/>
          <w:sz w:val="36"/>
          <w:szCs w:val="36"/>
          <w:lang w:val="zh-CN"/>
        </w:rPr>
      </w:pPr>
      <w:bookmarkStart w:id="0" w:name="_GoBack"/>
      <w:r>
        <w:rPr>
          <w:rFonts w:hint="eastAsia" w:ascii="宋体" w:hAnsi="宋体"/>
          <w:b/>
          <w:sz w:val="36"/>
          <w:szCs w:val="36"/>
          <w:lang w:val="zh-CN"/>
        </w:rPr>
        <w:t>云亭派出所营房修缮项目</w:t>
      </w:r>
    </w:p>
    <w:bookmarkEnd w:id="0"/>
    <w:p w14:paraId="2EE62C71">
      <w:pPr>
        <w:snapToGrid w:val="0"/>
        <w:spacing w:line="440" w:lineRule="atLeast"/>
        <w:ind w:firstLine="465"/>
        <w:jc w:val="center"/>
        <w:rPr>
          <w:rFonts w:ascii="宋体" w:hAnsi="宋体"/>
          <w:b/>
          <w:sz w:val="36"/>
          <w:szCs w:val="36"/>
          <w:lang w:val="zh-CN"/>
        </w:rPr>
      </w:pPr>
      <w:r>
        <w:rPr>
          <w:rFonts w:hint="eastAsia" w:ascii="宋体" w:hAnsi="宋体"/>
          <w:b/>
          <w:sz w:val="36"/>
          <w:szCs w:val="36"/>
          <w:lang w:val="en-US" w:eastAsia="zh-CN"/>
        </w:rPr>
        <w:t>清单</w:t>
      </w:r>
      <w:r>
        <w:rPr>
          <w:rFonts w:hint="eastAsia" w:ascii="宋体" w:hAnsi="宋体"/>
          <w:b/>
          <w:sz w:val="36"/>
          <w:szCs w:val="36"/>
          <w:lang w:val="zh-CN"/>
        </w:rPr>
        <w:t>编制说明</w:t>
      </w:r>
    </w:p>
    <w:p w14:paraId="5E8DD88F">
      <w:pPr>
        <w:numPr>
          <w:ilvl w:val="0"/>
          <w:numId w:val="1"/>
        </w:numPr>
        <w:snapToGrid w:val="0"/>
        <w:spacing w:line="440" w:lineRule="atLeast"/>
        <w:rPr>
          <w:rFonts w:ascii="宋体" w:hAnsi="宋体" w:cs="宋体"/>
          <w:b/>
          <w:sz w:val="24"/>
          <w:lang w:val="zh-CN"/>
        </w:rPr>
      </w:pPr>
      <w:r>
        <w:rPr>
          <w:rFonts w:hint="eastAsia" w:ascii="宋体" w:hAnsi="宋体" w:cs="宋体"/>
          <w:b/>
          <w:sz w:val="24"/>
          <w:lang w:val="zh-CN"/>
        </w:rPr>
        <w:t>工程概况：</w:t>
      </w:r>
    </w:p>
    <w:p w14:paraId="5F6B2E12">
      <w:pPr>
        <w:snapToGrid w:val="0"/>
        <w:spacing w:line="440" w:lineRule="atLeast"/>
        <w:ind w:left="479" w:leftChars="228" w:firstLine="480" w:firstLineChars="200"/>
        <w:rPr>
          <w:rFonts w:hint="eastAsia" w:ascii="宋体" w:hAnsi="宋体" w:cs="宋体"/>
          <w:bCs/>
          <w:color w:val="auto"/>
          <w:sz w:val="24"/>
          <w:lang w:val="en-US" w:eastAsia="zh-CN"/>
        </w:rPr>
      </w:pPr>
      <w:r>
        <w:rPr>
          <w:rFonts w:hint="eastAsia" w:ascii="宋体" w:hAnsi="宋体" w:cs="宋体"/>
          <w:bCs/>
          <w:sz w:val="24"/>
          <w:lang w:val="zh-CN"/>
        </w:rPr>
        <w:t>云亭派出所营房修缮项目</w:t>
      </w:r>
      <w:r>
        <w:rPr>
          <w:rFonts w:hint="eastAsia" w:ascii="宋体" w:hAnsi="宋体" w:cs="宋体"/>
          <w:bCs/>
          <w:sz w:val="24"/>
        </w:rPr>
        <w:t>，位于江阴市</w:t>
      </w:r>
      <w:r>
        <w:rPr>
          <w:rFonts w:hint="eastAsia" w:ascii="宋体" w:hAnsi="宋体" w:cs="宋体"/>
          <w:bCs/>
          <w:sz w:val="24"/>
          <w:lang w:val="en-US" w:eastAsia="zh-CN"/>
        </w:rPr>
        <w:t>澄扬路555号</w:t>
      </w:r>
      <w:r>
        <w:rPr>
          <w:rFonts w:hint="eastAsia" w:ascii="宋体" w:hAnsi="宋体" w:cs="宋体"/>
          <w:bCs/>
          <w:sz w:val="24"/>
        </w:rPr>
        <w:t>，综合服务中心改造区域(约440m</w:t>
      </w:r>
      <w:r>
        <w:rPr>
          <w:rFonts w:hint="eastAsia" w:ascii="宋体" w:hAnsi="宋体" w:cs="宋体"/>
          <w:bCs/>
          <w:sz w:val="24"/>
          <w:vertAlign w:val="superscript"/>
        </w:rPr>
        <w:t>2</w:t>
      </w:r>
      <w:r>
        <w:rPr>
          <w:rFonts w:hint="eastAsia" w:ascii="宋体" w:hAnsi="宋体" w:cs="宋体"/>
          <w:bCs/>
          <w:sz w:val="24"/>
        </w:rPr>
        <w:t>)功能间调整，过道墙顶地装修改造、卫生间整体翻新改造。处警大厅改造区域(约191m</w:t>
      </w:r>
      <w:r>
        <w:rPr>
          <w:rFonts w:hint="eastAsia" w:ascii="宋体" w:hAnsi="宋体" w:cs="宋体"/>
          <w:bCs/>
          <w:sz w:val="24"/>
          <w:vertAlign w:val="superscript"/>
        </w:rPr>
        <w:t>2</w:t>
      </w:r>
      <w:r>
        <w:rPr>
          <w:rFonts w:hint="eastAsia" w:ascii="宋体" w:hAnsi="宋体" w:cs="宋体"/>
          <w:bCs/>
          <w:sz w:val="24"/>
        </w:rPr>
        <w:t>)增加司机办公室、联防辅警室。主楼一楼大厅及雨棚改造、主楼三楼四楼改造区域(约</w:t>
      </w:r>
      <w:r>
        <w:rPr>
          <w:rFonts w:hint="eastAsia" w:ascii="宋体" w:hAnsi="宋体" w:cs="宋体"/>
          <w:bCs/>
          <w:sz w:val="24"/>
          <w:lang w:val="en-US" w:eastAsia="zh-CN"/>
        </w:rPr>
        <w:t>600</w:t>
      </w:r>
      <w:r>
        <w:rPr>
          <w:rFonts w:hint="eastAsia" w:ascii="宋体" w:hAnsi="宋体" w:cs="宋体"/>
          <w:bCs/>
          <w:sz w:val="24"/>
        </w:rPr>
        <w:t>m</w:t>
      </w:r>
      <w:r>
        <w:rPr>
          <w:rFonts w:hint="eastAsia" w:ascii="宋体" w:hAnsi="宋体" w:cs="宋体"/>
          <w:bCs/>
          <w:sz w:val="24"/>
          <w:vertAlign w:val="superscript"/>
        </w:rPr>
        <w:t>2</w:t>
      </w:r>
      <w:r>
        <w:rPr>
          <w:rFonts w:hint="eastAsia" w:ascii="宋体" w:hAnsi="宋体" w:cs="宋体"/>
          <w:bCs/>
          <w:sz w:val="24"/>
        </w:rPr>
        <w:t>)，对已有功能调整优化，过道墙顶地装修改造、卫生间整体翻新改造等。</w:t>
      </w:r>
      <w:r>
        <w:rPr>
          <w:rFonts w:hint="eastAsia" w:ascii="宋体" w:hAnsi="宋体" w:cs="宋体"/>
          <w:bCs/>
          <w:sz w:val="24"/>
          <w:lang w:val="en-US" w:eastAsia="zh-CN"/>
        </w:rPr>
        <w:t>室外场地美化，辅楼及食堂、宿舍、屋面等多处改造约400</w:t>
      </w:r>
      <w:r>
        <w:rPr>
          <w:rFonts w:hint="eastAsia" w:ascii="宋体" w:hAnsi="宋体" w:cs="宋体"/>
          <w:bCs/>
          <w:sz w:val="24"/>
        </w:rPr>
        <w:t>m</w:t>
      </w:r>
      <w:r>
        <w:rPr>
          <w:rFonts w:hint="eastAsia" w:ascii="宋体" w:hAnsi="宋体" w:cs="宋体"/>
          <w:bCs/>
          <w:sz w:val="24"/>
          <w:vertAlign w:val="superscript"/>
        </w:rPr>
        <w:t>2</w:t>
      </w:r>
      <w:r>
        <w:rPr>
          <w:rFonts w:hint="eastAsia" w:ascii="宋体" w:hAnsi="宋体" w:cs="宋体"/>
          <w:bCs/>
          <w:sz w:val="24"/>
        </w:rPr>
        <w:t>。</w:t>
      </w:r>
    </w:p>
    <w:p w14:paraId="16FF11C1">
      <w:pPr>
        <w:numPr>
          <w:ilvl w:val="0"/>
          <w:numId w:val="1"/>
        </w:numPr>
        <w:snapToGrid w:val="0"/>
        <w:spacing w:line="440" w:lineRule="atLeast"/>
        <w:rPr>
          <w:rFonts w:ascii="宋体" w:hAnsi="宋体" w:cs="宋体"/>
          <w:b/>
          <w:sz w:val="24"/>
          <w:lang w:val="zh-CN"/>
        </w:rPr>
      </w:pPr>
      <w:r>
        <w:rPr>
          <w:rFonts w:hint="eastAsia" w:ascii="宋体" w:hAnsi="宋体" w:cs="宋体"/>
          <w:b/>
          <w:sz w:val="24"/>
          <w:lang w:val="zh-CN"/>
        </w:rPr>
        <w:t>招标范围：</w:t>
      </w:r>
    </w:p>
    <w:p w14:paraId="112A3676">
      <w:pPr>
        <w:numPr>
          <w:ilvl w:val="0"/>
          <w:numId w:val="2"/>
        </w:numPr>
        <w:tabs>
          <w:tab w:val="left" w:pos="425"/>
        </w:tabs>
        <w:spacing w:line="440" w:lineRule="exact"/>
        <w:ind w:left="845" w:right="25" w:rightChars="12"/>
        <w:rPr>
          <w:rFonts w:ascii="宋体" w:hAnsi="宋体" w:cs="宋体"/>
          <w:bCs/>
          <w:sz w:val="24"/>
          <w:lang w:val="zh-CN"/>
        </w:rPr>
      </w:pPr>
      <w:r>
        <w:rPr>
          <w:rFonts w:hint="eastAsia" w:ascii="宋体" w:hAnsi="宋体" w:cs="宋体"/>
          <w:bCs/>
          <w:sz w:val="24"/>
          <w:lang w:val="zh-CN"/>
        </w:rPr>
        <w:t>拟建《云亭派出所营房修缮项目》</w:t>
      </w:r>
      <w:r>
        <w:rPr>
          <w:rFonts w:hint="eastAsia" w:ascii="宋体" w:hAnsi="宋体" w:cs="宋体"/>
          <w:bCs/>
          <w:sz w:val="24"/>
        </w:rPr>
        <w:t>工程量清单</w:t>
      </w:r>
      <w:r>
        <w:rPr>
          <w:rFonts w:hint="eastAsia" w:ascii="宋体" w:hAnsi="宋体" w:cs="宋体"/>
          <w:bCs/>
          <w:sz w:val="24"/>
          <w:lang w:val="zh-CN"/>
        </w:rPr>
        <w:t>中的所有工程。</w:t>
      </w:r>
    </w:p>
    <w:p w14:paraId="47AAFC53">
      <w:pPr>
        <w:numPr>
          <w:ilvl w:val="0"/>
          <w:numId w:val="2"/>
        </w:numPr>
        <w:tabs>
          <w:tab w:val="left" w:pos="425"/>
        </w:tabs>
        <w:spacing w:line="440" w:lineRule="exact"/>
        <w:ind w:left="845" w:right="25" w:rightChars="12"/>
        <w:rPr>
          <w:rFonts w:ascii="宋体" w:hAnsi="宋体" w:cs="宋体"/>
          <w:bCs/>
          <w:sz w:val="24"/>
          <w:lang w:val="zh-CN"/>
        </w:rPr>
      </w:pPr>
      <w:r>
        <w:rPr>
          <w:rFonts w:hint="eastAsia" w:ascii="宋体" w:hAnsi="宋体" w:cs="宋体"/>
          <w:bCs/>
          <w:sz w:val="24"/>
          <w:lang w:val="zh-CN"/>
        </w:rPr>
        <w:t>以下工程不包括在本次工程量清单范围内：工程量清单及改造</w:t>
      </w:r>
      <w:r>
        <w:rPr>
          <w:rFonts w:hint="eastAsia" w:ascii="宋体" w:hAnsi="宋体" w:cs="宋体"/>
          <w:bCs/>
          <w:sz w:val="24"/>
        </w:rPr>
        <w:t>图纸</w:t>
      </w:r>
      <w:r>
        <w:rPr>
          <w:rFonts w:hint="eastAsia" w:ascii="宋体" w:hAnsi="宋体" w:cs="宋体"/>
          <w:bCs/>
          <w:sz w:val="24"/>
          <w:lang w:val="zh-CN"/>
        </w:rPr>
        <w:t>方案上没有的内容。</w:t>
      </w:r>
    </w:p>
    <w:p w14:paraId="3348F407">
      <w:pPr>
        <w:numPr>
          <w:ilvl w:val="0"/>
          <w:numId w:val="1"/>
        </w:numPr>
        <w:snapToGrid w:val="0"/>
        <w:spacing w:line="440" w:lineRule="atLeast"/>
        <w:rPr>
          <w:rFonts w:ascii="宋体" w:hAnsi="宋体" w:cs="宋体"/>
          <w:b/>
          <w:sz w:val="24"/>
          <w:lang w:val="zh-CN"/>
        </w:rPr>
      </w:pPr>
      <w:r>
        <w:rPr>
          <w:rFonts w:hint="eastAsia" w:ascii="宋体" w:hAnsi="宋体" w:cs="宋体"/>
          <w:b/>
          <w:sz w:val="24"/>
          <w:lang w:val="zh-CN"/>
        </w:rPr>
        <w:t>编制依据：</w:t>
      </w:r>
    </w:p>
    <w:p w14:paraId="7331E510">
      <w:pPr>
        <w:numPr>
          <w:ilvl w:val="0"/>
          <w:numId w:val="3"/>
        </w:numPr>
        <w:tabs>
          <w:tab w:val="left" w:pos="425"/>
        </w:tabs>
        <w:spacing w:line="440" w:lineRule="exact"/>
        <w:ind w:left="845" w:right="25" w:rightChars="12"/>
        <w:jc w:val="left"/>
        <w:rPr>
          <w:rFonts w:hint="eastAsia" w:ascii="宋体" w:hAnsi="宋体" w:eastAsia="宋体" w:cs="宋体"/>
          <w:bCs/>
          <w:kern w:val="2"/>
          <w:sz w:val="24"/>
          <w:szCs w:val="24"/>
          <w:lang w:val="zh-CN" w:eastAsia="zh-CN" w:bidi="ar-SA"/>
        </w:rPr>
      </w:pPr>
      <w:r>
        <w:rPr>
          <w:rFonts w:hint="eastAsia" w:ascii="宋体" w:hAnsi="宋体" w:cs="宋体"/>
          <w:bCs/>
          <w:sz w:val="24"/>
          <w:lang w:val="zh-CN"/>
        </w:rPr>
        <w:t>云亭派出所营房修缮项目</w:t>
      </w:r>
      <w:r>
        <w:rPr>
          <w:rFonts w:hint="eastAsia" w:ascii="宋体" w:hAnsi="宋体" w:eastAsia="宋体" w:cs="宋体"/>
          <w:bCs/>
          <w:kern w:val="2"/>
          <w:sz w:val="24"/>
          <w:szCs w:val="24"/>
          <w:lang w:val="zh-CN" w:eastAsia="zh-CN" w:bidi="ar-SA"/>
        </w:rPr>
        <w:t>招标文件；</w:t>
      </w:r>
    </w:p>
    <w:p w14:paraId="387C45E4">
      <w:pPr>
        <w:numPr>
          <w:ilvl w:val="0"/>
          <w:numId w:val="3"/>
        </w:numPr>
        <w:tabs>
          <w:tab w:val="left" w:pos="425"/>
        </w:tabs>
        <w:spacing w:line="440" w:lineRule="exact"/>
        <w:ind w:left="845" w:right="25" w:rightChars="12"/>
        <w:jc w:val="left"/>
        <w:rPr>
          <w:rFonts w:hint="eastAsia" w:ascii="宋体" w:hAnsi="宋体" w:eastAsia="宋体" w:cs="宋体"/>
          <w:bCs/>
          <w:kern w:val="2"/>
          <w:sz w:val="24"/>
          <w:szCs w:val="24"/>
          <w:lang w:val="zh-CN" w:eastAsia="zh-CN" w:bidi="ar-SA"/>
        </w:rPr>
      </w:pPr>
      <w:r>
        <w:rPr>
          <w:rFonts w:hint="eastAsia" w:ascii="宋体" w:hAnsi="宋体" w:eastAsia="宋体" w:cs="宋体"/>
          <w:bCs/>
          <w:kern w:val="2"/>
          <w:sz w:val="24"/>
          <w:szCs w:val="24"/>
          <w:lang w:val="zh-CN" w:eastAsia="zh-CN" w:bidi="ar-SA"/>
        </w:rPr>
        <w:t>由建设单位提供的</w:t>
      </w:r>
      <w:r>
        <w:rPr>
          <w:rFonts w:hint="eastAsia" w:ascii="宋体" w:hAnsi="宋体" w:cs="宋体"/>
          <w:bCs/>
          <w:kern w:val="2"/>
          <w:sz w:val="24"/>
          <w:szCs w:val="24"/>
          <w:lang w:val="en-US" w:eastAsia="zh-CN" w:bidi="ar-SA"/>
        </w:rPr>
        <w:t>设计施工</w:t>
      </w:r>
      <w:r>
        <w:rPr>
          <w:rFonts w:hint="eastAsia" w:ascii="宋体" w:hAnsi="宋体" w:eastAsia="宋体" w:cs="宋体"/>
          <w:bCs/>
          <w:kern w:val="2"/>
          <w:sz w:val="24"/>
          <w:szCs w:val="24"/>
          <w:lang w:val="en-US" w:eastAsia="zh-CN" w:bidi="ar-SA"/>
        </w:rPr>
        <w:t>图纸</w:t>
      </w:r>
      <w:r>
        <w:rPr>
          <w:rFonts w:hint="eastAsia" w:ascii="宋体" w:hAnsi="宋体" w:eastAsia="宋体" w:cs="宋体"/>
          <w:bCs/>
          <w:kern w:val="2"/>
          <w:sz w:val="24"/>
          <w:szCs w:val="24"/>
          <w:lang w:val="zh-CN" w:eastAsia="zh-CN" w:bidi="ar-SA"/>
        </w:rPr>
        <w:t>方案结合现场</w:t>
      </w:r>
      <w:r>
        <w:rPr>
          <w:rFonts w:hint="eastAsia" w:ascii="宋体" w:hAnsi="宋体" w:cs="宋体"/>
          <w:bCs/>
          <w:kern w:val="2"/>
          <w:sz w:val="24"/>
          <w:szCs w:val="24"/>
          <w:lang w:val="zh-CN" w:eastAsia="zh-CN" w:bidi="ar-SA"/>
        </w:rPr>
        <w:t>实际</w:t>
      </w:r>
      <w:r>
        <w:rPr>
          <w:rFonts w:hint="eastAsia" w:ascii="宋体" w:hAnsi="宋体" w:eastAsia="宋体" w:cs="宋体"/>
          <w:bCs/>
          <w:kern w:val="2"/>
          <w:sz w:val="24"/>
          <w:szCs w:val="24"/>
          <w:lang w:val="zh-CN" w:eastAsia="zh-CN" w:bidi="ar-SA"/>
        </w:rPr>
        <w:t>踏勘情况；</w:t>
      </w:r>
    </w:p>
    <w:p w14:paraId="56B3B7A5">
      <w:pPr>
        <w:numPr>
          <w:ilvl w:val="0"/>
          <w:numId w:val="3"/>
        </w:numPr>
        <w:tabs>
          <w:tab w:val="left" w:pos="425"/>
          <w:tab w:val="clear" w:pos="5"/>
        </w:tabs>
        <w:spacing w:line="440" w:lineRule="exact"/>
        <w:ind w:left="845" w:right="25" w:rightChars="12"/>
        <w:rPr>
          <w:rFonts w:ascii="宋体" w:hAnsi="宋体" w:cs="宋体"/>
          <w:bCs/>
          <w:sz w:val="24"/>
        </w:rPr>
      </w:pPr>
      <w:r>
        <w:rPr>
          <w:rFonts w:hint="eastAsia" w:ascii="宋体" w:hAnsi="宋体" w:cs="宋体"/>
          <w:bCs/>
          <w:sz w:val="24"/>
        </w:rPr>
        <w:t>清单依据：</w:t>
      </w:r>
    </w:p>
    <w:p w14:paraId="373D50BE">
      <w:pPr>
        <w:tabs>
          <w:tab w:val="left" w:pos="425"/>
        </w:tabs>
        <w:spacing w:line="440" w:lineRule="exact"/>
        <w:ind w:left="420" w:right="25" w:rightChars="12" w:firstLine="240" w:firstLineChars="100"/>
        <w:rPr>
          <w:rFonts w:hint="eastAsia" w:ascii="宋体" w:hAnsi="宋体" w:cs="宋体"/>
          <w:bCs/>
          <w:sz w:val="24"/>
        </w:rPr>
      </w:pPr>
      <w:r>
        <w:rPr>
          <w:rFonts w:hint="eastAsia" w:ascii="宋体" w:hAnsi="宋体" w:cs="宋体"/>
          <w:bCs/>
          <w:sz w:val="24"/>
        </w:rPr>
        <w:t>（1）《建设工程工程量清单计价规范》（GB/T50500-2024）；</w:t>
      </w:r>
    </w:p>
    <w:p w14:paraId="6F2F079E">
      <w:pPr>
        <w:tabs>
          <w:tab w:val="left" w:pos="425"/>
        </w:tabs>
        <w:spacing w:line="440" w:lineRule="exact"/>
        <w:ind w:left="420" w:right="25" w:rightChars="12" w:firstLine="240" w:firstLineChars="100"/>
        <w:rPr>
          <w:rFonts w:hint="eastAsia" w:ascii="宋体" w:hAnsi="宋体"/>
          <w:color w:val="000000"/>
          <w:sz w:val="24"/>
        </w:rPr>
      </w:pPr>
      <w:r>
        <w:rPr>
          <w:rFonts w:hint="eastAsia" w:ascii="宋体" w:hAnsi="宋体" w:cs="宋体"/>
          <w:bCs/>
          <w:sz w:val="24"/>
        </w:rPr>
        <w:t>（2）</w:t>
      </w:r>
      <w:r>
        <w:rPr>
          <w:rFonts w:hint="eastAsia" w:ascii="宋体" w:hAnsi="宋体"/>
          <w:color w:val="000000"/>
          <w:sz w:val="24"/>
        </w:rPr>
        <w:t>《房屋建筑与装饰工程工程量计算规范》（GB/T50854-2024）</w:t>
      </w:r>
      <w:r>
        <w:rPr>
          <w:rFonts w:hint="eastAsia" w:ascii="宋体" w:hAnsi="宋体" w:cs="宋体"/>
          <w:sz w:val="24"/>
        </w:rPr>
        <w:t>；</w:t>
      </w:r>
    </w:p>
    <w:p w14:paraId="0D080C7A">
      <w:pPr>
        <w:numPr>
          <w:ilvl w:val="0"/>
          <w:numId w:val="3"/>
        </w:numPr>
        <w:tabs>
          <w:tab w:val="left" w:pos="425"/>
          <w:tab w:val="clear" w:pos="5"/>
        </w:tabs>
        <w:spacing w:line="440" w:lineRule="exact"/>
        <w:ind w:left="845" w:right="25" w:rightChars="12"/>
        <w:rPr>
          <w:rFonts w:ascii="宋体" w:hAnsi="宋体" w:cs="宋体"/>
          <w:bCs/>
          <w:sz w:val="24"/>
        </w:rPr>
      </w:pPr>
      <w:r>
        <w:rPr>
          <w:rFonts w:hint="eastAsia" w:ascii="宋体" w:hAnsi="宋体" w:cs="宋体"/>
          <w:bCs/>
          <w:sz w:val="24"/>
        </w:rPr>
        <w:t>施工规范按照现行的施工规范和操作规程；</w:t>
      </w:r>
    </w:p>
    <w:p w14:paraId="0CF92248">
      <w:pPr>
        <w:numPr>
          <w:ilvl w:val="0"/>
          <w:numId w:val="3"/>
        </w:numPr>
        <w:tabs>
          <w:tab w:val="left" w:pos="425"/>
        </w:tabs>
        <w:spacing w:line="440" w:lineRule="exact"/>
        <w:ind w:left="845" w:right="25" w:rightChars="12"/>
        <w:rPr>
          <w:rFonts w:ascii="宋体" w:hAnsi="宋体" w:cs="宋体"/>
          <w:bCs/>
          <w:sz w:val="24"/>
        </w:rPr>
      </w:pPr>
      <w:r>
        <w:rPr>
          <w:rFonts w:hint="eastAsia" w:ascii="宋体" w:hAnsi="宋体" w:cs="宋体"/>
          <w:bCs/>
          <w:sz w:val="24"/>
        </w:rPr>
        <w:t>本工程量清单应与招标文件、投标须知、工程规范、清单计价规范及相关文件等一起使用。</w:t>
      </w:r>
    </w:p>
    <w:p w14:paraId="609A8091">
      <w:pPr>
        <w:numPr>
          <w:ilvl w:val="0"/>
          <w:numId w:val="1"/>
        </w:numPr>
        <w:snapToGrid w:val="0"/>
        <w:spacing w:line="440" w:lineRule="atLeast"/>
        <w:rPr>
          <w:rFonts w:hint="eastAsia" w:ascii="宋体" w:hAnsi="宋体" w:cs="宋体"/>
          <w:b/>
          <w:sz w:val="24"/>
          <w:lang w:val="zh-CN"/>
        </w:rPr>
      </w:pPr>
      <w:r>
        <w:rPr>
          <w:rFonts w:hint="eastAsia" w:ascii="宋体" w:hAnsi="宋体" w:cs="宋体"/>
          <w:b/>
          <w:sz w:val="24"/>
          <w:lang w:val="zh-CN"/>
        </w:rPr>
        <w:t>工程质量要求：</w:t>
      </w:r>
      <w:r>
        <w:rPr>
          <w:rFonts w:hint="eastAsia" w:ascii="宋体" w:hAnsi="宋体" w:cs="宋体"/>
          <w:bCs/>
          <w:sz w:val="24"/>
          <w:lang w:val="zh-CN"/>
        </w:rPr>
        <w:t>合格</w:t>
      </w:r>
    </w:p>
    <w:p w14:paraId="1E2B62B0">
      <w:pPr>
        <w:numPr>
          <w:ilvl w:val="0"/>
          <w:numId w:val="1"/>
        </w:numPr>
        <w:snapToGrid w:val="0"/>
        <w:spacing w:line="440" w:lineRule="atLeast"/>
        <w:rPr>
          <w:rFonts w:hint="eastAsia" w:ascii="宋体" w:hAnsi="宋体" w:cs="宋体"/>
          <w:b/>
          <w:sz w:val="24"/>
          <w:lang w:val="zh-CN"/>
        </w:rPr>
      </w:pPr>
      <w:r>
        <w:rPr>
          <w:rFonts w:hint="eastAsia" w:ascii="宋体" w:hAnsi="宋体" w:cs="宋体"/>
          <w:b/>
          <w:sz w:val="24"/>
          <w:lang w:val="zh-CN"/>
        </w:rPr>
        <w:t>工期要求</w:t>
      </w:r>
      <w:r>
        <w:rPr>
          <w:rFonts w:hint="eastAsia" w:ascii="宋体" w:hAnsi="宋体" w:cs="宋体"/>
          <w:b/>
          <w:sz w:val="28"/>
          <w:szCs w:val="28"/>
          <w:lang w:val="zh-CN"/>
        </w:rPr>
        <w:t>：</w:t>
      </w:r>
      <w:r>
        <w:rPr>
          <w:rFonts w:hint="eastAsia" w:ascii="宋体" w:hAnsi="宋体" w:cs="宋体"/>
          <w:b/>
          <w:sz w:val="24"/>
          <w:highlight w:val="none"/>
          <w:u w:val="single"/>
        </w:rPr>
        <w:t xml:space="preserve"> </w:t>
      </w:r>
      <w:r>
        <w:rPr>
          <w:rFonts w:hint="eastAsia" w:ascii="宋体" w:hAnsi="宋体" w:cs="宋体"/>
          <w:b/>
          <w:sz w:val="24"/>
          <w:highlight w:val="none"/>
          <w:u w:val="single"/>
          <w:lang w:val="en-US" w:eastAsia="zh-CN"/>
        </w:rPr>
        <w:t>60</w:t>
      </w:r>
      <w:r>
        <w:rPr>
          <w:rFonts w:hint="eastAsia" w:ascii="宋体" w:hAnsi="宋体" w:cs="宋体"/>
          <w:bCs/>
          <w:sz w:val="24"/>
          <w:highlight w:val="none"/>
          <w:lang w:val="zh-CN"/>
        </w:rPr>
        <w:t>天</w:t>
      </w:r>
    </w:p>
    <w:p w14:paraId="428A32A3">
      <w:pPr>
        <w:numPr>
          <w:ilvl w:val="0"/>
          <w:numId w:val="1"/>
        </w:numPr>
        <w:snapToGrid w:val="0"/>
        <w:spacing w:line="440" w:lineRule="atLeast"/>
        <w:rPr>
          <w:rFonts w:hint="eastAsia" w:ascii="宋体" w:hAnsi="宋体" w:cs="宋体"/>
          <w:b/>
          <w:sz w:val="28"/>
          <w:szCs w:val="28"/>
          <w:lang w:val="zh-CN"/>
        </w:rPr>
      </w:pPr>
      <w:r>
        <w:rPr>
          <w:rFonts w:hint="eastAsia" w:ascii="宋体" w:hAnsi="宋体" w:cs="宋体"/>
          <w:b/>
          <w:sz w:val="24"/>
          <w:lang w:val="zh-CN"/>
        </w:rPr>
        <w:t>费率计取：</w:t>
      </w:r>
      <w:r>
        <w:rPr>
          <w:rFonts w:ascii="宋体" w:hAnsi="宋体" w:cs="宋体"/>
          <w:b/>
          <w:sz w:val="24"/>
          <w:lang w:val="zh-CN"/>
        </w:rPr>
        <w:t>安全生产</w:t>
      </w:r>
      <w:r>
        <w:rPr>
          <w:rFonts w:hint="eastAsia" w:ascii="宋体" w:hAnsi="宋体" w:cs="宋体"/>
          <w:b/>
          <w:sz w:val="24"/>
          <w:lang w:val="zh-CN"/>
        </w:rPr>
        <w:t>费</w:t>
      </w:r>
      <w:r>
        <w:rPr>
          <w:rFonts w:ascii="宋体" w:hAnsi="宋体" w:cs="宋体"/>
          <w:b/>
          <w:sz w:val="24"/>
          <w:lang w:val="zh-CN"/>
        </w:rPr>
        <w:t>费率</w:t>
      </w:r>
      <w:r>
        <w:rPr>
          <w:rFonts w:hint="eastAsia" w:ascii="宋体" w:hAnsi="宋体" w:cs="Courier New"/>
          <w:b/>
          <w:szCs w:val="21"/>
        </w:rPr>
        <w:t>按照相关规定设置</w:t>
      </w:r>
      <w:r>
        <w:rPr>
          <w:rFonts w:hint="eastAsia" w:ascii="宋体" w:hAnsi="宋体" w:cs="宋体"/>
          <w:b/>
          <w:sz w:val="24"/>
          <w:lang w:val="zh-CN"/>
        </w:rPr>
        <w:t>，税金为不可竞争费，取费标准如下表：</w:t>
      </w:r>
    </w:p>
    <w:p w14:paraId="7705DF6F">
      <w:pPr>
        <w:snapToGrid w:val="0"/>
        <w:spacing w:line="440" w:lineRule="atLeast"/>
        <w:ind w:left="425"/>
        <w:rPr>
          <w:rFonts w:hint="eastAsia" w:ascii="宋体" w:hAnsi="宋体" w:cs="宋体"/>
          <w:b/>
          <w:sz w:val="28"/>
          <w:szCs w:val="28"/>
          <w:lang w:val="zh-CN"/>
        </w:rPr>
      </w:pPr>
    </w:p>
    <w:tbl>
      <w:tblPr>
        <w:tblStyle w:val="10"/>
        <w:tblW w:w="8040" w:type="dxa"/>
        <w:tblInd w:w="118" w:type="dxa"/>
        <w:tblLayout w:type="autofit"/>
        <w:tblCellMar>
          <w:top w:w="0" w:type="dxa"/>
          <w:left w:w="108" w:type="dxa"/>
          <w:bottom w:w="0" w:type="dxa"/>
          <w:right w:w="108" w:type="dxa"/>
        </w:tblCellMar>
      </w:tblPr>
      <w:tblGrid>
        <w:gridCol w:w="1700"/>
        <w:gridCol w:w="2720"/>
        <w:gridCol w:w="3620"/>
      </w:tblGrid>
      <w:tr w14:paraId="4E8BFB0C">
        <w:tblPrEx>
          <w:tblCellMar>
            <w:top w:w="0" w:type="dxa"/>
            <w:left w:w="108" w:type="dxa"/>
            <w:bottom w:w="0" w:type="dxa"/>
            <w:right w:w="108" w:type="dxa"/>
          </w:tblCellMar>
        </w:tblPrEx>
        <w:trPr>
          <w:trHeight w:val="468" w:hRule="atLeast"/>
        </w:trPr>
        <w:tc>
          <w:tcPr>
            <w:tcW w:w="1700" w:type="dxa"/>
            <w:tcBorders>
              <w:top w:val="single" w:color="auto" w:sz="8" w:space="0"/>
              <w:left w:val="single" w:color="auto" w:sz="8" w:space="0"/>
              <w:bottom w:val="single" w:color="auto" w:sz="8" w:space="0"/>
              <w:right w:val="single" w:color="auto" w:sz="8" w:space="0"/>
            </w:tcBorders>
            <w:shd w:val="clear" w:color="000000" w:fill="E6E6E6"/>
            <w:vAlign w:val="center"/>
          </w:tcPr>
          <w:p w14:paraId="3CD06926">
            <w:pPr>
              <w:widowControl/>
              <w:jc w:val="center"/>
              <w:rPr>
                <w:rFonts w:hint="eastAsia" w:ascii="宋体" w:hAnsi="宋体" w:cs="宋体"/>
                <w:color w:val="000000"/>
                <w:kern w:val="0"/>
                <w:szCs w:val="21"/>
              </w:rPr>
            </w:pPr>
            <w:r>
              <w:rPr>
                <w:rFonts w:ascii="宋体" w:hAnsi="宋体" w:cs="宋体"/>
                <w:color w:val="000000"/>
                <w:kern w:val="0"/>
                <w:szCs w:val="21"/>
              </w:rPr>
              <w:t>序号</w:t>
            </w:r>
          </w:p>
        </w:tc>
        <w:tc>
          <w:tcPr>
            <w:tcW w:w="2720" w:type="dxa"/>
            <w:tcBorders>
              <w:top w:val="single" w:color="auto" w:sz="8" w:space="0"/>
              <w:left w:val="nil"/>
              <w:bottom w:val="single" w:color="auto" w:sz="8" w:space="0"/>
              <w:right w:val="nil"/>
            </w:tcBorders>
            <w:shd w:val="clear" w:color="000000" w:fill="E6E6E6"/>
            <w:vAlign w:val="center"/>
          </w:tcPr>
          <w:p w14:paraId="34D73147">
            <w:pPr>
              <w:widowControl/>
              <w:jc w:val="center"/>
              <w:rPr>
                <w:rFonts w:hint="eastAsia" w:ascii="宋体" w:hAnsi="宋体" w:cs="宋体"/>
                <w:color w:val="000000"/>
                <w:kern w:val="0"/>
                <w:szCs w:val="21"/>
              </w:rPr>
            </w:pPr>
            <w:r>
              <w:rPr>
                <w:rFonts w:ascii="宋体" w:hAnsi="宋体" w:cs="宋体"/>
                <w:color w:val="000000"/>
                <w:kern w:val="0"/>
                <w:szCs w:val="21"/>
              </w:rPr>
              <w:t>一</w:t>
            </w:r>
          </w:p>
        </w:tc>
        <w:tc>
          <w:tcPr>
            <w:tcW w:w="3620" w:type="dxa"/>
            <w:tcBorders>
              <w:top w:val="single" w:color="auto" w:sz="8" w:space="0"/>
              <w:left w:val="nil"/>
              <w:bottom w:val="single" w:color="auto" w:sz="8" w:space="0"/>
              <w:right w:val="single" w:color="auto" w:sz="8" w:space="0"/>
            </w:tcBorders>
            <w:shd w:val="clear" w:color="000000" w:fill="E6E6E6"/>
            <w:vAlign w:val="center"/>
          </w:tcPr>
          <w:p w14:paraId="7A017AE7">
            <w:pPr>
              <w:widowControl/>
              <w:jc w:val="center"/>
              <w:rPr>
                <w:rFonts w:hint="eastAsia" w:ascii="宋体" w:hAnsi="宋体" w:cs="宋体"/>
                <w:color w:val="000000"/>
                <w:kern w:val="0"/>
                <w:szCs w:val="21"/>
              </w:rPr>
            </w:pPr>
            <w:r>
              <w:rPr>
                <w:rFonts w:ascii="宋体" w:hAnsi="宋体" w:cs="宋体"/>
                <w:color w:val="000000"/>
                <w:kern w:val="0"/>
                <w:szCs w:val="21"/>
              </w:rPr>
              <w:t>二</w:t>
            </w:r>
          </w:p>
        </w:tc>
      </w:tr>
      <w:tr w14:paraId="1351AED1">
        <w:tblPrEx>
          <w:tblCellMar>
            <w:top w:w="0" w:type="dxa"/>
            <w:left w:w="108" w:type="dxa"/>
            <w:bottom w:w="0" w:type="dxa"/>
            <w:right w:w="108" w:type="dxa"/>
          </w:tblCellMar>
        </w:tblPrEx>
        <w:trPr>
          <w:trHeight w:val="648" w:hRule="atLeast"/>
        </w:trPr>
        <w:tc>
          <w:tcPr>
            <w:tcW w:w="1700" w:type="dxa"/>
            <w:tcBorders>
              <w:top w:val="nil"/>
              <w:left w:val="single" w:color="auto" w:sz="8" w:space="0"/>
              <w:bottom w:val="nil"/>
              <w:right w:val="single" w:color="auto" w:sz="8" w:space="0"/>
            </w:tcBorders>
            <w:vAlign w:val="center"/>
          </w:tcPr>
          <w:p w14:paraId="193C2F0B">
            <w:pPr>
              <w:widowControl/>
              <w:jc w:val="center"/>
              <w:rPr>
                <w:rFonts w:hint="eastAsia" w:ascii="宋体" w:hAnsi="宋体" w:cs="宋体"/>
                <w:color w:val="000000"/>
                <w:kern w:val="0"/>
                <w:szCs w:val="21"/>
              </w:rPr>
            </w:pPr>
            <w:r>
              <w:rPr>
                <w:rFonts w:ascii="宋体" w:hAnsi="宋体" w:cs="宋体"/>
                <w:color w:val="000000"/>
                <w:kern w:val="0"/>
                <w:szCs w:val="21"/>
              </w:rPr>
              <w:t>费用名称</w:t>
            </w:r>
          </w:p>
        </w:tc>
        <w:tc>
          <w:tcPr>
            <w:tcW w:w="2720" w:type="dxa"/>
            <w:tcBorders>
              <w:top w:val="nil"/>
              <w:left w:val="nil"/>
              <w:bottom w:val="single" w:color="auto" w:sz="8" w:space="0"/>
              <w:right w:val="nil"/>
            </w:tcBorders>
            <w:vAlign w:val="center"/>
          </w:tcPr>
          <w:p w14:paraId="1FC6B417">
            <w:pPr>
              <w:widowControl/>
              <w:jc w:val="center"/>
              <w:rPr>
                <w:rFonts w:hint="eastAsia" w:ascii="宋体" w:hAnsi="宋体" w:cs="宋体"/>
                <w:color w:val="000000"/>
                <w:kern w:val="0"/>
                <w:sz w:val="18"/>
                <w:szCs w:val="18"/>
              </w:rPr>
            </w:pPr>
            <w:r>
              <w:rPr>
                <w:rFonts w:ascii="宋体" w:hAnsi="宋体" w:cs="宋体"/>
                <w:color w:val="000000"/>
                <w:kern w:val="0"/>
                <w:sz w:val="18"/>
                <w:szCs w:val="18"/>
              </w:rPr>
              <w:t>安全生产费</w:t>
            </w:r>
          </w:p>
        </w:tc>
        <w:tc>
          <w:tcPr>
            <w:tcW w:w="3620" w:type="dxa"/>
            <w:tcBorders>
              <w:top w:val="nil"/>
              <w:left w:val="single" w:color="auto" w:sz="8" w:space="0"/>
              <w:bottom w:val="nil"/>
              <w:right w:val="single" w:color="auto" w:sz="8" w:space="0"/>
            </w:tcBorders>
            <w:vAlign w:val="center"/>
          </w:tcPr>
          <w:p w14:paraId="6E1046F0">
            <w:pPr>
              <w:widowControl/>
              <w:jc w:val="center"/>
              <w:rPr>
                <w:rFonts w:hint="eastAsia" w:ascii="宋体" w:hAnsi="宋体" w:cs="宋体"/>
                <w:color w:val="000000"/>
                <w:kern w:val="0"/>
                <w:sz w:val="18"/>
                <w:szCs w:val="18"/>
              </w:rPr>
            </w:pPr>
            <w:r>
              <w:rPr>
                <w:rFonts w:ascii="宋体" w:hAnsi="宋体" w:cs="宋体"/>
                <w:color w:val="000000"/>
                <w:kern w:val="0"/>
                <w:sz w:val="18"/>
                <w:szCs w:val="18"/>
              </w:rPr>
              <w:t>税金</w:t>
            </w:r>
          </w:p>
        </w:tc>
      </w:tr>
      <w:tr w14:paraId="2DE85198">
        <w:tblPrEx>
          <w:tblCellMar>
            <w:top w:w="0" w:type="dxa"/>
            <w:left w:w="108" w:type="dxa"/>
            <w:bottom w:w="0" w:type="dxa"/>
            <w:right w:w="108" w:type="dxa"/>
          </w:tblCellMar>
        </w:tblPrEx>
        <w:trPr>
          <w:trHeight w:val="852" w:hRule="atLeast"/>
        </w:trPr>
        <w:tc>
          <w:tcPr>
            <w:tcW w:w="1700" w:type="dxa"/>
            <w:tcBorders>
              <w:top w:val="single" w:color="auto" w:sz="8" w:space="0"/>
              <w:left w:val="single" w:color="auto" w:sz="8" w:space="0"/>
              <w:bottom w:val="single" w:color="auto" w:sz="8" w:space="0"/>
              <w:right w:val="single" w:color="auto" w:sz="8" w:space="0"/>
            </w:tcBorders>
            <w:vAlign w:val="center"/>
          </w:tcPr>
          <w:p w14:paraId="59EE5809">
            <w:pPr>
              <w:widowControl/>
              <w:jc w:val="center"/>
              <w:rPr>
                <w:rFonts w:hint="eastAsia" w:ascii="宋体" w:hAnsi="宋体" w:cs="宋体"/>
                <w:color w:val="000000"/>
                <w:kern w:val="0"/>
                <w:szCs w:val="21"/>
              </w:rPr>
            </w:pPr>
            <w:r>
              <w:rPr>
                <w:rFonts w:ascii="宋体" w:hAnsi="宋体" w:cs="宋体"/>
                <w:color w:val="000000"/>
                <w:kern w:val="0"/>
                <w:szCs w:val="21"/>
              </w:rPr>
              <w:t>计算基础</w:t>
            </w:r>
          </w:p>
        </w:tc>
        <w:tc>
          <w:tcPr>
            <w:tcW w:w="2720" w:type="dxa"/>
            <w:tcBorders>
              <w:top w:val="nil"/>
              <w:left w:val="nil"/>
              <w:bottom w:val="single" w:color="auto" w:sz="8" w:space="0"/>
              <w:right w:val="nil"/>
            </w:tcBorders>
            <w:vAlign w:val="center"/>
          </w:tcPr>
          <w:p w14:paraId="2A12E403">
            <w:pPr>
              <w:widowControl/>
              <w:jc w:val="center"/>
              <w:rPr>
                <w:rFonts w:hint="eastAsia" w:ascii="宋体" w:hAnsi="宋体" w:cs="宋体"/>
                <w:color w:val="000000"/>
                <w:kern w:val="0"/>
                <w:sz w:val="18"/>
                <w:szCs w:val="18"/>
              </w:rPr>
            </w:pPr>
            <w:r>
              <w:rPr>
                <w:rFonts w:ascii="宋体" w:hAnsi="宋体" w:cs="宋体"/>
                <w:color w:val="000000"/>
                <w:kern w:val="0"/>
                <w:sz w:val="18"/>
                <w:szCs w:val="18"/>
              </w:rPr>
              <w:t>分部分项合计-除税工程设备费</w:t>
            </w:r>
          </w:p>
        </w:tc>
        <w:tc>
          <w:tcPr>
            <w:tcW w:w="3620" w:type="dxa"/>
            <w:tcBorders>
              <w:top w:val="single" w:color="auto" w:sz="8" w:space="0"/>
              <w:left w:val="single" w:color="auto" w:sz="8" w:space="0"/>
              <w:bottom w:val="single" w:color="auto" w:sz="8" w:space="0"/>
              <w:right w:val="single" w:color="auto" w:sz="8" w:space="0"/>
            </w:tcBorders>
            <w:vAlign w:val="center"/>
          </w:tcPr>
          <w:p w14:paraId="364678EC">
            <w:pPr>
              <w:widowControl/>
              <w:jc w:val="center"/>
              <w:rPr>
                <w:rFonts w:hint="eastAsia" w:ascii="宋体" w:hAnsi="宋体" w:cs="宋体"/>
                <w:color w:val="000000"/>
                <w:kern w:val="0"/>
                <w:sz w:val="18"/>
                <w:szCs w:val="18"/>
              </w:rPr>
            </w:pPr>
            <w:r>
              <w:rPr>
                <w:rFonts w:ascii="宋体" w:hAnsi="宋体" w:cs="宋体"/>
                <w:color w:val="000000"/>
                <w:kern w:val="0"/>
                <w:sz w:val="18"/>
                <w:szCs w:val="18"/>
              </w:rPr>
              <w:t>分部分项工程费+措施项目费+其他项目费+规费</w:t>
            </w:r>
            <w:r>
              <w:rPr>
                <w:rFonts w:ascii="宋体" w:hAnsi="宋体" w:cs="宋体"/>
                <w:color w:val="FF0000"/>
                <w:kern w:val="0"/>
                <w:sz w:val="18"/>
                <w:szCs w:val="18"/>
              </w:rPr>
              <w:t>-除税甲供材料和甲供设备费/1.01</w:t>
            </w:r>
          </w:p>
        </w:tc>
      </w:tr>
      <w:tr w14:paraId="5E5F7816">
        <w:tblPrEx>
          <w:tblCellMar>
            <w:top w:w="0" w:type="dxa"/>
            <w:left w:w="108" w:type="dxa"/>
            <w:bottom w:w="0" w:type="dxa"/>
            <w:right w:w="108" w:type="dxa"/>
          </w:tblCellMar>
        </w:tblPrEx>
        <w:trPr>
          <w:trHeight w:val="588" w:hRule="atLeast"/>
        </w:trPr>
        <w:tc>
          <w:tcPr>
            <w:tcW w:w="1700" w:type="dxa"/>
            <w:tcBorders>
              <w:top w:val="nil"/>
              <w:left w:val="single" w:color="auto" w:sz="8" w:space="0"/>
              <w:bottom w:val="single" w:color="auto" w:sz="4" w:space="0"/>
              <w:right w:val="single" w:color="auto" w:sz="8" w:space="0"/>
            </w:tcBorders>
            <w:vAlign w:val="center"/>
          </w:tcPr>
          <w:p w14:paraId="6FB24A75">
            <w:pPr>
              <w:widowControl/>
              <w:jc w:val="center"/>
              <w:rPr>
                <w:rFonts w:hint="eastAsia" w:ascii="宋体" w:hAnsi="宋体" w:cs="宋体"/>
                <w:color w:val="000000"/>
                <w:kern w:val="0"/>
                <w:szCs w:val="21"/>
              </w:rPr>
            </w:pPr>
            <w:r>
              <w:rPr>
                <w:rFonts w:hint="eastAsia" w:ascii="宋体" w:hAnsi="宋体" w:cs="宋体"/>
                <w:color w:val="000000"/>
                <w:kern w:val="0"/>
                <w:szCs w:val="21"/>
                <w:lang w:val="en-US" w:eastAsia="zh-CN"/>
              </w:rPr>
              <w:t>装饰</w:t>
            </w:r>
            <w:r>
              <w:rPr>
                <w:rFonts w:ascii="宋体" w:hAnsi="宋体" w:cs="宋体"/>
                <w:color w:val="000000"/>
                <w:kern w:val="0"/>
                <w:szCs w:val="21"/>
              </w:rPr>
              <w:t>工程</w:t>
            </w:r>
          </w:p>
        </w:tc>
        <w:tc>
          <w:tcPr>
            <w:tcW w:w="2720" w:type="dxa"/>
            <w:tcBorders>
              <w:top w:val="nil"/>
              <w:left w:val="nil"/>
              <w:bottom w:val="single" w:color="auto" w:sz="4" w:space="0"/>
              <w:right w:val="single" w:color="auto" w:sz="8" w:space="0"/>
            </w:tcBorders>
            <w:vAlign w:val="center"/>
          </w:tcPr>
          <w:p w14:paraId="7C19D7E1">
            <w:pPr>
              <w:widowControl/>
              <w:jc w:val="center"/>
              <w:rPr>
                <w:rFonts w:hint="eastAsia" w:ascii="宋体" w:hAnsi="宋体" w:cs="宋体"/>
                <w:color w:val="000000"/>
                <w:kern w:val="0"/>
                <w:sz w:val="18"/>
                <w:szCs w:val="18"/>
              </w:rPr>
            </w:pPr>
            <w:r>
              <w:rPr>
                <w:rFonts w:ascii="宋体" w:hAnsi="宋体" w:cs="宋体"/>
                <w:color w:val="000000"/>
                <w:kern w:val="0"/>
                <w:sz w:val="18"/>
                <w:szCs w:val="18"/>
              </w:rPr>
              <w:t>3.80%</w:t>
            </w:r>
          </w:p>
        </w:tc>
        <w:tc>
          <w:tcPr>
            <w:tcW w:w="3620" w:type="dxa"/>
            <w:tcBorders>
              <w:top w:val="nil"/>
              <w:left w:val="nil"/>
              <w:bottom w:val="single" w:color="auto" w:sz="4" w:space="0"/>
              <w:right w:val="single" w:color="auto" w:sz="8" w:space="0"/>
            </w:tcBorders>
            <w:vAlign w:val="center"/>
          </w:tcPr>
          <w:p w14:paraId="53020A71">
            <w:pPr>
              <w:widowControl/>
              <w:jc w:val="center"/>
              <w:rPr>
                <w:rFonts w:hint="eastAsia" w:ascii="宋体" w:hAnsi="宋体" w:cs="宋体"/>
                <w:color w:val="000000"/>
                <w:kern w:val="0"/>
                <w:sz w:val="18"/>
                <w:szCs w:val="18"/>
              </w:rPr>
            </w:pPr>
            <w:r>
              <w:rPr>
                <w:rFonts w:ascii="宋体" w:hAnsi="宋体" w:cs="宋体"/>
                <w:color w:val="000000"/>
                <w:kern w:val="0"/>
                <w:sz w:val="18"/>
                <w:szCs w:val="18"/>
              </w:rPr>
              <w:t>9%</w:t>
            </w:r>
          </w:p>
        </w:tc>
      </w:tr>
      <w:tr w14:paraId="48C5357D">
        <w:tblPrEx>
          <w:tblCellMar>
            <w:top w:w="0" w:type="dxa"/>
            <w:left w:w="108" w:type="dxa"/>
            <w:bottom w:w="0" w:type="dxa"/>
            <w:right w:w="108" w:type="dxa"/>
          </w:tblCellMar>
        </w:tblPrEx>
        <w:trPr>
          <w:trHeight w:val="588" w:hRule="atLeast"/>
        </w:trPr>
        <w:tc>
          <w:tcPr>
            <w:tcW w:w="1700" w:type="dxa"/>
            <w:tcBorders>
              <w:top w:val="single" w:color="auto" w:sz="4" w:space="0"/>
              <w:left w:val="single" w:color="auto" w:sz="4" w:space="0"/>
              <w:bottom w:val="single" w:color="auto" w:sz="8" w:space="0"/>
              <w:right w:val="single" w:color="auto" w:sz="8" w:space="0"/>
            </w:tcBorders>
            <w:shd w:val="clear" w:color="auto" w:fill="auto"/>
            <w:vAlign w:val="center"/>
          </w:tcPr>
          <w:p w14:paraId="75B14AE5">
            <w:pPr>
              <w:widowControl/>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安装</w:t>
            </w:r>
            <w:r>
              <w:rPr>
                <w:rFonts w:ascii="宋体" w:hAnsi="宋体" w:cs="宋体"/>
                <w:color w:val="000000"/>
                <w:kern w:val="0"/>
                <w:szCs w:val="21"/>
              </w:rPr>
              <w:t>工程</w:t>
            </w:r>
          </w:p>
        </w:tc>
        <w:tc>
          <w:tcPr>
            <w:tcW w:w="2720" w:type="dxa"/>
            <w:tcBorders>
              <w:top w:val="single" w:color="auto" w:sz="4" w:space="0"/>
              <w:left w:val="nil"/>
              <w:bottom w:val="single" w:color="auto" w:sz="8" w:space="0"/>
              <w:right w:val="single" w:color="auto" w:sz="8" w:space="0"/>
            </w:tcBorders>
            <w:shd w:val="clear" w:color="auto" w:fill="auto"/>
            <w:vAlign w:val="center"/>
          </w:tcPr>
          <w:p w14:paraId="701E7893">
            <w:pPr>
              <w:widowControl/>
              <w:jc w:val="center"/>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lang w:val="en-US" w:eastAsia="zh-CN"/>
              </w:rPr>
              <w:t>2.9</w:t>
            </w:r>
            <w:r>
              <w:rPr>
                <w:rFonts w:ascii="宋体" w:hAnsi="宋体" w:cs="宋体"/>
                <w:color w:val="000000"/>
                <w:kern w:val="0"/>
                <w:sz w:val="18"/>
                <w:szCs w:val="18"/>
              </w:rPr>
              <w:t>%</w:t>
            </w:r>
          </w:p>
        </w:tc>
        <w:tc>
          <w:tcPr>
            <w:tcW w:w="3620" w:type="dxa"/>
            <w:tcBorders>
              <w:top w:val="single" w:color="auto" w:sz="4" w:space="0"/>
              <w:left w:val="nil"/>
              <w:bottom w:val="single" w:color="auto" w:sz="8" w:space="0"/>
              <w:right w:val="single" w:color="auto" w:sz="8" w:space="0"/>
            </w:tcBorders>
            <w:shd w:val="clear" w:color="auto" w:fill="auto"/>
            <w:vAlign w:val="center"/>
          </w:tcPr>
          <w:p w14:paraId="3D79F12C">
            <w:pPr>
              <w:widowControl/>
              <w:jc w:val="center"/>
              <w:rPr>
                <w:rFonts w:hint="eastAsia" w:ascii="宋体" w:hAnsi="宋体" w:eastAsia="宋体" w:cs="宋体"/>
                <w:color w:val="000000"/>
                <w:kern w:val="0"/>
                <w:sz w:val="18"/>
                <w:szCs w:val="18"/>
                <w:lang w:val="en-US" w:eastAsia="zh-CN" w:bidi="ar-SA"/>
              </w:rPr>
            </w:pPr>
            <w:r>
              <w:rPr>
                <w:rFonts w:ascii="宋体" w:hAnsi="宋体" w:cs="宋体"/>
                <w:color w:val="000000"/>
                <w:kern w:val="0"/>
                <w:sz w:val="18"/>
                <w:szCs w:val="18"/>
              </w:rPr>
              <w:t>9%</w:t>
            </w:r>
          </w:p>
        </w:tc>
      </w:tr>
    </w:tbl>
    <w:p w14:paraId="6E02AEB9">
      <w:pPr>
        <w:snapToGrid w:val="0"/>
        <w:spacing w:line="440" w:lineRule="atLeast"/>
        <w:ind w:left="425"/>
        <w:rPr>
          <w:rFonts w:hint="eastAsia" w:ascii="宋体" w:hAnsi="宋体" w:cs="宋体"/>
          <w:b/>
          <w:sz w:val="28"/>
          <w:szCs w:val="28"/>
          <w:lang w:val="zh-CN"/>
        </w:rPr>
      </w:pPr>
    </w:p>
    <w:p w14:paraId="2744BE5F">
      <w:pPr>
        <w:snapToGrid w:val="0"/>
        <w:spacing w:line="360" w:lineRule="auto"/>
        <w:ind w:firstLine="211" w:firstLineChars="100"/>
        <w:rPr>
          <w:rFonts w:hint="eastAsia" w:ascii="宋体" w:hAnsi="宋体" w:cs="Courier New"/>
          <w:b/>
          <w:szCs w:val="21"/>
        </w:rPr>
      </w:pPr>
      <w:r>
        <w:rPr>
          <w:rFonts w:hint="eastAsia" w:ascii="宋体" w:hAnsi="宋体" w:cs="Courier New"/>
          <w:b/>
          <w:szCs w:val="21"/>
        </w:rPr>
        <w:t>注1、</w:t>
      </w:r>
      <w:r>
        <w:rPr>
          <w:rFonts w:ascii="宋体" w:hAnsi="宋体" w:cs="Courier New"/>
          <w:b/>
          <w:szCs w:val="21"/>
        </w:rPr>
        <w:t>安全生产措施费的费率</w:t>
      </w:r>
      <w:r>
        <w:rPr>
          <w:rFonts w:hint="eastAsia" w:ascii="宋体" w:hAnsi="宋体" w:cs="Courier New"/>
          <w:b/>
          <w:szCs w:val="21"/>
        </w:rPr>
        <w:t>按照相关规定设置。</w:t>
      </w:r>
    </w:p>
    <w:p w14:paraId="55202D90">
      <w:pPr>
        <w:snapToGrid w:val="0"/>
        <w:spacing w:line="360" w:lineRule="auto"/>
        <w:ind w:firstLine="422" w:firstLineChars="200"/>
        <w:rPr>
          <w:rFonts w:hint="eastAsia" w:ascii="宋体" w:hAnsi="宋体" w:cs="Courier New"/>
          <w:b/>
          <w:szCs w:val="21"/>
        </w:rPr>
      </w:pPr>
      <w:r>
        <w:rPr>
          <w:rFonts w:hint="eastAsia" w:ascii="宋体" w:hAnsi="宋体" w:cs="Courier New"/>
          <w:b/>
          <w:szCs w:val="21"/>
        </w:rPr>
        <w:t>2、税金为不可竞争费，招标时作为不可竞争费计入报价。</w:t>
      </w:r>
    </w:p>
    <w:p w14:paraId="18EEB76D">
      <w:pPr>
        <w:snapToGrid w:val="0"/>
        <w:spacing w:line="360" w:lineRule="auto"/>
        <w:ind w:firstLine="422" w:firstLineChars="200"/>
        <w:rPr>
          <w:rFonts w:hint="eastAsia" w:ascii="宋体" w:hAnsi="宋体" w:cs="宋体"/>
          <w:b/>
          <w:szCs w:val="21"/>
          <w:lang w:val="zh-CN"/>
        </w:rPr>
      </w:pPr>
      <w:r>
        <w:rPr>
          <w:rFonts w:hint="eastAsia" w:ascii="宋体" w:hAnsi="宋体" w:cs="Courier New"/>
          <w:b/>
          <w:szCs w:val="21"/>
        </w:rPr>
        <w:t>3、本工程按一般计税法计算。</w:t>
      </w:r>
    </w:p>
    <w:p w14:paraId="799A4B0B">
      <w:pPr>
        <w:numPr>
          <w:ilvl w:val="0"/>
          <w:numId w:val="1"/>
        </w:numPr>
        <w:snapToGrid w:val="0"/>
        <w:spacing w:line="440" w:lineRule="atLeast"/>
        <w:rPr>
          <w:rFonts w:hint="eastAsia" w:ascii="宋体" w:hAnsi="宋体" w:cs="宋体"/>
          <w:b/>
          <w:sz w:val="24"/>
          <w:lang w:val="zh-CN"/>
        </w:rPr>
      </w:pPr>
      <w:r>
        <w:rPr>
          <w:rFonts w:hint="eastAsia" w:ascii="宋体" w:hAnsi="宋体" w:cs="宋体"/>
          <w:b/>
          <w:sz w:val="24"/>
          <w:lang w:val="zh-CN"/>
        </w:rPr>
        <w:t>其他说明：</w:t>
      </w:r>
    </w:p>
    <w:p w14:paraId="0C208DCC">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1、经建设单位确认，图纸内部分内容做法存在做法调整，故清单与图纸做法不一致的，按清单描述执行；</w:t>
      </w:r>
    </w:p>
    <w:p w14:paraId="6DF9ABF8">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2、本工程内基础维修工程量为暂估，具体根据面层拆除后现场事情情况，由现场建设单位代表、监理单位、审计单位确认后，按需维修、按实结算；</w:t>
      </w:r>
    </w:p>
    <w:p w14:paraId="7CE7E5CA">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3、垃圾处置、衔接施工、接水接电等增加的费用，投标人自行踏勘现场并在报价中考虑，结算时综合单价不予调整；</w:t>
      </w:r>
    </w:p>
    <w:p w14:paraId="29172AB4">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4、本工程混凝土采用商品混凝土，混凝土中需要的添加剂、泵送费、布管费、二次搬运费由施工单位自行考虑，且根据规范要求对混凝土的性能要求进行报价，计入投标报价中，结算不予调整；</w:t>
      </w:r>
    </w:p>
    <w:p w14:paraId="777197CF">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投标人在报价时应结合自身单位的具体情况，充分考虑各自实际的施工组织设计、施工方案及技术措施，据实报价，一旦中标，结算不予另计。若设计图纸发生重大变更导致施工方案变化，结算时仅增加实际方案与投标方案不一致引起的费用差额；</w:t>
      </w:r>
    </w:p>
    <w:p w14:paraId="4B96DA13">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6、拆除物、垃圾等全部外运，运距、弃置堆置费、特种垃圾处理费由投标人自行考虑，相关费用综合计入投标报价中；</w:t>
      </w:r>
    </w:p>
    <w:p w14:paraId="723927FB">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8、未明确的做法，标底内已按照常规做法计入，投标单位自行考虑报价；</w:t>
      </w:r>
    </w:p>
    <w:p w14:paraId="73ADF3A5">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9、本工程拆除工程是根据现场后续施工需求进行计算，后续改造部分若有调整，拆除项目配套调整；</w:t>
      </w:r>
    </w:p>
    <w:p w14:paraId="5669382F">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10、措施项目费投标人根据施工组织设计投标时自行报价，结算时不调整；</w:t>
      </w:r>
    </w:p>
    <w:p w14:paraId="5DB2BA10">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11、本工程工程量清单是根据改造意向图纸结合现场勘察计算；</w:t>
      </w:r>
    </w:p>
    <w:p w14:paraId="7BF8C1B4">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12、本工程在改造施工时，注意保护改造范围外结构，注意不得破坏现有建、构筑物，不得扰动其基础等，并将相应费用考虑在投标报价中，如施工破坏现有建、构筑物，施工方应自行将其恢复原状，费用不另行计算；</w:t>
      </w:r>
    </w:p>
    <w:p w14:paraId="04262095">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13、本工程相关建筑工地扬尘污染费已计入标底，投标单位投标时应考虑有关扬尘污染防治达到相关文件要求所产生的一切费用，结算时不调整；</w:t>
      </w:r>
    </w:p>
    <w:p w14:paraId="57C21BDC">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14、施工现场因施工增加的建筑垃圾由投标单位清理出场，费用综合在报价中，结算不予调整。</w:t>
      </w:r>
    </w:p>
    <w:p w14:paraId="4D4716E3">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15、出现特征描述不全面的情况的补充说明：</w:t>
      </w:r>
    </w:p>
    <w:p w14:paraId="665E7BC1">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招标人的本意是完成该子目项工作内容的全部，当特征描述与施工方案中相对应的内容、节点或详图、技术参数表出现表达不一致未能描述清楚和全面，或出现文字瑕疵错误的情况时，或出现特征描述中前后表达不一致时，本特征项的综合标底价是按照施工方案、节点或详图及技术参数表编制的。投标人应在投标规定的提疑时间内提出疑问，招标人确认后及时修正，不管投标人是否提疑、招标人是否修正，这并不代表投标人可以以此申请该子目的补充签证及增加费用；</w:t>
      </w:r>
    </w:p>
    <w:p w14:paraId="2C2EDF12">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如招标人在子目中编制的应完成该项子目工作的综合单价（招标控制价）明显低于成本价的，投标人应在投标规定的提疑时间内提出疑问，招标人应确认后及时修正。若投标人未按时提出视为投标人的让利，不得作为投标人提出索赔或要求调价的理由，并不可以以此签证及增加费用；</w:t>
      </w:r>
    </w:p>
    <w:p w14:paraId="3A32D4AF">
      <w:pPr>
        <w:keepNext w:val="0"/>
        <w:keepLines w:val="0"/>
        <w:pageBreakBefore w:val="0"/>
        <w:widowControl w:val="0"/>
        <w:numPr>
          <w:ilvl w:val="0"/>
          <w:numId w:val="0"/>
        </w:numPr>
        <w:kinsoku/>
        <w:wordWrap/>
        <w:overflowPunct/>
        <w:topLinePunct w:val="0"/>
        <w:autoSpaceDE w:val="0"/>
        <w:autoSpaceDN w:val="0"/>
        <w:bidi w:val="0"/>
        <w:adjustRightInd w:val="0"/>
        <w:snapToGrid/>
        <w:spacing w:line="420" w:lineRule="exact"/>
        <w:ind w:left="482" w:leftChars="0" w:right="170" w:rightChars="0"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3）投标人不得因上述原因，拒绝此项子目工作的施工内容，因拒绝造成该子目内容未施工，而由其它单位施工完成而发生的费用，将由投标人承担，并在结算中予以扣除。</w:t>
      </w:r>
    </w:p>
    <w:p w14:paraId="1E3AB8BA">
      <w:pPr>
        <w:numPr>
          <w:ilvl w:val="0"/>
          <w:numId w:val="1"/>
        </w:numPr>
        <w:snapToGrid w:val="0"/>
        <w:spacing w:line="440" w:lineRule="atLeast"/>
        <w:rPr>
          <w:rFonts w:hint="eastAsia" w:ascii="宋体" w:hAnsi="宋体" w:cs="宋体"/>
          <w:b/>
          <w:sz w:val="24"/>
          <w:lang w:val="zh-CN"/>
        </w:rPr>
      </w:pPr>
      <w:r>
        <w:rPr>
          <w:rFonts w:hint="eastAsia" w:ascii="宋体" w:hAnsi="宋体" w:cs="宋体"/>
          <w:b/>
          <w:sz w:val="24"/>
          <w:lang w:val="zh-CN"/>
        </w:rPr>
        <w:t>暂估价明细表（投标单位报价时不得变动让利）：</w:t>
      </w:r>
    </w:p>
    <w:p w14:paraId="48B1D46F">
      <w:pPr>
        <w:snapToGrid w:val="0"/>
        <w:spacing w:line="440" w:lineRule="atLeast"/>
        <w:ind w:firstLine="211" w:firstLineChars="100"/>
        <w:rPr>
          <w:rFonts w:hint="eastAsia" w:ascii="宋体" w:hAnsi="宋体" w:cs="宋体"/>
          <w:b/>
          <w:sz w:val="24"/>
          <w:lang w:val="zh-CN"/>
        </w:rPr>
      </w:pPr>
      <w:r>
        <w:rPr>
          <w:rFonts w:hint="eastAsia" w:ascii="宋体" w:hAnsi="宋体" w:cs="宋体"/>
          <w:b/>
          <w:szCs w:val="21"/>
        </w:rPr>
        <w:t>1、暂列金额明细表：</w:t>
      </w:r>
    </w:p>
    <w:tbl>
      <w:tblPr>
        <w:tblStyle w:val="10"/>
        <w:tblW w:w="9300" w:type="dxa"/>
        <w:tblInd w:w="380" w:type="dxa"/>
        <w:tblLayout w:type="fixed"/>
        <w:tblCellMar>
          <w:top w:w="0" w:type="dxa"/>
          <w:left w:w="108" w:type="dxa"/>
          <w:bottom w:w="0" w:type="dxa"/>
          <w:right w:w="108" w:type="dxa"/>
        </w:tblCellMar>
      </w:tblPr>
      <w:tblGrid>
        <w:gridCol w:w="795"/>
        <w:gridCol w:w="3988"/>
        <w:gridCol w:w="1235"/>
        <w:gridCol w:w="1790"/>
        <w:gridCol w:w="1492"/>
      </w:tblGrid>
      <w:tr w14:paraId="7D19E34C">
        <w:tblPrEx>
          <w:tblCellMar>
            <w:top w:w="0" w:type="dxa"/>
            <w:left w:w="108" w:type="dxa"/>
            <w:bottom w:w="0" w:type="dxa"/>
            <w:right w:w="108" w:type="dxa"/>
          </w:tblCellMar>
        </w:tblPrEx>
        <w:trPr>
          <w:trHeight w:val="417" w:hRule="atLeast"/>
        </w:trPr>
        <w:tc>
          <w:tcPr>
            <w:tcW w:w="9300" w:type="dxa"/>
            <w:gridSpan w:val="5"/>
            <w:tcBorders>
              <w:top w:val="single" w:color="auto" w:sz="6" w:space="0"/>
              <w:left w:val="single" w:color="auto" w:sz="6" w:space="0"/>
              <w:bottom w:val="single" w:color="auto" w:sz="6" w:space="0"/>
              <w:right w:val="single" w:color="auto" w:sz="6" w:space="0"/>
            </w:tcBorders>
            <w:vAlign w:val="center"/>
          </w:tcPr>
          <w:p w14:paraId="77FDE05E">
            <w:pPr>
              <w:autoSpaceDE w:val="0"/>
              <w:autoSpaceDN w:val="0"/>
              <w:jc w:val="left"/>
              <w:rPr>
                <w:rFonts w:hint="eastAsia" w:ascii="宋体" w:hAnsi="宋体"/>
                <w:sz w:val="24"/>
              </w:rPr>
            </w:pPr>
            <w:r>
              <w:rPr>
                <w:rFonts w:hint="eastAsia" w:ascii="宋体" w:hAnsi="宋体" w:cs="宋体"/>
                <w:lang w:val="zh-CN"/>
              </w:rPr>
              <w:t>工程名称：云亭派出所营房修缮项目</w:t>
            </w:r>
          </w:p>
        </w:tc>
      </w:tr>
      <w:tr w14:paraId="54053F3D">
        <w:tblPrEx>
          <w:tblCellMar>
            <w:top w:w="0" w:type="dxa"/>
            <w:left w:w="108" w:type="dxa"/>
            <w:bottom w:w="0" w:type="dxa"/>
            <w:right w:w="108" w:type="dxa"/>
          </w:tblCellMar>
        </w:tblPrEx>
        <w:trPr>
          <w:trHeight w:val="390" w:hRule="atLeast"/>
        </w:trPr>
        <w:tc>
          <w:tcPr>
            <w:tcW w:w="795" w:type="dxa"/>
            <w:tcBorders>
              <w:top w:val="single" w:color="auto" w:sz="6" w:space="0"/>
              <w:left w:val="single" w:color="auto" w:sz="6" w:space="0"/>
              <w:bottom w:val="single" w:color="auto" w:sz="6" w:space="0"/>
              <w:right w:val="single" w:color="auto" w:sz="6" w:space="0"/>
            </w:tcBorders>
            <w:vAlign w:val="center"/>
          </w:tcPr>
          <w:p w14:paraId="14917A90">
            <w:pPr>
              <w:autoSpaceDE w:val="0"/>
              <w:autoSpaceDN w:val="0"/>
              <w:jc w:val="center"/>
              <w:rPr>
                <w:rFonts w:hint="eastAsia" w:ascii="宋体" w:hAnsi="宋体" w:cs="宋体"/>
              </w:rPr>
            </w:pPr>
            <w:r>
              <w:rPr>
                <w:rFonts w:hint="eastAsia" w:ascii="宋体" w:hAnsi="宋体" w:cs="宋体"/>
              </w:rPr>
              <w:t>序号</w:t>
            </w:r>
          </w:p>
        </w:tc>
        <w:tc>
          <w:tcPr>
            <w:tcW w:w="3988" w:type="dxa"/>
            <w:tcBorders>
              <w:top w:val="single" w:color="auto" w:sz="6" w:space="0"/>
              <w:left w:val="single" w:color="auto" w:sz="6" w:space="0"/>
              <w:bottom w:val="single" w:color="auto" w:sz="6" w:space="0"/>
              <w:right w:val="single" w:color="auto" w:sz="6" w:space="0"/>
            </w:tcBorders>
            <w:vAlign w:val="center"/>
          </w:tcPr>
          <w:p w14:paraId="50AB2F5C">
            <w:pPr>
              <w:autoSpaceDE w:val="0"/>
              <w:autoSpaceDN w:val="0"/>
              <w:jc w:val="center"/>
              <w:rPr>
                <w:rFonts w:hint="eastAsia" w:ascii="宋体" w:hAnsi="宋体" w:cs="宋体"/>
              </w:rPr>
            </w:pPr>
            <w:r>
              <w:rPr>
                <w:rFonts w:hint="eastAsia" w:ascii="宋体" w:hAnsi="宋体" w:cs="宋体"/>
              </w:rPr>
              <w:t>项目名称</w:t>
            </w:r>
          </w:p>
        </w:tc>
        <w:tc>
          <w:tcPr>
            <w:tcW w:w="1235" w:type="dxa"/>
            <w:tcBorders>
              <w:top w:val="single" w:color="auto" w:sz="6" w:space="0"/>
              <w:left w:val="single" w:color="auto" w:sz="6" w:space="0"/>
              <w:bottom w:val="single" w:color="auto" w:sz="6" w:space="0"/>
              <w:right w:val="single" w:color="auto" w:sz="6" w:space="0"/>
            </w:tcBorders>
            <w:vAlign w:val="center"/>
          </w:tcPr>
          <w:p w14:paraId="1355990D">
            <w:pPr>
              <w:autoSpaceDE w:val="0"/>
              <w:autoSpaceDN w:val="0"/>
              <w:jc w:val="center"/>
              <w:rPr>
                <w:rFonts w:hint="eastAsia" w:ascii="宋体" w:hAnsi="宋体" w:cs="宋体"/>
              </w:rPr>
            </w:pPr>
            <w:r>
              <w:rPr>
                <w:rFonts w:hint="eastAsia" w:ascii="宋体" w:hAnsi="宋体" w:cs="宋体"/>
              </w:rPr>
              <w:t>计量单位</w:t>
            </w:r>
          </w:p>
        </w:tc>
        <w:tc>
          <w:tcPr>
            <w:tcW w:w="1790" w:type="dxa"/>
            <w:tcBorders>
              <w:top w:val="single" w:color="auto" w:sz="6" w:space="0"/>
              <w:left w:val="single" w:color="auto" w:sz="6" w:space="0"/>
              <w:bottom w:val="single" w:color="auto" w:sz="6" w:space="0"/>
              <w:right w:val="single" w:color="auto" w:sz="6" w:space="0"/>
            </w:tcBorders>
            <w:vAlign w:val="center"/>
          </w:tcPr>
          <w:p w14:paraId="5F2D60C6">
            <w:pPr>
              <w:autoSpaceDE w:val="0"/>
              <w:autoSpaceDN w:val="0"/>
              <w:jc w:val="center"/>
              <w:rPr>
                <w:rFonts w:hint="eastAsia" w:ascii="宋体" w:hAnsi="宋体" w:cs="宋体"/>
              </w:rPr>
            </w:pPr>
            <w:r>
              <w:rPr>
                <w:rFonts w:hint="eastAsia" w:ascii="宋体" w:hAnsi="宋体" w:cs="宋体"/>
              </w:rPr>
              <w:t>暂定金额（元）</w:t>
            </w:r>
          </w:p>
        </w:tc>
        <w:tc>
          <w:tcPr>
            <w:tcW w:w="1492" w:type="dxa"/>
            <w:tcBorders>
              <w:top w:val="single" w:color="auto" w:sz="6" w:space="0"/>
              <w:left w:val="single" w:color="auto" w:sz="6" w:space="0"/>
              <w:bottom w:val="single" w:color="auto" w:sz="6" w:space="0"/>
              <w:right w:val="single" w:color="auto" w:sz="6" w:space="0"/>
            </w:tcBorders>
            <w:vAlign w:val="center"/>
          </w:tcPr>
          <w:p w14:paraId="60C38936">
            <w:pPr>
              <w:autoSpaceDE w:val="0"/>
              <w:autoSpaceDN w:val="0"/>
              <w:ind w:firstLine="420" w:firstLineChars="200"/>
              <w:rPr>
                <w:rFonts w:hint="eastAsia" w:ascii="宋体" w:hAnsi="宋体" w:cs="宋体"/>
              </w:rPr>
            </w:pPr>
            <w:r>
              <w:rPr>
                <w:rFonts w:hint="eastAsia" w:ascii="宋体" w:hAnsi="宋体" w:cs="宋体"/>
              </w:rPr>
              <w:t>备注</w:t>
            </w:r>
          </w:p>
        </w:tc>
      </w:tr>
      <w:tr w14:paraId="65F99537">
        <w:tblPrEx>
          <w:tblCellMar>
            <w:top w:w="0" w:type="dxa"/>
            <w:left w:w="108" w:type="dxa"/>
            <w:bottom w:w="0" w:type="dxa"/>
            <w:right w:w="108" w:type="dxa"/>
          </w:tblCellMar>
        </w:tblPrEx>
        <w:trPr>
          <w:trHeight w:val="454" w:hRule="atLeast"/>
        </w:trPr>
        <w:tc>
          <w:tcPr>
            <w:tcW w:w="795" w:type="dxa"/>
            <w:tcBorders>
              <w:top w:val="single" w:color="auto" w:sz="6" w:space="0"/>
              <w:left w:val="single" w:color="auto" w:sz="6" w:space="0"/>
              <w:bottom w:val="single" w:color="auto" w:sz="6" w:space="0"/>
              <w:right w:val="single" w:color="auto" w:sz="6" w:space="0"/>
            </w:tcBorders>
            <w:vAlign w:val="center"/>
          </w:tcPr>
          <w:p w14:paraId="78C1FAD5">
            <w:pPr>
              <w:autoSpaceDE w:val="0"/>
              <w:autoSpaceDN w:val="0"/>
              <w:ind w:firstLine="210" w:firstLineChars="100"/>
              <w:rPr>
                <w:rFonts w:hint="eastAsia" w:ascii="宋体" w:hAnsi="宋体" w:cs="宋体"/>
              </w:rPr>
            </w:pPr>
            <w:r>
              <w:rPr>
                <w:rFonts w:hint="eastAsia" w:ascii="宋体" w:hAnsi="宋体" w:cs="宋体"/>
              </w:rPr>
              <w:t>1</w:t>
            </w:r>
          </w:p>
        </w:tc>
        <w:tc>
          <w:tcPr>
            <w:tcW w:w="3988" w:type="dxa"/>
            <w:tcBorders>
              <w:top w:val="single" w:color="auto" w:sz="6" w:space="0"/>
              <w:left w:val="single" w:color="auto" w:sz="6" w:space="0"/>
              <w:bottom w:val="single" w:color="auto" w:sz="6" w:space="0"/>
              <w:right w:val="single" w:color="auto" w:sz="6" w:space="0"/>
            </w:tcBorders>
            <w:vAlign w:val="center"/>
          </w:tcPr>
          <w:p w14:paraId="5CA0FBB0">
            <w:pPr>
              <w:autoSpaceDE w:val="0"/>
              <w:autoSpaceDN w:val="0"/>
              <w:jc w:val="left"/>
              <w:rPr>
                <w:rFonts w:hint="eastAsia" w:ascii="宋体" w:hAnsi="宋体" w:cs="宋体"/>
              </w:rPr>
            </w:pPr>
            <w:r>
              <w:rPr>
                <w:rFonts w:hint="eastAsia" w:ascii="宋体" w:hAnsi="宋体" w:cs="宋体"/>
              </w:rPr>
              <w:t>工程量清单中工程量偏差和设计变更</w:t>
            </w:r>
          </w:p>
        </w:tc>
        <w:tc>
          <w:tcPr>
            <w:tcW w:w="1235" w:type="dxa"/>
            <w:tcBorders>
              <w:top w:val="single" w:color="auto" w:sz="6" w:space="0"/>
              <w:left w:val="single" w:color="auto" w:sz="6" w:space="0"/>
              <w:bottom w:val="single" w:color="auto" w:sz="6" w:space="0"/>
              <w:right w:val="single" w:color="auto" w:sz="6" w:space="0"/>
            </w:tcBorders>
            <w:vAlign w:val="center"/>
          </w:tcPr>
          <w:p w14:paraId="1B0054C0">
            <w:pPr>
              <w:autoSpaceDE w:val="0"/>
              <w:autoSpaceDN w:val="0"/>
              <w:ind w:firstLine="210" w:firstLineChars="100"/>
              <w:jc w:val="center"/>
              <w:rPr>
                <w:rFonts w:hint="eastAsia" w:ascii="宋体" w:hAnsi="宋体" w:cs="宋体"/>
              </w:rPr>
            </w:pPr>
            <w:r>
              <w:rPr>
                <w:rFonts w:hint="eastAsia" w:ascii="宋体" w:hAnsi="宋体" w:cs="宋体"/>
              </w:rPr>
              <w:t>项</w:t>
            </w:r>
          </w:p>
        </w:tc>
        <w:tc>
          <w:tcPr>
            <w:tcW w:w="1790" w:type="dxa"/>
            <w:tcBorders>
              <w:top w:val="single" w:color="auto" w:sz="6" w:space="0"/>
              <w:left w:val="single" w:color="auto" w:sz="6" w:space="0"/>
              <w:bottom w:val="single" w:color="auto" w:sz="6" w:space="0"/>
              <w:right w:val="single" w:color="auto" w:sz="6" w:space="0"/>
            </w:tcBorders>
            <w:vAlign w:val="center"/>
          </w:tcPr>
          <w:p w14:paraId="3969883B">
            <w:pPr>
              <w:autoSpaceDE w:val="0"/>
              <w:autoSpaceDN w:val="0"/>
              <w:jc w:val="center"/>
              <w:rPr>
                <w:rFonts w:hint="eastAsia" w:ascii="宋体" w:hAnsi="宋体" w:cs="宋体"/>
              </w:rPr>
            </w:pPr>
          </w:p>
        </w:tc>
        <w:tc>
          <w:tcPr>
            <w:tcW w:w="1492" w:type="dxa"/>
            <w:tcBorders>
              <w:top w:val="single" w:color="auto" w:sz="6" w:space="0"/>
              <w:left w:val="single" w:color="auto" w:sz="6" w:space="0"/>
              <w:bottom w:val="single" w:color="auto" w:sz="6" w:space="0"/>
              <w:right w:val="single" w:color="auto" w:sz="6" w:space="0"/>
            </w:tcBorders>
            <w:vAlign w:val="center"/>
          </w:tcPr>
          <w:p w14:paraId="6C1B52A4">
            <w:pPr>
              <w:autoSpaceDE w:val="0"/>
              <w:autoSpaceDN w:val="0"/>
              <w:jc w:val="center"/>
              <w:rPr>
                <w:rFonts w:hint="eastAsia" w:ascii="宋体" w:hAnsi="宋体" w:cs="宋体"/>
              </w:rPr>
            </w:pPr>
          </w:p>
        </w:tc>
      </w:tr>
      <w:tr w14:paraId="79BFE557">
        <w:tblPrEx>
          <w:tblCellMar>
            <w:top w:w="0" w:type="dxa"/>
            <w:left w:w="108" w:type="dxa"/>
            <w:bottom w:w="0" w:type="dxa"/>
            <w:right w:w="108" w:type="dxa"/>
          </w:tblCellMar>
        </w:tblPrEx>
        <w:trPr>
          <w:trHeight w:val="454" w:hRule="atLeast"/>
        </w:trPr>
        <w:tc>
          <w:tcPr>
            <w:tcW w:w="795" w:type="dxa"/>
            <w:tcBorders>
              <w:top w:val="single" w:color="auto" w:sz="6" w:space="0"/>
              <w:left w:val="single" w:color="auto" w:sz="6" w:space="0"/>
              <w:bottom w:val="single" w:color="auto" w:sz="6" w:space="0"/>
              <w:right w:val="single" w:color="auto" w:sz="6" w:space="0"/>
            </w:tcBorders>
            <w:vAlign w:val="center"/>
          </w:tcPr>
          <w:p w14:paraId="240C6F91">
            <w:pPr>
              <w:autoSpaceDE w:val="0"/>
              <w:autoSpaceDN w:val="0"/>
              <w:ind w:firstLine="210" w:firstLineChars="100"/>
              <w:rPr>
                <w:rFonts w:hint="eastAsia" w:ascii="宋体" w:hAnsi="宋体" w:cs="宋体"/>
              </w:rPr>
            </w:pPr>
            <w:r>
              <w:rPr>
                <w:rFonts w:hint="eastAsia" w:ascii="宋体" w:hAnsi="宋体" w:cs="宋体"/>
              </w:rPr>
              <w:t>2</w:t>
            </w:r>
          </w:p>
        </w:tc>
        <w:tc>
          <w:tcPr>
            <w:tcW w:w="3988" w:type="dxa"/>
            <w:tcBorders>
              <w:top w:val="single" w:color="auto" w:sz="6" w:space="0"/>
              <w:left w:val="single" w:color="auto" w:sz="6" w:space="0"/>
              <w:bottom w:val="single" w:color="auto" w:sz="6" w:space="0"/>
              <w:right w:val="single" w:color="auto" w:sz="6" w:space="0"/>
            </w:tcBorders>
            <w:vAlign w:val="center"/>
          </w:tcPr>
          <w:p w14:paraId="1A7D3E21">
            <w:pPr>
              <w:autoSpaceDE w:val="0"/>
              <w:autoSpaceDN w:val="0"/>
              <w:jc w:val="left"/>
              <w:rPr>
                <w:rFonts w:hint="eastAsia" w:ascii="宋体" w:hAnsi="宋体" w:cs="宋体"/>
              </w:rPr>
            </w:pPr>
            <w:r>
              <w:rPr>
                <w:rFonts w:hint="eastAsia" w:ascii="宋体" w:hAnsi="宋体" w:cs="宋体"/>
              </w:rPr>
              <w:t>政策性调整和材料价格风险</w:t>
            </w:r>
          </w:p>
        </w:tc>
        <w:tc>
          <w:tcPr>
            <w:tcW w:w="1235" w:type="dxa"/>
            <w:tcBorders>
              <w:top w:val="single" w:color="auto" w:sz="6" w:space="0"/>
              <w:left w:val="single" w:color="auto" w:sz="6" w:space="0"/>
              <w:bottom w:val="single" w:color="auto" w:sz="6" w:space="0"/>
              <w:right w:val="single" w:color="auto" w:sz="6" w:space="0"/>
            </w:tcBorders>
            <w:vAlign w:val="center"/>
          </w:tcPr>
          <w:p w14:paraId="728B73BE">
            <w:pPr>
              <w:autoSpaceDE w:val="0"/>
              <w:autoSpaceDN w:val="0"/>
              <w:ind w:firstLine="210" w:firstLineChars="100"/>
              <w:jc w:val="center"/>
              <w:rPr>
                <w:rFonts w:hint="eastAsia" w:ascii="宋体" w:hAnsi="宋体" w:cs="宋体"/>
              </w:rPr>
            </w:pPr>
            <w:r>
              <w:rPr>
                <w:rFonts w:hint="eastAsia" w:ascii="宋体" w:hAnsi="宋体" w:cs="宋体"/>
              </w:rPr>
              <w:t>项</w:t>
            </w:r>
          </w:p>
        </w:tc>
        <w:tc>
          <w:tcPr>
            <w:tcW w:w="1790" w:type="dxa"/>
            <w:tcBorders>
              <w:top w:val="single" w:color="auto" w:sz="6" w:space="0"/>
              <w:left w:val="single" w:color="auto" w:sz="6" w:space="0"/>
              <w:bottom w:val="single" w:color="auto" w:sz="6" w:space="0"/>
              <w:right w:val="single" w:color="auto" w:sz="6" w:space="0"/>
            </w:tcBorders>
            <w:vAlign w:val="center"/>
          </w:tcPr>
          <w:p w14:paraId="1C674669">
            <w:pPr>
              <w:autoSpaceDE w:val="0"/>
              <w:autoSpaceDN w:val="0"/>
              <w:jc w:val="center"/>
              <w:rPr>
                <w:rFonts w:hint="eastAsia" w:ascii="宋体" w:hAnsi="宋体" w:cs="宋体"/>
              </w:rPr>
            </w:pPr>
          </w:p>
        </w:tc>
        <w:tc>
          <w:tcPr>
            <w:tcW w:w="1492" w:type="dxa"/>
            <w:tcBorders>
              <w:top w:val="single" w:color="auto" w:sz="6" w:space="0"/>
              <w:left w:val="single" w:color="auto" w:sz="6" w:space="0"/>
              <w:bottom w:val="single" w:color="auto" w:sz="6" w:space="0"/>
              <w:right w:val="single" w:color="auto" w:sz="6" w:space="0"/>
            </w:tcBorders>
            <w:vAlign w:val="center"/>
          </w:tcPr>
          <w:p w14:paraId="797D3EEA">
            <w:pPr>
              <w:autoSpaceDE w:val="0"/>
              <w:autoSpaceDN w:val="0"/>
              <w:jc w:val="center"/>
              <w:rPr>
                <w:rFonts w:hint="eastAsia" w:ascii="宋体" w:hAnsi="宋体" w:cs="宋体"/>
              </w:rPr>
            </w:pPr>
          </w:p>
        </w:tc>
      </w:tr>
      <w:tr w14:paraId="4F18D02D">
        <w:tblPrEx>
          <w:tblCellMar>
            <w:top w:w="0" w:type="dxa"/>
            <w:left w:w="108" w:type="dxa"/>
            <w:bottom w:w="0" w:type="dxa"/>
            <w:right w:w="108" w:type="dxa"/>
          </w:tblCellMar>
        </w:tblPrEx>
        <w:trPr>
          <w:trHeight w:val="454" w:hRule="atLeast"/>
        </w:trPr>
        <w:tc>
          <w:tcPr>
            <w:tcW w:w="795" w:type="dxa"/>
            <w:tcBorders>
              <w:top w:val="single" w:color="auto" w:sz="6" w:space="0"/>
              <w:left w:val="single" w:color="auto" w:sz="6" w:space="0"/>
              <w:bottom w:val="single" w:color="auto" w:sz="6" w:space="0"/>
              <w:right w:val="single" w:color="auto" w:sz="6" w:space="0"/>
            </w:tcBorders>
            <w:vAlign w:val="center"/>
          </w:tcPr>
          <w:p w14:paraId="46A0FF7A">
            <w:pPr>
              <w:autoSpaceDE w:val="0"/>
              <w:autoSpaceDN w:val="0"/>
              <w:ind w:firstLine="210" w:firstLineChars="100"/>
              <w:rPr>
                <w:rFonts w:hint="eastAsia" w:ascii="宋体" w:hAnsi="宋体" w:cs="宋体"/>
              </w:rPr>
            </w:pPr>
            <w:r>
              <w:rPr>
                <w:rFonts w:hint="eastAsia" w:ascii="宋体" w:hAnsi="宋体" w:cs="宋体"/>
              </w:rPr>
              <w:t>3</w:t>
            </w:r>
          </w:p>
        </w:tc>
        <w:tc>
          <w:tcPr>
            <w:tcW w:w="3988" w:type="dxa"/>
            <w:tcBorders>
              <w:top w:val="single" w:color="auto" w:sz="6" w:space="0"/>
              <w:left w:val="single" w:color="auto" w:sz="6" w:space="0"/>
              <w:bottom w:val="single" w:color="auto" w:sz="6" w:space="0"/>
              <w:right w:val="single" w:color="auto" w:sz="6" w:space="0"/>
            </w:tcBorders>
            <w:vAlign w:val="center"/>
          </w:tcPr>
          <w:p w14:paraId="15F89CCA">
            <w:pPr>
              <w:autoSpaceDE w:val="0"/>
              <w:autoSpaceDN w:val="0"/>
              <w:jc w:val="left"/>
              <w:rPr>
                <w:rFonts w:hint="eastAsia" w:ascii="宋体" w:hAnsi="宋体" w:cs="宋体"/>
              </w:rPr>
            </w:pPr>
            <w:r>
              <w:rPr>
                <w:rFonts w:hint="eastAsia" w:ascii="宋体" w:hAnsi="宋体" w:cs="宋体"/>
              </w:rPr>
              <w:t>预留金</w:t>
            </w:r>
          </w:p>
        </w:tc>
        <w:tc>
          <w:tcPr>
            <w:tcW w:w="1235" w:type="dxa"/>
            <w:tcBorders>
              <w:top w:val="single" w:color="auto" w:sz="6" w:space="0"/>
              <w:left w:val="single" w:color="auto" w:sz="6" w:space="0"/>
              <w:bottom w:val="single" w:color="auto" w:sz="6" w:space="0"/>
              <w:right w:val="single" w:color="auto" w:sz="6" w:space="0"/>
            </w:tcBorders>
            <w:vAlign w:val="center"/>
          </w:tcPr>
          <w:p w14:paraId="639253E7">
            <w:pPr>
              <w:autoSpaceDE w:val="0"/>
              <w:autoSpaceDN w:val="0"/>
              <w:ind w:firstLine="210" w:firstLineChars="100"/>
              <w:jc w:val="center"/>
              <w:rPr>
                <w:rFonts w:hint="eastAsia" w:ascii="宋体" w:hAnsi="宋体" w:cs="宋体"/>
              </w:rPr>
            </w:pPr>
            <w:r>
              <w:rPr>
                <w:rFonts w:hint="eastAsia" w:ascii="宋体" w:hAnsi="宋体" w:cs="宋体"/>
              </w:rPr>
              <w:t>项</w:t>
            </w:r>
          </w:p>
        </w:tc>
        <w:tc>
          <w:tcPr>
            <w:tcW w:w="1790" w:type="dxa"/>
            <w:tcBorders>
              <w:top w:val="single" w:color="auto" w:sz="6" w:space="0"/>
              <w:left w:val="single" w:color="auto" w:sz="6" w:space="0"/>
              <w:bottom w:val="single" w:color="auto" w:sz="6" w:space="0"/>
              <w:right w:val="single" w:color="auto" w:sz="6" w:space="0"/>
            </w:tcBorders>
            <w:vAlign w:val="center"/>
          </w:tcPr>
          <w:p w14:paraId="7ACF31AA">
            <w:pPr>
              <w:autoSpaceDE w:val="0"/>
              <w:autoSpaceDN w:val="0"/>
              <w:jc w:val="center"/>
              <w:rPr>
                <w:rFonts w:hint="eastAsia" w:ascii="宋体" w:hAnsi="宋体" w:cs="宋体"/>
                <w:highlight w:val="yellow"/>
              </w:rPr>
            </w:pPr>
            <w:r>
              <w:rPr>
                <w:rFonts w:hint="eastAsia" w:ascii="宋体" w:hAnsi="宋体" w:cs="宋体"/>
                <w:color w:val="auto"/>
                <w:highlight w:val="none"/>
                <w:lang w:val="en-US" w:eastAsia="zh-CN"/>
              </w:rPr>
              <w:t>80000</w:t>
            </w:r>
            <w:r>
              <w:rPr>
                <w:rFonts w:hint="eastAsia" w:ascii="宋体" w:hAnsi="宋体" w:cs="宋体"/>
                <w:color w:val="auto"/>
                <w:highlight w:val="none"/>
              </w:rPr>
              <w:t>.00</w:t>
            </w:r>
          </w:p>
        </w:tc>
        <w:tc>
          <w:tcPr>
            <w:tcW w:w="1492" w:type="dxa"/>
            <w:tcBorders>
              <w:top w:val="single" w:color="auto" w:sz="6" w:space="0"/>
              <w:left w:val="single" w:color="auto" w:sz="6" w:space="0"/>
              <w:bottom w:val="single" w:color="auto" w:sz="6" w:space="0"/>
              <w:right w:val="single" w:color="auto" w:sz="6" w:space="0"/>
            </w:tcBorders>
            <w:vAlign w:val="center"/>
          </w:tcPr>
          <w:p w14:paraId="5CE0162F">
            <w:pPr>
              <w:autoSpaceDE w:val="0"/>
              <w:autoSpaceDN w:val="0"/>
              <w:jc w:val="center"/>
              <w:rPr>
                <w:rFonts w:hint="eastAsia" w:ascii="宋体" w:hAnsi="宋体" w:cs="宋体"/>
              </w:rPr>
            </w:pPr>
          </w:p>
        </w:tc>
      </w:tr>
      <w:tr w14:paraId="24990233">
        <w:tblPrEx>
          <w:tblCellMar>
            <w:top w:w="0" w:type="dxa"/>
            <w:left w:w="108" w:type="dxa"/>
            <w:bottom w:w="0" w:type="dxa"/>
            <w:right w:w="108" w:type="dxa"/>
          </w:tblCellMar>
        </w:tblPrEx>
        <w:trPr>
          <w:trHeight w:val="454" w:hRule="atLeast"/>
        </w:trPr>
        <w:tc>
          <w:tcPr>
            <w:tcW w:w="795" w:type="dxa"/>
            <w:tcBorders>
              <w:top w:val="single" w:color="auto" w:sz="6" w:space="0"/>
              <w:left w:val="single" w:color="auto" w:sz="6" w:space="0"/>
              <w:bottom w:val="single" w:color="auto" w:sz="6" w:space="0"/>
              <w:right w:val="single" w:color="auto" w:sz="6" w:space="0"/>
            </w:tcBorders>
            <w:vAlign w:val="center"/>
          </w:tcPr>
          <w:p w14:paraId="3CAE80BA">
            <w:pPr>
              <w:autoSpaceDE w:val="0"/>
              <w:autoSpaceDN w:val="0"/>
              <w:jc w:val="center"/>
              <w:rPr>
                <w:rFonts w:hint="eastAsia" w:ascii="宋体" w:hAnsi="宋体" w:cs="宋体"/>
              </w:rPr>
            </w:pPr>
          </w:p>
        </w:tc>
        <w:tc>
          <w:tcPr>
            <w:tcW w:w="3988" w:type="dxa"/>
            <w:tcBorders>
              <w:top w:val="single" w:color="auto" w:sz="6" w:space="0"/>
              <w:left w:val="single" w:color="auto" w:sz="6" w:space="0"/>
              <w:bottom w:val="single" w:color="auto" w:sz="6" w:space="0"/>
              <w:right w:val="single" w:color="auto" w:sz="6" w:space="0"/>
            </w:tcBorders>
            <w:vAlign w:val="center"/>
          </w:tcPr>
          <w:p w14:paraId="6E3AF8ED">
            <w:pPr>
              <w:autoSpaceDE w:val="0"/>
              <w:autoSpaceDN w:val="0"/>
              <w:jc w:val="center"/>
              <w:rPr>
                <w:rFonts w:hint="eastAsia" w:ascii="宋体" w:hAnsi="宋体" w:cs="宋体"/>
              </w:rPr>
            </w:pPr>
            <w:r>
              <w:rPr>
                <w:rFonts w:hint="eastAsia" w:ascii="宋体" w:hAnsi="宋体" w:cs="宋体"/>
              </w:rPr>
              <w:t>合计</w:t>
            </w:r>
          </w:p>
        </w:tc>
        <w:tc>
          <w:tcPr>
            <w:tcW w:w="1235" w:type="dxa"/>
            <w:tcBorders>
              <w:top w:val="single" w:color="auto" w:sz="6" w:space="0"/>
              <w:left w:val="single" w:color="auto" w:sz="6" w:space="0"/>
              <w:bottom w:val="single" w:color="auto" w:sz="6" w:space="0"/>
              <w:right w:val="single" w:color="auto" w:sz="6" w:space="0"/>
            </w:tcBorders>
            <w:vAlign w:val="center"/>
          </w:tcPr>
          <w:p w14:paraId="050AF42F">
            <w:pPr>
              <w:autoSpaceDE w:val="0"/>
              <w:autoSpaceDN w:val="0"/>
              <w:jc w:val="center"/>
              <w:rPr>
                <w:rFonts w:hint="eastAsia" w:ascii="宋体" w:hAnsi="宋体" w:cs="宋体"/>
              </w:rPr>
            </w:pPr>
          </w:p>
        </w:tc>
        <w:tc>
          <w:tcPr>
            <w:tcW w:w="1790" w:type="dxa"/>
            <w:tcBorders>
              <w:top w:val="single" w:color="auto" w:sz="6" w:space="0"/>
              <w:left w:val="single" w:color="auto" w:sz="6" w:space="0"/>
              <w:bottom w:val="single" w:color="auto" w:sz="6" w:space="0"/>
              <w:right w:val="single" w:color="auto" w:sz="6" w:space="0"/>
            </w:tcBorders>
            <w:vAlign w:val="center"/>
          </w:tcPr>
          <w:p w14:paraId="4398D26A">
            <w:pPr>
              <w:autoSpaceDE w:val="0"/>
              <w:autoSpaceDN w:val="0"/>
              <w:jc w:val="center"/>
              <w:rPr>
                <w:rFonts w:hint="eastAsia" w:ascii="宋体" w:hAnsi="宋体" w:cs="宋体"/>
              </w:rPr>
            </w:pPr>
            <w:r>
              <w:rPr>
                <w:rFonts w:hint="eastAsia" w:ascii="宋体" w:hAnsi="宋体" w:cs="宋体"/>
                <w:highlight w:val="none"/>
                <w:lang w:val="en-US" w:eastAsia="zh-CN"/>
              </w:rPr>
              <w:t>80000</w:t>
            </w:r>
            <w:r>
              <w:rPr>
                <w:rFonts w:hint="eastAsia" w:ascii="宋体" w:hAnsi="宋体" w:cs="宋体"/>
                <w:highlight w:val="none"/>
              </w:rPr>
              <w:t>.00</w:t>
            </w:r>
          </w:p>
        </w:tc>
        <w:tc>
          <w:tcPr>
            <w:tcW w:w="1492" w:type="dxa"/>
            <w:tcBorders>
              <w:top w:val="single" w:color="auto" w:sz="6" w:space="0"/>
              <w:left w:val="single" w:color="auto" w:sz="6" w:space="0"/>
              <w:bottom w:val="single" w:color="auto" w:sz="6" w:space="0"/>
              <w:right w:val="single" w:color="auto" w:sz="6" w:space="0"/>
            </w:tcBorders>
            <w:vAlign w:val="center"/>
          </w:tcPr>
          <w:p w14:paraId="2B0F10AF">
            <w:pPr>
              <w:autoSpaceDE w:val="0"/>
              <w:autoSpaceDN w:val="0"/>
              <w:jc w:val="center"/>
              <w:rPr>
                <w:rFonts w:hint="eastAsia" w:ascii="宋体" w:hAnsi="宋体" w:cs="宋体"/>
                <w:sz w:val="18"/>
                <w:szCs w:val="18"/>
              </w:rPr>
            </w:pPr>
            <w:r>
              <w:rPr>
                <w:rFonts w:hint="eastAsia"/>
                <w:sz w:val="18"/>
                <w:szCs w:val="18"/>
              </w:rPr>
              <w:t>含税暂列金</w:t>
            </w:r>
            <w:r>
              <w:rPr>
                <w:rFonts w:hint="eastAsia"/>
                <w:sz w:val="18"/>
                <w:szCs w:val="18"/>
                <w:lang w:val="en-US" w:eastAsia="zh-CN"/>
              </w:rPr>
              <w:t>87200</w:t>
            </w:r>
            <w:r>
              <w:rPr>
                <w:rFonts w:hint="eastAsia"/>
                <w:sz w:val="18"/>
                <w:szCs w:val="18"/>
              </w:rPr>
              <w:t>.00</w:t>
            </w:r>
          </w:p>
        </w:tc>
      </w:tr>
    </w:tbl>
    <w:p w14:paraId="068ED5EE">
      <w:pPr>
        <w:numPr>
          <w:ilvl w:val="0"/>
          <w:numId w:val="4"/>
        </w:numPr>
        <w:snapToGrid w:val="0"/>
        <w:spacing w:line="440" w:lineRule="atLeast"/>
        <w:ind w:firstLine="211" w:firstLineChars="100"/>
        <w:rPr>
          <w:rFonts w:hint="eastAsia" w:ascii="宋体" w:hAnsi="宋体" w:cs="宋体"/>
          <w:b/>
          <w:szCs w:val="21"/>
        </w:rPr>
      </w:pPr>
      <w:r>
        <w:rPr>
          <w:rFonts w:hint="eastAsia" w:ascii="宋体" w:hAnsi="宋体" w:cs="宋体"/>
          <w:b/>
          <w:szCs w:val="21"/>
        </w:rPr>
        <w:t>专业工程暂估价明细表：无</w:t>
      </w:r>
    </w:p>
    <w:p w14:paraId="62C861A3">
      <w:pPr>
        <w:snapToGrid w:val="0"/>
        <w:spacing w:line="440" w:lineRule="atLeast"/>
        <w:rPr>
          <w:rFonts w:hint="eastAsia" w:ascii="宋体" w:hAnsi="宋体" w:cs="宋体"/>
          <w:b/>
          <w:szCs w:val="21"/>
        </w:rPr>
      </w:pPr>
    </w:p>
    <w:p w14:paraId="75CF4E39">
      <w:pPr>
        <w:numPr>
          <w:ilvl w:val="0"/>
          <w:numId w:val="1"/>
        </w:numPr>
        <w:snapToGrid w:val="0"/>
        <w:spacing w:line="440" w:lineRule="atLeast"/>
        <w:rPr>
          <w:rFonts w:hint="eastAsia" w:ascii="宋体" w:hAnsi="宋体" w:cs="宋体"/>
          <w:b/>
          <w:sz w:val="24"/>
          <w:lang w:val="zh-CN"/>
        </w:rPr>
      </w:pPr>
      <w:r>
        <w:rPr>
          <w:rFonts w:hint="eastAsia" w:ascii="宋体" w:hAnsi="宋体" w:cs="宋体"/>
          <w:b/>
          <w:sz w:val="24"/>
          <w:lang w:val="zh-CN"/>
        </w:rPr>
        <w:t>工程信息明细：</w:t>
      </w:r>
    </w:p>
    <w:tbl>
      <w:tblPr>
        <w:tblStyle w:val="10"/>
        <w:tblpPr w:leftFromText="180" w:rightFromText="180" w:vertAnchor="text" w:horzAnchor="page" w:tblpX="1398" w:tblpY="161"/>
        <w:tblOverlap w:val="never"/>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5627"/>
        <w:gridCol w:w="3004"/>
      </w:tblGrid>
      <w:tr w14:paraId="1DBC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88" w:type="dxa"/>
            <w:gridSpan w:val="3"/>
            <w:tcBorders>
              <w:top w:val="single" w:color="auto" w:sz="8" w:space="0"/>
              <w:left w:val="single" w:color="auto" w:sz="8" w:space="0"/>
              <w:bottom w:val="single" w:color="auto" w:sz="8" w:space="0"/>
              <w:right w:val="single" w:color="auto" w:sz="8" w:space="0"/>
            </w:tcBorders>
            <w:vAlign w:val="center"/>
          </w:tcPr>
          <w:p w14:paraId="7A3D1D11">
            <w:pPr>
              <w:autoSpaceDE w:val="0"/>
              <w:autoSpaceDN w:val="0"/>
              <w:rPr>
                <w:rFonts w:hint="eastAsia" w:ascii="宋体" w:hAnsi="宋体" w:cs="宋体"/>
              </w:rPr>
            </w:pPr>
            <w:r>
              <w:rPr>
                <w:rFonts w:hint="eastAsia" w:ascii="宋体" w:hAnsi="宋体" w:cs="宋体"/>
              </w:rPr>
              <w:t>项目编号：01</w:t>
            </w:r>
          </w:p>
        </w:tc>
      </w:tr>
      <w:tr w14:paraId="6F39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88" w:type="dxa"/>
            <w:gridSpan w:val="3"/>
            <w:tcBorders>
              <w:top w:val="single" w:color="auto" w:sz="8" w:space="0"/>
              <w:left w:val="single" w:color="auto" w:sz="8" w:space="0"/>
              <w:bottom w:val="single" w:color="auto" w:sz="8" w:space="0"/>
              <w:right w:val="single" w:color="auto" w:sz="8" w:space="0"/>
            </w:tcBorders>
            <w:vAlign w:val="center"/>
          </w:tcPr>
          <w:p w14:paraId="4AD70B91">
            <w:pPr>
              <w:autoSpaceDE w:val="0"/>
              <w:autoSpaceDN w:val="0"/>
              <w:rPr>
                <w:rFonts w:hint="eastAsia" w:ascii="宋体" w:hAnsi="宋体" w:cs="宋体"/>
              </w:rPr>
            </w:pPr>
            <w:r>
              <w:rPr>
                <w:rFonts w:hint="eastAsia" w:ascii="宋体" w:hAnsi="宋体" w:cs="宋体"/>
                <w:lang w:val="zh-CN"/>
              </w:rPr>
              <w:t>工程名称：云亭派出所营房修缮项目</w:t>
            </w:r>
          </w:p>
        </w:tc>
      </w:tr>
      <w:tr w14:paraId="06A2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88" w:type="dxa"/>
            <w:gridSpan w:val="3"/>
            <w:tcBorders>
              <w:top w:val="single" w:color="auto" w:sz="8" w:space="0"/>
              <w:left w:val="single" w:color="auto" w:sz="8" w:space="0"/>
              <w:bottom w:val="single" w:color="auto" w:sz="8" w:space="0"/>
              <w:right w:val="single" w:color="auto" w:sz="8" w:space="0"/>
            </w:tcBorders>
            <w:vAlign w:val="center"/>
          </w:tcPr>
          <w:p w14:paraId="78124AA7">
            <w:pPr>
              <w:autoSpaceDE w:val="0"/>
              <w:autoSpaceDN w:val="0"/>
              <w:rPr>
                <w:rFonts w:hint="eastAsia" w:ascii="宋体" w:hAnsi="宋体" w:cs="宋体"/>
              </w:rPr>
            </w:pPr>
            <w:r>
              <w:rPr>
                <w:rFonts w:hint="eastAsia" w:ascii="宋体" w:hAnsi="宋体" w:cs="宋体"/>
                <w:lang w:val="zh-CN"/>
              </w:rPr>
              <w:t>建设单位：江阴市公安局云亭派出所</w:t>
            </w:r>
          </w:p>
        </w:tc>
      </w:tr>
      <w:tr w14:paraId="7B1E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88" w:type="dxa"/>
            <w:gridSpan w:val="3"/>
            <w:tcBorders>
              <w:top w:val="single" w:color="auto" w:sz="8" w:space="0"/>
              <w:left w:val="single" w:color="auto" w:sz="8" w:space="0"/>
              <w:bottom w:val="single" w:color="auto" w:sz="8" w:space="0"/>
              <w:right w:val="single" w:color="auto" w:sz="8" w:space="0"/>
            </w:tcBorders>
            <w:vAlign w:val="center"/>
          </w:tcPr>
          <w:p w14:paraId="06BE6D60">
            <w:pPr>
              <w:autoSpaceDE w:val="0"/>
              <w:autoSpaceDN w:val="0"/>
              <w:rPr>
                <w:rFonts w:hint="eastAsia" w:ascii="宋体" w:hAnsi="宋体" w:cs="宋体"/>
              </w:rPr>
            </w:pPr>
            <w:r>
              <w:rPr>
                <w:rFonts w:hint="eastAsia" w:ascii="宋体" w:hAnsi="宋体" w:cs="宋体"/>
              </w:rPr>
              <w:t>单位工程明细：</w:t>
            </w:r>
          </w:p>
        </w:tc>
      </w:tr>
      <w:tr w14:paraId="3EC0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7" w:type="dxa"/>
            <w:tcBorders>
              <w:top w:val="single" w:color="auto" w:sz="8" w:space="0"/>
              <w:left w:val="single" w:color="auto" w:sz="8" w:space="0"/>
              <w:bottom w:val="single" w:color="auto" w:sz="8" w:space="0"/>
              <w:right w:val="single" w:color="auto" w:sz="8" w:space="0"/>
            </w:tcBorders>
            <w:vAlign w:val="center"/>
          </w:tcPr>
          <w:p w14:paraId="51DE0D00">
            <w:pPr>
              <w:autoSpaceDE w:val="0"/>
              <w:autoSpaceDN w:val="0"/>
              <w:jc w:val="center"/>
              <w:rPr>
                <w:rFonts w:hint="eastAsia" w:ascii="宋体" w:hAnsi="宋体" w:cs="宋体"/>
              </w:rPr>
            </w:pPr>
            <w:r>
              <w:rPr>
                <w:rFonts w:hint="eastAsia" w:ascii="宋体" w:hAnsi="宋体" w:cs="宋体"/>
              </w:rPr>
              <w:t>编号</w:t>
            </w:r>
          </w:p>
        </w:tc>
        <w:tc>
          <w:tcPr>
            <w:tcW w:w="5627" w:type="dxa"/>
            <w:tcBorders>
              <w:top w:val="single" w:color="auto" w:sz="8" w:space="0"/>
              <w:left w:val="single" w:color="auto" w:sz="8" w:space="0"/>
              <w:bottom w:val="single" w:color="auto" w:sz="8" w:space="0"/>
              <w:right w:val="single" w:color="auto" w:sz="8" w:space="0"/>
            </w:tcBorders>
            <w:vAlign w:val="center"/>
          </w:tcPr>
          <w:p w14:paraId="20EDB782">
            <w:pPr>
              <w:autoSpaceDE w:val="0"/>
              <w:autoSpaceDN w:val="0"/>
              <w:jc w:val="center"/>
              <w:rPr>
                <w:rFonts w:hint="eastAsia" w:ascii="宋体" w:hAnsi="宋体" w:cs="宋体"/>
              </w:rPr>
            </w:pPr>
            <w:r>
              <w:rPr>
                <w:rFonts w:hint="eastAsia" w:ascii="宋体" w:hAnsi="宋体" w:cs="宋体"/>
              </w:rPr>
              <w:t>单位工程名称</w:t>
            </w:r>
          </w:p>
        </w:tc>
        <w:tc>
          <w:tcPr>
            <w:tcW w:w="3004" w:type="dxa"/>
            <w:tcBorders>
              <w:top w:val="single" w:color="auto" w:sz="8" w:space="0"/>
              <w:left w:val="single" w:color="auto" w:sz="8" w:space="0"/>
              <w:bottom w:val="single" w:color="auto" w:sz="8" w:space="0"/>
              <w:right w:val="single" w:color="auto" w:sz="8" w:space="0"/>
            </w:tcBorders>
            <w:vAlign w:val="center"/>
          </w:tcPr>
          <w:p w14:paraId="7069E382">
            <w:pPr>
              <w:autoSpaceDE w:val="0"/>
              <w:autoSpaceDN w:val="0"/>
              <w:rPr>
                <w:rFonts w:hint="eastAsia" w:ascii="宋体" w:hAnsi="宋体" w:cs="宋体"/>
              </w:rPr>
            </w:pPr>
          </w:p>
        </w:tc>
      </w:tr>
      <w:tr w14:paraId="4068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7" w:type="dxa"/>
            <w:tcBorders>
              <w:top w:val="single" w:color="auto" w:sz="8" w:space="0"/>
              <w:left w:val="single" w:color="auto" w:sz="8" w:space="0"/>
              <w:bottom w:val="single" w:color="auto" w:sz="8" w:space="0"/>
              <w:right w:val="single" w:color="auto" w:sz="8" w:space="0"/>
            </w:tcBorders>
            <w:vAlign w:val="center"/>
          </w:tcPr>
          <w:p w14:paraId="445059C3">
            <w:pPr>
              <w:autoSpaceDE w:val="0"/>
              <w:autoSpaceDN w:val="0"/>
              <w:jc w:val="center"/>
              <w:rPr>
                <w:rFonts w:hint="eastAsia" w:ascii="宋体" w:hAnsi="宋体" w:cs="宋体"/>
              </w:rPr>
            </w:pPr>
            <w:r>
              <w:rPr>
                <w:rFonts w:hint="eastAsia" w:ascii="宋体" w:hAnsi="宋体" w:cs="宋体"/>
              </w:rPr>
              <w:t>001</w:t>
            </w:r>
          </w:p>
        </w:tc>
        <w:tc>
          <w:tcPr>
            <w:tcW w:w="5627" w:type="dxa"/>
            <w:tcBorders>
              <w:top w:val="single" w:color="auto" w:sz="8" w:space="0"/>
              <w:left w:val="single" w:color="auto" w:sz="8" w:space="0"/>
              <w:bottom w:val="single" w:color="auto" w:sz="8" w:space="0"/>
              <w:right w:val="single" w:color="auto" w:sz="8" w:space="0"/>
            </w:tcBorders>
            <w:vAlign w:val="center"/>
          </w:tcPr>
          <w:p w14:paraId="63AA6E4A">
            <w:pPr>
              <w:autoSpaceDE w:val="0"/>
              <w:autoSpaceDN w:val="0"/>
              <w:rPr>
                <w:rFonts w:hint="eastAsia" w:ascii="宋体" w:hAnsi="宋体" w:cs="宋体"/>
                <w:lang w:val="zh-CN"/>
              </w:rPr>
            </w:pPr>
            <w:r>
              <w:rPr>
                <w:rFonts w:hint="eastAsia" w:ascii="宋体" w:hAnsi="宋体" w:cs="宋体"/>
                <w:lang w:val="zh-CN"/>
              </w:rPr>
              <w:t>装饰改造项目</w:t>
            </w:r>
          </w:p>
        </w:tc>
        <w:tc>
          <w:tcPr>
            <w:tcW w:w="3004" w:type="dxa"/>
            <w:tcBorders>
              <w:top w:val="single" w:color="auto" w:sz="8" w:space="0"/>
              <w:left w:val="single" w:color="auto" w:sz="8" w:space="0"/>
              <w:bottom w:val="single" w:color="auto" w:sz="8" w:space="0"/>
              <w:right w:val="single" w:color="auto" w:sz="8" w:space="0"/>
            </w:tcBorders>
            <w:vAlign w:val="center"/>
          </w:tcPr>
          <w:p w14:paraId="4725E296">
            <w:pPr>
              <w:autoSpaceDE w:val="0"/>
              <w:autoSpaceDN w:val="0"/>
              <w:jc w:val="center"/>
              <w:rPr>
                <w:rFonts w:hint="eastAsia" w:ascii="宋体" w:hAnsi="宋体" w:cs="宋体"/>
              </w:rPr>
            </w:pPr>
          </w:p>
        </w:tc>
      </w:tr>
      <w:tr w14:paraId="7DFA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7" w:type="dxa"/>
            <w:tcBorders>
              <w:top w:val="single" w:color="auto" w:sz="8" w:space="0"/>
              <w:left w:val="single" w:color="auto" w:sz="8" w:space="0"/>
              <w:bottom w:val="single" w:color="auto" w:sz="8" w:space="0"/>
              <w:right w:val="single" w:color="auto" w:sz="8" w:space="0"/>
            </w:tcBorders>
            <w:vAlign w:val="center"/>
          </w:tcPr>
          <w:p w14:paraId="0D7E6717">
            <w:pPr>
              <w:autoSpaceDE w:val="0"/>
              <w:autoSpaceDN w:val="0"/>
              <w:jc w:val="center"/>
              <w:rPr>
                <w:rFonts w:hint="eastAsia" w:ascii="宋体" w:hAnsi="宋体" w:cs="宋体"/>
              </w:rPr>
            </w:pPr>
            <w:r>
              <w:rPr>
                <w:rFonts w:hint="eastAsia" w:ascii="宋体" w:hAnsi="宋体" w:cs="宋体"/>
              </w:rPr>
              <w:t>002</w:t>
            </w:r>
          </w:p>
        </w:tc>
        <w:tc>
          <w:tcPr>
            <w:tcW w:w="5627" w:type="dxa"/>
            <w:tcBorders>
              <w:top w:val="single" w:color="auto" w:sz="8" w:space="0"/>
              <w:left w:val="single" w:color="auto" w:sz="8" w:space="0"/>
              <w:bottom w:val="single" w:color="auto" w:sz="8" w:space="0"/>
              <w:right w:val="single" w:color="auto" w:sz="8" w:space="0"/>
            </w:tcBorders>
            <w:vAlign w:val="center"/>
          </w:tcPr>
          <w:p w14:paraId="5E3C9A01">
            <w:pPr>
              <w:autoSpaceDE w:val="0"/>
              <w:autoSpaceDN w:val="0"/>
              <w:rPr>
                <w:rFonts w:hint="eastAsia" w:ascii="宋体" w:hAnsi="宋体" w:cs="宋体"/>
                <w:lang w:val="zh-CN"/>
              </w:rPr>
            </w:pPr>
            <w:r>
              <w:rPr>
                <w:rFonts w:hint="eastAsia" w:ascii="宋体" w:hAnsi="宋体" w:cs="宋体"/>
                <w:lang w:val="zh-CN"/>
              </w:rPr>
              <w:t>水电安装改造项目</w:t>
            </w:r>
          </w:p>
        </w:tc>
        <w:tc>
          <w:tcPr>
            <w:tcW w:w="3004" w:type="dxa"/>
            <w:tcBorders>
              <w:top w:val="single" w:color="auto" w:sz="8" w:space="0"/>
              <w:left w:val="single" w:color="auto" w:sz="8" w:space="0"/>
              <w:bottom w:val="single" w:color="auto" w:sz="8" w:space="0"/>
              <w:right w:val="single" w:color="auto" w:sz="8" w:space="0"/>
            </w:tcBorders>
            <w:vAlign w:val="center"/>
          </w:tcPr>
          <w:p w14:paraId="6D15ACDF">
            <w:pPr>
              <w:autoSpaceDE w:val="0"/>
              <w:autoSpaceDN w:val="0"/>
              <w:jc w:val="center"/>
              <w:rPr>
                <w:rFonts w:hint="eastAsia" w:ascii="宋体" w:hAnsi="宋体" w:cs="宋体"/>
              </w:rPr>
            </w:pPr>
          </w:p>
        </w:tc>
      </w:tr>
    </w:tbl>
    <w:p w14:paraId="7D5318B2">
      <w:pPr>
        <w:autoSpaceDE w:val="0"/>
        <w:autoSpaceDN w:val="0"/>
        <w:jc w:val="right"/>
        <w:rPr>
          <w:rFonts w:hint="eastAsia" w:ascii="宋体" w:hAnsi="宋体" w:cs="宋体"/>
          <w:sz w:val="24"/>
          <w:lang w:val="zh-CN"/>
        </w:rPr>
      </w:pPr>
      <w:r>
        <w:rPr>
          <w:rFonts w:hint="eastAsia" w:ascii="宋体" w:hAnsi="宋体" w:cs="宋体"/>
          <w:sz w:val="24"/>
          <w:lang w:val="zh-CN"/>
        </w:rPr>
        <w:t xml:space="preserve"> </w:t>
      </w:r>
    </w:p>
    <w:p w14:paraId="44B2C674">
      <w:pPr>
        <w:autoSpaceDE w:val="0"/>
        <w:autoSpaceDN w:val="0"/>
        <w:ind w:right="960"/>
        <w:jc w:val="center"/>
        <w:rPr>
          <w:rFonts w:hint="eastAsia" w:ascii="宋体" w:hAnsi="宋体" w:cs="宋体"/>
          <w:sz w:val="24"/>
        </w:rPr>
      </w:pPr>
      <w:r>
        <w:rPr>
          <w:rFonts w:hint="eastAsia" w:ascii="宋体" w:hAnsi="宋体" w:cs="宋体"/>
          <w:sz w:val="24"/>
        </w:rPr>
        <w:t xml:space="preserve">    </w:t>
      </w:r>
    </w:p>
    <w:p w14:paraId="0FD6C6FC">
      <w:pPr>
        <w:autoSpaceDE w:val="0"/>
        <w:autoSpaceDN w:val="0"/>
        <w:ind w:right="960"/>
        <w:jc w:val="center"/>
        <w:rPr>
          <w:rFonts w:hint="eastAsia" w:ascii="宋体" w:hAnsi="宋体" w:cs="宋体"/>
          <w:sz w:val="24"/>
          <w:lang w:val="zh-CN"/>
        </w:rPr>
      </w:pP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 江苏建亨工程管理咨询有限公司</w:t>
      </w:r>
      <w:r>
        <w:rPr>
          <w:rFonts w:hint="eastAsia" w:ascii="宋体" w:hAnsi="宋体"/>
          <w:sz w:val="24"/>
        </w:rPr>
        <w:t xml:space="preserve">  </w:t>
      </w:r>
      <w:r>
        <w:rPr>
          <w:rFonts w:hint="eastAsia" w:ascii="宋体" w:hAnsi="宋体" w:cs="宋体"/>
          <w:sz w:val="24"/>
          <w:lang w:val="zh-CN"/>
        </w:rPr>
        <w:t xml:space="preserve"> </w:t>
      </w:r>
    </w:p>
    <w:p w14:paraId="28EC5AE4">
      <w:pPr>
        <w:snapToGrid w:val="0"/>
        <w:spacing w:line="440" w:lineRule="atLeast"/>
        <w:ind w:firstLine="465"/>
        <w:jc w:val="center"/>
        <w:rPr>
          <w:rFonts w:ascii="宋体" w:hAnsi="宋体" w:cs="宋体"/>
          <w:highlight w:val="none"/>
          <w:lang w:val="zh-CN"/>
        </w:rPr>
      </w:pPr>
      <w:r>
        <w:rPr>
          <w:rFonts w:hint="eastAsia" w:ascii="宋体" w:hAnsi="宋体" w:cs="宋体"/>
          <w:sz w:val="24"/>
          <w:highlight w:val="none"/>
          <w:lang w:val="en-US" w:eastAsia="zh-CN"/>
        </w:rPr>
        <w:t xml:space="preserve">                                   </w:t>
      </w:r>
      <w:r>
        <w:rPr>
          <w:rFonts w:hint="eastAsia" w:ascii="宋体" w:hAnsi="宋体" w:cs="宋体"/>
          <w:sz w:val="24"/>
          <w:highlight w:val="none"/>
          <w:lang w:val="zh-CN"/>
        </w:rPr>
        <w:t>20</w:t>
      </w:r>
      <w:r>
        <w:rPr>
          <w:rFonts w:hint="eastAsia" w:ascii="宋体" w:hAnsi="宋体" w:cs="宋体"/>
          <w:sz w:val="24"/>
          <w:highlight w:val="none"/>
        </w:rPr>
        <w:t>26</w:t>
      </w:r>
      <w:r>
        <w:rPr>
          <w:rFonts w:hint="eastAsia" w:ascii="宋体" w:hAnsi="宋体" w:cs="宋体"/>
          <w:sz w:val="24"/>
          <w:highlight w:val="none"/>
          <w:lang w:val="zh-CN"/>
        </w:rPr>
        <w:t>年</w:t>
      </w:r>
      <w:r>
        <w:rPr>
          <w:rFonts w:hint="eastAsia" w:ascii="宋体" w:hAnsi="宋体" w:cs="宋体"/>
          <w:sz w:val="24"/>
          <w:highlight w:val="none"/>
          <w:lang w:val="en-US" w:eastAsia="zh-CN"/>
        </w:rPr>
        <w:t>10</w:t>
      </w:r>
      <w:r>
        <w:rPr>
          <w:rFonts w:hint="eastAsia" w:ascii="宋体" w:hAnsi="宋体" w:cs="宋体"/>
          <w:sz w:val="24"/>
          <w:highlight w:val="none"/>
          <w:lang w:val="zh-CN"/>
        </w:rPr>
        <w:t>月</w:t>
      </w:r>
      <w:r>
        <w:rPr>
          <w:rFonts w:hint="eastAsia" w:ascii="宋体" w:hAnsi="宋体" w:cs="宋体"/>
          <w:sz w:val="24"/>
          <w:highlight w:val="none"/>
          <w:lang w:val="en-US" w:eastAsia="zh-CN"/>
        </w:rPr>
        <w:t>9</w:t>
      </w:r>
      <w:r>
        <w:rPr>
          <w:rFonts w:hint="eastAsia" w:ascii="宋体" w:hAnsi="宋体" w:cs="宋体"/>
          <w:sz w:val="24"/>
          <w:highlight w:val="none"/>
          <w:lang w:val="zh-CN"/>
        </w:rPr>
        <w:t>日</w:t>
      </w:r>
    </w:p>
    <w:sectPr>
      <w:headerReference r:id="rId3" w:type="default"/>
      <w:footerReference r:id="rId4" w:type="default"/>
      <w:footerReference r:id="rId5" w:type="even"/>
      <w:pgSz w:w="11906" w:h="16838"/>
      <w:pgMar w:top="1091" w:right="829" w:bottom="779" w:left="9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FEA16">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5</w:t>
    </w:r>
    <w:r>
      <w:fldChar w:fldCharType="end"/>
    </w:r>
  </w:p>
  <w:p w14:paraId="77AC476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A4785">
    <w:pPr>
      <w:pStyle w:val="7"/>
      <w:framePr w:wrap="around" w:vAnchor="text" w:hAnchor="margin" w:xAlign="center" w:y="1"/>
      <w:rPr>
        <w:rStyle w:val="13"/>
      </w:rPr>
    </w:pPr>
    <w:r>
      <w:fldChar w:fldCharType="begin"/>
    </w:r>
    <w:r>
      <w:rPr>
        <w:rStyle w:val="13"/>
      </w:rPr>
      <w:instrText xml:space="preserve">PAGE  </w:instrText>
    </w:r>
    <w:r>
      <w:fldChar w:fldCharType="end"/>
    </w:r>
  </w:p>
  <w:p w14:paraId="38FE4B22">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B069F">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00FC80"/>
    <w:multiLevelType w:val="singleLevel"/>
    <w:tmpl w:val="1F00FC80"/>
    <w:lvl w:ilvl="0" w:tentative="0">
      <w:start w:val="2"/>
      <w:numFmt w:val="decimal"/>
      <w:suff w:val="nothing"/>
      <w:lvlText w:val="%1、"/>
      <w:lvlJc w:val="left"/>
    </w:lvl>
  </w:abstractNum>
  <w:abstractNum w:abstractNumId="1">
    <w:nsid w:val="55B99465"/>
    <w:multiLevelType w:val="singleLevel"/>
    <w:tmpl w:val="55B99465"/>
    <w:lvl w:ilvl="0" w:tentative="0">
      <w:start w:val="1"/>
      <w:numFmt w:val="decimal"/>
      <w:lvlText w:val="%1."/>
      <w:lvlJc w:val="left"/>
      <w:pPr>
        <w:tabs>
          <w:tab w:val="left" w:pos="5"/>
        </w:tabs>
        <w:ind w:left="5" w:hanging="425"/>
      </w:pPr>
      <w:rPr>
        <w:rFonts w:hint="default"/>
      </w:rPr>
    </w:lvl>
  </w:abstractNum>
  <w:abstractNum w:abstractNumId="2">
    <w:nsid w:val="55D3F4C5"/>
    <w:multiLevelType w:val="singleLevel"/>
    <w:tmpl w:val="55D3F4C5"/>
    <w:lvl w:ilvl="0" w:tentative="0">
      <w:start w:val="1"/>
      <w:numFmt w:val="chineseCounting"/>
      <w:lvlText w:val="%1."/>
      <w:lvlJc w:val="left"/>
      <w:pPr>
        <w:tabs>
          <w:tab w:val="left" w:pos="425"/>
        </w:tabs>
        <w:ind w:left="425" w:hanging="425"/>
      </w:pPr>
      <w:rPr>
        <w:rFonts w:hint="eastAsia"/>
        <w:b/>
        <w:bCs/>
        <w:sz w:val="24"/>
        <w:szCs w:val="24"/>
      </w:rPr>
    </w:lvl>
  </w:abstractNum>
  <w:abstractNum w:abstractNumId="3">
    <w:nsid w:val="652C0AFA"/>
    <w:multiLevelType w:val="singleLevel"/>
    <w:tmpl w:val="652C0AFA"/>
    <w:lvl w:ilvl="0" w:tentative="0">
      <w:start w:val="1"/>
      <w:numFmt w:val="decimal"/>
      <w:lvlText w:val="%1."/>
      <w:lvlJc w:val="left"/>
      <w:pPr>
        <w:tabs>
          <w:tab w:val="left" w:pos="5"/>
        </w:tabs>
        <w:ind w:left="5" w:hanging="425"/>
      </w:pPr>
      <w:rPr>
        <w:rFonts w:hint="default"/>
      </w:rPr>
    </w:lvl>
  </w:abstractNum>
  <w:num w:numId="1">
    <w:abstractNumId w:val="2"/>
    <w:lvlOverride w:ilvl="0">
      <w:startOverride w:val="1"/>
    </w:lvlOverride>
  </w:num>
  <w:num w:numId="2">
    <w:abstractNumId w:val="1"/>
    <w:lvlOverride w:ilvl="0">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3MThkNDYyOGVkM2RmNmFmYTYyZjExZTFjMTBlNzkifQ=="/>
  </w:docVars>
  <w:rsids>
    <w:rsidRoot w:val="00172A27"/>
    <w:rsid w:val="00033918"/>
    <w:rsid w:val="00055546"/>
    <w:rsid w:val="000A5DAA"/>
    <w:rsid w:val="00143FFB"/>
    <w:rsid w:val="00172A27"/>
    <w:rsid w:val="001A6AF9"/>
    <w:rsid w:val="001E7F76"/>
    <w:rsid w:val="00275DDF"/>
    <w:rsid w:val="002D7A2C"/>
    <w:rsid w:val="00324123"/>
    <w:rsid w:val="003268E5"/>
    <w:rsid w:val="0036701D"/>
    <w:rsid w:val="003C3447"/>
    <w:rsid w:val="003D119A"/>
    <w:rsid w:val="004163B2"/>
    <w:rsid w:val="004A540E"/>
    <w:rsid w:val="004D51BC"/>
    <w:rsid w:val="00587CD5"/>
    <w:rsid w:val="0065097B"/>
    <w:rsid w:val="00696ABA"/>
    <w:rsid w:val="007A6290"/>
    <w:rsid w:val="00857459"/>
    <w:rsid w:val="00872CFB"/>
    <w:rsid w:val="009136E0"/>
    <w:rsid w:val="00951F6C"/>
    <w:rsid w:val="009E7094"/>
    <w:rsid w:val="00AE6F5B"/>
    <w:rsid w:val="00AE7BF5"/>
    <w:rsid w:val="00B439D0"/>
    <w:rsid w:val="00B512B2"/>
    <w:rsid w:val="00BB27C9"/>
    <w:rsid w:val="00C510E9"/>
    <w:rsid w:val="00D91292"/>
    <w:rsid w:val="00D92D4A"/>
    <w:rsid w:val="00E23770"/>
    <w:rsid w:val="012305CE"/>
    <w:rsid w:val="015B73FB"/>
    <w:rsid w:val="01DC5624"/>
    <w:rsid w:val="023D34F8"/>
    <w:rsid w:val="029E6B70"/>
    <w:rsid w:val="02C941D1"/>
    <w:rsid w:val="02DD4B80"/>
    <w:rsid w:val="046152DE"/>
    <w:rsid w:val="046519CC"/>
    <w:rsid w:val="048E3795"/>
    <w:rsid w:val="04B50DAE"/>
    <w:rsid w:val="04F46C31"/>
    <w:rsid w:val="0607593C"/>
    <w:rsid w:val="06B1727A"/>
    <w:rsid w:val="06C510AB"/>
    <w:rsid w:val="07600DB1"/>
    <w:rsid w:val="07F7533D"/>
    <w:rsid w:val="08245768"/>
    <w:rsid w:val="08503B02"/>
    <w:rsid w:val="08930F12"/>
    <w:rsid w:val="08B05BA6"/>
    <w:rsid w:val="08F611EA"/>
    <w:rsid w:val="095E300D"/>
    <w:rsid w:val="0AEC39F9"/>
    <w:rsid w:val="0B903B7E"/>
    <w:rsid w:val="0BD4544E"/>
    <w:rsid w:val="0C61670A"/>
    <w:rsid w:val="0CF12CEE"/>
    <w:rsid w:val="0D3F09CA"/>
    <w:rsid w:val="0DEA074D"/>
    <w:rsid w:val="0DFA5DAC"/>
    <w:rsid w:val="0E0C489A"/>
    <w:rsid w:val="0E342E47"/>
    <w:rsid w:val="0E75680A"/>
    <w:rsid w:val="0E8511D0"/>
    <w:rsid w:val="0EE1718B"/>
    <w:rsid w:val="0F7246AE"/>
    <w:rsid w:val="104A3DAC"/>
    <w:rsid w:val="11F56F16"/>
    <w:rsid w:val="12265F4D"/>
    <w:rsid w:val="12BF6D64"/>
    <w:rsid w:val="13A12C42"/>
    <w:rsid w:val="13A206C4"/>
    <w:rsid w:val="13AE7D5A"/>
    <w:rsid w:val="13C96A30"/>
    <w:rsid w:val="14193B86"/>
    <w:rsid w:val="146E1270"/>
    <w:rsid w:val="15E6010D"/>
    <w:rsid w:val="163C5AEE"/>
    <w:rsid w:val="16756285"/>
    <w:rsid w:val="17070465"/>
    <w:rsid w:val="17373603"/>
    <w:rsid w:val="17404D49"/>
    <w:rsid w:val="17950FEA"/>
    <w:rsid w:val="17B976EE"/>
    <w:rsid w:val="18433E31"/>
    <w:rsid w:val="189270E7"/>
    <w:rsid w:val="1A76158E"/>
    <w:rsid w:val="1B423AAD"/>
    <w:rsid w:val="1C022402"/>
    <w:rsid w:val="1CB727DF"/>
    <w:rsid w:val="1D857BFA"/>
    <w:rsid w:val="1D9C596C"/>
    <w:rsid w:val="1E0616E7"/>
    <w:rsid w:val="1E74624E"/>
    <w:rsid w:val="210452FD"/>
    <w:rsid w:val="216A129A"/>
    <w:rsid w:val="22056993"/>
    <w:rsid w:val="221C47C9"/>
    <w:rsid w:val="221D7F2E"/>
    <w:rsid w:val="22221625"/>
    <w:rsid w:val="232C015A"/>
    <w:rsid w:val="233D46D3"/>
    <w:rsid w:val="234F3EC6"/>
    <w:rsid w:val="24407A49"/>
    <w:rsid w:val="2595153D"/>
    <w:rsid w:val="25B54415"/>
    <w:rsid w:val="26310946"/>
    <w:rsid w:val="26FD5932"/>
    <w:rsid w:val="27125E10"/>
    <w:rsid w:val="288268F8"/>
    <w:rsid w:val="28CB5CFA"/>
    <w:rsid w:val="293811B0"/>
    <w:rsid w:val="29F821AA"/>
    <w:rsid w:val="2ADF3CE2"/>
    <w:rsid w:val="2B19167E"/>
    <w:rsid w:val="2BB50348"/>
    <w:rsid w:val="2CB94FE4"/>
    <w:rsid w:val="2CF40298"/>
    <w:rsid w:val="2D106B5B"/>
    <w:rsid w:val="2DC773DC"/>
    <w:rsid w:val="2DD300BC"/>
    <w:rsid w:val="2F727CE6"/>
    <w:rsid w:val="2FD7017E"/>
    <w:rsid w:val="30CF0ED1"/>
    <w:rsid w:val="3116717A"/>
    <w:rsid w:val="31185F0A"/>
    <w:rsid w:val="313047C4"/>
    <w:rsid w:val="32344C40"/>
    <w:rsid w:val="32547EBA"/>
    <w:rsid w:val="33F626B2"/>
    <w:rsid w:val="34391BEF"/>
    <w:rsid w:val="34E31A07"/>
    <w:rsid w:val="35652274"/>
    <w:rsid w:val="360755E5"/>
    <w:rsid w:val="36E557CA"/>
    <w:rsid w:val="380D264C"/>
    <w:rsid w:val="382B0EB3"/>
    <w:rsid w:val="383D5BB4"/>
    <w:rsid w:val="38A5428E"/>
    <w:rsid w:val="38FB4C32"/>
    <w:rsid w:val="39861023"/>
    <w:rsid w:val="3A0A519C"/>
    <w:rsid w:val="3A4259D7"/>
    <w:rsid w:val="3B170879"/>
    <w:rsid w:val="3BA33020"/>
    <w:rsid w:val="3BF91729"/>
    <w:rsid w:val="3C686BA6"/>
    <w:rsid w:val="3D4A295F"/>
    <w:rsid w:val="3E200862"/>
    <w:rsid w:val="3F2A5A1C"/>
    <w:rsid w:val="3F2E46C0"/>
    <w:rsid w:val="3FCD4C6A"/>
    <w:rsid w:val="40945B4B"/>
    <w:rsid w:val="411D5225"/>
    <w:rsid w:val="4152413E"/>
    <w:rsid w:val="415E1A4D"/>
    <w:rsid w:val="421826FC"/>
    <w:rsid w:val="425431BB"/>
    <w:rsid w:val="430D6CAE"/>
    <w:rsid w:val="437E616A"/>
    <w:rsid w:val="44305A47"/>
    <w:rsid w:val="446829A7"/>
    <w:rsid w:val="447535DD"/>
    <w:rsid w:val="44B109AF"/>
    <w:rsid w:val="452644FF"/>
    <w:rsid w:val="45D6555B"/>
    <w:rsid w:val="45F42FCF"/>
    <w:rsid w:val="47D117E4"/>
    <w:rsid w:val="48CF521D"/>
    <w:rsid w:val="491F3390"/>
    <w:rsid w:val="492547F9"/>
    <w:rsid w:val="4AFA0FD4"/>
    <w:rsid w:val="4B000453"/>
    <w:rsid w:val="4BA95F1B"/>
    <w:rsid w:val="4D6E4C5A"/>
    <w:rsid w:val="4D7D5F96"/>
    <w:rsid w:val="4DAC3FBB"/>
    <w:rsid w:val="4DF06B51"/>
    <w:rsid w:val="4E5B3840"/>
    <w:rsid w:val="4FDC7852"/>
    <w:rsid w:val="50B87750"/>
    <w:rsid w:val="519E2E63"/>
    <w:rsid w:val="52D2191F"/>
    <w:rsid w:val="545466D7"/>
    <w:rsid w:val="54FE0CA8"/>
    <w:rsid w:val="55186629"/>
    <w:rsid w:val="55C93441"/>
    <w:rsid w:val="55E64A28"/>
    <w:rsid w:val="56476CE5"/>
    <w:rsid w:val="56D06A51"/>
    <w:rsid w:val="56D25B35"/>
    <w:rsid w:val="577053BD"/>
    <w:rsid w:val="589C176E"/>
    <w:rsid w:val="59DE383D"/>
    <w:rsid w:val="5AFD1836"/>
    <w:rsid w:val="5B066847"/>
    <w:rsid w:val="5D14403F"/>
    <w:rsid w:val="5DC44AC2"/>
    <w:rsid w:val="5E03770C"/>
    <w:rsid w:val="5E742AD8"/>
    <w:rsid w:val="5FD15884"/>
    <w:rsid w:val="60462F5E"/>
    <w:rsid w:val="60863B5C"/>
    <w:rsid w:val="609F702C"/>
    <w:rsid w:val="61AB47F2"/>
    <w:rsid w:val="62121814"/>
    <w:rsid w:val="63E23618"/>
    <w:rsid w:val="63E975F8"/>
    <w:rsid w:val="64441F50"/>
    <w:rsid w:val="656938DB"/>
    <w:rsid w:val="656D07F8"/>
    <w:rsid w:val="65840B4F"/>
    <w:rsid w:val="65AB4911"/>
    <w:rsid w:val="65C73B99"/>
    <w:rsid w:val="6642746F"/>
    <w:rsid w:val="67092CB3"/>
    <w:rsid w:val="67147642"/>
    <w:rsid w:val="67656D42"/>
    <w:rsid w:val="67AA13B4"/>
    <w:rsid w:val="67B25250"/>
    <w:rsid w:val="68EA41CF"/>
    <w:rsid w:val="693742A5"/>
    <w:rsid w:val="6AC634A7"/>
    <w:rsid w:val="6AD44D57"/>
    <w:rsid w:val="6B460B8C"/>
    <w:rsid w:val="6BD30D17"/>
    <w:rsid w:val="6C9B68B0"/>
    <w:rsid w:val="6D1B3CE3"/>
    <w:rsid w:val="6D975F80"/>
    <w:rsid w:val="6E0D7A9C"/>
    <w:rsid w:val="6E373BED"/>
    <w:rsid w:val="6ECF0C36"/>
    <w:rsid w:val="6F260E44"/>
    <w:rsid w:val="6F2D3D6B"/>
    <w:rsid w:val="6FD01098"/>
    <w:rsid w:val="704D2132"/>
    <w:rsid w:val="70F44DB6"/>
    <w:rsid w:val="717A39B4"/>
    <w:rsid w:val="72B14395"/>
    <w:rsid w:val="7324525B"/>
    <w:rsid w:val="73817AF3"/>
    <w:rsid w:val="73B75AAA"/>
    <w:rsid w:val="73DB080D"/>
    <w:rsid w:val="741E5AB1"/>
    <w:rsid w:val="749C2CC3"/>
    <w:rsid w:val="766E17DB"/>
    <w:rsid w:val="767B541E"/>
    <w:rsid w:val="7696711C"/>
    <w:rsid w:val="76E40E5C"/>
    <w:rsid w:val="77177EC8"/>
    <w:rsid w:val="78132E72"/>
    <w:rsid w:val="78812509"/>
    <w:rsid w:val="78895092"/>
    <w:rsid w:val="78D7630C"/>
    <w:rsid w:val="78E416ED"/>
    <w:rsid w:val="794E5C13"/>
    <w:rsid w:val="79800315"/>
    <w:rsid w:val="79C350D7"/>
    <w:rsid w:val="79C55D56"/>
    <w:rsid w:val="7AE96523"/>
    <w:rsid w:val="7B5B25DA"/>
    <w:rsid w:val="7B9120F6"/>
    <w:rsid w:val="7BD17279"/>
    <w:rsid w:val="7C3B183D"/>
    <w:rsid w:val="7C405DB4"/>
    <w:rsid w:val="7C494A62"/>
    <w:rsid w:val="7D492462"/>
    <w:rsid w:val="7E8539BE"/>
    <w:rsid w:val="7F37578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Indent"/>
    <w:basedOn w:val="1"/>
    <w:qFormat/>
    <w:uiPriority w:val="0"/>
    <w:pPr>
      <w:ind w:firstLine="178" w:firstLineChars="178"/>
    </w:pPr>
    <w:rPr>
      <w:sz w:val="28"/>
    </w:rPr>
  </w:style>
  <w:style w:type="paragraph" w:styleId="7">
    <w:name w:val="footer"/>
    <w:basedOn w:val="1"/>
    <w:link w:val="19"/>
    <w:qFormat/>
    <w:uiPriority w:val="0"/>
    <w:pPr>
      <w:tabs>
        <w:tab w:val="center" w:pos="4153"/>
        <w:tab w:val="right" w:pos="8306"/>
      </w:tabs>
      <w:snapToGrid w:val="0"/>
      <w:jc w:val="left"/>
    </w:pPr>
    <w:rPr>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Hyperlink"/>
    <w:basedOn w:val="12"/>
    <w:qFormat/>
    <w:uiPriority w:val="0"/>
    <w:rPr>
      <w:color w:val="0000FF"/>
      <w:u w:val="single"/>
    </w:rPr>
  </w:style>
  <w:style w:type="paragraph" w:customStyle="1" w:styleId="15">
    <w:name w:val="标题3"/>
    <w:basedOn w:val="1"/>
    <w:next w:val="3"/>
    <w:qFormat/>
    <w:uiPriority w:val="0"/>
    <w:pPr>
      <w:adjustRightInd w:val="0"/>
      <w:spacing w:line="360" w:lineRule="auto"/>
    </w:pPr>
    <w:rPr>
      <w:rFonts w:ascii="Arial" w:hAnsi="Arial" w:eastAsia="黑体"/>
      <w:sz w:val="28"/>
      <w:szCs w:val="28"/>
    </w:rPr>
  </w:style>
  <w:style w:type="paragraph" w:styleId="16">
    <w:name w:val="List Paragraph"/>
    <w:basedOn w:val="1"/>
    <w:qFormat/>
    <w:uiPriority w:val="34"/>
    <w:pPr>
      <w:ind w:firstLine="420" w:firstLineChars="200"/>
    </w:pPr>
    <w:rPr>
      <w:rFonts w:ascii="Calibri" w:hAnsi="Calibri"/>
    </w:rPr>
  </w:style>
  <w:style w:type="character" w:customStyle="1" w:styleId="17">
    <w:name w:val="标题 1 Char"/>
    <w:basedOn w:val="12"/>
    <w:link w:val="2"/>
    <w:qFormat/>
    <w:uiPriority w:val="0"/>
    <w:rPr>
      <w:b/>
      <w:bCs/>
    </w:rPr>
  </w:style>
  <w:style w:type="character" w:customStyle="1" w:styleId="18">
    <w:name w:val="样式1 Char"/>
    <w:basedOn w:val="12"/>
    <w:qFormat/>
    <w:uiPriority w:val="0"/>
    <w:rPr>
      <w:b/>
      <w:bCs/>
    </w:rPr>
  </w:style>
  <w:style w:type="character" w:customStyle="1" w:styleId="19">
    <w:name w:val="页脚 Char"/>
    <w:basedOn w:val="12"/>
    <w:link w:val="7"/>
    <w:qFormat/>
    <w:uiPriority w:val="0"/>
  </w:style>
  <w:style w:type="character" w:customStyle="1" w:styleId="20">
    <w:name w:val="页眉 Char"/>
    <w:basedOn w:val="12"/>
    <w:link w:val="8"/>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2034</Words>
  <Characters>2131</Characters>
  <Lines>27</Lines>
  <Paragraphs>7</Paragraphs>
  <TotalTime>37</TotalTime>
  <ScaleCrop>false</ScaleCrop>
  <LinksUpToDate>false</LinksUpToDate>
  <CharactersWithSpaces>2223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2013-12-13T14:08:00Z</dcterms:created>
  <dc:creator>oppo</dc:creator>
  <cp:lastModifiedBy>余声于笙</cp:lastModifiedBy>
  <cp:lastPrinted>2019-06-19T04:19:00Z</cp:lastPrinted>
  <dcterms:modified xsi:type="dcterms:W3CDTF">2026-10-09T06:02:31Z</dcterms:modified>
  <dc:title>江阴市实验小学北校区景观工程--清单编制总说明</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2D495F7C8C2A456C8BC43EFC3300326F_13</vt:lpwstr>
  </property>
  <property fmtid="{D5CDD505-2E9C-101B-9397-08002B2CF9AE}" pid="4" name="commondata">
    <vt:lpwstr>eyJoZGlkIjoiZjNkMmI0NWEzZDJlOTdiZWY3MWE5YmZiZDJhM2U1ZWYifQ==</vt:lpwstr>
  </property>
  <property fmtid="{D5CDD505-2E9C-101B-9397-08002B2CF9AE}" pid="5" name="KSOTemplateDocerSaveRecord">
    <vt:lpwstr>eyJoZGlkIjoiNWJmODI5ZTZlNDMyZmU1ZDFiMzllYzliMmU1OWVlODIiLCJ1c2VySWQiOiIzNTA0MTIwOTUifQ==</vt:lpwstr>
  </property>
</Properties>
</file>