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吴门医派骨伤研究所实验室配套设备（第一批）</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10月9日</w:t>
      </w:r>
      <w:r>
        <w:rPr>
          <w:rFonts w:hint="eastAsia" w:ascii="宋体" w:hAnsi="宋体"/>
          <w:color w:val="auto"/>
          <w:sz w:val="24"/>
          <w:szCs w:val="24"/>
          <w:highlight w:val="none"/>
          <w:u w:val="single"/>
        </w:rPr>
        <w:t xml:space="preserve">9点30分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JSZC-320500-SZWK-G2026-0290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吴门医派骨伤研究所实验室配套设备（第一批）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9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806"/>
              <w:ind w:left="420"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吴门医派骨伤研究所实验室配套设备（第一批）</w:t>
            </w:r>
            <w:r/>
          </w:p>
        </w:tc>
        <w:tc>
          <w:tcPr>
            <w:tcW w:w="2188"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385</w:t>
            </w:r>
            <w:r/>
          </w:p>
        </w:tc>
        <w:tc>
          <w:tcPr>
            <w:tcW w:w="2189"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385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4、采购需求的简要说明：吴门医派骨伤研究所实验室配套设备一批，包含紫外分光光度计、小型高速离心机、掌上离心机、微孔板迷你离心机、高速匀浆仪、超声波粉碎机、生物安全柜等设备一批。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（1）交货期限：合同签订之日起60天内完成交货并安装调试验收完毕。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（2）免费质保期详见采购需求</w:t>
      </w:r>
      <w:r>
        <w:rPr>
          <w:rFonts w:hint="eastAsia" w:ascii="宋体" w:hAnsi="宋体" w:cs="宋体"/>
          <w:color w:val="auto"/>
          <w:sz w:val="24"/>
          <w:szCs w:val="24"/>
          <w:highlight w:val="none"/>
          <w:lang w:val="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6、本项目接受联合体投标。本项目允许分包，不允许转包。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7、本项目不接受产品接受进口产品投标。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指本项目投标人或医疗设备部分的联合体方）为所投医疗设备生产商的，须具有所投产品相对应的生产及经营资格证明（若在住所或者生产地址销售的，则无须具有所投产品相对应的经营资格证明）；若投标人（指本项目投标人或医疗设备部分的联合体方）为所投医疗设备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10月9日</w:t>
      </w:r>
      <w:r>
        <w:rPr>
          <w:rFonts w:hint="eastAsia" w:ascii="宋体" w:hAnsi="宋体"/>
          <w:color w:val="auto"/>
          <w:sz w:val="24"/>
          <w:szCs w:val="24"/>
          <w:highlight w:val="none"/>
        </w:rPr>
        <w:t xml:space="preserve">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10月9日</w:t>
      </w:r>
      <w:r>
        <w:rPr>
          <w:rFonts w:hint="eastAsia" w:ascii="宋体" w:hAnsi="宋体"/>
          <w:color w:val="auto"/>
          <w:sz w:val="24"/>
          <w:szCs w:val="24"/>
          <w:highlight w:val="none"/>
        </w:rPr>
        <w:t xml:space="preserve">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采购人：苏州市中医医院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联系人：徐洪</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联系电话：0512-67870690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96"/>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96"/>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JSZC-320500-SZWK-G2026-0290</w:t>
      </w:r>
      <w:r/>
    </w:p>
    <w:p>
      <w:pPr>
        <w:ind w:firstLine="1800"/>
        <w:spacing w:line="480" w:lineRule="auto"/>
        <w:rPr>
          <w:color w:val="auto"/>
          <w:sz w:val="30"/>
          <w:szCs w:val="30"/>
          <w:highlight w:val="none"/>
        </w:rPr>
      </w:pPr>
      <w:r>
        <w:rPr>
          <w:rFonts w:hint="eastAsia"/>
          <w:color w:val="auto"/>
          <w:sz w:val="30"/>
          <w:szCs w:val="30"/>
          <w:highlight w:val="none"/>
        </w:rPr>
        <w:t xml:space="preserve">采购项目：吴门医派骨伤研究所实验室配套设备</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苏州市中医医院</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rPr>
        <w:t xml:space="preserve">九</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9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JSZC-320500-SZWK-G2026-0290</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96"/>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吴门医派骨伤研究所实验室配套设备（第一批）</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96"/>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苏州市中医医院</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联系人：徐洪            联系电话：0512-67870690</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96"/>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10月9日</w:t>
            </w:r>
            <w:r>
              <w:rPr>
                <w:rFonts w:hint="eastAsia" w:ascii="宋体" w:hAnsi="宋体"/>
                <w:color w:val="auto"/>
                <w:szCs w:val="21"/>
                <w:highlight w:val="none"/>
              </w:rPr>
              <w:t xml:space="preserve">9点30分</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10月9日</w:t>
            </w:r>
            <w:r>
              <w:rPr>
                <w:rFonts w:hint="eastAsia" w:ascii="宋体" w:hAnsi="宋体"/>
                <w:color w:val="auto"/>
                <w:szCs w:val="21"/>
                <w:highlight w:val="none"/>
              </w:rPr>
              <w:t xml:space="preserve">9点30分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本项目申报预算时已经包含中标服务费，因此服务费由中标单位支付，在领取中标通知书时中标人向招标代理机构一次性付清。以预算金额为基准，100万元以内1.5%差额定率累进法计算出金额*0.8支付中标服务费。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本项目的中标服务费为</w:t>
            </w:r>
            <w:r>
              <w:rPr>
                <w:rFonts w:hint="eastAsia" w:ascii="宋体" w:hAnsi="宋体"/>
                <w:color w:val="auto"/>
                <w:szCs w:val="21"/>
                <w:highlight w:val="none"/>
                <w:lang w:val="en-US" w:eastAsia="zh-CN"/>
              </w:rPr>
              <w:t xml:space="preserve">37080</w:t>
            </w:r>
            <w:r>
              <w:rPr>
                <w:rFonts w:hint="eastAsia" w:ascii="宋体" w:hAnsi="宋体"/>
                <w:color w:val="auto"/>
                <w:szCs w:val="21"/>
                <w:highlight w:val="none"/>
              </w:rPr>
              <w:t xml:space="preserve">元，</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41"/>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苏州市卫康招投标咨询服务有限公司受苏州市中医医院委托，对其吴门医派骨伤研究所实验室配套设备（第一批）进行国内公开招标采购，欢迎符合招标公告投标资格条件的各公司前来报名参加投标。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1、采购编号：JSZC-320500-SZWK-G2026-0290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2、采购项目名称：吴门医派骨伤研究所实验室配套设备（第一批）</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9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806"/>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806"/>
              <w:ind w:left="42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吴门医派骨伤研究所实验室配套设备（第一批）</w:t>
            </w:r>
            <w:r/>
          </w:p>
        </w:tc>
        <w:tc>
          <w:tcPr>
            <w:tcW w:w="2013"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385</w:t>
            </w:r>
            <w:r/>
          </w:p>
        </w:tc>
        <w:tc>
          <w:tcPr>
            <w:tcW w:w="1982" w:type="dxa"/>
            <w:vAlign w:val="center"/>
            <w:textDirection w:val="lrTb"/>
            <w:noWrap w:val="false"/>
          </w:tcPr>
          <w:p>
            <w:pPr>
              <w:pStyle w:val="806"/>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385</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10月9日</w:t>
      </w:r>
      <w:r>
        <w:rPr>
          <w:rFonts w:hint="eastAsia" w:ascii="宋体" w:hAnsi="宋体"/>
          <w:color w:val="auto"/>
          <w:szCs w:val="21"/>
          <w:highlight w:val="none"/>
        </w:rPr>
        <w:t xml:space="preserve">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10月9日</w:t>
      </w:r>
      <w:r>
        <w:rPr>
          <w:rFonts w:hint="eastAsia" w:ascii="宋体" w:hAnsi="宋体"/>
          <w:color w:val="auto"/>
          <w:szCs w:val="21"/>
          <w:highlight w:val="none"/>
        </w:rPr>
        <w:t xml:space="preserve">9点30分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（1）采购人：苏州市中医医院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联系人：徐洪             联系电话：0512-67870690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6"/>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3.2.1若投标人（指本项目投标人或医疗设备部分的联合体方）为所投医疗设备生产商的，须具有所投产品相对应的生产及经营资格证明（若在住所或者生产地址销售的，则无须具有所投产品相对应的经营资格证明）；若投标人（指本项目投标人或医疗设备部分的联合体方）为所投医疗设备经销商的，须具有所投产品相对应的经营资格证明。</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
          <w:color w:val="auto"/>
          <w:szCs w:val="21"/>
          <w:highlight w:val="none"/>
          <w:lang w:val="zh-CN"/>
        </w:rPr>
      </w:pPr>
      <w:r>
        <w:rPr>
          <w:rFonts w:ascii="宋体" w:hAnsi="宋体"/>
          <w:b/>
          <w:color w:val="auto"/>
          <w:szCs w:val="21"/>
          <w:highlight w:val="none"/>
          <w:lang w:val="zh-CN"/>
        </w:rPr>
        <w:t xml:space="preserve">本采购项目接受联合体投标。</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本项目招标公告中规定接受联合体投标的，联合体除应符合招标公告中的资格要求外，还应遵守以下规定：</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（1）</w:t>
      </w:r>
      <w:r>
        <w:rPr>
          <w:rFonts w:hint="eastAsia" w:ascii="宋体" w:hAnsi="宋体"/>
          <w:b/>
          <w:color w:val="auto"/>
          <w:szCs w:val="21"/>
          <w:highlight w:val="none"/>
          <w:lang w:val="zh-CN"/>
        </w:rPr>
        <w:t xml:space="preserve">联合体各成员之间应签订《联合体协议书》（详见第三章格式）</w:t>
      </w:r>
      <w:r>
        <w:rPr>
          <w:rFonts w:hint="eastAsia" w:ascii="宋体" w:hAnsi="宋体"/>
          <w:bCs/>
          <w:color w:val="auto"/>
          <w:szCs w:val="21"/>
          <w:highlight w:val="none"/>
          <w:lang w:val="zh-CN"/>
        </w:rPr>
        <w:t xml:space="preserve">。投标人的投标文件及中标后签署的合同书，对联合体的每一成员均有法律约束力。联合体各成员之间签订的联合体协议书应与投标文件一起递交。</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（2）本项目接受联合投标，但一个联合体最多接受两个单位进行联合投标。</w:t>
      </w:r>
      <w:r/>
    </w:p>
    <w:p>
      <w:pPr>
        <w:ind w:firstLine="420"/>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（3）关于联合体相关未尽事宜应按《政府采购促进中小企业发展管理办法》财库〔2020〕46号文、《苏州市政府采购促进中小企业发展实施意见》苏财购〔2022〕16号文以及其他相关法律法规之规定解释。</w:t>
      </w:r>
      <w:r/>
    </w:p>
    <w:p>
      <w:pPr>
        <w:ind w:firstLine="422"/>
        <w:spacing w:line="400" w:lineRule="exact"/>
        <w:rPr>
          <w:rFonts w:hint="eastAsia" w:ascii="宋体" w:hAnsi="宋体"/>
          <w:b/>
          <w:bCs/>
          <w:color w:val="auto"/>
          <w:szCs w:val="21"/>
          <w:highlight w:val="none"/>
          <w:lang w:val="zh-CN"/>
        </w:rPr>
        <w:outlineLvl w:val="0"/>
      </w:pPr>
      <w:r>
        <w:rPr>
          <w:rFonts w:hint="eastAsia" w:ascii="宋体" w:hAnsi="宋体"/>
          <w:b/>
          <w:bCs/>
          <w:color w:val="auto"/>
          <w:szCs w:val="21"/>
          <w:highlight w:val="none"/>
          <w:lang w:val="zh-CN"/>
        </w:rPr>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季欣怡（前台）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3.6若投标人（指本项目投标人或医疗设备部分的联合体方）为所投医疗设备生产商的，提供具有所投产品相对应的生产及经营资格证明（若在住所或者生产地址销售的，则无须具有所投产品相对应的经营资格证明）；若投标人（指本项目投标人或医疗设备部分的联合体方）为所投医疗设备经销商的，提供具有所投产品相对应的经营资格证明。</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3.7所投产品的医疗器械产品注册证复印件；</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4.1</w:t>
      </w:r>
      <w:r>
        <w:rPr>
          <w:rFonts w:ascii="Calibri" w:hAnsi="Calibri"/>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w:t>
      </w:r>
      <w:r>
        <w:rPr>
          <w:rFonts w:ascii="Calibri" w:hAnsi="Calibri"/>
          <w:color w:val="auto"/>
          <w:szCs w:val="21"/>
          <w:highlight w:val="none"/>
        </w:rPr>
        <w:t xml:space="preserve">.</w:t>
      </w:r>
      <w:r>
        <w:rPr>
          <w:rFonts w:hint="eastAsia" w:ascii="Calibri" w:hAnsi="Calibri"/>
          <w:color w:val="auto"/>
          <w:szCs w:val="21"/>
          <w:highlight w:val="none"/>
        </w:rPr>
        <w:t xml:space="preserve">2商务条款偏离表；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13.4.3投标函等其他投标材料；</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13.5.1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6pt;height:55.9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1.投标（响应）报价低于全部通过符合性审查供应商投标（响应）报价平均值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2.投标（响应）报价低于通过符合性审查的次低报价供应商投标（响应）报价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3.投标（响应）报价低于采购项目最高限价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24.1评标委员会（以下简称评标委员会）成员依法组建；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24.3.3对电子投标文件进行比较和评价；</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24.4评标委员会成员应当履行下列义务：</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24.4.1遵纪守法，客观、公正、廉洁地履行职责；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24.4.3对评标过程和结果，以及投标人的商业秘密保密；</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24.4.4参与评标报告的起草；</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24.4.5配合招标采购人答复投标人提出的质疑；</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24.4.6配合有关部门的投诉处理工作。</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w:t>
      </w:r>
      <w:r>
        <w:rPr>
          <w:rFonts w:hint="eastAsia" w:ascii="宋体" w:hAnsi="宋体"/>
          <w:color w:val="auto"/>
          <w:szCs w:val="21"/>
          <w:highlight w:val="none"/>
          <w:lang w:val="zh-CN"/>
        </w:rPr>
        <w:t xml:space="preserve">推荐</w:t>
      </w:r>
      <w:r>
        <w:rPr>
          <w:rFonts w:hint="eastAsia" w:ascii="宋体" w:hAnsi="宋体"/>
          <w:color w:val="auto"/>
          <w:szCs w:val="21"/>
          <w:highlight w:val="none"/>
        </w:rPr>
        <w:t xml:space="preserve">三家</w:t>
      </w:r>
      <w:r>
        <w:rPr>
          <w:rFonts w:hint="eastAsia" w:ascii="宋体" w:hAnsi="宋体"/>
          <w:color w:val="auto"/>
          <w:szCs w:val="21"/>
          <w:highlight w:val="none"/>
          <w:lang w:val="zh-CN"/>
        </w:rPr>
        <w:t xml:space="preserve">中标候选人</w:t>
      </w:r>
      <w:r>
        <w:rPr>
          <w:rFonts w:hint="eastAsia" w:ascii="宋体" w:hAnsi="宋体"/>
          <w:color w:val="auto"/>
          <w:szCs w:val="21"/>
          <w:highlight w:val="none"/>
        </w:rPr>
        <w:t xml:space="preserve">供</w:t>
      </w:r>
      <w:r>
        <w:rPr>
          <w:rFonts w:hint="eastAsia" w:ascii="宋体" w:hAnsi="宋体"/>
          <w:color w:val="auto"/>
          <w:szCs w:val="21"/>
          <w:highlight w:val="none"/>
          <w:lang w:val="zh-CN"/>
        </w:rPr>
        <w:t xml:space="preserve">采购人从中确定中标人</w:t>
      </w:r>
      <w:r>
        <w:rPr>
          <w:rFonts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35"/>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72"/>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772"/>
        <w:spacing w:line="360" w:lineRule="exact"/>
        <w:rPr>
          <w:rFonts w:hint="eastAsia" w:hAnsi="宋体"/>
          <w:bCs/>
          <w:color w:val="auto"/>
          <w:sz w:val="21"/>
          <w:szCs w:val="21"/>
          <w:highlight w:val="none"/>
        </w:rPr>
      </w:pPr>
      <w:r>
        <w:rPr>
          <w:rFonts w:hint="eastAsia" w:hAnsi="宋体"/>
          <w:bCs/>
          <w:color w:val="auto"/>
          <w:sz w:val="21"/>
          <w:szCs w:val="21"/>
          <w:highlight w:val="none"/>
        </w:rPr>
      </w:r>
      <w:r/>
    </w:p>
    <w:p>
      <w:pPr>
        <w:pStyle w:val="772"/>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72"/>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7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72"/>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72"/>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72"/>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72"/>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72"/>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72"/>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72"/>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72"/>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JSZC-320500-SZWK-G2026-0290</w:t>
      </w:r>
      <w:r/>
    </w:p>
    <w:tbl>
      <w:tblPr>
        <w:tblStyle w:val="699"/>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99"/>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44"/>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p>
    <w:tbl>
      <w:tblPr>
        <w:tblStyle w:val="699"/>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249"/>
        <w:gridCol w:w="2215"/>
        <w:gridCol w:w="1948"/>
        <w:gridCol w:w="885"/>
        <w:gridCol w:w="666"/>
      </w:tblGrid>
      <w:tr>
        <w:trPr>
          <w:trHeight w:val="621"/>
        </w:trPr>
        <w:tc>
          <w:tcPr>
            <w:tcW w:w="73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249"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2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48"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88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66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33"/>
        </w:trPr>
        <w:tc>
          <w:tcPr>
            <w:tcW w:w="73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49"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48"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88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44"/>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99"/>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41"/>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41"/>
        <w:ind w:firstLine="0"/>
        <w:spacing w:line="360" w:lineRule="auto"/>
        <w:rPr>
          <w:color w:val="auto"/>
          <w:highlight w:val="none"/>
        </w:rPr>
      </w:pPr>
      <w:r>
        <w:rPr>
          <w:color w:val="auto"/>
          <w:highlight w:val="none"/>
        </w:rPr>
        <w:br w:type="page" w:clear="all"/>
      </w:r>
      <w:r/>
    </w:p>
    <w:p>
      <w:pPr>
        <w:pStyle w:val="741"/>
        <w:ind w:firstLine="0"/>
        <w:spacing w:line="360" w:lineRule="auto"/>
        <w:rPr>
          <w:rFonts w:hint="eastAsia" w:hAnsi="宋体"/>
          <w:bCs/>
          <w:color w:val="auto"/>
          <w:sz w:val="21"/>
          <w:szCs w:val="21"/>
          <w:highlight w:val="none"/>
        </w:rPr>
      </w:pPr>
      <w:r>
        <w:rPr>
          <w:rFonts w:hint="eastAsia" w:hAnsi="宋体"/>
          <w:bCs/>
          <w:color w:val="auto"/>
          <w:sz w:val="21"/>
          <w:szCs w:val="21"/>
          <w:highlight w:val="none"/>
        </w:rPr>
      </w:r>
      <w:r/>
    </w:p>
    <w:p>
      <w:pPr>
        <w:pStyle w:val="741"/>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41"/>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41"/>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99"/>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41"/>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41"/>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99"/>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1"/>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41"/>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41"/>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41"/>
        <w:ind w:firstLine="0"/>
        <w:jc w:val="center"/>
        <w:spacing w:line="360" w:lineRule="auto"/>
        <w:rPr>
          <w:bCs/>
          <w:color w:val="auto"/>
          <w:sz w:val="21"/>
          <w:szCs w:val="21"/>
          <w:highlight w:val="none"/>
        </w:rPr>
      </w:pPr>
      <w:r>
        <w:rPr>
          <w:bCs/>
          <w:color w:val="auto"/>
          <w:sz w:val="21"/>
          <w:szCs w:val="21"/>
          <w:highlight w:val="none"/>
        </w:rPr>
      </w:r>
      <w:r/>
    </w:p>
    <w:p>
      <w:pPr>
        <w:pStyle w:val="741"/>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41"/>
        <w:ind w:firstLine="0"/>
        <w:rPr>
          <w:b/>
          <w:color w:val="auto"/>
          <w:sz w:val="21"/>
          <w:szCs w:val="21"/>
          <w:highlight w:val="none"/>
        </w:rPr>
      </w:pPr>
      <w:r>
        <w:rPr>
          <w:b/>
          <w:color w:val="auto"/>
          <w:sz w:val="21"/>
          <w:szCs w:val="21"/>
          <w:highlight w:val="none"/>
        </w:rPr>
      </w:r>
      <w:r/>
    </w:p>
    <w:p>
      <w:pPr>
        <w:pStyle w:val="741"/>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1"/>
        <w:ind w:firstLine="0"/>
        <w:rPr>
          <w:b/>
          <w:color w:val="auto"/>
          <w:sz w:val="21"/>
          <w:szCs w:val="21"/>
          <w:highlight w:val="none"/>
        </w:rPr>
      </w:pPr>
      <w:r>
        <w:rPr>
          <w:b/>
          <w:color w:val="auto"/>
          <w:sz w:val="21"/>
          <w:szCs w:val="21"/>
          <w:highlight w:val="none"/>
        </w:rPr>
      </w:r>
      <w:r/>
    </w:p>
    <w:p>
      <w:pPr>
        <w:pStyle w:val="741"/>
        <w:ind w:firstLine="0"/>
        <w:rPr>
          <w:b/>
          <w:color w:val="auto"/>
          <w:highlight w:val="none"/>
        </w:rPr>
      </w:pPr>
      <w:r>
        <w:rPr>
          <w:b/>
          <w:color w:val="auto"/>
          <w:highlight w:val="none"/>
        </w:rPr>
      </w:r>
      <w:r/>
    </w:p>
    <w:p>
      <w:pPr>
        <w:pStyle w:val="772"/>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772"/>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1"/>
        <w:jc w:val="center"/>
        <w:rPr>
          <w:rFonts w:ascii="Times New Roman"/>
          <w:color w:val="auto"/>
          <w:highlight w:val="none"/>
        </w:rPr>
      </w:pPr>
      <w:r>
        <w:rPr>
          <w:rFonts w:ascii="Times New Roman"/>
          <w:color w:val="auto"/>
          <w:highlight w:val="none"/>
        </w:rPr>
      </w:r>
      <w:r/>
    </w:p>
    <w:p>
      <w:pPr>
        <w:pStyle w:val="741"/>
        <w:jc w:val="center"/>
        <w:rPr>
          <w:color w:val="auto"/>
          <w:highlight w:val="none"/>
        </w:rPr>
      </w:pPr>
      <w:r>
        <w:rPr>
          <w:color w:val="auto"/>
          <w:highlight w:val="none"/>
        </w:rPr>
      </w:r>
      <w:r/>
    </w:p>
    <w:p>
      <w:pPr>
        <w:pStyle w:val="77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1"/>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日期：年月日</w:t>
      </w:r>
      <w:r/>
    </w:p>
    <w:p>
      <w:pPr>
        <w:pStyle w:val="741"/>
        <w:ind w:firstLine="0"/>
        <w:spacing w:line="400" w:lineRule="exact"/>
        <w:rPr>
          <w:color w:val="auto"/>
          <w:sz w:val="21"/>
          <w:szCs w:val="21"/>
          <w:highlight w:val="none"/>
        </w:rPr>
      </w:pPr>
      <w:r>
        <w:rPr>
          <w:color w:val="auto"/>
          <w:sz w:val="21"/>
          <w:szCs w:val="21"/>
          <w:highlight w:val="none"/>
        </w:rPr>
      </w:r>
      <w:r/>
    </w:p>
    <w:p>
      <w:pPr>
        <w:pStyle w:val="741"/>
        <w:ind w:firstLine="0"/>
        <w:rPr>
          <w:color w:val="auto"/>
          <w:highlight w:val="none"/>
        </w:rPr>
      </w:pPr>
      <w:r>
        <w:rPr>
          <w:color w:val="auto"/>
          <w:highlight w:val="none"/>
        </w:rPr>
      </w:r>
      <w:r/>
    </w:p>
    <w:p>
      <w:pPr>
        <w:pStyle w:val="741"/>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41"/>
        <w:ind w:firstLine="0"/>
        <w:rPr>
          <w:rFonts w:hint="eastAsia" w:ascii="宋体" w:hAnsi="宋体"/>
          <w:color w:val="auto"/>
          <w:highlight w:val="none"/>
        </w:rPr>
      </w:pPr>
      <w:r>
        <w:rPr>
          <w:rFonts w:hint="eastAsia" w:ascii="宋体" w:hAnsi="宋体"/>
          <w:color w:val="auto"/>
          <w:highlight w:val="none"/>
        </w:rPr>
      </w:r>
      <w:r/>
    </w:p>
    <w:p>
      <w:pPr>
        <w:pStyle w:val="772"/>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99"/>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1"/>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1"/>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1"/>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1"/>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1"/>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741"/>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1"/>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41"/>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72"/>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9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格式11、培训方案</w:t>
      </w:r>
      <w:r/>
    </w:p>
    <w:p>
      <w:pPr>
        <w:pStyle w:val="772"/>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9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72"/>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9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r>
      <w:r/>
    </w:p>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b/>
          <w:bCs/>
          <w:color w:val="auto"/>
          <w:szCs w:val="21"/>
          <w:highlight w:val="none"/>
          <w:lang w:val="zh-CN"/>
        </w:rPr>
        <w:br w:type="page" w:clear="all"/>
      </w:r>
      <w:r>
        <w:rPr>
          <w:rFonts w:hint="eastAsia" w:ascii="宋体" w:hAnsi="宋体" w:cs="宋体"/>
          <w:b/>
          <w:color w:val="auto"/>
          <w:szCs w:val="21"/>
          <w:highlight w:val="none"/>
        </w:rPr>
        <w:t xml:space="preserve">格式13、联合投标协议书</w:t>
      </w:r>
      <w:r/>
    </w:p>
    <w:p>
      <w:pPr>
        <w:jc w:val="center"/>
        <w:spacing w:line="85" w:lineRule="atLeas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jc w:val="center"/>
        <w:spacing w:line="85"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（1）联合投标协议书</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甲方（牵头人）：</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乙方（联合体成员）：</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各方经协商，就响应组织实施的编号为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号的公开招标活动联合进行投标之事宜，达成如下协议：</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一、各方一致决定，以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为牵头人（即联合体投标人代表）进行投标，且各方按照招标文件的规定提交资格证明文件。</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三、联合投标其余各方保证对牵头人为响应本次招标而提供的产品和服务提供全部质量保证及售后服务支持。</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四、本次联合投标中：</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甲方（牵头人）承担的工作和义务为：</w:t>
      </w:r>
      <w:r>
        <w:rPr>
          <w:rFonts w:hint="eastAsia" w:ascii="宋体" w:hAnsi="宋体" w:cs="宋体"/>
          <w:color w:val="auto"/>
          <w:szCs w:val="21"/>
          <w:highlight w:val="none"/>
          <w:u w:val="single"/>
        </w:rPr>
        <w:t xml:space="preserve">(填写具体设备内容）</w:t>
      </w:r>
      <w:r>
        <w:rPr>
          <w:rFonts w:hint="eastAsia" w:ascii="宋体" w:hAnsi="宋体" w:cs="宋体"/>
          <w:color w:val="auto"/>
          <w:szCs w:val="21"/>
          <w:highlight w:val="none"/>
        </w:rPr>
        <w:t xml:space="preserve">；合同金额占合同总金额比例不高于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A%；</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乙方（联合体成员）承担的工作和义务为：</w:t>
      </w:r>
      <w:r>
        <w:rPr>
          <w:rFonts w:hint="eastAsia" w:ascii="宋体" w:hAnsi="宋体" w:cs="宋体"/>
          <w:color w:val="auto"/>
          <w:szCs w:val="21"/>
          <w:highlight w:val="none"/>
          <w:u w:val="single"/>
        </w:rPr>
        <w:t xml:space="preserve">(填写具体设备内容）</w:t>
      </w:r>
      <w:r>
        <w:rPr>
          <w:rFonts w:hint="eastAsia" w:ascii="宋体" w:hAnsi="宋体" w:cs="宋体"/>
          <w:color w:val="auto"/>
          <w:szCs w:val="21"/>
          <w:highlight w:val="none"/>
        </w:rPr>
        <w:t xml:space="preserve">；合同金额占合同总金额比例不低于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B%。</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有关本次联合投标的其他事宜：</w:t>
      </w:r>
      <w:r>
        <w:rPr>
          <w:rFonts w:hint="eastAsia" w:ascii="宋体" w:hAnsi="宋体" w:cs="宋体"/>
          <w:color w:val="auto"/>
          <w:szCs w:val="21"/>
          <w:highlight w:val="none"/>
          <w:u w:val="single"/>
        </w:rPr>
        <w:t xml:space="preserve">             </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本协议提交招标方后，联合投标各方不得以任何形式对上述实质内容进行修改或撤销。</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43"/>
        <w:gridCol w:w="4279"/>
      </w:tblGrid>
      <w:tr>
        <w:trPr>
          <w:trHeight w:val="2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val="false"/>
          </w:tcPr>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甲方单位：（公章）</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法定代表人：（签字或盖章）</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乙方单位： （公章）</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法定代表人：（签字或盖章）</w:t>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20"/>
              <w:spacing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年  月  日</w:t>
            </w:r>
            <w:r/>
          </w:p>
        </w:tc>
      </w:tr>
    </w:tbl>
    <w:p>
      <w:pPr>
        <w:ind w:firstLine="42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p>
    <w:p>
      <w:pPr>
        <w:ind w:firstLine="42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①参加联合体的各成员不得再以自己的名义单独投标，也不得同时参加两个或两个以上的不同联合体投标。如有违反，该联合体及联合体各成员视为不符合资格要求，各相关投标均无效。</w:t>
      </w:r>
      <w:r/>
    </w:p>
    <w:p>
      <w:pPr>
        <w:ind w:firstLine="42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②投标人可以提供联合体中一方的中型、小型、微型企业对应的中小企业证明声明函或残疾人福利性单位声明函或监狱企业证明材料；且</w:t>
      </w:r>
      <w:r>
        <w:rPr>
          <w:rFonts w:hint="eastAsia" w:ascii="宋体" w:hAnsi="宋体"/>
          <w:color w:val="auto"/>
          <w:szCs w:val="21"/>
          <w:highlight w:val="none"/>
        </w:rPr>
        <w:t xml:space="preserve">联合体一方作为小微企业承担比例不得低于合同总金额的30％（A%+B%=100%），</w:t>
      </w:r>
      <w:r>
        <w:rPr>
          <w:rFonts w:hint="eastAsia" w:ascii="宋体" w:hAnsi="宋体" w:cs="宋体"/>
          <w:color w:val="auto"/>
          <w:szCs w:val="21"/>
          <w:highlight w:val="none"/>
        </w:rPr>
        <w:t xml:space="preserve">否则不享受中小企业价格评分优惠政策。</w:t>
      </w:r>
      <w:r/>
    </w:p>
    <w:p>
      <w:pPr>
        <w:ind w:firstLine="420"/>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③联合投标协议书须载明联合体各方承担的工作和义务，合同份额等内容，且A%+B%=100%，否则投标无效。</w:t>
      </w:r>
      <w:r/>
    </w:p>
    <w:p>
      <w:pPr>
        <w:ind w:firstLine="420"/>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④投标人须将盖有联合体各方公章（实体公章或电子章）的联合投标协议书彩色扫描件上传至电子投标文件中</w:t>
      </w:r>
      <w:r>
        <w:rPr>
          <w:rFonts w:hint="eastAsia" w:ascii="宋体" w:hAnsi="宋体" w:cs="宋体"/>
          <w:b/>
          <w:bCs/>
          <w:color w:val="auto"/>
          <w:szCs w:val="21"/>
          <w:highlight w:val="none"/>
        </w:rPr>
        <w:t xml:space="preserve">，否则投标无效。</w:t>
      </w:r>
      <w:r/>
    </w:p>
    <w:p>
      <w:pPr>
        <w:ind w:firstLine="420"/>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⑤承担医疗设备部分的联合体一方必须具备招标公告中特殊资格条件。否则投标无效。</w:t>
      </w:r>
      <w:r/>
    </w:p>
    <w:p>
      <w:pPr>
        <w:ind w:firstLine="420"/>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r>
      <w:r/>
    </w:p>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br w:type="page" w:clear="all"/>
      </w:r>
      <w:r/>
    </w:p>
    <w:p>
      <w:pPr>
        <w:ind w:left="630" w:right="-609" w:firstLine="420"/>
        <w:spacing w:before="240" w:after="240" w:line="36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85"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（2）联合体投标承诺书</w:t>
      </w:r>
      <w:r/>
    </w:p>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我司承诺：</w:t>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ind w:firstLine="72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本项目组成联合体的中小企业与联合体内其他企业之间不存在直接控股、管理关系，否则我司属于无效投标。</w:t>
      </w:r>
      <w:r/>
    </w:p>
    <w:p>
      <w:pPr>
        <w:ind w:firstLine="72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ind w:firstLine="72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（牵头人）盖章：</w:t>
      </w:r>
      <w:r/>
    </w:p>
    <w:p>
      <w:pPr>
        <w:pStyle w:val="704"/>
        <w:ind w:left="0" w:firstLine="0"/>
        <w:rPr>
          <w:color w:val="auto"/>
          <w:sz w:val="24"/>
          <w:szCs w:val="24"/>
          <w:highlight w:val="none"/>
        </w:rPr>
      </w:pPr>
      <w:r>
        <w:rPr>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法定代表人：</w:t>
      </w:r>
      <w:r/>
    </w:p>
    <w:p>
      <w:pPr>
        <w:pStyle w:val="704"/>
        <w:ind w:left="0" w:firstLine="0"/>
        <w:rPr>
          <w:color w:val="auto"/>
          <w:sz w:val="24"/>
          <w:szCs w:val="24"/>
          <w:highlight w:val="none"/>
        </w:rPr>
      </w:pPr>
      <w:r>
        <w:rPr>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（联合体成员）盖章：</w:t>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法定代表人：</w:t>
      </w:r>
      <w:r/>
    </w:p>
    <w:p>
      <w:pPr>
        <w:ind w:firstLine="72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日期：年    月        日</w:t>
      </w:r>
      <w:r/>
    </w:p>
    <w:p>
      <w:pPr>
        <w:spacing w:line="360" w:lineRule="auto"/>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spacing w:before="91" w:line="219" w:lineRule="auto"/>
        <w:rPr>
          <w:rFonts w:hint="eastAsia" w:ascii="宋体" w:hAnsi="宋体"/>
          <w:b/>
          <w:bCs/>
          <w:color w:val="auto"/>
          <w:szCs w:val="21"/>
          <w:highlight w:val="none"/>
        </w:rPr>
      </w:pPr>
      <w:r>
        <w:rPr>
          <w:rFonts w:hint="eastAsia" w:ascii="宋体" w:hAnsi="宋体"/>
          <w:b/>
          <w:bCs/>
          <w:color w:val="auto"/>
          <w:szCs w:val="21"/>
          <w:highlight w:val="none"/>
        </w:rPr>
        <w:t xml:space="preserve">格式13、分包意向协议书（若进行分包需提供）</w:t>
      </w:r>
      <w:r/>
    </w:p>
    <w:p>
      <w:pPr>
        <w:pStyle w:val="703"/>
        <w:spacing w:line="253" w:lineRule="auto"/>
        <w:rPr>
          <w:rFonts w:hint="eastAsia"/>
          <w:color w:val="auto"/>
          <w:highlight w:val="none"/>
          <w:lang w:eastAsia="zh-CN"/>
        </w:rPr>
      </w:pPr>
      <w:r>
        <w:rPr>
          <w:rFonts w:hint="eastAsia"/>
          <w:color w:val="auto"/>
          <w:highlight w:val="none"/>
          <w:lang w:eastAsia="zh-CN"/>
        </w:rPr>
      </w:r>
      <w:r/>
    </w:p>
    <w:p>
      <w:pPr>
        <w:pStyle w:val="703"/>
        <w:jc w:val="center"/>
        <w:spacing w:line="253" w:lineRule="auto"/>
        <w:rPr>
          <w:rFonts w:hint="eastAsia"/>
          <w:color w:val="auto"/>
          <w:sz w:val="21"/>
          <w:szCs w:val="21"/>
          <w:highlight w:val="none"/>
          <w:lang w:eastAsia="zh-CN"/>
        </w:rPr>
      </w:pPr>
      <w:r>
        <w:rPr>
          <w:rFonts w:hint="eastAsia"/>
          <w:b/>
          <w:bCs/>
          <w:color w:val="auto"/>
          <w:sz w:val="21"/>
          <w:szCs w:val="21"/>
          <w:highlight w:val="none"/>
          <w:lang w:eastAsia="zh-CN"/>
        </w:rPr>
        <w:t xml:space="preserve">分包意向协议书</w:t>
      </w:r>
      <w:r/>
    </w:p>
    <w:p>
      <w:pPr>
        <w:ind w:left="342"/>
        <w:spacing w:before="68" w:line="222" w:lineRule="auto"/>
        <w:rPr>
          <w:rFonts w:hint="eastAsia" w:ascii="宋体" w:hAnsi="宋体" w:cs="宋体"/>
          <w:color w:val="auto"/>
          <w:szCs w:val="21"/>
          <w:highlight w:val="none"/>
        </w:rPr>
      </w:pPr>
      <w:r>
        <w:rPr>
          <w:rFonts w:ascii="宋体" w:hAnsi="宋体" w:cs="宋体"/>
          <w:color w:val="auto"/>
          <w:spacing w:val="-4"/>
          <w:szCs w:val="21"/>
          <w:highlight w:val="none"/>
        </w:rPr>
        <w:t xml:space="preserve">（甲公司全称）</w:t>
      </w:r>
      <w:r/>
    </w:p>
    <w:p>
      <w:pPr>
        <w:ind w:left="342"/>
        <w:spacing w:before="215" w:line="222" w:lineRule="auto"/>
        <w:rPr>
          <w:rFonts w:hint="eastAsia" w:ascii="宋体" w:hAnsi="宋体" w:cs="宋体"/>
          <w:color w:val="auto"/>
          <w:szCs w:val="21"/>
          <w:highlight w:val="none"/>
        </w:rPr>
      </w:pPr>
      <w:r>
        <w:rPr>
          <w:rFonts w:ascii="宋体" w:hAnsi="宋体" w:cs="宋体"/>
          <w:color w:val="auto"/>
          <w:spacing w:val="-4"/>
          <w:szCs w:val="21"/>
          <w:highlight w:val="none"/>
        </w:rPr>
        <w:t xml:space="preserve">（乙公司全称）</w:t>
      </w:r>
      <w:r/>
    </w:p>
    <w:p>
      <w:pPr>
        <w:ind w:left="342"/>
        <w:spacing w:before="215" w:line="222" w:lineRule="auto"/>
        <w:rPr>
          <w:rFonts w:hint="eastAsia" w:ascii="宋体" w:hAnsi="宋体" w:cs="宋体"/>
          <w:color w:val="auto"/>
          <w:szCs w:val="21"/>
          <w:highlight w:val="none"/>
        </w:rPr>
      </w:pPr>
      <w:r>
        <w:rPr>
          <w:rFonts w:ascii="宋体" w:hAnsi="宋体" w:cs="宋体"/>
          <w:color w:val="auto"/>
          <w:spacing w:val="-4"/>
          <w:szCs w:val="21"/>
          <w:highlight w:val="none"/>
        </w:rPr>
        <w:t xml:space="preserve">（……公司全称）</w:t>
      </w:r>
      <w:r/>
    </w:p>
    <w:p>
      <w:pPr>
        <w:ind w:left="21" w:right="25" w:firstLine="321"/>
        <w:spacing w:before="217" w:line="411" w:lineRule="auto"/>
        <w:rPr>
          <w:rFonts w:hint="eastAsia" w:ascii="宋体" w:hAnsi="宋体" w:cs="宋体"/>
          <w:color w:val="auto"/>
          <w:szCs w:val="21"/>
          <w:highlight w:val="none"/>
        </w:rPr>
      </w:pPr>
      <w:r>
        <w:rPr>
          <w:rFonts w:ascii="宋体" w:hAnsi="宋体" w:cs="宋体"/>
          <w:color w:val="auto"/>
          <w:szCs w:val="21"/>
          <w:highlight w:val="none"/>
        </w:rPr>
        <w:t xml:space="preserve">（甲公司全称）、（乙公司全称）、（……公司全称</w:t>
      </w:r>
      <w:r>
        <w:rPr>
          <w:rFonts w:ascii="宋体" w:hAnsi="宋体" w:cs="宋体"/>
          <w:color w:val="auto"/>
          <w:spacing w:val="-1"/>
          <w:szCs w:val="21"/>
          <w:highlight w:val="none"/>
        </w:rPr>
        <w:t xml:space="preserve">）自愿达成分包意向，参加（采购</w:t>
      </w:r>
      <w:r>
        <w:rPr>
          <w:rFonts w:ascii="宋体" w:hAnsi="宋体" w:cs="宋体"/>
          <w:color w:val="auto"/>
          <w:szCs w:val="21"/>
          <w:highlight w:val="none"/>
        </w:rPr>
        <w:t xml:space="preserve">项目编号</w:t>
      </w:r>
      <w:r>
        <w:rPr>
          <w:rFonts w:ascii="宋体" w:hAnsi="宋体" w:cs="宋体"/>
          <w:color w:val="auto"/>
          <w:spacing w:val="-1"/>
          <w:szCs w:val="21"/>
          <w:highlight w:val="none"/>
        </w:rPr>
        <w:t xml:space="preserve">）</w:t>
      </w:r>
      <w:r>
        <w:rPr>
          <w:rFonts w:ascii="宋体" w:hAnsi="宋体" w:cs="宋体"/>
          <w:color w:val="auto"/>
          <w:szCs w:val="21"/>
          <w:highlight w:val="none"/>
        </w:rPr>
        <w:t xml:space="preserve"> </w:t>
      </w:r>
      <w:r>
        <w:rPr>
          <w:rFonts w:ascii="宋体" w:hAnsi="宋体" w:cs="宋体"/>
          <w:color w:val="auto"/>
          <w:spacing w:val="-1"/>
          <w:szCs w:val="21"/>
          <w:highlight w:val="none"/>
        </w:rPr>
        <w:t xml:space="preserve">（</w:t>
      </w:r>
      <w:r>
        <w:rPr>
          <w:rFonts w:ascii="宋体" w:hAnsi="宋体" w:cs="宋体"/>
          <w:color w:val="auto"/>
          <w:szCs w:val="21"/>
          <w:highlight w:val="none"/>
        </w:rPr>
        <w:t xml:space="preserve">采购项目名称）的投标活动。经各方充分协商一致，就项目</w:t>
      </w:r>
      <w:r>
        <w:rPr>
          <w:rFonts w:ascii="宋体" w:hAnsi="宋体" w:cs="宋体"/>
          <w:color w:val="auto"/>
          <w:spacing w:val="-1"/>
          <w:szCs w:val="21"/>
          <w:highlight w:val="none"/>
        </w:rPr>
        <w:t xml:space="preserve">的投标和合同实</w:t>
      </w:r>
      <w:r>
        <w:rPr>
          <w:rFonts w:ascii="宋体" w:hAnsi="宋体" w:cs="宋体"/>
          <w:color w:val="auto"/>
          <w:spacing w:val="-3"/>
          <w:szCs w:val="21"/>
          <w:highlight w:val="none"/>
        </w:rPr>
        <w:t xml:space="preserve">施阶段的有关事务协商一致订立意向如下：</w:t>
      </w:r>
      <w:r/>
    </w:p>
    <w:p>
      <w:pPr>
        <w:ind w:left="340"/>
        <w:spacing w:line="220" w:lineRule="auto"/>
        <w:rPr>
          <w:rFonts w:hint="eastAsia" w:ascii="宋体" w:hAnsi="宋体" w:cs="宋体"/>
          <w:color w:val="auto"/>
          <w:szCs w:val="21"/>
          <w:highlight w:val="none"/>
        </w:rPr>
      </w:pPr>
      <w:r>
        <w:rPr>
          <w:rFonts w:ascii="宋体" w:hAnsi="宋体" w:cs="宋体"/>
          <w:color w:val="auto"/>
          <w:spacing w:val="-3"/>
          <w:szCs w:val="21"/>
          <w:highlight w:val="none"/>
        </w:rPr>
        <w:t xml:space="preserve">一、分包意向各方关系</w:t>
      </w:r>
      <w:r/>
    </w:p>
    <w:p>
      <w:pPr>
        <w:ind w:left="342"/>
        <w:spacing w:before="218" w:line="220" w:lineRule="auto"/>
        <w:rPr>
          <w:rFonts w:hint="eastAsia" w:ascii="宋体" w:hAnsi="宋体" w:cs="宋体"/>
          <w:color w:val="auto"/>
          <w:szCs w:val="21"/>
          <w:highlight w:val="none"/>
        </w:rPr>
      </w:pPr>
      <w:r>
        <w:rPr>
          <w:rFonts w:ascii="宋体" w:hAnsi="宋体" w:cs="宋体"/>
          <w:color w:val="auto"/>
          <w:spacing w:val="-2"/>
          <w:szCs w:val="21"/>
          <w:highlight w:val="none"/>
        </w:rPr>
        <w:t xml:space="preserve">（甲公司全称）为投标单位</w:t>
      </w:r>
      <w:r>
        <w:rPr>
          <w:rFonts w:ascii="宋体" w:hAnsi="宋体" w:cs="宋体"/>
          <w:color w:val="auto"/>
          <w:spacing w:val="5"/>
          <w:szCs w:val="21"/>
          <w:highlight w:val="none"/>
        </w:rPr>
        <w:t xml:space="preserve">，（</w:t>
      </w:r>
      <w:r>
        <w:rPr>
          <w:rFonts w:ascii="宋体" w:hAnsi="宋体" w:cs="宋体"/>
          <w:color w:val="auto"/>
          <w:spacing w:val="-2"/>
          <w:szCs w:val="21"/>
          <w:highlight w:val="none"/>
        </w:rPr>
        <w:t xml:space="preserve">乙公司全称）、（……公司全称）为分包意向单位，</w:t>
      </w:r>
      <w:r/>
    </w:p>
    <w:p>
      <w:pPr>
        <w:ind w:left="21" w:right="130" w:firstLine="6"/>
        <w:spacing w:before="219" w:line="411" w:lineRule="auto"/>
        <w:rPr>
          <w:rFonts w:hint="eastAsia" w:ascii="宋体" w:hAnsi="宋体" w:cs="宋体"/>
          <w:color w:val="auto"/>
          <w:szCs w:val="21"/>
          <w:highlight w:val="none"/>
        </w:rPr>
      </w:pPr>
      <w:r>
        <w:rPr>
          <w:rFonts w:ascii="宋体" w:hAnsi="宋体" w:cs="宋体"/>
          <w:color w:val="auto"/>
          <w:spacing w:val="-1"/>
          <w:szCs w:val="21"/>
          <w:highlight w:val="none"/>
        </w:rPr>
        <w:t xml:space="preserve">（甲公司全称）以投标单位的身份参加本项目的投标。若中标</w:t>
      </w:r>
      <w:r>
        <w:rPr>
          <w:rFonts w:ascii="宋体" w:hAnsi="宋体" w:cs="宋体"/>
          <w:color w:val="auto"/>
          <w:spacing w:val="6"/>
          <w:szCs w:val="21"/>
          <w:highlight w:val="none"/>
        </w:rPr>
        <w:t xml:space="preserve">，（</w:t>
      </w:r>
      <w:r>
        <w:rPr>
          <w:rFonts w:ascii="宋体" w:hAnsi="宋体" w:cs="宋体"/>
          <w:color w:val="auto"/>
          <w:spacing w:val="-1"/>
          <w:szCs w:val="21"/>
          <w:highlight w:val="none"/>
        </w:rPr>
        <w:t xml:space="preserve">甲公司全称）与采购人</w:t>
      </w:r>
      <w:r>
        <w:rPr>
          <w:rFonts w:ascii="宋体" w:hAnsi="宋体" w:cs="宋体"/>
          <w:color w:val="auto"/>
          <w:szCs w:val="21"/>
          <w:highlight w:val="none"/>
        </w:rPr>
        <w:t xml:space="preserve">签订政府采购合同。承接分包意向的各单位与（甲公司全称）签订分</w:t>
      </w:r>
      <w:r>
        <w:rPr>
          <w:rFonts w:ascii="宋体" w:hAnsi="宋体" w:cs="宋体"/>
          <w:color w:val="auto"/>
          <w:spacing w:val="-1"/>
          <w:szCs w:val="21"/>
          <w:highlight w:val="none"/>
        </w:rPr>
        <w:t xml:space="preserve">包合同。（甲公司全称）就采购项目和分包项目向采购人负责，分包供应商就分包项目承</w:t>
      </w:r>
      <w:r>
        <w:rPr>
          <w:rFonts w:ascii="宋体" w:hAnsi="宋体" w:cs="宋体"/>
          <w:color w:val="auto"/>
          <w:spacing w:val="-2"/>
          <w:szCs w:val="21"/>
          <w:highlight w:val="none"/>
        </w:rPr>
        <w:t xml:space="preserve">担责任。</w:t>
      </w:r>
      <w:r/>
    </w:p>
    <w:p>
      <w:pPr>
        <w:ind w:left="340"/>
        <w:spacing w:line="220" w:lineRule="auto"/>
        <w:rPr>
          <w:rFonts w:hint="eastAsia" w:ascii="宋体" w:hAnsi="宋体" w:cs="宋体"/>
          <w:color w:val="auto"/>
          <w:szCs w:val="21"/>
          <w:highlight w:val="none"/>
        </w:rPr>
      </w:pPr>
      <w:r>
        <w:rPr>
          <w:rFonts w:ascii="宋体" w:hAnsi="宋体" w:cs="宋体"/>
          <w:color w:val="auto"/>
          <w:spacing w:val="-5"/>
          <w:szCs w:val="21"/>
          <w:highlight w:val="none"/>
        </w:rPr>
        <w:t xml:space="preserve">二、有关事项约定如下：</w:t>
      </w:r>
      <w:r/>
    </w:p>
    <w:p>
      <w:pPr>
        <w:ind w:left="20" w:right="25" w:firstLine="332"/>
        <w:spacing w:before="219" w:line="411" w:lineRule="auto"/>
        <w:rPr>
          <w:rFonts w:hint="eastAsia" w:ascii="宋体" w:hAnsi="宋体" w:cs="宋体"/>
          <w:color w:val="auto"/>
          <w:szCs w:val="21"/>
          <w:highlight w:val="none"/>
        </w:rPr>
      </w:pPr>
      <w:r>
        <w:rPr>
          <w:rFonts w:ascii="宋体" w:hAnsi="宋体" w:cs="宋体"/>
          <w:color w:val="auto"/>
          <w:spacing w:val="-1"/>
          <w:szCs w:val="21"/>
          <w:highlight w:val="none"/>
        </w:rPr>
        <w:t xml:space="preserve">1.如中标，分包意向单位分别与（甲公司全称）签订合同，并就中标项目分包部分向采</w:t>
      </w:r>
      <w:r>
        <w:rPr>
          <w:rFonts w:ascii="宋体" w:hAnsi="宋体" w:cs="宋体"/>
          <w:color w:val="auto"/>
          <w:spacing w:val="-2"/>
          <w:szCs w:val="21"/>
          <w:highlight w:val="none"/>
        </w:rPr>
        <w:t xml:space="preserve">购人负责，有连带的和各自的法律责任。</w:t>
      </w:r>
      <w:r/>
    </w:p>
    <w:p>
      <w:pPr>
        <w:ind w:left="24" w:right="77" w:firstLine="315"/>
        <w:spacing w:before="1" w:line="411" w:lineRule="auto"/>
        <w:rPr>
          <w:rFonts w:hint="eastAsia" w:ascii="宋体" w:hAnsi="宋体" w:cs="宋体"/>
          <w:color w:val="auto"/>
          <w:szCs w:val="21"/>
          <w:highlight w:val="none"/>
        </w:rPr>
      </w:pPr>
      <w:r>
        <w:rPr>
          <w:rFonts w:ascii="宋体" w:hAnsi="宋体" w:cs="宋体"/>
          <w:color w:val="auto"/>
          <w:spacing w:val="-1"/>
          <w:szCs w:val="21"/>
          <w:highlight w:val="none"/>
        </w:rPr>
        <w:t xml:space="preserve">2.分包意向单位</w:t>
      </w:r>
      <w:r>
        <w:rPr>
          <w:rFonts w:ascii="宋体" w:hAnsi="宋体" w:cs="宋体"/>
          <w:color w:val="auto"/>
          <w:spacing w:val="-26"/>
          <w:szCs w:val="21"/>
          <w:highlight w:val="none"/>
        </w:rPr>
        <w:t xml:space="preserve"> </w:t>
      </w:r>
      <w:r>
        <w:rPr>
          <w:rFonts w:ascii="宋体" w:hAnsi="宋体" w:cs="宋体"/>
          <w:color w:val="auto"/>
          <w:spacing w:val="-1"/>
          <w:szCs w:val="21"/>
          <w:highlight w:val="none"/>
        </w:rPr>
        <w:t xml:space="preserve">1</w:t>
      </w:r>
      <w:r>
        <w:rPr>
          <w:rFonts w:ascii="宋体" w:hAnsi="宋体" w:cs="宋体"/>
          <w:color w:val="auto"/>
          <w:spacing w:val="-1"/>
          <w:szCs w:val="21"/>
          <w:highlight w:val="none"/>
          <w:u w:val="single"/>
        </w:rPr>
        <w:t xml:space="preserve">（公司全称）</w:t>
      </w:r>
      <w:r>
        <w:rPr>
          <w:rFonts w:ascii="宋体" w:hAnsi="宋体" w:cs="宋体"/>
          <w:color w:val="auto"/>
          <w:spacing w:val="-1"/>
          <w:szCs w:val="21"/>
          <w:highlight w:val="none"/>
        </w:rPr>
        <w:t xml:space="preserve">为</w:t>
      </w:r>
      <w:r>
        <w:rPr>
          <w:rFonts w:ascii="宋体" w:hAnsi="宋体" w:cs="宋体"/>
          <w:color w:val="auto"/>
          <w:spacing w:val="-1"/>
          <w:szCs w:val="21"/>
          <w:highlight w:val="none"/>
          <w:u w:val="single"/>
        </w:rPr>
        <w:t xml:space="preserve">（大型、中型、小型、微型）</w:t>
      </w:r>
      <w:r>
        <w:rPr>
          <w:rFonts w:ascii="宋体" w:hAnsi="宋体" w:cs="宋体"/>
          <w:color w:val="auto"/>
          <w:spacing w:val="-1"/>
          <w:szCs w:val="21"/>
          <w:highlight w:val="none"/>
        </w:rPr>
        <w:t xml:space="preserve">企业，将承担以下分包工作</w:t>
      </w:r>
      <w:r>
        <w:rPr>
          <w:rFonts w:ascii="宋体" w:hAnsi="宋体" w:cs="宋体"/>
          <w:color w:val="auto"/>
          <w:spacing w:val="3"/>
          <w:szCs w:val="21"/>
          <w:highlight w:val="none"/>
        </w:rPr>
        <w:t xml:space="preserve">：</w:t>
      </w:r>
      <w:r>
        <w:rPr>
          <w:rFonts w:ascii="宋体" w:hAnsi="宋体" w:cs="宋体"/>
          <w:color w:val="auto"/>
          <w:spacing w:val="3"/>
          <w:szCs w:val="21"/>
          <w:highlight w:val="none"/>
          <w:u w:val="single"/>
        </w:rPr>
        <w:t xml:space="preserve">（</w:t>
      </w:r>
      <w:r>
        <w:rPr>
          <w:rFonts w:ascii="宋体" w:hAnsi="宋体" w:cs="宋体"/>
          <w:color w:val="auto"/>
          <w:spacing w:val="-1"/>
          <w:szCs w:val="21"/>
          <w:highlight w:val="none"/>
          <w:u w:val="single"/>
        </w:rPr>
        <w:t xml:space="preserve">具体分包</w:t>
      </w:r>
      <w:r>
        <w:rPr>
          <w:rFonts w:hint="eastAsia" w:ascii="宋体" w:hAnsi="宋体" w:cs="宋体"/>
          <w:color w:val="auto"/>
          <w:spacing w:val="-1"/>
          <w:szCs w:val="21"/>
          <w:highlight w:val="none"/>
          <w:u w:val="single"/>
        </w:rPr>
        <w:t xml:space="preserve">的采购</w:t>
      </w:r>
      <w:r>
        <w:rPr>
          <w:rFonts w:ascii="宋体" w:hAnsi="宋体" w:cs="宋体"/>
          <w:color w:val="auto"/>
          <w:spacing w:val="-1"/>
          <w:szCs w:val="21"/>
          <w:highlight w:val="none"/>
          <w:u w:val="single"/>
        </w:rPr>
        <w:t xml:space="preserve">内容</w:t>
      </w:r>
      <w:r>
        <w:rPr>
          <w:rFonts w:ascii="宋体" w:hAnsi="宋体" w:cs="宋体"/>
          <w:color w:val="auto"/>
          <w:spacing w:val="3"/>
          <w:szCs w:val="21"/>
          <w:highlight w:val="none"/>
          <w:u w:val="single"/>
        </w:rPr>
        <w:t xml:space="preserve">）</w:t>
      </w:r>
      <w:r>
        <w:rPr>
          <w:rFonts w:ascii="宋体" w:hAnsi="宋体" w:cs="宋体"/>
          <w:color w:val="auto"/>
          <w:spacing w:val="3"/>
          <w:szCs w:val="21"/>
          <w:highlight w:val="none"/>
        </w:rPr>
        <w:t xml:space="preserve">，</w:t>
      </w:r>
      <w:r>
        <w:rPr>
          <w:rFonts w:ascii="宋体" w:hAnsi="宋体" w:cs="宋体"/>
          <w:color w:val="auto"/>
          <w:spacing w:val="-1"/>
          <w:szCs w:val="21"/>
          <w:highlight w:val="none"/>
        </w:rPr>
        <w:t xml:space="preserve">该部分工作内容占合同总金额的</w:t>
      </w:r>
      <w:r>
        <w:rPr>
          <w:rFonts w:hint="eastAsia" w:ascii="宋体" w:hAnsi="宋体" w:cs="宋体"/>
          <w:color w:val="auto"/>
          <w:spacing w:val="-1"/>
          <w:szCs w:val="21"/>
          <w:highlight w:val="none"/>
          <w:u w:val="single"/>
        </w:rPr>
        <w:t xml:space="preserve">   </w:t>
      </w:r>
      <w:r>
        <w:rPr>
          <w:rFonts w:ascii="宋体" w:hAnsi="宋体" w:cs="宋体"/>
          <w:color w:val="auto"/>
          <w:spacing w:val="-1"/>
          <w:szCs w:val="21"/>
          <w:highlight w:val="none"/>
        </w:rPr>
        <w:t xml:space="preserve">%。</w:t>
      </w:r>
      <w:r/>
    </w:p>
    <w:p>
      <w:pPr>
        <w:ind w:left="24" w:right="77" w:firstLine="316"/>
        <w:spacing w:before="1" w:line="411" w:lineRule="auto"/>
        <w:rPr>
          <w:rFonts w:hint="eastAsia" w:ascii="宋体" w:hAnsi="宋体" w:cs="宋体"/>
          <w:color w:val="auto"/>
          <w:szCs w:val="21"/>
          <w:highlight w:val="none"/>
        </w:rPr>
      </w:pPr>
      <w:r>
        <w:rPr>
          <w:rFonts w:ascii="宋体" w:hAnsi="宋体" w:cs="宋体"/>
          <w:color w:val="auto"/>
          <w:spacing w:val="-1"/>
          <w:szCs w:val="21"/>
          <w:highlight w:val="none"/>
        </w:rPr>
        <w:t xml:space="preserve">3.分包意向单位</w:t>
      </w:r>
      <w:r>
        <w:rPr>
          <w:rFonts w:ascii="宋体" w:hAnsi="宋体" w:cs="宋体"/>
          <w:color w:val="auto"/>
          <w:spacing w:val="-27"/>
          <w:szCs w:val="21"/>
          <w:highlight w:val="none"/>
        </w:rPr>
        <w:t xml:space="preserve"> </w:t>
      </w:r>
      <w:r>
        <w:rPr>
          <w:rFonts w:ascii="宋体" w:hAnsi="宋体" w:cs="宋体"/>
          <w:color w:val="auto"/>
          <w:spacing w:val="-1"/>
          <w:szCs w:val="21"/>
          <w:highlight w:val="none"/>
        </w:rPr>
        <w:t xml:space="preserve">2</w:t>
      </w:r>
      <w:r>
        <w:rPr>
          <w:rFonts w:ascii="宋体" w:hAnsi="宋体" w:cs="宋体"/>
          <w:color w:val="auto"/>
          <w:spacing w:val="-1"/>
          <w:szCs w:val="21"/>
          <w:highlight w:val="none"/>
          <w:u w:val="single"/>
        </w:rPr>
        <w:t xml:space="preserve">（公司全称）</w:t>
      </w:r>
      <w:r>
        <w:rPr>
          <w:rFonts w:ascii="宋体" w:hAnsi="宋体" w:cs="宋体"/>
          <w:color w:val="auto"/>
          <w:spacing w:val="-1"/>
          <w:szCs w:val="21"/>
          <w:highlight w:val="none"/>
        </w:rPr>
        <w:t xml:space="preserve">为</w:t>
      </w:r>
      <w:r>
        <w:rPr>
          <w:rFonts w:ascii="宋体" w:hAnsi="宋体" w:cs="宋体"/>
          <w:color w:val="auto"/>
          <w:spacing w:val="-1"/>
          <w:szCs w:val="21"/>
          <w:highlight w:val="none"/>
          <w:u w:val="single"/>
        </w:rPr>
        <w:t xml:space="preserve">（大型、中型、小型、微型）</w:t>
      </w:r>
      <w:r>
        <w:rPr>
          <w:rFonts w:ascii="宋体" w:hAnsi="宋体" w:cs="宋体"/>
          <w:color w:val="auto"/>
          <w:spacing w:val="-1"/>
          <w:szCs w:val="21"/>
          <w:highlight w:val="none"/>
        </w:rPr>
        <w:t xml:space="preserve">企业，将承担以下分包工作</w:t>
      </w:r>
      <w:r>
        <w:rPr>
          <w:rFonts w:ascii="宋体" w:hAnsi="宋体" w:cs="宋体"/>
          <w:color w:val="auto"/>
          <w:spacing w:val="3"/>
          <w:szCs w:val="21"/>
          <w:highlight w:val="none"/>
        </w:rPr>
        <w:t xml:space="preserve">：</w:t>
      </w:r>
      <w:r>
        <w:rPr>
          <w:rFonts w:ascii="宋体" w:hAnsi="宋体" w:cs="宋体"/>
          <w:color w:val="auto"/>
          <w:spacing w:val="3"/>
          <w:szCs w:val="21"/>
          <w:highlight w:val="none"/>
          <w:u w:val="single"/>
        </w:rPr>
        <w:t xml:space="preserve">（</w:t>
      </w:r>
      <w:r>
        <w:rPr>
          <w:rFonts w:ascii="宋体" w:hAnsi="宋体" w:cs="宋体"/>
          <w:color w:val="auto"/>
          <w:spacing w:val="-1"/>
          <w:szCs w:val="21"/>
          <w:highlight w:val="none"/>
          <w:u w:val="single"/>
        </w:rPr>
        <w:t xml:space="preserve">具体分包</w:t>
      </w:r>
      <w:r>
        <w:rPr>
          <w:rFonts w:hint="eastAsia" w:ascii="宋体" w:hAnsi="宋体" w:cs="宋体"/>
          <w:color w:val="auto"/>
          <w:spacing w:val="-1"/>
          <w:szCs w:val="21"/>
          <w:highlight w:val="none"/>
          <w:u w:val="single"/>
        </w:rPr>
        <w:t xml:space="preserve">的采购</w:t>
      </w:r>
      <w:r>
        <w:rPr>
          <w:rFonts w:ascii="宋体" w:hAnsi="宋体" w:cs="宋体"/>
          <w:color w:val="auto"/>
          <w:spacing w:val="-1"/>
          <w:szCs w:val="21"/>
          <w:highlight w:val="none"/>
          <w:u w:val="single"/>
        </w:rPr>
        <w:t xml:space="preserve">内容</w:t>
      </w:r>
      <w:r>
        <w:rPr>
          <w:rFonts w:ascii="宋体" w:hAnsi="宋体" w:cs="宋体"/>
          <w:color w:val="auto"/>
          <w:spacing w:val="3"/>
          <w:szCs w:val="21"/>
          <w:highlight w:val="none"/>
          <w:u w:val="single"/>
        </w:rPr>
        <w:t xml:space="preserve">）</w:t>
      </w:r>
      <w:r>
        <w:rPr>
          <w:rFonts w:ascii="宋体" w:hAnsi="宋体" w:cs="宋体"/>
          <w:color w:val="auto"/>
          <w:spacing w:val="3"/>
          <w:szCs w:val="21"/>
          <w:highlight w:val="none"/>
        </w:rPr>
        <w:t xml:space="preserve">，</w:t>
      </w:r>
      <w:r>
        <w:rPr>
          <w:rFonts w:ascii="宋体" w:hAnsi="宋体" w:cs="宋体"/>
          <w:color w:val="auto"/>
          <w:spacing w:val="-1"/>
          <w:szCs w:val="21"/>
          <w:highlight w:val="none"/>
        </w:rPr>
        <w:t xml:space="preserve">该部分工作内容占合同总金额的</w:t>
      </w:r>
      <w:r>
        <w:rPr>
          <w:rFonts w:hint="eastAsia" w:ascii="宋体" w:hAnsi="宋体" w:cs="宋体"/>
          <w:color w:val="auto"/>
          <w:spacing w:val="-1"/>
          <w:szCs w:val="21"/>
          <w:highlight w:val="none"/>
          <w:u w:val="single"/>
        </w:rPr>
        <w:t xml:space="preserve">   </w:t>
      </w:r>
      <w:r>
        <w:rPr>
          <w:rFonts w:ascii="宋体" w:hAnsi="宋体" w:cs="宋体"/>
          <w:color w:val="auto"/>
          <w:spacing w:val="-1"/>
          <w:szCs w:val="21"/>
          <w:highlight w:val="none"/>
        </w:rPr>
        <w:t xml:space="preserve">%。</w:t>
      </w:r>
      <w:r/>
    </w:p>
    <w:p>
      <w:pPr>
        <w:ind w:left="24" w:right="77" w:firstLine="311"/>
        <w:spacing w:before="1" w:line="413" w:lineRule="auto"/>
        <w:rPr>
          <w:rFonts w:hint="eastAsia" w:ascii="宋体" w:hAnsi="宋体" w:cs="宋体"/>
          <w:color w:val="auto"/>
          <w:szCs w:val="21"/>
          <w:highlight w:val="none"/>
        </w:rPr>
      </w:pPr>
      <w:r>
        <w:rPr>
          <w:rFonts w:ascii="宋体" w:hAnsi="宋体" w:cs="宋体"/>
          <w:color w:val="auto"/>
          <w:spacing w:val="-1"/>
          <w:szCs w:val="21"/>
          <w:highlight w:val="none"/>
        </w:rPr>
        <w:t xml:space="preserve">4.分包意向单位</w:t>
      </w:r>
      <w:r>
        <w:rPr>
          <w:rFonts w:ascii="宋体" w:hAnsi="宋体" w:cs="宋体"/>
          <w:color w:val="auto"/>
          <w:spacing w:val="-22"/>
          <w:szCs w:val="21"/>
          <w:highlight w:val="none"/>
        </w:rPr>
        <w:t xml:space="preserve"> </w:t>
      </w:r>
      <w:r>
        <w:rPr>
          <w:rFonts w:ascii="宋体" w:hAnsi="宋体" w:cs="宋体"/>
          <w:color w:val="auto"/>
          <w:spacing w:val="-1"/>
          <w:szCs w:val="21"/>
          <w:highlight w:val="none"/>
        </w:rPr>
        <w:t xml:space="preserve">3</w:t>
      </w:r>
      <w:r>
        <w:rPr>
          <w:rFonts w:ascii="宋体" w:hAnsi="宋体" w:cs="宋体"/>
          <w:color w:val="auto"/>
          <w:spacing w:val="-1"/>
          <w:szCs w:val="21"/>
          <w:highlight w:val="none"/>
          <w:u w:val="single"/>
        </w:rPr>
        <w:t xml:space="preserve">（公司全称）</w:t>
      </w:r>
      <w:r>
        <w:rPr>
          <w:rFonts w:ascii="宋体" w:hAnsi="宋体" w:cs="宋体"/>
          <w:color w:val="auto"/>
          <w:spacing w:val="-1"/>
          <w:szCs w:val="21"/>
          <w:highlight w:val="none"/>
        </w:rPr>
        <w:t xml:space="preserve">为</w:t>
      </w:r>
      <w:r>
        <w:rPr>
          <w:rFonts w:ascii="宋体" w:hAnsi="宋体" w:cs="宋体"/>
          <w:color w:val="auto"/>
          <w:spacing w:val="-1"/>
          <w:szCs w:val="21"/>
          <w:highlight w:val="none"/>
          <w:u w:val="single"/>
        </w:rPr>
        <w:t xml:space="preserve">（大型、中型、小型、微型）</w:t>
      </w:r>
      <w:r>
        <w:rPr>
          <w:rFonts w:ascii="宋体" w:hAnsi="宋体" w:cs="宋体"/>
          <w:color w:val="auto"/>
          <w:spacing w:val="-1"/>
          <w:szCs w:val="21"/>
          <w:highlight w:val="none"/>
        </w:rPr>
        <w:t xml:space="preserve">企业，将承担以下分包工作</w:t>
      </w:r>
      <w:r>
        <w:rPr>
          <w:rFonts w:ascii="宋体" w:hAnsi="宋体" w:cs="宋体"/>
          <w:color w:val="auto"/>
          <w:spacing w:val="3"/>
          <w:szCs w:val="21"/>
          <w:highlight w:val="none"/>
        </w:rPr>
        <w:t xml:space="preserve">：</w:t>
      </w:r>
      <w:r>
        <w:rPr>
          <w:rFonts w:ascii="宋体" w:hAnsi="宋体" w:cs="宋体"/>
          <w:color w:val="auto"/>
          <w:spacing w:val="3"/>
          <w:szCs w:val="21"/>
          <w:highlight w:val="none"/>
          <w:u w:val="single"/>
        </w:rPr>
        <w:t xml:space="preserve">（</w:t>
      </w:r>
      <w:r>
        <w:rPr>
          <w:rFonts w:ascii="宋体" w:hAnsi="宋体" w:cs="宋体"/>
          <w:color w:val="auto"/>
          <w:spacing w:val="-1"/>
          <w:szCs w:val="21"/>
          <w:highlight w:val="none"/>
          <w:u w:val="single"/>
        </w:rPr>
        <w:t xml:space="preserve">具体分包</w:t>
      </w:r>
      <w:r>
        <w:rPr>
          <w:rFonts w:hint="eastAsia" w:ascii="宋体" w:hAnsi="宋体" w:cs="宋体"/>
          <w:color w:val="auto"/>
          <w:spacing w:val="-1"/>
          <w:szCs w:val="21"/>
          <w:highlight w:val="none"/>
          <w:u w:val="single"/>
        </w:rPr>
        <w:t xml:space="preserve">的采购</w:t>
      </w:r>
      <w:r>
        <w:rPr>
          <w:rFonts w:ascii="宋体" w:hAnsi="宋体" w:cs="宋体"/>
          <w:color w:val="auto"/>
          <w:spacing w:val="-1"/>
          <w:szCs w:val="21"/>
          <w:highlight w:val="none"/>
          <w:u w:val="single"/>
        </w:rPr>
        <w:t xml:space="preserve">内容</w:t>
      </w:r>
      <w:r>
        <w:rPr>
          <w:rFonts w:ascii="宋体" w:hAnsi="宋体" w:cs="宋体"/>
          <w:color w:val="auto"/>
          <w:spacing w:val="3"/>
          <w:szCs w:val="21"/>
          <w:highlight w:val="none"/>
          <w:u w:val="single"/>
        </w:rPr>
        <w:t xml:space="preserve">）</w:t>
      </w:r>
      <w:r>
        <w:rPr>
          <w:rFonts w:ascii="宋体" w:hAnsi="宋体" w:cs="宋体"/>
          <w:color w:val="auto"/>
          <w:spacing w:val="3"/>
          <w:szCs w:val="21"/>
          <w:highlight w:val="none"/>
        </w:rPr>
        <w:t xml:space="preserve">，</w:t>
      </w:r>
      <w:r>
        <w:rPr>
          <w:rFonts w:ascii="宋体" w:hAnsi="宋体" w:cs="宋体"/>
          <w:color w:val="auto"/>
          <w:spacing w:val="-1"/>
          <w:szCs w:val="21"/>
          <w:highlight w:val="none"/>
        </w:rPr>
        <w:t xml:space="preserve">该部分工作内容占合同总金额的</w:t>
      </w:r>
      <w:r>
        <w:rPr>
          <w:rFonts w:hint="eastAsia" w:ascii="宋体" w:hAnsi="宋体" w:cs="宋体"/>
          <w:color w:val="auto"/>
          <w:spacing w:val="-1"/>
          <w:szCs w:val="21"/>
          <w:highlight w:val="none"/>
          <w:u w:val="single"/>
        </w:rPr>
        <w:t xml:space="preserve">   </w:t>
      </w:r>
      <w:r>
        <w:rPr>
          <w:rFonts w:ascii="宋体" w:hAnsi="宋体" w:cs="宋体"/>
          <w:color w:val="auto"/>
          <w:spacing w:val="-1"/>
          <w:szCs w:val="21"/>
          <w:highlight w:val="none"/>
        </w:rPr>
        <w:t xml:space="preserve">%。</w:t>
      </w:r>
      <w:r/>
    </w:p>
    <w:p>
      <w:pPr>
        <w:ind w:left="21" w:right="130" w:firstLine="6"/>
        <w:spacing w:before="219" w:line="411" w:lineRule="auto"/>
        <w:rPr>
          <w:rFonts w:hint="eastAsia" w:ascii="宋体" w:hAnsi="宋体" w:cs="宋体"/>
          <w:color w:val="auto"/>
          <w:szCs w:val="21"/>
          <w:highlight w:val="none"/>
        </w:rPr>
      </w:pPr>
      <w:r>
        <w:rPr>
          <w:rFonts w:ascii="宋体" w:hAnsi="宋体" w:cs="宋体"/>
          <w:color w:val="auto"/>
          <w:szCs w:val="21"/>
          <w:highlight w:val="none"/>
        </w:rPr>
        <w:t xml:space="preserve">……</w:t>
      </w:r>
      <w:r/>
    </w:p>
    <w:p>
      <w:pPr>
        <w:ind w:left="21" w:right="130" w:firstLine="6"/>
        <w:spacing w:before="219" w:line="411" w:lineRule="auto"/>
        <w:rPr>
          <w:rFonts w:hint="eastAsia" w:ascii="宋体" w:hAnsi="宋体" w:cs="宋体"/>
          <w:color w:val="auto"/>
          <w:szCs w:val="21"/>
          <w:highlight w:val="none"/>
        </w:rPr>
      </w:pPr>
      <w:r>
        <w:rPr>
          <w:rFonts w:ascii="宋体" w:hAnsi="宋体" w:cs="宋体"/>
          <w:color w:val="auto"/>
          <w:szCs w:val="21"/>
          <w:highlight w:val="none"/>
        </w:rPr>
        <w:t xml:space="preserve">三、如中标，分包意向单位不得以任何理由提出终止本意向协议。</w:t>
      </w:r>
      <w:r/>
    </w:p>
    <w:p>
      <w:pPr>
        <w:ind w:left="21" w:right="130" w:firstLine="6"/>
        <w:spacing w:before="219" w:line="411" w:lineRule="auto"/>
        <w:rPr>
          <w:rFonts w:hint="eastAsia" w:ascii="宋体" w:hAnsi="宋体" w:cs="宋体"/>
          <w:color w:val="auto"/>
          <w:szCs w:val="21"/>
          <w:highlight w:val="none"/>
        </w:rPr>
      </w:pPr>
      <w:r>
        <w:rPr>
          <w:rFonts w:ascii="宋体" w:hAnsi="宋体" w:cs="宋体"/>
          <w:color w:val="auto"/>
          <w:szCs w:val="21"/>
          <w:highlight w:val="none"/>
        </w:rPr>
        <w:t xml:space="preserve">四、本意向协议书在自签订之日起生效，投标有效期结束之日失效。如中标，有效期延续至政府采购合同履行完毕之日。</w:t>
      </w:r>
      <w:r/>
    </w:p>
    <w:p>
      <w:pPr>
        <w:ind w:left="21" w:right="130" w:firstLine="6"/>
        <w:spacing w:before="219" w:line="411" w:lineRule="auto"/>
        <w:rPr>
          <w:rFonts w:hint="eastAsia" w:ascii="宋体" w:hAnsi="宋体" w:cs="宋体"/>
          <w:b/>
          <w:bCs/>
          <w:color w:val="auto"/>
          <w:szCs w:val="21"/>
          <w:highlight w:val="none"/>
        </w:rPr>
      </w:pPr>
      <w:r>
        <w:rPr>
          <w:rFonts w:ascii="宋体" w:hAnsi="宋体" w:cs="宋体"/>
          <w:b/>
          <w:bCs/>
          <w:color w:val="auto"/>
          <w:szCs w:val="21"/>
          <w:highlight w:val="none"/>
        </w:rPr>
        <w:t xml:space="preserve">五、本意向协议书</w:t>
      </w:r>
      <w:r>
        <w:rPr>
          <w:rFonts w:hint="eastAsia" w:ascii="宋体" w:hAnsi="宋体" w:cs="宋体"/>
          <w:b/>
          <w:bCs/>
          <w:color w:val="auto"/>
          <w:szCs w:val="21"/>
          <w:highlight w:val="none"/>
        </w:rPr>
        <w:t xml:space="preserve">须将盖有各方公章（实体公章或电子章）彩色扫描件上传至电子投标文件中，否则投标无效。</w:t>
      </w:r>
      <w:r/>
    </w:p>
    <w:p>
      <w:pPr>
        <w:ind w:left="337"/>
        <w:spacing w:before="68" w:line="224" w:lineRule="auto"/>
        <w:rPr>
          <w:rFonts w:hint="eastAsia" w:ascii="宋体" w:hAnsi="宋体" w:cs="宋体"/>
          <w:b/>
          <w:bCs/>
          <w:color w:val="auto"/>
          <w:spacing w:val="-7"/>
          <w:szCs w:val="21"/>
          <w:highlight w:val="none"/>
        </w:rPr>
      </w:pPr>
      <w:r>
        <w:rPr>
          <w:rFonts w:ascii="宋体" w:hAnsi="宋体" w:cs="宋体"/>
          <w:b/>
          <w:bCs/>
          <w:color w:val="auto"/>
          <w:spacing w:val="-7"/>
          <w:szCs w:val="21"/>
          <w:highlight w:val="none"/>
        </w:rPr>
        <w:t xml:space="preserve">注：</w:t>
      </w:r>
      <w:r/>
    </w:p>
    <w:p>
      <w:pPr>
        <w:ind w:left="337"/>
        <w:spacing w:before="68" w:line="224" w:lineRule="auto"/>
        <w:rPr>
          <w:rFonts w:hint="eastAsia" w:ascii="宋体" w:hAnsi="宋体" w:cs="宋体"/>
          <w:b/>
          <w:bCs/>
          <w:color w:val="auto"/>
          <w:spacing w:val="-7"/>
          <w:szCs w:val="21"/>
          <w:highlight w:val="none"/>
        </w:rPr>
      </w:pPr>
      <w:r>
        <w:rPr>
          <w:rFonts w:hint="eastAsia" w:ascii="宋体" w:hAnsi="宋体" w:cs="宋体"/>
          <w:b/>
          <w:bCs/>
          <w:color w:val="auto"/>
          <w:spacing w:val="-7"/>
          <w:szCs w:val="21"/>
          <w:highlight w:val="none"/>
        </w:rPr>
        <w:t xml:space="preserve">1.承担医疗设备部分的一方必须具备招标公告中特殊资格条件，否则为无效投标。</w:t>
      </w:r>
      <w:r/>
    </w:p>
    <w:p>
      <w:pPr>
        <w:ind w:left="352"/>
        <w:spacing w:before="213" w:line="219" w:lineRule="auto"/>
        <w:rPr>
          <w:rFonts w:hint="eastAsia" w:ascii="宋体" w:hAnsi="宋体" w:cs="宋体"/>
          <w:b/>
          <w:bCs/>
          <w:color w:val="auto"/>
          <w:szCs w:val="21"/>
          <w:highlight w:val="none"/>
        </w:rPr>
      </w:pPr>
      <w:r>
        <w:rPr>
          <w:rFonts w:hint="eastAsia" w:ascii="宋体" w:hAnsi="宋体" w:cs="宋体"/>
          <w:b/>
          <w:bCs/>
          <w:color w:val="auto"/>
          <w:spacing w:val="-3"/>
          <w:szCs w:val="21"/>
          <w:highlight w:val="none"/>
        </w:rPr>
        <w:t xml:space="preserve">2</w:t>
      </w:r>
      <w:r>
        <w:rPr>
          <w:rFonts w:ascii="宋体" w:hAnsi="宋体" w:cs="宋体"/>
          <w:b/>
          <w:bCs/>
          <w:color w:val="auto"/>
          <w:spacing w:val="-3"/>
          <w:szCs w:val="21"/>
          <w:highlight w:val="none"/>
        </w:rPr>
        <w:t xml:space="preserve">.各方成员在本意向协议书上共同盖章确认。</w:t>
      </w:r>
      <w:r/>
    </w:p>
    <w:p>
      <w:pPr>
        <w:ind w:left="339"/>
        <w:spacing w:before="218" w:line="219" w:lineRule="auto"/>
        <w:rPr>
          <w:rFonts w:hint="eastAsia" w:ascii="宋体" w:hAnsi="宋体" w:cs="宋体"/>
          <w:color w:val="auto"/>
          <w:szCs w:val="21"/>
          <w:highlight w:val="none"/>
        </w:rPr>
      </w:pPr>
      <w:r>
        <w:rPr>
          <w:rFonts w:hint="eastAsia" w:ascii="宋体" w:hAnsi="宋体" w:cs="宋体"/>
          <w:b/>
          <w:bCs/>
          <w:color w:val="auto"/>
          <w:spacing w:val="-2"/>
          <w:szCs w:val="21"/>
          <w:highlight w:val="none"/>
        </w:rPr>
        <w:t xml:space="preserve">3</w:t>
      </w:r>
      <w:r>
        <w:rPr>
          <w:rFonts w:ascii="宋体" w:hAnsi="宋体" w:cs="宋体"/>
          <w:b/>
          <w:bCs/>
          <w:color w:val="auto"/>
          <w:spacing w:val="-2"/>
          <w:szCs w:val="21"/>
          <w:highlight w:val="none"/>
        </w:rPr>
        <w:t xml:space="preserve">.本意向协议书内容不得擅自修改，并将作为签订合同的附件之一。</w:t>
      </w:r>
      <w:r/>
    </w:p>
    <w:p>
      <w:pPr>
        <w:ind w:left="341"/>
        <w:spacing w:before="218" w:line="220" w:lineRule="auto"/>
        <w:rPr>
          <w:rFonts w:hint="eastAsia" w:ascii="宋体" w:hAnsi="宋体" w:cs="宋体"/>
          <w:color w:val="auto"/>
          <w:szCs w:val="21"/>
          <w:highlight w:val="none"/>
        </w:rPr>
      </w:pPr>
      <w:r>
        <w:rPr>
          <w:rFonts w:hint="eastAsia" w:ascii="宋体" w:hAnsi="宋体" w:cs="宋体"/>
          <w:b/>
          <w:bCs/>
          <w:color w:val="auto"/>
          <w:spacing w:val="-2"/>
          <w:szCs w:val="21"/>
          <w:highlight w:val="none"/>
        </w:rPr>
        <w:t xml:space="preserve">4</w:t>
      </w:r>
      <w:r>
        <w:rPr>
          <w:rFonts w:ascii="宋体" w:hAnsi="宋体" w:cs="宋体"/>
          <w:b/>
          <w:bCs/>
          <w:color w:val="auto"/>
          <w:spacing w:val="-2"/>
          <w:szCs w:val="21"/>
          <w:highlight w:val="none"/>
        </w:rPr>
        <w:t xml:space="preserve">.小微企业不得将合同分包给大中型企业，中型企业不得将合同分包给大型企业。</w:t>
      </w:r>
      <w:r/>
    </w:p>
    <w:p>
      <w:pPr>
        <w:pStyle w:val="703"/>
        <w:spacing w:line="307" w:lineRule="auto"/>
        <w:rPr>
          <w:rFonts w:hint="eastAsia"/>
          <w:color w:val="auto"/>
          <w:sz w:val="21"/>
          <w:szCs w:val="21"/>
          <w:highlight w:val="none"/>
          <w:lang w:eastAsia="zh-CN"/>
        </w:rPr>
      </w:pPr>
      <w:r>
        <w:rPr>
          <w:rFonts w:hint="eastAsia"/>
          <w:color w:val="auto"/>
          <w:sz w:val="21"/>
          <w:szCs w:val="21"/>
          <w:highlight w:val="none"/>
          <w:lang w:eastAsia="zh-CN"/>
        </w:rPr>
      </w:r>
      <w:r/>
    </w:p>
    <w:p>
      <w:pPr>
        <w:pStyle w:val="703"/>
        <w:spacing w:line="307" w:lineRule="auto"/>
        <w:rPr>
          <w:rFonts w:hint="eastAsia"/>
          <w:color w:val="auto"/>
          <w:sz w:val="21"/>
          <w:szCs w:val="21"/>
          <w:highlight w:val="none"/>
          <w:lang w:eastAsia="zh-CN"/>
        </w:rPr>
      </w:pPr>
      <w:r>
        <w:rPr>
          <w:rFonts w:hint="eastAsia"/>
          <w:color w:val="auto"/>
          <w:sz w:val="21"/>
          <w:szCs w:val="21"/>
          <w:highlight w:val="none"/>
          <w:lang w:eastAsia="zh-CN"/>
        </w:rPr>
      </w:r>
      <w:r/>
    </w:p>
    <w:p>
      <w:pPr>
        <w:ind w:left="210"/>
        <w:spacing w:before="68" w:line="219" w:lineRule="auto"/>
        <w:rPr>
          <w:rFonts w:hint="eastAsia" w:ascii="宋体" w:hAnsi="宋体" w:cs="宋体"/>
          <w:color w:val="auto"/>
          <w:szCs w:val="21"/>
          <w:highlight w:val="none"/>
        </w:rPr>
      </w:pPr>
      <w:r>
        <w:rPr>
          <w:rFonts w:ascii="宋体" w:hAnsi="宋体" w:cs="宋体"/>
          <w:color w:val="auto"/>
          <w:spacing w:val="-11"/>
          <w:szCs w:val="21"/>
          <w:highlight w:val="none"/>
        </w:rPr>
        <w:t xml:space="preserve">甲公司（盖章</w:t>
      </w:r>
      <w:r>
        <w:rPr>
          <w:rFonts w:ascii="宋体" w:hAnsi="宋体" w:cs="宋体"/>
          <w:color w:val="auto"/>
          <w:spacing w:val="-5"/>
          <w:szCs w:val="21"/>
          <w:highlight w:val="none"/>
        </w:rPr>
        <w:t xml:space="preserve">）：</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法定代表人或代理人（签字或盖章）：</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日期:       年 月 日</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乙公司（盖章）：</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法定代表人或代理人（签字或盖章）：</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日期:       年 月 日</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……公司（盖章）：</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法定代表人或代理人（签字或盖章）：</w:t>
      </w:r>
      <w:r/>
    </w:p>
    <w:p>
      <w:pPr>
        <w:ind w:left="210"/>
        <w:spacing w:before="68" w:line="219" w:lineRule="auto"/>
        <w:rPr>
          <w:rFonts w:hint="eastAsia" w:ascii="宋体" w:hAnsi="宋体" w:cs="宋体"/>
          <w:color w:val="auto"/>
          <w:spacing w:val="-11"/>
          <w:szCs w:val="21"/>
          <w:highlight w:val="none"/>
        </w:rPr>
      </w:pPr>
      <w:r>
        <w:rPr>
          <w:rFonts w:hint="eastAsia" w:ascii="宋体" w:hAnsi="宋体" w:cs="宋体"/>
          <w:color w:val="auto"/>
          <w:spacing w:val="-11"/>
          <w:szCs w:val="21"/>
          <w:highlight w:val="none"/>
        </w:rPr>
      </w:r>
      <w:r/>
    </w:p>
    <w:p>
      <w:pPr>
        <w:ind w:left="210"/>
        <w:spacing w:before="68" w:line="219" w:lineRule="auto"/>
        <w:rPr>
          <w:rFonts w:hint="eastAsia" w:ascii="宋体" w:hAnsi="宋体" w:cs="宋体"/>
          <w:color w:val="auto"/>
          <w:spacing w:val="-11"/>
          <w:szCs w:val="21"/>
          <w:highlight w:val="none"/>
        </w:rPr>
      </w:pPr>
      <w:r>
        <w:rPr>
          <w:rFonts w:ascii="宋体" w:hAnsi="宋体" w:cs="宋体"/>
          <w:color w:val="auto"/>
          <w:spacing w:val="-11"/>
          <w:szCs w:val="21"/>
          <w:highlight w:val="none"/>
        </w:rPr>
        <w:t xml:space="preserve">日期:       年 月 日</w:t>
      </w:r>
      <w:r/>
    </w:p>
    <w:p>
      <w:pPr>
        <w:ind w:left="210"/>
        <w:spacing w:line="360" w:lineRule="auto"/>
        <w:rPr>
          <w:rFonts w:hint="eastAsia" w:ascii="宋体" w:hAnsi="宋体"/>
          <w:b/>
          <w:bCs/>
          <w:color w:val="auto"/>
          <w:szCs w:val="21"/>
          <w:highlight w:val="none"/>
        </w:rPr>
        <w:outlineLvl w:val="0"/>
      </w:pPr>
      <w:r>
        <w:rPr>
          <w:rFonts w:hint="eastAsia" w:ascii="宋体" w:hAnsi="宋体"/>
          <w:b/>
          <w:bCs/>
          <w:color w:val="auto"/>
          <w:szCs w:val="21"/>
          <w:highlight w:val="none"/>
        </w:rPr>
      </w:r>
      <w:r/>
    </w:p>
    <w:p>
      <w:pPr>
        <w:rPr>
          <w:rFonts w:hint="eastAsia" w:ascii="宋体" w:hAnsi="宋体"/>
          <w:b/>
          <w:bCs/>
          <w:color w:val="auto"/>
          <w:szCs w:val="21"/>
          <w:highlight w:val="none"/>
          <w:lang w:val="zh-CN"/>
        </w:rPr>
      </w:pPr>
      <w:r>
        <w:rPr>
          <w:rFonts w:ascii="宋体" w:hAnsi="宋体"/>
          <w:b/>
          <w:bCs/>
          <w:color w:val="auto"/>
          <w:szCs w:val="21"/>
          <w:highlight w:val="none"/>
          <w:lang w:val="zh-CN"/>
        </w:rPr>
        <w:br w:type="page" w:clear="all"/>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pStyle w:val="772"/>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772"/>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72"/>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4"/>
        <w:rPr>
          <w:rFonts w:eastAsia="黑体"/>
          <w:b/>
          <w:color w:val="auto"/>
          <w:sz w:val="36"/>
          <w:szCs w:val="36"/>
          <w:highlight w:val="none"/>
        </w:rPr>
      </w:pPr>
      <w:r>
        <w:rPr>
          <w:rFonts w:eastAsia="黑体"/>
          <w:b/>
          <w:color w:val="auto"/>
          <w:sz w:val="36"/>
          <w:szCs w:val="36"/>
          <w:highlight w:val="none"/>
        </w:rPr>
      </w:r>
      <w:r/>
    </w:p>
    <w:p>
      <w:pPr>
        <w:spacing w:line="360" w:lineRule="auto"/>
        <w:rPr>
          <w:rFonts w:hint="eastAsia"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格式15、关于符合本国产品标准的声明函</w:t>
      </w:r>
      <w:r/>
    </w:p>
    <w:p>
      <w:p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806"/>
        <w:ind w:firstLine="42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pStyle w:val="806"/>
        <w:ind w:firstLine="42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6"/>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806"/>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6"/>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806"/>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6"/>
        <w:ind w:right="480" w:firstLine="3255"/>
        <w:jc w:val="right"/>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806"/>
        <w:jc w:val="center"/>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806"/>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hint="eastAsia"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苏州市中医医院</w:t>
      </w:r>
      <w:r>
        <w:rPr>
          <w:color w:val="auto"/>
          <w:szCs w:val="21"/>
          <w:highlight w:val="none"/>
          <w:lang w:val="zh-CN"/>
        </w:rPr>
        <w:t xml:space="preserve">委托，对其</w:t>
      </w:r>
      <w:r>
        <w:rPr>
          <w:rFonts w:hint="eastAsia"/>
          <w:color w:val="auto"/>
          <w:szCs w:val="21"/>
          <w:highlight w:val="none"/>
          <w:lang w:val="zh-CN"/>
        </w:rPr>
        <w:t xml:space="preserve">吴门医派骨伤研究所实验室配套设备（第一批）</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JSZC-320500-SZWK-G2026-0290</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吴门医派骨伤研究所实验室配套设备（第一批）</w:t>
      </w:r>
      <w:r/>
    </w:p>
    <w:p>
      <w:pPr>
        <w:ind w:firstLine="422"/>
        <w:spacing w:line="400" w:lineRule="exact"/>
        <w:rPr>
          <w:b/>
          <w:bCs/>
          <w:color w:val="auto"/>
          <w:szCs w:val="21"/>
          <w:highlight w:val="none"/>
        </w:rPr>
      </w:pPr>
      <w:r>
        <w:rPr>
          <w:rFonts w:hint="eastAsia"/>
          <w:b/>
          <w:bCs/>
          <w:color w:val="auto"/>
          <w:szCs w:val="21"/>
          <w:highlight w:val="none"/>
        </w:rPr>
        <w:t xml:space="preserve">三、采购设备清单：</w:t>
      </w:r>
      <w:bookmarkEnd w:id="8"/>
      <w:r/>
      <w:r/>
    </w:p>
    <w:tbl>
      <w:tblPr>
        <w:tblStyle w:val="699"/>
        <w:tblW w:w="6313" w:type="dxa"/>
        <w:tblInd w:w="298" w:type="dxa"/>
        <w:tblLayout w:type="fixed"/>
        <w:tblCellMar>
          <w:left w:w="108" w:type="dxa"/>
          <w:top w:w="0" w:type="dxa"/>
          <w:right w:w="108" w:type="dxa"/>
          <w:bottom w:w="0" w:type="dxa"/>
        </w:tblCellMar>
        <w:tblLook w:val="04A0" w:firstRow="1" w:lastRow="0" w:firstColumn="1" w:lastColumn="0" w:noHBand="0" w:noVBand="1"/>
      </w:tblPr>
      <w:tblGrid>
        <w:gridCol w:w="863"/>
        <w:gridCol w:w="4350"/>
        <w:gridCol w:w="1100"/>
      </w:tblGrid>
      <w:tr>
        <w:trPr>
          <w:trHeight w:val="28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设备名称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实时荧光定量聚合酶链式反应仪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超微量紫外分光光度计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倒置荧光显微镜</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正置荧光显微镜</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生物显微镜图像分析系统</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1套</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化学发光凝胶成像系统</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冰冻切片机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超速离心机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数字切片扫描仪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梯度聚合酶链式反应仪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小型高速离心机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掌上离心机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微孔板迷你离心机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高速匀浆仪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超声波粉碎机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生物安全柜</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二氧化碳培养箱</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细胞计数仪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免疫印迹电泳转膜系统</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5套</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普通摇床</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低温摇床</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制冰机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超低温冰箱</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医用冷藏冷冻冰箱</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轮转式切片机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组织脱水机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组织包埋机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摊片机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烘片机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真空冷冻干燥机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旋转蒸发仪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电热恒温水浴槽</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恒温金属浴</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分析电子天平</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酸碱度计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纯水机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超声波清洗机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烘干箱</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通风柜</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酶标仪</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液氮罐</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小鼠拉力计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打粉机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包药机</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27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旋转蒸发器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1台</w:t>
            </w:r>
            <w:r/>
          </w:p>
        </w:tc>
      </w:tr>
    </w:tbl>
    <w:p>
      <w:pPr>
        <w:ind w:firstLine="420"/>
        <w:spacing w:line="400" w:lineRule="exact"/>
        <w:rPr>
          <w:b/>
          <w:bCs/>
          <w:color w:val="auto"/>
          <w:szCs w:val="21"/>
          <w:highlight w:val="none"/>
        </w:rPr>
      </w:pPr>
      <w:r>
        <w:rPr>
          <w:b/>
          <w:bCs/>
          <w:color w:val="auto"/>
          <w:szCs w:val="21"/>
          <w:highlight w:val="none"/>
        </w:rPr>
      </w:r>
      <w:r/>
    </w:p>
    <w:p>
      <w:pPr>
        <w:ind w:firstLine="422"/>
        <w:spacing w:line="400" w:lineRule="exact"/>
        <w:rPr>
          <w:b/>
          <w:bCs/>
          <w:color w:val="auto"/>
          <w:szCs w:val="21"/>
          <w:highlight w:val="none"/>
        </w:rPr>
      </w:pPr>
      <w:r>
        <w:rPr>
          <w:rFonts w:hint="eastAsia"/>
          <w:b/>
          <w:bCs/>
          <w:color w:val="auto"/>
          <w:szCs w:val="21"/>
          <w:highlight w:val="none"/>
        </w:rPr>
        <w:t xml:space="preserve">四、采购设备技术要求：</w:t>
      </w:r>
      <w:r/>
    </w:p>
    <w:p>
      <w:pPr>
        <w:ind w:firstLine="420"/>
        <w:spacing w:line="400" w:lineRule="exact"/>
        <w:rPr>
          <w:color w:val="auto"/>
          <w:szCs w:val="21"/>
          <w:highlight w:val="none"/>
          <w:lang w:val="zh-CN"/>
        </w:rPr>
      </w:pPr>
      <w:r>
        <w:rPr>
          <w:rFonts w:hint="eastAsia"/>
          <w:color w:val="auto"/>
          <w:szCs w:val="21"/>
          <w:highlight w:val="none"/>
          <w:lang w:val="zh-CN"/>
        </w:rPr>
        <w:t xml:space="preserve">（一）实时荧光定量聚合酶链式反应仪：</w:t>
      </w:r>
      <w:r/>
    </w:p>
    <w:p>
      <w:pPr>
        <w:ind w:firstLine="420"/>
        <w:spacing w:line="400" w:lineRule="exact"/>
        <w:rPr>
          <w:color w:val="auto"/>
          <w:szCs w:val="21"/>
          <w:highlight w:val="none"/>
          <w:lang w:val="zh-CN"/>
        </w:rPr>
      </w:pPr>
      <w:r>
        <w:rPr>
          <w:rFonts w:hint="eastAsia"/>
          <w:color w:val="auto"/>
          <w:szCs w:val="21"/>
          <w:highlight w:val="none"/>
          <w:lang w:val="zh-CN"/>
        </w:rPr>
        <w:t xml:space="preserve"> 1、反应体系与耗材兼容性：支持</w:t>
      </w:r>
      <w:r>
        <w:rPr>
          <w:rFonts w:hint="eastAsia"/>
          <w:color w:val="auto"/>
          <w:szCs w:val="21"/>
          <w:highlight w:val="none"/>
          <w:lang w:val="zh-CN"/>
        </w:rPr>
        <w:t xml:space="preserve"> 0.1或</w:t>
      </w:r>
      <w:r>
        <w:rPr>
          <w:rFonts w:hint="eastAsia"/>
          <w:color w:val="auto"/>
          <w:szCs w:val="21"/>
          <w:highlight w:val="none"/>
          <w:lang w:val="zh-CN"/>
        </w:rPr>
        <w:t xml:space="preserve">0.2ml 96 孔板、8 联管、单管，反应体积5~100μL。；</w:t>
      </w:r>
      <w:r/>
    </w:p>
    <w:p>
      <w:pPr>
        <w:ind w:firstLine="420"/>
        <w:spacing w:line="400" w:lineRule="exact"/>
        <w:rPr>
          <w:color w:val="auto"/>
          <w:szCs w:val="21"/>
          <w:highlight w:val="none"/>
          <w:lang w:val="zh-CN"/>
        </w:rPr>
      </w:pPr>
      <w:r>
        <w:rPr>
          <w:rFonts w:hint="eastAsia"/>
          <w:color w:val="auto"/>
          <w:szCs w:val="21"/>
          <w:highlight w:val="none"/>
          <w:lang w:val="zh-CN"/>
        </w:rPr>
        <w:t xml:space="preserve">2、温度性能：升降温速度≥5℃/S；控温精度≤±0.1℃；模块控温范围5℃～105℃；</w:t>
      </w:r>
      <w:r/>
    </w:p>
    <w:p>
      <w:pPr>
        <w:ind w:firstLine="420"/>
        <w:spacing w:line="400" w:lineRule="exact"/>
        <w:rPr>
          <w:color w:val="auto"/>
          <w:szCs w:val="21"/>
          <w:highlight w:val="none"/>
          <w:lang w:val="zh-CN"/>
        </w:rPr>
      </w:pPr>
      <w:r>
        <w:rPr>
          <w:rFonts w:hint="eastAsia"/>
          <w:color w:val="auto"/>
          <w:szCs w:val="21"/>
          <w:highlight w:val="none"/>
          <w:lang w:val="zh-CN"/>
        </w:rPr>
        <w:t xml:space="preserve">3、温度梯度功能：12列梯度，梯度温度范围30℃-110℃，梯度温差范围1℃-35℃；</w:t>
      </w:r>
      <w:r/>
    </w:p>
    <w:p>
      <w:pPr>
        <w:ind w:firstLine="420"/>
        <w:spacing w:line="400" w:lineRule="exact"/>
        <w:rPr>
          <w:color w:val="auto"/>
          <w:szCs w:val="21"/>
          <w:highlight w:val="none"/>
          <w:lang w:val="zh-CN"/>
        </w:rPr>
      </w:pPr>
      <w:r>
        <w:rPr>
          <w:rFonts w:hint="eastAsia"/>
          <w:color w:val="auto"/>
          <w:szCs w:val="21"/>
          <w:highlight w:val="none"/>
          <w:lang w:val="zh-CN"/>
        </w:rPr>
        <w:t xml:space="preserve">4、可与核酸提取系统实现自动化对接，即全自动荧光定量PCR系统，助力实验室自动化实现</w:t>
      </w:r>
      <w:r/>
    </w:p>
    <w:p>
      <w:pPr>
        <w:ind w:firstLine="420"/>
        <w:spacing w:line="400" w:lineRule="exact"/>
        <w:rPr>
          <w:color w:val="auto"/>
          <w:szCs w:val="21"/>
          <w:highlight w:val="none"/>
          <w:lang w:val="zh-CN"/>
        </w:rPr>
      </w:pPr>
      <w:r>
        <w:rPr>
          <w:rFonts w:hint="eastAsia"/>
          <w:color w:val="auto"/>
          <w:szCs w:val="21"/>
          <w:highlight w:val="none"/>
          <w:lang w:val="zh-CN"/>
        </w:rPr>
        <w:t xml:space="preserve">★5、光学检测性能：≥4 个荧光通道，兼容</w:t>
      </w:r>
      <w:r>
        <w:rPr>
          <w:color w:val="auto"/>
          <w:szCs w:val="21"/>
          <w:highlight w:val="none"/>
          <w:lang w:val="en"/>
        </w:rPr>
        <w:t xml:space="preserve">FAM、HEX(VIC)、ROX、Cy5或同等荧光通道</w:t>
      </w:r>
      <w:r>
        <w:rPr>
          <w:rFonts w:hint="eastAsia"/>
          <w:color w:val="auto"/>
          <w:szCs w:val="21"/>
          <w:highlight w:val="none"/>
          <w:lang w:val="zh-CN"/>
        </w:rPr>
        <w:t xml:space="preserve">，动态检测范围≥9 个数量级</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（二）超微量紫外分光光度计：</w:t>
      </w:r>
      <w:r/>
    </w:p>
    <w:p>
      <w:pPr>
        <w:ind w:firstLine="420"/>
        <w:spacing w:line="400" w:lineRule="exact"/>
        <w:rPr>
          <w:color w:val="auto"/>
          <w:szCs w:val="21"/>
          <w:highlight w:val="none"/>
          <w:lang w:val="zh-CN"/>
        </w:rPr>
      </w:pPr>
      <w:r/>
      <w:bookmarkStart w:id="10" w:name="OLE_LINK8"/>
      <w:r>
        <w:rPr>
          <w:rFonts w:hint="eastAsia"/>
          <w:color w:val="auto"/>
          <w:szCs w:val="21"/>
          <w:highlight w:val="none"/>
          <w:lang w:val="zh-CN"/>
        </w:rPr>
        <w:t xml:space="preserve">★</w:t>
      </w:r>
      <w:bookmarkEnd w:id="10"/>
      <w:r>
        <w:rPr>
          <w:rFonts w:hint="eastAsia"/>
          <w:color w:val="auto"/>
          <w:szCs w:val="21"/>
          <w:highlight w:val="none"/>
          <w:lang w:val="zh-CN"/>
        </w:rPr>
        <w:t xml:space="preserve">1、波长范围：190-850nm(超微量及比色皿）；</w:t>
      </w:r>
      <w:r/>
    </w:p>
    <w:p>
      <w:pPr>
        <w:ind w:firstLine="420"/>
        <w:spacing w:line="400" w:lineRule="exact"/>
        <w:rPr>
          <w:color w:val="auto"/>
          <w:szCs w:val="21"/>
          <w:highlight w:val="none"/>
          <w:lang w:val="zh-CN"/>
        </w:rPr>
      </w:pPr>
      <w:r>
        <w:rPr>
          <w:rFonts w:hint="eastAsia"/>
          <w:color w:val="auto"/>
          <w:szCs w:val="21"/>
          <w:highlight w:val="none"/>
          <w:lang w:val="zh-CN"/>
        </w:rPr>
        <w:t xml:space="preserve">2、检测器：≥2048像素CMOS线性图像传感；</w:t>
      </w:r>
      <w:r/>
    </w:p>
    <w:p>
      <w:pPr>
        <w:ind w:firstLine="420"/>
        <w:spacing w:line="400" w:lineRule="exact"/>
        <w:rPr>
          <w:color w:val="auto"/>
          <w:szCs w:val="21"/>
          <w:highlight w:val="none"/>
          <w:lang w:val="zh-CN"/>
        </w:rPr>
      </w:pPr>
      <w:r>
        <w:rPr>
          <w:rFonts w:hint="eastAsia"/>
          <w:color w:val="auto"/>
          <w:szCs w:val="21"/>
          <w:highlight w:val="none"/>
          <w:lang w:val="zh-CN"/>
        </w:rPr>
        <w:t xml:space="preserve">3、微量检测范围：</w:t>
      </w:r>
      <w:r>
        <w:rPr>
          <w:color w:val="auto"/>
          <w:szCs w:val="21"/>
          <w:highlight w:val="none"/>
          <w:lang w:val="zh-CN"/>
        </w:rPr>
        <w:t xml:space="preserve">dsDNA检测下限≤2ng/μL、上限</w:t>
      </w:r>
      <w:bookmarkStart w:id="11" w:name="OLE_LINK9"/>
      <w:r>
        <w:rPr>
          <w:color w:val="auto"/>
          <w:szCs w:val="21"/>
          <w:highlight w:val="none"/>
          <w:lang w:val="zh-CN"/>
        </w:rPr>
        <w:t xml:space="preserve">≥</w:t>
      </w:r>
      <w:bookmarkEnd w:id="11"/>
      <w:r>
        <w:rPr>
          <w:color w:val="auto"/>
          <w:szCs w:val="21"/>
          <w:highlight w:val="none"/>
          <w:lang w:val="zh-CN"/>
        </w:rPr>
        <w:t xml:space="preserve">20000ng/μL</w:t>
      </w:r>
      <w:r>
        <w:rPr>
          <w:rFonts w:hint="eastAsia"/>
          <w:color w:val="auto"/>
          <w:szCs w:val="21"/>
          <w:highlight w:val="none"/>
          <w:lang w:val="zh-CN"/>
        </w:rPr>
        <w:t xml:space="preserve">；BSA</w:t>
      </w:r>
      <w:r>
        <w:rPr>
          <w:color w:val="auto"/>
          <w:szCs w:val="21"/>
          <w:highlight w:val="none"/>
          <w:lang w:val="zh-CN"/>
        </w:rPr>
        <w:t xml:space="preserve">下限≤</w:t>
      </w:r>
      <w:r>
        <w:rPr>
          <w:rFonts w:hint="eastAsia"/>
          <w:color w:val="auto"/>
          <w:szCs w:val="21"/>
          <w:highlight w:val="none"/>
          <w:lang w:val="zh-CN"/>
        </w:rPr>
        <w:t xml:space="preserve">0.06</w:t>
      </w:r>
      <w:bookmarkStart w:id="12" w:name="OLE_LINK10"/>
      <w:r>
        <w:rPr>
          <w:rFonts w:hint="eastAsia"/>
          <w:color w:val="auto"/>
          <w:szCs w:val="21"/>
          <w:highlight w:val="none"/>
          <w:lang w:val="zh-CN"/>
        </w:rPr>
        <w:t xml:space="preserve">mg/mL</w:t>
      </w:r>
      <w:bookmarkEnd w:id="12"/>
      <w:r>
        <w:rPr>
          <w:rFonts w:hint="eastAsia"/>
          <w:color w:val="auto"/>
          <w:szCs w:val="21"/>
          <w:highlight w:val="none"/>
          <w:lang w:val="zh-CN"/>
        </w:rPr>
        <w:t xml:space="preserve">、</w:t>
      </w:r>
      <w:bookmarkStart w:id="13" w:name="OLE_LINK13"/>
      <w:r>
        <w:rPr>
          <w:rFonts w:hint="eastAsia"/>
          <w:color w:val="auto"/>
          <w:szCs w:val="21"/>
          <w:highlight w:val="none"/>
          <w:lang w:val="zh-CN"/>
        </w:rPr>
        <w:t xml:space="preserve">上限</w:t>
      </w:r>
      <w:r>
        <w:rPr>
          <w:color w:val="auto"/>
          <w:szCs w:val="21"/>
          <w:highlight w:val="none"/>
          <w:lang w:val="zh-CN"/>
        </w:rPr>
        <w:t xml:space="preserve">≥</w:t>
      </w:r>
      <w:bookmarkEnd w:id="13"/>
      <w:r>
        <w:rPr>
          <w:rFonts w:hint="eastAsia"/>
          <w:color w:val="auto"/>
          <w:szCs w:val="21"/>
          <w:highlight w:val="none"/>
          <w:lang w:val="zh-CN"/>
        </w:rPr>
        <w:t xml:space="preserve">800mg/mL；IgG</w:t>
      </w:r>
      <w:r>
        <w:rPr>
          <w:color w:val="auto"/>
          <w:szCs w:val="21"/>
          <w:highlight w:val="none"/>
          <w:lang w:val="zh-CN"/>
        </w:rPr>
        <w:t xml:space="preserve">下限≤</w:t>
      </w:r>
      <w:r>
        <w:rPr>
          <w:rFonts w:hint="eastAsia"/>
          <w:color w:val="auto"/>
          <w:szCs w:val="21"/>
          <w:highlight w:val="none"/>
          <w:lang w:val="zh-CN"/>
        </w:rPr>
        <w:t xml:space="preserve">0.03 mg/mL、上限</w:t>
      </w:r>
      <w:r>
        <w:rPr>
          <w:color w:val="auto"/>
          <w:szCs w:val="21"/>
          <w:highlight w:val="none"/>
          <w:lang w:val="zh-CN"/>
        </w:rPr>
        <w:t xml:space="preserve">≥</w:t>
      </w:r>
      <w:r>
        <w:rPr>
          <w:rFonts w:hint="eastAsia"/>
          <w:color w:val="auto"/>
          <w:szCs w:val="21"/>
          <w:highlight w:val="none"/>
          <w:lang w:val="zh-CN"/>
        </w:rPr>
        <w:t xml:space="preserve">400</w:t>
      </w:r>
      <w:bookmarkStart w:id="14" w:name="OLE_LINK12"/>
      <w:r>
        <w:rPr>
          <w:rFonts w:hint="eastAsia"/>
          <w:color w:val="auto"/>
          <w:szCs w:val="21"/>
          <w:highlight w:val="none"/>
          <w:lang w:val="zh-CN"/>
        </w:rPr>
        <w:t xml:space="preserve">mg/mL</w:t>
      </w:r>
      <w:bookmarkEnd w:id="14"/>
      <w:r>
        <w:rPr>
          <w:rFonts w:hint="eastAsia"/>
          <w:color w:val="auto"/>
          <w:szCs w:val="21"/>
          <w:highlight w:val="none"/>
          <w:lang w:val="zh-CN"/>
        </w:rPr>
        <w:t xml:space="preserve">；</w:t>
      </w:r>
      <w:r/>
    </w:p>
    <w:p>
      <w:pPr>
        <w:ind w:firstLine="420"/>
        <w:spacing w:line="400" w:lineRule="exact"/>
        <w:rPr>
          <w:color w:val="auto"/>
          <w:szCs w:val="21"/>
          <w:highlight w:val="none"/>
          <w:lang w:val="zh-CN"/>
        </w:rPr>
      </w:pPr>
      <w:r>
        <w:rPr>
          <w:rFonts w:hint="eastAsia"/>
          <w:color w:val="auto"/>
          <w:szCs w:val="21"/>
          <w:highlight w:val="none"/>
          <w:lang w:val="zh-CN"/>
        </w:rPr>
        <w:t xml:space="preserve">4、比色皿模式检测范围：0.2-150ng/μl(dsDNA)；0.006-5mg/mL(BSA)；0.003-2mg/ml(IgG)</w:t>
      </w:r>
      <w:r/>
    </w:p>
    <w:p>
      <w:pPr>
        <w:ind w:firstLine="420"/>
        <w:spacing w:line="400" w:lineRule="exact"/>
        <w:rPr>
          <w:color w:val="auto"/>
          <w:szCs w:val="21"/>
          <w:highlight w:val="none"/>
          <w:lang w:val="zh-CN"/>
        </w:rPr>
      </w:pPr>
      <w:r>
        <w:rPr>
          <w:rFonts w:hint="eastAsia"/>
          <w:color w:val="auto"/>
          <w:szCs w:val="21"/>
          <w:highlight w:val="none"/>
          <w:lang w:val="zh-CN"/>
        </w:rPr>
        <w:t xml:space="preserve">5、</w:t>
      </w:r>
      <w:r>
        <w:rPr>
          <w:color w:val="auto"/>
          <w:szCs w:val="21"/>
          <w:highlight w:val="none"/>
          <w:lang w:val="zh-CN"/>
        </w:rPr>
        <w:t xml:space="preserve">具备一键/自动检测功能，合臂后自动完成测量与浓度换算，无需额外手动操作</w:t>
      </w:r>
      <w:r>
        <w:rPr>
          <w:rFonts w:hint="eastAsia"/>
          <w:color w:val="auto"/>
          <w:szCs w:val="21"/>
          <w:highlight w:val="none"/>
          <w:lang w:val="zh-CN"/>
        </w:rPr>
        <w:t xml:space="preserve">。</w:t>
      </w:r>
      <w:r/>
    </w:p>
    <w:p>
      <w:pPr>
        <w:ind w:firstLine="420"/>
        <w:spacing w:line="400" w:lineRule="exact"/>
        <w:rPr>
          <w:color w:val="auto"/>
          <w:szCs w:val="21"/>
          <w:highlight w:val="none"/>
          <w:lang w:val="zh-CN"/>
        </w:rPr>
      </w:pPr>
      <w:r>
        <w:rPr>
          <w:rFonts w:hint="eastAsia"/>
          <w:color w:val="auto"/>
          <w:szCs w:val="21"/>
          <w:highlight w:val="none"/>
          <w:lang w:val="zh-CN"/>
        </w:rPr>
        <w:t xml:space="preserve">6、测量时间：全谱扫描＜8s。</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（三）倒置荧光显微镜：</w:t>
      </w:r>
      <w:r/>
    </w:p>
    <w:p>
      <w:pPr>
        <w:ind w:firstLine="420"/>
        <w:spacing w:line="400" w:lineRule="exact"/>
        <w:rPr>
          <w:color w:val="auto"/>
          <w:szCs w:val="21"/>
          <w:highlight w:val="none"/>
          <w:lang w:val="zh-CN"/>
        </w:rPr>
      </w:pPr>
      <w:r>
        <w:rPr>
          <w:rFonts w:hint="eastAsia"/>
          <w:color w:val="auto"/>
          <w:szCs w:val="21"/>
          <w:highlight w:val="none"/>
          <w:lang w:val="zh-CN"/>
        </w:rPr>
        <w:t xml:space="preserve">1、观察筒：20°-45°可调倾角，无限远铰链双目观察头</w:t>
      </w:r>
      <w:r/>
    </w:p>
    <w:p>
      <w:pPr>
        <w:ind w:firstLine="420"/>
        <w:spacing w:line="400" w:lineRule="exact"/>
        <w:rPr>
          <w:color w:val="auto"/>
          <w:szCs w:val="21"/>
          <w:highlight w:val="none"/>
          <w:lang w:val="zh-CN"/>
        </w:rPr>
      </w:pPr>
      <w:r>
        <w:rPr>
          <w:rFonts w:hint="eastAsia"/>
          <w:color w:val="auto"/>
          <w:szCs w:val="21"/>
          <w:highlight w:val="none"/>
          <w:lang w:val="zh-CN"/>
        </w:rPr>
        <w:t xml:space="preserve">2、物镜：长工作距平场半复消色差正相衬物镜：</w:t>
      </w:r>
      <w:r/>
    </w:p>
    <w:p>
      <w:pPr>
        <w:ind w:firstLine="420"/>
        <w:spacing w:line="400" w:lineRule="exact"/>
        <w:rPr>
          <w:color w:val="auto"/>
          <w:szCs w:val="21"/>
          <w:highlight w:val="none"/>
          <w:lang w:val="zh-CN"/>
        </w:rPr>
      </w:pPr>
      <w:r>
        <w:rPr>
          <w:rFonts w:hint="eastAsia"/>
          <w:color w:val="auto"/>
          <w:szCs w:val="21"/>
          <w:highlight w:val="none"/>
          <w:lang w:val="zh-CN"/>
        </w:rPr>
        <w:t xml:space="preserve">（1）4X/NA≥0.10/WD≥12.6mm；</w:t>
      </w:r>
      <w:r/>
    </w:p>
    <w:p>
      <w:pPr>
        <w:ind w:firstLine="420"/>
        <w:spacing w:line="400" w:lineRule="exact"/>
        <w:rPr>
          <w:color w:val="auto"/>
          <w:szCs w:val="21"/>
          <w:highlight w:val="none"/>
          <w:lang w:val="zh-CN"/>
        </w:rPr>
      </w:pPr>
      <w:r>
        <w:rPr>
          <w:rFonts w:hint="eastAsia"/>
          <w:color w:val="auto"/>
          <w:szCs w:val="21"/>
          <w:highlight w:val="none"/>
          <w:lang w:val="zh-CN"/>
        </w:rPr>
        <w:t xml:space="preserve">（2）10X/NA≥0.30/WD≥8.0mm；</w:t>
      </w:r>
      <w:r/>
    </w:p>
    <w:p>
      <w:pPr>
        <w:ind w:firstLine="420"/>
        <w:spacing w:line="400" w:lineRule="exact"/>
        <w:rPr>
          <w:color w:val="auto"/>
          <w:szCs w:val="21"/>
          <w:highlight w:val="none"/>
          <w:lang w:val="zh-CN"/>
        </w:rPr>
      </w:pPr>
      <w:r>
        <w:rPr>
          <w:rFonts w:hint="eastAsia"/>
          <w:color w:val="auto"/>
          <w:szCs w:val="21"/>
          <w:highlight w:val="none"/>
          <w:lang w:val="zh-CN"/>
        </w:rPr>
        <w:t xml:space="preserve">（3）20X/NA≥0.40/WD≥5.0mm；</w:t>
      </w:r>
      <w:r/>
    </w:p>
    <w:p>
      <w:pPr>
        <w:ind w:firstLine="420"/>
        <w:spacing w:line="400" w:lineRule="exact"/>
        <w:rPr>
          <w:color w:val="auto"/>
          <w:szCs w:val="21"/>
          <w:highlight w:val="none"/>
          <w:lang w:val="zh-CN"/>
        </w:rPr>
      </w:pPr>
      <w:r>
        <w:rPr>
          <w:rFonts w:hint="eastAsia"/>
          <w:color w:val="auto"/>
          <w:szCs w:val="21"/>
          <w:highlight w:val="none"/>
          <w:lang w:val="zh-CN"/>
        </w:rPr>
        <w:t xml:space="preserve">（4）40X/NA≥0.60/WD≥1.3mm；</w:t>
      </w:r>
      <w:r/>
    </w:p>
    <w:p>
      <w:pPr>
        <w:ind w:firstLine="420"/>
        <w:spacing w:line="400" w:lineRule="exact"/>
        <w:rPr>
          <w:color w:val="auto"/>
          <w:szCs w:val="21"/>
          <w:highlight w:val="none"/>
          <w:lang w:val="zh-CN"/>
        </w:rPr>
      </w:pPr>
      <w:r>
        <w:rPr>
          <w:rFonts w:hint="eastAsia"/>
          <w:color w:val="auto"/>
          <w:szCs w:val="21"/>
          <w:highlight w:val="none"/>
          <w:lang w:val="zh-CN"/>
        </w:rPr>
        <w:t xml:space="preserve">（5）60X/NA≥0.70/WD≥1mm；</w:t>
      </w:r>
      <w:r/>
    </w:p>
    <w:p>
      <w:pPr>
        <w:ind w:firstLine="420"/>
        <w:spacing w:line="400" w:lineRule="exact"/>
        <w:rPr>
          <w:color w:val="auto"/>
          <w:szCs w:val="21"/>
          <w:highlight w:val="none"/>
          <w:lang w:val="zh-CN"/>
        </w:rPr>
      </w:pPr>
      <w:r>
        <w:rPr>
          <w:rFonts w:hint="eastAsia"/>
          <w:color w:val="auto"/>
          <w:szCs w:val="21"/>
          <w:highlight w:val="none"/>
          <w:lang w:val="zh-CN"/>
        </w:rPr>
        <w:t xml:space="preserve">3、低手位粗微同轴电动调焦机构，行程≥10mm，精度≤1um，分光比 0:100、 50:50、100:0；带有荧光护目板，</w:t>
      </w:r>
      <w:r>
        <w:rPr>
          <w:rFonts w:hint="eastAsia"/>
          <w:color w:val="auto"/>
          <w:szCs w:val="21"/>
          <w:highlight w:val="none"/>
          <w:lang w:val="zh-CN"/>
        </w:rPr>
        <w:t xml:space="preserve">≥4</w:t>
      </w:r>
      <w:r>
        <w:rPr>
          <w:rFonts w:hint="eastAsia"/>
          <w:color w:val="auto"/>
          <w:szCs w:val="21"/>
          <w:highlight w:val="none"/>
          <w:lang w:val="zh-CN"/>
        </w:rPr>
        <w:t xml:space="preserve">孔物镜转换器；</w:t>
      </w:r>
      <w:r/>
    </w:p>
    <w:p>
      <w:pPr>
        <w:ind w:firstLine="420"/>
        <w:spacing w:line="400" w:lineRule="exact"/>
        <w:rPr>
          <w:color w:val="auto"/>
          <w:szCs w:val="21"/>
          <w:highlight w:val="none"/>
          <w:lang w:val="zh-CN"/>
        </w:rPr>
      </w:pPr>
      <w:r>
        <w:rPr>
          <w:rFonts w:hint="eastAsia"/>
          <w:color w:val="auto"/>
          <w:szCs w:val="21"/>
          <w:highlight w:val="none"/>
          <w:lang w:val="zh-CN"/>
        </w:rPr>
        <w:t xml:space="preserve">★4、八孔编码荧光转盘系统，配置三组荧光滤色块，分别为：B1/G1/UV1，带手动光闸装置；</w:t>
      </w:r>
      <w:r/>
    </w:p>
    <w:p>
      <w:pPr>
        <w:ind w:firstLine="420"/>
        <w:spacing w:line="400" w:lineRule="exact"/>
        <w:rPr>
          <w:color w:val="auto"/>
          <w:szCs w:val="21"/>
          <w:highlight w:val="none"/>
          <w:lang w:val="zh-CN"/>
        </w:rPr>
      </w:pPr>
      <w:r>
        <w:rPr>
          <w:rFonts w:hint="eastAsia"/>
          <w:color w:val="auto"/>
          <w:szCs w:val="21"/>
          <w:highlight w:val="none"/>
          <w:lang w:val="zh-CN"/>
        </w:rPr>
        <w:t xml:space="preserve">5、配置彩色相机，像素≥500万，靶面≥2/3，专业荧光图像分析软件，与显微镜同一品牌，配置处理器≥ i7，≥27寸液晶显示器</w:t>
      </w:r>
      <w:r>
        <w:rPr>
          <w:color w:val="auto"/>
          <w:szCs w:val="21"/>
          <w:highlight w:val="none"/>
          <w:lang w:val="en"/>
        </w:rPr>
        <w:t xml:space="preserve">或同等及以上配置</w:t>
      </w:r>
      <w:r>
        <w:rPr>
          <w:rFonts w:hint="eastAsia"/>
          <w:color w:val="auto"/>
          <w:szCs w:val="21"/>
          <w:highlight w:val="none"/>
          <w:lang w:val="zh-CN"/>
        </w:rPr>
        <w:t xml:space="preserve">。</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（四）正置荧光显微镜：</w:t>
      </w:r>
      <w:r/>
    </w:p>
    <w:p>
      <w:pPr>
        <w:ind w:firstLine="420"/>
        <w:spacing w:line="400" w:lineRule="exact"/>
        <w:rPr>
          <w:color w:val="auto"/>
          <w:szCs w:val="21"/>
          <w:highlight w:val="none"/>
          <w:lang w:val="zh-CN"/>
        </w:rPr>
      </w:pPr>
      <w:r>
        <w:rPr>
          <w:rFonts w:hint="eastAsia"/>
          <w:color w:val="auto"/>
          <w:szCs w:val="21"/>
          <w:highlight w:val="none"/>
          <w:lang w:val="zh-CN"/>
        </w:rPr>
        <w:t xml:space="preserve">1、目镜：高眼点大视野平场目镜，10X，视野数≥25mm。</w:t>
      </w:r>
      <w:r/>
    </w:p>
    <w:p>
      <w:pPr>
        <w:ind w:firstLine="420"/>
        <w:spacing w:line="400" w:lineRule="exact"/>
        <w:rPr>
          <w:color w:val="auto"/>
          <w:szCs w:val="21"/>
          <w:highlight w:val="none"/>
          <w:lang w:val="zh-CN"/>
        </w:rPr>
      </w:pPr>
      <w:r>
        <w:rPr>
          <w:rFonts w:hint="eastAsia"/>
          <w:color w:val="auto"/>
          <w:szCs w:val="21"/>
          <w:highlight w:val="none"/>
          <w:lang w:val="zh-CN"/>
        </w:rPr>
        <w:t xml:space="preserve">★2、转换器：内倾式6孔转换器（带DIC插槽），带亮度记忆功能。</w:t>
      </w:r>
      <w:r/>
    </w:p>
    <w:p>
      <w:pPr>
        <w:ind w:firstLine="420"/>
        <w:spacing w:line="400" w:lineRule="exact"/>
        <w:rPr>
          <w:color w:val="auto"/>
          <w:szCs w:val="21"/>
          <w:highlight w:val="none"/>
          <w:lang w:val="zh-CN"/>
        </w:rPr>
      </w:pPr>
      <w:r>
        <w:rPr>
          <w:rFonts w:hint="eastAsia"/>
          <w:color w:val="auto"/>
          <w:szCs w:val="21"/>
          <w:highlight w:val="none"/>
          <w:lang w:val="zh-CN"/>
        </w:rPr>
        <w:t xml:space="preserve">3、物镜：无限远平场半复消色差物镜： </w:t>
      </w:r>
      <w:r/>
    </w:p>
    <w:p>
      <w:pPr>
        <w:ind w:firstLine="420"/>
        <w:spacing w:line="400" w:lineRule="exact"/>
        <w:rPr>
          <w:color w:val="auto"/>
          <w:szCs w:val="21"/>
          <w:highlight w:val="none"/>
          <w:lang w:val="zh-CN"/>
        </w:rPr>
      </w:pPr>
      <w:r>
        <w:rPr>
          <w:rFonts w:hint="eastAsia"/>
          <w:color w:val="auto"/>
          <w:szCs w:val="21"/>
          <w:highlight w:val="none"/>
          <w:lang w:val="zh-CN"/>
        </w:rPr>
        <w:t xml:space="preserve">4X//N.A.≥ 0.10，WD≥15.00mm；</w:t>
      </w:r>
      <w:r/>
    </w:p>
    <w:p>
      <w:pPr>
        <w:ind w:firstLine="420"/>
        <w:spacing w:line="400" w:lineRule="exact"/>
        <w:rPr>
          <w:color w:val="auto"/>
          <w:szCs w:val="21"/>
          <w:highlight w:val="none"/>
          <w:lang w:val="zh-CN"/>
        </w:rPr>
      </w:pPr>
      <w:r>
        <w:rPr>
          <w:rFonts w:hint="eastAsia"/>
          <w:color w:val="auto"/>
          <w:szCs w:val="21"/>
          <w:highlight w:val="none"/>
          <w:lang w:val="zh-CN"/>
        </w:rPr>
        <w:t xml:space="preserve">10X//N.A.≥ 0.3，WD≥8.00mm；</w:t>
      </w:r>
      <w:r/>
    </w:p>
    <w:p>
      <w:pPr>
        <w:ind w:firstLine="420"/>
        <w:spacing w:line="400" w:lineRule="exact"/>
        <w:rPr>
          <w:color w:val="auto"/>
          <w:szCs w:val="21"/>
          <w:highlight w:val="none"/>
          <w:lang w:val="zh-CN"/>
        </w:rPr>
      </w:pPr>
      <w:r>
        <w:rPr>
          <w:rFonts w:hint="eastAsia"/>
          <w:color w:val="auto"/>
          <w:szCs w:val="21"/>
          <w:highlight w:val="none"/>
          <w:lang w:val="zh-CN"/>
        </w:rPr>
        <w:t xml:space="preserve">20X//N.A.≥ 0.5，WD≥2.00mm；</w:t>
      </w:r>
      <w:r/>
    </w:p>
    <w:p>
      <w:pPr>
        <w:ind w:firstLine="420"/>
        <w:spacing w:line="400" w:lineRule="exact"/>
        <w:rPr>
          <w:color w:val="auto"/>
          <w:szCs w:val="21"/>
          <w:highlight w:val="none"/>
          <w:lang w:val="zh-CN"/>
        </w:rPr>
      </w:pPr>
      <w:r>
        <w:rPr>
          <w:rFonts w:hint="eastAsia"/>
          <w:color w:val="auto"/>
          <w:szCs w:val="21"/>
          <w:highlight w:val="none"/>
          <w:lang w:val="zh-CN"/>
        </w:rPr>
        <w:t xml:space="preserve">40X//N.A.≥ 0.7，WD≥0.7mm；</w:t>
      </w:r>
      <w:r/>
    </w:p>
    <w:p>
      <w:pPr>
        <w:ind w:firstLine="420"/>
        <w:spacing w:line="400" w:lineRule="exact"/>
        <w:rPr>
          <w:color w:val="auto"/>
          <w:szCs w:val="21"/>
          <w:highlight w:val="none"/>
          <w:lang w:val="zh-CN"/>
        </w:rPr>
      </w:pPr>
      <w:r>
        <w:rPr>
          <w:rFonts w:hint="eastAsia"/>
          <w:color w:val="auto"/>
          <w:szCs w:val="21"/>
          <w:highlight w:val="none"/>
          <w:lang w:val="zh-CN"/>
        </w:rPr>
        <w:t xml:space="preserve">100X//N.A.≥ 1.2，WD≥0.10mm；</w:t>
      </w:r>
      <w:r/>
    </w:p>
    <w:p>
      <w:pPr>
        <w:ind w:firstLine="420"/>
        <w:spacing w:line="400" w:lineRule="exact"/>
        <w:rPr>
          <w:color w:val="auto"/>
          <w:szCs w:val="21"/>
          <w:highlight w:val="none"/>
          <w:lang w:val="zh-CN"/>
        </w:rPr>
      </w:pPr>
      <w:r>
        <w:rPr>
          <w:rFonts w:hint="eastAsia"/>
          <w:color w:val="auto"/>
          <w:szCs w:val="21"/>
          <w:highlight w:val="none"/>
          <w:lang w:val="zh-CN"/>
        </w:rPr>
        <w:t xml:space="preserve">4、配置专业荧光照明器，荧光通道≥6通道，至少配置UV/B/G三组荧光滤色块；</w:t>
      </w:r>
      <w:r/>
    </w:p>
    <w:p>
      <w:pPr>
        <w:ind w:firstLine="420"/>
        <w:spacing w:line="400" w:lineRule="exact"/>
        <w:rPr>
          <w:color w:val="auto"/>
          <w:szCs w:val="21"/>
          <w:highlight w:val="none"/>
          <w:lang w:val="zh-CN"/>
        </w:rPr>
      </w:pPr>
      <w:r>
        <w:rPr>
          <w:rFonts w:hint="eastAsia"/>
          <w:color w:val="auto"/>
          <w:szCs w:val="21"/>
          <w:highlight w:val="none"/>
          <w:lang w:val="zh-CN"/>
        </w:rPr>
        <w:t xml:space="preserve">5、配置彩色相机，像素≥2000万，靶面尺寸≥1英寸。</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（五）生物显微镜图像分析系统：</w:t>
      </w:r>
      <w:r/>
    </w:p>
    <w:p>
      <w:pPr>
        <w:ind w:firstLine="420"/>
        <w:spacing w:line="400" w:lineRule="exact"/>
        <w:rPr>
          <w:color w:val="auto"/>
          <w:szCs w:val="21"/>
          <w:highlight w:val="none"/>
          <w:lang w:val="zh-CN"/>
        </w:rPr>
      </w:pPr>
      <w:r>
        <w:rPr>
          <w:rFonts w:hint="eastAsia"/>
          <w:color w:val="auto"/>
          <w:szCs w:val="21"/>
          <w:highlight w:val="none"/>
          <w:lang w:val="zh-CN"/>
        </w:rPr>
        <w:t xml:space="preserve">1、光学系统：无限远色差校正光学系统。齐焦距离为国际标准≤50mm；</w:t>
      </w:r>
      <w:r/>
    </w:p>
    <w:p>
      <w:pPr>
        <w:ind w:firstLine="420"/>
        <w:spacing w:line="400" w:lineRule="exact"/>
        <w:rPr>
          <w:color w:val="auto"/>
          <w:szCs w:val="21"/>
          <w:highlight w:val="none"/>
          <w:lang w:val="zh-CN"/>
        </w:rPr>
      </w:pPr>
      <w:r>
        <w:rPr>
          <w:rFonts w:hint="eastAsia"/>
          <w:color w:val="auto"/>
          <w:szCs w:val="21"/>
          <w:highlight w:val="none"/>
          <w:lang w:val="zh-CN"/>
        </w:rPr>
        <w:t xml:space="preserve">★2、转换器：≥5孔物镜转换器（带DIC插槽），带亮度记忆功能；</w:t>
      </w:r>
      <w:r/>
    </w:p>
    <w:p>
      <w:pPr>
        <w:ind w:firstLine="420"/>
        <w:spacing w:line="400" w:lineRule="exact"/>
        <w:rPr>
          <w:color w:val="auto"/>
          <w:szCs w:val="21"/>
          <w:highlight w:val="none"/>
          <w:lang w:val="zh-CN"/>
        </w:rPr>
      </w:pPr>
      <w:r>
        <w:rPr>
          <w:rFonts w:hint="eastAsia"/>
          <w:color w:val="auto"/>
          <w:szCs w:val="21"/>
          <w:highlight w:val="none"/>
          <w:lang w:val="zh-CN"/>
        </w:rPr>
        <w:t xml:space="preserve">3、物镜：无限远平场消色差物镜；</w:t>
      </w:r>
      <w:r/>
    </w:p>
    <w:p>
      <w:pPr>
        <w:ind w:firstLine="420"/>
        <w:spacing w:line="400" w:lineRule="exact"/>
        <w:rPr>
          <w:color w:val="auto"/>
          <w:szCs w:val="21"/>
          <w:highlight w:val="none"/>
          <w:lang w:val="zh-CN"/>
        </w:rPr>
      </w:pPr>
      <w:r>
        <w:rPr>
          <w:rFonts w:hint="eastAsia"/>
          <w:color w:val="auto"/>
          <w:szCs w:val="21"/>
          <w:highlight w:val="none"/>
          <w:lang w:val="zh-CN"/>
        </w:rPr>
        <w:t xml:space="preserve">（1）4X/NA≥0.10，WD≥15.00mm；</w:t>
      </w:r>
      <w:r/>
    </w:p>
    <w:p>
      <w:pPr>
        <w:ind w:firstLine="420"/>
        <w:spacing w:line="400" w:lineRule="exact"/>
        <w:rPr>
          <w:color w:val="auto"/>
          <w:szCs w:val="21"/>
          <w:highlight w:val="none"/>
          <w:lang w:val="zh-CN"/>
        </w:rPr>
      </w:pPr>
      <w:r>
        <w:rPr>
          <w:rFonts w:hint="eastAsia"/>
          <w:color w:val="auto"/>
          <w:szCs w:val="21"/>
          <w:highlight w:val="none"/>
          <w:lang w:val="zh-CN"/>
        </w:rPr>
        <w:t xml:space="preserve">（2）10X/NA≥0.20，WD≥10.00mm；</w:t>
      </w:r>
      <w:r/>
    </w:p>
    <w:p>
      <w:pPr>
        <w:ind w:firstLine="420"/>
        <w:spacing w:line="400" w:lineRule="exact"/>
        <w:rPr>
          <w:color w:val="auto"/>
          <w:szCs w:val="21"/>
          <w:highlight w:val="none"/>
          <w:lang w:val="zh-CN"/>
        </w:rPr>
      </w:pPr>
      <w:r>
        <w:rPr>
          <w:rFonts w:hint="eastAsia"/>
          <w:color w:val="auto"/>
          <w:szCs w:val="21"/>
          <w:highlight w:val="none"/>
          <w:lang w:val="zh-CN"/>
        </w:rPr>
        <w:t xml:space="preserve">（3）20X/NA≥0.40，WD≥0.80mm；</w:t>
      </w:r>
      <w:r/>
    </w:p>
    <w:p>
      <w:pPr>
        <w:ind w:firstLine="420"/>
        <w:spacing w:line="400" w:lineRule="exact"/>
        <w:rPr>
          <w:color w:val="auto"/>
          <w:szCs w:val="21"/>
          <w:highlight w:val="none"/>
          <w:lang w:val="zh-CN"/>
        </w:rPr>
      </w:pPr>
      <w:r>
        <w:rPr>
          <w:rFonts w:hint="eastAsia"/>
          <w:color w:val="auto"/>
          <w:szCs w:val="21"/>
          <w:highlight w:val="none"/>
          <w:lang w:val="zh-CN"/>
        </w:rPr>
        <w:t xml:space="preserve">（4）40X/NA≥0.60，WD≥0.60mm；</w:t>
      </w:r>
      <w:r/>
    </w:p>
    <w:p>
      <w:pPr>
        <w:ind w:firstLine="420"/>
        <w:spacing w:line="400" w:lineRule="exact"/>
        <w:rPr>
          <w:color w:val="auto"/>
          <w:szCs w:val="21"/>
          <w:highlight w:val="none"/>
          <w:lang w:val="zh-CN"/>
        </w:rPr>
      </w:pPr>
      <w:r>
        <w:rPr>
          <w:rFonts w:hint="eastAsia"/>
          <w:color w:val="auto"/>
          <w:szCs w:val="21"/>
          <w:highlight w:val="none"/>
          <w:lang w:val="zh-CN"/>
        </w:rPr>
        <w:t xml:space="preserve">4、载物台：复合式机械平台，面积：≥180mmX160mm，移动范围：≥80X50mm,双向线轨传动，扭矩松紧可调；</w:t>
      </w:r>
      <w:r/>
    </w:p>
    <w:p>
      <w:pPr>
        <w:ind w:firstLine="420"/>
        <w:spacing w:line="400" w:lineRule="exact"/>
        <w:rPr>
          <w:color w:val="auto"/>
          <w:szCs w:val="21"/>
          <w:highlight w:val="none"/>
          <w:lang w:val="zh-CN"/>
        </w:rPr>
      </w:pPr>
      <w:r>
        <w:rPr>
          <w:rFonts w:hint="eastAsia"/>
          <w:color w:val="auto"/>
          <w:szCs w:val="21"/>
          <w:highlight w:val="none"/>
          <w:lang w:val="zh-CN"/>
        </w:rPr>
        <w:t xml:space="preserve">5、低手位粗微调同轴调焦机构，载物台垂直运动方式距离≥25mm，微调精度0.001mm,带防止载物台下滑粗调带松紧调节装置，有随机上限位装置；</w:t>
      </w:r>
      <w:r/>
    </w:p>
    <w:p>
      <w:pPr>
        <w:ind w:firstLine="420"/>
        <w:spacing w:line="400" w:lineRule="exact"/>
        <w:rPr>
          <w:color w:val="auto"/>
          <w:szCs w:val="21"/>
          <w:highlight w:val="none"/>
          <w:lang w:val="zh-CN"/>
        </w:rPr>
      </w:pPr>
      <w:r>
        <w:rPr>
          <w:rFonts w:hint="eastAsia"/>
          <w:color w:val="auto"/>
          <w:szCs w:val="21"/>
          <w:highlight w:val="none"/>
          <w:lang w:val="zh-CN"/>
        </w:rPr>
        <w:t xml:space="preserve">6、三目观察头。</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（六）化学发光凝胶成像系统：</w:t>
      </w:r>
      <w:r/>
    </w:p>
    <w:p>
      <w:pPr>
        <w:ind w:firstLine="420"/>
        <w:spacing w:line="400" w:lineRule="exact"/>
        <w:rPr>
          <w:color w:val="auto"/>
          <w:szCs w:val="21"/>
          <w:highlight w:val="none"/>
          <w:lang w:val="zh-CN"/>
        </w:rPr>
      </w:pPr>
      <w:r>
        <w:rPr>
          <w:rFonts w:hint="eastAsia"/>
          <w:color w:val="auto"/>
          <w:szCs w:val="21"/>
          <w:highlight w:val="none"/>
          <w:lang w:val="zh-CN"/>
        </w:rPr>
        <w:t xml:space="preserve">★1、摄像头：高分辨科研级制冷型感光相机，</w:t>
      </w:r>
      <w:r>
        <w:rPr>
          <w:rFonts w:hint="eastAsia"/>
          <w:color w:val="auto"/>
          <w:szCs w:val="21"/>
          <w:highlight w:val="none"/>
          <w:lang w:val="zh-CN"/>
        </w:rPr>
        <w:t xml:space="preserve">≥2758x2208像素（600万像素）</w:t>
      </w:r>
      <w:r>
        <w:rPr>
          <w:rFonts w:hint="eastAsia"/>
          <w:color w:val="auto"/>
          <w:szCs w:val="21"/>
          <w:highlight w:val="none"/>
          <w:lang w:val="zh-CN"/>
        </w:rPr>
        <w:t xml:space="preserve">；冷却温度：≤-65℃，量子效率（QE)：≥75%，</w:t>
      </w:r>
      <w:r/>
    </w:p>
    <w:p>
      <w:pPr>
        <w:ind w:firstLine="420"/>
        <w:spacing w:line="400" w:lineRule="exact"/>
        <w:rPr>
          <w:color w:val="auto"/>
          <w:szCs w:val="21"/>
          <w:highlight w:val="none"/>
          <w:lang w:val="zh-CN"/>
        </w:rPr>
      </w:pPr>
      <w:r>
        <w:rPr>
          <w:rFonts w:hint="eastAsia"/>
          <w:color w:val="auto"/>
          <w:szCs w:val="21"/>
          <w:highlight w:val="none"/>
          <w:lang w:val="zh-CN"/>
        </w:rPr>
        <w:t xml:space="preserve">2、镜头：F0.95/25mm大光圈电动定焦镜头, 具有自动聚焦功能；</w:t>
      </w:r>
      <w:r/>
    </w:p>
    <w:p>
      <w:pPr>
        <w:ind w:firstLine="420"/>
        <w:spacing w:line="400" w:lineRule="exact"/>
        <w:rPr>
          <w:color w:val="auto"/>
          <w:szCs w:val="21"/>
          <w:highlight w:val="none"/>
          <w:lang w:val="zh-CN"/>
        </w:rPr>
      </w:pPr>
      <w:r>
        <w:rPr>
          <w:rFonts w:hint="eastAsia"/>
          <w:color w:val="auto"/>
          <w:szCs w:val="21"/>
          <w:highlight w:val="none"/>
          <w:lang w:val="zh-CN"/>
        </w:rPr>
        <w:t xml:space="preserve">3、样品台：多层自动感应式样品平台，</w:t>
      </w:r>
      <w:r>
        <w:rPr>
          <w:rFonts w:hint="eastAsia"/>
          <w:color w:val="auto"/>
          <w:szCs w:val="21"/>
          <w:highlight w:val="none"/>
          <w:lang w:val="zh-CN"/>
        </w:rPr>
        <w:t xml:space="preserve">紫外台：透射面积≥21*21cm、≥302+365nm双波长；双侧反射光源≥254nm+365nm</w:t>
      </w:r>
      <w:r>
        <w:rPr>
          <w:rFonts w:hint="eastAsia"/>
          <w:color w:val="auto"/>
          <w:szCs w:val="21"/>
          <w:highlight w:val="none"/>
          <w:lang w:val="zh-CN"/>
        </w:rPr>
        <w:t xml:space="preserve">；带有开关门紫外自动闭合功能，具有LED白光反射灯,白光转换板；</w:t>
      </w:r>
      <w:r/>
    </w:p>
    <w:p>
      <w:pPr>
        <w:ind w:firstLine="420"/>
        <w:spacing w:line="400" w:lineRule="exact"/>
        <w:rPr>
          <w:color w:val="auto"/>
          <w:szCs w:val="21"/>
          <w:highlight w:val="none"/>
          <w:lang w:val="zh-CN"/>
        </w:rPr>
      </w:pPr>
      <w:r>
        <w:rPr>
          <w:rFonts w:hint="eastAsia"/>
          <w:color w:val="auto"/>
          <w:szCs w:val="21"/>
          <w:highlight w:val="none"/>
          <w:lang w:val="zh-CN"/>
        </w:rPr>
        <w:t xml:space="preserve">4、软件功能</w:t>
      </w:r>
      <w:r/>
    </w:p>
    <w:p>
      <w:pPr>
        <w:ind w:firstLine="420"/>
        <w:spacing w:line="400" w:lineRule="exact"/>
        <w:rPr>
          <w:color w:val="auto"/>
          <w:szCs w:val="21"/>
          <w:highlight w:val="none"/>
          <w:lang w:val="zh-CN"/>
        </w:rPr>
      </w:pPr>
      <w:r>
        <w:rPr>
          <w:rFonts w:hint="eastAsia"/>
          <w:color w:val="auto"/>
          <w:szCs w:val="21"/>
          <w:highlight w:val="none"/>
          <w:lang w:val="zh-CN"/>
        </w:rPr>
        <w:t xml:space="preserve">具备智能拍摄软件：可应用于各种荧光样品的拍摄。</w:t>
      </w:r>
      <w:r/>
    </w:p>
    <w:p>
      <w:pPr>
        <w:ind w:firstLine="420"/>
        <w:spacing w:line="400" w:lineRule="exact"/>
        <w:rPr>
          <w:color w:val="auto"/>
          <w:szCs w:val="21"/>
          <w:highlight w:val="none"/>
          <w:lang w:val="zh-CN"/>
        </w:rPr>
      </w:pPr>
      <w:r>
        <w:rPr>
          <w:rFonts w:hint="eastAsia"/>
          <w:color w:val="auto"/>
          <w:szCs w:val="21"/>
          <w:highlight w:val="none"/>
          <w:lang w:val="zh-CN"/>
        </w:rPr>
        <w:t xml:space="preserve">具备智能分析软件：具有图像处理和分析功能；</w:t>
      </w:r>
      <w:r/>
    </w:p>
    <w:p>
      <w:pPr>
        <w:ind w:firstLine="420"/>
        <w:spacing w:line="400" w:lineRule="exact"/>
        <w:rPr>
          <w:color w:val="auto"/>
          <w:szCs w:val="21"/>
          <w:highlight w:val="none"/>
          <w:lang w:val="zh-CN"/>
        </w:rPr>
      </w:pPr>
      <w:r>
        <w:rPr>
          <w:rFonts w:hint="eastAsia"/>
          <w:color w:val="auto"/>
          <w:szCs w:val="21"/>
          <w:highlight w:val="none"/>
          <w:lang w:val="zh-CN"/>
        </w:rPr>
        <w:t xml:space="preserve">5、分析软件内置VNTRs分析功能模块，并</w:t>
      </w:r>
      <w:r>
        <w:rPr>
          <w:color w:val="auto"/>
          <w:szCs w:val="21"/>
          <w:highlight w:val="none"/>
        </w:rPr>
        <w:t xml:space="preserve">配套工作站</w:t>
      </w:r>
      <w:r>
        <w:rPr>
          <w:rFonts w:hint="eastAsia"/>
          <w:color w:val="auto"/>
          <w:szCs w:val="21"/>
          <w:highlight w:val="none"/>
        </w:rPr>
        <w:t xml:space="preserve">1套，</w:t>
      </w:r>
      <w:r>
        <w:rPr>
          <w:rFonts w:hint="eastAsia"/>
          <w:color w:val="auto"/>
          <w:szCs w:val="21"/>
          <w:highlight w:val="none"/>
          <w:lang w:val="zh-CN"/>
        </w:rPr>
        <w:t xml:space="preserve">可对分析结果打印、导出。</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（七）冰冻切片机：</w:t>
      </w:r>
      <w:r/>
    </w:p>
    <w:p>
      <w:pPr>
        <w:ind w:firstLine="420"/>
        <w:spacing w:line="400" w:lineRule="exact"/>
        <w:rPr>
          <w:color w:val="auto"/>
          <w:szCs w:val="21"/>
          <w:highlight w:val="none"/>
          <w:lang w:val="zh-CN"/>
        </w:rPr>
      </w:pPr>
      <w:r>
        <w:rPr>
          <w:rFonts w:hint="eastAsia"/>
          <w:color w:val="auto"/>
          <w:szCs w:val="21"/>
          <w:highlight w:val="none"/>
          <w:lang w:val="zh-CN"/>
        </w:rPr>
        <w:t xml:space="preserve">1、常用功能键如灯光、化霜、杀菌等均外置设计于面膜板一键式操作；</w:t>
      </w:r>
      <w:r/>
    </w:p>
    <w:p>
      <w:pPr>
        <w:ind w:firstLine="420"/>
        <w:spacing w:line="400" w:lineRule="exact"/>
        <w:rPr>
          <w:color w:val="auto"/>
          <w:szCs w:val="21"/>
          <w:highlight w:val="none"/>
          <w:lang w:val="zh-CN"/>
        </w:rPr>
      </w:pPr>
      <w:r>
        <w:rPr>
          <w:rFonts w:hint="eastAsia"/>
          <w:color w:val="auto"/>
          <w:szCs w:val="21"/>
          <w:highlight w:val="none"/>
          <w:lang w:val="zh-CN"/>
        </w:rPr>
        <w:t xml:space="preserve">★2、冷冻箱内具有机械式切片厚度快捷刻度调节盘，调节范围：0～60μm；</w:t>
      </w:r>
      <w:r/>
    </w:p>
    <w:p>
      <w:pPr>
        <w:ind w:firstLine="420"/>
        <w:spacing w:line="400" w:lineRule="exact"/>
        <w:rPr>
          <w:color w:val="auto"/>
          <w:szCs w:val="21"/>
          <w:highlight w:val="none"/>
          <w:lang w:val="zh-CN"/>
        </w:rPr>
      </w:pPr>
      <w:r>
        <w:rPr>
          <w:rFonts w:hint="eastAsia"/>
          <w:color w:val="auto"/>
          <w:szCs w:val="21"/>
          <w:highlight w:val="none"/>
          <w:lang w:val="zh-CN"/>
        </w:rPr>
        <w:t xml:space="preserve">3、热气5分钟除霜，可自由于24小时设置除霜时间，亦可随时按需即时除霜；</w:t>
      </w:r>
      <w:r/>
    </w:p>
    <w:p>
      <w:pPr>
        <w:ind w:firstLine="420"/>
        <w:spacing w:line="400" w:lineRule="exact"/>
        <w:rPr>
          <w:color w:val="auto"/>
          <w:szCs w:val="21"/>
          <w:highlight w:val="none"/>
          <w:lang w:val="zh-CN"/>
        </w:rPr>
      </w:pPr>
      <w:r>
        <w:rPr>
          <w:rFonts w:hint="eastAsia"/>
          <w:color w:val="auto"/>
          <w:szCs w:val="21"/>
          <w:highlight w:val="none"/>
          <w:lang w:val="zh-CN"/>
        </w:rPr>
        <w:t xml:space="preserve">4、紫外线消毒系统,可自由于24小时设置消毒时间,亦可随时按需即时消毒；</w:t>
      </w:r>
      <w:r/>
    </w:p>
    <w:p>
      <w:pPr>
        <w:ind w:firstLine="420"/>
        <w:spacing w:line="400" w:lineRule="exact"/>
        <w:rPr>
          <w:color w:val="auto"/>
          <w:szCs w:val="21"/>
          <w:highlight w:val="none"/>
          <w:lang w:val="zh-CN"/>
        </w:rPr>
      </w:pPr>
      <w:r>
        <w:rPr>
          <w:rFonts w:hint="eastAsia"/>
          <w:color w:val="auto"/>
          <w:szCs w:val="21"/>
          <w:highlight w:val="none"/>
          <w:lang w:val="zh-CN"/>
        </w:rPr>
        <w:t xml:space="preserve">5、待机温度可以任意在-5℃~25℃之间预设可以一键唤醒至工作状态要求制冷室温度。</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（八）超速离心机：</w:t>
      </w:r>
      <w:r/>
    </w:p>
    <w:p>
      <w:pPr>
        <w:ind w:firstLine="420"/>
        <w:spacing w:line="400" w:lineRule="exact"/>
        <w:rPr>
          <w:color w:val="auto"/>
          <w:szCs w:val="21"/>
          <w:highlight w:val="none"/>
          <w:lang w:val="zh-CN"/>
        </w:rPr>
      </w:pPr>
      <w:r>
        <w:rPr>
          <w:rFonts w:hint="eastAsia"/>
          <w:color w:val="auto"/>
          <w:szCs w:val="21"/>
          <w:highlight w:val="none"/>
          <w:lang w:val="zh-CN"/>
        </w:rPr>
        <w:t xml:space="preserve">1、≥10英寸高灵敏度（可戴手套直接操作）、高清（≥1024x600分辨率）触摸屏控制，操作简便，显示直观。设置参数与运行参数同屏显示，直观、易懂，离心力与转速可同屏同时显示。</w:t>
      </w:r>
      <w:r/>
    </w:p>
    <w:p>
      <w:pPr>
        <w:ind w:firstLine="420"/>
        <w:spacing w:line="400" w:lineRule="exact"/>
        <w:rPr>
          <w:color w:val="auto"/>
          <w:szCs w:val="21"/>
          <w:highlight w:val="none"/>
          <w:lang w:val="zh-CN"/>
        </w:rPr>
      </w:pPr>
      <w:r>
        <w:rPr>
          <w:rFonts w:hint="eastAsia"/>
          <w:color w:val="auto"/>
          <w:szCs w:val="21"/>
          <w:highlight w:val="none"/>
          <w:lang w:val="zh-CN"/>
        </w:rPr>
        <w:t xml:space="preserve">2、智能控制系统，可实现阶梯离心、预约启动、样品ID、曲线模式、程序模式、多国语言选择功能、智能语音故障诊断及操作提示；</w:t>
      </w:r>
      <w:r/>
    </w:p>
    <w:p>
      <w:pPr>
        <w:ind w:firstLine="420"/>
        <w:spacing w:line="400" w:lineRule="exact"/>
        <w:rPr>
          <w:color w:val="auto"/>
          <w:szCs w:val="21"/>
          <w:highlight w:val="none"/>
          <w:lang w:val="zh-CN"/>
        </w:rPr>
      </w:pPr>
      <w:r>
        <w:rPr>
          <w:rFonts w:hint="eastAsia"/>
          <w:color w:val="auto"/>
          <w:szCs w:val="21"/>
          <w:highlight w:val="none"/>
          <w:lang w:val="zh-CN"/>
        </w:rPr>
        <w:t xml:space="preserve">3、不平衡监测采用姿态传感器，对运行中的转子不平衡量的细微变化采用新的算法进行分析，从而对转子的不平衡量提前预判采取措施，防止运行中转子严重不平衡事故发生；</w:t>
      </w:r>
      <w:r/>
    </w:p>
    <w:p>
      <w:pPr>
        <w:ind w:firstLine="420"/>
        <w:spacing w:line="400" w:lineRule="exact"/>
        <w:rPr>
          <w:color w:val="auto"/>
          <w:szCs w:val="21"/>
          <w:highlight w:val="none"/>
          <w:lang w:val="zh-CN"/>
        </w:rPr>
      </w:pPr>
      <w:r>
        <w:rPr>
          <w:rFonts w:hint="eastAsia"/>
          <w:color w:val="auto"/>
          <w:szCs w:val="21"/>
          <w:highlight w:val="none"/>
          <w:lang w:val="zh-CN"/>
        </w:rPr>
        <w:t xml:space="preserve">★4、最高转速：角转子≥30000r/min ，水平转子：≥12000r/min；</w:t>
      </w:r>
      <w:r/>
    </w:p>
    <w:p>
      <w:pPr>
        <w:ind w:firstLine="420"/>
        <w:spacing w:line="400" w:lineRule="exact"/>
        <w:rPr>
          <w:color w:val="auto"/>
          <w:szCs w:val="21"/>
          <w:highlight w:val="none"/>
          <w:lang w:val="zh-CN"/>
        </w:rPr>
      </w:pPr>
      <w:r>
        <w:rPr>
          <w:rFonts w:hint="eastAsia"/>
          <w:color w:val="auto"/>
          <w:szCs w:val="21"/>
          <w:highlight w:val="none"/>
          <w:lang w:val="zh-CN"/>
        </w:rPr>
        <w:t xml:space="preserve">★5、最大相对离心力：角转子：≥110000xg，水平转子≥27000xg。</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（九）数字切片扫描仪：</w:t>
      </w:r>
      <w:r/>
    </w:p>
    <w:p>
      <w:pPr>
        <w:ind w:firstLine="420"/>
        <w:spacing w:line="400" w:lineRule="exact"/>
        <w:rPr>
          <w:color w:val="auto"/>
          <w:szCs w:val="21"/>
          <w:highlight w:val="none"/>
          <w:lang w:val="zh-CN"/>
        </w:rPr>
      </w:pPr>
      <w:r>
        <w:rPr>
          <w:rFonts w:hint="eastAsia"/>
          <w:color w:val="auto"/>
          <w:szCs w:val="21"/>
          <w:highlight w:val="none"/>
          <w:lang w:val="zh-CN"/>
        </w:rPr>
        <w:t xml:space="preserve">1、物镜：超复消色差专业扫描物镜10X/N.A.≥0.4、20X/N.A.≥0.8、40X/N.A.≥0.95、100X/N.A≥1.35。</w:t>
      </w:r>
      <w:r/>
    </w:p>
    <w:p>
      <w:pPr>
        <w:ind w:firstLine="420"/>
        <w:spacing w:line="400" w:lineRule="exact"/>
        <w:rPr>
          <w:color w:val="auto"/>
          <w:szCs w:val="21"/>
          <w:highlight w:val="none"/>
          <w:lang w:val="zh-CN"/>
        </w:rPr>
      </w:pPr>
      <w:r>
        <w:rPr>
          <w:rFonts w:hint="eastAsia"/>
          <w:color w:val="auto"/>
          <w:szCs w:val="21"/>
          <w:highlight w:val="none"/>
          <w:lang w:val="zh-CN"/>
        </w:rPr>
        <w:t xml:space="preserve">2、物镜转换器：电动物镜转换器，孔位≥3个，扫描倍率（至少包含）：20X/40X（油镜）；</w:t>
      </w:r>
      <w:r/>
    </w:p>
    <w:p>
      <w:pPr>
        <w:ind w:firstLine="420"/>
        <w:spacing w:line="400" w:lineRule="exact"/>
        <w:rPr>
          <w:color w:val="auto"/>
          <w:szCs w:val="21"/>
          <w:highlight w:val="none"/>
          <w:lang w:val="zh-CN"/>
        </w:rPr>
      </w:pPr>
      <w:r>
        <w:rPr>
          <w:rFonts w:hint="eastAsia"/>
          <w:color w:val="auto"/>
          <w:szCs w:val="21"/>
          <w:highlight w:val="none"/>
          <w:lang w:val="zh-CN"/>
        </w:rPr>
        <w:t xml:space="preserve">★3、上料模块：采用料盘式上料方式，装载数量：≥50片，每个料盘装载数量≥5片，料盘数量≥10个，可兼容1/2/4英寸玻片尺寸扫描；</w:t>
      </w:r>
      <w:r/>
    </w:p>
    <w:p>
      <w:pPr>
        <w:ind w:firstLine="420"/>
        <w:spacing w:line="400" w:lineRule="exact"/>
        <w:rPr>
          <w:color w:val="auto"/>
          <w:szCs w:val="21"/>
          <w:highlight w:val="none"/>
          <w:lang w:val="zh-CN"/>
        </w:rPr>
      </w:pPr>
      <w:r>
        <w:rPr>
          <w:rFonts w:hint="eastAsia"/>
          <w:color w:val="auto"/>
          <w:szCs w:val="21"/>
          <w:highlight w:val="none"/>
          <w:lang w:val="zh-CN"/>
        </w:rPr>
        <w:t xml:space="preserve">4、荧光模块：电动荧光转盘，孔位≥10个，预装B/G/UV三组荧光滤色块；</w:t>
      </w:r>
      <w:r/>
    </w:p>
    <w:p>
      <w:pPr>
        <w:ind w:firstLine="420"/>
        <w:spacing w:line="400" w:lineRule="exact"/>
        <w:rPr>
          <w:color w:val="auto"/>
          <w:szCs w:val="21"/>
          <w:highlight w:val="none"/>
          <w:lang w:val="zh-CN"/>
        </w:rPr>
      </w:pPr>
      <w:r>
        <w:rPr>
          <w:rFonts w:hint="eastAsia"/>
          <w:color w:val="auto"/>
          <w:szCs w:val="21"/>
          <w:highlight w:val="none"/>
          <w:lang w:val="zh-CN"/>
        </w:rPr>
        <w:t xml:space="preserve">5、扫描速度：明场(15*15mm组织)在20X物镜的情况下≤35秒；荧光(10*10mm)在20X物镜的情况下单通道≤90秒（曝光时间≤50ms）。</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(十）梯度聚合酶链式反应仪：</w:t>
      </w:r>
      <w:r/>
    </w:p>
    <w:p>
      <w:pPr>
        <w:ind w:firstLine="420"/>
        <w:spacing w:line="400" w:lineRule="exact"/>
        <w:rPr>
          <w:color w:val="auto"/>
          <w:szCs w:val="21"/>
          <w:highlight w:val="none"/>
          <w:lang w:val="zh-CN"/>
        </w:rPr>
      </w:pPr>
      <w:r>
        <w:rPr>
          <w:rFonts w:hint="eastAsia"/>
          <w:color w:val="auto"/>
          <w:szCs w:val="21"/>
          <w:highlight w:val="none"/>
          <w:lang w:val="zh-CN"/>
        </w:rPr>
        <w:t xml:space="preserve">1、适用耗材：0.2mL 96孔PCR板, 0.2mL PCR单管, 0.2mL PCR 8联管；</w:t>
      </w:r>
      <w:r/>
    </w:p>
    <w:p>
      <w:pPr>
        <w:ind w:firstLine="420"/>
        <w:spacing w:line="400" w:lineRule="exact"/>
        <w:rPr>
          <w:color w:val="auto"/>
          <w:szCs w:val="21"/>
          <w:highlight w:val="none"/>
          <w:lang w:val="zh-CN"/>
        </w:rPr>
      </w:pPr>
      <w:r>
        <w:rPr>
          <w:rFonts w:hint="eastAsia"/>
          <w:color w:val="auto"/>
          <w:szCs w:val="21"/>
          <w:highlight w:val="none"/>
          <w:lang w:val="zh-CN"/>
        </w:rPr>
        <w:t xml:space="preserve">2、最大升降温速度：≥5℃/s；</w:t>
      </w:r>
      <w:r/>
    </w:p>
    <w:p>
      <w:pPr>
        <w:ind w:firstLine="420"/>
        <w:spacing w:line="400" w:lineRule="exact"/>
        <w:rPr>
          <w:color w:val="auto"/>
          <w:szCs w:val="21"/>
          <w:highlight w:val="none"/>
          <w:lang w:val="zh-CN"/>
        </w:rPr>
      </w:pPr>
      <w:r>
        <w:rPr>
          <w:rFonts w:hint="eastAsia"/>
          <w:color w:val="auto"/>
          <w:szCs w:val="21"/>
          <w:highlight w:val="none"/>
          <w:lang w:val="zh-CN"/>
        </w:rPr>
        <w:t xml:space="preserve">3、梯度温差范围：1-40℃；</w:t>
      </w:r>
      <w:r/>
    </w:p>
    <w:p>
      <w:pPr>
        <w:ind w:firstLine="420"/>
        <w:spacing w:line="400" w:lineRule="exact"/>
        <w:rPr>
          <w:color w:val="auto"/>
          <w:szCs w:val="21"/>
          <w:highlight w:val="none"/>
          <w:lang w:val="zh-CN"/>
        </w:rPr>
      </w:pPr>
      <w:r>
        <w:rPr>
          <w:rFonts w:hint="eastAsia"/>
          <w:color w:val="auto"/>
          <w:szCs w:val="21"/>
          <w:highlight w:val="none"/>
          <w:lang w:val="zh-CN"/>
        </w:rPr>
        <w:t xml:space="preserve">4、液晶显示：≥8英寸全彩液晶显示屏，实时图文显示运行状态；</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（十一）小型高速离心机：</w:t>
      </w:r>
      <w:r/>
    </w:p>
    <w:p>
      <w:pPr>
        <w:ind w:firstLine="420"/>
        <w:spacing w:line="400" w:lineRule="exact"/>
        <w:rPr>
          <w:color w:val="auto"/>
          <w:szCs w:val="21"/>
          <w:highlight w:val="none"/>
          <w:lang w:val="zh-CN"/>
        </w:rPr>
      </w:pPr>
      <w:r>
        <w:rPr>
          <w:rFonts w:hint="eastAsia"/>
          <w:color w:val="auto"/>
          <w:szCs w:val="21"/>
          <w:highlight w:val="none"/>
          <w:lang w:val="zh-CN"/>
        </w:rPr>
        <w:t xml:space="preserve">1、最高转速：≥16000r/min；</w:t>
      </w:r>
      <w:r/>
    </w:p>
    <w:p>
      <w:pPr>
        <w:ind w:firstLine="420"/>
        <w:spacing w:line="400" w:lineRule="exact"/>
        <w:rPr>
          <w:color w:val="auto"/>
          <w:szCs w:val="21"/>
          <w:highlight w:val="none"/>
          <w:lang w:val="zh-CN"/>
        </w:rPr>
      </w:pPr>
      <w:r>
        <w:rPr>
          <w:rFonts w:hint="eastAsia"/>
          <w:color w:val="auto"/>
          <w:szCs w:val="21"/>
          <w:highlight w:val="none"/>
          <w:lang w:val="zh-CN"/>
        </w:rPr>
        <w:t xml:space="preserve">2、最大离心力：≥21000xg；</w:t>
      </w:r>
      <w:r/>
    </w:p>
    <w:p>
      <w:pPr>
        <w:ind w:firstLine="420"/>
        <w:spacing w:line="400" w:lineRule="exact"/>
        <w:rPr>
          <w:color w:val="auto"/>
          <w:szCs w:val="21"/>
          <w:highlight w:val="none"/>
          <w:lang w:val="zh-CN"/>
        </w:rPr>
      </w:pPr>
      <w:r>
        <w:rPr>
          <w:rFonts w:hint="eastAsia"/>
          <w:color w:val="auto"/>
          <w:szCs w:val="21"/>
          <w:highlight w:val="none"/>
          <w:lang w:val="zh-CN"/>
        </w:rPr>
        <w:t xml:space="preserve">3、≥5英寸触摸液晶显示屏，实时显示运行全部参数，具有自检、堵转、超速、超温等检测报警功能。</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（十二）掌上离心机：</w:t>
      </w:r>
      <w:r/>
    </w:p>
    <w:p>
      <w:pPr>
        <w:ind w:firstLine="420"/>
        <w:spacing w:line="400" w:lineRule="exact"/>
        <w:rPr>
          <w:color w:val="auto"/>
          <w:szCs w:val="21"/>
          <w:highlight w:val="none"/>
          <w:lang w:val="zh-CN"/>
        </w:rPr>
      </w:pPr>
      <w:r>
        <w:rPr>
          <w:rFonts w:hint="eastAsia"/>
          <w:color w:val="auto"/>
          <w:szCs w:val="21"/>
          <w:highlight w:val="none"/>
          <w:lang w:val="zh-CN"/>
        </w:rPr>
        <w:t xml:space="preserve">1、最高转速：≥7000r/min；</w:t>
      </w:r>
      <w:r/>
    </w:p>
    <w:p>
      <w:pPr>
        <w:ind w:firstLine="420"/>
        <w:spacing w:line="400" w:lineRule="exact"/>
        <w:rPr>
          <w:color w:val="auto"/>
          <w:szCs w:val="21"/>
          <w:highlight w:val="none"/>
          <w:lang w:val="zh-CN"/>
        </w:rPr>
      </w:pPr>
      <w:r>
        <w:rPr>
          <w:rFonts w:hint="eastAsia"/>
          <w:color w:val="auto"/>
          <w:szCs w:val="21"/>
          <w:highlight w:val="none"/>
          <w:lang w:val="zh-CN"/>
        </w:rPr>
        <w:t xml:space="preserve">2、最大离心力：≥2600xg；</w:t>
      </w:r>
      <w:r/>
    </w:p>
    <w:p>
      <w:pPr>
        <w:ind w:firstLine="420"/>
        <w:spacing w:line="400" w:lineRule="exact"/>
        <w:rPr>
          <w:color w:val="auto"/>
          <w:szCs w:val="21"/>
          <w:highlight w:val="none"/>
          <w:lang w:val="zh-CN"/>
        </w:rPr>
      </w:pPr>
      <w:r>
        <w:rPr>
          <w:rFonts w:hint="eastAsia"/>
          <w:color w:val="auto"/>
          <w:szCs w:val="21"/>
          <w:highlight w:val="none"/>
          <w:lang w:val="zh-CN"/>
        </w:rPr>
        <w:t xml:space="preserve">3、最大容量：8*1.5ml/2ml 。</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（十三）微孔板迷你离心机：</w:t>
      </w:r>
      <w:r/>
    </w:p>
    <w:p>
      <w:pPr>
        <w:ind w:firstLine="420"/>
        <w:spacing w:line="400" w:lineRule="exact"/>
        <w:rPr>
          <w:color w:val="auto"/>
          <w:szCs w:val="21"/>
          <w:highlight w:val="none"/>
          <w:lang w:val="zh-CN"/>
        </w:rPr>
      </w:pPr>
      <w:r>
        <w:rPr>
          <w:rFonts w:hint="eastAsia"/>
          <w:color w:val="auto"/>
          <w:szCs w:val="21"/>
          <w:highlight w:val="none"/>
          <w:lang w:val="zh-CN"/>
        </w:rPr>
        <w:t xml:space="preserve">1、最高转速：≥2800r/min，电子刹车，15s即可停止；</w:t>
      </w:r>
      <w:r/>
    </w:p>
    <w:p>
      <w:pPr>
        <w:ind w:firstLine="420"/>
        <w:spacing w:line="400" w:lineRule="exact"/>
        <w:rPr>
          <w:color w:val="auto"/>
          <w:szCs w:val="21"/>
          <w:highlight w:val="none"/>
          <w:lang w:val="zh-CN"/>
        </w:rPr>
      </w:pPr>
      <w:r>
        <w:rPr>
          <w:rFonts w:hint="eastAsia"/>
          <w:color w:val="auto"/>
          <w:szCs w:val="21"/>
          <w:highlight w:val="none"/>
          <w:lang w:val="zh-CN"/>
        </w:rPr>
        <w:t xml:space="preserve">2、最大离心力：≥700xg；</w:t>
      </w:r>
      <w:r/>
    </w:p>
    <w:p>
      <w:pPr>
        <w:ind w:firstLine="420"/>
        <w:spacing w:line="400" w:lineRule="exact"/>
        <w:rPr>
          <w:color w:val="auto"/>
          <w:szCs w:val="21"/>
          <w:highlight w:val="none"/>
          <w:lang w:val="zh-CN"/>
        </w:rPr>
      </w:pPr>
      <w:r>
        <w:rPr>
          <w:rFonts w:hint="eastAsia"/>
          <w:color w:val="auto"/>
          <w:szCs w:val="21"/>
          <w:highlight w:val="none"/>
          <w:lang w:val="zh-CN"/>
        </w:rPr>
        <w:t xml:space="preserve">3、定时范围：60s-99s，可点动离心。</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（十四）高速匀浆仪：</w:t>
      </w:r>
      <w:r/>
    </w:p>
    <w:p>
      <w:pPr>
        <w:ind w:firstLine="420"/>
        <w:spacing w:line="400" w:lineRule="exact"/>
        <w:rPr>
          <w:color w:val="auto"/>
          <w:szCs w:val="21"/>
          <w:highlight w:val="none"/>
          <w:lang w:val="zh-CN"/>
        </w:rPr>
      </w:pPr>
      <w:r>
        <w:rPr>
          <w:rFonts w:hint="eastAsia"/>
          <w:color w:val="auto"/>
          <w:szCs w:val="21"/>
          <w:highlight w:val="none"/>
          <w:lang w:val="zh-CN"/>
        </w:rPr>
        <w:t xml:space="preserve">1、高速分散器最高转速：≥25000r/min，无级变速，支持在线调速；</w:t>
      </w:r>
      <w:r/>
    </w:p>
    <w:p>
      <w:pPr>
        <w:ind w:firstLine="420"/>
        <w:spacing w:line="400" w:lineRule="exact"/>
        <w:rPr>
          <w:color w:val="auto"/>
          <w:szCs w:val="21"/>
          <w:highlight w:val="none"/>
          <w:lang w:val="zh-CN"/>
        </w:rPr>
      </w:pPr>
      <w:r>
        <w:rPr>
          <w:rFonts w:hint="eastAsia"/>
          <w:color w:val="auto"/>
          <w:szCs w:val="21"/>
          <w:highlight w:val="none"/>
          <w:lang w:val="zh-CN"/>
        </w:rPr>
        <w:t xml:space="preserve">2、显示方式：液晶显示；</w:t>
      </w:r>
      <w:r/>
    </w:p>
    <w:p>
      <w:pPr>
        <w:ind w:firstLine="420"/>
        <w:spacing w:line="400" w:lineRule="exact"/>
        <w:rPr>
          <w:color w:val="auto"/>
          <w:szCs w:val="21"/>
          <w:highlight w:val="none"/>
          <w:lang w:val="zh-CN"/>
        </w:rPr>
      </w:pPr>
      <w:r>
        <w:rPr>
          <w:rFonts w:hint="eastAsia"/>
          <w:color w:val="auto"/>
          <w:szCs w:val="21"/>
          <w:highlight w:val="none"/>
          <w:lang w:val="zh-CN"/>
        </w:rPr>
        <w:t xml:space="preserve">3、定时范围：1-5min可调。</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（十五）超声波粉碎机：</w:t>
      </w:r>
      <w:r/>
    </w:p>
    <w:p>
      <w:pPr>
        <w:ind w:firstLine="420"/>
        <w:spacing w:line="400" w:lineRule="exact"/>
        <w:rPr>
          <w:color w:val="auto"/>
          <w:szCs w:val="21"/>
          <w:highlight w:val="none"/>
          <w:lang w:val="zh-CN"/>
        </w:rPr>
      </w:pPr>
      <w:r>
        <w:rPr>
          <w:rFonts w:hint="eastAsia"/>
          <w:color w:val="auto"/>
          <w:szCs w:val="21"/>
          <w:highlight w:val="none"/>
          <w:lang w:val="zh-CN"/>
        </w:rPr>
        <w:t xml:space="preserve">1、超声波细胞粉碎机超声功率：≥1000W；</w:t>
      </w:r>
      <w:r/>
    </w:p>
    <w:p>
      <w:pPr>
        <w:ind w:firstLine="420"/>
        <w:spacing w:line="400" w:lineRule="exact"/>
        <w:rPr>
          <w:color w:val="auto"/>
          <w:szCs w:val="21"/>
          <w:highlight w:val="none"/>
          <w:lang w:val="zh-CN"/>
        </w:rPr>
      </w:pPr>
      <w:r>
        <w:rPr>
          <w:rFonts w:hint="eastAsia"/>
          <w:color w:val="auto"/>
          <w:szCs w:val="21"/>
          <w:highlight w:val="none"/>
          <w:lang w:val="zh-CN"/>
        </w:rPr>
        <w:t xml:space="preserve">2、可处理最小样本量≤0.1ml，最大样本量≥500ml；</w:t>
      </w:r>
      <w:r/>
    </w:p>
    <w:p>
      <w:pPr>
        <w:ind w:firstLine="420"/>
        <w:spacing w:line="400" w:lineRule="exact"/>
        <w:rPr>
          <w:color w:val="auto"/>
          <w:szCs w:val="21"/>
          <w:highlight w:val="none"/>
          <w:lang w:val="zh-CN"/>
        </w:rPr>
      </w:pPr>
      <w:r>
        <w:rPr>
          <w:rFonts w:hint="eastAsia"/>
          <w:color w:val="auto"/>
          <w:szCs w:val="21"/>
          <w:highlight w:val="none"/>
          <w:lang w:val="zh-CN"/>
        </w:rPr>
        <w:t xml:space="preserve">3、配备自动升降隔音箱。</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（十六）生物安全柜：</w:t>
      </w:r>
      <w:r/>
    </w:p>
    <w:p>
      <w:pPr>
        <w:ind w:firstLine="420"/>
        <w:spacing w:line="400" w:lineRule="exact"/>
        <w:rPr>
          <w:color w:val="auto"/>
          <w:szCs w:val="21"/>
          <w:highlight w:val="none"/>
          <w:lang w:val="zh-CN"/>
        </w:rPr>
      </w:pPr>
      <w:r>
        <w:rPr>
          <w:rFonts w:hint="eastAsia"/>
          <w:color w:val="auto"/>
          <w:szCs w:val="21"/>
          <w:highlight w:val="none"/>
          <w:lang w:val="zh-CN"/>
        </w:rPr>
        <w:t xml:space="preserve">1、过滤效率：送风和排风过滤器要求采用ULPA高效过滤器，对0.12μm颗粒过滤效率≥99.99%</w:t>
      </w:r>
      <w:r/>
    </w:p>
    <w:p>
      <w:pPr>
        <w:ind w:firstLine="420"/>
        <w:spacing w:line="400" w:lineRule="exact"/>
        <w:rPr>
          <w:color w:val="auto"/>
          <w:szCs w:val="21"/>
          <w:highlight w:val="none"/>
          <w:lang w:val="zh-CN"/>
        </w:rPr>
      </w:pPr>
      <w:r>
        <w:rPr>
          <w:rFonts w:hint="eastAsia"/>
          <w:color w:val="auto"/>
          <w:szCs w:val="21"/>
          <w:highlight w:val="none"/>
          <w:lang w:val="zh-CN"/>
        </w:rPr>
        <w:t xml:space="preserve">2、具备福马脚轮设计：万向移动，可调水平；</w:t>
      </w:r>
      <w:r/>
    </w:p>
    <w:p>
      <w:pPr>
        <w:ind w:firstLine="420"/>
        <w:spacing w:line="400" w:lineRule="exact"/>
        <w:rPr>
          <w:color w:val="auto"/>
          <w:szCs w:val="21"/>
          <w:highlight w:val="none"/>
          <w:lang w:val="zh-CN"/>
        </w:rPr>
      </w:pPr>
      <w:r>
        <w:rPr>
          <w:rFonts w:hint="eastAsia"/>
          <w:color w:val="auto"/>
          <w:szCs w:val="21"/>
          <w:highlight w:val="none"/>
          <w:lang w:val="zh-CN"/>
        </w:rPr>
        <w:t xml:space="preserve">3、双层夹胶钢化玻璃≥5mm，防紫外线，</w:t>
      </w:r>
      <w:r/>
    </w:p>
    <w:p>
      <w:pPr>
        <w:ind w:firstLine="420"/>
        <w:spacing w:line="400" w:lineRule="exact"/>
        <w:rPr>
          <w:color w:val="auto"/>
          <w:szCs w:val="21"/>
          <w:highlight w:val="none"/>
          <w:lang w:val="zh-CN"/>
        </w:rPr>
      </w:pPr>
      <w:r>
        <w:rPr>
          <w:rFonts w:hint="eastAsia"/>
          <w:color w:val="auto"/>
          <w:szCs w:val="21"/>
          <w:highlight w:val="none"/>
          <w:lang w:val="zh-CN"/>
        </w:rPr>
        <w:t xml:space="preserve">4、风速：平均下降风速≥0.3m/s；平均吸入口风速≥0.5m/s。</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（十七）二氧化碳培养箱：</w:t>
      </w:r>
      <w:r/>
    </w:p>
    <w:p>
      <w:pPr>
        <w:ind w:firstLine="420"/>
        <w:spacing w:line="400" w:lineRule="exact"/>
        <w:rPr>
          <w:color w:val="auto"/>
          <w:szCs w:val="21"/>
          <w:highlight w:val="none"/>
          <w:lang w:val="zh-CN"/>
        </w:rPr>
      </w:pPr>
      <w:r>
        <w:rPr>
          <w:rFonts w:hint="eastAsia"/>
          <w:color w:val="auto"/>
          <w:szCs w:val="21"/>
          <w:highlight w:val="none"/>
          <w:lang w:val="zh-CN"/>
        </w:rPr>
        <w:t xml:space="preserve">1、温度波动：≤±1.0（@37℃±0.5），温度均匀性：≤±1.0（@37℃±0.5）；</w:t>
      </w:r>
      <w:r/>
    </w:p>
    <w:p>
      <w:pPr>
        <w:ind w:firstLine="420"/>
        <w:spacing w:line="400" w:lineRule="exact"/>
        <w:rPr>
          <w:color w:val="auto"/>
          <w:szCs w:val="21"/>
          <w:highlight w:val="none"/>
          <w:lang w:val="zh-CN"/>
        </w:rPr>
      </w:pPr>
      <w:r>
        <w:rPr>
          <w:rFonts w:hint="eastAsia"/>
          <w:color w:val="auto"/>
          <w:szCs w:val="21"/>
          <w:highlight w:val="none"/>
          <w:lang w:val="zh-CN"/>
        </w:rPr>
        <w:t xml:space="preserve">2、过滤器种类：进气管路具有高效过滤器，过滤效率≥99.9%；</w:t>
      </w:r>
      <w:r/>
    </w:p>
    <w:p>
      <w:pPr>
        <w:ind w:firstLine="420"/>
        <w:spacing w:line="400" w:lineRule="exact"/>
        <w:rPr>
          <w:color w:val="auto"/>
          <w:szCs w:val="21"/>
          <w:highlight w:val="none"/>
          <w:lang w:val="zh-CN"/>
        </w:rPr>
      </w:pPr>
      <w:r>
        <w:rPr>
          <w:rFonts w:hint="eastAsia"/>
          <w:color w:val="auto"/>
          <w:szCs w:val="21"/>
          <w:highlight w:val="none"/>
          <w:lang w:val="zh-CN"/>
        </w:rPr>
        <w:t xml:space="preserve">3、CO2控制方式：采用红外线传感器，可以在高温高湿环境长期运行，CO2浓度显示分辨力≤1.0vol%。</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（十八）细胞计数仪：</w:t>
      </w:r>
      <w:r/>
    </w:p>
    <w:p>
      <w:pPr>
        <w:ind w:firstLine="420"/>
        <w:spacing w:line="400" w:lineRule="exact"/>
        <w:rPr>
          <w:color w:val="auto"/>
          <w:szCs w:val="21"/>
          <w:highlight w:val="none"/>
          <w:lang w:val="zh-CN"/>
        </w:rPr>
      </w:pPr>
      <w:r>
        <w:rPr>
          <w:rFonts w:hint="eastAsia"/>
          <w:color w:val="auto"/>
          <w:szCs w:val="21"/>
          <w:highlight w:val="none"/>
          <w:lang w:val="zh-CN"/>
        </w:rPr>
        <w:t xml:space="preserve">1、荧光单样品分析时间：＜12秒，明场单样品分析时间：＜1秒；</w:t>
      </w:r>
      <w:r/>
    </w:p>
    <w:p>
      <w:pPr>
        <w:ind w:firstLine="420"/>
        <w:spacing w:line="400" w:lineRule="exact"/>
        <w:rPr>
          <w:color w:val="auto"/>
          <w:szCs w:val="21"/>
          <w:highlight w:val="none"/>
          <w:lang w:val="zh-CN"/>
        </w:rPr>
      </w:pPr>
      <w:r>
        <w:rPr>
          <w:rFonts w:hint="eastAsia"/>
          <w:color w:val="auto"/>
          <w:szCs w:val="21"/>
          <w:highlight w:val="none"/>
          <w:lang w:val="zh-CN"/>
        </w:rPr>
        <w:t xml:space="preserve">2、所需的样品体积: 10μL/20μL；</w:t>
      </w:r>
      <w:r/>
    </w:p>
    <w:p>
      <w:pPr>
        <w:ind w:firstLine="420"/>
        <w:spacing w:line="400" w:lineRule="exact"/>
        <w:rPr>
          <w:color w:val="auto"/>
          <w:szCs w:val="21"/>
          <w:highlight w:val="none"/>
          <w:lang w:val="zh-CN"/>
        </w:rPr>
      </w:pPr>
      <w:r>
        <w:rPr>
          <w:rFonts w:hint="eastAsia"/>
          <w:color w:val="auto"/>
          <w:szCs w:val="21"/>
          <w:highlight w:val="none"/>
          <w:lang w:val="zh-CN"/>
        </w:rPr>
        <w:t xml:space="preserve">3、细胞计数板：可重复使用计数板，单片计数板可计数≥5个样品；</w:t>
      </w:r>
      <w:r/>
    </w:p>
    <w:p>
      <w:pPr>
        <w:ind w:firstLine="420"/>
        <w:spacing w:line="400" w:lineRule="exact"/>
        <w:rPr>
          <w:color w:val="auto"/>
          <w:szCs w:val="21"/>
          <w:highlight w:val="none"/>
          <w:lang w:val="zh-CN"/>
        </w:rPr>
      </w:pPr>
      <w:r>
        <w:rPr>
          <w:rFonts w:hint="eastAsia"/>
          <w:color w:val="auto"/>
          <w:szCs w:val="21"/>
          <w:highlight w:val="none"/>
          <w:lang w:val="zh-CN"/>
        </w:rPr>
        <w:t xml:space="preserve">4、细胞样品范围：1×10</w:t>
      </w:r>
      <w:r>
        <w:rPr>
          <w:rFonts w:hint="eastAsia"/>
          <w:color w:val="auto"/>
          <w:szCs w:val="21"/>
          <w:highlight w:val="none"/>
          <w:vertAlign w:val="superscript"/>
          <w:lang w:val="zh-CN"/>
        </w:rPr>
        <w:t xml:space="preserve">4</w:t>
      </w:r>
      <w:r>
        <w:rPr>
          <w:rFonts w:hint="eastAsia"/>
          <w:color w:val="auto"/>
          <w:szCs w:val="21"/>
          <w:highlight w:val="none"/>
          <w:lang w:val="zh-CN"/>
        </w:rPr>
        <w:t xml:space="preserve">—2.8×10</w:t>
      </w:r>
      <w:r>
        <w:rPr>
          <w:rFonts w:hint="eastAsia"/>
          <w:color w:val="auto"/>
          <w:szCs w:val="21"/>
          <w:highlight w:val="none"/>
          <w:vertAlign w:val="superscript"/>
          <w:lang w:val="zh-CN"/>
        </w:rPr>
        <w:t xml:space="preserve">7</w:t>
      </w:r>
      <w:r>
        <w:rPr>
          <w:rFonts w:hint="eastAsia"/>
          <w:color w:val="auto"/>
          <w:szCs w:val="21"/>
          <w:highlight w:val="none"/>
          <w:lang w:val="zh-CN"/>
        </w:rPr>
        <w:t xml:space="preserve">cells/mL。</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（十九）免疫印迹电泳转膜系统：</w:t>
      </w:r>
      <w:r/>
    </w:p>
    <w:p>
      <w:pPr>
        <w:ind w:firstLine="420"/>
        <w:spacing w:line="400" w:lineRule="exact"/>
        <w:rPr>
          <w:color w:val="auto"/>
          <w:szCs w:val="21"/>
          <w:highlight w:val="none"/>
          <w:lang w:val="zh-CN"/>
        </w:rPr>
      </w:pPr>
      <w:r>
        <w:rPr>
          <w:rFonts w:hint="eastAsia"/>
          <w:color w:val="auto"/>
          <w:szCs w:val="21"/>
          <w:highlight w:val="none"/>
          <w:lang w:val="zh-CN"/>
        </w:rPr>
        <w:t xml:space="preserve">1、具备微电流功能：电泳结束自动进入微电流，避免样品扩散；</w:t>
      </w:r>
      <w:r/>
    </w:p>
    <w:p>
      <w:pPr>
        <w:ind w:firstLine="420"/>
        <w:spacing w:line="400" w:lineRule="exact"/>
        <w:rPr>
          <w:color w:val="auto"/>
          <w:szCs w:val="21"/>
          <w:highlight w:val="none"/>
          <w:lang w:val="zh-CN"/>
        </w:rPr>
      </w:pPr>
      <w:r>
        <w:rPr>
          <w:rFonts w:hint="eastAsia"/>
          <w:color w:val="auto"/>
          <w:szCs w:val="21"/>
          <w:highlight w:val="none"/>
          <w:lang w:val="zh-CN"/>
        </w:rPr>
        <w:t xml:space="preserve">2、具备蛋白功能：浓缩胶后电源自动衔接分离胶；</w:t>
      </w:r>
      <w:r/>
    </w:p>
    <w:p>
      <w:pPr>
        <w:ind w:firstLine="420"/>
        <w:spacing w:line="400" w:lineRule="exact"/>
        <w:rPr>
          <w:color w:val="auto"/>
          <w:szCs w:val="21"/>
          <w:highlight w:val="none"/>
          <w:lang w:val="zh-CN"/>
        </w:rPr>
      </w:pPr>
      <w:r>
        <w:rPr>
          <w:rFonts w:hint="eastAsia"/>
          <w:color w:val="auto"/>
          <w:szCs w:val="21"/>
          <w:highlight w:val="none"/>
          <w:lang w:val="zh-CN"/>
        </w:rPr>
        <w:t xml:space="preserve">3、通量：可容纳1～2块手灌胶或预制胶。</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（二十）普通摇床：</w:t>
      </w:r>
      <w:r/>
    </w:p>
    <w:p>
      <w:pPr>
        <w:ind w:firstLine="420"/>
        <w:spacing w:line="400" w:lineRule="exact"/>
        <w:rPr>
          <w:color w:val="auto"/>
          <w:szCs w:val="21"/>
          <w:highlight w:val="none"/>
          <w:lang w:val="zh-CN"/>
        </w:rPr>
      </w:pPr>
      <w:r>
        <w:rPr>
          <w:rFonts w:hint="eastAsia"/>
          <w:color w:val="auto"/>
          <w:szCs w:val="21"/>
          <w:highlight w:val="none"/>
          <w:lang w:val="zh-CN"/>
        </w:rPr>
        <w:t xml:space="preserve">1、≥5寸触摸屏，具有开门即停，超温报警功能；</w:t>
      </w:r>
      <w:r/>
    </w:p>
    <w:p>
      <w:pPr>
        <w:ind w:firstLine="420"/>
        <w:spacing w:line="400" w:lineRule="exact"/>
        <w:rPr>
          <w:color w:val="auto"/>
          <w:szCs w:val="21"/>
          <w:highlight w:val="none"/>
          <w:lang w:val="zh-CN"/>
        </w:rPr>
      </w:pPr>
      <w:r>
        <w:rPr>
          <w:rFonts w:hint="eastAsia"/>
          <w:color w:val="auto"/>
          <w:szCs w:val="21"/>
          <w:highlight w:val="none"/>
          <w:lang w:val="zh-CN"/>
        </w:rPr>
        <w:t xml:space="preserve">2、温度选择范围：5～50℃；</w:t>
      </w:r>
      <w:r/>
    </w:p>
    <w:p>
      <w:pPr>
        <w:ind w:firstLine="420"/>
        <w:spacing w:line="400" w:lineRule="exact"/>
        <w:rPr>
          <w:color w:val="auto"/>
          <w:szCs w:val="21"/>
          <w:highlight w:val="none"/>
          <w:lang w:val="zh-CN"/>
        </w:rPr>
      </w:pPr>
      <w:r>
        <w:rPr>
          <w:rFonts w:hint="eastAsia"/>
          <w:color w:val="auto"/>
          <w:szCs w:val="21"/>
          <w:highlight w:val="none"/>
          <w:lang w:val="zh-CN"/>
        </w:rPr>
        <w:t xml:space="preserve">3、转速范围：50～300r/min。</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（二十一）低温摇床：</w:t>
      </w:r>
      <w:r/>
    </w:p>
    <w:p>
      <w:pPr>
        <w:ind w:firstLine="420"/>
        <w:spacing w:line="400" w:lineRule="exact"/>
        <w:rPr>
          <w:color w:val="auto"/>
          <w:szCs w:val="21"/>
          <w:highlight w:val="none"/>
          <w:lang w:val="zh-CN"/>
        </w:rPr>
      </w:pPr>
      <w:r>
        <w:rPr>
          <w:rFonts w:hint="eastAsia"/>
          <w:color w:val="auto"/>
          <w:szCs w:val="21"/>
          <w:highlight w:val="none"/>
          <w:lang w:val="zh-CN"/>
        </w:rPr>
        <w:t xml:space="preserve">1、温度选择范围：5～60℃；</w:t>
      </w:r>
      <w:r/>
    </w:p>
    <w:p>
      <w:pPr>
        <w:ind w:firstLine="420"/>
        <w:spacing w:line="400" w:lineRule="exact"/>
        <w:rPr>
          <w:color w:val="auto"/>
          <w:szCs w:val="21"/>
          <w:highlight w:val="none"/>
          <w:lang w:val="zh-CN"/>
        </w:rPr>
      </w:pPr>
      <w:r>
        <w:rPr>
          <w:rFonts w:hint="eastAsia"/>
          <w:color w:val="auto"/>
          <w:szCs w:val="21"/>
          <w:highlight w:val="none"/>
          <w:lang w:val="zh-CN"/>
        </w:rPr>
        <w:t xml:space="preserve">2、低散热直流电机，启动转矩大，调速宽、免保养；</w:t>
      </w:r>
      <w:r/>
    </w:p>
    <w:p>
      <w:pPr>
        <w:ind w:firstLine="420"/>
        <w:spacing w:line="400" w:lineRule="exact"/>
        <w:rPr>
          <w:color w:val="auto"/>
          <w:szCs w:val="21"/>
          <w:highlight w:val="none"/>
          <w:lang w:val="zh-CN"/>
        </w:rPr>
      </w:pPr>
      <w:r>
        <w:rPr>
          <w:rFonts w:hint="eastAsia"/>
          <w:color w:val="auto"/>
          <w:szCs w:val="21"/>
          <w:highlight w:val="none"/>
          <w:lang w:val="zh-CN"/>
        </w:rPr>
        <w:t xml:space="preserve">3、循环风扇速度大小自动控制，可避免样品挥发。</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（二十二）制冰机：</w:t>
      </w:r>
      <w:r/>
    </w:p>
    <w:p>
      <w:pPr>
        <w:ind w:firstLine="420"/>
        <w:spacing w:line="400" w:lineRule="exact"/>
        <w:rPr>
          <w:color w:val="auto"/>
          <w:szCs w:val="21"/>
          <w:highlight w:val="none"/>
          <w:lang w:val="zh-CN"/>
        </w:rPr>
      </w:pPr>
      <w:r>
        <w:rPr>
          <w:rFonts w:hint="eastAsia"/>
          <w:color w:val="auto"/>
          <w:szCs w:val="21"/>
          <w:highlight w:val="none"/>
          <w:lang w:val="zh-CN"/>
        </w:rPr>
        <w:t xml:space="preserve">1、制冰量：≥30kg/24h；</w:t>
      </w:r>
      <w:r/>
    </w:p>
    <w:p>
      <w:pPr>
        <w:ind w:firstLine="420"/>
        <w:spacing w:line="400" w:lineRule="exact"/>
        <w:rPr>
          <w:color w:val="auto"/>
          <w:szCs w:val="21"/>
          <w:highlight w:val="none"/>
          <w:lang w:val="zh-CN"/>
        </w:rPr>
      </w:pPr>
      <w:r>
        <w:rPr>
          <w:rFonts w:hint="eastAsia"/>
          <w:color w:val="auto"/>
          <w:szCs w:val="21"/>
          <w:highlight w:val="none"/>
          <w:lang w:val="zh-CN"/>
        </w:rPr>
        <w:t xml:space="preserve">2、储冰量：≥10kg；</w:t>
      </w:r>
      <w:r/>
    </w:p>
    <w:p>
      <w:pPr>
        <w:ind w:firstLine="420"/>
        <w:spacing w:line="400" w:lineRule="exact"/>
        <w:rPr>
          <w:color w:val="auto"/>
          <w:szCs w:val="21"/>
          <w:highlight w:val="none"/>
          <w:lang w:val="zh-CN"/>
        </w:rPr>
      </w:pPr>
      <w:r>
        <w:rPr>
          <w:rFonts w:hint="eastAsia"/>
          <w:color w:val="auto"/>
          <w:szCs w:val="21"/>
          <w:highlight w:val="none"/>
          <w:lang w:val="zh-CN"/>
        </w:rPr>
        <w:t xml:space="preserve">3、具备冰满、缺水、具备故障停止等功能。</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（二十三）超低温冰箱：</w:t>
      </w:r>
      <w:r/>
    </w:p>
    <w:p>
      <w:pPr>
        <w:ind w:firstLine="420"/>
        <w:spacing w:line="400" w:lineRule="exact"/>
        <w:rPr>
          <w:color w:val="auto"/>
          <w:szCs w:val="21"/>
          <w:highlight w:val="none"/>
          <w:lang w:val="zh-CN"/>
        </w:rPr>
      </w:pPr>
      <w:r>
        <w:rPr>
          <w:rFonts w:hint="eastAsia"/>
          <w:color w:val="auto"/>
          <w:szCs w:val="21"/>
          <w:highlight w:val="none"/>
          <w:lang w:val="zh-CN"/>
        </w:rPr>
        <w:t xml:space="preserve">1、温度范围：-40℃~-80℃，精度≤0.1℃；</w:t>
      </w:r>
      <w:r/>
    </w:p>
    <w:p>
      <w:pPr>
        <w:ind w:firstLine="420"/>
        <w:spacing w:line="400" w:lineRule="exact"/>
        <w:rPr>
          <w:color w:val="auto"/>
          <w:szCs w:val="21"/>
          <w:highlight w:val="none"/>
          <w:lang w:val="zh-CN"/>
        </w:rPr>
      </w:pPr>
      <w:r>
        <w:rPr>
          <w:rFonts w:hint="eastAsia"/>
          <w:color w:val="auto"/>
          <w:szCs w:val="21"/>
          <w:highlight w:val="none"/>
          <w:lang w:val="zh-CN"/>
        </w:rPr>
        <w:t xml:space="preserve">2、具备箱内高低温报警、传感器故障报警、断电报警、开关门异常报警、密码保护功能；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3、具备断电保护：延时启动功能。</w:t>
      </w:r>
      <w:r/>
    </w:p>
    <w:p>
      <w:pPr>
        <w:ind w:firstLine="420"/>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4、容积≥300L。</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（二十四）医用冷藏冷冻箱：</w:t>
      </w:r>
      <w:r/>
    </w:p>
    <w:p>
      <w:pPr>
        <w:ind w:firstLine="420"/>
        <w:spacing w:line="400" w:lineRule="exact"/>
        <w:rPr>
          <w:color w:val="auto"/>
          <w:szCs w:val="21"/>
          <w:highlight w:val="none"/>
          <w:lang w:val="zh-CN"/>
        </w:rPr>
      </w:pPr>
      <w:r>
        <w:rPr>
          <w:rFonts w:hint="eastAsia"/>
          <w:color w:val="auto"/>
          <w:szCs w:val="21"/>
          <w:highlight w:val="none"/>
          <w:lang w:val="zh-CN"/>
        </w:rPr>
        <w:t xml:space="preserve">1、温度范围：冷藏室：2℃~8℃，冷冻室：-10℃~-20℃，冷藏冷冻独立显示，精度≤0.1℃；</w:t>
      </w:r>
      <w:r/>
    </w:p>
    <w:p>
      <w:pPr>
        <w:ind w:firstLine="420"/>
        <w:spacing w:line="400" w:lineRule="exact"/>
        <w:rPr>
          <w:color w:val="auto"/>
          <w:szCs w:val="21"/>
          <w:highlight w:val="none"/>
          <w:lang w:val="zh-CN"/>
        </w:rPr>
      </w:pPr>
      <w:r>
        <w:rPr>
          <w:rFonts w:hint="eastAsia"/>
          <w:color w:val="auto"/>
          <w:szCs w:val="21"/>
          <w:highlight w:val="none"/>
          <w:lang w:val="zh-CN"/>
        </w:rPr>
        <w:t xml:space="preserve">2、具备箱内高低温报警、传感器故障报警、断电报警（支持≥48小时）、冷藏冷冻独立开关门异常报警、密码保护功能；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3、具备断电保护：延时启动功能。</w:t>
      </w:r>
      <w:r/>
    </w:p>
    <w:p>
      <w:pPr>
        <w:ind w:firstLine="420"/>
        <w:spacing w:line="4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4、容积≥300L。</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（二十五）轮转式切片机：</w:t>
      </w:r>
      <w:r/>
    </w:p>
    <w:p>
      <w:pPr>
        <w:ind w:firstLine="420"/>
        <w:spacing w:line="400" w:lineRule="exact"/>
        <w:rPr>
          <w:color w:val="auto"/>
          <w:szCs w:val="21"/>
          <w:highlight w:val="none"/>
          <w:lang w:val="zh-CN"/>
        </w:rPr>
      </w:pPr>
      <w:r>
        <w:rPr>
          <w:rFonts w:hint="eastAsia"/>
          <w:color w:val="auto"/>
          <w:szCs w:val="21"/>
          <w:highlight w:val="none"/>
          <w:lang w:val="zh-CN"/>
        </w:rPr>
        <w:t xml:space="preserve">1、切片厚度：0.5-100μm，修片厚度：1-500μm ；</w:t>
      </w:r>
      <w:r/>
    </w:p>
    <w:p>
      <w:pPr>
        <w:ind w:firstLine="420"/>
        <w:spacing w:line="400" w:lineRule="exact"/>
        <w:rPr>
          <w:color w:val="auto"/>
          <w:szCs w:val="21"/>
          <w:highlight w:val="none"/>
          <w:lang w:val="zh-CN"/>
        </w:rPr>
      </w:pPr>
      <w:r>
        <w:rPr>
          <w:rFonts w:hint="eastAsia"/>
          <w:color w:val="auto"/>
          <w:szCs w:val="21"/>
          <w:highlight w:val="none"/>
          <w:lang w:val="zh-CN"/>
        </w:rPr>
        <w:t xml:space="preserve">2、可调弹簧力；</w:t>
      </w:r>
      <w:r/>
    </w:p>
    <w:p>
      <w:pPr>
        <w:ind w:firstLine="420"/>
        <w:spacing w:line="400" w:lineRule="exact"/>
        <w:rPr>
          <w:color w:val="auto"/>
          <w:szCs w:val="21"/>
          <w:highlight w:val="none"/>
          <w:lang w:val="zh-CN"/>
        </w:rPr>
      </w:pPr>
      <w:r>
        <w:rPr>
          <w:rFonts w:hint="eastAsia"/>
          <w:color w:val="auto"/>
          <w:szCs w:val="21"/>
          <w:highlight w:val="none"/>
          <w:lang w:val="zh-CN"/>
        </w:rPr>
        <w:t xml:space="preserve">3、具有高清显示屏设计，可实时显示运行模式，厚度，速度以及历史纪录的显示。</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（二十六）组织脱水机：</w:t>
      </w:r>
      <w:r/>
    </w:p>
    <w:p>
      <w:pPr>
        <w:ind w:firstLine="420"/>
        <w:spacing w:line="400" w:lineRule="exact"/>
        <w:rPr>
          <w:color w:val="auto"/>
          <w:szCs w:val="21"/>
          <w:highlight w:val="none"/>
          <w:lang w:val="zh-CN"/>
        </w:rPr>
      </w:pPr>
      <w:r>
        <w:rPr>
          <w:rFonts w:hint="eastAsia"/>
          <w:color w:val="auto"/>
          <w:szCs w:val="21"/>
          <w:highlight w:val="none"/>
          <w:lang w:val="zh-CN"/>
        </w:rPr>
        <w:t xml:space="preserve">1、≥5寸显示屏，实时显示设备工作状态；</w:t>
      </w:r>
      <w:r/>
    </w:p>
    <w:p>
      <w:pPr>
        <w:ind w:firstLine="420"/>
        <w:spacing w:line="400" w:lineRule="exact"/>
        <w:rPr>
          <w:color w:val="auto"/>
          <w:szCs w:val="21"/>
          <w:highlight w:val="none"/>
          <w:lang w:val="zh-CN"/>
        </w:rPr>
      </w:pPr>
      <w:r>
        <w:rPr>
          <w:rFonts w:hint="eastAsia"/>
          <w:color w:val="auto"/>
          <w:szCs w:val="21"/>
          <w:highlight w:val="none"/>
          <w:lang w:val="zh-CN"/>
        </w:rPr>
        <w:t xml:space="preserve">2、可随意插入手动操作，并自动进入原有运行状态，方便运行中途检查或者添加标本；</w:t>
      </w:r>
      <w:r/>
    </w:p>
    <w:p>
      <w:pPr>
        <w:ind w:firstLine="420"/>
        <w:spacing w:line="400" w:lineRule="exact"/>
        <w:rPr>
          <w:color w:val="auto"/>
          <w:szCs w:val="21"/>
          <w:highlight w:val="none"/>
          <w:lang w:val="zh-CN"/>
        </w:rPr>
      </w:pPr>
      <w:r>
        <w:rPr>
          <w:rFonts w:hint="eastAsia"/>
          <w:color w:val="auto"/>
          <w:szCs w:val="21"/>
          <w:highlight w:val="none"/>
          <w:lang w:val="zh-CN"/>
        </w:rPr>
        <w:t xml:space="preserve">3、脱水篮容量：≥80个脱水盒；</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（二十七）组织包埋机：</w:t>
      </w:r>
      <w:r/>
    </w:p>
    <w:p>
      <w:pPr>
        <w:ind w:firstLine="420"/>
        <w:spacing w:line="400" w:lineRule="exact"/>
        <w:rPr>
          <w:color w:val="auto"/>
          <w:szCs w:val="21"/>
          <w:highlight w:val="none"/>
          <w:lang w:val="zh-CN"/>
        </w:rPr>
      </w:pPr>
      <w:r>
        <w:rPr>
          <w:rFonts w:hint="eastAsia"/>
          <w:color w:val="auto"/>
          <w:szCs w:val="21"/>
          <w:highlight w:val="none"/>
          <w:lang w:val="zh-CN"/>
        </w:rPr>
        <w:t xml:space="preserve">1、设有预冷小冷台，温度≤5℃；</w:t>
      </w:r>
      <w:r/>
    </w:p>
    <w:p>
      <w:pPr>
        <w:ind w:firstLine="420"/>
        <w:spacing w:line="400" w:lineRule="exact"/>
        <w:rPr>
          <w:color w:val="auto"/>
          <w:szCs w:val="21"/>
          <w:highlight w:val="none"/>
          <w:lang w:val="zh-CN"/>
        </w:rPr>
      </w:pPr>
      <w:r>
        <w:rPr>
          <w:rFonts w:hint="eastAsia"/>
          <w:color w:val="auto"/>
          <w:szCs w:val="21"/>
          <w:highlight w:val="none"/>
          <w:lang w:val="zh-CN"/>
        </w:rPr>
        <w:t xml:space="preserve">2、加热器温度设置：≥80℃；</w:t>
      </w:r>
      <w:r/>
    </w:p>
    <w:p>
      <w:pPr>
        <w:ind w:firstLine="420"/>
        <w:spacing w:line="400" w:lineRule="exact"/>
        <w:rPr>
          <w:color w:val="auto"/>
          <w:szCs w:val="21"/>
          <w:highlight w:val="none"/>
          <w:lang w:val="zh-CN"/>
        </w:rPr>
      </w:pPr>
      <w:r>
        <w:rPr>
          <w:rFonts w:hint="eastAsia"/>
          <w:color w:val="auto"/>
          <w:szCs w:val="21"/>
          <w:highlight w:val="none"/>
          <w:lang w:val="zh-CN"/>
        </w:rPr>
        <w:t xml:space="preserve">3、蜡缸容量≥6L。</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（二十八）摊片机：</w:t>
      </w:r>
      <w:r/>
    </w:p>
    <w:p>
      <w:pPr>
        <w:ind w:firstLine="420"/>
        <w:spacing w:line="400" w:lineRule="exact"/>
        <w:rPr>
          <w:color w:val="auto"/>
          <w:szCs w:val="21"/>
          <w:highlight w:val="none"/>
          <w:lang w:val="zh-CN"/>
        </w:rPr>
      </w:pPr>
      <w:r>
        <w:rPr>
          <w:rFonts w:hint="eastAsia"/>
          <w:color w:val="auto"/>
          <w:szCs w:val="21"/>
          <w:highlight w:val="none"/>
          <w:lang w:val="zh-CN"/>
        </w:rPr>
        <w:t xml:space="preserve">1、具备高灵敏温控集成单元，温控范围20-99℃；</w:t>
      </w:r>
      <w:r/>
    </w:p>
    <w:p>
      <w:pPr>
        <w:ind w:firstLine="420"/>
        <w:spacing w:line="400" w:lineRule="exact"/>
        <w:rPr>
          <w:color w:val="auto"/>
          <w:szCs w:val="21"/>
          <w:highlight w:val="none"/>
          <w:lang w:val="zh-CN"/>
        </w:rPr>
      </w:pPr>
      <w:r>
        <w:rPr>
          <w:rFonts w:hint="eastAsia"/>
          <w:color w:val="auto"/>
          <w:szCs w:val="21"/>
          <w:highlight w:val="none"/>
          <w:lang w:val="zh-CN"/>
        </w:rPr>
        <w:t xml:space="preserve">2、具有超温报警功能，范围：1~5℃；</w:t>
      </w:r>
      <w:r/>
    </w:p>
    <w:p>
      <w:pPr>
        <w:ind w:firstLine="420"/>
        <w:spacing w:line="400" w:lineRule="exact"/>
        <w:rPr>
          <w:color w:val="auto"/>
          <w:szCs w:val="21"/>
          <w:highlight w:val="none"/>
          <w:lang w:val="zh-CN"/>
        </w:rPr>
      </w:pPr>
      <w:r>
        <w:rPr>
          <w:rFonts w:hint="eastAsia"/>
          <w:color w:val="auto"/>
          <w:szCs w:val="21"/>
          <w:highlight w:val="none"/>
          <w:lang w:val="zh-CN"/>
        </w:rPr>
        <w:t xml:space="preserve">3、具有记忆功能，运行后自动保留设置温度。</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（二十九）烘片机：</w:t>
      </w:r>
      <w:r/>
    </w:p>
    <w:p>
      <w:pPr>
        <w:ind w:firstLine="420"/>
        <w:spacing w:line="400" w:lineRule="exact"/>
        <w:rPr>
          <w:color w:val="auto"/>
          <w:szCs w:val="21"/>
          <w:highlight w:val="none"/>
          <w:lang w:val="zh-CN"/>
        </w:rPr>
      </w:pPr>
      <w:r>
        <w:rPr>
          <w:rFonts w:hint="eastAsia"/>
          <w:color w:val="auto"/>
          <w:szCs w:val="21"/>
          <w:highlight w:val="none"/>
          <w:lang w:val="zh-CN"/>
        </w:rPr>
        <w:t xml:space="preserve">1、具备高灵敏温控集成单元，温控范围20-99℃；</w:t>
      </w:r>
      <w:r/>
    </w:p>
    <w:p>
      <w:pPr>
        <w:ind w:firstLine="420"/>
        <w:spacing w:line="400" w:lineRule="exact"/>
        <w:rPr>
          <w:color w:val="auto"/>
          <w:szCs w:val="21"/>
          <w:highlight w:val="none"/>
          <w:lang w:val="zh-CN"/>
        </w:rPr>
      </w:pPr>
      <w:r>
        <w:rPr>
          <w:rFonts w:hint="eastAsia"/>
          <w:color w:val="auto"/>
          <w:szCs w:val="21"/>
          <w:highlight w:val="none"/>
          <w:lang w:val="zh-CN"/>
        </w:rPr>
        <w:t xml:space="preserve">2、具有超温报警功能，范围：1~5℃；</w:t>
      </w:r>
      <w:r/>
    </w:p>
    <w:p>
      <w:pPr>
        <w:ind w:firstLine="420"/>
        <w:spacing w:line="400" w:lineRule="exact"/>
        <w:rPr>
          <w:color w:val="auto"/>
          <w:szCs w:val="21"/>
          <w:highlight w:val="none"/>
          <w:lang w:val="zh-CN"/>
        </w:rPr>
      </w:pPr>
      <w:r>
        <w:rPr>
          <w:rFonts w:hint="eastAsia"/>
          <w:color w:val="auto"/>
          <w:szCs w:val="21"/>
          <w:highlight w:val="none"/>
          <w:lang w:val="zh-CN"/>
        </w:rPr>
        <w:t xml:space="preserve">3、具有记忆功能，运行后自动保留设置温度。</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（三十）真空冷冻干燥机：</w:t>
      </w:r>
      <w:r/>
    </w:p>
    <w:p>
      <w:pPr>
        <w:ind w:firstLine="420"/>
        <w:spacing w:line="400" w:lineRule="exact"/>
        <w:rPr>
          <w:color w:val="auto"/>
          <w:szCs w:val="21"/>
          <w:highlight w:val="none"/>
          <w:lang w:val="zh-CN"/>
        </w:rPr>
      </w:pPr>
      <w:r>
        <w:rPr>
          <w:rFonts w:hint="eastAsia"/>
          <w:color w:val="auto"/>
          <w:szCs w:val="21"/>
          <w:highlight w:val="none"/>
          <w:lang w:val="zh-CN"/>
        </w:rPr>
        <w:t xml:space="preserve">1、冻干面积：≥0.1㎡；</w:t>
      </w:r>
      <w:r/>
    </w:p>
    <w:p>
      <w:pPr>
        <w:ind w:firstLine="420"/>
        <w:spacing w:line="400" w:lineRule="exact"/>
        <w:rPr>
          <w:color w:val="auto"/>
          <w:szCs w:val="21"/>
          <w:highlight w:val="none"/>
          <w:lang w:val="zh-CN"/>
        </w:rPr>
      </w:pPr>
      <w:r>
        <w:rPr>
          <w:rFonts w:hint="eastAsia"/>
          <w:color w:val="auto"/>
          <w:szCs w:val="21"/>
          <w:highlight w:val="none"/>
          <w:lang w:val="zh-CN"/>
        </w:rPr>
        <w:t xml:space="preserve">2、冷阱最低温度：≤-50 ℃(空载）；</w:t>
      </w:r>
      <w:r/>
    </w:p>
    <w:p>
      <w:pPr>
        <w:ind w:firstLine="420"/>
        <w:spacing w:line="400" w:lineRule="exact"/>
        <w:rPr>
          <w:color w:val="auto"/>
          <w:szCs w:val="21"/>
          <w:highlight w:val="none"/>
          <w:lang w:val="zh-CN"/>
        </w:rPr>
      </w:pPr>
      <w:r>
        <w:rPr>
          <w:rFonts w:hint="eastAsia"/>
          <w:color w:val="auto"/>
          <w:szCs w:val="21"/>
          <w:highlight w:val="none"/>
          <w:lang w:val="zh-CN"/>
        </w:rPr>
        <w:t xml:space="preserve">3、极限真空度：≤10Pa（空载）；</w:t>
      </w:r>
      <w:r/>
    </w:p>
    <w:p>
      <w:pPr>
        <w:ind w:firstLine="420"/>
        <w:spacing w:line="400" w:lineRule="exact"/>
        <w:rPr>
          <w:color w:val="auto"/>
          <w:szCs w:val="21"/>
          <w:highlight w:val="none"/>
          <w:lang w:val="zh-CN"/>
        </w:rPr>
      </w:pPr>
      <w:r>
        <w:rPr>
          <w:rFonts w:hint="eastAsia"/>
          <w:color w:val="auto"/>
          <w:szCs w:val="21"/>
          <w:highlight w:val="none"/>
          <w:lang w:val="zh-CN"/>
        </w:rPr>
        <w:t xml:space="preserve">4、冻干数据自动保存，实时查看，历史复现，支持储存多组冻干曲线。</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（三十一）旋转蒸发仪：</w:t>
      </w:r>
      <w:r/>
    </w:p>
    <w:p>
      <w:pPr>
        <w:ind w:firstLine="420"/>
        <w:spacing w:line="400" w:lineRule="exact"/>
        <w:rPr>
          <w:color w:val="auto"/>
          <w:szCs w:val="21"/>
          <w:highlight w:val="none"/>
          <w:lang w:val="zh-CN"/>
        </w:rPr>
      </w:pPr>
      <w:r>
        <w:rPr>
          <w:rFonts w:hint="eastAsia"/>
          <w:color w:val="auto"/>
          <w:szCs w:val="21"/>
          <w:highlight w:val="none"/>
          <w:lang w:val="zh-CN"/>
        </w:rPr>
        <w:t xml:space="preserve">1、控温范围：0-99℃；</w:t>
      </w:r>
      <w:r/>
    </w:p>
    <w:p>
      <w:pPr>
        <w:ind w:firstLine="420"/>
        <w:spacing w:line="400" w:lineRule="exact"/>
        <w:rPr>
          <w:color w:val="auto"/>
          <w:szCs w:val="21"/>
          <w:highlight w:val="none"/>
          <w:lang w:val="zh-CN"/>
        </w:rPr>
      </w:pPr>
      <w:r>
        <w:rPr>
          <w:rFonts w:hint="eastAsia"/>
          <w:color w:val="auto"/>
          <w:szCs w:val="21"/>
          <w:highlight w:val="none"/>
          <w:lang w:val="zh-CN"/>
        </w:rPr>
        <w:t xml:space="preserve">2、控温精度：≤±1.0℃；</w:t>
      </w:r>
      <w:r/>
    </w:p>
    <w:p>
      <w:pPr>
        <w:ind w:firstLine="420"/>
        <w:spacing w:line="400" w:lineRule="exact"/>
        <w:rPr>
          <w:color w:val="auto"/>
          <w:szCs w:val="21"/>
          <w:highlight w:val="none"/>
          <w:lang w:val="zh-CN"/>
        </w:rPr>
      </w:pPr>
      <w:r>
        <w:rPr>
          <w:rFonts w:hint="eastAsia"/>
          <w:color w:val="auto"/>
          <w:szCs w:val="21"/>
          <w:highlight w:val="none"/>
          <w:lang w:val="zh-CN"/>
        </w:rPr>
        <w:t xml:space="preserve">3、玻璃温度范围：-50～200℃；</w:t>
      </w:r>
      <w:r/>
    </w:p>
    <w:p>
      <w:pPr>
        <w:ind w:firstLine="420"/>
        <w:spacing w:line="400" w:lineRule="exact"/>
        <w:rPr>
          <w:color w:val="auto"/>
          <w:szCs w:val="21"/>
          <w:highlight w:val="none"/>
          <w:lang w:val="zh-CN"/>
        </w:rPr>
      </w:pPr>
      <w:r>
        <w:rPr>
          <w:rFonts w:hint="eastAsia"/>
          <w:color w:val="auto"/>
          <w:szCs w:val="21"/>
          <w:highlight w:val="none"/>
          <w:lang w:val="zh-CN"/>
        </w:rPr>
        <w:t xml:space="preserve">4、主机升降行程：0-120mm。</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（三十二）电热恒温水浴槽：</w:t>
      </w:r>
      <w:r/>
    </w:p>
    <w:p>
      <w:pPr>
        <w:ind w:firstLine="420"/>
        <w:spacing w:line="400" w:lineRule="exact"/>
        <w:rPr>
          <w:color w:val="auto"/>
          <w:szCs w:val="21"/>
          <w:highlight w:val="none"/>
          <w:lang w:val="zh-CN"/>
        </w:rPr>
      </w:pPr>
      <w:r>
        <w:rPr>
          <w:rFonts w:hint="eastAsia"/>
          <w:color w:val="auto"/>
          <w:szCs w:val="21"/>
          <w:highlight w:val="none"/>
          <w:lang w:val="zh-CN"/>
        </w:rPr>
        <w:t xml:space="preserve">1、控温范围：10～99℃；</w:t>
      </w:r>
      <w:r/>
    </w:p>
    <w:p>
      <w:pPr>
        <w:ind w:firstLine="420"/>
        <w:spacing w:line="400" w:lineRule="exact"/>
        <w:rPr>
          <w:color w:val="auto"/>
          <w:szCs w:val="21"/>
          <w:highlight w:val="none"/>
          <w:lang w:val="zh-CN"/>
        </w:rPr>
      </w:pPr>
      <w:r>
        <w:rPr>
          <w:rFonts w:hint="eastAsia"/>
          <w:color w:val="auto"/>
          <w:szCs w:val="21"/>
          <w:highlight w:val="none"/>
          <w:lang w:val="zh-CN"/>
        </w:rPr>
        <w:t xml:space="preserve">2、恒温波动度：≤±1.0℃；</w:t>
      </w:r>
      <w:r/>
    </w:p>
    <w:p>
      <w:pPr>
        <w:ind w:firstLine="420"/>
        <w:spacing w:line="400" w:lineRule="exact"/>
        <w:rPr>
          <w:color w:val="auto"/>
          <w:szCs w:val="21"/>
          <w:highlight w:val="none"/>
          <w:lang w:val="zh-CN"/>
        </w:rPr>
      </w:pPr>
      <w:r>
        <w:rPr>
          <w:rFonts w:hint="eastAsia"/>
          <w:color w:val="auto"/>
          <w:szCs w:val="21"/>
          <w:highlight w:val="none"/>
          <w:lang w:val="zh-CN"/>
        </w:rPr>
        <w:t xml:space="preserve">3、分辨率：≤1.0℃。</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（三十三）恒温金属浴：</w:t>
      </w:r>
      <w:r/>
    </w:p>
    <w:p>
      <w:pPr>
        <w:ind w:firstLine="420"/>
        <w:spacing w:line="400" w:lineRule="exact"/>
        <w:rPr>
          <w:color w:val="auto"/>
          <w:szCs w:val="21"/>
          <w:highlight w:val="none"/>
          <w:lang w:val="zh-CN"/>
        </w:rPr>
      </w:pPr>
      <w:r>
        <w:rPr>
          <w:rFonts w:hint="eastAsia"/>
          <w:color w:val="auto"/>
          <w:szCs w:val="21"/>
          <w:highlight w:val="none"/>
          <w:lang w:val="zh-CN"/>
        </w:rPr>
        <w:t xml:space="preserve">1、温度设置范围：0℃~100℃；</w:t>
      </w:r>
      <w:r/>
    </w:p>
    <w:p>
      <w:pPr>
        <w:ind w:firstLine="420"/>
        <w:spacing w:line="400" w:lineRule="exact"/>
        <w:rPr>
          <w:color w:val="auto"/>
          <w:szCs w:val="21"/>
          <w:highlight w:val="none"/>
          <w:lang w:val="zh-CN"/>
        </w:rPr>
      </w:pPr>
      <w:r>
        <w:rPr>
          <w:rFonts w:hint="eastAsia"/>
          <w:color w:val="auto"/>
          <w:szCs w:val="21"/>
          <w:highlight w:val="none"/>
          <w:lang w:val="zh-CN"/>
        </w:rPr>
        <w:t xml:space="preserve">2、温控范围：室温-20℃~100℃，精度≤±1.0℃；</w:t>
      </w:r>
      <w:r/>
    </w:p>
    <w:p>
      <w:pPr>
        <w:ind w:firstLine="420"/>
        <w:spacing w:line="400" w:lineRule="exact"/>
        <w:rPr>
          <w:color w:val="auto"/>
          <w:szCs w:val="21"/>
          <w:highlight w:val="none"/>
          <w:lang w:val="zh-CN"/>
        </w:rPr>
      </w:pPr>
      <w:r>
        <w:rPr>
          <w:rFonts w:hint="eastAsia"/>
          <w:color w:val="auto"/>
          <w:szCs w:val="21"/>
          <w:highlight w:val="none"/>
          <w:lang w:val="zh-CN"/>
        </w:rPr>
        <w:t xml:space="preserve">3、模块温度均匀性：≤±1.0℃；</w:t>
      </w:r>
      <w:r/>
    </w:p>
    <w:p>
      <w:pPr>
        <w:ind w:firstLine="420"/>
        <w:spacing w:line="400" w:lineRule="exact"/>
        <w:rPr>
          <w:color w:val="auto"/>
          <w:szCs w:val="21"/>
          <w:highlight w:val="none"/>
          <w:lang w:val="zh-CN"/>
        </w:rPr>
      </w:pPr>
      <w:r>
        <w:rPr>
          <w:rFonts w:hint="eastAsia"/>
          <w:color w:val="auto"/>
          <w:szCs w:val="21"/>
          <w:highlight w:val="none"/>
          <w:lang w:val="zh-CN"/>
        </w:rPr>
        <w:t xml:space="preserve">4、升温速度：≤30分钟。</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（三十四）分析电子天平：</w:t>
      </w:r>
      <w:r/>
    </w:p>
    <w:p>
      <w:pPr>
        <w:ind w:firstLine="420"/>
        <w:spacing w:line="400" w:lineRule="exact"/>
        <w:rPr>
          <w:color w:val="auto"/>
          <w:szCs w:val="21"/>
          <w:highlight w:val="none"/>
          <w:lang w:val="zh-CN"/>
        </w:rPr>
      </w:pPr>
      <w:r>
        <w:rPr>
          <w:rFonts w:hint="eastAsia"/>
          <w:color w:val="auto"/>
          <w:szCs w:val="21"/>
          <w:highlight w:val="none"/>
          <w:lang w:val="zh-CN"/>
        </w:rPr>
        <w:t xml:space="preserve">1、最大称量：≥110g；</w:t>
      </w:r>
      <w:r/>
    </w:p>
    <w:p>
      <w:pPr>
        <w:ind w:firstLine="420"/>
        <w:spacing w:line="400" w:lineRule="exact"/>
        <w:rPr>
          <w:color w:val="auto"/>
          <w:szCs w:val="21"/>
          <w:highlight w:val="none"/>
          <w:lang w:val="zh-CN"/>
        </w:rPr>
      </w:pPr>
      <w:r>
        <w:rPr>
          <w:rFonts w:hint="eastAsia"/>
          <w:color w:val="auto"/>
          <w:szCs w:val="21"/>
          <w:highlight w:val="none"/>
          <w:lang w:val="zh-CN"/>
        </w:rPr>
        <w:t xml:space="preserve">2、最小读数：≤0.1 mg；</w:t>
      </w:r>
      <w:r/>
    </w:p>
    <w:p>
      <w:pPr>
        <w:ind w:firstLine="420"/>
        <w:spacing w:line="400" w:lineRule="exact"/>
        <w:rPr>
          <w:color w:val="auto"/>
          <w:szCs w:val="21"/>
          <w:highlight w:val="none"/>
          <w:lang w:val="zh-CN"/>
        </w:rPr>
      </w:pPr>
      <w:r>
        <w:rPr>
          <w:rFonts w:hint="eastAsia"/>
          <w:color w:val="auto"/>
          <w:szCs w:val="21"/>
          <w:highlight w:val="none"/>
          <w:lang w:val="zh-CN"/>
        </w:rPr>
        <w:t xml:space="preserve">3、秤盘尺寸：≥Φ60mm。</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（三十五）酸碱度计：</w:t>
      </w:r>
      <w:r/>
    </w:p>
    <w:p>
      <w:pPr>
        <w:ind w:firstLine="420"/>
        <w:spacing w:line="400" w:lineRule="exact"/>
        <w:rPr>
          <w:color w:val="auto"/>
          <w:szCs w:val="21"/>
          <w:highlight w:val="none"/>
          <w:lang w:val="zh-CN"/>
        </w:rPr>
      </w:pPr>
      <w:r>
        <w:rPr>
          <w:rFonts w:hint="eastAsia"/>
          <w:color w:val="auto"/>
          <w:szCs w:val="21"/>
          <w:highlight w:val="none"/>
          <w:lang w:val="zh-CN"/>
        </w:rPr>
        <w:t xml:space="preserve">1、屏幕显示方式：5.0英寸液晶屏；</w:t>
      </w:r>
      <w:r/>
    </w:p>
    <w:p>
      <w:pPr>
        <w:ind w:firstLine="420"/>
        <w:spacing w:line="400" w:lineRule="exact"/>
        <w:rPr>
          <w:color w:val="auto"/>
          <w:szCs w:val="21"/>
          <w:highlight w:val="none"/>
          <w:lang w:val="zh-CN"/>
        </w:rPr>
      </w:pPr>
      <w:r>
        <w:rPr>
          <w:rFonts w:hint="eastAsia"/>
          <w:color w:val="auto"/>
          <w:szCs w:val="21"/>
          <w:highlight w:val="none"/>
          <w:lang w:val="zh-CN"/>
        </w:rPr>
        <w:t xml:space="preserve">2、分辨率：≤0.01 pH；</w:t>
      </w:r>
      <w:r/>
    </w:p>
    <w:p>
      <w:pPr>
        <w:ind w:firstLine="420"/>
        <w:spacing w:line="400" w:lineRule="exact"/>
        <w:rPr>
          <w:color w:val="auto"/>
          <w:szCs w:val="21"/>
          <w:highlight w:val="none"/>
          <w:lang w:val="zh-CN"/>
        </w:rPr>
      </w:pPr>
      <w:r>
        <w:rPr>
          <w:rFonts w:hint="eastAsia"/>
          <w:color w:val="auto"/>
          <w:szCs w:val="21"/>
          <w:highlight w:val="none"/>
          <w:lang w:val="zh-CN"/>
        </w:rPr>
        <w:t xml:space="preserve">3、精度：≤±0.01 pH。</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（三十六）磁力搅拌器：</w:t>
      </w:r>
      <w:r/>
    </w:p>
    <w:p>
      <w:pPr>
        <w:ind w:firstLine="420"/>
        <w:spacing w:line="400" w:lineRule="exact"/>
        <w:rPr>
          <w:color w:val="auto"/>
          <w:szCs w:val="21"/>
          <w:highlight w:val="none"/>
          <w:lang w:val="zh-CN"/>
        </w:rPr>
      </w:pPr>
      <w:r>
        <w:rPr>
          <w:rFonts w:hint="eastAsia"/>
          <w:color w:val="auto"/>
          <w:szCs w:val="21"/>
          <w:highlight w:val="none"/>
          <w:lang w:val="zh-CN"/>
        </w:rPr>
        <w:t xml:space="preserve">1、加热温度范围：室温～350.0℃；</w:t>
      </w:r>
      <w:r/>
    </w:p>
    <w:p>
      <w:pPr>
        <w:ind w:firstLine="420"/>
        <w:spacing w:line="400" w:lineRule="exact"/>
        <w:rPr>
          <w:color w:val="auto"/>
          <w:szCs w:val="21"/>
          <w:highlight w:val="none"/>
          <w:lang w:val="zh-CN"/>
        </w:rPr>
      </w:pPr>
      <w:r>
        <w:rPr>
          <w:rFonts w:hint="eastAsia"/>
          <w:color w:val="auto"/>
          <w:szCs w:val="21"/>
          <w:highlight w:val="none"/>
          <w:lang w:val="zh-CN"/>
        </w:rPr>
        <w:t xml:space="preserve">2、转速范围：50-1800r/min；</w:t>
      </w:r>
      <w:r/>
    </w:p>
    <w:p>
      <w:pPr>
        <w:ind w:firstLine="420"/>
        <w:spacing w:line="400" w:lineRule="exact"/>
        <w:rPr>
          <w:color w:val="auto"/>
          <w:szCs w:val="21"/>
          <w:highlight w:val="none"/>
          <w:lang w:val="zh-CN"/>
        </w:rPr>
      </w:pPr>
      <w:r>
        <w:rPr>
          <w:rFonts w:hint="eastAsia"/>
          <w:color w:val="auto"/>
          <w:szCs w:val="21"/>
          <w:highlight w:val="none"/>
          <w:lang w:val="zh-CN"/>
        </w:rPr>
        <w:t xml:space="preserve">3、具备超温、欠温、速度报警。</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（三十七）纯水机：</w:t>
      </w:r>
      <w:r/>
    </w:p>
    <w:p>
      <w:pPr>
        <w:ind w:firstLine="420"/>
        <w:spacing w:line="400" w:lineRule="exact"/>
        <w:rPr>
          <w:color w:val="auto"/>
          <w:szCs w:val="21"/>
          <w:highlight w:val="none"/>
          <w:lang w:val="zh-CN"/>
        </w:rPr>
      </w:pPr>
      <w:r>
        <w:rPr>
          <w:rFonts w:hint="eastAsia"/>
          <w:color w:val="auto"/>
          <w:szCs w:val="21"/>
          <w:highlight w:val="none"/>
          <w:lang w:val="zh-CN"/>
        </w:rPr>
        <w:t xml:space="preserve">1、去离子水指标：电导率：0.06-0.1μs/cm，电阻率：10-18MΩ·cm@25℃；</w:t>
      </w:r>
      <w:r/>
    </w:p>
    <w:p>
      <w:pPr>
        <w:ind w:firstLine="420"/>
        <w:spacing w:line="400" w:lineRule="exact"/>
        <w:rPr>
          <w:color w:val="auto"/>
          <w:szCs w:val="21"/>
          <w:highlight w:val="none"/>
          <w:lang w:val="zh-CN"/>
        </w:rPr>
      </w:pPr>
      <w:r>
        <w:rPr>
          <w:rFonts w:hint="eastAsia"/>
          <w:color w:val="auto"/>
          <w:szCs w:val="21"/>
          <w:highlight w:val="none"/>
          <w:lang w:val="zh-CN"/>
        </w:rPr>
        <w:t xml:space="preserve">2、RO反渗透水指标：离子截留率：≥95-99%，有机物截留率：＞99%，颗粒和细菌截留率：＞99%；</w:t>
      </w:r>
      <w:r/>
    </w:p>
    <w:p>
      <w:pPr>
        <w:ind w:firstLine="420"/>
        <w:spacing w:line="400" w:lineRule="exact"/>
        <w:rPr>
          <w:color w:val="auto"/>
          <w:szCs w:val="21"/>
          <w:highlight w:val="none"/>
          <w:lang w:val="zh-CN"/>
        </w:rPr>
      </w:pPr>
      <w:r>
        <w:rPr>
          <w:rFonts w:hint="eastAsia"/>
          <w:color w:val="auto"/>
          <w:szCs w:val="21"/>
          <w:highlight w:val="none"/>
          <w:lang w:val="zh-CN"/>
        </w:rPr>
        <w:t xml:space="preserve">3、产水量（25℃）：≥50升/小时，瞬间出水量：≥800ml/min(满水时）；</w:t>
      </w:r>
      <w:r/>
    </w:p>
    <w:p>
      <w:pPr>
        <w:ind w:firstLine="420"/>
        <w:spacing w:line="400" w:lineRule="exact"/>
        <w:rPr>
          <w:color w:val="auto"/>
          <w:szCs w:val="21"/>
          <w:highlight w:val="none"/>
          <w:lang w:val="zh-CN"/>
        </w:rPr>
      </w:pPr>
      <w:r>
        <w:rPr>
          <w:rFonts w:hint="eastAsia"/>
          <w:color w:val="auto"/>
          <w:szCs w:val="21"/>
          <w:highlight w:val="none"/>
          <w:lang w:val="zh-CN"/>
        </w:rPr>
        <w:t xml:space="preserve">4、具备产水水质在线监测、低压保护、耗材寿命报警功能。</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（三十八）高压灭菌锅；</w:t>
      </w:r>
      <w:r/>
    </w:p>
    <w:p>
      <w:pPr>
        <w:ind w:firstLine="420"/>
        <w:spacing w:line="400" w:lineRule="exact"/>
        <w:rPr>
          <w:color w:val="auto"/>
          <w:szCs w:val="21"/>
          <w:highlight w:val="none"/>
          <w:lang w:val="zh-CN"/>
        </w:rPr>
      </w:pPr>
      <w:r>
        <w:rPr>
          <w:rFonts w:hint="eastAsia"/>
          <w:color w:val="auto"/>
          <w:szCs w:val="21"/>
          <w:highlight w:val="none"/>
          <w:lang w:val="zh-CN"/>
        </w:rPr>
        <w:t xml:space="preserve">1、灭菌温度选择范围：40-130℃；</w:t>
      </w:r>
      <w:r/>
    </w:p>
    <w:p>
      <w:pPr>
        <w:ind w:firstLine="420"/>
        <w:spacing w:line="400" w:lineRule="exact"/>
        <w:rPr>
          <w:color w:val="auto"/>
          <w:szCs w:val="21"/>
          <w:highlight w:val="none"/>
          <w:lang w:val="zh-CN"/>
        </w:rPr>
      </w:pPr>
      <w:r>
        <w:rPr>
          <w:rFonts w:hint="eastAsia"/>
          <w:color w:val="auto"/>
          <w:szCs w:val="21"/>
          <w:highlight w:val="none"/>
          <w:lang w:val="zh-CN"/>
        </w:rPr>
        <w:t xml:space="preserve">2、蒸汽产生方式:使用硅胶加热膜，主体内加热，无需外接蒸汽源；</w:t>
      </w:r>
      <w:r/>
    </w:p>
    <w:p>
      <w:pPr>
        <w:ind w:firstLine="420"/>
        <w:spacing w:line="400" w:lineRule="exact"/>
        <w:rPr>
          <w:color w:val="auto"/>
          <w:szCs w:val="21"/>
          <w:highlight w:val="none"/>
          <w:lang w:val="zh-CN"/>
        </w:rPr>
      </w:pPr>
      <w:r>
        <w:rPr>
          <w:rFonts w:hint="eastAsia"/>
          <w:color w:val="auto"/>
          <w:szCs w:val="21"/>
          <w:highlight w:val="none"/>
          <w:lang w:val="zh-CN"/>
        </w:rPr>
        <w:t xml:space="preserve">3、要求具备超温自动保护、超压保护、防干烧保护、门安全联锁、过流、过压等安全装置。</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（三十九）超声波清洗机：</w:t>
      </w:r>
      <w:r/>
    </w:p>
    <w:p>
      <w:pPr>
        <w:ind w:firstLine="420"/>
        <w:spacing w:line="400" w:lineRule="exact"/>
        <w:rPr>
          <w:color w:val="auto"/>
          <w:szCs w:val="21"/>
          <w:highlight w:val="none"/>
          <w:lang w:val="zh-CN"/>
        </w:rPr>
      </w:pPr>
      <w:r>
        <w:rPr>
          <w:rFonts w:hint="eastAsia"/>
          <w:color w:val="auto"/>
          <w:szCs w:val="21"/>
          <w:highlight w:val="none"/>
          <w:lang w:val="zh-CN"/>
        </w:rPr>
        <w:t xml:space="preserve">1、超声功率可调：≥300W（40%-100%）；</w:t>
      </w:r>
      <w:r/>
    </w:p>
    <w:p>
      <w:pPr>
        <w:ind w:firstLine="420"/>
        <w:spacing w:line="400" w:lineRule="exact"/>
        <w:rPr>
          <w:color w:val="auto"/>
          <w:szCs w:val="21"/>
          <w:highlight w:val="none"/>
          <w:lang w:val="zh-CN"/>
        </w:rPr>
      </w:pPr>
      <w:r>
        <w:rPr>
          <w:rFonts w:hint="eastAsia"/>
          <w:color w:val="auto"/>
          <w:szCs w:val="21"/>
          <w:highlight w:val="none"/>
          <w:lang w:val="zh-CN"/>
        </w:rPr>
        <w:t xml:space="preserve">2、超声频率：≥30KHz；</w:t>
      </w:r>
      <w:r/>
    </w:p>
    <w:p>
      <w:pPr>
        <w:ind w:firstLine="420"/>
        <w:spacing w:line="400" w:lineRule="exact"/>
        <w:rPr>
          <w:color w:val="auto"/>
          <w:szCs w:val="21"/>
          <w:highlight w:val="none"/>
          <w:lang w:val="zh-CN"/>
        </w:rPr>
      </w:pPr>
      <w:r>
        <w:rPr>
          <w:rFonts w:hint="eastAsia"/>
          <w:color w:val="auto"/>
          <w:szCs w:val="21"/>
          <w:highlight w:val="none"/>
          <w:lang w:val="zh-CN"/>
        </w:rPr>
        <w:t xml:space="preserve">3、超声定时时间范围：1-99分。</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（四十）烘干箱：</w:t>
      </w:r>
      <w:r/>
    </w:p>
    <w:p>
      <w:pPr>
        <w:ind w:firstLine="420"/>
        <w:spacing w:line="400" w:lineRule="exact"/>
        <w:rPr>
          <w:color w:val="auto"/>
          <w:szCs w:val="21"/>
          <w:highlight w:val="none"/>
          <w:lang w:val="zh-CN"/>
        </w:rPr>
      </w:pPr>
      <w:r>
        <w:rPr>
          <w:rFonts w:hint="eastAsia"/>
          <w:color w:val="auto"/>
          <w:szCs w:val="21"/>
          <w:highlight w:val="none"/>
          <w:lang w:val="zh-CN"/>
        </w:rPr>
        <w:t xml:space="preserve">1、工作区尺寸：≥500×500×450mm；</w:t>
      </w:r>
      <w:r/>
    </w:p>
    <w:p>
      <w:pPr>
        <w:ind w:firstLine="420"/>
        <w:spacing w:line="400" w:lineRule="exact"/>
        <w:rPr>
          <w:color w:val="auto"/>
          <w:szCs w:val="21"/>
          <w:highlight w:val="none"/>
          <w:lang w:val="zh-CN"/>
        </w:rPr>
      </w:pPr>
      <w:r>
        <w:rPr>
          <w:rFonts w:hint="eastAsia"/>
          <w:color w:val="auto"/>
          <w:szCs w:val="21"/>
          <w:highlight w:val="none"/>
          <w:lang w:val="zh-CN"/>
        </w:rPr>
        <w:t xml:space="preserve">2、控温范围：RT+20-300℃；</w:t>
      </w:r>
      <w:r/>
    </w:p>
    <w:p>
      <w:pPr>
        <w:ind w:firstLine="420"/>
        <w:spacing w:line="400" w:lineRule="exact"/>
        <w:rPr>
          <w:color w:val="auto"/>
          <w:szCs w:val="21"/>
          <w:highlight w:val="none"/>
          <w:lang w:val="zh-CN"/>
        </w:rPr>
      </w:pPr>
      <w:r>
        <w:rPr>
          <w:rFonts w:hint="eastAsia"/>
          <w:color w:val="auto"/>
          <w:szCs w:val="21"/>
          <w:highlight w:val="none"/>
          <w:lang w:val="zh-CN"/>
        </w:rPr>
        <w:t xml:space="preserve">3、具备预约运行、定时功能。</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（四十一）通风柜：</w:t>
      </w:r>
      <w:r/>
    </w:p>
    <w:p>
      <w:pPr>
        <w:ind w:firstLine="420"/>
        <w:spacing w:line="400" w:lineRule="exact"/>
        <w:rPr>
          <w:color w:val="auto"/>
          <w:szCs w:val="21"/>
          <w:highlight w:val="none"/>
          <w:lang w:val="zh-CN"/>
        </w:rPr>
      </w:pPr>
      <w:r>
        <w:rPr>
          <w:rFonts w:hint="eastAsia"/>
          <w:color w:val="auto"/>
          <w:szCs w:val="21"/>
          <w:highlight w:val="none"/>
          <w:lang w:val="zh-CN"/>
        </w:rPr>
        <w:t xml:space="preserve">1、风机：≥8挡可调，适配不同的实验类型；</w:t>
      </w:r>
      <w:r/>
    </w:p>
    <w:p>
      <w:pPr>
        <w:ind w:firstLine="420"/>
        <w:spacing w:line="400" w:lineRule="exact"/>
        <w:rPr>
          <w:color w:val="auto"/>
          <w:szCs w:val="21"/>
          <w:highlight w:val="none"/>
          <w:lang w:val="zh-CN"/>
        </w:rPr>
      </w:pPr>
      <w:r>
        <w:rPr>
          <w:rFonts w:hint="eastAsia"/>
          <w:color w:val="auto"/>
          <w:szCs w:val="21"/>
          <w:highlight w:val="none"/>
          <w:lang w:val="zh-CN"/>
        </w:rPr>
        <w:t xml:space="preserve">2、系统排风量≥900m3/h；</w:t>
      </w:r>
      <w:r/>
    </w:p>
    <w:p>
      <w:pPr>
        <w:ind w:firstLine="420"/>
        <w:spacing w:line="400" w:lineRule="exact"/>
        <w:rPr>
          <w:color w:val="auto"/>
          <w:szCs w:val="21"/>
          <w:highlight w:val="none"/>
          <w:lang w:val="zh-CN"/>
        </w:rPr>
      </w:pPr>
      <w:r>
        <w:rPr>
          <w:rFonts w:hint="eastAsia"/>
          <w:color w:val="auto"/>
          <w:szCs w:val="21"/>
          <w:highlight w:val="none"/>
          <w:lang w:val="zh-CN"/>
        </w:rPr>
        <w:t xml:space="preserve">2、通风柜前视窗为手动视窗，高度可调；</w:t>
      </w:r>
      <w:r/>
    </w:p>
    <w:p>
      <w:pPr>
        <w:ind w:firstLine="420"/>
        <w:spacing w:line="400" w:lineRule="exact"/>
        <w:rPr>
          <w:color w:val="auto"/>
          <w:szCs w:val="21"/>
          <w:highlight w:val="none"/>
          <w:lang w:val="zh-CN"/>
        </w:rPr>
      </w:pPr>
      <w:r>
        <w:rPr>
          <w:rFonts w:hint="eastAsia"/>
          <w:color w:val="auto"/>
          <w:szCs w:val="21"/>
          <w:highlight w:val="none"/>
          <w:lang w:val="zh-CN"/>
        </w:rPr>
        <w:t xml:space="preserve">3、照明：要求内置一体化LED灯管，光照度≥300LX；</w:t>
      </w:r>
      <w:r/>
    </w:p>
    <w:p>
      <w:pPr>
        <w:ind w:firstLine="420"/>
        <w:spacing w:line="400" w:lineRule="exact"/>
        <w:rPr>
          <w:color w:val="auto"/>
          <w:szCs w:val="21"/>
          <w:highlight w:val="none"/>
          <w:lang w:val="zh-CN"/>
        </w:rPr>
      </w:pPr>
      <w:r>
        <w:rPr>
          <w:rFonts w:hint="eastAsia"/>
          <w:color w:val="auto"/>
          <w:szCs w:val="21"/>
          <w:highlight w:val="none"/>
          <w:lang w:val="zh-CN"/>
        </w:rPr>
        <w:t xml:space="preserve">4、通风柜主体要求使用冷轧钢板经防锈处理，静电喷涂，内部具备≥3mm抗倍特板。</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（四十二）酶标仪：</w:t>
      </w:r>
      <w:r/>
    </w:p>
    <w:p>
      <w:pPr>
        <w:ind w:firstLine="420"/>
        <w:spacing w:line="400" w:lineRule="exact"/>
        <w:rPr>
          <w:color w:val="auto"/>
          <w:szCs w:val="21"/>
          <w:highlight w:val="none"/>
          <w:lang w:val="zh-CN"/>
        </w:rPr>
      </w:pPr>
      <w:r>
        <w:rPr>
          <w:rFonts w:hint="eastAsia"/>
          <w:color w:val="auto"/>
          <w:szCs w:val="21"/>
          <w:highlight w:val="none"/>
          <w:lang w:val="zh-CN"/>
        </w:rPr>
        <w:t xml:space="preserve">1、≥10英寸彩色液晶触摸屏；</w:t>
      </w:r>
      <w:r/>
    </w:p>
    <w:p>
      <w:pPr>
        <w:ind w:firstLine="420"/>
        <w:spacing w:line="400" w:lineRule="exact"/>
        <w:rPr>
          <w:color w:val="auto"/>
          <w:szCs w:val="21"/>
          <w:highlight w:val="none"/>
          <w:lang w:val="zh-CN"/>
        </w:rPr>
      </w:pPr>
      <w:r>
        <w:rPr>
          <w:rFonts w:hint="eastAsia"/>
          <w:color w:val="auto"/>
          <w:szCs w:val="21"/>
          <w:highlight w:val="none"/>
          <w:lang w:val="zh-CN"/>
        </w:rPr>
        <w:t xml:space="preserve">2、波长范围：400-700nm；</w:t>
      </w:r>
      <w:r/>
    </w:p>
    <w:p>
      <w:pPr>
        <w:ind w:firstLine="420"/>
        <w:spacing w:line="400" w:lineRule="exact"/>
        <w:rPr>
          <w:color w:val="auto"/>
          <w:szCs w:val="21"/>
          <w:highlight w:val="none"/>
          <w:lang w:val="zh-CN"/>
        </w:rPr>
      </w:pPr>
      <w:r>
        <w:rPr>
          <w:rFonts w:hint="eastAsia"/>
          <w:color w:val="auto"/>
          <w:szCs w:val="21"/>
          <w:highlight w:val="none"/>
          <w:lang w:val="zh-CN"/>
        </w:rPr>
        <w:t xml:space="preserve">3、吸光度准确度：</w:t>
      </w:r>
      <w:r/>
    </w:p>
    <w:p>
      <w:pPr>
        <w:ind w:firstLine="420"/>
        <w:spacing w:line="400" w:lineRule="exact"/>
        <w:rPr>
          <w:color w:val="auto"/>
          <w:szCs w:val="21"/>
          <w:highlight w:val="none"/>
          <w:lang w:val="zh-CN"/>
        </w:rPr>
      </w:pPr>
      <w:r>
        <w:rPr>
          <w:rFonts w:hint="eastAsia"/>
          <w:color w:val="auto"/>
          <w:szCs w:val="21"/>
          <w:highlight w:val="none"/>
          <w:lang w:val="zh-CN"/>
        </w:rPr>
        <w:t xml:space="preserve">吸光度值为[0.0~1.0]时，误差≤±0.03Abs；</w:t>
      </w:r>
      <w:r/>
    </w:p>
    <w:p>
      <w:pPr>
        <w:ind w:firstLine="420"/>
        <w:spacing w:line="400" w:lineRule="exact"/>
        <w:rPr>
          <w:color w:val="auto"/>
          <w:szCs w:val="21"/>
          <w:highlight w:val="none"/>
          <w:lang w:val="zh-CN"/>
        </w:rPr>
      </w:pPr>
      <w:r>
        <w:rPr>
          <w:rFonts w:hint="eastAsia"/>
          <w:color w:val="auto"/>
          <w:szCs w:val="21"/>
          <w:highlight w:val="none"/>
          <w:lang w:val="zh-CN"/>
        </w:rPr>
        <w:t xml:space="preserve">吸光度值为[1.0~2.0]时，误差≤±0.05Abs</w:t>
      </w:r>
      <w:r/>
    </w:p>
    <w:p>
      <w:pPr>
        <w:ind w:firstLine="420"/>
        <w:spacing w:line="400" w:lineRule="exact"/>
        <w:rPr>
          <w:color w:val="auto"/>
          <w:szCs w:val="21"/>
          <w:highlight w:val="none"/>
          <w:lang w:val="zh-CN"/>
        </w:rPr>
      </w:pPr>
      <w:r>
        <w:rPr>
          <w:rFonts w:hint="eastAsia"/>
          <w:color w:val="auto"/>
          <w:szCs w:val="21"/>
          <w:highlight w:val="none"/>
          <w:lang w:val="zh-CN"/>
        </w:rPr>
        <w:t xml:space="preserve">4、分辨率≤0.001Abs。</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（四十三）液氮罐：</w:t>
      </w:r>
      <w:r/>
    </w:p>
    <w:p>
      <w:pPr>
        <w:ind w:firstLine="420"/>
        <w:spacing w:line="400" w:lineRule="exact"/>
        <w:rPr>
          <w:color w:val="auto"/>
          <w:szCs w:val="21"/>
          <w:highlight w:val="none"/>
          <w:lang w:val="zh-CN"/>
        </w:rPr>
      </w:pPr>
      <w:r>
        <w:rPr>
          <w:rFonts w:hint="eastAsia"/>
          <w:color w:val="auto"/>
          <w:szCs w:val="21"/>
          <w:highlight w:val="none"/>
          <w:lang w:val="zh-CN"/>
        </w:rPr>
        <w:t xml:space="preserve">1、容积：≥140L；</w:t>
      </w:r>
      <w:r/>
    </w:p>
    <w:p>
      <w:pPr>
        <w:ind w:firstLine="420"/>
        <w:spacing w:line="400" w:lineRule="exact"/>
        <w:rPr>
          <w:color w:val="auto"/>
          <w:szCs w:val="21"/>
          <w:highlight w:val="none"/>
          <w:lang w:val="zh-CN"/>
        </w:rPr>
      </w:pPr>
      <w:r>
        <w:rPr>
          <w:rFonts w:hint="eastAsia"/>
          <w:color w:val="auto"/>
          <w:szCs w:val="21"/>
          <w:highlight w:val="none"/>
          <w:lang w:val="zh-CN"/>
        </w:rPr>
        <w:t xml:space="preserve">2、静态蒸发率：≤0.98L/d；</w:t>
      </w:r>
      <w:r/>
    </w:p>
    <w:p>
      <w:pPr>
        <w:ind w:firstLine="420"/>
        <w:spacing w:line="400" w:lineRule="exact"/>
        <w:rPr>
          <w:color w:val="auto"/>
          <w:szCs w:val="21"/>
          <w:highlight w:val="none"/>
          <w:lang w:val="zh-CN"/>
        </w:rPr>
      </w:pPr>
      <w:r>
        <w:rPr>
          <w:rFonts w:hint="eastAsia"/>
          <w:color w:val="auto"/>
          <w:szCs w:val="21"/>
          <w:highlight w:val="none"/>
          <w:lang w:val="zh-CN"/>
        </w:rPr>
        <w:t xml:space="preserve">3、静态保存期：≥150d。</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（四十四）小鼠拉力计：</w:t>
      </w:r>
      <w:r/>
    </w:p>
    <w:p>
      <w:pPr>
        <w:ind w:firstLine="420"/>
        <w:spacing w:line="400" w:lineRule="exact"/>
        <w:rPr>
          <w:color w:val="auto"/>
          <w:szCs w:val="21"/>
          <w:highlight w:val="none"/>
          <w:lang w:val="zh-CN"/>
        </w:rPr>
      </w:pPr>
      <w:r>
        <w:rPr>
          <w:rFonts w:hint="eastAsia"/>
          <w:color w:val="auto"/>
          <w:szCs w:val="21"/>
          <w:highlight w:val="none"/>
          <w:lang w:val="zh-CN"/>
        </w:rPr>
        <w:t xml:space="preserve">1、拉力范围：0-2000g；</w:t>
      </w:r>
      <w:r/>
    </w:p>
    <w:p>
      <w:pPr>
        <w:ind w:firstLine="420"/>
        <w:spacing w:line="400" w:lineRule="exact"/>
        <w:rPr>
          <w:color w:val="auto"/>
          <w:szCs w:val="21"/>
          <w:highlight w:val="none"/>
          <w:lang w:val="zh-CN"/>
        </w:rPr>
      </w:pPr>
      <w:r>
        <w:rPr>
          <w:rFonts w:hint="eastAsia"/>
          <w:color w:val="auto"/>
          <w:szCs w:val="21"/>
          <w:highlight w:val="none"/>
          <w:lang w:val="zh-CN"/>
        </w:rPr>
        <w:t xml:space="preserve">2、读数精度：≤0.1g；</w:t>
      </w:r>
      <w:r/>
    </w:p>
    <w:p>
      <w:pPr>
        <w:ind w:firstLine="420"/>
        <w:spacing w:line="400" w:lineRule="exact"/>
        <w:rPr>
          <w:color w:val="auto"/>
          <w:szCs w:val="21"/>
          <w:highlight w:val="none"/>
          <w:lang w:val="zh-CN"/>
        </w:rPr>
      </w:pPr>
      <w:r>
        <w:rPr>
          <w:rFonts w:hint="eastAsia"/>
          <w:color w:val="auto"/>
          <w:szCs w:val="21"/>
          <w:highlight w:val="none"/>
          <w:lang w:val="zh-CN"/>
        </w:rPr>
        <w:t xml:space="preserve">3、拉力误差：≤ 0.3g。</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（四十五）打粉机：</w:t>
      </w:r>
      <w:r/>
    </w:p>
    <w:p>
      <w:pPr>
        <w:ind w:firstLine="420"/>
        <w:spacing w:line="400" w:lineRule="exact"/>
        <w:rPr>
          <w:color w:val="auto"/>
          <w:szCs w:val="21"/>
          <w:highlight w:val="none"/>
          <w:lang w:val="zh-CN"/>
        </w:rPr>
      </w:pPr>
      <w:r>
        <w:rPr>
          <w:rFonts w:hint="eastAsia"/>
          <w:color w:val="auto"/>
          <w:szCs w:val="21"/>
          <w:highlight w:val="none"/>
          <w:lang w:val="zh-CN"/>
        </w:rPr>
        <w:t xml:space="preserve">1、普通中药材产能kg/h:0.5-1.0kg/h，-300目≥90%；</w:t>
      </w:r>
      <w:r/>
    </w:p>
    <w:p>
      <w:pPr>
        <w:ind w:firstLine="420"/>
        <w:spacing w:line="400" w:lineRule="exact"/>
        <w:rPr>
          <w:color w:val="auto"/>
          <w:szCs w:val="21"/>
          <w:highlight w:val="none"/>
          <w:lang w:val="zh-CN"/>
        </w:rPr>
      </w:pPr>
      <w:r>
        <w:rPr>
          <w:rFonts w:hint="eastAsia"/>
          <w:color w:val="auto"/>
          <w:szCs w:val="21"/>
          <w:highlight w:val="none"/>
          <w:lang w:val="zh-CN"/>
        </w:rPr>
        <w:t xml:space="preserve">2、容积：≥6L；</w:t>
      </w:r>
      <w:r/>
    </w:p>
    <w:p>
      <w:pPr>
        <w:ind w:firstLine="420"/>
        <w:spacing w:line="400" w:lineRule="exact"/>
        <w:rPr>
          <w:color w:val="auto"/>
          <w:szCs w:val="21"/>
          <w:highlight w:val="none"/>
          <w:lang w:val="zh-CN"/>
        </w:rPr>
      </w:pPr>
      <w:r>
        <w:rPr>
          <w:rFonts w:hint="eastAsia"/>
          <w:color w:val="auto"/>
          <w:szCs w:val="21"/>
          <w:highlight w:val="none"/>
          <w:lang w:val="zh-CN"/>
        </w:rPr>
        <w:t xml:space="preserve">3、振幅：≤8mm。</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（四十六）包药机：</w:t>
      </w:r>
      <w:r/>
    </w:p>
    <w:p>
      <w:pPr>
        <w:ind w:firstLine="420"/>
        <w:spacing w:line="400" w:lineRule="exact"/>
        <w:rPr>
          <w:color w:val="auto"/>
          <w:szCs w:val="21"/>
          <w:highlight w:val="none"/>
          <w:lang w:val="zh-CN"/>
        </w:rPr>
      </w:pPr>
      <w:r>
        <w:rPr>
          <w:rFonts w:hint="eastAsia"/>
          <w:color w:val="auto"/>
          <w:szCs w:val="21"/>
          <w:highlight w:val="none"/>
          <w:lang w:val="zh-CN"/>
        </w:rPr>
        <w:t xml:space="preserve">1、包装能力：≥5袋/min；</w:t>
      </w:r>
      <w:r/>
    </w:p>
    <w:p>
      <w:pPr>
        <w:ind w:firstLine="420"/>
        <w:spacing w:line="400" w:lineRule="exact"/>
        <w:rPr>
          <w:color w:val="auto"/>
          <w:szCs w:val="21"/>
          <w:highlight w:val="none"/>
          <w:lang w:val="zh-CN"/>
        </w:rPr>
      </w:pPr>
      <w:r>
        <w:rPr>
          <w:rFonts w:hint="eastAsia"/>
          <w:color w:val="auto"/>
          <w:szCs w:val="21"/>
          <w:highlight w:val="none"/>
          <w:lang w:val="zh-CN"/>
        </w:rPr>
        <w:t xml:space="preserve">2、装袋容量：≥50-200ml；</w:t>
      </w:r>
      <w:r/>
    </w:p>
    <w:p>
      <w:pPr>
        <w:ind w:firstLine="420"/>
        <w:spacing w:line="400" w:lineRule="exact"/>
        <w:rPr>
          <w:color w:val="auto"/>
          <w:szCs w:val="21"/>
          <w:highlight w:val="none"/>
          <w:lang w:val="zh-CN"/>
        </w:rPr>
      </w:pPr>
      <w:r>
        <w:rPr>
          <w:rFonts w:hint="eastAsia"/>
          <w:color w:val="auto"/>
          <w:szCs w:val="21"/>
          <w:highlight w:val="none"/>
          <w:lang w:val="zh-CN"/>
        </w:rPr>
        <w:t xml:space="preserve">3、煎药锅容量：≥15000ml。</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（四十七）旋转蒸发器：</w:t>
      </w:r>
      <w:r/>
    </w:p>
    <w:p>
      <w:pPr>
        <w:ind w:firstLine="420"/>
        <w:spacing w:line="400" w:lineRule="exact"/>
        <w:rPr>
          <w:color w:val="auto"/>
          <w:szCs w:val="21"/>
          <w:highlight w:val="none"/>
          <w:lang w:val="zh-CN"/>
        </w:rPr>
      </w:pPr>
      <w:r>
        <w:rPr>
          <w:rFonts w:hint="eastAsia"/>
          <w:color w:val="auto"/>
          <w:szCs w:val="21"/>
          <w:highlight w:val="none"/>
          <w:lang w:val="zh-CN"/>
        </w:rPr>
        <w:t xml:space="preserve">1、温控范围：0-80℃；</w:t>
      </w:r>
      <w:r/>
    </w:p>
    <w:p>
      <w:pPr>
        <w:ind w:firstLine="420"/>
        <w:spacing w:line="400" w:lineRule="exact"/>
        <w:rPr>
          <w:color w:val="auto"/>
          <w:szCs w:val="21"/>
          <w:highlight w:val="none"/>
          <w:lang w:val="zh-CN"/>
        </w:rPr>
      </w:pPr>
      <w:r>
        <w:rPr>
          <w:rFonts w:hint="eastAsia"/>
          <w:color w:val="auto"/>
          <w:szCs w:val="21"/>
          <w:highlight w:val="none"/>
          <w:lang w:val="zh-CN"/>
        </w:rPr>
        <w:t xml:space="preserve">2、旋转速度：≥0-180rpm/min；</w:t>
      </w:r>
      <w:r/>
    </w:p>
    <w:p>
      <w:pPr>
        <w:ind w:firstLine="420"/>
        <w:spacing w:line="400" w:lineRule="exact"/>
        <w:rPr>
          <w:color w:val="auto"/>
          <w:szCs w:val="21"/>
          <w:highlight w:val="none"/>
          <w:lang w:val="zh-CN"/>
        </w:rPr>
      </w:pPr>
      <w:r>
        <w:rPr>
          <w:rFonts w:hint="eastAsia"/>
          <w:color w:val="auto"/>
          <w:szCs w:val="21"/>
          <w:highlight w:val="none"/>
          <w:lang w:val="zh-CN"/>
        </w:rPr>
        <w:t xml:space="preserve">3、主机触点式按键，自动升降，升降距0-120mm。</w:t>
      </w:r>
      <w:r/>
    </w:p>
    <w:p>
      <w:pPr>
        <w:ind w:firstLine="420"/>
        <w:spacing w:line="400" w:lineRule="exact"/>
        <w:rPr>
          <w:color w:val="auto"/>
          <w:szCs w:val="21"/>
          <w:highlight w:val="none"/>
          <w:lang w:val="zh-CN"/>
        </w:rPr>
      </w:pPr>
      <w:r>
        <w:rPr>
          <w:color w:val="auto"/>
          <w:szCs w:val="21"/>
          <w:highlight w:val="none"/>
          <w:lang w:val="zh-CN"/>
        </w:rPr>
      </w:r>
      <w:r/>
    </w:p>
    <w:p>
      <w:pPr>
        <w:ind w:firstLine="420"/>
        <w:spacing w:line="380" w:lineRule="exact"/>
        <w:rPr>
          <w:b/>
          <w:bCs/>
          <w:color w:val="auto"/>
          <w:szCs w:val="21"/>
          <w:highlight w:val="none"/>
        </w:rPr>
      </w:pPr>
      <w:r>
        <w:rPr>
          <w:rFonts w:hint="eastAsia"/>
          <w:b/>
          <w:bCs/>
          <w:color w:val="auto"/>
          <w:szCs w:val="21"/>
          <w:highlight w:val="none"/>
        </w:rPr>
        <w:t xml:space="preserve">四、实施要求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根据项目特点和自身情况阐述设备的安装调试系统运行等内容），②人员组织架构（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color w:val="auto"/>
          <w:szCs w:val="21"/>
          <w:highlight w:val="none"/>
        </w:rPr>
      </w:pPr>
      <w:r>
        <w:rPr>
          <w:rFonts w:hint="eastAsia"/>
          <w:color w:val="auto"/>
          <w:szCs w:val="21"/>
          <w:highlight w:val="none"/>
        </w:rPr>
        <w:t xml:space="preserve">4、投标方承诺投标医疗产品的安装需要甲方已完成的基建（水电网络等）进行改造的，改造费用由投标方承担。</w:t>
      </w:r>
      <w:r/>
    </w:p>
    <w:p>
      <w:pPr>
        <w:ind w:firstLine="420"/>
        <w:spacing w:line="380" w:lineRule="exact"/>
        <w:rPr>
          <w:color w:val="auto"/>
          <w:szCs w:val="21"/>
          <w:highlight w:val="none"/>
        </w:rPr>
      </w:pPr>
      <w:r>
        <w:rPr>
          <w:rFonts w:hint="eastAsia"/>
          <w:color w:val="auto"/>
          <w:szCs w:val="21"/>
          <w:highlight w:val="none"/>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1、质保期要求：所投设备的</w:t>
      </w:r>
      <w:r>
        <w:rPr>
          <w:rFonts w:hint="eastAsia" w:ascii="宋体" w:hAnsi="宋体"/>
          <w:color w:val="auto"/>
          <w:szCs w:val="21"/>
          <w:highlight w:val="none"/>
          <w:lang w:val="en-US" w:eastAsia="zh-CN"/>
        </w:rPr>
        <w:t xml:space="preserve">原厂</w:t>
      </w:r>
      <w:r>
        <w:rPr>
          <w:rFonts w:hint="eastAsia" w:ascii="宋体" w:hAnsi="宋体"/>
          <w:color w:val="auto"/>
          <w:szCs w:val="21"/>
          <w:highlight w:val="none"/>
        </w:rPr>
        <w:t xml:space="preserve">免费质保期≥5年，</w:t>
      </w:r>
      <w:r>
        <w:rPr>
          <w:rFonts w:hint="eastAsia" w:ascii="宋体" w:hAnsi="宋体"/>
          <w:color w:val="auto"/>
          <w:szCs w:val="21"/>
          <w:highlight w:val="none"/>
          <w:lang w:val="en-US" w:eastAsia="zh-CN"/>
        </w:rPr>
        <w:t xml:space="preserve">免费质保期到期后，维修只收取配件费用。</w:t>
      </w:r>
      <w:r>
        <w:rPr>
          <w:rFonts w:hint="eastAsia" w:ascii="宋体" w:hAnsi="宋体" w:cs="宋体"/>
          <w:color w:val="auto"/>
          <w:sz w:val="21"/>
          <w:szCs w:val="21"/>
          <w:highlight w:val="none"/>
          <w:u w:val="single"/>
        </w:rPr>
        <w:t xml:space="preserve">（提供生产厂家售后服务承诺书，维保期从医院验收合格之日起计算）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所投设备属于法定或强检设备的，</w:t>
      </w:r>
      <w:r>
        <w:rPr>
          <w:rFonts w:hint="eastAsia"/>
          <w:color w:val="auto"/>
          <w:szCs w:val="21"/>
          <w:highlight w:val="none"/>
          <w:lang w:val="en-US" w:eastAsia="zh-CN"/>
        </w:rPr>
        <w:t xml:space="preserve">投标人</w:t>
      </w:r>
      <w:r>
        <w:rPr>
          <w:rFonts w:hint="eastAsia"/>
          <w:color w:val="auto"/>
          <w:szCs w:val="21"/>
          <w:highlight w:val="none"/>
        </w:rPr>
        <w:t xml:space="preserve">需承担首次计量检测费用。设备验收时需提供第三方计量检验证书(首检)；</w:t>
      </w:r>
      <w:r/>
    </w:p>
    <w:p>
      <w:pPr>
        <w:ind w:firstLine="420"/>
        <w:spacing w:line="400" w:lineRule="exact"/>
        <w:rPr>
          <w:rFonts w:hint="eastAsia"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b/>
          <w:bCs/>
          <w:color w:val="auto"/>
          <w:highlight w:val="none"/>
        </w:rPr>
      </w:pPr>
      <w:r>
        <w:rPr>
          <w:rFonts w:hint="eastAsia" w:ascii="宋体" w:hAnsi="宋体"/>
          <w:b/>
          <w:bCs/>
          <w:color w:val="auto"/>
          <w:highlight w:val="none"/>
        </w:rPr>
      </w:r>
      <w:r/>
    </w:p>
    <w:p>
      <w:pPr>
        <w:ind w:firstLine="420"/>
        <w:spacing w:line="400" w:lineRule="exact"/>
        <w:rPr>
          <w:rFonts w:hint="eastAsia"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hint="eastAsia"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3、项目完成后，乙方需提供所投产品生产厂家出具的授权书、质保书、保修证明等相关书面资料，并按国家制造和安装的标准要求检测验收。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7、交货过程中如发现不符合本次采购文件所规定产品，乙方应无条件退换。</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本项目不接受进口产品投标，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atLeast"/>
        <w:widowControl/>
        <w:rPr>
          <w:b/>
          <w:bCs/>
          <w:color w:val="auto"/>
          <w:szCs w:val="21"/>
          <w:highlight w:val="none"/>
        </w:rPr>
      </w:pPr>
      <w:r>
        <w:rPr>
          <w:b/>
          <w:bCs/>
          <w:color w:val="auto"/>
          <w:szCs w:val="21"/>
          <w:highlight w:val="none"/>
        </w:rPr>
        <w:t xml:space="preserve">2、核心产品：</w:t>
      </w:r>
      <w:r>
        <w:rPr>
          <w:rFonts w:hint="eastAsia"/>
          <w:b/>
          <w:bCs/>
          <w:color w:val="auto"/>
          <w:szCs w:val="21"/>
          <w:highlight w:val="none"/>
          <w:lang w:val="zh-CN"/>
        </w:rPr>
        <w:t xml:space="preserve">实时荧光定量聚合酶链式反应仪</w:t>
      </w:r>
      <w:r/>
    </w:p>
    <w:p>
      <w:pPr>
        <w:ind w:firstLine="420"/>
        <w:spacing w:line="400" w:lineRule="atLeast"/>
        <w:widowControl/>
        <w:rPr>
          <w:color w:val="auto"/>
          <w:szCs w:val="21"/>
          <w:highlight w:val="none"/>
        </w:rPr>
      </w:pPr>
      <w:r>
        <w:rPr>
          <w:color w:val="auto"/>
          <w:szCs w:val="21"/>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20"/>
        <w:spacing w:line="380" w:lineRule="exact"/>
        <w:rPr>
          <w:rFonts w:hint="eastAsia" w:ascii="宋体" w:hAnsi="宋体"/>
          <w:bCs/>
          <w:color w:val="auto"/>
          <w:szCs w:val="21"/>
          <w:highlight w:val="none"/>
        </w:rPr>
      </w:pPr>
      <w:r>
        <w:rPr>
          <w:rFonts w:hint="eastAsia" w:ascii="宋体" w:hAnsi="宋体"/>
          <w:b/>
          <w:color w:val="auto"/>
          <w:szCs w:val="21"/>
          <w:highlight w:val="none"/>
        </w:rPr>
        <w:t xml:space="preserve">3、中、小、微企业</w:t>
      </w:r>
      <w:r>
        <w:rPr>
          <w:rFonts w:hint="eastAsia" w:ascii="宋体" w:hAnsi="宋体"/>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Cs w:val="21"/>
          <w:highlight w:val="none"/>
        </w:rPr>
        <w:t xml:space="preserve">小型企业和微型企业的投标报价扣除20%后参与评审；大中型企业与小微企业组成联合体或者大中型企业向小微企业分包的，对联合协议或者分包意向协议约定小微企业合同份额占到合同总金额 30%以上的，对联合体或者大中型企业的报价给予6%的扣除。</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Cs w:val="21"/>
          <w:highlight w:val="none"/>
          <w:u w:val="single"/>
        </w:rPr>
      </w:pPr>
      <w:r>
        <w:rPr>
          <w:rFonts w:hint="eastAsia" w:ascii="宋体" w:hAnsi="宋体"/>
          <w:bCs/>
          <w:color w:val="auto"/>
          <w:szCs w:val="21"/>
          <w:highlight w:val="none"/>
        </w:rPr>
        <w:t xml:space="preserve">（2）在政府采购活动中，供应商提供的货物符合下列情形的，享受《政府采购促进中小企业发展管理办法》规定的中小企业扶持政策：</w:t>
      </w:r>
      <w:r>
        <w:rPr>
          <w:rFonts w:hint="eastAsia" w:hAnsi="宋体" w:cs="宋体"/>
          <w:color w:val="auto"/>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Cs w:val="21"/>
          <w:highlight w:val="none"/>
          <w:u w:val="single"/>
        </w:rPr>
      </w:pPr>
      <w:r>
        <w:rPr>
          <w:rFonts w:hint="eastAsia" w:hAnsi="宋体" w:cs="宋体"/>
          <w:color w:val="auto"/>
          <w:szCs w:val="21"/>
          <w:highlight w:val="none"/>
          <w:u w:val="single"/>
        </w:rPr>
        <w:t xml:space="preserve">投标人提供的货物既有中小企业制造货物，也有大型企业制造货物的，不享受优惠政策</w:t>
      </w:r>
      <w:r>
        <w:rPr>
          <w:rFonts w:hint="eastAsia" w:hAnsi="宋体" w:cs="宋体"/>
          <w:color w:val="auto"/>
          <w:szCs w:val="21"/>
          <w:highlight w:val="none"/>
        </w:rPr>
        <w:t xml:space="preserve">。</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（5）绿色采购（本项目不涉及）</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bCs/>
          <w:color w:val="auto"/>
          <w:szCs w:val="21"/>
          <w:highlight w:val="none"/>
        </w:rPr>
      </w:pPr>
      <w:r>
        <w:rPr>
          <w:rFonts w:hint="eastAsia" w:ascii="宋体" w:hAnsi="宋体"/>
          <w:bCs/>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b/>
          <w:bCs/>
          <w:color w:val="auto"/>
          <w:szCs w:val="21"/>
          <w:highlight w:val="none"/>
        </w:rPr>
      </w:pPr>
      <w:r>
        <w:rPr>
          <w:rFonts w:hint="eastAsia"/>
          <w:b/>
          <w:bCs/>
          <w:color w:val="auto"/>
          <w:szCs w:val="21"/>
          <w:highlight w:val="none"/>
        </w:rPr>
        <w:t xml:space="preserve">4、政府采购中实施本国产品标准及相关政策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6"/>
        <w:rPr>
          <w:color w:val="auto"/>
          <w:highlight w:val="none"/>
        </w:rPr>
      </w:pPr>
      <w:r>
        <w:rPr>
          <w:color w:val="auto"/>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bookmarkStart w:id="15" w:name="OLE_LINK3"/>
      <w:r/>
      <w:bookmarkStart w:id="16" w:name="OLE_LINK4"/>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5"/>
      <w:r/>
      <w:bookmarkEnd w:id="16"/>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投标人对采购人以后设备、系统永久无偿开放。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7、报价要求：投标总报价一次报定，包括全部内容的产品、材料、安装、调试、人工、机械、保险、运费、劳保、各种税费以及质保期间的一切费用。</w:t>
      </w:r>
      <w:r/>
    </w:p>
    <w:p>
      <w:pPr>
        <w:ind w:firstLine="420"/>
        <w:spacing w:line="380" w:lineRule="exact"/>
        <w:rPr>
          <w:rFonts w:hint="eastAsia" w:ascii="宋体" w:hAnsi="宋体" w:cs="宋体"/>
          <w:bCs/>
          <w:color w:val="auto"/>
          <w:szCs w:val="21"/>
          <w:highlight w:val="none"/>
        </w:rPr>
      </w:pPr>
      <w:r>
        <w:rPr>
          <w:rFonts w:hint="eastAsia"/>
          <w:color w:val="auto"/>
          <w:szCs w:val="21"/>
          <w:highlight w:val="non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9、付款方式：详见合同条款。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10、交货要求：合同签订之日起60天内完成交货并安装调试验收完毕。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11、交货及安装地点：由乙方负责办理运输将标的物送到采购人所在地。</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hint="eastAsia" w:ascii="宋体" w:hAnsi="宋体"/>
          <w:b/>
          <w:bCs/>
          <w:color w:val="auto"/>
          <w:sz w:val="32"/>
          <w:szCs w:val="32"/>
          <w:highlight w:val="none"/>
        </w:rPr>
      </w:pPr>
      <w:r/>
      <w:bookmarkStart w:id="17"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、交货时间：合同签订生效接甲方进场通知后60天内供货并安装调试结束。</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7"/>
      <w:r/>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8" w:name="_Hlk99527987"/>
      <w:r/>
      <w:bookmarkStart w:id="19" w:name="_Hlk110605095"/>
      <w:r>
        <w:rPr>
          <w:rFonts w:ascii="宋体" w:hAnsi="宋体" w:cs="宋体"/>
          <w:b/>
          <w:bCs/>
          <w:color w:val="auto"/>
          <w:sz w:val="32"/>
          <w:szCs w:val="32"/>
          <w:highlight w:val="none"/>
          <w:lang w:val="zh-CN"/>
        </w:rPr>
        <w:br w:type="page" w:clear="all"/>
      </w:r>
      <w:bookmarkStart w:id="20" w:name="OLE_LINK2"/>
      <w:r/>
      <w:bookmarkStart w:id="21"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w:t>
      </w:r>
      <w:bookmarkEnd w:id="20"/>
      <w:r>
        <w:rPr>
          <w:rFonts w:ascii="宋体" w:hAnsi="宋体"/>
          <w:b/>
          <w:bCs/>
          <w:color w:val="auto"/>
          <w:sz w:val="32"/>
          <w:szCs w:val="32"/>
          <w:highlight w:val="none"/>
        </w:rPr>
        <w:t xml:space="preserve">评标方法、评分标准</w:t>
      </w:r>
      <w:bookmarkEnd w:id="21"/>
      <w:r/>
      <w:r/>
    </w:p>
    <w:p>
      <w:pPr>
        <w:pStyle w:val="1062"/>
        <w:ind w:firstLine="422"/>
        <w:spacing w:line="400" w:lineRule="exact"/>
        <w:rPr>
          <w:rFonts w:hint="eastAsia" w:hAnsi="宋体" w:eastAsia="宋体" w:cs="宋体"/>
          <w:b/>
          <w:bCs/>
          <w:color w:val="auto"/>
          <w:sz w:val="21"/>
          <w:szCs w:val="21"/>
          <w:highlight w:val="none"/>
        </w:rPr>
        <w:outlineLvl w:val="0"/>
      </w:pPr>
      <w:r/>
      <w:bookmarkStart w:id="22" w:name="_Hlk124435630"/>
      <w:r>
        <w:rPr>
          <w:rFonts w:hint="eastAsia" w:hAnsi="宋体" w:eastAsia="宋体" w:cs="宋体"/>
          <w:b/>
          <w:bCs/>
          <w:color w:val="auto"/>
          <w:sz w:val="21"/>
          <w:szCs w:val="21"/>
          <w:highlight w:val="none"/>
        </w:rPr>
        <w:t xml:space="preserve">一、评标方法：</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2"/>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23"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23"/>
      <w:r/>
      <w:r/>
    </w:p>
    <w:p>
      <w:pPr>
        <w:pStyle w:val="1062"/>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2"/>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22"/>
      <w:r/>
      <w:r/>
    </w:p>
    <w:p>
      <w:pPr>
        <w:pStyle w:val="1062"/>
        <w:ind w:firstLine="422"/>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062"/>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062"/>
        <w:ind w:firstLine="422"/>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62"/>
        <w:ind w:firstLine="422"/>
        <w:spacing w:line="400" w:lineRule="exact"/>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情形一：投标人提供小型或微型企业、残疾人企业和监狱企业制造的货物，其价格在评审时给予20%的扣除；</w:t>
      </w:r>
      <w:r/>
    </w:p>
    <w:p>
      <w:pPr>
        <w:pStyle w:val="1062"/>
        <w:ind w:firstLine="422"/>
        <w:spacing w:line="400" w:lineRule="exact"/>
        <w:rPr>
          <w:rFonts w:hint="eastAsia"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情形二：大中型企业与小微企业组成联合体或者大中型企业向小微企业分包的，对联合协议或者分包意向协议约定小微企业合同份额占到合同总金额 30%以上的，对总报价给予6%的扣除。</w:t>
      </w:r>
      <w:r/>
    </w:p>
    <w:p>
      <w:pPr>
        <w:pStyle w:val="1062"/>
        <w:ind w:firstLine="422"/>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用扣除后的价格参与评审。如扣除后的价格为最低价的，则作为评审基准价，若最后中标，中标价格则以实际投标报价为准。</w:t>
      </w:r>
      <w:r/>
    </w:p>
    <w:p>
      <w:pPr>
        <w:pStyle w:val="1062"/>
        <w:ind w:firstLine="422"/>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1062"/>
        <w:ind w:firstLine="422"/>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06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06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06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106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772"/>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772"/>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2"/>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Times New Roman" w:hAnsi="Times New Roman" w:eastAsia="宋体"/>
          <w:color w:val="auto"/>
          <w:sz w:val="21"/>
          <w:szCs w:val="21"/>
          <w:highlight w:val="none"/>
          <w:u w:val="single"/>
        </w:rPr>
        <w:t xml:space="preserve">（供应商需在“投标文件格式”的“投标分项报价表”中填写比例数值</w:t>
      </w:r>
      <w:r>
        <w:rPr>
          <w:rFonts w:hint="eastAsia" w:ascii="Times New Roman" w:hAnsi="Times New Roman" w:eastAsia="宋体"/>
          <w:color w:val="auto"/>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2"/>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72"/>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2"/>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2"/>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772"/>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62"/>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rPr>
        <w:t xml:space="preserve">（30分）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投标单位结合第四章招标书中“四、采购设备技术要求：”中的参数进行响应，注</w:t>
      </w:r>
      <w:bookmarkStart w:id="24" w:name="OLE_LINK7"/>
      <w:r>
        <w:rPr>
          <w:rFonts w:hint="eastAsia" w:ascii="宋体" w:hAnsi="宋体" w:cs="宋体"/>
          <w:bCs/>
          <w:color w:val="auto"/>
          <w:szCs w:val="21"/>
          <w:highlight w:val="none"/>
        </w:rPr>
        <w:t xml:space="preserve">★</w:t>
      </w:r>
      <w:bookmarkEnd w:id="24"/>
      <w:r>
        <w:rPr>
          <w:rFonts w:hint="eastAsia" w:ascii="宋体" w:hAnsi="宋体" w:cs="宋体"/>
          <w:bCs/>
          <w:color w:val="auto"/>
          <w:szCs w:val="21"/>
          <w:highlight w:val="none"/>
        </w:rPr>
        <w:t xml:space="preserve">项参数10项。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1、注</w:t>
      </w:r>
      <w:bookmarkStart w:id="25" w:name="OLE_LINK1"/>
      <w:r>
        <w:rPr>
          <w:rFonts w:hint="eastAsia" w:ascii="宋体" w:hAnsi="宋体" w:cs="宋体"/>
          <w:bCs/>
          <w:color w:val="auto"/>
          <w:szCs w:val="21"/>
          <w:highlight w:val="none"/>
        </w:rPr>
        <w:t xml:space="preserve">★</w:t>
      </w:r>
      <w:bookmarkEnd w:id="25"/>
      <w:r>
        <w:rPr>
          <w:rFonts w:hint="eastAsia" w:ascii="宋体" w:hAnsi="宋体" w:cs="宋体"/>
          <w:bCs/>
          <w:color w:val="auto"/>
          <w:szCs w:val="21"/>
          <w:highlight w:val="none"/>
        </w:rPr>
        <w:t xml:space="preserve">项参数都符合采购要求，得30分。若出现负偏离，每负偏离一项扣3分。扣完为止。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2、其余技术参数为实质性响应参数，不允许出现负偏离，否则为无效投标。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注：上述注★参数按照采购需求中要求提供的佐证材料加盖厂家公章，否则视为负偏离。其余技术参数应当一一对应提供技术对照表加盖投标单位公章，标明是否偏离。否则视为负偏离。</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（三）针对本项目实施方案情况比较（12分）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方案内容应包括但不限于①安装调试、测试、调优等内容，②工作时间进度表、工作程序和步骤，③管理和协调方法④关键步骤的思路和要点。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上述方案每缺少一项内容，或内容明显错误，或内容非专门针对本项目，或内容不能满足本项目实际需求的，每一项扣3分。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（四）投标人培训方案情况比较（10分）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包括培训内容时间地点、人次、安装调试、配置及技能支持、业务人员培训、应用操作及使用等。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培训方案详细具体，可行性高，满足本项目实际需求的得10分；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上述方案有一项内容缺陷或一项明显错误或一项内容不能满足本项目实际需求的得6分。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上述方案有两处及以上内容缺陷或非专门针对本项目，或部分内容不能满足本项目实际需求的得2分。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（五）投标人售后服务方案情况比较（8分）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售后服务方案详细具体，可行性高，满足本项目实际需求的得8分；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上述方案有一项内容缺陷或一项明显错误或一项内容不能满足本项目实际需求的得5分。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上述方案有两处及以上内容缺陷或非专门针对本项目，或部分内容不能满足本项目实际需求的得2分。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pStyle w:val="106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（六）针对本项目的应急和重大故障解决方案（7分）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应急和重大故障解决方案内容阐述不全面、有缺项漏项，内容较为简要，针对性一般，可行性一般的得4分；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（七）履约能力（3分）</w:t>
      </w:r>
      <w:r/>
    </w:p>
    <w:p>
      <w:pPr>
        <w:pStyle w:val="106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类似业绩（3分）：投标人提供2023年1月1日以来所投同类产品的业绩，提供合同复印件，每提供1份得1分，最高3分。</w:t>
      </w:r>
      <w:r/>
    </w:p>
    <w:p>
      <w:pPr>
        <w:pStyle w:val="1188"/>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88"/>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8"/>
      <w:r/>
      <w:bookmarkEnd w:id="19"/>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Pr>
        <w:rFonts w:hint="eastAsia"/>
      </w:rPr>
      <w:t xml:space="preserve">第</w:t>
    </w:r>
    <w:r>
      <w:fldChar w:fldCharType="begin"/>
    </w:r>
    <w:r>
      <w:instrText xml:space="preserve">PAGE   \* MERGEFORMAT</w:instrText>
    </w:r>
    <w:r>
      <w:fldChar w:fldCharType="separate"/>
    </w:r>
    <w:r>
      <w:rPr>
        <w:lang w:val="zh-CN"/>
      </w:rPr>
      <w:t xml:space="preserve">11</w:t>
    </w:r>
    <w:r>
      <w:rPr>
        <w:lang w:val="zh-CN"/>
      </w:rPr>
      <w:fldChar w:fldCharType="end"/>
    </w:r>
    <w:r>
      <w:rPr>
        <w:rFonts w:hint="eastAsia"/>
      </w:rPr>
      <w:t xml:space="preserve">页 共71页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chineseCounting"/>
      <w:pStyle w:val="1031"/>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8">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7">
    <w:name w:val="TOC Heading"/>
    <w:uiPriority w:val="39"/>
    <w:unhideWhenUsed/>
  </w:style>
  <w:style w:type="paragraph" w:styleId="68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8"/>
    <w:link w:val="1194"/>
    <w:uiPriority w:val="99"/>
    <w:unhideWhenUsed/>
    <w:qFormat/>
    <w:pPr>
      <w:jc w:val="left"/>
    </w:pPr>
  </w:style>
  <w:style w:type="paragraph" w:styleId="703">
    <w:name w:val="Body Text"/>
    <w:basedOn w:val="688"/>
    <w:uiPriority w:val="0"/>
    <w:semiHidden/>
    <w:qFormat/>
    <w:rPr>
      <w:rFonts w:ascii="宋体" w:hAnsi="宋体" w:cs="宋体"/>
      <w:sz w:val="22"/>
      <w:lang w:eastAsia="en-US"/>
    </w:rPr>
  </w:style>
  <w:style w:type="paragraph" w:styleId="704">
    <w:name w:val="Body Text Indent"/>
    <w:basedOn w:val="688"/>
    <w:next w:val="688"/>
    <w:uiPriority w:val="0"/>
    <w:qFormat/>
    <w:pPr>
      <w:ind w:left="420" w:firstLine="1188"/>
      <w:spacing w:line="360" w:lineRule="exact"/>
    </w:pPr>
  </w:style>
  <w:style w:type="paragraph" w:styleId="705">
    <w:name w:val="toc 5"/>
    <w:basedOn w:val="688"/>
    <w:next w:val="688"/>
    <w:uiPriority w:val="39"/>
    <w:unhideWhenUsed/>
    <w:qFormat/>
    <w:pPr>
      <w:ind w:left="1134"/>
      <w:spacing w:after="57"/>
    </w:pPr>
  </w:style>
  <w:style w:type="paragraph" w:styleId="706">
    <w:name w:val="toc 3"/>
    <w:basedOn w:val="688"/>
    <w:next w:val="688"/>
    <w:uiPriority w:val="39"/>
    <w:unhideWhenUsed/>
    <w:qFormat/>
    <w:pPr>
      <w:ind w:left="567"/>
      <w:spacing w:after="57"/>
    </w:pPr>
  </w:style>
  <w:style w:type="paragraph" w:styleId="707">
    <w:name w:val="toc 8"/>
    <w:basedOn w:val="688"/>
    <w:next w:val="688"/>
    <w:uiPriority w:val="39"/>
    <w:unhideWhenUsed/>
    <w:qFormat/>
    <w:pPr>
      <w:ind w:left="1984"/>
      <w:spacing w:after="57"/>
    </w:pPr>
  </w:style>
  <w:style w:type="paragraph" w:styleId="708">
    <w:name w:val="endnote text"/>
    <w:basedOn w:val="688"/>
    <w:uiPriority w:val="99"/>
    <w:semiHidden/>
    <w:unhideWhenUsed/>
    <w:qFormat/>
    <w:rPr>
      <w:sz w:val="20"/>
    </w:rPr>
  </w:style>
  <w:style w:type="paragraph" w:styleId="709">
    <w:name w:val="Balloon Text"/>
    <w:basedOn w:val="688"/>
    <w:link w:val="1193"/>
    <w:uiPriority w:val="99"/>
    <w:semiHidden/>
    <w:unhideWhenUsed/>
    <w:qFormat/>
    <w:rPr>
      <w:sz w:val="18"/>
      <w:szCs w:val="18"/>
    </w:rPr>
  </w:style>
  <w:style w:type="paragraph" w:styleId="710">
    <w:name w:val="Footer"/>
    <w:basedOn w:val="688"/>
    <w:uiPriority w:val="99"/>
    <w:unhideWhenUsed/>
    <w:qFormat/>
    <w:pPr>
      <w:tabs>
        <w:tab w:val="center" w:pos="7143" w:leader="none"/>
        <w:tab w:val="right" w:pos="14287" w:leader="none"/>
      </w:tabs>
    </w:pPr>
  </w:style>
  <w:style w:type="paragraph" w:styleId="711">
    <w:name w:val="Header"/>
    <w:basedOn w:val="688"/>
    <w:uiPriority w:val="99"/>
    <w:unhideWhenUsed/>
    <w:qFormat/>
    <w:pPr>
      <w:tabs>
        <w:tab w:val="center" w:pos="7143" w:leader="none"/>
        <w:tab w:val="right" w:pos="14287" w:leader="none"/>
      </w:tabs>
    </w:pPr>
  </w:style>
  <w:style w:type="paragraph" w:styleId="712">
    <w:name w:val="toc 1"/>
    <w:basedOn w:val="688"/>
    <w:next w:val="688"/>
    <w:uiPriority w:val="39"/>
    <w:unhideWhenUsed/>
    <w:qFormat/>
    <w:pPr>
      <w:spacing w:after="57"/>
    </w:pPr>
  </w:style>
  <w:style w:type="paragraph" w:styleId="713">
    <w:name w:val="toc 4"/>
    <w:basedOn w:val="688"/>
    <w:next w:val="688"/>
    <w:uiPriority w:val="39"/>
    <w:unhideWhenUsed/>
    <w:qFormat/>
    <w:pPr>
      <w:ind w:left="850"/>
      <w:spacing w:after="57"/>
    </w:pPr>
  </w:style>
  <w:style w:type="paragraph" w:styleId="714">
    <w:name w:val="Subtitle"/>
    <w:basedOn w:val="688"/>
    <w:next w:val="688"/>
    <w:uiPriority w:val="11"/>
    <w:qFormat/>
    <w:pPr>
      <w:spacing w:before="200" w:after="200"/>
    </w:pPr>
    <w:rPr>
      <w:sz w:val="24"/>
      <w:szCs w:val="24"/>
    </w:rPr>
  </w:style>
  <w:style w:type="paragraph" w:styleId="715">
    <w:name w:val="footnote text"/>
    <w:basedOn w:val="688"/>
    <w:uiPriority w:val="99"/>
    <w:semiHidden/>
    <w:unhideWhenUsed/>
    <w:qFormat/>
    <w:pPr>
      <w:spacing w:after="40"/>
    </w:pPr>
    <w:rPr>
      <w:sz w:val="18"/>
    </w:rPr>
  </w:style>
  <w:style w:type="paragraph" w:styleId="716">
    <w:name w:val="toc 6"/>
    <w:basedOn w:val="688"/>
    <w:next w:val="688"/>
    <w:uiPriority w:val="39"/>
    <w:unhideWhenUsed/>
    <w:qFormat/>
    <w:pPr>
      <w:ind w:left="1417"/>
      <w:spacing w:after="57"/>
    </w:pPr>
  </w:style>
  <w:style w:type="paragraph" w:styleId="717">
    <w:name w:val="table of figures"/>
    <w:basedOn w:val="688"/>
    <w:next w:val="688"/>
    <w:uiPriority w:val="99"/>
    <w:unhideWhenUsed/>
    <w:qFormat/>
  </w:style>
  <w:style w:type="paragraph" w:styleId="718">
    <w:name w:val="toc 2"/>
    <w:basedOn w:val="688"/>
    <w:next w:val="688"/>
    <w:uiPriority w:val="39"/>
    <w:unhideWhenUsed/>
    <w:qFormat/>
    <w:pPr>
      <w:ind w:left="283"/>
      <w:spacing w:after="57"/>
    </w:pPr>
  </w:style>
  <w:style w:type="paragraph" w:styleId="719">
    <w:name w:val="toc 9"/>
    <w:basedOn w:val="688"/>
    <w:next w:val="688"/>
    <w:uiPriority w:val="39"/>
    <w:unhideWhenUsed/>
    <w:qFormat/>
    <w:pPr>
      <w:ind w:left="2268"/>
      <w:spacing w:after="57"/>
    </w:pPr>
  </w:style>
  <w:style w:type="paragraph" w:styleId="720">
    <w:name w:val="Title"/>
    <w:basedOn w:val="688"/>
    <w:next w:val="688"/>
    <w:uiPriority w:val="10"/>
    <w:qFormat/>
    <w:pPr>
      <w:contextualSpacing/>
      <w:spacing w:before="300" w:after="200"/>
    </w:pPr>
    <w:rPr>
      <w:sz w:val="48"/>
      <w:szCs w:val="48"/>
    </w:rPr>
  </w:style>
  <w:style w:type="paragraph" w:styleId="721">
    <w:name w:val="annotation subject"/>
    <w:basedOn w:val="702"/>
    <w:next w:val="702"/>
    <w:link w:val="1195"/>
    <w:uiPriority w:val="99"/>
    <w:semiHidden/>
    <w:unhideWhenUsed/>
    <w:qFormat/>
    <w:rPr>
      <w:b/>
      <w:bCs/>
    </w:rPr>
  </w:style>
  <w:style w:type="paragraph" w:styleId="722">
    <w:name w:val="Body Text First Indent 2"/>
    <w:basedOn w:val="704"/>
    <w:uiPriority w:val="0"/>
    <w:unhideWhenUsed/>
    <w:qFormat/>
    <w:pPr>
      <w:ind w:firstLine="420"/>
    </w:p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annotation reference"/>
    <w:basedOn w:val="698"/>
    <w:uiPriority w:val="99"/>
    <w:semiHidden/>
    <w:unhideWhenUsed/>
    <w:qFormat/>
    <w:rPr>
      <w:sz w:val="21"/>
      <w:szCs w:val="21"/>
    </w:rPr>
  </w:style>
  <w:style w:type="character" w:styleId="727">
    <w:name w:val="footnote reference"/>
    <w:uiPriority w:val="99"/>
    <w:unhideWhenUsed/>
    <w:qFormat/>
    <w:rPr>
      <w:vertAlign w:val="superscript"/>
    </w:rPr>
  </w:style>
  <w:style w:type="paragraph" w:styleId="728">
    <w:name w:val="List Paragraph"/>
    <w:basedOn w:val="688"/>
    <w:uiPriority w:val="34"/>
    <w:qFormat/>
    <w:pPr>
      <w:contextualSpacing/>
      <w:ind w:left="720"/>
    </w:pPr>
  </w:style>
  <w:style w:type="paragraph" w:styleId="729">
    <w:name w:val="No Spacing"/>
    <w:uiPriority w:val="1"/>
    <w:qFormat/>
    <w:rPr>
      <w:rFonts w:ascii="Times New Roman" w:hAnsi="Times New Roman" w:eastAsia="宋体" w:cs="Times New Roman"/>
      <w:lang w:val="en-US" w:eastAsia="zh-CN" w:bidi="ar-SA"/>
    </w:rPr>
  </w:style>
  <w:style w:type="paragraph" w:styleId="730">
    <w:name w:val="Quote"/>
    <w:basedOn w:val="688"/>
    <w:next w:val="688"/>
    <w:uiPriority w:val="29"/>
    <w:qFormat/>
    <w:pPr>
      <w:ind w:left="720" w:right="720"/>
    </w:pPr>
    <w:rPr>
      <w:i/>
    </w:rPr>
  </w:style>
  <w:style w:type="paragraph" w:styleId="731">
    <w:name w:val="Intense Quote"/>
    <w:basedOn w:val="688"/>
    <w:next w:val="6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2" w:customStyle="1">
    <w:name w:val="TOC 标题1"/>
    <w:uiPriority w:val="39"/>
    <w:unhideWhenUsed/>
    <w:qFormat/>
    <w:rPr>
      <w:rFonts w:ascii="Times New Roman" w:hAnsi="Times New Roman" w:eastAsia="宋体" w:cs="Times New Roman"/>
      <w:lang w:val="en-US" w:eastAsia="zh-CN" w:bidi="ar-SA"/>
    </w:rPr>
  </w:style>
  <w:style w:type="paragraph" w:styleId="733" w:customStyle="1">
    <w:name w:val="标题 11"/>
    <w:basedOn w:val="688"/>
    <w:next w:val="688"/>
    <w:link w:val="745"/>
    <w:uiPriority w:val="0"/>
    <w:qFormat/>
    <w:pPr>
      <w:keepLines/>
      <w:keepNext/>
      <w:spacing w:before="340" w:after="330" w:line="576" w:lineRule="auto"/>
      <w:outlineLvl w:val="0"/>
    </w:pPr>
    <w:rPr>
      <w:rFonts w:eastAsia="楷体_GB2312"/>
      <w:b/>
      <w:sz w:val="44"/>
      <w:szCs w:val="20"/>
    </w:rPr>
  </w:style>
  <w:style w:type="paragraph" w:styleId="734" w:customStyle="1">
    <w:name w:val="标题 21"/>
    <w:basedOn w:val="688"/>
    <w:next w:val="688"/>
    <w:link w:val="74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5" w:customStyle="1">
    <w:name w:val="标题 31"/>
    <w:basedOn w:val="688"/>
    <w:next w:val="688"/>
    <w:link w:val="747"/>
    <w:uiPriority w:val="0"/>
    <w:qFormat/>
    <w:pPr>
      <w:jc w:val="left"/>
      <w:keepLines/>
      <w:keepNext/>
      <w:spacing w:before="260" w:after="260" w:line="415" w:lineRule="auto"/>
      <w:widowControl/>
      <w:outlineLvl w:val="2"/>
    </w:pPr>
    <w:rPr>
      <w:b/>
      <w:bCs/>
      <w:sz w:val="32"/>
      <w:szCs w:val="32"/>
    </w:rPr>
  </w:style>
  <w:style w:type="paragraph" w:styleId="736" w:customStyle="1">
    <w:name w:val="标题 41"/>
    <w:basedOn w:val="688"/>
    <w:next w:val="688"/>
    <w:link w:val="748"/>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7" w:customStyle="1">
    <w:name w:val="标题 51"/>
    <w:basedOn w:val="688"/>
    <w:next w:val="688"/>
    <w:link w:val="749"/>
    <w:uiPriority w:val="0"/>
    <w:qFormat/>
    <w:pPr>
      <w:jc w:val="left"/>
      <w:keepLines/>
      <w:keepNext/>
      <w:spacing w:before="280" w:after="290" w:line="374" w:lineRule="auto"/>
      <w:widowControl/>
      <w:outlineLvl w:val="4"/>
    </w:pPr>
    <w:rPr>
      <w:b/>
      <w:bCs/>
      <w:sz w:val="28"/>
      <w:szCs w:val="28"/>
    </w:rPr>
  </w:style>
  <w:style w:type="paragraph" w:styleId="738" w:customStyle="1">
    <w:name w:val="标题 61"/>
    <w:basedOn w:val="688"/>
    <w:next w:val="688"/>
    <w:link w:val="750"/>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9" w:customStyle="1">
    <w:name w:val="标题 71"/>
    <w:basedOn w:val="688"/>
    <w:next w:val="688"/>
    <w:link w:val="751"/>
    <w:uiPriority w:val="0"/>
    <w:qFormat/>
    <w:pPr>
      <w:jc w:val="left"/>
      <w:keepLines/>
      <w:keepNext/>
      <w:spacing w:before="240" w:after="64" w:line="319" w:lineRule="auto"/>
      <w:widowControl/>
      <w:outlineLvl w:val="6"/>
    </w:pPr>
    <w:rPr>
      <w:b/>
      <w:bCs/>
      <w:sz w:val="24"/>
      <w:szCs w:val="24"/>
    </w:rPr>
  </w:style>
  <w:style w:type="paragraph" w:styleId="740" w:customStyle="1">
    <w:name w:val="标题 81"/>
    <w:basedOn w:val="688"/>
    <w:next w:val="741"/>
    <w:link w:val="752"/>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1" w:customStyle="1">
    <w:name w:val="正文缩进1"/>
    <w:basedOn w:val="688"/>
    <w:link w:val="753"/>
    <w:uiPriority w:val="0"/>
    <w:unhideWhenUsed/>
    <w:qFormat/>
    <w:pPr>
      <w:ind w:firstLine="420"/>
      <w:jc w:val="left"/>
    </w:pPr>
    <w:rPr>
      <w:rFonts w:ascii="楷体_GB2312" w:eastAsia="楷体_GB2312"/>
      <w:sz w:val="24"/>
      <w:szCs w:val="20"/>
    </w:rPr>
  </w:style>
  <w:style w:type="paragraph" w:styleId="742" w:customStyle="1">
    <w:name w:val="标题 91"/>
    <w:basedOn w:val="688"/>
    <w:next w:val="741"/>
    <w:link w:val="754"/>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3" w:customStyle="1">
    <w:name w:val="默认段落字体1"/>
    <w:uiPriority w:val="1"/>
    <w:unhideWhenUsed/>
    <w:qFormat/>
  </w:style>
  <w:style w:type="table" w:styleId="744" w:customStyle="1">
    <w:name w:val="普通表格1"/>
    <w:uiPriority w:val="99"/>
    <w:unhideWhenUsed/>
    <w:qFormat/>
    <w:tblPr>
      <w:tblCellMar>
        <w:left w:w="0" w:type="dxa"/>
        <w:top w:w="0" w:type="dxa"/>
        <w:right w:w="0" w:type="dxa"/>
        <w:bottom w:w="0" w:type="dxa"/>
      </w:tblCellMar>
    </w:tblPr>
  </w:style>
  <w:style w:type="character" w:styleId="745" w:customStyle="1">
    <w:name w:val="标题 1 Char1"/>
    <w:link w:val="733"/>
    <w:uiPriority w:val="0"/>
    <w:qFormat/>
    <w:rPr>
      <w:rFonts w:ascii="Times New Roman" w:hAnsi="Times New Roman" w:eastAsia="楷体_GB2312"/>
      <w:b/>
      <w:sz w:val="44"/>
    </w:rPr>
  </w:style>
  <w:style w:type="character" w:styleId="746" w:customStyle="1">
    <w:name w:val="标题 2 Char1"/>
    <w:link w:val="734"/>
    <w:uiPriority w:val="0"/>
    <w:semiHidden/>
    <w:qFormat/>
    <w:rPr>
      <w:rFonts w:ascii="等线 Light" w:hAnsi="等线 Light" w:eastAsia="等线 Light"/>
      <w:b/>
      <w:bCs/>
      <w:sz w:val="32"/>
      <w:szCs w:val="32"/>
    </w:rPr>
  </w:style>
  <w:style w:type="character" w:styleId="747" w:customStyle="1">
    <w:name w:val="标题 3 Char1"/>
    <w:link w:val="735"/>
    <w:uiPriority w:val="0"/>
    <w:qFormat/>
    <w:rPr>
      <w:rFonts w:ascii="Times New Roman" w:hAnsi="Times New Roman"/>
      <w:b/>
      <w:bCs/>
      <w:sz w:val="32"/>
      <w:szCs w:val="32"/>
    </w:rPr>
  </w:style>
  <w:style w:type="character" w:styleId="748" w:customStyle="1">
    <w:name w:val="标题 4 Char1"/>
    <w:link w:val="736"/>
    <w:uiPriority w:val="0"/>
    <w:semiHidden/>
    <w:qFormat/>
    <w:rPr>
      <w:rFonts w:ascii="宋体" w:hAnsi="宋体" w:eastAsia="等线"/>
      <w:b/>
      <w:bCs/>
      <w:sz w:val="24"/>
      <w:szCs w:val="24"/>
      <w:u w:val="single"/>
    </w:rPr>
  </w:style>
  <w:style w:type="character" w:styleId="749" w:customStyle="1">
    <w:name w:val="标题 5 Char1"/>
    <w:link w:val="737"/>
    <w:uiPriority w:val="0"/>
    <w:semiHidden/>
    <w:qFormat/>
    <w:rPr>
      <w:rFonts w:ascii="Times New Roman" w:hAnsi="Times New Roman"/>
      <w:b/>
      <w:bCs/>
      <w:sz w:val="28"/>
      <w:szCs w:val="28"/>
    </w:rPr>
  </w:style>
  <w:style w:type="character" w:styleId="750" w:customStyle="1">
    <w:name w:val="标题 6 Char1"/>
    <w:link w:val="738"/>
    <w:uiPriority w:val="0"/>
    <w:semiHidden/>
    <w:qFormat/>
    <w:rPr>
      <w:rFonts w:ascii="Arial" w:hAnsi="Arial" w:eastAsia="黑体"/>
      <w:b/>
      <w:bCs/>
      <w:sz w:val="24"/>
      <w:szCs w:val="24"/>
    </w:rPr>
  </w:style>
  <w:style w:type="character" w:styleId="751" w:customStyle="1">
    <w:name w:val="标题 7 Char1"/>
    <w:link w:val="739"/>
    <w:uiPriority w:val="0"/>
    <w:semiHidden/>
    <w:qFormat/>
    <w:rPr>
      <w:rFonts w:ascii="Times New Roman" w:hAnsi="Times New Roman"/>
      <w:b/>
      <w:bCs/>
      <w:sz w:val="24"/>
      <w:szCs w:val="24"/>
    </w:rPr>
  </w:style>
  <w:style w:type="character" w:styleId="752" w:customStyle="1">
    <w:name w:val="标题 8 Char"/>
    <w:link w:val="740"/>
    <w:uiPriority w:val="0"/>
    <w:qFormat/>
    <w:rPr>
      <w:rFonts w:ascii="Arial" w:hAnsi="Arial" w:eastAsia="黑体"/>
      <w:sz w:val="24"/>
    </w:rPr>
  </w:style>
  <w:style w:type="character" w:styleId="753" w:customStyle="1">
    <w:name w:val="正文缩进 Char1"/>
    <w:link w:val="741"/>
    <w:uiPriority w:val="0"/>
    <w:qFormat/>
    <w:rPr>
      <w:rFonts w:ascii="楷体_GB2312" w:eastAsia="楷体_GB2312"/>
      <w:sz w:val="24"/>
    </w:rPr>
  </w:style>
  <w:style w:type="character" w:styleId="754" w:customStyle="1">
    <w:name w:val="标题 9 Char"/>
    <w:link w:val="742"/>
    <w:uiPriority w:val="0"/>
    <w:qFormat/>
    <w:rPr>
      <w:rFonts w:ascii="Arial" w:hAnsi="Arial" w:eastAsia="黑体"/>
      <w:sz w:val="21"/>
    </w:rPr>
  </w:style>
  <w:style w:type="paragraph" w:styleId="755" w:customStyle="1">
    <w:name w:val="列表 31"/>
    <w:basedOn w:val="688"/>
    <w:uiPriority w:val="0"/>
    <w:qFormat/>
    <w:pPr>
      <w:contextualSpacing/>
      <w:ind w:left="100" w:hanging="200"/>
      <w:jc w:val="left"/>
      <w:spacing w:line="360" w:lineRule="auto"/>
    </w:pPr>
    <w:rPr>
      <w:rFonts w:ascii="宋体" w:hAnsi="宋体"/>
      <w:sz w:val="24"/>
      <w:szCs w:val="20"/>
    </w:rPr>
  </w:style>
  <w:style w:type="paragraph" w:styleId="756" w:customStyle="1">
    <w:name w:val="目录 71"/>
    <w:basedOn w:val="688"/>
    <w:next w:val="688"/>
    <w:uiPriority w:val="39"/>
    <w:unhideWhenUsed/>
    <w:qFormat/>
    <w:pPr>
      <w:ind w:left="1701"/>
      <w:spacing w:after="57"/>
    </w:pPr>
  </w:style>
  <w:style w:type="paragraph" w:styleId="757" w:customStyle="1">
    <w:name w:val="题注1"/>
    <w:basedOn w:val="688"/>
    <w:next w:val="688"/>
    <w:uiPriority w:val="0"/>
    <w:qFormat/>
    <w:pPr>
      <w:contextualSpacing/>
      <w:ind w:firstLine="200"/>
      <w:jc w:val="left"/>
      <w:spacing w:line="360" w:lineRule="auto"/>
      <w:widowControl/>
    </w:pPr>
    <w:rPr>
      <w:rFonts w:ascii="Cambria" w:hAnsi="Cambria" w:eastAsia="黑体"/>
      <w:sz w:val="20"/>
      <w:szCs w:val="20"/>
    </w:rPr>
  </w:style>
  <w:style w:type="paragraph" w:styleId="758" w:customStyle="1">
    <w:name w:val="文档结构图1"/>
    <w:basedOn w:val="688"/>
    <w:link w:val="759"/>
    <w:uiPriority w:val="0"/>
    <w:unhideWhenUsed/>
    <w:qFormat/>
    <w:pPr>
      <w:jc w:val="left"/>
      <w:shd w:val="clear" w:color="auto" w:fill="000080"/>
      <w:widowControl/>
    </w:pPr>
    <w:rPr>
      <w:sz w:val="24"/>
      <w:szCs w:val="24"/>
    </w:rPr>
  </w:style>
  <w:style w:type="character" w:styleId="759" w:customStyle="1">
    <w:name w:val="文档结构图 Char1"/>
    <w:link w:val="758"/>
    <w:uiPriority w:val="0"/>
    <w:qFormat/>
    <w:rPr>
      <w:rFonts w:ascii="Times New Roman" w:hAnsi="Times New Roman"/>
      <w:sz w:val="24"/>
      <w:szCs w:val="24"/>
      <w:shd w:val="clear" w:color="auto" w:fill="000080"/>
    </w:rPr>
  </w:style>
  <w:style w:type="paragraph" w:styleId="760" w:customStyle="1">
    <w:name w:val="批注文字1"/>
    <w:basedOn w:val="688"/>
    <w:link w:val="761"/>
    <w:uiPriority w:val="0"/>
    <w:unhideWhenUsed/>
    <w:qFormat/>
    <w:pPr>
      <w:jc w:val="left"/>
      <w:widowControl/>
    </w:pPr>
    <w:rPr>
      <w:sz w:val="24"/>
      <w:szCs w:val="24"/>
    </w:rPr>
  </w:style>
  <w:style w:type="character" w:styleId="761" w:customStyle="1">
    <w:name w:val="批注文字 Char1"/>
    <w:link w:val="760"/>
    <w:uiPriority w:val="0"/>
    <w:qFormat/>
    <w:rPr>
      <w:rFonts w:ascii="Times New Roman" w:hAnsi="Times New Roman"/>
      <w:sz w:val="24"/>
      <w:szCs w:val="24"/>
    </w:rPr>
  </w:style>
  <w:style w:type="paragraph" w:styleId="762" w:customStyle="1">
    <w:name w:val="正文文本 311"/>
    <w:basedOn w:val="688"/>
    <w:link w:val="763"/>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3" w:customStyle="1">
    <w:name w:val="正文文本 3 Char1"/>
    <w:link w:val="762"/>
    <w:uiPriority w:val="0"/>
    <w:qFormat/>
    <w:rPr>
      <w:rFonts w:ascii="楷体_GB2312" w:hAnsi="宋体" w:eastAsia="楷体_GB2312"/>
      <w:b/>
      <w:color w:val="000000"/>
      <w:sz w:val="30"/>
      <w:szCs w:val="24"/>
    </w:rPr>
  </w:style>
  <w:style w:type="paragraph" w:styleId="764" w:customStyle="1">
    <w:name w:val="正文文本11"/>
    <w:basedOn w:val="688"/>
    <w:link w:val="765"/>
    <w:uiPriority w:val="99"/>
    <w:qFormat/>
    <w:pPr>
      <w:jc w:val="left"/>
      <w:spacing w:line="360" w:lineRule="auto"/>
      <w:widowControl/>
    </w:pPr>
    <w:rPr>
      <w:sz w:val="24"/>
      <w:szCs w:val="20"/>
    </w:rPr>
  </w:style>
  <w:style w:type="character" w:styleId="765" w:customStyle="1">
    <w:name w:val="正文文本 Char1"/>
    <w:link w:val="764"/>
    <w:uiPriority w:val="99"/>
    <w:qFormat/>
    <w:rPr>
      <w:rFonts w:ascii="Times New Roman" w:hAnsi="Times New Roman"/>
      <w:sz w:val="24"/>
    </w:rPr>
  </w:style>
  <w:style w:type="paragraph" w:styleId="766" w:customStyle="1">
    <w:name w:val="正文文本缩进1"/>
    <w:basedOn w:val="688"/>
    <w:next w:val="688"/>
    <w:link w:val="767"/>
    <w:uiPriority w:val="99"/>
    <w:unhideWhenUsed/>
    <w:qFormat/>
    <w:pPr>
      <w:ind w:right="-159" w:firstLine="246"/>
      <w:spacing w:line="240" w:lineRule="atLeast"/>
    </w:pPr>
    <w:rPr>
      <w:spacing w:val="20"/>
      <w:szCs w:val="24"/>
    </w:rPr>
  </w:style>
  <w:style w:type="character" w:styleId="767" w:customStyle="1">
    <w:name w:val="正文文本缩进 Char"/>
    <w:link w:val="766"/>
    <w:uiPriority w:val="0"/>
    <w:qFormat/>
    <w:rPr>
      <w:rFonts w:ascii="Times New Roman" w:hAnsi="Times New Roman"/>
      <w:spacing w:val="20"/>
      <w:sz w:val="21"/>
      <w:szCs w:val="24"/>
    </w:rPr>
  </w:style>
  <w:style w:type="paragraph" w:styleId="768" w:customStyle="1">
    <w:name w:val="列表 21"/>
    <w:basedOn w:val="688"/>
    <w:uiPriority w:val="0"/>
    <w:qFormat/>
    <w:pPr>
      <w:contextualSpacing/>
      <w:ind w:left="100" w:hanging="200"/>
      <w:jc w:val="left"/>
      <w:spacing w:line="360" w:lineRule="auto"/>
    </w:pPr>
    <w:rPr>
      <w:rFonts w:ascii="宋体" w:hAnsi="宋体"/>
      <w:sz w:val="24"/>
      <w:szCs w:val="24"/>
    </w:rPr>
  </w:style>
  <w:style w:type="paragraph" w:styleId="769" w:customStyle="1">
    <w:name w:val="文本块1"/>
    <w:basedOn w:val="688"/>
    <w:uiPriority w:val="0"/>
    <w:unhideWhenUsed/>
    <w:qFormat/>
    <w:pPr>
      <w:ind w:left="630" w:right="-609" w:firstLine="420"/>
      <w:spacing w:line="360" w:lineRule="auto"/>
    </w:pPr>
    <w:rPr>
      <w:rFonts w:ascii="仿宋_GB2312" w:eastAsia="仿宋_GB2312"/>
      <w:szCs w:val="20"/>
    </w:rPr>
  </w:style>
  <w:style w:type="paragraph" w:styleId="770" w:customStyle="1">
    <w:name w:val="目录 51"/>
    <w:basedOn w:val="688"/>
    <w:next w:val="688"/>
    <w:uiPriority w:val="39"/>
    <w:unhideWhenUsed/>
    <w:qFormat/>
    <w:pPr>
      <w:ind w:left="1134"/>
      <w:spacing w:after="57"/>
    </w:pPr>
  </w:style>
  <w:style w:type="paragraph" w:styleId="771" w:customStyle="1">
    <w:name w:val="目录 31"/>
    <w:basedOn w:val="688"/>
    <w:next w:val="688"/>
    <w:uiPriority w:val="39"/>
    <w:unhideWhenUsed/>
    <w:qFormat/>
    <w:pPr>
      <w:ind w:left="567"/>
      <w:spacing w:after="57"/>
    </w:pPr>
  </w:style>
  <w:style w:type="paragraph" w:styleId="772" w:customStyle="1">
    <w:name w:val="纯文本111"/>
    <w:basedOn w:val="688"/>
    <w:link w:val="773"/>
    <w:uiPriority w:val="0"/>
    <w:qFormat/>
    <w:rPr>
      <w:rFonts w:ascii="宋体" w:hAnsi="Courier New" w:eastAsia="楷体_GB2312"/>
      <w:sz w:val="26"/>
      <w:szCs w:val="20"/>
    </w:rPr>
  </w:style>
  <w:style w:type="character" w:styleId="773" w:customStyle="1">
    <w:name w:val="纯文本 Char1"/>
    <w:link w:val="772"/>
    <w:uiPriority w:val="0"/>
    <w:qFormat/>
    <w:rPr>
      <w:rFonts w:ascii="宋体" w:hAnsi="Courier New" w:eastAsia="楷体_GB2312"/>
      <w:sz w:val="26"/>
    </w:rPr>
  </w:style>
  <w:style w:type="paragraph" w:styleId="774" w:customStyle="1">
    <w:name w:val="目录 81"/>
    <w:basedOn w:val="688"/>
    <w:next w:val="688"/>
    <w:uiPriority w:val="39"/>
    <w:unhideWhenUsed/>
    <w:qFormat/>
    <w:pPr>
      <w:ind w:left="1984"/>
      <w:spacing w:after="57"/>
    </w:pPr>
  </w:style>
  <w:style w:type="paragraph" w:styleId="775" w:customStyle="1">
    <w:name w:val="日期1"/>
    <w:basedOn w:val="688"/>
    <w:next w:val="688"/>
    <w:link w:val="776"/>
    <w:uiPriority w:val="99"/>
    <w:unhideWhenUsed/>
    <w:qFormat/>
    <w:pPr>
      <w:ind w:left="100"/>
    </w:pPr>
    <w:rPr>
      <w:b/>
      <w:bCs/>
      <w:spacing w:val="20"/>
      <w:szCs w:val="24"/>
    </w:rPr>
  </w:style>
  <w:style w:type="character" w:styleId="776" w:customStyle="1">
    <w:name w:val="日期 Char1"/>
    <w:link w:val="775"/>
    <w:uiPriority w:val="99"/>
    <w:qFormat/>
    <w:rPr>
      <w:rFonts w:ascii="Times New Roman" w:hAnsi="Times New Roman"/>
      <w:b/>
      <w:bCs/>
      <w:spacing w:val="20"/>
      <w:sz w:val="21"/>
      <w:szCs w:val="24"/>
    </w:rPr>
  </w:style>
  <w:style w:type="paragraph" w:styleId="777" w:customStyle="1">
    <w:name w:val="正文文本缩进 21"/>
    <w:basedOn w:val="688"/>
    <w:link w:val="778"/>
    <w:uiPriority w:val="0"/>
    <w:unhideWhenUsed/>
    <w:qFormat/>
    <w:pPr>
      <w:ind w:firstLine="460"/>
      <w:jc w:val="left"/>
      <w:spacing w:line="360" w:lineRule="auto"/>
      <w:widowControl/>
    </w:pPr>
    <w:rPr>
      <w:spacing w:val="20"/>
      <w:szCs w:val="24"/>
    </w:rPr>
  </w:style>
  <w:style w:type="character" w:styleId="778" w:customStyle="1">
    <w:name w:val="正文文本缩进 2 Char"/>
    <w:link w:val="777"/>
    <w:uiPriority w:val="0"/>
    <w:qFormat/>
    <w:rPr>
      <w:rFonts w:ascii="Times New Roman" w:hAnsi="Times New Roman"/>
      <w:spacing w:val="20"/>
      <w:sz w:val="21"/>
      <w:szCs w:val="24"/>
    </w:rPr>
  </w:style>
  <w:style w:type="paragraph" w:styleId="779" w:customStyle="1">
    <w:name w:val="尾注文本1"/>
    <w:basedOn w:val="688"/>
    <w:link w:val="780"/>
    <w:uiPriority w:val="99"/>
    <w:unhideWhenUsed/>
    <w:qFormat/>
    <w:rPr>
      <w:sz w:val="20"/>
    </w:rPr>
  </w:style>
  <w:style w:type="character" w:styleId="780" w:customStyle="1">
    <w:name w:val="尾注文本 Char"/>
    <w:link w:val="779"/>
    <w:uiPriority w:val="99"/>
    <w:qFormat/>
    <w:rPr>
      <w:sz w:val="20"/>
    </w:rPr>
  </w:style>
  <w:style w:type="paragraph" w:styleId="781" w:customStyle="1">
    <w:name w:val="批注框文本1"/>
    <w:basedOn w:val="688"/>
    <w:link w:val="782"/>
    <w:uiPriority w:val="99"/>
    <w:unhideWhenUsed/>
    <w:qFormat/>
    <w:pPr>
      <w:jc w:val="left"/>
      <w:widowControl/>
    </w:pPr>
    <w:rPr>
      <w:sz w:val="18"/>
      <w:szCs w:val="18"/>
    </w:rPr>
  </w:style>
  <w:style w:type="character" w:styleId="782" w:customStyle="1">
    <w:name w:val="批注框文本 Char1"/>
    <w:link w:val="781"/>
    <w:uiPriority w:val="99"/>
    <w:qFormat/>
    <w:rPr>
      <w:rFonts w:ascii="Times New Roman" w:hAnsi="Times New Roman"/>
      <w:sz w:val="18"/>
      <w:szCs w:val="18"/>
    </w:rPr>
  </w:style>
  <w:style w:type="paragraph" w:styleId="783" w:customStyle="1">
    <w:name w:val="页脚1"/>
    <w:basedOn w:val="688"/>
    <w:link w:val="784"/>
    <w:uiPriority w:val="99"/>
    <w:unhideWhenUsed/>
    <w:qFormat/>
    <w:pPr>
      <w:jc w:val="left"/>
      <w:tabs>
        <w:tab w:val="center" w:pos="4153" w:leader="none"/>
        <w:tab w:val="right" w:pos="8306" w:leader="none"/>
      </w:tabs>
    </w:pPr>
    <w:rPr>
      <w:sz w:val="18"/>
      <w:szCs w:val="18"/>
    </w:rPr>
  </w:style>
  <w:style w:type="character" w:styleId="784" w:customStyle="1">
    <w:name w:val="页脚 Char1"/>
    <w:link w:val="783"/>
    <w:uiPriority w:val="99"/>
    <w:qFormat/>
    <w:rPr>
      <w:rFonts w:ascii="Times New Roman" w:hAnsi="Times New Roman"/>
      <w:sz w:val="18"/>
      <w:szCs w:val="18"/>
    </w:rPr>
  </w:style>
  <w:style w:type="paragraph" w:styleId="785" w:customStyle="1">
    <w:name w:val="页眉1"/>
    <w:basedOn w:val="688"/>
    <w:link w:val="786"/>
    <w:uiPriority w:val="99"/>
    <w:unhideWhenUsed/>
    <w:qFormat/>
    <w:pPr>
      <w:jc w:val="center"/>
      <w:tabs>
        <w:tab w:val="center" w:pos="4153" w:leader="none"/>
        <w:tab w:val="right" w:pos="8306" w:leader="none"/>
      </w:tabs>
    </w:pPr>
    <w:rPr>
      <w:sz w:val="18"/>
      <w:szCs w:val="18"/>
    </w:rPr>
  </w:style>
  <w:style w:type="character" w:styleId="786" w:customStyle="1">
    <w:name w:val="页眉 Char1"/>
    <w:link w:val="785"/>
    <w:uiPriority w:val="99"/>
    <w:qFormat/>
    <w:rPr>
      <w:rFonts w:ascii="Times New Roman" w:hAnsi="Times New Roman"/>
      <w:sz w:val="18"/>
      <w:szCs w:val="18"/>
    </w:rPr>
  </w:style>
  <w:style w:type="paragraph" w:styleId="787" w:customStyle="1">
    <w:name w:val="目录 11"/>
    <w:basedOn w:val="688"/>
    <w:next w:val="688"/>
    <w:uiPriority w:val="39"/>
    <w:unhideWhenUsed/>
    <w:qFormat/>
  </w:style>
  <w:style w:type="paragraph" w:styleId="788" w:customStyle="1">
    <w:name w:val="目录 41"/>
    <w:basedOn w:val="688"/>
    <w:next w:val="688"/>
    <w:uiPriority w:val="39"/>
    <w:unhideWhenUsed/>
    <w:qFormat/>
    <w:pPr>
      <w:ind w:left="850"/>
      <w:spacing w:after="57"/>
    </w:pPr>
  </w:style>
  <w:style w:type="paragraph" w:styleId="789" w:customStyle="1">
    <w:name w:val="副标题1"/>
    <w:basedOn w:val="688"/>
    <w:next w:val="688"/>
    <w:link w:val="790"/>
    <w:uiPriority w:val="0"/>
    <w:qFormat/>
    <w:pPr>
      <w:ind w:left="1920" w:right="1920"/>
      <w:jc w:val="left"/>
      <w:keepLines/>
      <w:keepNext/>
      <w:spacing w:line="480" w:lineRule="auto"/>
      <w:widowControl/>
    </w:pPr>
    <w:rPr>
      <w:sz w:val="24"/>
      <w:szCs w:val="24"/>
    </w:rPr>
  </w:style>
  <w:style w:type="character" w:styleId="790" w:customStyle="1">
    <w:name w:val="副标题 Char1"/>
    <w:link w:val="789"/>
    <w:uiPriority w:val="0"/>
    <w:qFormat/>
    <w:rPr>
      <w:rFonts w:ascii="Times New Roman" w:hAnsi="Times New Roman" w:cs="宋体"/>
      <w:sz w:val="24"/>
      <w:szCs w:val="24"/>
    </w:rPr>
  </w:style>
  <w:style w:type="paragraph" w:styleId="791" w:customStyle="1">
    <w:name w:val="列表1"/>
    <w:basedOn w:val="688"/>
    <w:uiPriority w:val="0"/>
    <w:qFormat/>
    <w:pPr>
      <w:contextualSpacing/>
      <w:ind w:left="200" w:hanging="200"/>
      <w:jc w:val="left"/>
      <w:spacing w:line="360" w:lineRule="auto"/>
    </w:pPr>
    <w:rPr>
      <w:rFonts w:ascii="宋体" w:hAnsi="宋体"/>
      <w:sz w:val="24"/>
      <w:szCs w:val="24"/>
    </w:rPr>
  </w:style>
  <w:style w:type="paragraph" w:styleId="792" w:customStyle="1">
    <w:name w:val="脚注文本1"/>
    <w:basedOn w:val="688"/>
    <w:link w:val="793"/>
    <w:uiPriority w:val="0"/>
    <w:unhideWhenUsed/>
    <w:qFormat/>
    <w:pPr>
      <w:contextualSpacing/>
      <w:jc w:val="left"/>
    </w:pPr>
    <w:rPr>
      <w:sz w:val="18"/>
      <w:szCs w:val="18"/>
    </w:rPr>
  </w:style>
  <w:style w:type="character" w:styleId="793" w:customStyle="1">
    <w:name w:val="脚注文本 Char"/>
    <w:link w:val="792"/>
    <w:uiPriority w:val="0"/>
    <w:qFormat/>
    <w:rPr>
      <w:rFonts w:ascii="Times New Roman" w:hAnsi="Times New Roman"/>
      <w:sz w:val="18"/>
      <w:szCs w:val="18"/>
    </w:rPr>
  </w:style>
  <w:style w:type="paragraph" w:styleId="794" w:customStyle="1">
    <w:name w:val="目录 61"/>
    <w:basedOn w:val="688"/>
    <w:next w:val="688"/>
    <w:uiPriority w:val="0"/>
    <w:unhideWhenUsed/>
    <w:qFormat/>
    <w:pPr>
      <w:ind w:left="1050"/>
    </w:pPr>
    <w:rPr>
      <w:rFonts w:ascii="Calibri" w:hAnsi="Calibri" w:cs="Calibri"/>
      <w:sz w:val="18"/>
      <w:szCs w:val="18"/>
    </w:rPr>
  </w:style>
  <w:style w:type="paragraph" w:styleId="795" w:customStyle="1">
    <w:name w:val="列表 51"/>
    <w:basedOn w:val="688"/>
    <w:uiPriority w:val="0"/>
    <w:qFormat/>
    <w:pPr>
      <w:contextualSpacing/>
      <w:ind w:left="100" w:hanging="200"/>
      <w:jc w:val="left"/>
      <w:spacing w:line="360" w:lineRule="auto"/>
    </w:pPr>
    <w:rPr>
      <w:rFonts w:ascii="宋体" w:hAnsi="宋体"/>
      <w:sz w:val="24"/>
      <w:szCs w:val="20"/>
    </w:rPr>
  </w:style>
  <w:style w:type="paragraph" w:styleId="796" w:customStyle="1">
    <w:name w:val="正文文本缩进 31"/>
    <w:basedOn w:val="688"/>
    <w:link w:val="797"/>
    <w:uiPriority w:val="99"/>
    <w:qFormat/>
    <w:pPr>
      <w:ind w:left="420"/>
      <w:spacing w:after="120"/>
    </w:pPr>
    <w:rPr>
      <w:rFonts w:eastAsia="楷体_GB2312"/>
      <w:sz w:val="16"/>
      <w:szCs w:val="16"/>
    </w:rPr>
  </w:style>
  <w:style w:type="character" w:styleId="797" w:customStyle="1">
    <w:name w:val="正文文本缩进 3 Char"/>
    <w:link w:val="796"/>
    <w:uiPriority w:val="99"/>
    <w:qFormat/>
    <w:rPr>
      <w:rFonts w:ascii="Times New Roman" w:hAnsi="Times New Roman" w:eastAsia="楷体_GB2312"/>
      <w:sz w:val="16"/>
      <w:szCs w:val="16"/>
    </w:rPr>
  </w:style>
  <w:style w:type="paragraph" w:styleId="798" w:customStyle="1">
    <w:name w:val="图表目录1"/>
    <w:basedOn w:val="688"/>
    <w:next w:val="688"/>
    <w:uiPriority w:val="99"/>
    <w:unhideWhenUsed/>
    <w:qFormat/>
  </w:style>
  <w:style w:type="paragraph" w:styleId="799" w:customStyle="1">
    <w:name w:val="目录 21"/>
    <w:basedOn w:val="688"/>
    <w:next w:val="688"/>
    <w:uiPriority w:val="39"/>
    <w:unhideWhenUsed/>
    <w:qFormat/>
    <w:pPr>
      <w:ind w:left="283"/>
      <w:spacing w:after="57"/>
    </w:pPr>
  </w:style>
  <w:style w:type="paragraph" w:styleId="800" w:customStyle="1">
    <w:name w:val="目录 91"/>
    <w:basedOn w:val="688"/>
    <w:next w:val="688"/>
    <w:uiPriority w:val="39"/>
    <w:unhideWhenUsed/>
    <w:qFormat/>
    <w:pPr>
      <w:ind w:left="2268"/>
      <w:spacing w:after="57"/>
    </w:pPr>
  </w:style>
  <w:style w:type="paragraph" w:styleId="801" w:customStyle="1">
    <w:name w:val="正文文本 21"/>
    <w:basedOn w:val="688"/>
    <w:link w:val="802"/>
    <w:uiPriority w:val="0"/>
    <w:unhideWhenUsed/>
    <w:qFormat/>
    <w:pPr>
      <w:jc w:val="left"/>
      <w:spacing w:after="120" w:line="480" w:lineRule="auto"/>
      <w:widowControl/>
    </w:pPr>
    <w:rPr>
      <w:sz w:val="24"/>
      <w:szCs w:val="24"/>
    </w:rPr>
  </w:style>
  <w:style w:type="character" w:styleId="802" w:customStyle="1">
    <w:name w:val="正文文本 2 Char1"/>
    <w:link w:val="801"/>
    <w:uiPriority w:val="0"/>
    <w:qFormat/>
    <w:rPr>
      <w:rFonts w:ascii="Times New Roman" w:hAnsi="Times New Roman"/>
      <w:sz w:val="24"/>
      <w:szCs w:val="24"/>
    </w:rPr>
  </w:style>
  <w:style w:type="paragraph" w:styleId="803" w:customStyle="1">
    <w:name w:val="列表 41"/>
    <w:basedOn w:val="688"/>
    <w:uiPriority w:val="0"/>
    <w:qFormat/>
    <w:pPr>
      <w:contextualSpacing/>
      <w:ind w:left="100" w:hanging="200"/>
      <w:jc w:val="left"/>
      <w:spacing w:line="360" w:lineRule="auto"/>
    </w:pPr>
    <w:rPr>
      <w:rFonts w:ascii="宋体" w:hAnsi="宋体"/>
      <w:sz w:val="24"/>
      <w:szCs w:val="20"/>
    </w:rPr>
  </w:style>
  <w:style w:type="paragraph" w:styleId="804" w:customStyle="1">
    <w:name w:val="HTML 预设格式1"/>
    <w:basedOn w:val="688"/>
    <w:link w:val="805"/>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5" w:customStyle="1">
    <w:name w:val="HTML 预设格式 Char"/>
    <w:link w:val="804"/>
    <w:uiPriority w:val="0"/>
    <w:qFormat/>
    <w:rPr>
      <w:rFonts w:ascii="宋体" w:hAnsi="宋体" w:cs="宋体"/>
      <w:sz w:val="24"/>
      <w:szCs w:val="24"/>
    </w:rPr>
  </w:style>
  <w:style w:type="paragraph" w:styleId="806" w:customStyle="1">
    <w:name w:val="普通(网站)1"/>
    <w:basedOn w:val="688"/>
    <w:uiPriority w:val="0"/>
    <w:qFormat/>
    <w:pPr>
      <w:contextualSpacing/>
      <w:ind w:firstLine="200"/>
      <w:jc w:val="left"/>
      <w:spacing w:line="360" w:lineRule="auto"/>
      <w:widowControl/>
    </w:pPr>
    <w:rPr>
      <w:rFonts w:ascii="ˎ̥" w:hAnsi="ˎ̥" w:cs="宋体"/>
      <w:color w:val="000000"/>
      <w:sz w:val="13"/>
      <w:szCs w:val="13"/>
    </w:rPr>
  </w:style>
  <w:style w:type="paragraph" w:styleId="807" w:customStyle="1">
    <w:name w:val="索引 11"/>
    <w:basedOn w:val="688"/>
    <w:next w:val="688"/>
    <w:uiPriority w:val="0"/>
    <w:qFormat/>
    <w:pPr>
      <w:contextualSpacing/>
      <w:ind w:firstLine="200"/>
      <w:jc w:val="center"/>
      <w:spacing w:line="360" w:lineRule="auto"/>
      <w:widowControl/>
    </w:pPr>
    <w:rPr>
      <w:rFonts w:ascii="Arial" w:hAnsi="Arial" w:cs="Arial"/>
      <w:sz w:val="24"/>
      <w:szCs w:val="24"/>
    </w:rPr>
  </w:style>
  <w:style w:type="paragraph" w:styleId="808" w:customStyle="1">
    <w:name w:val="标题1"/>
    <w:basedOn w:val="688"/>
    <w:next w:val="688"/>
    <w:link w:val="809"/>
    <w:uiPriority w:val="0"/>
    <w:qFormat/>
    <w:pPr>
      <w:jc w:val="center"/>
      <w:spacing w:before="240" w:after="60"/>
      <w:widowControl/>
      <w:outlineLvl w:val="0"/>
    </w:pPr>
    <w:rPr>
      <w:rFonts w:ascii="Cambria" w:hAnsi="Cambria"/>
      <w:b/>
      <w:bCs/>
      <w:sz w:val="32"/>
      <w:szCs w:val="32"/>
    </w:rPr>
  </w:style>
  <w:style w:type="character" w:styleId="809" w:customStyle="1">
    <w:name w:val="标题 Char1"/>
    <w:link w:val="808"/>
    <w:uiPriority w:val="0"/>
    <w:qFormat/>
    <w:rPr>
      <w:rFonts w:ascii="Cambria" w:hAnsi="Cambria"/>
      <w:b/>
      <w:bCs/>
      <w:sz w:val="32"/>
      <w:szCs w:val="32"/>
    </w:rPr>
  </w:style>
  <w:style w:type="paragraph" w:styleId="810" w:customStyle="1">
    <w:name w:val="批注主题1"/>
    <w:basedOn w:val="760"/>
    <w:next w:val="760"/>
    <w:link w:val="811"/>
    <w:uiPriority w:val="0"/>
    <w:unhideWhenUsed/>
    <w:qFormat/>
    <w:rPr>
      <w:b/>
      <w:bCs/>
    </w:rPr>
  </w:style>
  <w:style w:type="character" w:styleId="811" w:customStyle="1">
    <w:name w:val="批注主题 Char"/>
    <w:link w:val="810"/>
    <w:uiPriority w:val="0"/>
    <w:qFormat/>
    <w:rPr>
      <w:rFonts w:ascii="Times New Roman" w:hAnsi="Times New Roman"/>
      <w:b/>
      <w:bCs/>
      <w:sz w:val="24"/>
      <w:szCs w:val="24"/>
    </w:rPr>
  </w:style>
  <w:style w:type="paragraph" w:styleId="812" w:customStyle="1">
    <w:name w:val="正文首行缩进1"/>
    <w:basedOn w:val="764"/>
    <w:next w:val="794"/>
    <w:link w:val="813"/>
    <w:uiPriority w:val="99"/>
    <w:unhideWhenUsed/>
    <w:qFormat/>
    <w:pPr>
      <w:ind w:firstLine="420"/>
      <w:jc w:val="both"/>
      <w:spacing w:after="120" w:line="240" w:lineRule="auto"/>
      <w:widowControl w:val="off"/>
    </w:pPr>
    <w:rPr>
      <w:sz w:val="21"/>
      <w:szCs w:val="22"/>
    </w:rPr>
  </w:style>
  <w:style w:type="character" w:styleId="813" w:customStyle="1">
    <w:name w:val="正文首行缩进 Char"/>
    <w:link w:val="812"/>
    <w:uiPriority w:val="99"/>
    <w:semiHidden/>
    <w:qFormat/>
    <w:rPr>
      <w:rFonts w:ascii="Times New Roman" w:hAnsi="Times New Roman"/>
      <w:sz w:val="21"/>
      <w:szCs w:val="22"/>
    </w:rPr>
  </w:style>
  <w:style w:type="paragraph" w:styleId="814" w:customStyle="1">
    <w:name w:val="正文首行缩进 21"/>
    <w:basedOn w:val="766"/>
    <w:link w:val="815"/>
    <w:uiPriority w:val="99"/>
    <w:unhideWhenUsed/>
    <w:qFormat/>
    <w:pPr>
      <w:ind w:left="420" w:right="0" w:firstLine="420"/>
      <w:jc w:val="left"/>
      <w:spacing w:after="120" w:line="240" w:lineRule="auto"/>
      <w:widowControl/>
    </w:pPr>
    <w:rPr>
      <w:sz w:val="24"/>
    </w:rPr>
  </w:style>
  <w:style w:type="character" w:styleId="815" w:customStyle="1">
    <w:name w:val="正文首行缩进 2 Char"/>
    <w:link w:val="814"/>
    <w:uiPriority w:val="99"/>
    <w:qFormat/>
    <w:rPr>
      <w:rFonts w:ascii="Times New Roman" w:hAnsi="Times New Roman"/>
      <w:spacing w:val="20"/>
      <w:sz w:val="24"/>
      <w:szCs w:val="24"/>
    </w:rPr>
  </w:style>
  <w:style w:type="table" w:styleId="816" w:customStyle="1">
    <w:name w:val="网格型11"/>
    <w:basedOn w:val="744"/>
    <w:uiPriority w:val="39"/>
    <w:qFormat/>
    <w:pPr>
      <w:jc w:val="both"/>
      <w:widowControl w:val="off"/>
    </w:pPr>
    <w:tblPr/>
  </w:style>
  <w:style w:type="character" w:styleId="817" w:customStyle="1">
    <w:name w:val="要点1"/>
    <w:uiPriority w:val="0"/>
    <w:qFormat/>
    <w:rPr>
      <w:b/>
    </w:rPr>
  </w:style>
  <w:style w:type="character" w:styleId="818" w:customStyle="1">
    <w:name w:val="尾注引用1"/>
    <w:uiPriority w:val="99"/>
    <w:unhideWhenUsed/>
    <w:qFormat/>
    <w:rPr>
      <w:vertAlign w:val="superscript"/>
    </w:rPr>
  </w:style>
  <w:style w:type="character" w:styleId="819" w:customStyle="1">
    <w:name w:val="页码1"/>
    <w:uiPriority w:val="0"/>
    <w:unhideWhenUsed/>
    <w:qFormat/>
  </w:style>
  <w:style w:type="character" w:styleId="820" w:customStyle="1">
    <w:name w:val="已访问的超链接1"/>
    <w:uiPriority w:val="99"/>
    <w:unhideWhenUsed/>
    <w:qFormat/>
    <w:rPr>
      <w:color w:val="800080"/>
      <w:u w:val="single"/>
    </w:rPr>
  </w:style>
  <w:style w:type="character" w:styleId="821" w:customStyle="1">
    <w:name w:val="强调1"/>
    <w:uiPriority w:val="0"/>
    <w:qFormat/>
    <w:rPr>
      <w:color w:val="cc0033"/>
    </w:rPr>
  </w:style>
  <w:style w:type="character" w:styleId="822" w:customStyle="1">
    <w:name w:val="超链接1"/>
    <w:uiPriority w:val="99"/>
    <w:unhideWhenUsed/>
    <w:qFormat/>
    <w:rPr>
      <w:color w:val="0000ff"/>
      <w:u w:val="single"/>
    </w:rPr>
  </w:style>
  <w:style w:type="character" w:styleId="823" w:customStyle="1">
    <w:name w:val="批注引用1"/>
    <w:uiPriority w:val="0"/>
    <w:unhideWhenUsed/>
    <w:qFormat/>
    <w:rPr>
      <w:sz w:val="21"/>
      <w:szCs w:val="21"/>
    </w:rPr>
  </w:style>
  <w:style w:type="character" w:styleId="824" w:customStyle="1">
    <w:name w:val="脚注引用1"/>
    <w:uiPriority w:val="0"/>
    <w:unhideWhenUsed/>
    <w:qFormat/>
    <w:rPr>
      <w:rFonts w:cs="Times New Roman"/>
      <w:vertAlign w:val="superscript"/>
    </w:rPr>
  </w:style>
  <w:style w:type="character" w:styleId="825" w:customStyle="1">
    <w:name w:val="标题 1 Char"/>
    <w:uiPriority w:val="0"/>
    <w:qFormat/>
    <w:rPr>
      <w:rFonts w:ascii="宋体" w:hAnsi="宋体"/>
      <w:b/>
      <w:color w:val="000000"/>
      <w:sz w:val="36"/>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table" w:styleId="828" w:customStyle="1">
    <w:name w:val="无格式表格 11"/>
    <w:basedOn w:val="744"/>
    <w:uiPriority w:val="59"/>
    <w:qFormat/>
    <w:tblPr/>
  </w:style>
  <w:style w:type="table" w:styleId="829" w:customStyle="1">
    <w:name w:val="无格式表格 21"/>
    <w:basedOn w:val="744"/>
    <w:uiPriority w:val="59"/>
    <w:qFormat/>
    <w:tblPr/>
  </w:style>
  <w:style w:type="table" w:styleId="830" w:customStyle="1">
    <w:name w:val="无格式表格 31"/>
    <w:basedOn w:val="744"/>
    <w:uiPriority w:val="99"/>
    <w:qFormat/>
    <w:tblPr/>
  </w:style>
  <w:style w:type="table" w:styleId="831" w:customStyle="1">
    <w:name w:val="无格式表格 41"/>
    <w:basedOn w:val="744"/>
    <w:uiPriority w:val="99"/>
    <w:qFormat/>
    <w:tblPr/>
  </w:style>
  <w:style w:type="table" w:styleId="832" w:customStyle="1">
    <w:name w:val="无格式表格 51"/>
    <w:basedOn w:val="744"/>
    <w:uiPriority w:val="99"/>
    <w:qFormat/>
    <w:tblPr/>
  </w:style>
  <w:style w:type="table" w:styleId="833" w:customStyle="1">
    <w:name w:val="网格表 1 浅色1"/>
    <w:basedOn w:val="744"/>
    <w:uiPriority w:val="99"/>
    <w:qFormat/>
    <w:tblPr/>
  </w:style>
  <w:style w:type="table" w:styleId="834" w:customStyle="1">
    <w:name w:val="网格表 21"/>
    <w:basedOn w:val="744"/>
    <w:uiPriority w:val="99"/>
    <w:qFormat/>
    <w:tblPr/>
  </w:style>
  <w:style w:type="table" w:styleId="835" w:customStyle="1">
    <w:name w:val="网格表 31"/>
    <w:basedOn w:val="744"/>
    <w:uiPriority w:val="99"/>
    <w:qFormat/>
    <w:tblPr/>
  </w:style>
  <w:style w:type="table" w:styleId="836" w:customStyle="1">
    <w:name w:val="网格表 41"/>
    <w:basedOn w:val="744"/>
    <w:uiPriority w:val="59"/>
    <w:qFormat/>
    <w:tblPr/>
  </w:style>
  <w:style w:type="table" w:styleId="837" w:customStyle="1">
    <w:name w:val="网格表 5 深色1"/>
    <w:basedOn w:val="744"/>
    <w:uiPriority w:val="99"/>
    <w:qFormat/>
    <w:tblPr/>
  </w:style>
  <w:style w:type="table" w:styleId="838" w:customStyle="1">
    <w:name w:val="网格表 6 彩色1"/>
    <w:basedOn w:val="744"/>
    <w:uiPriority w:val="99"/>
    <w:qFormat/>
    <w:tblPr/>
  </w:style>
  <w:style w:type="table" w:styleId="839" w:customStyle="1">
    <w:name w:val="网格表 7 彩色1"/>
    <w:basedOn w:val="744"/>
    <w:uiPriority w:val="99"/>
    <w:qFormat/>
    <w:tblPr/>
  </w:style>
  <w:style w:type="table" w:styleId="840" w:customStyle="1">
    <w:name w:val="清单表 1 浅色1"/>
    <w:basedOn w:val="744"/>
    <w:uiPriority w:val="99"/>
    <w:qFormat/>
    <w:tblPr/>
  </w:style>
  <w:style w:type="table" w:styleId="841" w:customStyle="1">
    <w:name w:val="清单表 21"/>
    <w:basedOn w:val="744"/>
    <w:uiPriority w:val="99"/>
    <w:qFormat/>
    <w:tblPr/>
  </w:style>
  <w:style w:type="table" w:styleId="842" w:customStyle="1">
    <w:name w:val="清单表 31"/>
    <w:basedOn w:val="744"/>
    <w:uiPriority w:val="99"/>
    <w:qFormat/>
    <w:tblPr/>
  </w:style>
  <w:style w:type="table" w:styleId="843" w:customStyle="1">
    <w:name w:val="清单表 41"/>
    <w:basedOn w:val="744"/>
    <w:uiPriority w:val="99"/>
    <w:qFormat/>
    <w:tblPr/>
  </w:style>
  <w:style w:type="table" w:styleId="844" w:customStyle="1">
    <w:name w:val="清单表 5 深色1"/>
    <w:basedOn w:val="744"/>
    <w:uiPriority w:val="99"/>
    <w:qFormat/>
    <w:tblPr/>
  </w:style>
  <w:style w:type="table" w:styleId="845" w:customStyle="1">
    <w:name w:val="清单表 6 彩色1"/>
    <w:basedOn w:val="744"/>
    <w:uiPriority w:val="99"/>
    <w:qFormat/>
    <w:tblPr/>
  </w:style>
  <w:style w:type="table" w:styleId="846" w:customStyle="1">
    <w:name w:val="清单表 7 彩色1"/>
    <w:basedOn w:val="744"/>
    <w:uiPriority w:val="99"/>
    <w:qFormat/>
    <w:tblPr/>
  </w:style>
  <w:style w:type="character" w:styleId="847" w:customStyle="1">
    <w:name w:val="Endnote Text Char"/>
    <w:uiPriority w:val="99"/>
    <w:qFormat/>
    <w:rPr>
      <w:sz w:val="20"/>
    </w:rPr>
  </w:style>
  <w:style w:type="paragraph" w:styleId="848" w:customStyle="1">
    <w:name w:val="TOC 标题111"/>
    <w:uiPriority w:val="39"/>
    <w:unhideWhenUsed/>
    <w:qFormat/>
    <w:rPr>
      <w:rFonts w:ascii="Times New Roman" w:hAnsi="Times New Roman" w:eastAsia="宋体" w:cs="Times New Roman"/>
      <w:lang w:val="en-US" w:eastAsia="zh-CN" w:bidi="ar-SA"/>
    </w:rPr>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Heading 5 Char"/>
    <w:uiPriority w:val="9"/>
    <w:qFormat/>
    <w:rPr>
      <w:rFonts w:ascii="Arial" w:hAnsi="Arial" w:eastAsia="Arial" w:cs="Arial"/>
      <w:b/>
      <w:bCs/>
      <w:sz w:val="24"/>
      <w:szCs w:val="24"/>
    </w:rPr>
  </w:style>
  <w:style w:type="character" w:styleId="854" w:customStyle="1">
    <w:name w:val="Heading 6 Char"/>
    <w:uiPriority w:val="9"/>
    <w:qFormat/>
    <w:rPr>
      <w:rFonts w:ascii="Arial" w:hAnsi="Arial" w:eastAsia="Arial" w:cs="Arial"/>
      <w:b/>
      <w:bCs/>
      <w:sz w:val="22"/>
      <w:szCs w:val="22"/>
    </w:rPr>
  </w:style>
  <w:style w:type="character" w:styleId="855" w:customStyle="1">
    <w:name w:val="Heading 7 Char"/>
    <w:uiPriority w:val="9"/>
    <w:qFormat/>
    <w:rPr>
      <w:rFonts w:ascii="Arial" w:hAnsi="Arial" w:eastAsia="Arial" w:cs="Arial"/>
      <w:b/>
      <w:bCs/>
      <w:i/>
      <w:iCs/>
      <w:sz w:val="22"/>
      <w:szCs w:val="22"/>
    </w:rPr>
  </w:style>
  <w:style w:type="character" w:styleId="856" w:customStyle="1">
    <w:name w:val="Heading 8 Char"/>
    <w:uiPriority w:val="9"/>
    <w:qFormat/>
    <w:rPr>
      <w:rFonts w:ascii="Arial" w:hAnsi="Arial" w:eastAsia="Arial" w:cs="Arial"/>
      <w:i/>
      <w:iCs/>
      <w:sz w:val="22"/>
      <w:szCs w:val="22"/>
    </w:rPr>
  </w:style>
  <w:style w:type="character" w:styleId="857" w:customStyle="1">
    <w:name w:val="Heading 9 Char"/>
    <w:uiPriority w:val="9"/>
    <w:qFormat/>
    <w:rPr>
      <w:rFonts w:ascii="Arial" w:hAnsi="Arial" w:eastAsia="Arial" w:cs="Arial"/>
      <w:i/>
      <w:iCs/>
      <w:sz w:val="21"/>
      <w:szCs w:val="21"/>
    </w:rPr>
  </w:style>
  <w:style w:type="paragraph" w:styleId="858"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59" w:customStyle="1">
    <w:name w:val="Title Char"/>
    <w:uiPriority w:val="10"/>
    <w:qFormat/>
    <w:rPr>
      <w:sz w:val="48"/>
      <w:szCs w:val="48"/>
    </w:rPr>
  </w:style>
  <w:style w:type="character" w:styleId="860" w:customStyle="1">
    <w:name w:val="Subtitle Char"/>
    <w:uiPriority w:val="11"/>
    <w:qFormat/>
    <w:rPr>
      <w:sz w:val="24"/>
      <w:szCs w:val="24"/>
    </w:rPr>
  </w:style>
  <w:style w:type="paragraph" w:styleId="861" w:customStyle="1">
    <w:name w:val="引用1"/>
    <w:basedOn w:val="688"/>
    <w:next w:val="688"/>
    <w:link w:val="862"/>
    <w:uiPriority w:val="29"/>
    <w:qFormat/>
    <w:pPr>
      <w:ind w:left="720" w:right="720"/>
    </w:pPr>
    <w:rPr>
      <w:i/>
    </w:rPr>
  </w:style>
  <w:style w:type="character" w:styleId="862" w:customStyle="1">
    <w:name w:val="引用 Char"/>
    <w:link w:val="861"/>
    <w:uiPriority w:val="29"/>
    <w:qFormat/>
    <w:rPr>
      <w:i/>
    </w:rPr>
  </w:style>
  <w:style w:type="paragraph" w:styleId="863" w:customStyle="1">
    <w:name w:val="明显引用1"/>
    <w:basedOn w:val="688"/>
    <w:next w:val="688"/>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Header Char"/>
    <w:uiPriority w:val="99"/>
    <w:qFormat/>
  </w:style>
  <w:style w:type="character" w:styleId="866" w:customStyle="1">
    <w:name w:val="Footer Char"/>
    <w:uiPriority w:val="99"/>
    <w:qFormat/>
  </w:style>
  <w:style w:type="character" w:styleId="867" w:customStyle="1">
    <w:name w:val="Caption Char"/>
    <w:uiPriority w:val="99"/>
    <w:qFormat/>
  </w:style>
  <w:style w:type="table" w:styleId="868" w:customStyle="1">
    <w:name w:val="Table Grid Light"/>
    <w:uiPriority w:val="59"/>
    <w:qFormat/>
    <w:tblPr>
      <w:tblCellMar>
        <w:left w:w="0" w:type="dxa"/>
        <w:top w:w="0" w:type="dxa"/>
        <w:right w:w="0" w:type="dxa"/>
        <w:bottom w:w="0" w:type="dxa"/>
      </w:tblCellMar>
    </w:tblPr>
  </w:style>
  <w:style w:type="table" w:styleId="869" w:customStyle="1">
    <w:name w:val="Grid Table 1 Light - Accent 1"/>
    <w:uiPriority w:val="99"/>
    <w:qFormat/>
    <w:tblPr>
      <w:tblCellMar>
        <w:left w:w="0" w:type="dxa"/>
        <w:top w:w="0" w:type="dxa"/>
        <w:right w:w="0" w:type="dxa"/>
        <w:bottom w:w="0" w:type="dxa"/>
      </w:tblCellMar>
    </w:tblPr>
  </w:style>
  <w:style w:type="table" w:styleId="870" w:customStyle="1">
    <w:name w:val="Grid Table 1 Light - Accent 2"/>
    <w:uiPriority w:val="99"/>
    <w:qFormat/>
    <w:tblPr>
      <w:tblCellMar>
        <w:left w:w="0" w:type="dxa"/>
        <w:top w:w="0" w:type="dxa"/>
        <w:right w:w="0" w:type="dxa"/>
        <w:bottom w:w="0" w:type="dxa"/>
      </w:tblCellMar>
    </w:tblPr>
  </w:style>
  <w:style w:type="table" w:styleId="871" w:customStyle="1">
    <w:name w:val="Grid Table 1 Light - Accent 3"/>
    <w:uiPriority w:val="99"/>
    <w:qFormat/>
    <w:tblPr>
      <w:tblCellMar>
        <w:left w:w="0" w:type="dxa"/>
        <w:top w:w="0" w:type="dxa"/>
        <w:right w:w="0" w:type="dxa"/>
        <w:bottom w:w="0" w:type="dxa"/>
      </w:tblCellMar>
    </w:tblPr>
  </w:style>
  <w:style w:type="table" w:styleId="872" w:customStyle="1">
    <w:name w:val="Grid Table 1 Light - Accent 4"/>
    <w:uiPriority w:val="99"/>
    <w:qFormat/>
    <w:tblPr>
      <w:tblCellMar>
        <w:left w:w="0" w:type="dxa"/>
        <w:top w:w="0" w:type="dxa"/>
        <w:right w:w="0" w:type="dxa"/>
        <w:bottom w:w="0" w:type="dxa"/>
      </w:tblCellMar>
    </w:tblPr>
  </w:style>
  <w:style w:type="table" w:styleId="873" w:customStyle="1">
    <w:name w:val="Grid Table 1 Light - Accent 5"/>
    <w:uiPriority w:val="99"/>
    <w:qFormat/>
    <w:tblPr>
      <w:tblCellMar>
        <w:left w:w="0" w:type="dxa"/>
        <w:top w:w="0" w:type="dxa"/>
        <w:right w:w="0" w:type="dxa"/>
        <w:bottom w:w="0" w:type="dxa"/>
      </w:tblCellMar>
    </w:tblPr>
  </w:style>
  <w:style w:type="table" w:styleId="874" w:customStyle="1">
    <w:name w:val="Grid Table 1 Light - Accent 6"/>
    <w:uiPriority w:val="99"/>
    <w:qFormat/>
    <w:tblPr>
      <w:tblCellMar>
        <w:left w:w="0" w:type="dxa"/>
        <w:top w:w="0" w:type="dxa"/>
        <w:right w:w="0" w:type="dxa"/>
        <w:bottom w:w="0" w:type="dxa"/>
      </w:tblCellMar>
    </w:tblPr>
  </w:style>
  <w:style w:type="table" w:styleId="875" w:customStyle="1">
    <w:name w:val="Grid Table 2 - Accent 1"/>
    <w:uiPriority w:val="99"/>
    <w:qFormat/>
    <w:tblPr>
      <w:tblCellMar>
        <w:left w:w="0" w:type="dxa"/>
        <w:top w:w="0" w:type="dxa"/>
        <w:right w:w="0" w:type="dxa"/>
        <w:bottom w:w="0" w:type="dxa"/>
      </w:tblCellMar>
    </w:tblPr>
  </w:style>
  <w:style w:type="table" w:styleId="876" w:customStyle="1">
    <w:name w:val="Grid Table 2 - Accent 2"/>
    <w:uiPriority w:val="99"/>
    <w:qFormat/>
    <w:tblPr>
      <w:tblCellMar>
        <w:left w:w="0" w:type="dxa"/>
        <w:top w:w="0" w:type="dxa"/>
        <w:right w:w="0" w:type="dxa"/>
        <w:bottom w:w="0" w:type="dxa"/>
      </w:tblCellMar>
    </w:tblPr>
  </w:style>
  <w:style w:type="table" w:styleId="877" w:customStyle="1">
    <w:name w:val="Grid Table 2 - Accent 3"/>
    <w:uiPriority w:val="99"/>
    <w:qFormat/>
    <w:tblPr>
      <w:tblCellMar>
        <w:left w:w="0" w:type="dxa"/>
        <w:top w:w="0" w:type="dxa"/>
        <w:right w:w="0" w:type="dxa"/>
        <w:bottom w:w="0" w:type="dxa"/>
      </w:tblCellMar>
    </w:tblPr>
  </w:style>
  <w:style w:type="table" w:styleId="878" w:customStyle="1">
    <w:name w:val="Grid Table 2 - Accent 4"/>
    <w:uiPriority w:val="99"/>
    <w:qFormat/>
    <w:tblPr>
      <w:tblCellMar>
        <w:left w:w="0" w:type="dxa"/>
        <w:top w:w="0" w:type="dxa"/>
        <w:right w:w="0" w:type="dxa"/>
        <w:bottom w:w="0" w:type="dxa"/>
      </w:tblCellMar>
    </w:tblPr>
  </w:style>
  <w:style w:type="table" w:styleId="879" w:customStyle="1">
    <w:name w:val="Grid Table 2 - Accent 5"/>
    <w:uiPriority w:val="99"/>
    <w:qFormat/>
    <w:tblPr>
      <w:tblCellMar>
        <w:left w:w="0" w:type="dxa"/>
        <w:top w:w="0" w:type="dxa"/>
        <w:right w:w="0" w:type="dxa"/>
        <w:bottom w:w="0" w:type="dxa"/>
      </w:tblCellMar>
    </w:tblPr>
  </w:style>
  <w:style w:type="table" w:styleId="880" w:customStyle="1">
    <w:name w:val="Grid Table 2 - Accent 6"/>
    <w:uiPriority w:val="99"/>
    <w:qFormat/>
    <w:tblPr>
      <w:tblCellMar>
        <w:left w:w="0" w:type="dxa"/>
        <w:top w:w="0" w:type="dxa"/>
        <w:right w:w="0" w:type="dxa"/>
        <w:bottom w:w="0" w:type="dxa"/>
      </w:tblCellMar>
    </w:tblPr>
  </w:style>
  <w:style w:type="table" w:styleId="881" w:customStyle="1">
    <w:name w:val="Grid Table 3 - Accent 1"/>
    <w:uiPriority w:val="99"/>
    <w:qFormat/>
    <w:tblPr>
      <w:tblCellMar>
        <w:left w:w="0" w:type="dxa"/>
        <w:top w:w="0" w:type="dxa"/>
        <w:right w:w="0" w:type="dxa"/>
        <w:bottom w:w="0" w:type="dxa"/>
      </w:tblCellMar>
    </w:tblPr>
  </w:style>
  <w:style w:type="table" w:styleId="882" w:customStyle="1">
    <w:name w:val="Grid Table 3 - Accent 2"/>
    <w:uiPriority w:val="99"/>
    <w:qFormat/>
    <w:tblPr>
      <w:tblCellMar>
        <w:left w:w="0" w:type="dxa"/>
        <w:top w:w="0" w:type="dxa"/>
        <w:right w:w="0" w:type="dxa"/>
        <w:bottom w:w="0" w:type="dxa"/>
      </w:tblCellMar>
    </w:tblPr>
  </w:style>
  <w:style w:type="table" w:styleId="883" w:customStyle="1">
    <w:name w:val="Grid Table 3 - Accent 3"/>
    <w:uiPriority w:val="99"/>
    <w:qFormat/>
    <w:tblPr>
      <w:tblCellMar>
        <w:left w:w="0" w:type="dxa"/>
        <w:top w:w="0" w:type="dxa"/>
        <w:right w:w="0" w:type="dxa"/>
        <w:bottom w:w="0" w:type="dxa"/>
      </w:tblCellMar>
    </w:tblPr>
  </w:style>
  <w:style w:type="table" w:styleId="884" w:customStyle="1">
    <w:name w:val="Grid Table 3 - Accent 4"/>
    <w:uiPriority w:val="99"/>
    <w:qFormat/>
    <w:tblPr>
      <w:tblCellMar>
        <w:left w:w="0" w:type="dxa"/>
        <w:top w:w="0" w:type="dxa"/>
        <w:right w:w="0" w:type="dxa"/>
        <w:bottom w:w="0" w:type="dxa"/>
      </w:tblCellMar>
    </w:tblPr>
  </w:style>
  <w:style w:type="table" w:styleId="885" w:customStyle="1">
    <w:name w:val="Grid Table 3 - Accent 5"/>
    <w:uiPriority w:val="99"/>
    <w:qFormat/>
    <w:tblPr>
      <w:tblCellMar>
        <w:left w:w="0" w:type="dxa"/>
        <w:top w:w="0" w:type="dxa"/>
        <w:right w:w="0" w:type="dxa"/>
        <w:bottom w:w="0" w:type="dxa"/>
      </w:tblCellMar>
    </w:tblPr>
  </w:style>
  <w:style w:type="table" w:styleId="886" w:customStyle="1">
    <w:name w:val="Grid Table 3 - Accent 6"/>
    <w:uiPriority w:val="99"/>
    <w:qFormat/>
    <w:tblPr>
      <w:tblCellMar>
        <w:left w:w="0" w:type="dxa"/>
        <w:top w:w="0" w:type="dxa"/>
        <w:right w:w="0" w:type="dxa"/>
        <w:bottom w:w="0" w:type="dxa"/>
      </w:tblCellMar>
    </w:tblPr>
  </w:style>
  <w:style w:type="table" w:styleId="887" w:customStyle="1">
    <w:name w:val="Grid Table 4 - Accent 1"/>
    <w:uiPriority w:val="59"/>
    <w:qFormat/>
    <w:tblPr>
      <w:tblCellMar>
        <w:left w:w="0" w:type="dxa"/>
        <w:top w:w="0" w:type="dxa"/>
        <w:right w:w="0" w:type="dxa"/>
        <w:bottom w:w="0" w:type="dxa"/>
      </w:tblCellMar>
    </w:tblPr>
  </w:style>
  <w:style w:type="table" w:styleId="888" w:customStyle="1">
    <w:name w:val="Grid Table 4 - Accent 2"/>
    <w:uiPriority w:val="59"/>
    <w:qFormat/>
    <w:tblPr>
      <w:tblCellMar>
        <w:left w:w="0" w:type="dxa"/>
        <w:top w:w="0" w:type="dxa"/>
        <w:right w:w="0" w:type="dxa"/>
        <w:bottom w:w="0" w:type="dxa"/>
      </w:tblCellMar>
    </w:tblPr>
  </w:style>
  <w:style w:type="table" w:styleId="889" w:customStyle="1">
    <w:name w:val="Grid Table 4 - Accent 3"/>
    <w:uiPriority w:val="59"/>
    <w:qFormat/>
    <w:tblPr>
      <w:tblCellMar>
        <w:left w:w="0" w:type="dxa"/>
        <w:top w:w="0" w:type="dxa"/>
        <w:right w:w="0" w:type="dxa"/>
        <w:bottom w:w="0" w:type="dxa"/>
      </w:tblCellMar>
    </w:tblPr>
  </w:style>
  <w:style w:type="table" w:styleId="890" w:customStyle="1">
    <w:name w:val="Grid Table 4 - Accent 4"/>
    <w:uiPriority w:val="59"/>
    <w:qFormat/>
    <w:tblPr>
      <w:tblCellMar>
        <w:left w:w="0" w:type="dxa"/>
        <w:top w:w="0" w:type="dxa"/>
        <w:right w:w="0" w:type="dxa"/>
        <w:bottom w:w="0" w:type="dxa"/>
      </w:tblCellMar>
    </w:tblPr>
  </w:style>
  <w:style w:type="table" w:styleId="891" w:customStyle="1">
    <w:name w:val="Grid Table 4 - Accent 5"/>
    <w:uiPriority w:val="59"/>
    <w:qFormat/>
    <w:tblPr>
      <w:tblCellMar>
        <w:left w:w="0" w:type="dxa"/>
        <w:top w:w="0" w:type="dxa"/>
        <w:right w:w="0" w:type="dxa"/>
        <w:bottom w:w="0" w:type="dxa"/>
      </w:tblCellMar>
    </w:tblPr>
  </w:style>
  <w:style w:type="table" w:styleId="892" w:customStyle="1">
    <w:name w:val="Grid Table 4 - Accent 6"/>
    <w:uiPriority w:val="59"/>
    <w:qFormat/>
    <w:tblPr>
      <w:tblCellMar>
        <w:left w:w="0" w:type="dxa"/>
        <w:top w:w="0" w:type="dxa"/>
        <w:right w:w="0" w:type="dxa"/>
        <w:bottom w:w="0" w:type="dxa"/>
      </w:tblCellMar>
    </w:tblPr>
  </w:style>
  <w:style w:type="table" w:styleId="893" w:customStyle="1">
    <w:name w:val="Grid Table 5 Dark- Accent 1"/>
    <w:uiPriority w:val="99"/>
    <w:qFormat/>
    <w:tblPr>
      <w:tblCellMar>
        <w:left w:w="0" w:type="dxa"/>
        <w:top w:w="0" w:type="dxa"/>
        <w:right w:w="0" w:type="dxa"/>
        <w:bottom w:w="0" w:type="dxa"/>
      </w:tblCellMar>
    </w:tblPr>
  </w:style>
  <w:style w:type="table" w:styleId="894" w:customStyle="1">
    <w:name w:val="Grid Table 5 Dark - Accent 2"/>
    <w:uiPriority w:val="99"/>
    <w:qFormat/>
    <w:tblPr>
      <w:tblCellMar>
        <w:left w:w="0" w:type="dxa"/>
        <w:top w:w="0" w:type="dxa"/>
        <w:right w:w="0" w:type="dxa"/>
        <w:bottom w:w="0" w:type="dxa"/>
      </w:tblCellMar>
    </w:tblPr>
  </w:style>
  <w:style w:type="table" w:styleId="895" w:customStyle="1">
    <w:name w:val="Grid Table 5 Dark - Accent 3"/>
    <w:uiPriority w:val="99"/>
    <w:qFormat/>
    <w:tblPr>
      <w:tblCellMar>
        <w:left w:w="0" w:type="dxa"/>
        <w:top w:w="0" w:type="dxa"/>
        <w:right w:w="0" w:type="dxa"/>
        <w:bottom w:w="0" w:type="dxa"/>
      </w:tblCellMar>
    </w:tblPr>
  </w:style>
  <w:style w:type="table" w:styleId="896" w:customStyle="1">
    <w:name w:val="Grid Table 5 Dark- Accent 4"/>
    <w:uiPriority w:val="99"/>
    <w:qFormat/>
    <w:tblPr>
      <w:tblCellMar>
        <w:left w:w="0" w:type="dxa"/>
        <w:top w:w="0" w:type="dxa"/>
        <w:right w:w="0" w:type="dxa"/>
        <w:bottom w:w="0" w:type="dxa"/>
      </w:tblCellMar>
    </w:tblPr>
  </w:style>
  <w:style w:type="table" w:styleId="897" w:customStyle="1">
    <w:name w:val="Grid Table 5 Dark - Accent 5"/>
    <w:uiPriority w:val="99"/>
    <w:qFormat/>
    <w:tblPr>
      <w:tblCellMar>
        <w:left w:w="0" w:type="dxa"/>
        <w:top w:w="0" w:type="dxa"/>
        <w:right w:w="0" w:type="dxa"/>
        <w:bottom w:w="0" w:type="dxa"/>
      </w:tblCellMar>
    </w:tblPr>
  </w:style>
  <w:style w:type="table" w:styleId="898" w:customStyle="1">
    <w:name w:val="Grid Table 5 Dark - Accent 6"/>
    <w:uiPriority w:val="99"/>
    <w:qFormat/>
    <w:tblPr>
      <w:tblCellMar>
        <w:left w:w="0" w:type="dxa"/>
        <w:top w:w="0" w:type="dxa"/>
        <w:right w:w="0" w:type="dxa"/>
        <w:bottom w:w="0" w:type="dxa"/>
      </w:tblCellMar>
    </w:tblPr>
  </w:style>
  <w:style w:type="table" w:styleId="899" w:customStyle="1">
    <w:name w:val="Grid Table 6 Colorful - Accent 1"/>
    <w:uiPriority w:val="99"/>
    <w:qFormat/>
    <w:tblPr>
      <w:tblCellMar>
        <w:left w:w="0" w:type="dxa"/>
        <w:top w:w="0" w:type="dxa"/>
        <w:right w:w="0" w:type="dxa"/>
        <w:bottom w:w="0" w:type="dxa"/>
      </w:tblCellMar>
    </w:tblPr>
  </w:style>
  <w:style w:type="table" w:styleId="900" w:customStyle="1">
    <w:name w:val="Grid Table 6 Colorful - Accent 2"/>
    <w:uiPriority w:val="99"/>
    <w:qFormat/>
    <w:tblPr>
      <w:tblCellMar>
        <w:left w:w="0" w:type="dxa"/>
        <w:top w:w="0" w:type="dxa"/>
        <w:right w:w="0" w:type="dxa"/>
        <w:bottom w:w="0" w:type="dxa"/>
      </w:tblCellMar>
    </w:tblPr>
  </w:style>
  <w:style w:type="table" w:styleId="901" w:customStyle="1">
    <w:name w:val="Grid Table 6 Colorful - Accent 3"/>
    <w:uiPriority w:val="99"/>
    <w:qFormat/>
    <w:tblPr>
      <w:tblCellMar>
        <w:left w:w="0" w:type="dxa"/>
        <w:top w:w="0" w:type="dxa"/>
        <w:right w:w="0" w:type="dxa"/>
        <w:bottom w:w="0" w:type="dxa"/>
      </w:tblCellMar>
    </w:tblPr>
  </w:style>
  <w:style w:type="table" w:styleId="902" w:customStyle="1">
    <w:name w:val="Grid Table 6 Colorful - Accent 4"/>
    <w:uiPriority w:val="99"/>
    <w:qFormat/>
    <w:tblPr>
      <w:tblCellMar>
        <w:left w:w="0" w:type="dxa"/>
        <w:top w:w="0" w:type="dxa"/>
        <w:right w:w="0" w:type="dxa"/>
        <w:bottom w:w="0" w:type="dxa"/>
      </w:tblCellMar>
    </w:tblPr>
  </w:style>
  <w:style w:type="table" w:styleId="903" w:customStyle="1">
    <w:name w:val="Grid Table 6 Colorful - Accent 5"/>
    <w:uiPriority w:val="99"/>
    <w:qFormat/>
    <w:tblPr>
      <w:tblCellMar>
        <w:left w:w="0" w:type="dxa"/>
        <w:top w:w="0" w:type="dxa"/>
        <w:right w:w="0" w:type="dxa"/>
        <w:bottom w:w="0" w:type="dxa"/>
      </w:tblCellMar>
    </w:tblPr>
  </w:style>
  <w:style w:type="table" w:styleId="904" w:customStyle="1">
    <w:name w:val="Grid Table 6 Colorful - Accent 6"/>
    <w:uiPriority w:val="99"/>
    <w:qFormat/>
    <w:tblPr>
      <w:tblCellMar>
        <w:left w:w="0" w:type="dxa"/>
        <w:top w:w="0" w:type="dxa"/>
        <w:right w:w="0" w:type="dxa"/>
        <w:bottom w:w="0" w:type="dxa"/>
      </w:tblCellMar>
    </w:tblPr>
  </w:style>
  <w:style w:type="table" w:styleId="905" w:customStyle="1">
    <w:name w:val="Grid Table 7 Colorful - Accent 1"/>
    <w:uiPriority w:val="99"/>
    <w:qFormat/>
    <w:tblPr>
      <w:tblCellMar>
        <w:left w:w="0" w:type="dxa"/>
        <w:top w:w="0" w:type="dxa"/>
        <w:right w:w="0" w:type="dxa"/>
        <w:bottom w:w="0" w:type="dxa"/>
      </w:tblCellMar>
    </w:tblPr>
  </w:style>
  <w:style w:type="table" w:styleId="906" w:customStyle="1">
    <w:name w:val="Grid Table 7 Colorful - Accent 2"/>
    <w:uiPriority w:val="99"/>
    <w:qFormat/>
    <w:tblPr>
      <w:tblCellMar>
        <w:left w:w="0" w:type="dxa"/>
        <w:top w:w="0" w:type="dxa"/>
        <w:right w:w="0" w:type="dxa"/>
        <w:bottom w:w="0" w:type="dxa"/>
      </w:tblCellMar>
    </w:tblPr>
  </w:style>
  <w:style w:type="table" w:styleId="907" w:customStyle="1">
    <w:name w:val="Grid Table 7 Colorful - Accent 3"/>
    <w:uiPriority w:val="99"/>
    <w:qFormat/>
    <w:tblPr>
      <w:tblCellMar>
        <w:left w:w="0" w:type="dxa"/>
        <w:top w:w="0" w:type="dxa"/>
        <w:right w:w="0" w:type="dxa"/>
        <w:bottom w:w="0" w:type="dxa"/>
      </w:tblCellMar>
    </w:tblPr>
  </w:style>
  <w:style w:type="table" w:styleId="908" w:customStyle="1">
    <w:name w:val="Grid Table 7 Colorful - Accent 4"/>
    <w:uiPriority w:val="99"/>
    <w:qFormat/>
    <w:tblPr>
      <w:tblCellMar>
        <w:left w:w="0" w:type="dxa"/>
        <w:top w:w="0" w:type="dxa"/>
        <w:right w:w="0" w:type="dxa"/>
        <w:bottom w:w="0" w:type="dxa"/>
      </w:tblCellMar>
    </w:tblPr>
  </w:style>
  <w:style w:type="table" w:styleId="909" w:customStyle="1">
    <w:name w:val="Grid Table 7 Colorful - Accent 5"/>
    <w:uiPriority w:val="99"/>
    <w:qFormat/>
    <w:tblPr>
      <w:tblCellMar>
        <w:left w:w="0" w:type="dxa"/>
        <w:top w:w="0" w:type="dxa"/>
        <w:right w:w="0" w:type="dxa"/>
        <w:bottom w:w="0" w:type="dxa"/>
      </w:tblCellMar>
    </w:tblPr>
  </w:style>
  <w:style w:type="table" w:styleId="910" w:customStyle="1">
    <w:name w:val="Grid Table 7 Colorful - Accent 6"/>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List Table 2 - Accent 1"/>
    <w:uiPriority w:val="99"/>
    <w:qFormat/>
    <w:tblPr>
      <w:tblCellMar>
        <w:left w:w="0" w:type="dxa"/>
        <w:top w:w="0" w:type="dxa"/>
        <w:right w:w="0" w:type="dxa"/>
        <w:bottom w:w="0" w:type="dxa"/>
      </w:tblCellMar>
    </w:tblPr>
  </w:style>
  <w:style w:type="table" w:styleId="918" w:customStyle="1">
    <w:name w:val="List Table 2 - Accent 2"/>
    <w:uiPriority w:val="99"/>
    <w:qFormat/>
    <w:tblPr>
      <w:tblCellMar>
        <w:left w:w="0" w:type="dxa"/>
        <w:top w:w="0" w:type="dxa"/>
        <w:right w:w="0" w:type="dxa"/>
        <w:bottom w:w="0" w:type="dxa"/>
      </w:tblCellMar>
    </w:tblPr>
  </w:style>
  <w:style w:type="table" w:styleId="919" w:customStyle="1">
    <w:name w:val="List Table 2 - Accent 3"/>
    <w:uiPriority w:val="99"/>
    <w:qFormat/>
    <w:tblPr>
      <w:tblCellMar>
        <w:left w:w="0" w:type="dxa"/>
        <w:top w:w="0" w:type="dxa"/>
        <w:right w:w="0" w:type="dxa"/>
        <w:bottom w:w="0" w:type="dxa"/>
      </w:tblCellMar>
    </w:tblPr>
  </w:style>
  <w:style w:type="table" w:styleId="920" w:customStyle="1">
    <w:name w:val="List Table 2 - Accent 4"/>
    <w:uiPriority w:val="99"/>
    <w:qFormat/>
    <w:tblPr>
      <w:tblCellMar>
        <w:left w:w="0" w:type="dxa"/>
        <w:top w:w="0" w:type="dxa"/>
        <w:right w:w="0" w:type="dxa"/>
        <w:bottom w:w="0" w:type="dxa"/>
      </w:tblCellMar>
    </w:tblPr>
  </w:style>
  <w:style w:type="table" w:styleId="921" w:customStyle="1">
    <w:name w:val="List Table 2 - Accent 5"/>
    <w:uiPriority w:val="99"/>
    <w:qFormat/>
    <w:tblPr>
      <w:tblCellMar>
        <w:left w:w="0" w:type="dxa"/>
        <w:top w:w="0" w:type="dxa"/>
        <w:right w:w="0" w:type="dxa"/>
        <w:bottom w:w="0" w:type="dxa"/>
      </w:tblCellMar>
    </w:tblPr>
  </w:style>
  <w:style w:type="table" w:styleId="922" w:customStyle="1">
    <w:name w:val="List Table 2 - Accent 6"/>
    <w:uiPriority w:val="99"/>
    <w:qFormat/>
    <w:tblPr>
      <w:tblCellMar>
        <w:left w:w="0" w:type="dxa"/>
        <w:top w:w="0" w:type="dxa"/>
        <w:right w:w="0" w:type="dxa"/>
        <w:bottom w:w="0" w:type="dxa"/>
      </w:tblCellMar>
    </w:tblPr>
  </w:style>
  <w:style w:type="table" w:styleId="923" w:customStyle="1">
    <w:name w:val="List Table 3 - Accent 1"/>
    <w:uiPriority w:val="99"/>
    <w:qFormat/>
    <w:tblPr>
      <w:tblCellMar>
        <w:left w:w="0" w:type="dxa"/>
        <w:top w:w="0" w:type="dxa"/>
        <w:right w:w="0" w:type="dxa"/>
        <w:bottom w:w="0" w:type="dxa"/>
      </w:tblCellMar>
    </w:tblPr>
  </w:style>
  <w:style w:type="table" w:styleId="924" w:customStyle="1">
    <w:name w:val="List Table 3 - Accent 2"/>
    <w:uiPriority w:val="99"/>
    <w:qFormat/>
    <w:tblPr>
      <w:tblCellMar>
        <w:left w:w="0" w:type="dxa"/>
        <w:top w:w="0" w:type="dxa"/>
        <w:right w:w="0" w:type="dxa"/>
        <w:bottom w:w="0" w:type="dxa"/>
      </w:tblCellMar>
    </w:tblPr>
  </w:style>
  <w:style w:type="table" w:styleId="925" w:customStyle="1">
    <w:name w:val="List Table 3 - Accent 3"/>
    <w:uiPriority w:val="99"/>
    <w:qFormat/>
    <w:tblPr>
      <w:tblCellMar>
        <w:left w:w="0" w:type="dxa"/>
        <w:top w:w="0" w:type="dxa"/>
        <w:right w:w="0" w:type="dxa"/>
        <w:bottom w:w="0" w:type="dxa"/>
      </w:tblCellMar>
    </w:tblPr>
  </w:style>
  <w:style w:type="table" w:styleId="926" w:customStyle="1">
    <w:name w:val="List Table 3 - Accent 4"/>
    <w:uiPriority w:val="99"/>
    <w:qFormat/>
    <w:tblPr>
      <w:tblCellMar>
        <w:left w:w="0" w:type="dxa"/>
        <w:top w:w="0" w:type="dxa"/>
        <w:right w:w="0" w:type="dxa"/>
        <w:bottom w:w="0" w:type="dxa"/>
      </w:tblCellMar>
    </w:tblPr>
  </w:style>
  <w:style w:type="table" w:styleId="927" w:customStyle="1">
    <w:name w:val="List Table 3 - Accent 5"/>
    <w:uiPriority w:val="99"/>
    <w:qFormat/>
    <w:tblPr>
      <w:tblCellMar>
        <w:left w:w="0" w:type="dxa"/>
        <w:top w:w="0" w:type="dxa"/>
        <w:right w:w="0" w:type="dxa"/>
        <w:bottom w:w="0" w:type="dxa"/>
      </w:tblCellMar>
    </w:tblPr>
  </w:style>
  <w:style w:type="table" w:styleId="928" w:customStyle="1">
    <w:name w:val="List Table 3 - Accent 6"/>
    <w:uiPriority w:val="99"/>
    <w:qFormat/>
    <w:tblPr>
      <w:tblCellMar>
        <w:left w:w="0" w:type="dxa"/>
        <w:top w:w="0" w:type="dxa"/>
        <w:right w:w="0" w:type="dxa"/>
        <w:bottom w:w="0" w:type="dxa"/>
      </w:tblCellMar>
    </w:tblPr>
  </w:style>
  <w:style w:type="table" w:styleId="929" w:customStyle="1">
    <w:name w:val="List Table 4 - Accent 1"/>
    <w:uiPriority w:val="99"/>
    <w:qFormat/>
    <w:tblPr>
      <w:tblCellMar>
        <w:left w:w="0" w:type="dxa"/>
        <w:top w:w="0" w:type="dxa"/>
        <w:right w:w="0" w:type="dxa"/>
        <w:bottom w:w="0" w:type="dxa"/>
      </w:tblCellMar>
    </w:tblPr>
  </w:style>
  <w:style w:type="table" w:styleId="930" w:customStyle="1">
    <w:name w:val="List Table 4 - Accent 2"/>
    <w:uiPriority w:val="99"/>
    <w:qFormat/>
    <w:tblPr>
      <w:tblCellMar>
        <w:left w:w="0" w:type="dxa"/>
        <w:top w:w="0" w:type="dxa"/>
        <w:right w:w="0" w:type="dxa"/>
        <w:bottom w:w="0" w:type="dxa"/>
      </w:tblCellMar>
    </w:tblPr>
  </w:style>
  <w:style w:type="table" w:styleId="931" w:customStyle="1">
    <w:name w:val="List Table 4 - Accent 3"/>
    <w:uiPriority w:val="99"/>
    <w:qFormat/>
    <w:tblPr>
      <w:tblCellMar>
        <w:left w:w="0" w:type="dxa"/>
        <w:top w:w="0" w:type="dxa"/>
        <w:right w:w="0" w:type="dxa"/>
        <w:bottom w:w="0" w:type="dxa"/>
      </w:tblCellMar>
    </w:tblPr>
  </w:style>
  <w:style w:type="table" w:styleId="932" w:customStyle="1">
    <w:name w:val="List Table 4 - Accent 4"/>
    <w:uiPriority w:val="99"/>
    <w:qFormat/>
    <w:tblPr>
      <w:tblCellMar>
        <w:left w:w="0" w:type="dxa"/>
        <w:top w:w="0" w:type="dxa"/>
        <w:right w:w="0" w:type="dxa"/>
        <w:bottom w:w="0" w:type="dxa"/>
      </w:tblCellMar>
    </w:tblPr>
  </w:style>
  <w:style w:type="table" w:styleId="933" w:customStyle="1">
    <w:name w:val="List Table 4 - Accent 5"/>
    <w:uiPriority w:val="99"/>
    <w:qFormat/>
    <w:tblPr>
      <w:tblCellMar>
        <w:left w:w="0" w:type="dxa"/>
        <w:top w:w="0" w:type="dxa"/>
        <w:right w:w="0" w:type="dxa"/>
        <w:bottom w:w="0" w:type="dxa"/>
      </w:tblCellMar>
    </w:tblPr>
  </w:style>
  <w:style w:type="table" w:styleId="934" w:customStyle="1">
    <w:name w:val="List Table 4 - Accent 6"/>
    <w:uiPriority w:val="99"/>
    <w:qFormat/>
    <w:tblPr>
      <w:tblCellMar>
        <w:left w:w="0" w:type="dxa"/>
        <w:top w:w="0" w:type="dxa"/>
        <w:right w:w="0" w:type="dxa"/>
        <w:bottom w:w="0" w:type="dxa"/>
      </w:tblCellMar>
    </w:tblPr>
  </w:style>
  <w:style w:type="table" w:styleId="935" w:customStyle="1">
    <w:name w:val="List Table 5 Dark - Accent 1"/>
    <w:uiPriority w:val="99"/>
    <w:qFormat/>
    <w:tblPr>
      <w:tblCellMar>
        <w:left w:w="0" w:type="dxa"/>
        <w:top w:w="0" w:type="dxa"/>
        <w:right w:w="0" w:type="dxa"/>
        <w:bottom w:w="0" w:type="dxa"/>
      </w:tblCellMar>
    </w:tblPr>
  </w:style>
  <w:style w:type="table" w:styleId="936" w:customStyle="1">
    <w:name w:val="List Table 5 Dark - Accent 2"/>
    <w:uiPriority w:val="99"/>
    <w:qFormat/>
    <w:tblPr>
      <w:tblCellMar>
        <w:left w:w="0" w:type="dxa"/>
        <w:top w:w="0" w:type="dxa"/>
        <w:right w:w="0" w:type="dxa"/>
        <w:bottom w:w="0" w:type="dxa"/>
      </w:tblCellMar>
    </w:tblPr>
  </w:style>
  <w:style w:type="table" w:styleId="937" w:customStyle="1">
    <w:name w:val="List Table 5 Dark - Accent 3"/>
    <w:uiPriority w:val="99"/>
    <w:qFormat/>
    <w:tblPr>
      <w:tblCellMar>
        <w:left w:w="0" w:type="dxa"/>
        <w:top w:w="0" w:type="dxa"/>
        <w:right w:w="0" w:type="dxa"/>
        <w:bottom w:w="0" w:type="dxa"/>
      </w:tblCellMar>
    </w:tblPr>
  </w:style>
  <w:style w:type="table" w:styleId="938" w:customStyle="1">
    <w:name w:val="List Table 5 Dark - Accent 4"/>
    <w:uiPriority w:val="99"/>
    <w:qFormat/>
    <w:tblPr>
      <w:tblCellMar>
        <w:left w:w="0" w:type="dxa"/>
        <w:top w:w="0" w:type="dxa"/>
        <w:right w:w="0" w:type="dxa"/>
        <w:bottom w:w="0" w:type="dxa"/>
      </w:tblCellMar>
    </w:tblPr>
  </w:style>
  <w:style w:type="table" w:styleId="939" w:customStyle="1">
    <w:name w:val="List Table 5 Dark - Accent 5"/>
    <w:uiPriority w:val="99"/>
    <w:qFormat/>
    <w:tblPr>
      <w:tblCellMar>
        <w:left w:w="0" w:type="dxa"/>
        <w:top w:w="0" w:type="dxa"/>
        <w:right w:w="0" w:type="dxa"/>
        <w:bottom w:w="0" w:type="dxa"/>
      </w:tblCellMar>
    </w:tblPr>
  </w:style>
  <w:style w:type="table" w:styleId="940" w:customStyle="1">
    <w:name w:val="List Table 5 Dark - Accent 6"/>
    <w:uiPriority w:val="99"/>
    <w:qFormat/>
    <w:tblPr>
      <w:tblCellMar>
        <w:left w:w="0" w:type="dxa"/>
        <w:top w:w="0" w:type="dxa"/>
        <w:right w:w="0" w:type="dxa"/>
        <w:bottom w:w="0" w:type="dxa"/>
      </w:tblCellMar>
    </w:tblPr>
  </w:style>
  <w:style w:type="table" w:styleId="941" w:customStyle="1">
    <w:name w:val="List Table 6 Colorful - Accent 1"/>
    <w:uiPriority w:val="99"/>
    <w:qFormat/>
    <w:tblPr>
      <w:tblCellMar>
        <w:left w:w="0" w:type="dxa"/>
        <w:top w:w="0" w:type="dxa"/>
        <w:right w:w="0" w:type="dxa"/>
        <w:bottom w:w="0" w:type="dxa"/>
      </w:tblCellMar>
    </w:tblPr>
  </w:style>
  <w:style w:type="table" w:styleId="942" w:customStyle="1">
    <w:name w:val="List Table 6 Colorful - Accent 2"/>
    <w:uiPriority w:val="99"/>
    <w:qFormat/>
    <w:tblPr>
      <w:tblCellMar>
        <w:left w:w="0" w:type="dxa"/>
        <w:top w:w="0" w:type="dxa"/>
        <w:right w:w="0" w:type="dxa"/>
        <w:bottom w:w="0" w:type="dxa"/>
      </w:tblCellMar>
    </w:tblPr>
  </w:style>
  <w:style w:type="table" w:styleId="943" w:customStyle="1">
    <w:name w:val="List Table 6 Colorful - Accent 3"/>
    <w:uiPriority w:val="99"/>
    <w:qFormat/>
    <w:tblPr>
      <w:tblCellMar>
        <w:left w:w="0" w:type="dxa"/>
        <w:top w:w="0" w:type="dxa"/>
        <w:right w:w="0" w:type="dxa"/>
        <w:bottom w:w="0" w:type="dxa"/>
      </w:tblCellMar>
    </w:tblPr>
  </w:style>
  <w:style w:type="table" w:styleId="944" w:customStyle="1">
    <w:name w:val="List Table 6 Colorful - Accent 4"/>
    <w:uiPriority w:val="99"/>
    <w:qFormat/>
    <w:tblPr>
      <w:tblCellMar>
        <w:left w:w="0" w:type="dxa"/>
        <w:top w:w="0" w:type="dxa"/>
        <w:right w:w="0" w:type="dxa"/>
        <w:bottom w:w="0" w:type="dxa"/>
      </w:tblCellMar>
    </w:tblPr>
  </w:style>
  <w:style w:type="table" w:styleId="945" w:customStyle="1">
    <w:name w:val="List Table 6 Colorful - Accent 5"/>
    <w:uiPriority w:val="99"/>
    <w:qFormat/>
    <w:tblPr>
      <w:tblCellMar>
        <w:left w:w="0" w:type="dxa"/>
        <w:top w:w="0" w:type="dxa"/>
        <w:right w:w="0" w:type="dxa"/>
        <w:bottom w:w="0" w:type="dxa"/>
      </w:tblCellMar>
    </w:tblPr>
  </w:style>
  <w:style w:type="table" w:styleId="946" w:customStyle="1">
    <w:name w:val="List Table 6 Colorful - Accent 6"/>
    <w:uiPriority w:val="99"/>
    <w:qFormat/>
    <w:tblPr>
      <w:tblCellMar>
        <w:left w:w="0" w:type="dxa"/>
        <w:top w:w="0" w:type="dxa"/>
        <w:right w:w="0" w:type="dxa"/>
        <w:bottom w:w="0" w:type="dxa"/>
      </w:tblCellMar>
    </w:tblPr>
  </w:style>
  <w:style w:type="table" w:styleId="947" w:customStyle="1">
    <w:name w:val="List Table 7 Colorful - Accent 1"/>
    <w:uiPriority w:val="99"/>
    <w:qFormat/>
    <w:tblPr>
      <w:tblCellMar>
        <w:left w:w="0" w:type="dxa"/>
        <w:top w:w="0" w:type="dxa"/>
        <w:right w:w="0" w:type="dxa"/>
        <w:bottom w:w="0" w:type="dxa"/>
      </w:tblCellMar>
    </w:tblPr>
  </w:style>
  <w:style w:type="table" w:styleId="948" w:customStyle="1">
    <w:name w:val="List Table 7 Colorful - Accent 2"/>
    <w:uiPriority w:val="99"/>
    <w:qFormat/>
    <w:tblPr>
      <w:tblCellMar>
        <w:left w:w="0" w:type="dxa"/>
        <w:top w:w="0" w:type="dxa"/>
        <w:right w:w="0" w:type="dxa"/>
        <w:bottom w:w="0" w:type="dxa"/>
      </w:tblCellMar>
    </w:tblPr>
  </w:style>
  <w:style w:type="table" w:styleId="949" w:customStyle="1">
    <w:name w:val="List Table 7 Colorful - Accent 3"/>
    <w:uiPriority w:val="99"/>
    <w:qFormat/>
    <w:tblPr>
      <w:tblCellMar>
        <w:left w:w="0" w:type="dxa"/>
        <w:top w:w="0" w:type="dxa"/>
        <w:right w:w="0" w:type="dxa"/>
        <w:bottom w:w="0" w:type="dxa"/>
      </w:tblCellMar>
    </w:tblPr>
  </w:style>
  <w:style w:type="table" w:styleId="950" w:customStyle="1">
    <w:name w:val="List Table 7 Colorful - Accent 4"/>
    <w:uiPriority w:val="99"/>
    <w:qFormat/>
    <w:tblPr>
      <w:tblCellMar>
        <w:left w:w="0" w:type="dxa"/>
        <w:top w:w="0" w:type="dxa"/>
        <w:right w:w="0" w:type="dxa"/>
        <w:bottom w:w="0" w:type="dxa"/>
      </w:tblCellMar>
    </w:tblPr>
  </w:style>
  <w:style w:type="table" w:styleId="951" w:customStyle="1">
    <w:name w:val="List Table 7 Colorful - Accent 5"/>
    <w:uiPriority w:val="99"/>
    <w:qFormat/>
    <w:tblPr>
      <w:tblCellMar>
        <w:left w:w="0" w:type="dxa"/>
        <w:top w:w="0" w:type="dxa"/>
        <w:right w:w="0" w:type="dxa"/>
        <w:bottom w:w="0" w:type="dxa"/>
      </w:tblCellMar>
    </w:tblPr>
  </w:style>
  <w:style w:type="table" w:styleId="952" w:customStyle="1">
    <w:name w:val="List Table 7 Colorful - Accent 6"/>
    <w:uiPriority w:val="99"/>
    <w:qFormat/>
    <w:tblPr>
      <w:tblCellMar>
        <w:left w:w="0" w:type="dxa"/>
        <w:top w:w="0" w:type="dxa"/>
        <w:right w:w="0" w:type="dxa"/>
        <w:bottom w:w="0" w:type="dxa"/>
      </w:tblCellMar>
    </w:tblPr>
  </w:style>
  <w:style w:type="table" w:styleId="953" w:customStyle="1">
    <w:name w:val="Lined - Accent"/>
    <w:uiPriority w:val="99"/>
    <w:qFormat/>
    <w:rPr>
      <w:color w:val="404040"/>
    </w:rPr>
    <w:tblPr>
      <w:tblCellMar>
        <w:left w:w="0" w:type="dxa"/>
        <w:top w:w="0" w:type="dxa"/>
        <w:right w:w="0" w:type="dxa"/>
        <w:bottom w:w="0" w:type="dxa"/>
      </w:tblCellMar>
    </w:tblPr>
  </w:style>
  <w:style w:type="table" w:styleId="954" w:customStyle="1">
    <w:name w:val="Lined - Accent 1"/>
    <w:uiPriority w:val="99"/>
    <w:qFormat/>
    <w:rPr>
      <w:color w:val="404040"/>
    </w:rPr>
    <w:tblPr>
      <w:tblCellMar>
        <w:left w:w="0" w:type="dxa"/>
        <w:top w:w="0" w:type="dxa"/>
        <w:right w:w="0" w:type="dxa"/>
        <w:bottom w:w="0" w:type="dxa"/>
      </w:tblCellMar>
    </w:tblPr>
  </w:style>
  <w:style w:type="table" w:styleId="955" w:customStyle="1">
    <w:name w:val="Lined - Accent 2"/>
    <w:uiPriority w:val="99"/>
    <w:qFormat/>
    <w:rPr>
      <w:color w:val="404040"/>
    </w:rPr>
    <w:tblPr>
      <w:tblCellMar>
        <w:left w:w="0" w:type="dxa"/>
        <w:top w:w="0" w:type="dxa"/>
        <w:right w:w="0" w:type="dxa"/>
        <w:bottom w:w="0" w:type="dxa"/>
      </w:tblCellMar>
    </w:tblPr>
  </w:style>
  <w:style w:type="table" w:styleId="956" w:customStyle="1">
    <w:name w:val="Lined - Accent 3"/>
    <w:uiPriority w:val="99"/>
    <w:qFormat/>
    <w:rPr>
      <w:color w:val="404040"/>
    </w:rPr>
    <w:tblPr>
      <w:tblCellMar>
        <w:left w:w="0" w:type="dxa"/>
        <w:top w:w="0" w:type="dxa"/>
        <w:right w:w="0" w:type="dxa"/>
        <w:bottom w:w="0" w:type="dxa"/>
      </w:tblCellMar>
    </w:tblPr>
  </w:style>
  <w:style w:type="table" w:styleId="957" w:customStyle="1">
    <w:name w:val="Lined - Accent 4"/>
    <w:uiPriority w:val="99"/>
    <w:qFormat/>
    <w:rPr>
      <w:color w:val="404040"/>
    </w:rPr>
    <w:tblPr>
      <w:tblCellMar>
        <w:left w:w="0" w:type="dxa"/>
        <w:top w:w="0" w:type="dxa"/>
        <w:right w:w="0" w:type="dxa"/>
        <w:bottom w:w="0" w:type="dxa"/>
      </w:tblCellMar>
    </w:tblPr>
  </w:style>
  <w:style w:type="table" w:styleId="958" w:customStyle="1">
    <w:name w:val="Lined - Accent 5"/>
    <w:uiPriority w:val="99"/>
    <w:qFormat/>
    <w:rPr>
      <w:color w:val="404040"/>
    </w:rPr>
    <w:tblPr>
      <w:tblCellMar>
        <w:left w:w="0" w:type="dxa"/>
        <w:top w:w="0" w:type="dxa"/>
        <w:right w:w="0" w:type="dxa"/>
        <w:bottom w:w="0" w:type="dxa"/>
      </w:tblCellMar>
    </w:tblPr>
  </w:style>
  <w:style w:type="table" w:styleId="959" w:customStyle="1">
    <w:name w:val="Lined - Accent 6"/>
    <w:uiPriority w:val="99"/>
    <w:qFormat/>
    <w:rPr>
      <w:color w:val="404040"/>
    </w:rPr>
    <w:tblPr>
      <w:tblCellMar>
        <w:left w:w="0" w:type="dxa"/>
        <w:top w:w="0" w:type="dxa"/>
        <w:right w:w="0" w:type="dxa"/>
        <w:bottom w:w="0" w:type="dxa"/>
      </w:tblCellMar>
    </w:tblPr>
  </w:style>
  <w:style w:type="table" w:styleId="960" w:customStyle="1">
    <w:name w:val="Bordered &amp; Lined - Accent"/>
    <w:uiPriority w:val="99"/>
    <w:qFormat/>
    <w:rPr>
      <w:color w:val="404040"/>
    </w:rPr>
    <w:tblPr>
      <w:tblCellMar>
        <w:left w:w="0" w:type="dxa"/>
        <w:top w:w="0" w:type="dxa"/>
        <w:right w:w="0" w:type="dxa"/>
        <w:bottom w:w="0" w:type="dxa"/>
      </w:tblCellMar>
    </w:tblPr>
  </w:style>
  <w:style w:type="table" w:styleId="961" w:customStyle="1">
    <w:name w:val="Bordered &amp; Lined - Accent 1"/>
    <w:uiPriority w:val="99"/>
    <w:qFormat/>
    <w:rPr>
      <w:color w:val="404040"/>
    </w:rPr>
    <w:tblPr>
      <w:tblCellMar>
        <w:left w:w="0" w:type="dxa"/>
        <w:top w:w="0" w:type="dxa"/>
        <w:right w:w="0" w:type="dxa"/>
        <w:bottom w:w="0" w:type="dxa"/>
      </w:tblCellMar>
    </w:tblPr>
  </w:style>
  <w:style w:type="table" w:styleId="962" w:customStyle="1">
    <w:name w:val="Bordered &amp; Lined - Accent 2"/>
    <w:uiPriority w:val="99"/>
    <w:qFormat/>
    <w:rPr>
      <w:color w:val="404040"/>
    </w:rPr>
    <w:tblPr>
      <w:tblCellMar>
        <w:left w:w="0" w:type="dxa"/>
        <w:top w:w="0" w:type="dxa"/>
        <w:right w:w="0" w:type="dxa"/>
        <w:bottom w:w="0" w:type="dxa"/>
      </w:tblCellMar>
    </w:tblPr>
  </w:style>
  <w:style w:type="table" w:styleId="963" w:customStyle="1">
    <w:name w:val="Bordered &amp; Lined - Accent 3"/>
    <w:uiPriority w:val="99"/>
    <w:qFormat/>
    <w:rPr>
      <w:color w:val="404040"/>
    </w:rPr>
    <w:tblPr>
      <w:tblCellMar>
        <w:left w:w="0" w:type="dxa"/>
        <w:top w:w="0" w:type="dxa"/>
        <w:right w:w="0" w:type="dxa"/>
        <w:bottom w:w="0" w:type="dxa"/>
      </w:tblCellMar>
    </w:tblPr>
  </w:style>
  <w:style w:type="table" w:styleId="964" w:customStyle="1">
    <w:name w:val="Bordered &amp; Lined - Accent 4"/>
    <w:uiPriority w:val="99"/>
    <w:qFormat/>
    <w:rPr>
      <w:color w:val="404040"/>
    </w:rPr>
    <w:tblPr>
      <w:tblCellMar>
        <w:left w:w="0" w:type="dxa"/>
        <w:top w:w="0" w:type="dxa"/>
        <w:right w:w="0" w:type="dxa"/>
        <w:bottom w:w="0" w:type="dxa"/>
      </w:tblCellMar>
    </w:tblPr>
  </w:style>
  <w:style w:type="table" w:styleId="965" w:customStyle="1">
    <w:name w:val="Bordered &amp; Lined - Accent 5"/>
    <w:uiPriority w:val="99"/>
    <w:qFormat/>
    <w:rPr>
      <w:color w:val="404040"/>
    </w:rPr>
    <w:tblPr>
      <w:tblCellMar>
        <w:left w:w="0" w:type="dxa"/>
        <w:top w:w="0" w:type="dxa"/>
        <w:right w:w="0" w:type="dxa"/>
        <w:bottom w:w="0" w:type="dxa"/>
      </w:tblCellMar>
    </w:tblPr>
  </w:style>
  <w:style w:type="table" w:styleId="966" w:customStyle="1">
    <w:name w:val="Bordered &amp; Lined - Accent 6"/>
    <w:uiPriority w:val="99"/>
    <w:qFormat/>
    <w:rPr>
      <w:color w:val="404040"/>
    </w:rPr>
    <w:tblPr>
      <w:tblCellMar>
        <w:left w:w="0" w:type="dxa"/>
        <w:top w:w="0" w:type="dxa"/>
        <w:right w:w="0" w:type="dxa"/>
        <w:bottom w:w="0" w:type="dxa"/>
      </w:tblCellMar>
    </w:tblPr>
  </w:style>
  <w:style w:type="table" w:styleId="967" w:customStyle="1">
    <w:name w:val="Bordered"/>
    <w:uiPriority w:val="99"/>
    <w:qFormat/>
    <w:tblPr>
      <w:tblCellMar>
        <w:left w:w="0" w:type="dxa"/>
        <w:top w:w="0" w:type="dxa"/>
        <w:right w:w="0" w:type="dxa"/>
        <w:bottom w:w="0" w:type="dxa"/>
      </w:tblCellMar>
    </w:tblPr>
  </w:style>
  <w:style w:type="table" w:styleId="968" w:customStyle="1">
    <w:name w:val="Bordered - Accent 1"/>
    <w:uiPriority w:val="99"/>
    <w:qFormat/>
    <w:tblPr>
      <w:tblCellMar>
        <w:left w:w="0" w:type="dxa"/>
        <w:top w:w="0" w:type="dxa"/>
        <w:right w:w="0" w:type="dxa"/>
        <w:bottom w:w="0" w:type="dxa"/>
      </w:tblCellMar>
    </w:tblPr>
  </w:style>
  <w:style w:type="table" w:styleId="969" w:customStyle="1">
    <w:name w:val="Bordered - Accent 2"/>
    <w:uiPriority w:val="99"/>
    <w:qFormat/>
    <w:tblPr>
      <w:tblCellMar>
        <w:left w:w="0" w:type="dxa"/>
        <w:top w:w="0" w:type="dxa"/>
        <w:right w:w="0" w:type="dxa"/>
        <w:bottom w:w="0" w:type="dxa"/>
      </w:tblCellMar>
    </w:tblPr>
  </w:style>
  <w:style w:type="table" w:styleId="970" w:customStyle="1">
    <w:name w:val="Bordered - Accent 3"/>
    <w:uiPriority w:val="99"/>
    <w:qFormat/>
    <w:tblPr>
      <w:tblCellMar>
        <w:left w:w="0" w:type="dxa"/>
        <w:top w:w="0" w:type="dxa"/>
        <w:right w:w="0" w:type="dxa"/>
        <w:bottom w:w="0" w:type="dxa"/>
      </w:tblCellMar>
    </w:tblPr>
  </w:style>
  <w:style w:type="table" w:styleId="971" w:customStyle="1">
    <w:name w:val="Bordered - Accent 4"/>
    <w:uiPriority w:val="99"/>
    <w:qFormat/>
    <w:tblPr>
      <w:tblCellMar>
        <w:left w:w="0" w:type="dxa"/>
        <w:top w:w="0" w:type="dxa"/>
        <w:right w:w="0" w:type="dxa"/>
        <w:bottom w:w="0" w:type="dxa"/>
      </w:tblCellMar>
    </w:tblPr>
  </w:style>
  <w:style w:type="table" w:styleId="972" w:customStyle="1">
    <w:name w:val="Bordered - Accent 5"/>
    <w:uiPriority w:val="99"/>
    <w:qFormat/>
    <w:tblPr>
      <w:tblCellMar>
        <w:left w:w="0" w:type="dxa"/>
        <w:top w:w="0" w:type="dxa"/>
        <w:right w:w="0" w:type="dxa"/>
        <w:bottom w:w="0" w:type="dxa"/>
      </w:tblCellMar>
    </w:tblPr>
  </w:style>
  <w:style w:type="table" w:styleId="973" w:customStyle="1">
    <w:name w:val="Bordered - Accent 6"/>
    <w:uiPriority w:val="99"/>
    <w:qFormat/>
    <w:tblPr>
      <w:tblCellMar>
        <w:left w:w="0" w:type="dxa"/>
        <w:top w:w="0" w:type="dxa"/>
        <w:right w:w="0" w:type="dxa"/>
        <w:bottom w:w="0" w:type="dxa"/>
      </w:tblCellMar>
    </w:tblPr>
  </w:style>
  <w:style w:type="character" w:styleId="974" w:customStyle="1">
    <w:name w:val="Footnote Text Char"/>
    <w:uiPriority w:val="99"/>
    <w:qFormat/>
    <w:rPr>
      <w:sz w:val="18"/>
    </w:rPr>
  </w:style>
  <w:style w:type="paragraph" w:styleId="975" w:customStyle="1">
    <w:name w:val="TOC 标题11"/>
    <w:uiPriority w:val="39"/>
    <w:unhideWhenUsed/>
    <w:qFormat/>
    <w:rPr>
      <w:rFonts w:ascii="Times New Roman" w:hAnsi="Times New Roman" w:eastAsia="宋体" w:cs="Times New Roman"/>
      <w:lang w:val="en-US" w:eastAsia="zh-CN" w:bidi="ar-SA"/>
    </w:rPr>
  </w:style>
  <w:style w:type="character" w:styleId="976" w:customStyle="1">
    <w:name w:val="纯文本 字符"/>
    <w:uiPriority w:val="0"/>
    <w:qFormat/>
    <w:rPr>
      <w:rFonts w:ascii="宋体" w:hAnsi="Courier New" w:eastAsia="楷体_GB2312"/>
      <w:sz w:val="26"/>
    </w:rPr>
  </w:style>
  <w:style w:type="paragraph" w:styleId="977" w:customStyle="1">
    <w:name w:val="纯文本2"/>
    <w:basedOn w:val="688"/>
    <w:uiPriority w:val="0"/>
    <w:qFormat/>
    <w:pPr>
      <w:jc w:val="left"/>
      <w:widowControl/>
    </w:pPr>
    <w:rPr>
      <w:rFonts w:ascii="宋体" w:hAnsi="Courier New" w:eastAsia="楷体_GB2312"/>
      <w:sz w:val="26"/>
      <w:szCs w:val="20"/>
    </w:rPr>
  </w:style>
  <w:style w:type="character" w:styleId="978" w:customStyle="1">
    <w:name w:val="标题 1 字符"/>
    <w:uiPriority w:val="9"/>
    <w:qFormat/>
    <w:rPr>
      <w:b/>
      <w:bCs/>
      <w:sz w:val="44"/>
      <w:szCs w:val="44"/>
    </w:rPr>
  </w:style>
  <w:style w:type="character" w:styleId="979" w:customStyle="1">
    <w:name w:val="标题 2 字符"/>
    <w:uiPriority w:val="9"/>
    <w:semiHidden/>
    <w:qFormat/>
    <w:rPr>
      <w:rFonts w:ascii="Cambria" w:hAnsi="Cambria" w:eastAsia="宋体" w:cs="Times New Roman"/>
      <w:b/>
      <w:bCs/>
      <w:sz w:val="32"/>
      <w:szCs w:val="32"/>
    </w:rPr>
  </w:style>
  <w:style w:type="character" w:styleId="980" w:customStyle="1">
    <w:name w:val="标题 3 字符"/>
    <w:uiPriority w:val="9"/>
    <w:semiHidden/>
    <w:qFormat/>
    <w:rPr>
      <w:b/>
      <w:bCs/>
      <w:sz w:val="32"/>
      <w:szCs w:val="32"/>
    </w:rPr>
  </w:style>
  <w:style w:type="character" w:styleId="981" w:customStyle="1">
    <w:name w:val="标题 4 字符"/>
    <w:uiPriority w:val="9"/>
    <w:semiHidden/>
    <w:qFormat/>
    <w:rPr>
      <w:rFonts w:ascii="Cambria" w:hAnsi="Cambria" w:eastAsia="宋体" w:cs="Times New Roman"/>
      <w:b/>
      <w:bCs/>
      <w:sz w:val="28"/>
      <w:szCs w:val="28"/>
    </w:rPr>
  </w:style>
  <w:style w:type="character" w:styleId="982" w:customStyle="1">
    <w:name w:val="标题 5 字符"/>
    <w:uiPriority w:val="9"/>
    <w:semiHidden/>
    <w:qFormat/>
    <w:rPr>
      <w:b/>
      <w:bCs/>
      <w:sz w:val="28"/>
      <w:szCs w:val="28"/>
    </w:rPr>
  </w:style>
  <w:style w:type="character" w:styleId="983" w:customStyle="1">
    <w:name w:val="标题 6 字符"/>
    <w:uiPriority w:val="9"/>
    <w:semiHidden/>
    <w:qFormat/>
    <w:rPr>
      <w:rFonts w:ascii="Cambria" w:hAnsi="Cambria" w:eastAsia="宋体" w:cs="Times New Roman"/>
      <w:b/>
      <w:bCs/>
      <w:sz w:val="24"/>
      <w:szCs w:val="24"/>
    </w:rPr>
  </w:style>
  <w:style w:type="character" w:styleId="984" w:customStyle="1">
    <w:name w:val="标题 7 字符"/>
    <w:uiPriority w:val="9"/>
    <w:semiHidden/>
    <w:qFormat/>
    <w:rPr>
      <w:b/>
      <w:bCs/>
      <w:sz w:val="24"/>
      <w:szCs w:val="24"/>
    </w:rPr>
  </w:style>
  <w:style w:type="paragraph" w:styleId="985" w:customStyle="1">
    <w:name w:val="msonormal"/>
    <w:basedOn w:val="688"/>
    <w:uiPriority w:val="0"/>
    <w:qFormat/>
    <w:pPr>
      <w:jc w:val="left"/>
      <w:spacing w:before="100" w:beforeAutospacing="1" w:after="100" w:afterAutospacing="1"/>
      <w:widowControl/>
    </w:pPr>
    <w:rPr>
      <w:rFonts w:ascii="宋体" w:hAnsi="宋体" w:cs="宋体"/>
      <w:sz w:val="24"/>
      <w:szCs w:val="24"/>
    </w:rPr>
  </w:style>
  <w:style w:type="character" w:styleId="986" w:customStyle="1">
    <w:name w:val="批注文字 字符"/>
    <w:uiPriority w:val="0"/>
    <w:qFormat/>
    <w:rPr>
      <w:sz w:val="21"/>
      <w:szCs w:val="22"/>
    </w:rPr>
  </w:style>
  <w:style w:type="character" w:styleId="987" w:customStyle="1">
    <w:name w:val="页眉 字符"/>
    <w:uiPriority w:val="99"/>
    <w:qFormat/>
    <w:rPr>
      <w:sz w:val="18"/>
      <w:szCs w:val="18"/>
    </w:rPr>
  </w:style>
  <w:style w:type="character" w:styleId="988" w:customStyle="1">
    <w:name w:val="正文文本缩进 字符"/>
    <w:uiPriority w:val="99"/>
    <w:qFormat/>
    <w:rPr>
      <w:sz w:val="21"/>
      <w:szCs w:val="22"/>
    </w:rPr>
  </w:style>
  <w:style w:type="character" w:styleId="989" w:customStyle="1">
    <w:name w:val="副标题 字符"/>
    <w:uiPriority w:val="0"/>
    <w:qFormat/>
    <w:rPr>
      <w:rFonts w:ascii="Cambria" w:hAnsi="Cambria" w:cs="Times New Roman"/>
      <w:b/>
      <w:bCs/>
      <w:sz w:val="32"/>
      <w:szCs w:val="32"/>
    </w:rPr>
  </w:style>
  <w:style w:type="character" w:styleId="990" w:customStyle="1">
    <w:name w:val="正文文本首行缩进 2 字符"/>
    <w:uiPriority w:val="99"/>
    <w:qFormat/>
  </w:style>
  <w:style w:type="character" w:styleId="991" w:customStyle="1">
    <w:name w:val="正文文本缩进 2 字符"/>
    <w:uiPriority w:val="0"/>
    <w:qFormat/>
    <w:rPr>
      <w:sz w:val="21"/>
      <w:szCs w:val="22"/>
    </w:rPr>
  </w:style>
  <w:style w:type="character" w:styleId="992" w:customStyle="1">
    <w:name w:val="批注主题 字符"/>
    <w:uiPriority w:val="0"/>
    <w:qFormat/>
    <w:rPr>
      <w:b/>
      <w:bCs/>
      <w:sz w:val="21"/>
      <w:szCs w:val="22"/>
    </w:rPr>
  </w:style>
  <w:style w:type="character" w:styleId="993" w:customStyle="1">
    <w:name w:val="列出段落 Char1"/>
    <w:link w:val="994"/>
    <w:uiPriority w:val="34"/>
    <w:qFormat/>
    <w:rPr>
      <w:rFonts w:cs="Calibri"/>
      <w:sz w:val="21"/>
      <w:szCs w:val="22"/>
    </w:rPr>
  </w:style>
  <w:style w:type="paragraph" w:styleId="994" w:customStyle="1">
    <w:name w:val="列出段落1"/>
    <w:basedOn w:val="688"/>
    <w:link w:val="993"/>
    <w:uiPriority w:val="34"/>
    <w:qFormat/>
    <w:pPr>
      <w:ind w:firstLine="420"/>
    </w:pPr>
  </w:style>
  <w:style w:type="paragraph" w:styleId="995" w:customStyle="1">
    <w:name w:val="Plain Text1"/>
    <w:basedOn w:val="688"/>
    <w:uiPriority w:val="0"/>
    <w:qFormat/>
    <w:rPr>
      <w:rFonts w:ascii="宋体" w:hAnsi="Courier New" w:eastAsia="楷体_GB2312"/>
      <w:sz w:val="26"/>
      <w:szCs w:val="20"/>
    </w:rPr>
  </w:style>
  <w:style w:type="paragraph" w:styleId="996" w:customStyle="1">
    <w:name w:val="Char1 Char Char Char"/>
    <w:basedOn w:val="688"/>
    <w:uiPriority w:val="0"/>
    <w:qFormat/>
    <w:rPr>
      <w:szCs w:val="24"/>
    </w:rPr>
  </w:style>
  <w:style w:type="paragraph" w:styleId="997" w:customStyle="1">
    <w:name w:val="符号列表"/>
    <w:basedOn w:val="68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8" w:customStyle="1">
    <w:name w:val="xl71"/>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9" w:customStyle="1">
    <w:name w:val="段"/>
    <w:next w:val="688"/>
    <w:uiPriority w:val="0"/>
    <w:qFormat/>
    <w:pPr>
      <w:ind w:firstLine="200"/>
      <w:jc w:val="both"/>
      <w:spacing w:line="360" w:lineRule="auto"/>
    </w:pPr>
    <w:rPr>
      <w:rFonts w:ascii="宋体" w:hAnsi="宋体" w:eastAsia="宋体" w:cs="宋体"/>
      <w:sz w:val="24"/>
      <w:szCs w:val="22"/>
      <w:lang w:val="en-US" w:eastAsia="zh-CN" w:bidi="ar-SA"/>
    </w:rPr>
  </w:style>
  <w:style w:type="paragraph" w:styleId="1000" w:customStyle="1">
    <w:name w:val="纯文本3"/>
    <w:basedOn w:val="688"/>
    <w:uiPriority w:val="0"/>
    <w:qFormat/>
    <w:pPr>
      <w:jc w:val="left"/>
      <w:widowControl/>
    </w:pPr>
    <w:rPr>
      <w:rFonts w:ascii="宋体" w:hAnsi="Courier New" w:eastAsia="楷体_GB2312"/>
      <w:sz w:val="26"/>
      <w:szCs w:val="20"/>
    </w:rPr>
  </w:style>
  <w:style w:type="paragraph" w:styleId="1001" w:customStyle="1">
    <w:name w:val="xl94"/>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2" w:customStyle="1">
    <w:name w:val="列出段落11"/>
    <w:basedOn w:val="688"/>
    <w:link w:val="1003"/>
    <w:uiPriority w:val="0"/>
    <w:qFormat/>
    <w:pPr>
      <w:ind w:firstLine="420"/>
    </w:pPr>
  </w:style>
  <w:style w:type="character" w:styleId="1003" w:customStyle="1">
    <w:name w:val="List Paragraph Char"/>
    <w:link w:val="1002"/>
    <w:uiPriority w:val="0"/>
    <w:qFormat/>
    <w:rPr>
      <w:sz w:val="21"/>
      <w:szCs w:val="22"/>
    </w:rPr>
  </w:style>
  <w:style w:type="paragraph" w:styleId="1004" w:customStyle="1">
    <w:name w:val="xl82"/>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5" w:customStyle="1">
    <w:name w:val="xl101"/>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6" w:customStyle="1">
    <w:name w:val="Char Char2"/>
    <w:basedOn w:val="758"/>
    <w:uiPriority w:val="0"/>
    <w:qFormat/>
    <w:pPr>
      <w:spacing w:line="360" w:lineRule="auto"/>
    </w:pPr>
    <w:rPr>
      <w:rFonts w:ascii="等线" w:hAnsi="等线" w:eastAsia="等线"/>
    </w:rPr>
  </w:style>
  <w:style w:type="paragraph" w:styleId="1007" w:customStyle="1">
    <w:name w:val="xl99"/>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8" w:customStyle="1">
    <w:name w:val="Char"/>
    <w:basedOn w:val="758"/>
    <w:uiPriority w:val="0"/>
    <w:qFormat/>
    <w:pPr>
      <w:jc w:val="both"/>
      <w:spacing w:line="360" w:lineRule="auto"/>
      <w:widowControl w:val="off"/>
    </w:pPr>
    <w:rPr>
      <w:sz w:val="21"/>
    </w:rPr>
  </w:style>
  <w:style w:type="paragraph" w:styleId="1009" w:customStyle="1">
    <w:name w:val="xl100"/>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87"/>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xl98"/>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72"/>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xl95"/>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4" w:customStyle="1">
    <w:name w:val="xl90"/>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5" w:customStyle="1">
    <w:name w:val="xl102"/>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6" w:customStyle="1">
    <w:name w:val="正文文本 3 Char"/>
    <w:link w:val="1017"/>
    <w:uiPriority w:val="0"/>
    <w:qFormat/>
    <w:rPr>
      <w:rFonts w:ascii="仿宋_GB2312" w:eastAsia="仿宋_GB2312"/>
      <w:sz w:val="16"/>
      <w:szCs w:val="16"/>
    </w:rPr>
  </w:style>
  <w:style w:type="paragraph" w:styleId="1017" w:customStyle="1">
    <w:name w:val="正文文本 31"/>
    <w:basedOn w:val="688"/>
    <w:link w:val="1016"/>
    <w:uiPriority w:val="0"/>
    <w:qFormat/>
    <w:pPr>
      <w:spacing w:after="120"/>
      <w:widowControl/>
    </w:pPr>
    <w:rPr>
      <w:rFonts w:ascii="仿宋_GB2312" w:eastAsia="仿宋_GB2312"/>
      <w:sz w:val="16"/>
      <w:szCs w:val="16"/>
    </w:rPr>
  </w:style>
  <w:style w:type="paragraph" w:styleId="1018" w:customStyle="1">
    <w:name w:val="xl79"/>
    <w:basedOn w:val="6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9" w:customStyle="1">
    <w:name w:val="Char1"/>
    <w:basedOn w:val="688"/>
    <w:uiPriority w:val="0"/>
    <w:qFormat/>
    <w:rPr>
      <w:rFonts w:ascii="Tahoma" w:hAnsi="Tahoma"/>
      <w:sz w:val="24"/>
      <w:szCs w:val="20"/>
    </w:rPr>
  </w:style>
  <w:style w:type="paragraph" w:styleId="1020" w:customStyle="1">
    <w:name w:val="a6"/>
    <w:basedOn w:val="688"/>
    <w:uiPriority w:val="0"/>
    <w:qFormat/>
    <w:pPr>
      <w:jc w:val="left"/>
      <w:spacing w:before="100" w:beforeAutospacing="1" w:after="100" w:afterAutospacing="1"/>
      <w:widowControl/>
    </w:pPr>
    <w:rPr>
      <w:rFonts w:ascii="宋体" w:hAnsi="宋体" w:cs="宋体"/>
      <w:sz w:val="24"/>
      <w:szCs w:val="24"/>
    </w:rPr>
  </w:style>
  <w:style w:type="paragraph" w:styleId="1021" w:customStyle="1">
    <w:name w:val="_Style 107"/>
    <w:next w:val="688"/>
    <w:uiPriority w:val="0"/>
    <w:qFormat/>
    <w:rPr>
      <w:rFonts w:ascii="Times New Roman" w:hAnsi="Times New Roman" w:eastAsia="宋体" w:cs="Times New Roman"/>
      <w:sz w:val="24"/>
      <w:szCs w:val="24"/>
      <w:lang w:val="en-US" w:eastAsia="zh-CN" w:bidi="ar-SA"/>
    </w:rPr>
  </w:style>
  <w:style w:type="paragraph" w:styleId="1022" w:customStyle="1">
    <w:name w:val="xl97"/>
    <w:basedOn w:val="68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3" w:customStyle="1">
    <w:name w:val="正文2"/>
    <w:basedOn w:val="688"/>
    <w:uiPriority w:val="0"/>
    <w:qFormat/>
    <w:pPr>
      <w:ind w:firstLine="200"/>
      <w:jc w:val="left"/>
      <w:spacing w:after="160" w:line="360" w:lineRule="auto"/>
      <w:widowControl/>
    </w:pPr>
    <w:rPr>
      <w:rFonts w:ascii="Verdana" w:hAnsi="Verdana" w:eastAsia="黑体"/>
      <w:szCs w:val="20"/>
      <w:lang w:eastAsia="en-US"/>
    </w:rPr>
  </w:style>
  <w:style w:type="paragraph" w:styleId="1024" w:customStyle="1">
    <w:name w:val="正文1"/>
    <w:basedOn w:val="688"/>
    <w:next w:val="688"/>
    <w:uiPriority w:val="0"/>
    <w:qFormat/>
    <w:pPr>
      <w:ind w:left="420" w:firstLine="527"/>
      <w:spacing w:before="120" w:line="360" w:lineRule="auto"/>
    </w:pPr>
    <w:rPr>
      <w:rFonts w:ascii="宋体" w:hAnsi="宋体"/>
      <w:sz w:val="24"/>
      <w:szCs w:val="20"/>
    </w:rPr>
  </w:style>
  <w:style w:type="paragraph" w:styleId="1025" w:customStyle="1">
    <w:name w:val="xl85"/>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customStyle="1">
    <w:name w:val="_Style 49"/>
    <w:basedOn w:val="758"/>
    <w:uiPriority w:val="0"/>
    <w:qFormat/>
    <w:pPr>
      <w:spacing w:line="360" w:lineRule="auto"/>
    </w:pPr>
  </w:style>
  <w:style w:type="paragraph" w:styleId="1027" w:customStyle="1">
    <w:name w:val="xl92"/>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8" w:customStyle="1">
    <w:name w:val="xl88"/>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9" w:customStyle="1">
    <w:name w:val="xl80"/>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customStyle="1">
    <w:name w:val="xl7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Char Char Char Char Char Char Char Char Char Char"/>
    <w:basedOn w:val="688"/>
    <w:uiPriority w:val="0"/>
    <w:qFormat/>
    <w:pPr>
      <w:numPr>
        <w:ilvl w:val="0"/>
        <w:numId w:val="2"/>
      </w:numPr>
      <w:tabs>
        <w:tab w:val="left" w:pos="360" w:leader="none"/>
        <w:tab w:val="left" w:pos="960" w:leader="none"/>
      </w:tabs>
    </w:pPr>
    <w:rPr>
      <w:sz w:val="24"/>
      <w:szCs w:val="24"/>
    </w:rPr>
  </w:style>
  <w:style w:type="paragraph" w:styleId="1032" w:customStyle="1">
    <w:name w:val="Char Char Char Char Char Char Char Char Char1 Char"/>
    <w:basedOn w:val="758"/>
    <w:uiPriority w:val="0"/>
    <w:qFormat/>
    <w:pPr>
      <w:jc w:val="both"/>
      <w:spacing w:line="360" w:lineRule="auto"/>
      <w:widowControl w:val="off"/>
    </w:pPr>
    <w:rPr>
      <w:rFonts w:ascii="Tahoma" w:hAnsi="Tahoma"/>
    </w:rPr>
  </w:style>
  <w:style w:type="paragraph" w:styleId="1033" w:customStyle="1">
    <w:name w:val="xl103"/>
    <w:basedOn w:val="68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4" w:customStyle="1">
    <w:name w:val="xl96"/>
    <w:basedOn w:val="68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xl76"/>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6" w:customStyle="1">
    <w:name w:val="xl8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7" w:customStyle="1">
    <w:name w:val="表格 Char"/>
    <w:link w:val="1038"/>
    <w:uiPriority w:val="0"/>
    <w:qFormat/>
    <w:rPr>
      <w:rFonts w:ascii="仿宋" w:hAnsi="仿宋" w:eastAsia="仿宋"/>
      <w:sz w:val="21"/>
      <w:szCs w:val="22"/>
      <w:lang w:val="en-US" w:eastAsia="zh-CN" w:bidi="ar-SA"/>
    </w:rPr>
  </w:style>
  <w:style w:type="paragraph" w:styleId="1038" w:customStyle="1">
    <w:name w:val="表格"/>
    <w:link w:val="1037"/>
    <w:uiPriority w:val="0"/>
    <w:qFormat/>
    <w:pPr>
      <w:jc w:val="center"/>
    </w:pPr>
    <w:rPr>
      <w:rFonts w:ascii="仿宋" w:hAnsi="仿宋" w:eastAsia="仿宋" w:cs="Times New Roman"/>
      <w:sz w:val="21"/>
      <w:szCs w:val="22"/>
      <w:lang w:val="en-US" w:eastAsia="zh-CN" w:bidi="ar-SA"/>
    </w:rPr>
  </w:style>
  <w:style w:type="character" w:styleId="1039" w:customStyle="1">
    <w:name w:val="1级 Char Char"/>
    <w:link w:val="1040"/>
    <w:uiPriority w:val="0"/>
    <w:qFormat/>
    <w:rPr>
      <w:rFonts w:cs="Calibri"/>
      <w:sz w:val="36"/>
      <w:szCs w:val="36"/>
      <w:lang w:eastAsia="en-US" w:bidi="en-US"/>
    </w:rPr>
  </w:style>
  <w:style w:type="paragraph" w:styleId="1040" w:customStyle="1">
    <w:name w:val="1级"/>
    <w:basedOn w:val="688"/>
    <w:link w:val="1039"/>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1" w:customStyle="1">
    <w:name w:val="xl67"/>
    <w:basedOn w:val="68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表格文字"/>
    <w:basedOn w:val="688"/>
    <w:uiPriority w:val="0"/>
    <w:qFormat/>
    <w:pPr>
      <w:jc w:val="left"/>
      <w:spacing w:line="288" w:lineRule="auto"/>
    </w:pPr>
    <w:rPr>
      <w:rFonts w:ascii="宋体"/>
      <w:sz w:val="34"/>
      <w:szCs w:val="20"/>
    </w:rPr>
  </w:style>
  <w:style w:type="paragraph" w:styleId="1043" w:customStyle="1">
    <w:name w:val="默认段落字体 Para Char Char Char Char Char Char Char Char Char Char Char Char Char"/>
    <w:basedOn w:val="688"/>
    <w:uiPriority w:val="0"/>
    <w:qFormat/>
    <w:rPr>
      <w:rFonts w:ascii="等线" w:hAnsi="等线" w:eastAsia="等线"/>
      <w:szCs w:val="24"/>
    </w:rPr>
  </w:style>
  <w:style w:type="paragraph" w:styleId="1044" w:customStyle="1">
    <w:name w:val="纯文本5"/>
    <w:basedOn w:val="688"/>
    <w:uiPriority w:val="0"/>
    <w:qFormat/>
    <w:rPr>
      <w:rFonts w:ascii="宋体" w:hAnsi="Courier New" w:eastAsia="楷体_GB2312"/>
      <w:sz w:val="26"/>
      <w:szCs w:val="20"/>
      <w:lang w:val="zh-CN"/>
    </w:rPr>
  </w:style>
  <w:style w:type="paragraph" w:styleId="1045" w:customStyle="1">
    <w:name w:val="_Style 12"/>
    <w:basedOn w:val="758"/>
    <w:uiPriority w:val="0"/>
    <w:qFormat/>
    <w:pPr>
      <w:spacing w:line="360" w:lineRule="auto"/>
    </w:pPr>
  </w:style>
  <w:style w:type="paragraph" w:styleId="1046" w:customStyle="1">
    <w:name w:val="Char Char Char"/>
    <w:basedOn w:val="688"/>
    <w:uiPriority w:val="0"/>
    <w:qFormat/>
    <w:pPr>
      <w:ind w:left="795" w:hanging="360"/>
      <w:tabs>
        <w:tab w:val="left" w:pos="795" w:leader="none"/>
      </w:tabs>
    </w:pPr>
    <w:rPr>
      <w:sz w:val="24"/>
      <w:szCs w:val="24"/>
    </w:rPr>
  </w:style>
  <w:style w:type="paragraph" w:styleId="1047" w:customStyle="1">
    <w:name w:val="xl89"/>
    <w:basedOn w:val="68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8" w:customStyle="1">
    <w:name w:val="xl63"/>
    <w:basedOn w:val="688"/>
    <w:uiPriority w:val="0"/>
    <w:qFormat/>
    <w:pPr>
      <w:jc w:val="left"/>
      <w:spacing w:before="100" w:beforeAutospacing="1" w:after="100" w:afterAutospacing="1"/>
      <w:widowControl/>
    </w:pPr>
    <w:rPr>
      <w:rFonts w:ascii="宋体" w:hAnsi="宋体" w:cs="宋体"/>
      <w:sz w:val="24"/>
      <w:szCs w:val="24"/>
    </w:rPr>
  </w:style>
  <w:style w:type="paragraph" w:styleId="1049" w:customStyle="1">
    <w:name w:val="xl70"/>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0" w:customStyle="1">
    <w:name w:val="Char Char Char1 Char Char Char Char"/>
    <w:basedOn w:val="688"/>
    <w:uiPriority w:val="0"/>
    <w:qFormat/>
    <w:pPr>
      <w:jc w:val="left"/>
      <w:spacing w:after="160" w:line="240" w:lineRule="exact"/>
      <w:widowControl/>
    </w:pPr>
    <w:rPr>
      <w:sz w:val="24"/>
      <w:szCs w:val="24"/>
    </w:rPr>
  </w:style>
  <w:style w:type="paragraph" w:styleId="1051" w:customStyle="1">
    <w:name w:val="Char Char Char Char"/>
    <w:basedOn w:val="758"/>
    <w:uiPriority w:val="0"/>
    <w:qFormat/>
    <w:pPr>
      <w:jc w:val="both"/>
      <w:spacing w:line="360" w:lineRule="auto"/>
      <w:widowControl w:val="off"/>
    </w:pPr>
    <w:rPr>
      <w:szCs w:val="20"/>
    </w:rPr>
  </w:style>
  <w:style w:type="paragraph" w:styleId="1052" w:customStyle="1">
    <w:name w:val="xl83"/>
    <w:basedOn w:val="68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3" w:customStyle="1">
    <w:name w:val="p0"/>
    <w:basedOn w:val="688"/>
    <w:uiPriority w:val="0"/>
    <w:qFormat/>
    <w:pPr>
      <w:jc w:val="left"/>
      <w:widowControl/>
    </w:pPr>
    <w:rPr>
      <w:sz w:val="24"/>
      <w:szCs w:val="24"/>
    </w:rPr>
  </w:style>
  <w:style w:type="paragraph" w:styleId="1054" w:customStyle="1">
    <w:name w:val="xl74"/>
    <w:basedOn w:val="688"/>
    <w:uiPriority w:val="0"/>
    <w:qFormat/>
    <w:pPr>
      <w:jc w:val="left"/>
      <w:spacing w:before="100" w:beforeAutospacing="1" w:after="100" w:afterAutospacing="1"/>
      <w:widowControl/>
    </w:pPr>
    <w:rPr>
      <w:rFonts w:ascii="宋体" w:hAnsi="宋体" w:cs="宋体"/>
      <w:sz w:val="24"/>
      <w:szCs w:val="24"/>
    </w:rPr>
  </w:style>
  <w:style w:type="paragraph" w:styleId="1055" w:customStyle="1">
    <w:name w:val="xl68"/>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6" w:customStyle="1">
    <w:name w:val="xl75"/>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7" w:customStyle="1">
    <w:name w:val="_Style 3"/>
    <w:basedOn w:val="688"/>
    <w:uiPriority w:val="0"/>
    <w:qFormat/>
    <w:pPr>
      <w:ind w:left="795" w:hanging="360"/>
      <w:tabs>
        <w:tab w:val="left" w:pos="540" w:leader="none"/>
        <w:tab w:val="left" w:pos="795" w:leader="none"/>
      </w:tabs>
    </w:pPr>
    <w:rPr>
      <w:sz w:val="24"/>
      <w:szCs w:val="24"/>
    </w:rPr>
  </w:style>
  <w:style w:type="paragraph" w:styleId="1058" w:customStyle="1">
    <w:name w:val="_Style 1"/>
    <w:basedOn w:val="688"/>
    <w:uiPriority w:val="34"/>
    <w:qFormat/>
    <w:pPr>
      <w:ind w:firstLine="420"/>
      <w:jc w:val="left"/>
      <w:widowControl/>
    </w:pPr>
    <w:rPr>
      <w:sz w:val="24"/>
      <w:szCs w:val="24"/>
    </w:rPr>
  </w:style>
  <w:style w:type="paragraph" w:styleId="1059" w:customStyle="1">
    <w:name w:val="xl104"/>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0" w:customStyle="1">
    <w:name w:val="xl73"/>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_Style 79"/>
    <w:basedOn w:val="688"/>
    <w:uiPriority w:val="0"/>
    <w:qFormat/>
    <w:pPr>
      <w:spacing w:after="160" w:line="240" w:lineRule="exact"/>
    </w:pPr>
    <w:rPr>
      <w:szCs w:val="24"/>
    </w:rPr>
  </w:style>
  <w:style w:type="paragraph" w:styleId="1062" w:customStyle="1">
    <w:name w:val="纯文本1"/>
    <w:basedOn w:val="688"/>
    <w:uiPriority w:val="0"/>
    <w:qFormat/>
    <w:rPr>
      <w:rFonts w:ascii="宋体" w:hAnsi="Courier New" w:eastAsia="楷体_GB2312"/>
      <w:sz w:val="28"/>
      <w:szCs w:val="20"/>
    </w:rPr>
  </w:style>
  <w:style w:type="paragraph" w:styleId="1063" w:customStyle="1">
    <w:name w:val="xl78"/>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xl6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5" w:customStyle="1">
    <w:name w:val="p18"/>
    <w:basedOn w:val="688"/>
    <w:uiPriority w:val="0"/>
    <w:qFormat/>
    <w:pPr>
      <w:ind w:firstLine="420"/>
      <w:jc w:val="left"/>
      <w:widowControl/>
    </w:pPr>
    <w:rPr>
      <w:sz w:val="24"/>
      <w:szCs w:val="24"/>
    </w:rPr>
  </w:style>
  <w:style w:type="paragraph" w:styleId="1066" w:customStyle="1">
    <w:name w:val="xl93"/>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默认段落字体 Para Char Char Char Char Char Char Char Char Char1 Char Char Char Char Char Char Char"/>
    <w:basedOn w:val="758"/>
    <w:uiPriority w:val="0"/>
    <w:qFormat/>
    <w:pPr>
      <w:jc w:val="both"/>
      <w:widowControl w:val="off"/>
    </w:pPr>
    <w:rPr>
      <w:sz w:val="21"/>
    </w:rPr>
  </w:style>
  <w:style w:type="paragraph" w:styleId="1068" w:customStyle="1">
    <w:name w:val="font5"/>
    <w:basedOn w:val="688"/>
    <w:uiPriority w:val="0"/>
    <w:qFormat/>
    <w:pPr>
      <w:jc w:val="left"/>
      <w:spacing w:before="100" w:beforeAutospacing="1" w:after="100" w:afterAutospacing="1"/>
      <w:widowControl/>
    </w:pPr>
    <w:rPr>
      <w:rFonts w:ascii="宋体" w:hAnsi="宋体" w:cs="宋体"/>
      <w:sz w:val="18"/>
      <w:szCs w:val="18"/>
    </w:rPr>
  </w:style>
  <w:style w:type="paragraph" w:styleId="1069"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0" w:customStyle="1">
    <w:name w:val="正文文本_"/>
    <w:link w:val="1071"/>
    <w:uiPriority w:val="0"/>
    <w:qFormat/>
    <w:rPr>
      <w:rFonts w:ascii="MingLiU" w:hAnsi="MingLiU" w:eastAsia="MingLiU"/>
      <w:szCs w:val="21"/>
      <w:shd w:val="clear" w:color="auto" w:fill="ffffff"/>
    </w:rPr>
  </w:style>
  <w:style w:type="paragraph" w:styleId="1071" w:customStyle="1">
    <w:name w:val="正文文本1"/>
    <w:basedOn w:val="688"/>
    <w:link w:val="1070"/>
    <w:uiPriority w:val="0"/>
    <w:qFormat/>
    <w:pPr>
      <w:jc w:val="left"/>
      <w:spacing w:line="403" w:lineRule="exact"/>
      <w:shd w:val="clear" w:color="auto" w:fill="ffffff"/>
    </w:pPr>
    <w:rPr>
      <w:rFonts w:ascii="MingLiU" w:hAnsi="MingLiU" w:eastAsia="MingLiU"/>
      <w:sz w:val="20"/>
      <w:szCs w:val="21"/>
    </w:rPr>
  </w:style>
  <w:style w:type="paragraph" w:styleId="1072" w:customStyle="1">
    <w:name w:val="xl81"/>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3" w:customStyle="1">
    <w:name w:val="Char Char1 Char Char Char Char Char Char Char"/>
    <w:basedOn w:val="688"/>
    <w:uiPriority w:val="0"/>
    <w:qFormat/>
    <w:rPr>
      <w:rFonts w:ascii="Tahoma" w:hAnsi="Tahoma" w:eastAsia="等线"/>
      <w:sz w:val="24"/>
      <w:szCs w:val="20"/>
    </w:rPr>
  </w:style>
  <w:style w:type="paragraph" w:styleId="1074" w:customStyle="1">
    <w:name w:val="xl91"/>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5" w:customStyle="1">
    <w:name w:val="xl69"/>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6" w:customStyle="1">
    <w:name w:val="xl64"/>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7" w:customStyle="1">
    <w:name w:val="_Style 36"/>
    <w:basedOn w:val="758"/>
    <w:uiPriority w:val="0"/>
    <w:qFormat/>
    <w:pPr>
      <w:spacing w:line="360" w:lineRule="auto"/>
    </w:pPr>
  </w:style>
  <w:style w:type="paragraph" w:styleId="1078" w:customStyle="1">
    <w:name w:val="_Style 26"/>
    <w:basedOn w:val="758"/>
    <w:uiPriority w:val="0"/>
    <w:qFormat/>
    <w:pPr>
      <w:spacing w:line="360" w:lineRule="auto"/>
    </w:pPr>
  </w:style>
  <w:style w:type="paragraph" w:styleId="1079" w:customStyle="1">
    <w:name w:val="H-TextFormat"/>
    <w:uiPriority w:val="0"/>
    <w:qFormat/>
    <w:rPr>
      <w:rFonts w:ascii="Arial" w:hAnsi="Arial" w:eastAsia="宋体" w:cs="Times New Roman"/>
      <w:sz w:val="22"/>
      <w:lang w:val="en-GB" w:eastAsia="en-US" w:bidi="ar-SA"/>
    </w:rPr>
  </w:style>
  <w:style w:type="paragraph" w:styleId="1080" w:customStyle="1">
    <w:name w:val="文字"/>
    <w:basedOn w:val="688"/>
    <w:uiPriority w:val="0"/>
    <w:qFormat/>
    <w:pPr>
      <w:ind w:right="-210" w:firstLine="556"/>
      <w:spacing w:line="312" w:lineRule="auto"/>
      <w:tabs>
        <w:tab w:val="left" w:pos="8520" w:leader="none"/>
      </w:tabs>
    </w:pPr>
    <w:rPr>
      <w:rFonts w:ascii="宋体" w:hAnsi="宋体"/>
      <w:sz w:val="28"/>
      <w:szCs w:val="20"/>
    </w:rPr>
  </w:style>
  <w:style w:type="paragraph" w:styleId="1081" w:customStyle="1">
    <w:name w:val="xl8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2" w:customStyle="1">
    <w:name w:val="xl65"/>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3" w:customStyle="1">
    <w:name w:val="批注框文本 Char"/>
    <w:uiPriority w:val="0"/>
    <w:qFormat/>
    <w:rPr>
      <w:sz w:val="18"/>
      <w:szCs w:val="18"/>
    </w:rPr>
  </w:style>
  <w:style w:type="character" w:styleId="1084" w:customStyle="1">
    <w:name w:val="纯文本 Char2"/>
    <w:uiPriority w:val="99"/>
    <w:semiHidden/>
    <w:qFormat/>
    <w:rPr>
      <w:rFonts w:hint="eastAsia" w:ascii="宋体" w:hAnsi="Courier New" w:eastAsia="宋体" w:cs="Courier New"/>
      <w:sz w:val="21"/>
      <w:szCs w:val="21"/>
    </w:rPr>
  </w:style>
  <w:style w:type="character" w:styleId="1085" w:customStyle="1">
    <w:name w:val="批注文字 Char"/>
    <w:uiPriority w:val="0"/>
    <w:qFormat/>
    <w:rPr>
      <w:sz w:val="24"/>
      <w:szCs w:val="24"/>
    </w:rPr>
  </w:style>
  <w:style w:type="character" w:styleId="1086" w:customStyle="1">
    <w:name w:val="纯文本 Char"/>
    <w:uiPriority w:val="0"/>
    <w:qFormat/>
    <w:rPr>
      <w:rFonts w:hint="eastAsia" w:ascii="宋体" w:hAnsi="Courier New" w:eastAsia="楷体_GB2312"/>
      <w:sz w:val="26"/>
    </w:rPr>
  </w:style>
  <w:style w:type="character" w:styleId="1087" w:customStyle="1">
    <w:name w:val="文档结构图 Char"/>
    <w:uiPriority w:val="0"/>
    <w:qFormat/>
    <w:rPr>
      <w:sz w:val="24"/>
      <w:szCs w:val="24"/>
      <w:shd w:val="clear" w:color="auto" w:fill="000080"/>
    </w:rPr>
  </w:style>
  <w:style w:type="character" w:styleId="1088"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9" w:customStyle="1">
    <w:name w:val="页脚 Char"/>
    <w:uiPriority w:val="99"/>
    <w:qFormat/>
    <w:rPr>
      <w:sz w:val="18"/>
      <w:szCs w:val="18"/>
    </w:rPr>
  </w:style>
  <w:style w:type="character" w:styleId="1090" w:customStyle="1">
    <w:name w:val="标题 Char"/>
    <w:uiPriority w:val="0"/>
    <w:qFormat/>
    <w:rPr>
      <w:rFonts w:ascii="Cambria" w:hAnsi="Cambria"/>
      <w:b/>
      <w:bCs/>
      <w:sz w:val="32"/>
      <w:szCs w:val="32"/>
    </w:rPr>
  </w:style>
  <w:style w:type="character" w:styleId="1091" w:customStyle="1">
    <w:name w:val="Plain Text Char Char"/>
    <w:uiPriority w:val="0"/>
    <w:qFormat/>
    <w:rPr>
      <w:rFonts w:hint="eastAsia" w:ascii="宋体" w:hAnsi="Courier New" w:eastAsia="楷体_GB2312"/>
      <w:sz w:val="26"/>
    </w:rPr>
  </w:style>
  <w:style w:type="character" w:styleId="1092" w:customStyle="1">
    <w:name w:val="正文文本 Char"/>
    <w:uiPriority w:val="0"/>
    <w:qFormat/>
    <w:rPr>
      <w:sz w:val="24"/>
      <w:szCs w:val="24"/>
    </w:rPr>
  </w:style>
  <w:style w:type="character" w:styleId="1093" w:customStyle="1">
    <w:name w:val="font01"/>
    <w:uiPriority w:val="0"/>
    <w:qFormat/>
    <w:rPr>
      <w:rFonts w:hint="eastAsia" w:ascii="宋体" w:hAnsi="宋体" w:eastAsia="宋体" w:cs="宋体"/>
      <w:color w:val="000000"/>
      <w:sz w:val="24"/>
      <w:szCs w:val="24"/>
      <w:u w:val="none"/>
    </w:rPr>
  </w:style>
  <w:style w:type="character" w:styleId="1094" w:customStyle="1">
    <w:name w:val="font71"/>
    <w:uiPriority w:val="0"/>
    <w:qFormat/>
    <w:rPr>
      <w:rFonts w:ascii="Times New Roman" w:hAnsi="Times New Roman" w:cs="Times New Roman"/>
      <w:color w:val="000000"/>
      <w:sz w:val="24"/>
      <w:szCs w:val="24"/>
      <w:u w:val="none"/>
    </w:rPr>
  </w:style>
  <w:style w:type="character" w:styleId="1095" w:customStyle="1">
    <w:name w:val="正文文本缩进 3 字符2"/>
    <w:uiPriority w:val="0"/>
    <w:qFormat/>
    <w:rPr>
      <w:sz w:val="24"/>
      <w:szCs w:val="24"/>
    </w:rPr>
  </w:style>
  <w:style w:type="character" w:styleId="1096" w:customStyle="1">
    <w:name w:val="标题 2 Char"/>
    <w:uiPriority w:val="0"/>
    <w:qFormat/>
    <w:rPr>
      <w:rFonts w:ascii="Cambria" w:hAnsi="Cambria" w:eastAsia="宋体" w:cs="Times New Roman"/>
      <w:b/>
      <w:bCs/>
      <w:sz w:val="32"/>
      <w:szCs w:val="32"/>
    </w:rPr>
  </w:style>
  <w:style w:type="paragraph" w:styleId="1097" w:customStyle="1">
    <w:name w:val="2级"/>
    <w:basedOn w:val="1040"/>
    <w:link w:val="1098"/>
    <w:uiPriority w:val="0"/>
    <w:qFormat/>
    <w:pPr>
      <w:ind w:firstLine="420"/>
      <w:tabs>
        <w:tab w:val="left" w:pos="960" w:leader="none"/>
      </w:tabs>
      <w:outlineLvl w:val="1"/>
    </w:pPr>
    <w:rPr>
      <w:sz w:val="32"/>
      <w:szCs w:val="32"/>
    </w:rPr>
  </w:style>
  <w:style w:type="character" w:styleId="1098" w:customStyle="1">
    <w:name w:val="2级 Char Char"/>
    <w:link w:val="1097"/>
    <w:uiPriority w:val="0"/>
    <w:qFormat/>
    <w:rPr>
      <w:rFonts w:cs="Calibri"/>
      <w:sz w:val="32"/>
      <w:szCs w:val="32"/>
      <w:lang w:eastAsia="en-US" w:bidi="en-US"/>
    </w:rPr>
  </w:style>
  <w:style w:type="character" w:styleId="1099" w:customStyle="1">
    <w:name w:val="正文文本缩进 2 Char1"/>
    <w:uiPriority w:val="0"/>
    <w:semiHidden/>
    <w:qFormat/>
    <w:rPr>
      <w:rFonts w:hint="eastAsia" w:ascii="等线" w:hAnsi="等线" w:eastAsia="等线" w:cs="Times New Roman"/>
      <w:sz w:val="24"/>
      <w:szCs w:val="24"/>
    </w:rPr>
  </w:style>
  <w:style w:type="character" w:styleId="1100" w:customStyle="1">
    <w:name w:val="日期 Char"/>
    <w:uiPriority w:val="99"/>
    <w:qFormat/>
    <w:rPr>
      <w:b/>
      <w:bCs/>
      <w:spacing w:val="20"/>
      <w:sz w:val="21"/>
      <w:szCs w:val="24"/>
    </w:rPr>
  </w:style>
  <w:style w:type="character" w:styleId="1101" w:customStyle="1">
    <w:name w:val="正文文本 2 Char"/>
    <w:uiPriority w:val="0"/>
    <w:qFormat/>
    <w:rPr>
      <w:sz w:val="24"/>
      <w:szCs w:val="24"/>
    </w:rPr>
  </w:style>
  <w:style w:type="character" w:styleId="1102" w:customStyle="1">
    <w:name w:val="纯文本 字符1"/>
    <w:uiPriority w:val="99"/>
    <w:semiHidden/>
    <w:qFormat/>
    <w:rPr>
      <w:rFonts w:hint="eastAsia" w:ascii="等线" w:hAnsi="Courier New" w:eastAsia="等线" w:cs="Courier New"/>
      <w:sz w:val="24"/>
      <w:szCs w:val="24"/>
    </w:rPr>
  </w:style>
  <w:style w:type="character" w:styleId="1103" w:customStyle="1">
    <w:name w:val="批注框文本 字符1"/>
    <w:uiPriority w:val="99"/>
    <w:semiHidden/>
    <w:qFormat/>
    <w:rPr>
      <w:sz w:val="18"/>
      <w:szCs w:val="18"/>
    </w:rPr>
  </w:style>
  <w:style w:type="character" w:styleId="1104" w:customStyle="1">
    <w:name w:val="文档结构图 字符1"/>
    <w:uiPriority w:val="99"/>
    <w:semiHidden/>
    <w:qFormat/>
    <w:rPr>
      <w:rFonts w:hint="eastAsia" w:ascii="Microsoft YaHei UI" w:hAnsi="Microsoft YaHei UI" w:eastAsia="Microsoft YaHei UI"/>
      <w:sz w:val="18"/>
      <w:szCs w:val="18"/>
    </w:rPr>
  </w:style>
  <w:style w:type="character" w:styleId="1105" w:customStyle="1">
    <w:name w:val="正文文本缩进 3 字符1"/>
    <w:uiPriority w:val="0"/>
    <w:qFormat/>
    <w:rPr>
      <w:sz w:val="16"/>
      <w:szCs w:val="16"/>
    </w:rPr>
  </w:style>
  <w:style w:type="character" w:styleId="1106" w:customStyle="1">
    <w:name w:val="批注主题 字符1"/>
    <w:uiPriority w:val="99"/>
    <w:semiHidden/>
    <w:qFormat/>
    <w:rPr>
      <w:b/>
      <w:bCs/>
      <w:sz w:val="24"/>
      <w:szCs w:val="24"/>
    </w:rPr>
  </w:style>
  <w:style w:type="character" w:styleId="1107" w:customStyle="1">
    <w:name w:val="日期 字符1"/>
    <w:uiPriority w:val="99"/>
    <w:semiHidden/>
    <w:qFormat/>
    <w:rPr>
      <w:sz w:val="24"/>
      <w:szCs w:val="24"/>
    </w:rPr>
  </w:style>
  <w:style w:type="character" w:styleId="1108" w:customStyle="1">
    <w:name w:val="正文文本缩进 2 字符1"/>
    <w:uiPriority w:val="99"/>
    <w:semiHidden/>
    <w:qFormat/>
    <w:rPr>
      <w:sz w:val="24"/>
      <w:szCs w:val="24"/>
    </w:rPr>
  </w:style>
  <w:style w:type="character" w:styleId="1109" w:customStyle="1">
    <w:name w:val="正文文本 2 字符1"/>
    <w:uiPriority w:val="99"/>
    <w:semiHidden/>
    <w:qFormat/>
    <w:rPr>
      <w:sz w:val="24"/>
      <w:szCs w:val="24"/>
    </w:rPr>
  </w:style>
  <w:style w:type="character" w:styleId="1110" w:customStyle="1">
    <w:name w:val="正文文本缩进 字符1"/>
    <w:uiPriority w:val="99"/>
    <w:semiHidden/>
    <w:qFormat/>
    <w:rPr>
      <w:sz w:val="24"/>
      <w:szCs w:val="24"/>
    </w:rPr>
  </w:style>
  <w:style w:type="character" w:styleId="1111" w:customStyle="1">
    <w:name w:val="副标题 字符1"/>
    <w:uiPriority w:val="11"/>
    <w:qFormat/>
    <w:rPr>
      <w:rFonts w:hint="eastAsia" w:ascii="等线" w:hAnsi="等线" w:eastAsia="等线" w:cs="Times New Roman"/>
      <w:b/>
      <w:bCs/>
      <w:sz w:val="32"/>
      <w:szCs w:val="32"/>
    </w:rPr>
  </w:style>
  <w:style w:type="character" w:styleId="1112" w:customStyle="1">
    <w:name w:val="正文文本 字符1"/>
    <w:uiPriority w:val="99"/>
    <w:semiHidden/>
    <w:qFormat/>
    <w:rPr>
      <w:sz w:val="24"/>
      <w:szCs w:val="24"/>
    </w:rPr>
  </w:style>
  <w:style w:type="character" w:styleId="1113" w:customStyle="1">
    <w:name w:val="标题 字符1"/>
    <w:uiPriority w:val="10"/>
    <w:qFormat/>
    <w:rPr>
      <w:rFonts w:hint="eastAsia" w:ascii="等线 Light" w:hAnsi="等线 Light" w:eastAsia="等线 Light" w:cs="Times New Roman"/>
      <w:b/>
      <w:bCs/>
      <w:sz w:val="32"/>
      <w:szCs w:val="32"/>
    </w:rPr>
  </w:style>
  <w:style w:type="character" w:styleId="1114" w:customStyle="1">
    <w:name w:val="页眉 字符1"/>
    <w:uiPriority w:val="99"/>
    <w:semiHidden/>
    <w:qFormat/>
    <w:rPr>
      <w:sz w:val="18"/>
      <w:szCs w:val="18"/>
    </w:rPr>
  </w:style>
  <w:style w:type="character" w:styleId="1115" w:customStyle="1">
    <w:name w:val="页脚 字符1"/>
    <w:uiPriority w:val="99"/>
    <w:semiHidden/>
    <w:qFormat/>
    <w:rPr>
      <w:sz w:val="18"/>
      <w:szCs w:val="18"/>
    </w:rPr>
  </w:style>
  <w:style w:type="table" w:styleId="1116" w:customStyle="1">
    <w:name w:val="网格型1"/>
    <w:basedOn w:val="744"/>
    <w:uiPriority w:val="0"/>
    <w:qFormat/>
    <w:pPr>
      <w:jc w:val="both"/>
      <w:widowControl w:val="off"/>
    </w:pPr>
    <w:tblPr/>
  </w:style>
  <w:style w:type="paragraph" w:styleId="1117" w:customStyle="1">
    <w:name w:val="font0"/>
    <w:basedOn w:val="68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8" w:customStyle="1">
    <w:name w:val="font1"/>
    <w:basedOn w:val="688"/>
    <w:uiPriority w:val="0"/>
    <w:qFormat/>
    <w:pPr>
      <w:jc w:val="left"/>
      <w:spacing w:before="100" w:beforeAutospacing="1" w:after="100" w:afterAutospacing="1"/>
      <w:widowControl/>
    </w:pPr>
    <w:rPr>
      <w:rFonts w:ascii="宋体" w:hAnsi="宋体" w:cs="宋体"/>
      <w:color w:val="000000"/>
      <w:sz w:val="22"/>
    </w:rPr>
  </w:style>
  <w:style w:type="paragraph" w:styleId="1119" w:customStyle="1">
    <w:name w:val="font2"/>
    <w:basedOn w:val="68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0" w:customStyle="1">
    <w:name w:val="et3"/>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1" w:customStyle="1">
    <w:name w:val="et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2" w:customStyle="1">
    <w:name w:val="et5"/>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3" w:customStyle="1">
    <w:name w:val="et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4" w:customStyle="1">
    <w:name w:val="et7"/>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6" w:customStyle="1">
    <w:name w:val="font3"/>
    <w:basedOn w:val="688"/>
    <w:uiPriority w:val="0"/>
    <w:qFormat/>
    <w:pPr>
      <w:jc w:val="left"/>
      <w:spacing w:before="100" w:beforeAutospacing="1" w:after="100" w:afterAutospacing="1"/>
      <w:widowControl/>
    </w:pPr>
    <w:rPr>
      <w:rFonts w:cs="Calibri"/>
      <w:color w:val="000000"/>
      <w:szCs w:val="21"/>
    </w:rPr>
  </w:style>
  <w:style w:type="paragraph" w:styleId="1127" w:customStyle="1">
    <w:name w:val="font4"/>
    <w:basedOn w:val="688"/>
    <w:uiPriority w:val="0"/>
    <w:qFormat/>
    <w:pPr>
      <w:jc w:val="left"/>
      <w:spacing w:before="100" w:beforeAutospacing="1" w:after="100" w:afterAutospacing="1"/>
      <w:widowControl/>
    </w:pPr>
    <w:rPr>
      <w:rFonts w:ascii="宋体" w:hAnsi="宋体" w:cs="宋体"/>
      <w:color w:val="000000"/>
      <w:szCs w:val="21"/>
    </w:rPr>
  </w:style>
  <w:style w:type="character" w:styleId="1128" w:customStyle="1">
    <w:name w:val="font31"/>
    <w:basedOn w:val="698"/>
    <w:uiPriority w:val="0"/>
    <w:qFormat/>
    <w:rPr>
      <w:rFonts w:ascii="Calibri" w:hAnsi="Calibri" w:cs="Calibri"/>
      <w:color w:val="000000"/>
      <w:sz w:val="21"/>
      <w:szCs w:val="21"/>
      <w:u w:val="none"/>
    </w:rPr>
  </w:style>
  <w:style w:type="character" w:styleId="1129" w:customStyle="1">
    <w:name w:val="font41"/>
    <w:basedOn w:val="698"/>
    <w:uiPriority w:val="0"/>
    <w:qFormat/>
    <w:rPr>
      <w:rFonts w:hint="eastAsia" w:ascii="宋体" w:hAnsi="宋体" w:eastAsia="宋体"/>
      <w:color w:val="000000"/>
      <w:sz w:val="21"/>
      <w:szCs w:val="21"/>
      <w:u w:val="none"/>
    </w:rPr>
  </w:style>
  <w:style w:type="paragraph" w:styleId="1130" w:customStyle="1">
    <w:name w:val="修订1"/>
    <w:uiPriority w:val="99"/>
    <w:semiHidden/>
    <w:qFormat/>
    <w:rPr>
      <w:rFonts w:ascii="Times New Roman" w:hAnsi="Times New Roman" w:eastAsia="宋体" w:cs="Times New Roman"/>
      <w:sz w:val="21"/>
      <w:szCs w:val="22"/>
      <w:lang w:val="en-US" w:eastAsia="zh-CN" w:bidi="ar-SA"/>
    </w:rPr>
  </w:style>
  <w:style w:type="character" w:styleId="1131" w:customStyle="1">
    <w:name w:val="标题 8 字符"/>
    <w:uiPriority w:val="9"/>
    <w:semiHidden/>
    <w:qFormat/>
    <w:rPr>
      <w:rFonts w:ascii="等线 Light" w:hAnsi="等线 Light" w:eastAsia="等线 Light" w:cs="Times New Roman"/>
      <w:sz w:val="24"/>
      <w:szCs w:val="24"/>
    </w:rPr>
  </w:style>
  <w:style w:type="character" w:styleId="1132" w:customStyle="1">
    <w:name w:val="标题 9 字符"/>
    <w:uiPriority w:val="9"/>
    <w:semiHidden/>
    <w:qFormat/>
    <w:rPr>
      <w:rFonts w:ascii="等线 Light" w:hAnsi="等线 Light" w:eastAsia="等线 Light" w:cs="Times New Roman"/>
      <w:sz w:val="21"/>
      <w:szCs w:val="21"/>
    </w:rPr>
  </w:style>
  <w:style w:type="character" w:styleId="1133" w:customStyle="1">
    <w:name w:val="标题 3 Char"/>
    <w:uiPriority w:val="0"/>
    <w:qFormat/>
    <w:rPr>
      <w:rFonts w:ascii="宋体" w:hAnsi="宋体"/>
      <w:b/>
      <w:sz w:val="30"/>
    </w:rPr>
  </w:style>
  <w:style w:type="character" w:styleId="1134" w:customStyle="1">
    <w:name w:val="标题 4 Char"/>
    <w:uiPriority w:val="0"/>
    <w:qFormat/>
    <w:rPr>
      <w:rFonts w:ascii="宋体" w:hAnsi="宋体"/>
      <w:b/>
      <w:sz w:val="28"/>
    </w:rPr>
  </w:style>
  <w:style w:type="character" w:styleId="1135" w:customStyle="1">
    <w:name w:val="正文缩进 Char"/>
    <w:uiPriority w:val="0"/>
    <w:qFormat/>
    <w:rPr>
      <w:rFonts w:eastAsia="宋体"/>
      <w:sz w:val="21"/>
      <w:szCs w:val="24"/>
      <w:lang w:val="en-US" w:eastAsia="zh-CN" w:bidi="ar-SA"/>
    </w:rPr>
  </w:style>
  <w:style w:type="character" w:styleId="1136" w:customStyle="1">
    <w:name w:val="标题 5 Char"/>
    <w:uiPriority w:val="0"/>
    <w:qFormat/>
    <w:rPr>
      <w:rFonts w:ascii="宋体" w:hAnsi="宋体" w:eastAsia="宋体"/>
      <w:b/>
      <w:sz w:val="28"/>
    </w:rPr>
  </w:style>
  <w:style w:type="character" w:styleId="1137" w:customStyle="1">
    <w:name w:val="标题 6 Char"/>
    <w:uiPriority w:val="0"/>
    <w:qFormat/>
    <w:rPr>
      <w:rFonts w:ascii="宋体" w:hAnsi="宋体"/>
      <w:b/>
      <w:sz w:val="24"/>
    </w:rPr>
  </w:style>
  <w:style w:type="character" w:styleId="1138" w:customStyle="1">
    <w:name w:val="标题 7 Char"/>
    <w:uiPriority w:val="0"/>
    <w:qFormat/>
    <w:rPr>
      <w:b/>
      <w:sz w:val="24"/>
    </w:rPr>
  </w:style>
  <w:style w:type="paragraph" w:styleId="1139" w:customStyle="1">
    <w:name w:val="_Style 235"/>
    <w:basedOn w:val="688"/>
    <w:next w:val="994"/>
    <w:link w:val="1140"/>
    <w:uiPriority w:val="0"/>
    <w:qFormat/>
    <w:pPr>
      <w:contextualSpacing/>
      <w:ind w:firstLine="420"/>
      <w:jc w:val="left"/>
      <w:spacing w:line="360" w:lineRule="auto"/>
    </w:pPr>
    <w:rPr>
      <w:szCs w:val="24"/>
    </w:rPr>
  </w:style>
  <w:style w:type="character" w:styleId="1140" w:customStyle="1">
    <w:name w:val="列出段落 Char"/>
    <w:link w:val="1139"/>
    <w:uiPriority w:val="0"/>
    <w:qFormat/>
    <w:rPr>
      <w:sz w:val="21"/>
      <w:szCs w:val="24"/>
    </w:rPr>
  </w:style>
  <w:style w:type="character" w:styleId="1141" w:customStyle="1">
    <w:name w:val="页眉 Char"/>
    <w:uiPriority w:val="0"/>
    <w:qFormat/>
    <w:rPr>
      <w:rFonts w:eastAsia="宋体"/>
      <w:sz w:val="18"/>
      <w:szCs w:val="18"/>
      <w:lang w:val="en-US" w:eastAsia="zh-CN" w:bidi="ar-SA"/>
    </w:rPr>
  </w:style>
  <w:style w:type="character" w:styleId="1142" w:customStyle="1">
    <w:name w:val="副标题 Char"/>
    <w:uiPriority w:val="0"/>
    <w:qFormat/>
    <w:rPr>
      <w:rFonts w:ascii="Cambria" w:hAnsi="Cambria" w:eastAsia="宋体"/>
      <w:b/>
      <w:bCs/>
      <w:sz w:val="32"/>
      <w:szCs w:val="32"/>
      <w:lang w:val="en-US" w:eastAsia="zh-CN" w:bidi="ar-SA"/>
    </w:rPr>
  </w:style>
  <w:style w:type="character" w:styleId="1143" w:customStyle="1">
    <w:name w:val="脚注文本 字符"/>
    <w:uiPriority w:val="99"/>
    <w:semiHidden/>
    <w:qFormat/>
    <w:rPr>
      <w:sz w:val="18"/>
      <w:szCs w:val="18"/>
    </w:rPr>
  </w:style>
  <w:style w:type="table" w:styleId="1144" w:customStyle="1">
    <w:name w:val="网格型2"/>
    <w:basedOn w:val="744"/>
    <w:uiPriority w:val="59"/>
    <w:qFormat/>
    <w:tblPr/>
  </w:style>
  <w:style w:type="character" w:styleId="1145" w:customStyle="1">
    <w:name w:val="Char Char3"/>
    <w:uiPriority w:val="0"/>
    <w:qFormat/>
    <w:rPr>
      <w:rFonts w:ascii="Arial" w:hAnsi="Arial" w:eastAsia="宋体"/>
      <w:b/>
      <w:bCs/>
      <w:sz w:val="21"/>
      <w:szCs w:val="32"/>
      <w:lang w:val="en-US" w:eastAsia="zh-CN" w:bidi="ar-SA"/>
    </w:rPr>
  </w:style>
  <w:style w:type="character" w:styleId="1146" w:customStyle="1">
    <w:name w:val="dy_biao_content1"/>
    <w:uiPriority w:val="0"/>
    <w:qFormat/>
    <w:rPr>
      <w:rFonts w:hint="eastAsia" w:ascii="宋体" w:hAnsi="宋体" w:eastAsia="宋体"/>
      <w:sz w:val="24"/>
      <w:szCs w:val="24"/>
    </w:rPr>
  </w:style>
  <w:style w:type="character" w:styleId="1147" w:customStyle="1">
    <w:name w:val="Char Char9"/>
    <w:uiPriority w:val="0"/>
    <w:qFormat/>
    <w:rPr>
      <w:sz w:val="18"/>
      <w:szCs w:val="18"/>
    </w:rPr>
  </w:style>
  <w:style w:type="character" w:styleId="1148" w:customStyle="1">
    <w:name w:val="NormalCharacter1"/>
    <w:uiPriority w:val="0"/>
    <w:semiHidden/>
    <w:qFormat/>
    <w:rPr>
      <w:rFonts w:ascii="宋体" w:hAnsi="宋体"/>
      <w:sz w:val="24"/>
      <w:szCs w:val="24"/>
      <w:lang w:val="en-US" w:eastAsia="zh-CN" w:bidi="ar-SA"/>
    </w:rPr>
  </w:style>
  <w:style w:type="character" w:styleId="1149" w:customStyle="1">
    <w:name w:val="普通文字 Char Char1"/>
    <w:uiPriority w:val="0"/>
    <w:qFormat/>
    <w:rPr>
      <w:rFonts w:ascii="宋体" w:hAnsi="Courier New" w:eastAsia="宋体"/>
      <w:sz w:val="21"/>
      <w:lang w:val="en-US" w:eastAsia="zh-CN" w:bidi="ar-SA"/>
    </w:rPr>
  </w:style>
  <w:style w:type="character" w:styleId="1150" w:customStyle="1">
    <w:name w:val="Char Char Char Char Char"/>
    <w:uiPriority w:val="0"/>
    <w:qFormat/>
    <w:rPr>
      <w:rFonts w:ascii="Courier New" w:eastAsia="Courier New"/>
      <w:color w:val="ff0000"/>
      <w:sz w:val="24"/>
      <w:szCs w:val="24"/>
      <w:u w:val="single"/>
      <w:lang w:val="en-US" w:eastAsia="zh-CN" w:bidi="ar-SA"/>
    </w:rPr>
  </w:style>
  <w:style w:type="character" w:styleId="1151" w:customStyle="1">
    <w:name w:val="样式1 Char Char Char"/>
    <w:uiPriority w:val="0"/>
    <w:qFormat/>
    <w:rPr>
      <w:rFonts w:ascii="Arial" w:hAnsi="Arial" w:eastAsia="宋体"/>
      <w:sz w:val="21"/>
      <w:szCs w:val="24"/>
      <w:lang w:val="en-US" w:eastAsia="zh-CN" w:bidi="ar-SA"/>
    </w:rPr>
  </w:style>
  <w:style w:type="character" w:styleId="1152" w:customStyle="1">
    <w:name w:val="样式1 Char"/>
    <w:uiPriority w:val="0"/>
    <w:qFormat/>
    <w:rPr>
      <w:rFonts w:ascii="Arial" w:hAnsi="Arial" w:eastAsia="宋体"/>
      <w:sz w:val="21"/>
      <w:szCs w:val="24"/>
      <w:lang w:val="en-US" w:eastAsia="zh-CN" w:bidi="ar-SA"/>
    </w:rPr>
  </w:style>
  <w:style w:type="character" w:styleId="1153" w:customStyle="1">
    <w:name w:val="zbggmain style9"/>
    <w:uiPriority w:val="0"/>
    <w:qFormat/>
  </w:style>
  <w:style w:type="character" w:styleId="1154" w:customStyle="1">
    <w:name w:val="unnamed51"/>
    <w:uiPriority w:val="0"/>
    <w:qFormat/>
    <w:rPr>
      <w:sz w:val="22"/>
      <w:szCs w:val="22"/>
    </w:rPr>
  </w:style>
  <w:style w:type="character" w:styleId="1155" w:customStyle="1">
    <w:name w:val="普通文字 Char1"/>
    <w:uiPriority w:val="0"/>
    <w:qFormat/>
    <w:rPr>
      <w:rFonts w:ascii="宋体" w:hAnsi="Courier New" w:eastAsia="宋体"/>
      <w:sz w:val="21"/>
      <w:lang w:val="en-US" w:eastAsia="zh-CN"/>
    </w:rPr>
  </w:style>
  <w:style w:type="character" w:styleId="1156" w:customStyle="1">
    <w:name w:val="样式1 Char Char"/>
    <w:link w:val="1157"/>
    <w:uiPriority w:val="0"/>
    <w:qFormat/>
    <w:rPr>
      <w:rFonts w:ascii="Arial" w:hAnsi="Arial"/>
      <w:sz w:val="21"/>
      <w:szCs w:val="24"/>
    </w:rPr>
  </w:style>
  <w:style w:type="paragraph" w:styleId="1157" w:customStyle="1">
    <w:name w:val="样式1"/>
    <w:basedOn w:val="688"/>
    <w:link w:val="1156"/>
    <w:uiPriority w:val="0"/>
    <w:qFormat/>
    <w:pPr>
      <w:contextualSpacing/>
      <w:ind w:firstLine="200"/>
      <w:jc w:val="left"/>
      <w:spacing w:line="360" w:lineRule="exact"/>
    </w:pPr>
    <w:rPr>
      <w:rFonts w:ascii="Arial" w:hAnsi="Arial"/>
      <w:szCs w:val="24"/>
    </w:rPr>
  </w:style>
  <w:style w:type="paragraph" w:styleId="115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9" w:customStyle="1">
    <w:name w:val="正文－恩普"/>
    <w:basedOn w:val="741"/>
    <w:uiPriority w:val="0"/>
    <w:qFormat/>
    <w:pPr>
      <w:contextualSpacing/>
      <w:ind w:firstLine="480"/>
      <w:spacing w:after="156" w:line="360" w:lineRule="auto"/>
      <w:widowControl/>
    </w:pPr>
    <w:rPr>
      <w:rFonts w:ascii="Times New Roman" w:eastAsia="宋体"/>
    </w:rPr>
  </w:style>
  <w:style w:type="paragraph" w:styleId="1160"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1" w:customStyle="1">
    <w:name w:val="正文段"/>
    <w:basedOn w:val="688"/>
    <w:uiPriority w:val="0"/>
    <w:qFormat/>
    <w:pPr>
      <w:contextualSpacing/>
      <w:ind w:firstLine="200"/>
      <w:jc w:val="left"/>
      <w:spacing w:after="50" w:line="360" w:lineRule="auto"/>
      <w:widowControl/>
    </w:pPr>
    <w:rPr>
      <w:rFonts w:ascii="宋体" w:hAnsi="宋体"/>
      <w:sz w:val="24"/>
      <w:szCs w:val="20"/>
    </w:rPr>
  </w:style>
  <w:style w:type="paragraph" w:styleId="1162" w:customStyle="1">
    <w:name w:val="题目 2"/>
    <w:next w:val="688"/>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3" w:customStyle="1">
    <w:name w:val="题目 3"/>
    <w:next w:val="688"/>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4" w:customStyle="1">
    <w:name w:val="默认段落字体 Para Char"/>
    <w:basedOn w:val="68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5"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6" w:customStyle="1">
    <w:name w:val="Char Char Char1"/>
    <w:basedOn w:val="688"/>
    <w:uiPriority w:val="0"/>
    <w:qFormat/>
    <w:pPr>
      <w:contextualSpacing/>
      <w:ind w:firstLine="200"/>
      <w:jc w:val="left"/>
      <w:spacing w:line="360" w:lineRule="auto"/>
    </w:pPr>
    <w:rPr>
      <w:rFonts w:ascii="仿宋_GB2312" w:hAnsi="宋体" w:eastAsia="仿宋_GB2312"/>
      <w:b/>
      <w:sz w:val="32"/>
      <w:szCs w:val="32"/>
    </w:rPr>
  </w:style>
  <w:style w:type="paragraph" w:styleId="1167" w:customStyle="1">
    <w:name w:val="Char1 Char Char Char1"/>
    <w:basedOn w:val="688"/>
    <w:uiPriority w:val="0"/>
    <w:qFormat/>
    <w:pPr>
      <w:contextualSpacing/>
      <w:ind w:firstLine="200"/>
      <w:jc w:val="left"/>
      <w:spacing w:line="360" w:lineRule="auto"/>
    </w:pPr>
    <w:rPr>
      <w:rFonts w:ascii="宋体" w:hAnsi="宋体"/>
      <w:sz w:val="24"/>
      <w:szCs w:val="20"/>
    </w:rPr>
  </w:style>
  <w:style w:type="paragraph" w:styleId="1168" w:customStyle="1">
    <w:name w:val="Char11"/>
    <w:basedOn w:val="68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9"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0" w:customStyle="1">
    <w:name w:val="UserStyle_1"/>
    <w:next w:val="1165"/>
    <w:uiPriority w:val="0"/>
    <w:qFormat/>
    <w:pPr>
      <w:ind w:firstLine="420"/>
      <w:jc w:val="both"/>
    </w:pPr>
    <w:rPr>
      <w:rFonts w:ascii="Times New Roman" w:hAnsi="Times New Roman" w:eastAsia="宋体" w:cs="Times New Roman"/>
      <w:sz w:val="21"/>
      <w:szCs w:val="22"/>
      <w:lang w:val="en-US" w:eastAsia="zh-CN" w:bidi="ar-SA"/>
    </w:rPr>
  </w:style>
  <w:style w:type="paragraph" w:styleId="1171" w:customStyle="1">
    <w:name w:val="Char2"/>
    <w:basedOn w:val="688"/>
    <w:uiPriority w:val="0"/>
    <w:qFormat/>
    <w:pPr>
      <w:contextualSpacing/>
      <w:ind w:firstLine="200"/>
      <w:jc w:val="left"/>
      <w:spacing w:line="360" w:lineRule="auto"/>
    </w:pPr>
    <w:rPr>
      <w:rFonts w:ascii="仿宋_GB2312" w:hAnsi="宋体" w:eastAsia="仿宋_GB2312"/>
      <w:b/>
      <w:sz w:val="32"/>
      <w:szCs w:val="32"/>
    </w:rPr>
  </w:style>
  <w:style w:type="paragraph" w:styleId="1172" w:customStyle="1">
    <w:name w:val="Char Char Char Char Char Char"/>
    <w:basedOn w:val="688"/>
    <w:uiPriority w:val="0"/>
    <w:qFormat/>
    <w:pPr>
      <w:contextualSpacing/>
      <w:ind w:firstLine="200"/>
      <w:jc w:val="left"/>
      <w:spacing w:line="360" w:lineRule="auto"/>
    </w:pPr>
    <w:rPr>
      <w:rFonts w:ascii="Tahoma" w:hAnsi="Tahoma"/>
      <w:sz w:val="24"/>
      <w:szCs w:val="20"/>
    </w:rPr>
  </w:style>
  <w:style w:type="paragraph" w:styleId="1173" w:customStyle="1">
    <w:name w:val="Heading21"/>
    <w:next w:val="688"/>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4" w:customStyle="1">
    <w:name w:val="正文文字缩进 2"/>
    <w:basedOn w:val="68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5" w:customStyle="1">
    <w:name w:val="1"/>
    <w:basedOn w:val="688"/>
    <w:next w:val="796"/>
    <w:uiPriority w:val="0"/>
    <w:qFormat/>
    <w:pPr>
      <w:contextualSpacing/>
      <w:ind w:firstLine="480"/>
      <w:jc w:val="left"/>
      <w:spacing w:line="440" w:lineRule="atLeast"/>
      <w:widowControl/>
    </w:pPr>
    <w:rPr>
      <w:rFonts w:ascii="宋体" w:hAnsi="宋体"/>
      <w:sz w:val="24"/>
      <w:szCs w:val="20"/>
    </w:rPr>
  </w:style>
  <w:style w:type="paragraph" w:styleId="1176" w:customStyle="1">
    <w:name w:val="Char1 Char Char Char Char Char Char"/>
    <w:basedOn w:val="688"/>
    <w:uiPriority w:val="0"/>
    <w:qFormat/>
    <w:pPr>
      <w:contextualSpacing/>
      <w:ind w:firstLine="200"/>
      <w:jc w:val="left"/>
      <w:spacing w:line="360" w:lineRule="auto"/>
    </w:pPr>
    <w:rPr>
      <w:rFonts w:ascii="仿宋_GB2312" w:hAnsi="宋体" w:eastAsia="仿宋_GB2312"/>
      <w:b/>
      <w:sz w:val="32"/>
      <w:szCs w:val="32"/>
    </w:rPr>
  </w:style>
  <w:style w:type="paragraph" w:styleId="1177" w:customStyle="1">
    <w:name w:val="正文文字缩进 3"/>
    <w:basedOn w:val="68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8" w:customStyle="1">
    <w:name w:val="自由格式"/>
    <w:uiPriority w:val="0"/>
    <w:qFormat/>
    <w:rPr>
      <w:rFonts w:ascii="Helvetica" w:hAnsi="Helvetica" w:eastAsia="ヒラギノ角ゴ Pro W3" w:cs="Times New Roman"/>
      <w:color w:val="000000"/>
      <w:sz w:val="24"/>
      <w:lang w:val="en-US" w:eastAsia="zh-CN" w:bidi="ar-SA"/>
    </w:rPr>
  </w:style>
  <w:style w:type="paragraph" w:styleId="1179" w:customStyle="1">
    <w:name w:val="样式4"/>
    <w:basedOn w:val="78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0" w:customStyle="1">
    <w:name w:val="Char3"/>
    <w:basedOn w:val="688"/>
    <w:uiPriority w:val="0"/>
    <w:qFormat/>
    <w:pPr>
      <w:contextualSpacing/>
      <w:ind w:firstLine="200"/>
      <w:jc w:val="left"/>
      <w:spacing w:line="360" w:lineRule="auto"/>
    </w:pPr>
    <w:rPr>
      <w:rFonts w:ascii="仿宋_GB2312" w:hAnsi="宋体" w:eastAsia="仿宋_GB2312"/>
      <w:b/>
      <w:sz w:val="32"/>
      <w:szCs w:val="32"/>
    </w:rPr>
  </w:style>
  <w:style w:type="paragraph" w:styleId="1181"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2" w:customStyle="1">
    <w:name w:val="Char4"/>
    <w:basedOn w:val="741"/>
    <w:uiPriority w:val="0"/>
    <w:qFormat/>
    <w:pPr>
      <w:contextualSpacing/>
      <w:ind w:firstLine="480"/>
      <w:spacing w:after="156" w:line="360" w:lineRule="auto"/>
      <w:widowControl/>
    </w:pPr>
    <w:rPr>
      <w:rFonts w:ascii="Times New Roman" w:eastAsia="宋体"/>
      <w:sz w:val="21"/>
      <w:szCs w:val="24"/>
    </w:rPr>
  </w:style>
  <w:style w:type="paragraph" w:styleId="1183" w:customStyle="1">
    <w:name w:val="g11"/>
    <w:basedOn w:val="68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4" w:customStyle="1">
    <w:name w:val="普通文字"/>
    <w:basedOn w:val="688"/>
    <w:uiPriority w:val="0"/>
    <w:qFormat/>
    <w:pPr>
      <w:contextualSpacing/>
      <w:ind w:firstLine="419"/>
      <w:jc w:val="left"/>
      <w:spacing w:line="351" w:lineRule="atLeast"/>
      <w:widowControl/>
    </w:pPr>
    <w:rPr>
      <w:rFonts w:ascii="宋体" w:hAnsi="宋体"/>
      <w:color w:val="000000"/>
      <w:sz w:val="24"/>
      <w:szCs w:val="20"/>
    </w:rPr>
  </w:style>
  <w:style w:type="paragraph" w:styleId="1185" w:customStyle="1">
    <w:name w:val="样式 样式 标题 3 + (符号) 宋体 四号 加粗 黑色 段前: 0 磅 段后: 0 磅 行距: 固定值 22 磅 + 段前:..."/>
    <w:basedOn w:val="68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6" w:customStyle="1">
    <w:name w:val="内文正文"/>
    <w:basedOn w:val="772"/>
    <w:uiPriority w:val="0"/>
    <w:qFormat/>
    <w:pPr>
      <w:contextualSpacing/>
      <w:ind w:firstLine="200"/>
      <w:spacing w:line="400" w:lineRule="exact"/>
    </w:pPr>
    <w:rPr>
      <w:rFonts w:ascii="Arial" w:hAnsi="Arial" w:eastAsia="宋体" w:cs="Courier New"/>
      <w:color w:val="000000"/>
      <w:sz w:val="21"/>
      <w:szCs w:val="21"/>
    </w:rPr>
  </w:style>
  <w:style w:type="paragraph" w:styleId="1187" w:customStyle="1">
    <w:name w:val="style11"/>
    <w:basedOn w:val="68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8" w:customStyle="1">
    <w:name w:val="纯文本11"/>
    <w:basedOn w:val="688"/>
    <w:uiPriority w:val="0"/>
    <w:qFormat/>
    <w:pPr>
      <w:jc w:val="left"/>
      <w:widowControl/>
    </w:pPr>
    <w:rPr>
      <w:rFonts w:ascii="宋体" w:hAnsi="Courier New" w:eastAsia="楷体_GB2312"/>
      <w:sz w:val="26"/>
    </w:rPr>
  </w:style>
  <w:style w:type="character" w:styleId="1189" w:customStyle="1">
    <w:name w:val="正文缩进 字符"/>
    <w:uiPriority w:val="0"/>
    <w:qFormat/>
    <w:rPr>
      <w:sz w:val="24"/>
      <w:szCs w:val="24"/>
    </w:rPr>
  </w:style>
  <w:style w:type="paragraph" w:styleId="1190" w:customStyle="1">
    <w:name w:val="首行缩进"/>
    <w:basedOn w:val="688"/>
    <w:uiPriority w:val="0"/>
    <w:qFormat/>
    <w:pPr>
      <w:ind w:firstLine="480"/>
    </w:pPr>
    <w:rPr>
      <w:lang w:val="zh-CN"/>
    </w:rPr>
  </w:style>
  <w:style w:type="character" w:styleId="1191" w:customStyle="1">
    <w:name w:val="font21"/>
    <w:basedOn w:val="698"/>
    <w:uiPriority w:val="0"/>
    <w:qFormat/>
    <w:rPr>
      <w:rFonts w:hint="eastAsia" w:ascii="宋体" w:hAnsi="宋体" w:eastAsia="宋体" w:cs="宋体"/>
      <w:color w:val="000000"/>
      <w:sz w:val="18"/>
      <w:szCs w:val="18"/>
      <w:u w:val="none"/>
    </w:rPr>
  </w:style>
  <w:style w:type="character" w:styleId="1192" w:customStyle="1">
    <w:name w:val="font61"/>
    <w:basedOn w:val="698"/>
    <w:uiPriority w:val="0"/>
    <w:qFormat/>
    <w:rPr>
      <w:rFonts w:hint="default" w:ascii="Times New Roman" w:hAnsi="Times New Roman" w:cs="Times New Roman"/>
      <w:color w:val="000000"/>
      <w:sz w:val="18"/>
      <w:szCs w:val="18"/>
      <w:u w:val="none"/>
    </w:rPr>
  </w:style>
  <w:style w:type="character" w:styleId="1193" w:customStyle="1">
    <w:name w:val="批注框文本 字符"/>
    <w:basedOn w:val="698"/>
    <w:link w:val="709"/>
    <w:uiPriority w:val="99"/>
    <w:semiHidden/>
    <w:qFormat/>
    <w:rPr>
      <w:sz w:val="18"/>
      <w:szCs w:val="18"/>
    </w:rPr>
  </w:style>
  <w:style w:type="character" w:styleId="1194" w:customStyle="1">
    <w:name w:val="批注文字 字符1"/>
    <w:basedOn w:val="698"/>
    <w:link w:val="702"/>
    <w:uiPriority w:val="99"/>
    <w:qFormat/>
    <w:rPr>
      <w:sz w:val="21"/>
      <w:szCs w:val="22"/>
    </w:rPr>
  </w:style>
  <w:style w:type="character" w:styleId="1195" w:customStyle="1">
    <w:name w:val="批注主题 字符2"/>
    <w:basedOn w:val="1194"/>
    <w:link w:val="721"/>
    <w:uiPriority w:val="99"/>
    <w:semiHidden/>
    <w:qFormat/>
    <w:rPr>
      <w:b/>
      <w:bCs/>
      <w:sz w:val="21"/>
      <w:szCs w:val="22"/>
    </w:rPr>
  </w:style>
  <w:style w:type="paragraph" w:styleId="1196"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197"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39</cp:revision>
  <dcterms:created xsi:type="dcterms:W3CDTF">2025-10-15T21:37:00Z</dcterms:created>
  <dcterms:modified xsi:type="dcterms:W3CDTF">2026-09-14T05:35:39Z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2052-12.1.0.28505</vt:lpwstr>
  </property>
  <property fmtid="{D5CDD505-2E9C-101B-9397-08002B2CF9AE}" pid="4" name="ICV">
    <vt:lpwstr>42BD589BDB474D5EBF8AB914E2B30BAE_13</vt:lpwstr>
  </property>
</Properties>
</file>