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黑体"/>
          <w:color w:val="auto"/>
          <w:sz w:val="44"/>
          <w:szCs w:val="44"/>
          <w:highlight w:val="none"/>
          <w:lang w:eastAsia="zh-CN"/>
        </w:rPr>
      </w:pPr>
      <w:r>
        <w:rPr>
          <w:rFonts w:hint="eastAsia" w:ascii="黑体" w:hAnsi="黑体" w:eastAsia="黑体" w:cs="黑体"/>
          <w:color w:val="auto"/>
          <w:sz w:val="44"/>
          <w:szCs w:val="44"/>
          <w:highlight w:val="none"/>
          <w:lang w:eastAsia="zh-CN"/>
        </w:rPr>
      </w:r>
      <w:r>
        <w:rPr>
          <w:rFonts w:hint="eastAsia" w:ascii="黑体" w:hAnsi="黑体" w:eastAsia="黑体" w:cs="黑体"/>
          <w:color w:val="auto"/>
          <w:sz w:val="44"/>
          <w:szCs w:val="44"/>
          <w:highlight w:val="none"/>
          <w:lang w:eastAsia="zh-CN"/>
        </w:rPr>
      </w:r>
    </w:p>
    <w:p>
      <w:pPr>
        <w:jc w:val="center"/>
        <w:spacing w:line="360" w:lineRule="auto"/>
        <w:rPr>
          <w:rFonts w:hint="eastAsia" w:ascii="黑体" w:hAnsi="黑体" w:eastAsia="黑体" w:cs="黑体"/>
          <w:color w:val="auto"/>
          <w:sz w:val="44"/>
          <w:szCs w:val="44"/>
          <w:highlight w:val="none"/>
          <w:lang w:eastAsia="zh-CN"/>
        </w:rPr>
      </w:pPr>
      <w:r>
        <w:rPr>
          <w:rFonts w:hint="eastAsia" w:ascii="黑体" w:hAnsi="黑体" w:eastAsia="黑体" w:cs="黑体"/>
          <w:color w:val="auto"/>
          <w:sz w:val="44"/>
          <w:szCs w:val="44"/>
          <w:highlight w:val="none"/>
          <w:lang w:eastAsia="zh-CN"/>
        </w:rPr>
      </w:r>
      <w:r/>
    </w:p>
    <w:p>
      <w:pPr>
        <w:pStyle w:val="778"/>
        <w:jc w:val="center"/>
        <w:spacing w:line="360" w:lineRule="auto"/>
        <w:rPr>
          <w:rFonts w:hint="eastAsia" w:ascii="黑体" w:hAnsi="黑体" w:eastAsia="黑体" w:cs="黑体"/>
          <w:color w:val="auto"/>
          <w:highlight w:val="none"/>
        </w:rPr>
      </w:pPr>
      <w:r>
        <w:rPr>
          <w:rFonts w:hint="eastAsia" w:ascii="黑体" w:hAnsi="黑体" w:eastAsia="黑体" w:cs="黑体"/>
          <w:bCs/>
          <w:color w:val="auto"/>
          <w:sz w:val="36"/>
          <w:szCs w:val="36"/>
          <w:highlight w:val="none"/>
          <w:u w:val="none"/>
          <w:lang w:eastAsia="zh-CN"/>
        </w:rPr>
        <w:t xml:space="preserve">南通经济技术开发区“童声里的中国”视听工坊项目</w:t>
      </w:r>
      <w:r/>
    </w:p>
    <w:p>
      <w:pPr>
        <w:jc w:val="center"/>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r>
      <w:r/>
    </w:p>
    <w:p>
      <w:pPr>
        <w:jc w:val="center"/>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t xml:space="preserve">政府采购招标文件</w:t>
      </w:r>
      <w:r/>
    </w:p>
    <w:p>
      <w:pPr>
        <w:pStyle w:val="973"/>
        <w:spacing w:line="360" w:lineRule="auto"/>
        <w:rPr>
          <w:rFonts w:hint="eastAsia" w:ascii="黑体" w:hAnsi="黑体" w:eastAsia="黑体" w:cs="黑体"/>
          <w:b w:val="0"/>
          <w:bCs/>
          <w:color w:val="auto"/>
          <w:sz w:val="36"/>
          <w:szCs w:val="36"/>
          <w:highlight w:val="none"/>
        </w:rPr>
      </w:pPr>
      <w:r>
        <w:rPr>
          <w:rFonts w:hint="eastAsia" w:ascii="黑体" w:hAnsi="黑体" w:eastAsia="黑体" w:cs="黑体"/>
          <w:b w:val="0"/>
          <w:bCs/>
          <w:color w:val="auto"/>
          <w:sz w:val="36"/>
          <w:szCs w:val="36"/>
          <w:highlight w:val="none"/>
        </w:rPr>
      </w:r>
      <w:r/>
    </w:p>
    <w:p>
      <w:pPr>
        <w:pStyle w:val="973"/>
        <w:ind w:firstLine="1080"/>
        <w:jc w:val="both"/>
        <w:spacing w:line="360" w:lineRule="auto"/>
        <w:rPr>
          <w:rFonts w:hint="eastAsia" w:ascii="黑体" w:hAnsi="黑体" w:eastAsia="黑体" w:cs="黑体"/>
          <w:b w:val="0"/>
          <w:bCs/>
          <w:color w:val="auto"/>
          <w:sz w:val="36"/>
          <w:szCs w:val="36"/>
          <w:highlight w:val="none"/>
        </w:rPr>
      </w:pPr>
      <w:r>
        <w:rPr>
          <w:rFonts w:hint="eastAsia" w:ascii="黑体" w:hAnsi="黑体" w:eastAsia="黑体" w:cs="黑体"/>
          <w:b w:val="0"/>
          <w:bCs/>
          <w:color w:val="auto"/>
          <w:sz w:val="36"/>
          <w:szCs w:val="36"/>
          <w:highlight w:val="none"/>
        </w:rPr>
        <w:t xml:space="preserve">项目编号：JSZC-320690-NTRT-G2026-0009</w:t>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6" o:title=""/>
          </v:shape>
          <o:OLEObject DrawAspect="Content" r:id="rId17" ObjectID="_1525044" ProgID="MS_ClipArt_Gallery" ShapeID="_x0000_i4" Type="Embed"/>
        </w:object>
      </w:r>
      <w:r/>
    </w:p>
    <w:p>
      <w:pPr>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pacing w:val="-12"/>
          <w:sz w:val="28"/>
          <w:szCs w:val="28"/>
          <w:highlight w:val="none"/>
        </w:rPr>
      </w:pPr>
      <w:r>
        <w:rPr>
          <w:rFonts w:hint="eastAsia" w:ascii="黑体" w:hAnsi="黑体" w:eastAsia="黑体" w:cs="黑体"/>
          <w:bCs/>
          <w:color w:val="auto"/>
          <w:spacing w:val="-12"/>
          <w:sz w:val="28"/>
          <w:szCs w:val="28"/>
          <w:highlight w:val="none"/>
        </w:rPr>
      </w:r>
      <w:r/>
    </w:p>
    <w:p>
      <w:pPr>
        <w:ind w:firstLine="1932"/>
        <w:spacing w:line="360" w:lineRule="auto"/>
        <w:rPr>
          <w:rFonts w:hint="eastAsia" w:ascii="黑体" w:hAnsi="黑体" w:eastAsia="黑体" w:cs="黑体"/>
          <w:bCs/>
          <w:color w:val="auto"/>
          <w:spacing w:val="-12"/>
          <w:sz w:val="30"/>
          <w:szCs w:val="30"/>
          <w:highlight w:val="none"/>
          <w:lang w:eastAsia="zh-CN"/>
        </w:rPr>
      </w:pPr>
      <w:r>
        <w:rPr>
          <w:rFonts w:hint="eastAsia" w:ascii="黑体" w:hAnsi="黑体" w:eastAsia="黑体" w:cs="黑体"/>
          <w:bCs/>
          <w:color w:val="auto"/>
          <w:spacing w:val="-12"/>
          <w:sz w:val="30"/>
          <w:szCs w:val="30"/>
          <w:highlight w:val="none"/>
        </w:rPr>
        <w:t xml:space="preserve">采购人: </w:t>
      </w:r>
      <w:r>
        <w:rPr>
          <w:rFonts w:hint="eastAsia" w:ascii="黑体" w:hAnsi="黑体" w:eastAsia="黑体" w:cs="黑体"/>
          <w:bCs/>
          <w:color w:val="auto"/>
          <w:spacing w:val="-12"/>
          <w:sz w:val="30"/>
          <w:szCs w:val="30"/>
          <w:highlight w:val="none"/>
          <w:lang w:eastAsia="zh-CN"/>
        </w:rPr>
        <w:t xml:space="preserve">南通市经济技术开发区社会事业局</w:t>
      </w:r>
      <w:r/>
    </w:p>
    <w:p>
      <w:pPr>
        <w:ind w:firstLine="1932"/>
        <w:spacing w:line="360" w:lineRule="auto"/>
        <w:rPr>
          <w:rFonts w:hint="eastAsia" w:ascii="黑体" w:hAnsi="黑体" w:eastAsia="黑体" w:cs="黑体"/>
          <w:bCs/>
          <w:color w:val="auto"/>
          <w:spacing w:val="-12"/>
          <w:sz w:val="30"/>
          <w:szCs w:val="30"/>
          <w:highlight w:val="none"/>
        </w:rPr>
      </w:pPr>
      <w:r>
        <w:rPr>
          <w:rFonts w:hint="eastAsia" w:ascii="黑体" w:hAnsi="黑体" w:eastAsia="黑体" w:cs="黑体"/>
          <w:bCs/>
          <w:color w:val="auto"/>
          <w:spacing w:val="-12"/>
          <w:sz w:val="30"/>
          <w:szCs w:val="30"/>
          <w:highlight w:val="none"/>
        </w:rPr>
        <w:t xml:space="preserve">招标代理机构:</w:t>
      </w:r>
      <w:r>
        <w:rPr>
          <w:rFonts w:hint="eastAsia" w:ascii="黑体" w:hAnsi="黑体" w:eastAsia="黑体" w:cs="黑体"/>
          <w:bCs/>
          <w:color w:val="auto"/>
          <w:spacing w:val="-12"/>
          <w:sz w:val="30"/>
          <w:szCs w:val="30"/>
          <w:highlight w:val="none"/>
          <w:lang w:eastAsia="zh-CN"/>
        </w:rPr>
        <w:t xml:space="preserve">南通润通项目管理有限公司</w:t>
      </w:r>
      <w:r/>
    </w:p>
    <w:p>
      <w:pPr>
        <w:ind w:firstLine="1932"/>
        <w:spacing w:line="360" w:lineRule="auto"/>
        <w:rPr>
          <w:rFonts w:hint="eastAsia" w:ascii="黑体" w:hAnsi="黑体" w:eastAsia="黑体" w:cs="黑体"/>
          <w:bCs/>
          <w:color w:val="auto"/>
          <w:sz w:val="30"/>
          <w:szCs w:val="30"/>
          <w:highlight w:val="none"/>
          <w:u w:val="single"/>
        </w:rPr>
      </w:pPr>
      <w:r>
        <w:rPr>
          <w:rFonts w:hint="eastAsia" w:ascii="黑体" w:hAnsi="黑体" w:eastAsia="黑体" w:cs="黑体"/>
          <w:bCs/>
          <w:color w:val="auto"/>
          <w:spacing w:val="-12"/>
          <w:sz w:val="30"/>
          <w:szCs w:val="30"/>
          <w:highlight w:val="none"/>
        </w:rPr>
        <w:t xml:space="preserve">日         期 : 2026年</w:t>
      </w:r>
      <w:r>
        <w:rPr>
          <w:rFonts w:hint="eastAsia" w:ascii="黑体" w:hAnsi="黑体" w:eastAsia="黑体" w:cs="黑体"/>
          <w:bCs/>
          <w:color w:val="auto"/>
          <w:spacing w:val="-12"/>
          <w:sz w:val="30"/>
          <w:szCs w:val="30"/>
          <w:highlight w:val="none"/>
          <w:lang w:val="en-US" w:eastAsia="zh-CN"/>
        </w:rPr>
        <w:t xml:space="preserve">9</w:t>
      </w:r>
      <w:r>
        <w:rPr>
          <w:rFonts w:hint="eastAsia" w:ascii="黑体" w:hAnsi="黑体" w:eastAsia="黑体" w:cs="黑体"/>
          <w:bCs/>
          <w:color w:val="auto"/>
          <w:spacing w:val="-12"/>
          <w:sz w:val="30"/>
          <w:szCs w:val="30"/>
          <w:highlight w:val="none"/>
        </w:rPr>
        <w:t xml:space="preserve">月</w:t>
      </w:r>
      <w:r>
        <w:rPr>
          <w:rFonts w:hint="eastAsia" w:ascii="黑体" w:hAnsi="黑体" w:eastAsia="黑体" w:cs="黑体"/>
          <w:bCs/>
          <w:color w:val="auto"/>
          <w:spacing w:val="-12"/>
          <w:sz w:val="30"/>
          <w:szCs w:val="30"/>
          <w:highlight w:val="none"/>
          <w:lang w:val="en-US" w:eastAsia="zh-CN"/>
        </w:rPr>
        <w:t xml:space="preserve">15</w:t>
      </w:r>
      <w:r>
        <w:rPr>
          <w:rFonts w:hint="eastAsia" w:ascii="黑体" w:hAnsi="黑体" w:eastAsia="黑体" w:cs="黑体"/>
          <w:bCs/>
          <w:color w:val="auto"/>
          <w:spacing w:val="-12"/>
          <w:sz w:val="30"/>
          <w:szCs w:val="30"/>
          <w:highlight w:val="none"/>
        </w:rPr>
        <w:t xml:space="preserve">日 </w:t>
      </w:r>
      <w:r/>
    </w:p>
    <w:p>
      <w:pPr>
        <w:rPr>
          <w:rFonts w:hint="eastAsia" w:ascii="黑体" w:hAnsi="黑体" w:eastAsia="黑体" w:cs="黑体"/>
          <w:bCs/>
          <w:color w:val="auto"/>
          <w:sz w:val="36"/>
          <w:szCs w:val="36"/>
          <w:highlight w:val="none"/>
        </w:rPr>
      </w:pP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28"/>
          <w:szCs w:val="28"/>
          <w:highlight w:val="none"/>
          <w:lang w:val="en-US" w:eastAsia="zh-CN"/>
        </w:rPr>
        <w:t xml:space="preserve">               </w:t>
      </w:r>
      <w:r/>
    </w:p>
    <w:p>
      <w:pPr>
        <w:jc w:val="center"/>
        <w:spacing w:line="360" w:lineRule="auto"/>
        <w:rPr>
          <w:rFonts w:hint="eastAsia" w:ascii="黑体" w:hAnsi="黑体" w:eastAsia="黑体" w:cs="黑体"/>
          <w:bCs/>
          <w:color w:val="auto"/>
          <w:sz w:val="36"/>
          <w:szCs w:val="36"/>
          <w:highlight w:val="none"/>
        </w:rPr>
      </w:pPr>
      <w:r>
        <w:rPr>
          <w:color w:val="auto"/>
          <w:highlight w:val="none"/>
        </w:rPr>
        <mc:AlternateContent>
          <mc:Choice Requires="wpg">
            <w:drawing>
              <wp:inline xmlns:wp="http://schemas.openxmlformats.org/drawingml/2006/wordprocessingDrawing" distT="0" distB="0" distL="0" distR="0">
                <wp:extent cx="6219825" cy="7963535"/>
                <wp:effectExtent l="0" t="0" r="9525" b="1841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8"/>
                        <a:stretch/>
                      </pic:blipFill>
                      <pic:spPr bwMode="auto">
                        <a:xfrm>
                          <a:off x="0" y="0"/>
                          <a:ext cx="6219825" cy="7963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9.8pt;height:627.0pt;mso-wrap-distance-left:0.0pt;mso-wrap-distance-top:0.0pt;mso-wrap-distance-right:0.0pt;mso-wrap-distance-bottom:0.0pt;" stroked="f">
                <v:path textboxrect="0,0,0,0"/>
                <v:imagedata r:id="rId18" o:title=""/>
              </v:shape>
            </w:pict>
          </mc:Fallback>
        </mc:AlternateContent>
      </w:r>
      <w:r/>
    </w:p>
    <w:p>
      <w:pPr>
        <w:rPr>
          <w:rFonts w:hint="eastAsia" w:ascii="黑体" w:hAnsi="黑体" w:eastAsia="黑体" w:cs="黑体"/>
          <w:bCs/>
          <w:color w:val="auto"/>
          <w:sz w:val="36"/>
          <w:szCs w:val="36"/>
          <w:highlight w:val="none"/>
        </w:rPr>
      </w:pPr>
      <w:r>
        <w:rPr>
          <w:rFonts w:hint="eastAsia" w:ascii="黑体" w:hAnsi="黑体" w:eastAsia="黑体" w:cs="黑体"/>
          <w:bCs/>
          <w:color w:val="auto"/>
          <w:sz w:val="36"/>
          <w:szCs w:val="36"/>
          <w:highlight w:val="none"/>
        </w:rPr>
        <w:br w:type="page" w:clear="all"/>
      </w:r>
      <w:r/>
    </w:p>
    <w:p>
      <w:pPr>
        <w:jc w:val="center"/>
        <w:spacing w:line="360" w:lineRule="auto"/>
        <w:rPr>
          <w:rFonts w:hint="eastAsia" w:ascii="黑体" w:hAnsi="黑体" w:eastAsia="黑体" w:cs="黑体"/>
          <w:bCs/>
          <w:color w:val="auto"/>
          <w:sz w:val="36"/>
          <w:szCs w:val="36"/>
          <w:highlight w:val="none"/>
        </w:rPr>
      </w:pPr>
      <w:r>
        <w:rPr>
          <w:rFonts w:hint="eastAsia" w:ascii="黑体" w:hAnsi="黑体" w:eastAsia="黑体" w:cs="黑体"/>
          <w:bCs/>
          <w:color w:val="auto"/>
          <w:sz w:val="36"/>
          <w:szCs w:val="36"/>
          <w:highlight w:val="none"/>
        </w:rPr>
        <w:t xml:space="preserve">目</w:t>
      </w:r>
      <w:r>
        <w:rPr>
          <w:rFonts w:hint="eastAsia" w:ascii="黑体" w:hAnsi="黑体" w:eastAsia="黑体" w:cs="黑体"/>
          <w:bCs/>
          <w:color w:val="auto"/>
          <w:sz w:val="36"/>
          <w:szCs w:val="36"/>
          <w:highlight w:val="none"/>
          <w:lang w:val="en-US" w:eastAsia="zh-CN"/>
        </w:rPr>
        <w:t xml:space="preserve">    </w:t>
      </w:r>
      <w:r>
        <w:rPr>
          <w:rFonts w:hint="eastAsia" w:ascii="黑体" w:hAnsi="黑体" w:eastAsia="黑体" w:cs="黑体"/>
          <w:bCs/>
          <w:color w:val="auto"/>
          <w:sz w:val="36"/>
          <w:szCs w:val="36"/>
          <w:highlight w:val="none"/>
        </w:rPr>
        <w:t xml:space="preserve"> 录</w:t>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ind w:firstLine="1609"/>
        <w:keepLines w:val="0"/>
        <w:keepNext w:val="0"/>
        <w:pageBreakBefore w:val="0"/>
        <w:spacing w:line="480" w:lineRule="auto"/>
        <w:widowControl w:val="off"/>
        <w:tabs>
          <w:tab w:val="left" w:pos="7740" w:leader="none"/>
        </w:tabs>
        <w:rPr>
          <w:rFonts w:hint="eastAsia"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第一部分  </w:t>
      </w:r>
      <w:r>
        <w:rPr>
          <w:rFonts w:hint="eastAsia" w:ascii="黑体" w:hAnsi="黑体" w:eastAsia="黑体" w:cs="黑体"/>
          <w:bCs/>
          <w:color w:val="auto"/>
          <w:sz w:val="32"/>
          <w:szCs w:val="32"/>
          <w:highlight w:val="none"/>
          <w:lang w:val="en-US" w:eastAsia="zh-CN"/>
        </w:rPr>
        <w:t xml:space="preserve">          </w:t>
      </w:r>
      <w:r>
        <w:rPr>
          <w:rFonts w:hint="eastAsia" w:ascii="黑体" w:hAnsi="黑体" w:eastAsia="黑体" w:cs="黑体"/>
          <w:bCs/>
          <w:color w:val="auto"/>
          <w:sz w:val="32"/>
          <w:szCs w:val="32"/>
          <w:highlight w:val="none"/>
        </w:rPr>
        <w:t xml:space="preserve">投标邀请</w:t>
      </w:r>
      <w:r/>
    </w:p>
    <w:p>
      <w:pPr>
        <w:ind w:firstLine="1609"/>
        <w:keepLines w:val="0"/>
        <w:keepNext w:val="0"/>
        <w:pageBreakBefore w:val="0"/>
        <w:spacing w:line="480" w:lineRule="auto"/>
        <w:widowControl w:val="off"/>
        <w:tabs>
          <w:tab w:val="left" w:pos="7740" w:leader="none"/>
        </w:tabs>
        <w:rPr>
          <w:rFonts w:hint="eastAsia"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第二部分  </w:t>
      </w:r>
      <w:r>
        <w:rPr>
          <w:rFonts w:hint="eastAsia" w:ascii="黑体" w:hAnsi="黑体" w:eastAsia="黑体" w:cs="黑体"/>
          <w:bCs/>
          <w:color w:val="auto"/>
          <w:sz w:val="32"/>
          <w:szCs w:val="32"/>
          <w:highlight w:val="none"/>
          <w:lang w:val="en-US" w:eastAsia="zh-CN"/>
        </w:rPr>
        <w:t xml:space="preserve">          </w:t>
      </w:r>
      <w:r>
        <w:rPr>
          <w:rFonts w:hint="eastAsia" w:ascii="黑体" w:hAnsi="黑体" w:eastAsia="黑体" w:cs="黑体"/>
          <w:bCs/>
          <w:color w:val="auto"/>
          <w:sz w:val="32"/>
          <w:szCs w:val="32"/>
          <w:highlight w:val="none"/>
        </w:rPr>
        <w:t xml:space="preserve">投标须知</w:t>
      </w:r>
      <w:r/>
    </w:p>
    <w:p>
      <w:pPr>
        <w:ind w:firstLine="1609"/>
        <w:keepLines w:val="0"/>
        <w:keepNext w:val="0"/>
        <w:pageBreakBefore w:val="0"/>
        <w:spacing w:line="480" w:lineRule="auto"/>
        <w:widowControl w:val="off"/>
        <w:tabs>
          <w:tab w:val="left" w:pos="7740" w:leader="none"/>
        </w:tabs>
        <w:rPr>
          <w:rFonts w:hint="eastAsia"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第三部分 </w:t>
      </w:r>
      <w:r>
        <w:rPr>
          <w:rFonts w:hint="eastAsia" w:ascii="黑体" w:hAnsi="黑体" w:eastAsia="黑体" w:cs="黑体"/>
          <w:bCs/>
          <w:color w:val="auto"/>
          <w:sz w:val="32"/>
          <w:szCs w:val="32"/>
          <w:highlight w:val="none"/>
          <w:lang w:val="en-US" w:eastAsia="zh-CN"/>
        </w:rPr>
        <w:t xml:space="preserve">          </w:t>
      </w:r>
      <w:r>
        <w:rPr>
          <w:rFonts w:hint="eastAsia" w:ascii="黑体" w:hAnsi="黑体" w:eastAsia="黑体" w:cs="黑体"/>
          <w:bCs/>
          <w:color w:val="auto"/>
          <w:sz w:val="32"/>
          <w:szCs w:val="32"/>
          <w:highlight w:val="none"/>
        </w:rPr>
        <w:t xml:space="preserve"> 项目需求</w:t>
      </w:r>
      <w:r/>
    </w:p>
    <w:p>
      <w:pPr>
        <w:ind w:firstLine="1609"/>
        <w:keepLines w:val="0"/>
        <w:keepNext w:val="0"/>
        <w:pageBreakBefore w:val="0"/>
        <w:spacing w:line="480" w:lineRule="auto"/>
        <w:widowControl w:val="off"/>
        <w:tabs>
          <w:tab w:val="left" w:pos="7740" w:leader="none"/>
        </w:tabs>
        <w:rPr>
          <w:rFonts w:hint="eastAsia"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第四部分  </w:t>
      </w:r>
      <w:r>
        <w:rPr>
          <w:rFonts w:hint="eastAsia" w:ascii="黑体" w:hAnsi="黑体" w:eastAsia="黑体" w:cs="黑体"/>
          <w:bCs/>
          <w:color w:val="auto"/>
          <w:sz w:val="32"/>
          <w:szCs w:val="32"/>
          <w:highlight w:val="none"/>
          <w:lang w:val="en-US" w:eastAsia="zh-CN"/>
        </w:rPr>
        <w:t xml:space="preserve">          </w:t>
      </w:r>
      <w:r>
        <w:rPr>
          <w:rFonts w:hint="eastAsia" w:ascii="黑体" w:hAnsi="黑体" w:eastAsia="黑体" w:cs="黑体"/>
          <w:bCs/>
          <w:color w:val="auto"/>
          <w:sz w:val="32"/>
          <w:szCs w:val="32"/>
          <w:highlight w:val="none"/>
        </w:rPr>
        <w:t xml:space="preserve">开标和评标</w:t>
      </w:r>
      <w:r/>
    </w:p>
    <w:p>
      <w:pPr>
        <w:ind w:firstLine="1609"/>
        <w:keepLines w:val="0"/>
        <w:keepNext w:val="0"/>
        <w:pageBreakBefore w:val="0"/>
        <w:spacing w:line="480" w:lineRule="auto"/>
        <w:widowControl w:val="off"/>
        <w:tabs>
          <w:tab w:val="left" w:pos="7740" w:leader="none"/>
        </w:tabs>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第五部分  </w:t>
      </w:r>
      <w:r>
        <w:rPr>
          <w:rFonts w:hint="eastAsia" w:ascii="黑体" w:hAnsi="黑体" w:eastAsia="黑体" w:cs="黑体"/>
          <w:bCs/>
          <w:color w:val="auto"/>
          <w:sz w:val="32"/>
          <w:szCs w:val="32"/>
          <w:highlight w:val="none"/>
          <w:lang w:val="en-US" w:eastAsia="zh-CN"/>
        </w:rPr>
        <w:t xml:space="preserve">           </w:t>
      </w:r>
      <w:r>
        <w:rPr>
          <w:rFonts w:hint="eastAsia" w:ascii="黑体" w:hAnsi="黑体" w:eastAsia="黑体" w:cs="黑体"/>
          <w:bCs/>
          <w:color w:val="auto"/>
          <w:sz w:val="32"/>
          <w:szCs w:val="32"/>
          <w:highlight w:val="none"/>
        </w:rPr>
        <w:t xml:space="preserve">投标文件组成</w:t>
      </w:r>
      <w:r/>
    </w:p>
    <w:p>
      <w:pPr>
        <w:ind w:firstLine="1609"/>
        <w:keepLines w:val="0"/>
        <w:keepNext w:val="0"/>
        <w:pageBreakBefore w:val="0"/>
        <w:spacing w:line="480" w:lineRule="auto"/>
        <w:widowControl w:val="off"/>
        <w:tabs>
          <w:tab w:val="left" w:pos="7740" w:leader="none"/>
        </w:tabs>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第六部分  </w:t>
      </w:r>
      <w:r>
        <w:rPr>
          <w:rFonts w:hint="eastAsia" w:ascii="黑体" w:hAnsi="黑体" w:eastAsia="黑体" w:cs="黑体"/>
          <w:bCs/>
          <w:color w:val="auto"/>
          <w:sz w:val="32"/>
          <w:szCs w:val="32"/>
          <w:highlight w:val="none"/>
          <w:lang w:val="en-US" w:eastAsia="zh-CN"/>
        </w:rPr>
        <w:t xml:space="preserve">           </w:t>
      </w:r>
      <w:r>
        <w:rPr>
          <w:rFonts w:hint="eastAsia" w:ascii="黑体" w:hAnsi="黑体" w:eastAsia="黑体" w:cs="黑体"/>
          <w:bCs/>
          <w:color w:val="auto"/>
          <w:sz w:val="32"/>
          <w:szCs w:val="32"/>
          <w:highlight w:val="none"/>
        </w:rPr>
        <w:t xml:space="preserve">政府采购合同</w:t>
      </w:r>
      <w:r/>
    </w:p>
    <w:p>
      <w:pPr>
        <w:ind w:firstLine="640"/>
        <w:keepLines w:val="0"/>
        <w:keepNext w:val="0"/>
        <w:pageBreakBefore w:val="0"/>
        <w:spacing w:line="480" w:lineRule="auto"/>
        <w:widowControl w:val="off"/>
        <w:tabs>
          <w:tab w:val="left" w:pos="7740" w:leader="none"/>
        </w:tabs>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r>
      <w:r/>
    </w:p>
    <w:p>
      <w:pPr>
        <w:keepLines w:val="0"/>
        <w:keepNext w:val="0"/>
        <w:pageBreakBefore w:val="0"/>
        <w:spacing w:line="480" w:lineRule="auto"/>
        <w:widowControl w:val="off"/>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pacing w:val="2"/>
          <w:sz w:val="28"/>
          <w:szCs w:val="28"/>
          <w:highlight w:val="none"/>
        </w:rPr>
      </w:r>
      <w:r/>
    </w:p>
    <w:p>
      <w:pPr>
        <w:spacing w:line="360" w:lineRule="auto"/>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pacing w:val="2"/>
          <w:sz w:val="28"/>
          <w:szCs w:val="28"/>
          <w:highlight w:val="none"/>
        </w:rPr>
      </w:r>
      <w:r/>
    </w:p>
    <w:p>
      <w:pPr>
        <w:spacing w:line="360" w:lineRule="auto"/>
        <w:tabs>
          <w:tab w:val="left" w:pos="7740"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ind w:firstLine="2880"/>
        <w:jc w:val="both"/>
        <w:spacing w:line="360" w:lineRule="auto"/>
        <w:rPr>
          <w:rFonts w:hint="eastAsia"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r>
      <w:r/>
    </w:p>
    <w:p>
      <w:pPr>
        <w:ind w:firstLine="2880"/>
        <w:jc w:val="both"/>
        <w:spacing w:line="360" w:lineRule="auto"/>
        <w:rPr>
          <w:rFonts w:hint="eastAsia"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t xml:space="preserve">第一部分  </w:t>
      </w:r>
      <w:bookmarkStart w:id="0" w:name="OLE_LINK7"/>
      <w:r/>
      <w:bookmarkStart w:id="1" w:name="OLE_LINK5"/>
      <w:r>
        <w:rPr>
          <w:rFonts w:hint="eastAsia" w:ascii="黑体" w:hAnsi="黑体" w:eastAsia="黑体" w:cs="黑体"/>
          <w:bCs/>
          <w:color w:val="auto"/>
          <w:sz w:val="36"/>
          <w:szCs w:val="36"/>
          <w:highlight w:val="none"/>
        </w:rPr>
        <w:t xml:space="preserve">投标邀请</w:t>
      </w:r>
      <w:r/>
    </w:p>
    <w:p>
      <w:pPr>
        <w:ind w:firstLine="560"/>
        <w:jc w:val="left"/>
        <w:spacing w:line="360" w:lineRule="auto"/>
        <w:rPr>
          <w:rFonts w:hint="eastAsia" w:ascii="黑体" w:hAnsi="黑体" w:eastAsia="黑体" w:cs="黑体"/>
          <w:bCs/>
          <w:color w:val="auto"/>
          <w:sz w:val="28"/>
          <w:szCs w:val="28"/>
          <w:highlight w:val="none"/>
        </w:rPr>
      </w:pPr>
      <w:r/>
      <w:bookmarkStart w:id="2" w:name="OLE_LINK6"/>
      <w:r>
        <w:rPr>
          <w:rFonts w:hint="eastAsia" w:ascii="黑体" w:hAnsi="黑体" w:eastAsia="黑体" w:cs="黑体"/>
          <w:bCs/>
          <w:color w:val="auto"/>
          <w:sz w:val="28"/>
          <w:szCs w:val="28"/>
          <w:highlight w:val="none"/>
        </w:rPr>
        <w:t xml:space="preserve">受</w:t>
      </w:r>
      <w:r>
        <w:rPr>
          <w:rFonts w:hint="eastAsia" w:ascii="黑体" w:hAnsi="黑体" w:eastAsia="黑体" w:cs="黑体"/>
          <w:bCs/>
          <w:color w:val="auto"/>
          <w:sz w:val="28"/>
          <w:szCs w:val="28"/>
          <w:highlight w:val="none"/>
          <w:lang w:eastAsia="zh-CN"/>
        </w:rPr>
        <w:t xml:space="preserve">南通市经济技术开发区社会事业局</w:t>
      </w:r>
      <w:r>
        <w:rPr>
          <w:rFonts w:hint="eastAsia" w:ascii="黑体" w:hAnsi="黑体" w:eastAsia="黑体" w:cs="黑体"/>
          <w:bCs/>
          <w:color w:val="auto"/>
          <w:sz w:val="28"/>
          <w:szCs w:val="28"/>
          <w:highlight w:val="none"/>
        </w:rPr>
        <w:t xml:space="preserve">的委托，</w:t>
      </w:r>
      <w:r>
        <w:rPr>
          <w:rFonts w:hint="eastAsia" w:ascii="黑体" w:hAnsi="黑体" w:eastAsia="黑体" w:cs="黑体"/>
          <w:bCs/>
          <w:color w:val="auto"/>
          <w:sz w:val="28"/>
          <w:szCs w:val="28"/>
          <w:highlight w:val="none"/>
          <w:lang w:eastAsia="zh-CN"/>
        </w:rPr>
        <w:t xml:space="preserve">南通润通项目管理有限公司</w:t>
      </w:r>
      <w:r>
        <w:rPr>
          <w:rFonts w:hint="eastAsia" w:ascii="黑体" w:hAnsi="黑体" w:eastAsia="黑体" w:cs="黑体"/>
          <w:bCs/>
          <w:color w:val="auto"/>
          <w:sz w:val="28"/>
          <w:szCs w:val="28"/>
          <w:highlight w:val="none"/>
        </w:rPr>
        <w:t xml:space="preserve">就</w:t>
      </w:r>
      <w:r>
        <w:rPr>
          <w:rFonts w:hint="eastAsia" w:ascii="黑体" w:hAnsi="黑体" w:eastAsia="黑体" w:cs="黑体"/>
          <w:bCs/>
          <w:color w:val="auto"/>
          <w:sz w:val="28"/>
          <w:szCs w:val="28"/>
          <w:highlight w:val="none"/>
          <w:u w:val="single"/>
          <w:lang w:eastAsia="zh-CN"/>
        </w:rPr>
        <w:t xml:space="preserve">南通经济技术开发区“童声里的中国”视听工坊项目</w:t>
      </w:r>
      <w:r>
        <w:rPr>
          <w:rFonts w:hint="eastAsia" w:ascii="黑体" w:hAnsi="黑体" w:eastAsia="黑体" w:cs="黑体"/>
          <w:bCs/>
          <w:color w:val="auto"/>
          <w:sz w:val="28"/>
          <w:szCs w:val="28"/>
          <w:highlight w:val="none"/>
        </w:rPr>
        <w:t xml:space="preserve">(项目编号:</w:t>
      </w:r>
      <w:r>
        <w:rPr>
          <w:rFonts w:hint="eastAsia" w:ascii="黑体" w:hAnsi="黑体" w:eastAsia="黑体" w:cs="黑体"/>
          <w:bCs/>
          <w:color w:val="auto"/>
          <w:sz w:val="28"/>
          <w:szCs w:val="28"/>
          <w:highlight w:val="none"/>
          <w:lang w:val="en-US" w:eastAsia="zh-CN"/>
        </w:rPr>
        <w:t xml:space="preserve"> JSZC-320690-NTRT-G2026-0009  </w:t>
      </w:r>
      <w:r>
        <w:rPr>
          <w:rFonts w:hint="eastAsia" w:ascii="黑体" w:hAnsi="黑体" w:eastAsia="黑体" w:cs="黑体"/>
          <w:bCs/>
          <w:color w:val="auto"/>
          <w:sz w:val="28"/>
          <w:szCs w:val="28"/>
          <w:highlight w:val="none"/>
        </w:rPr>
        <w:t xml:space="preserve">)进行公开招标采购，欢迎符合条件的投标单位投标。</w:t>
      </w:r>
      <w:r/>
    </w:p>
    <w:p>
      <w:pPr>
        <w:ind w:firstLine="560"/>
        <w:spacing w:line="360" w:lineRule="auto"/>
        <w:rPr>
          <w:rFonts w:hint="eastAsia" w:ascii="黑体" w:hAnsi="黑体" w:eastAsia="黑体" w:cs="黑体"/>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color w:val="auto"/>
          <w:sz w:val="28"/>
          <w:szCs w:val="28"/>
          <w:highlight w:val="none"/>
        </w:rPr>
        <w:t xml:space="preserve">项目概况</w:t>
      </w:r>
      <w:r/>
    </w:p>
    <w:p>
      <w:pPr>
        <w:ind w:firstLine="560"/>
        <w:spacing w:line="360" w:lineRule="auto"/>
        <w:rPr>
          <w:rFonts w:hint="eastAsia" w:ascii="黑体" w:hAnsi="黑体" w:eastAsia="黑体" w:cs="黑体"/>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color w:val="auto"/>
          <w:sz w:val="28"/>
          <w:szCs w:val="28"/>
          <w:highlight w:val="none"/>
          <w:lang w:eastAsia="zh-CN"/>
        </w:rPr>
        <w:t xml:space="preserve">南通经济技术开发区“童声里的中国”视听工坊项目</w:t>
      </w:r>
      <w:r>
        <w:rPr>
          <w:rFonts w:hint="eastAsia" w:ascii="黑体" w:hAnsi="黑体" w:eastAsia="黑体" w:cs="黑体"/>
          <w:bCs/>
          <w:color w:val="auto"/>
          <w:sz w:val="28"/>
          <w:szCs w:val="28"/>
          <w:highlight w:val="none"/>
        </w:rPr>
        <w:t xml:space="preserve">的潜在投标人应在江苏政府采购网获取招标文件，并于2026年</w:t>
      </w:r>
      <w:r>
        <w:rPr>
          <w:rFonts w:hint="eastAsia" w:ascii="黑体" w:hAnsi="黑体" w:eastAsia="黑体" w:cs="黑体"/>
          <w:bCs/>
          <w:color w:val="auto"/>
          <w:sz w:val="28"/>
          <w:szCs w:val="28"/>
          <w:highlight w:val="none"/>
          <w:lang w:val="en-US" w:eastAsia="zh-CN"/>
        </w:rPr>
        <w:t xml:space="preserve">10</w:t>
      </w:r>
      <w:r>
        <w:rPr>
          <w:rFonts w:hint="eastAsia" w:ascii="黑体" w:hAnsi="黑体" w:eastAsia="黑体" w:cs="黑体"/>
          <w:bCs/>
          <w:color w:val="auto"/>
          <w:sz w:val="28"/>
          <w:szCs w:val="28"/>
          <w:highlight w:val="none"/>
          <w:shd w:val="clear" w:color="auto"/>
        </w:rPr>
        <w:t xml:space="preserve">月</w:t>
      </w:r>
      <w:r>
        <w:rPr>
          <w:rFonts w:hint="eastAsia" w:ascii="黑体" w:hAnsi="黑体" w:eastAsia="黑体" w:cs="黑体"/>
          <w:bCs/>
          <w:color w:val="auto"/>
          <w:sz w:val="28"/>
          <w:szCs w:val="28"/>
          <w:highlight w:val="none"/>
          <w:shd w:val="clear" w:color="auto"/>
          <w:lang w:val="en-US" w:eastAsia="zh-CN"/>
        </w:rPr>
        <w:t xml:space="preserve">10</w:t>
      </w:r>
      <w:r>
        <w:rPr>
          <w:rFonts w:hint="eastAsia" w:ascii="黑体" w:hAnsi="黑体" w:eastAsia="黑体" w:cs="黑体"/>
          <w:bCs/>
          <w:color w:val="auto"/>
          <w:sz w:val="28"/>
          <w:szCs w:val="28"/>
          <w:highlight w:val="none"/>
          <w:shd w:val="clear" w:color="auto"/>
        </w:rPr>
        <w:t xml:space="preserve">日 9点30分</w:t>
      </w:r>
      <w:r>
        <w:rPr>
          <w:rFonts w:hint="eastAsia" w:ascii="黑体" w:hAnsi="黑体" w:eastAsia="黑体" w:cs="黑体"/>
          <w:bCs/>
          <w:color w:val="auto"/>
          <w:sz w:val="28"/>
          <w:szCs w:val="28"/>
          <w:highlight w:val="none"/>
        </w:rPr>
        <w:t xml:space="preserve">（北京时间）前递交投标文件。</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一、项目基本情况</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1、项目编号：JSZC-320690-NTRT-G2026-0009</w:t>
      </w:r>
      <w:r/>
    </w:p>
    <w:p>
      <w:pPr>
        <w:ind w:firstLine="560"/>
        <w:spacing w:line="360" w:lineRule="auto"/>
        <w:rPr>
          <w:rFonts w:hint="eastAsia" w:ascii="黑体" w:hAnsi="黑体" w:eastAsia="黑体" w:cs="黑体"/>
          <w:bCs/>
          <w:color w:val="auto"/>
          <w:sz w:val="28"/>
          <w:szCs w:val="28"/>
          <w:highlight w:val="none"/>
          <w:lang w:eastAsia="zh-CN"/>
        </w:rPr>
      </w:pPr>
      <w:r>
        <w:rPr>
          <w:rFonts w:hint="eastAsia" w:ascii="黑体" w:hAnsi="黑体" w:eastAsia="黑体" w:cs="黑体"/>
          <w:bCs/>
          <w:color w:val="auto"/>
          <w:sz w:val="28"/>
          <w:szCs w:val="28"/>
          <w:highlight w:val="none"/>
        </w:rPr>
        <w:t xml:space="preserve">2、项目名称：</w:t>
      </w:r>
      <w:r>
        <w:rPr>
          <w:rFonts w:hint="eastAsia" w:ascii="黑体" w:hAnsi="黑体" w:eastAsia="黑体" w:cs="黑体"/>
          <w:bCs/>
          <w:color w:val="auto"/>
          <w:sz w:val="28"/>
          <w:szCs w:val="28"/>
          <w:highlight w:val="none"/>
          <w:lang w:eastAsia="zh-CN"/>
        </w:rPr>
        <w:t xml:space="preserve">南通经济技术开发区“童声里的中国”视听工坊项目</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3、采购方式：公开招标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4、项目类型：服务</w:t>
      </w:r>
      <w:r/>
    </w:p>
    <w:p>
      <w:pPr>
        <w:pStyle w:val="763"/>
        <w:numPr>
          <w:ilvl w:val="0"/>
          <w:numId w:val="0"/>
        </w:numPr>
        <w:pageBreakBefore w:val="0"/>
        <w:spacing w:before="0" w:after="0"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5、所属行业：</w:t>
      </w:r>
      <w:r>
        <w:rPr>
          <w:rFonts w:hint="eastAsia" w:ascii="黑体" w:hAnsi="黑体" w:eastAsia="黑体" w:cs="黑体"/>
          <w:bCs/>
          <w:color w:val="auto"/>
          <w:sz w:val="28"/>
          <w:szCs w:val="28"/>
          <w:highlight w:val="none"/>
          <w:lang w:val="en-US" w:eastAsia="zh-CN"/>
        </w:rPr>
        <w:t xml:space="preserve">租赁和商务服务业</w:t>
      </w:r>
      <w:r/>
    </w:p>
    <w:p>
      <w:pPr>
        <w:ind w:firstLine="560"/>
        <w:spacing w:line="360" w:lineRule="auto"/>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rPr>
        <w:t xml:space="preserve">6、预算金额：</w:t>
      </w:r>
      <w:r>
        <w:rPr>
          <w:rFonts w:hint="eastAsia" w:ascii="黑体" w:hAnsi="黑体" w:eastAsia="黑体" w:cs="黑体"/>
          <w:bCs/>
          <w:color w:val="auto"/>
          <w:sz w:val="28"/>
          <w:szCs w:val="28"/>
          <w:highlight w:val="none"/>
          <w:lang w:val="en-US" w:eastAsia="zh-CN"/>
        </w:rPr>
        <w:t xml:space="preserve">380万元</w:t>
      </w:r>
      <w:r/>
    </w:p>
    <w:p>
      <w:pPr>
        <w:pStyle w:val="763"/>
        <w:ind w:firstLine="560"/>
        <w:spacing w:before="0" w:after="0"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7、最高限价：</w:t>
      </w:r>
      <w:r>
        <w:rPr>
          <w:rFonts w:hint="eastAsia" w:ascii="黑体" w:hAnsi="黑体" w:eastAsia="黑体" w:cs="黑体"/>
          <w:bCs/>
          <w:color w:val="auto"/>
          <w:sz w:val="28"/>
          <w:szCs w:val="28"/>
          <w:highlight w:val="none"/>
          <w:lang w:val="en-US" w:eastAsia="zh-CN"/>
        </w:rPr>
        <w:t xml:space="preserve">380万元</w:t>
      </w: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lang w:eastAsia="zh-CN"/>
        </w:rPr>
        <w:t xml:space="preserve">投标报价</w:t>
      </w:r>
      <w:r>
        <w:rPr>
          <w:rFonts w:hint="eastAsia" w:ascii="黑体" w:hAnsi="黑体" w:eastAsia="黑体" w:cs="黑体"/>
          <w:bCs/>
          <w:color w:val="auto"/>
          <w:sz w:val="28"/>
          <w:szCs w:val="28"/>
          <w:highlight w:val="none"/>
        </w:rPr>
        <w:t xml:space="preserve">超过最高限价的为无效报价，按照无效投标处理。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8、采购需求：</w:t>
      </w:r>
      <w:bookmarkStart w:id="3" w:name="OLE_LINK20"/>
      <w:r>
        <w:rPr>
          <w:rFonts w:hint="eastAsia" w:ascii="黑体" w:hAnsi="黑体" w:eastAsia="黑体" w:cs="黑体"/>
          <w:bCs/>
          <w:color w:val="auto"/>
          <w:sz w:val="28"/>
          <w:szCs w:val="28"/>
          <w:highlight w:val="none"/>
        </w:rPr>
        <w:t xml:space="preserve">详见项目需求</w:t>
      </w:r>
      <w:bookmarkEnd w:id="3"/>
      <w:r>
        <w:rPr>
          <w:rFonts w:hint="eastAsia" w:ascii="黑体" w:hAnsi="黑体" w:eastAsia="黑体" w:cs="黑体"/>
          <w:bCs/>
          <w:color w:val="auto"/>
          <w:sz w:val="28"/>
          <w:szCs w:val="28"/>
          <w:highlight w:val="none"/>
        </w:rPr>
        <w:t xml:space="preserve">。</w:t>
      </w:r>
      <w:r/>
    </w:p>
    <w:p>
      <w:pPr>
        <w:contextualSpacing/>
        <w:ind w:firstLine="560"/>
        <w:spacing w:line="440" w:lineRule="exact"/>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rPr>
        <w:t xml:space="preserve">9、合同履行期限：</w:t>
      </w:r>
      <w:r>
        <w:rPr>
          <w:rFonts w:hint="eastAsia" w:ascii="黑体" w:hAnsi="黑体" w:eastAsia="黑体" w:cs="黑体"/>
          <w:bCs/>
          <w:color w:val="auto"/>
          <w:sz w:val="28"/>
          <w:szCs w:val="28"/>
          <w:highlight w:val="none"/>
          <w:lang w:eastAsia="zh-CN"/>
        </w:rPr>
        <w:t xml:space="preserve">自合同内约定的时间起120日历天内完成本项目所有服务内容（含各专业施工图及布展的深化设计、布展实施、软硬件的安装及调试、完成整体竣工验收通过）；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10、本项目是否接受联合体：不接受。</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11、本项目不接受分包。</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二、申请人的资格要求</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1、满足《中华人民共和国政府采购法》第二十二条规定；</w:t>
      </w:r>
      <w:r/>
    </w:p>
    <w:p>
      <w:pPr>
        <w:ind w:firstLine="560"/>
        <w:spacing w:line="5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2、落实政府采购政策需满足的资格要求：</w:t>
      </w:r>
      <w:bookmarkStart w:id="4" w:name="OLE_LINK1"/>
      <w:r/>
      <w:bookmarkStart w:id="5" w:name="OLE_LINK22"/>
      <w:r>
        <w:rPr>
          <w:rFonts w:hint="eastAsia" w:ascii="黑体" w:hAnsi="黑体" w:eastAsia="黑体" w:cs="黑体"/>
          <w:bCs/>
          <w:color w:val="auto"/>
          <w:sz w:val="28"/>
          <w:szCs w:val="28"/>
          <w:highlight w:val="none"/>
        </w:rPr>
        <w:t xml:space="preserve">本项目为专门面向中小微企业采购项目</w:t>
      </w:r>
      <w:bookmarkEnd w:id="4"/>
      <w:r>
        <w:rPr>
          <w:rFonts w:hint="eastAsia" w:ascii="黑体" w:hAnsi="黑体" w:eastAsia="黑体" w:cs="黑体"/>
          <w:bCs/>
          <w:color w:val="auto"/>
          <w:sz w:val="28"/>
          <w:szCs w:val="28"/>
          <w:highlight w:val="none"/>
        </w:rPr>
        <w:t xml:space="preserve">（须按照财库〔2020〕46号文要求提供中小企业声明函，格式见附件）。</w:t>
      </w:r>
      <w:r/>
    </w:p>
    <w:p>
      <w:pPr>
        <w:ind w:firstLine="560"/>
        <w:spacing w:line="5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项目采购标的对应的中小企业划分标准所属行业为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spacing w:line="5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注明：（1）中小企业应当按照财库（2020）46号文《政府采购促进中小企业发展管理办法》和“工信部联企业〔2011〕300号通知中的《中小企业划型标准规定》为准。如实填写并提交《中小企业声明函》。</w:t>
      </w:r>
      <w:r/>
    </w:p>
    <w:p>
      <w:pPr>
        <w:ind w:firstLine="560"/>
        <w:spacing w:line="5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（2）残疾人福利性单位按照《关于促进残疾人就业政府采购政策的通知》（财库〔2017〕141号）有关规定执行。</w:t>
      </w:r>
      <w:r/>
    </w:p>
    <w:p>
      <w:pPr>
        <w:ind w:firstLine="560"/>
        <w:spacing w:line="5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（3）监狱企业按照《关于政府采购支持监狱企业发展有关问题的通知》（财库【2014】68号）有关规定执行。</w:t>
      </w:r>
      <w:r/>
    </w:p>
    <w:p>
      <w:pPr>
        <w:ind w:firstLine="562"/>
        <w:spacing w:line="500" w:lineRule="exact"/>
        <w:rPr>
          <w:rFonts w:hint="eastAsia" w:ascii="黑体" w:hAnsi="黑体" w:eastAsia="黑体" w:cs="黑体"/>
          <w:b/>
          <w:bCs w:val="0"/>
          <w:color w:val="auto"/>
          <w:sz w:val="28"/>
          <w:szCs w:val="28"/>
          <w:highlight w:val="none"/>
          <w:u w:val="single"/>
        </w:rPr>
      </w:pPr>
      <w:r>
        <w:rPr>
          <w:rFonts w:hint="eastAsia" w:ascii="黑体" w:hAnsi="黑体" w:eastAsia="黑体" w:cs="黑体"/>
          <w:b/>
          <w:bCs w:val="0"/>
          <w:color w:val="auto"/>
          <w:sz w:val="28"/>
          <w:szCs w:val="28"/>
          <w:highlight w:val="none"/>
          <w:u w:val="single"/>
        </w:rPr>
        <w:t xml:space="preserve">备注：本项目专门面向中小企业，不享受价格扣除优惠政策。</w:t>
      </w:r>
      <w:bookmarkEnd w:id="5"/>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单位法定代表人参加的，必须提供法定代表人身份证明及法定代表人本人身份证扫描件格式按第五部分）；非法定代表人参加的，必须提供法定代表人签字或盖章的授权委托书及法定代表人、被授权人的两人身份证的扫描件（格式按第五部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4、在“信用中国”网站（https://www.creditchina.gov.cn）查询，无被列入</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"https://zxgk.court.gov.cn/shixin/"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"https://www.creditchina.gov.cn/zhuanxiangchaxun/zhongdashuishouweifaanjian/"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"https://www.creditchina.gov.cn/zhuanxiangchaxun/zhengfucaigouyanzhongweifashixinmingdan/"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"https://www.creditchina.gov.cn/xinxigongshi/shixinheimingdan/"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"https://www.creditchina.gov.cn/xinxigongshi/zhongdianguanzhushixinmingdan/"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及其他不符合《中华人民共和国政府采购法》第二十二条规定条件的信用记录。（投标文件中无需提供证明材料）。</w:t>
      </w:r>
      <w:r/>
    </w:p>
    <w:p>
      <w:pPr>
        <w:pStyle w:val="778"/>
        <w:ind w:firstLine="560"/>
        <w:spacing w:line="360" w:lineRule="auto"/>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rPr>
        <w:t xml:space="preserve">5、本项目的特定资格要求：</w:t>
      </w:r>
      <w:r>
        <w:rPr>
          <w:rFonts w:hint="eastAsia" w:ascii="黑体" w:hAnsi="黑体" w:eastAsia="黑体" w:cs="黑体"/>
          <w:bCs/>
          <w:color w:val="auto"/>
          <w:sz w:val="28"/>
          <w:szCs w:val="28"/>
          <w:highlight w:val="none"/>
          <w:lang w:val="en-US" w:eastAsia="zh-CN"/>
        </w:rPr>
        <w:t xml:space="preserve">/。</w:t>
      </w:r>
      <w:r/>
    </w:p>
    <w:p>
      <w:pPr>
        <w:ind w:firstLine="562"/>
        <w:jc w:val="left"/>
        <w:spacing w:line="360" w:lineRule="auto"/>
        <w:widowControl/>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6、</w:t>
      </w:r>
      <w:r>
        <w:rPr>
          <w:rFonts w:hint="eastAsia" w:ascii="黑体" w:hAnsi="黑体" w:eastAsia="黑体" w:cs="黑体"/>
          <w:b/>
          <w:bCs/>
          <w:color w:val="auto"/>
          <w:sz w:val="28"/>
          <w:szCs w:val="28"/>
          <w:highlight w:val="none"/>
        </w:rPr>
        <w:t xml:space="preserve">拒绝以下投标单位参与投标</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投标单位之间存在下列互为关联关系的情形之一的，不得同时参加本项目投标：</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（1）法定代表人为同一个人的两个及两个以上法人，母公司、全资子公司及其控股公司，都不得在同一采购项目相同标段中同时投标，一经发现，将视同围标处理。</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（2）单位负责人为同一人或者存在直接控股、管理关系的不同投标单位，不得参加同一合同项下的采购活动。</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（3）为采购项目提供整体设计、规范编制或者项目管理、监理、检测等服务的投标单位，不得再参加该采购项目的其他采购活动。</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Cs/>
          <w:color w:val="auto"/>
          <w:sz w:val="28"/>
          <w:szCs w:val="28"/>
          <w:highlight w:val="none"/>
        </w:rPr>
      </w:pPr>
      <w:r>
        <w:rPr>
          <w:rFonts w:hint="eastAsia" w:ascii="黑体" w:hAnsi="黑体" w:eastAsia="黑体" w:cs="黑体"/>
          <w:color w:val="auto"/>
          <w:sz w:val="28"/>
          <w:szCs w:val="28"/>
          <w:highlight w:val="none"/>
        </w:rPr>
        <w:t xml:space="preserve">投标单位投标时提供本单位、营业执照、公司股东股权资料，若经核实有同一人在两家及以上投标本项目的投标单位有股份或同为单位法定代表人（或负责人的），将作无效投标处理；未提供以上材料或提供不全的，经核实作无效投标处理。</w:t>
      </w:r>
      <w:r/>
    </w:p>
    <w:p>
      <w:pPr>
        <w:pStyle w:val="819"/>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
          <w:color w:val="auto"/>
          <w:sz w:val="28"/>
          <w:szCs w:val="28"/>
          <w:highlight w:val="none"/>
        </w:rPr>
        <w:t xml:space="preserve">以上未详尽部分见招标文件第五部分</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三、获取采购文件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1.时间：自招标文件公告发布之日起</w:t>
      </w:r>
      <w:r>
        <w:rPr>
          <w:rFonts w:hint="eastAsia" w:ascii="黑体" w:hAnsi="黑体" w:eastAsia="黑体" w:cs="黑体"/>
          <w:bCs/>
          <w:color w:val="auto"/>
          <w:sz w:val="28"/>
          <w:szCs w:val="28"/>
          <w:highlight w:val="none"/>
          <w:lang w:val="en-US" w:eastAsia="zh-CN"/>
        </w:rPr>
        <w:t xml:space="preserve">至少</w:t>
      </w:r>
      <w:r>
        <w:rPr>
          <w:rFonts w:hint="eastAsia" w:ascii="黑体" w:hAnsi="黑体" w:eastAsia="黑体" w:cs="黑体"/>
          <w:bCs/>
          <w:color w:val="auto"/>
          <w:sz w:val="28"/>
          <w:szCs w:val="28"/>
          <w:highlight w:val="none"/>
        </w:rPr>
        <w:t xml:space="preserve">5个工作日</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2.地点：网上注册登记成功后系统内免费下载</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3.获取方式：本项目采用网上注册登记方式。</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3.1潜在投标单位访问电子招标响应交易平台的网络地址和方法：</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“苏采云”系统用户注册--获取“CA数字证书”--CA绑定与登录--网上报</w:t>
      </w:r>
      <w:r>
        <w:rPr>
          <w:rFonts w:hint="eastAsia" w:ascii="黑体" w:hAnsi="黑体" w:eastAsia="黑体" w:cs="黑体"/>
          <w:bCs/>
          <w:color w:val="auto"/>
          <w:sz w:val="28"/>
          <w:szCs w:val="28"/>
          <w:highlight w:val="none"/>
          <w:lang w:val="en-US" w:eastAsia="zh-CN"/>
        </w:rPr>
        <w:t xml:space="preserve">/</w:t>
      </w:r>
      <w:r>
        <w:rPr>
          <w:rFonts w:hint="eastAsia" w:ascii="黑体" w:hAnsi="黑体" w:eastAsia="黑体" w:cs="黑体"/>
          <w:bCs/>
          <w:color w:val="auto"/>
          <w:sz w:val="28"/>
          <w:szCs w:val="28"/>
          <w:highlight w:val="none"/>
        </w:rPr>
        <w:t xml:space="preserve">名--下载采购文件（后缀名为“.kedt”）--将后缀名为“.kedt”的采购文件</w:t>
      </w:r>
      <w:r>
        <w:rPr>
          <w:rFonts w:hint="eastAsia" w:ascii="黑体" w:hAnsi="黑体" w:eastAsia="黑体" w:cs="黑体"/>
          <w:bCs/>
          <w:color w:val="auto"/>
          <w:sz w:val="28"/>
          <w:szCs w:val="28"/>
          <w:highlight w:val="none"/>
          <w:lang w:val="en-US" w:eastAsia="zh-CN"/>
        </w:rPr>
        <w:t xml:space="preserve">/</w:t>
      </w:r>
      <w:r>
        <w:rPr>
          <w:rFonts w:hint="eastAsia" w:ascii="黑体" w:hAnsi="黑体" w:eastAsia="黑体" w:cs="黑体"/>
          <w:bCs/>
          <w:color w:val="auto"/>
          <w:sz w:val="28"/>
          <w:szCs w:val="28"/>
          <w:highlight w:val="none"/>
        </w:rPr>
        <w:t xml:space="preserve">导入政府采购客户端工具--制作响应文件--导出加密的响应文件（后缀名为</w:t>
      </w:r>
      <w:r>
        <w:rPr>
          <w:rFonts w:hint="eastAsia" w:ascii="黑体" w:hAnsi="黑体" w:eastAsia="黑体" w:cs="黑体"/>
          <w:bCs/>
          <w:color w:val="auto"/>
          <w:sz w:val="28"/>
          <w:szCs w:val="28"/>
          <w:highlight w:val="none"/>
          <w:lang w:val="en-US" w:eastAsia="zh-CN"/>
        </w:rPr>
        <w:t xml:space="preserve">/</w:t>
      </w:r>
      <w:r>
        <w:rPr>
          <w:rFonts w:hint="eastAsia" w:ascii="黑体" w:hAnsi="黑体" w:eastAsia="黑体" w:cs="黑体"/>
          <w:bCs/>
          <w:color w:val="auto"/>
          <w:sz w:val="28"/>
          <w:szCs w:val="28"/>
          <w:highlight w:val="none"/>
        </w:rPr>
        <w:t xml:space="preserve">zip）--通过“苏采云”系统上传响应文件。具体见江苏政府采购网—资料下载中《江苏省政府采购管理交易系统（苏采云）投标单位操作手册》。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3.2潜在投标单位访问“苏采云”系统的网络地址和方法：“苏采云”系统的网址：http://jszfcg.jsczt.cn/。</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3.3“CA数字证书”的获取：</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需办理CA锁，“苏采云”系统目前仅支持政务CA、方正签章，省内各地区办理的用于“苏采云”平台的政务CA、方正签章全省通用。“CA数字证书”的办理方法详见江苏政府采购网—资料下载中《江苏省政府采购数字证书（投标单位）CA及电子签章办理指南》。</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3.4采购文件（后缀名为“.kedt”）、投标单位操作手册及政府采购客户端工具可通过“苏采云”系统--已报名项目--报名详情页面内相应链接进行下载。</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3.5招标代理机构（采购代理机构）将数据电文形式的采购文件加载至“苏采云”系统，供潜在投标单位下载或者查阅。</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3.6请潜在投标单位提前安装相应的控件（详见《江苏省政府采购管理交易系统（苏采云）投标单位操作手册》）并使用谷歌浏览器登录“苏采云”系统参与不见面开评标。</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注：如潜在投标单位未按上述要求操作，将自行承担所产生的风险。</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四、提交响应文件截止时间、投标时间和地点</w:t>
      </w:r>
      <w:r/>
    </w:p>
    <w:p>
      <w:pPr>
        <w:ind w:firstLine="560"/>
        <w:spacing w:line="360" w:lineRule="auto"/>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rPr>
        <w:t xml:space="preserve">1.</w:t>
      </w:r>
      <w:r>
        <w:rPr>
          <w:rFonts w:hint="eastAsia" w:ascii="黑体" w:hAnsi="黑体" w:eastAsia="黑体" w:cs="黑体"/>
          <w:b/>
          <w:bCs w:val="0"/>
          <w:color w:val="auto"/>
          <w:sz w:val="28"/>
          <w:szCs w:val="28"/>
          <w:highlight w:val="none"/>
          <w:u w:val="single"/>
        </w:rPr>
        <w:t xml:space="preserve">2026年</w:t>
      </w:r>
      <w:r>
        <w:rPr>
          <w:rFonts w:hint="eastAsia" w:ascii="黑体" w:hAnsi="黑体" w:eastAsia="黑体" w:cs="黑体"/>
          <w:b/>
          <w:bCs w:val="0"/>
          <w:color w:val="auto"/>
          <w:sz w:val="28"/>
          <w:szCs w:val="28"/>
          <w:highlight w:val="none"/>
          <w:u w:val="single"/>
          <w:lang w:val="en-US" w:eastAsia="zh-CN"/>
        </w:rPr>
        <w:t xml:space="preserve">10</w:t>
      </w:r>
      <w:r>
        <w:rPr>
          <w:rFonts w:hint="eastAsia" w:ascii="黑体" w:hAnsi="黑体" w:eastAsia="黑体" w:cs="黑体"/>
          <w:b/>
          <w:bCs w:val="0"/>
          <w:color w:val="auto"/>
          <w:sz w:val="28"/>
          <w:szCs w:val="28"/>
          <w:highlight w:val="none"/>
          <w:u w:val="single"/>
          <w:shd w:val="clear" w:color="auto"/>
        </w:rPr>
        <w:t xml:space="preserve">月</w:t>
      </w:r>
      <w:r>
        <w:rPr>
          <w:rFonts w:hint="eastAsia" w:ascii="黑体" w:hAnsi="黑体" w:eastAsia="黑体" w:cs="黑体"/>
          <w:b/>
          <w:bCs w:val="0"/>
          <w:color w:val="auto"/>
          <w:sz w:val="28"/>
          <w:szCs w:val="28"/>
          <w:highlight w:val="none"/>
          <w:u w:val="single"/>
          <w:shd w:val="clear" w:color="auto"/>
          <w:lang w:val="en-US" w:eastAsia="zh-CN"/>
        </w:rPr>
        <w:t xml:space="preserve">10</w:t>
      </w:r>
      <w:r>
        <w:rPr>
          <w:rFonts w:hint="eastAsia" w:ascii="黑体" w:hAnsi="黑体" w:eastAsia="黑体" w:cs="黑体"/>
          <w:b/>
          <w:bCs w:val="0"/>
          <w:color w:val="auto"/>
          <w:sz w:val="28"/>
          <w:szCs w:val="28"/>
          <w:highlight w:val="none"/>
          <w:u w:val="single"/>
          <w:shd w:val="clear" w:color="auto"/>
        </w:rPr>
        <w:t xml:space="preserve">日9点30分（</w:t>
      </w:r>
      <w:r>
        <w:rPr>
          <w:rFonts w:hint="eastAsia" w:ascii="黑体" w:hAnsi="黑体" w:eastAsia="黑体" w:cs="黑体"/>
          <w:b/>
          <w:bCs w:val="0"/>
          <w:color w:val="auto"/>
          <w:sz w:val="28"/>
          <w:szCs w:val="28"/>
          <w:highlight w:val="none"/>
          <w:u w:val="single"/>
        </w:rPr>
        <w:t xml:space="preserve">北京时间）</w:t>
      </w:r>
      <w:r>
        <w:rPr>
          <w:rFonts w:hint="eastAsia" w:ascii="黑体" w:hAnsi="黑体" w:eastAsia="黑体" w:cs="黑体"/>
          <w:bCs/>
          <w:color w:val="auto"/>
          <w:sz w:val="28"/>
          <w:szCs w:val="28"/>
          <w:highlight w:val="none"/>
        </w:rPr>
        <w:t xml:space="preserve">。逾时，交易系统将拒绝接受上传响应文件电子文档。</w:t>
      </w:r>
      <w:r>
        <w:rPr>
          <w:rFonts w:hint="eastAsia" w:ascii="黑体" w:hAnsi="黑体" w:eastAsia="黑体" w:cs="黑体"/>
          <w:bCs/>
          <w:color w:val="auto"/>
          <w:sz w:val="28"/>
          <w:szCs w:val="28"/>
          <w:highlight w:val="none"/>
          <w:lang w:val="en-US" w:eastAsia="zh-CN"/>
        </w:rPr>
        <w:t xml:space="preserve">  </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注：各投标单位请关注开标大厅交流区，在开标结束后，请勿离开开标大厅。</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2.线上开标地点：“苏采云”系统（网址：http://jszfcg.jsczt.cn/）“开标大厅”。</w:t>
      </w:r>
      <w:r/>
    </w:p>
    <w:p>
      <w:pPr>
        <w:ind w:firstLine="480"/>
        <w:spacing w:line="360" w:lineRule="auto"/>
        <w:rPr>
          <w:rFonts w:hint="eastAsia" w:ascii="黑体" w:hAnsi="黑体" w:eastAsia="黑体" w:cs="黑体"/>
          <w:bCs/>
          <w:i/>
          <w:color w:val="auto"/>
          <w:sz w:val="28"/>
          <w:szCs w:val="28"/>
          <w:highlight w:val="none"/>
        </w:rPr>
      </w:pPr>
      <w:r>
        <w:rPr>
          <w:rFonts w:hint="eastAsia" w:ascii="黑体" w:hAnsi="黑体" w:eastAsia="黑体" w:cs="黑体"/>
          <w:bCs/>
          <w:color w:val="auto"/>
          <w:sz w:val="28"/>
          <w:szCs w:val="28"/>
          <w:highlight w:val="none"/>
        </w:rPr>
        <w:t xml:space="preserve">3.响应文件的解密：开标当天各投标单位及时登录不见面开标大厅，响应文件递交截止时间后，采购人将在系统内公布投标投标单位名单，然后通过开标会议区发出响应文件解密的指令，投标投标单位在开标室按规定时间自行实施远程解密，投标投标单位解密限定在开标后30分钟之内完成。</w:t>
      </w:r>
      <w:r>
        <w:rPr>
          <w:rFonts w:hint="eastAsia" w:ascii="黑体" w:hAnsi="黑体" w:eastAsia="黑体" w:cs="黑体"/>
          <w:bCs/>
          <w:color w:val="auto"/>
          <w:sz w:val="28"/>
          <w:szCs w:val="28"/>
          <w:highlight w:val="none"/>
          <w:u w:val="single"/>
        </w:rPr>
        <w:t xml:space="preserve">因投标投标单位网络与电源不稳定、未按操作手册要求配置软硬件、解密锁发生故障或用错、故意不在要求时限内完成解密等自身原因，导致响应文件在规定时间内未能解密、解密失败或解密超时，视为投标投标单位撤销其响应文件，系统内响应文件将被退回</w:t>
      </w:r>
      <w:r>
        <w:rPr>
          <w:rFonts w:hint="eastAsia" w:ascii="黑体" w:hAnsi="黑体" w:eastAsia="黑体" w:cs="黑体"/>
          <w:bCs/>
          <w:color w:val="auto"/>
          <w:sz w:val="28"/>
          <w:szCs w:val="28"/>
          <w:highlight w:val="none"/>
        </w:rPr>
        <w:t xml:space="preserve">；因采购人原因或网上招投标平台发生故障，导致无法按时完成响应文件解密或开、评标工作无法进行的，可根据实际情况相应延迟解密时间或调整开、评标时间。</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五、公告期限</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自本公告发布之日起5个工作日。</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六、其他补充事宜</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1.投标保证金：免收。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2.项目开标活动模式：不见面远程开标模式，投标人在各自地点通过不见面交易系统参加开标会。</w:t>
      </w:r>
      <w:r/>
    </w:p>
    <w:p>
      <w:pPr>
        <w:ind w:firstLine="560"/>
        <w:spacing w:line="360" w:lineRule="auto"/>
        <w:rPr>
          <w:rFonts w:hint="eastAsia" w:ascii="黑体" w:hAnsi="黑体" w:eastAsia="黑体" w:cs="黑体"/>
          <w:bCs/>
          <w:color w:val="auto"/>
          <w:sz w:val="28"/>
          <w:szCs w:val="28"/>
          <w:highlight w:val="none"/>
          <w:lang w:bidi="ar"/>
        </w:rPr>
      </w:pPr>
      <w:r>
        <w:rPr>
          <w:rFonts w:hint="eastAsia" w:ascii="黑体" w:hAnsi="黑体" w:eastAsia="黑体" w:cs="黑体"/>
          <w:bCs/>
          <w:color w:val="auto"/>
          <w:sz w:val="28"/>
          <w:szCs w:val="28"/>
          <w:highlight w:val="none"/>
        </w:rPr>
        <w:t xml:space="preserve">3.项目样品：无</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对项目需求部分（投标单位资格要求、项目需求）的询问、质疑请向采购人提出，由采购人负责答复；对项目招标文件其它部分的询问请向招标文件制作人或项目开标评标经办人提出；对在“电子交易平台”操作阶段的询问请向交易系统软件维护人员提出。</w:t>
      </w:r>
      <w:r/>
    </w:p>
    <w:p>
      <w:pPr>
        <w:ind w:firstLine="560"/>
        <w:spacing w:line="360" w:lineRule="auto"/>
        <w:rPr>
          <w:rFonts w:hint="eastAsia" w:ascii="黑体" w:hAnsi="黑体" w:eastAsia="黑体" w:cs="黑体"/>
          <w:bCs/>
          <w:color w:val="auto"/>
          <w:sz w:val="28"/>
          <w:szCs w:val="28"/>
          <w:highlight w:val="none"/>
        </w:rPr>
        <w:pBdr>
          <w:top w:val="none" w:color="000000" w:sz="0" w:space="0"/>
          <w:left w:val="none" w:color="000000" w:sz="0" w:space="0"/>
          <w:bottom w:val="none" w:color="000000" w:sz="0" w:space="0"/>
          <w:right w:val="none" w:color="000000" w:sz="0" w:space="0"/>
        </w:pBdr>
        <w:outlineLvl w:val="2"/>
      </w:pPr>
      <w:r>
        <w:rPr>
          <w:rFonts w:hint="eastAsia" w:ascii="黑体" w:hAnsi="黑体" w:eastAsia="黑体" w:cs="黑体"/>
          <w:bCs/>
          <w:color w:val="auto"/>
          <w:sz w:val="28"/>
          <w:szCs w:val="28"/>
          <w:highlight w:val="none"/>
        </w:rPr>
        <w:t xml:space="preserve">5.有关本次采购的事项若存在变动或修改，敬请及时关注“江苏政府采购网”发布的信息更正公告。</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投标单位应依照规定提交各类声明函、承诺函，不再同时提供原件备查或提供有关部门出具的相关证明文件。但中标投标单位应做好提交声明函、承诺函相应原件的核查准备；核查后发现虚假或违背承诺的，依照相关法律法规规定处理。</w:t>
      </w:r>
      <w:r/>
    </w:p>
    <w:p>
      <w:pPr>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投标单位认为招标文件使自己的权益受到损害的，可以自获取招标文件之日或者招标公告期限届满之日(公告期限届满后获取招标文件的，以公告期限届满之日为准)起7个工作日内，对招标文件需求的以书面形式向采购人提出质疑，对其他内容的以书面形式向采购人和代理机构提出质疑。质疑函范本详见本招标文件后附格式。</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七、对本次招标提出询问，请按以下方式联系。</w:t>
      </w:r>
      <w:r/>
    </w:p>
    <w:p>
      <w:pPr>
        <w:ind w:firstLine="560"/>
        <w:spacing w:line="460" w:lineRule="exact"/>
        <w:rPr>
          <w:rFonts w:hint="eastAsia" w:ascii="黑体" w:hAnsi="黑体" w:eastAsia="黑体" w:cs="黑体"/>
          <w:color w:val="auto"/>
          <w:sz w:val="28"/>
          <w:szCs w:val="28"/>
          <w:highlight w:val="none"/>
        </w:rPr>
      </w:pPr>
      <w:r/>
      <w:bookmarkStart w:id="329" w:name="_GoBack"/>
      <w:r>
        <w:rPr>
          <w:rFonts w:hint="eastAsia" w:ascii="黑体" w:hAnsi="黑体" w:eastAsia="黑体" w:cs="黑体"/>
          <w:color w:val="auto"/>
          <w:sz w:val="28"/>
          <w:szCs w:val="28"/>
          <w:highlight w:val="none"/>
        </w:rPr>
        <w:t xml:space="preserve">1.采购人信息</w:t>
      </w:r>
      <w:r/>
    </w:p>
    <w:p>
      <w:pPr>
        <w:ind w:firstLine="56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名    称： 南通市经济技术开发区社会事业局</w:t>
      </w:r>
      <w:r/>
    </w:p>
    <w:p>
      <w:pPr>
        <w:ind w:firstLine="560"/>
        <w:spacing w:line="4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地    址：开发区宏兴路9号（能达大厦26楼）</w:t>
      </w:r>
      <w:r/>
    </w:p>
    <w:p>
      <w:pPr>
        <w:ind w:firstLine="560"/>
        <w:spacing w:line="440" w:lineRule="exact"/>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联 系 方 式：于女士，0513-81193350</w:t>
      </w:r>
      <w:r/>
    </w:p>
    <w:p>
      <w:pPr>
        <w:ind w:firstLine="560"/>
        <w:spacing w:line="460" w:lineRule="exact"/>
        <w:rPr>
          <w:rFonts w:hint="eastAsia" w:ascii="黑体" w:hAnsi="黑体" w:eastAsia="黑体" w:cs="黑体"/>
          <w:b/>
          <w:bCs/>
          <w:color w:val="auto"/>
          <w:sz w:val="28"/>
          <w:szCs w:val="28"/>
          <w:highlight w:val="none"/>
        </w:rPr>
      </w:pPr>
      <w:r>
        <w:rPr>
          <w:rFonts w:hint="eastAsia" w:ascii="黑体" w:hAnsi="黑体" w:eastAsia="黑体" w:cs="黑体"/>
          <w:color w:val="auto"/>
          <w:sz w:val="28"/>
          <w:szCs w:val="28"/>
          <w:highlight w:val="none"/>
        </w:rPr>
        <w:t xml:space="preserve">2.采购代理机构信息</w:t>
      </w:r>
      <w:r/>
    </w:p>
    <w:p>
      <w:pPr>
        <w:ind w:firstLine="560"/>
        <w:spacing w:line="4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名    称：南通润通项目管理有限公司</w:t>
      </w:r>
      <w:r/>
    </w:p>
    <w:p>
      <w:pPr>
        <w:ind w:firstLine="560"/>
        <w:spacing w:line="4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地   址：开发区长通路9号（飞马国际中心A座）</w:t>
      </w:r>
      <w:r/>
    </w:p>
    <w:p>
      <w:pPr>
        <w:ind w:firstLine="560"/>
        <w:spacing w:line="4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联 系 方 式：19812255667　　</w:t>
      </w:r>
      <w:r/>
    </w:p>
    <w:p>
      <w:pPr>
        <w:ind w:firstLine="560"/>
        <w:spacing w:line="4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电子邮箱：</w:t>
      </w:r>
      <w:r>
        <w:rPr>
          <w:rFonts w:hint="eastAsia" w:ascii="黑体" w:hAnsi="黑体" w:eastAsia="黑体" w:cs="黑体"/>
          <w:color w:val="auto"/>
          <w:sz w:val="28"/>
          <w:szCs w:val="28"/>
          <w:highlight w:val="none"/>
        </w:rPr>
        <w:fldChar w:fldCharType="begin"/>
      </w:r>
      <w:r>
        <w:rPr>
          <w:rFonts w:hint="eastAsia" w:ascii="黑体" w:hAnsi="黑体" w:eastAsia="黑体" w:cs="黑体"/>
          <w:color w:val="auto"/>
          <w:sz w:val="28"/>
          <w:szCs w:val="28"/>
          <w:highlight w:val="none"/>
        </w:rPr>
        <w:instrText xml:space="preserve"> HYPERLINK "mailto:runtong20210163@163.com" </w:instrText>
      </w:r>
      <w:r>
        <w:rPr>
          <w:rFonts w:hint="eastAsia" w:ascii="黑体" w:hAnsi="黑体" w:eastAsia="黑体" w:cs="黑体"/>
          <w:color w:val="auto"/>
          <w:sz w:val="28"/>
          <w:szCs w:val="28"/>
          <w:highlight w:val="none"/>
        </w:rPr>
        <w:fldChar w:fldCharType="separate"/>
      </w:r>
      <w:r>
        <w:rPr>
          <w:rFonts w:hint="eastAsia" w:ascii="黑体" w:hAnsi="黑体" w:eastAsia="黑体" w:cs="黑体"/>
          <w:color w:val="auto"/>
          <w:sz w:val="28"/>
          <w:szCs w:val="28"/>
          <w:highlight w:val="none"/>
        </w:rPr>
        <w:t xml:space="preserve">runtong20210163@163.com</w:t>
      </w:r>
      <w:r>
        <w:rPr>
          <w:rFonts w:hint="eastAsia" w:ascii="黑体" w:hAnsi="黑体" w:eastAsia="黑体" w:cs="黑体"/>
          <w:color w:val="auto"/>
          <w:sz w:val="28"/>
          <w:szCs w:val="28"/>
          <w:highlight w:val="none"/>
        </w:rPr>
        <w:fldChar w:fldCharType="end"/>
      </w:r>
      <w:r/>
    </w:p>
    <w:p>
      <w:pPr>
        <w:ind w:firstLine="560"/>
        <w:spacing w:line="360" w:lineRule="auto"/>
        <w:rPr>
          <w:rFonts w:hint="eastAsia" w:ascii="黑体" w:hAnsi="黑体" w:eastAsia="黑体" w:cs="黑体"/>
          <w:bCs/>
          <w:color w:val="auto"/>
          <w:sz w:val="28"/>
          <w:szCs w:val="28"/>
          <w:highlight w:val="none"/>
          <w:lang w:eastAsia="zh-CN"/>
        </w:rPr>
      </w:pPr>
      <w:r>
        <w:rPr>
          <w:rFonts w:hint="eastAsia" w:ascii="黑体" w:hAnsi="黑体" w:eastAsia="黑体" w:cs="黑体"/>
          <w:bCs/>
          <w:color w:val="auto"/>
          <w:sz w:val="28"/>
          <w:szCs w:val="28"/>
          <w:highlight w:val="none"/>
          <w:lang w:eastAsia="zh-CN"/>
        </w:rPr>
        <w:t xml:space="preserve">3.项目联系方式</w:t>
      </w:r>
      <w:r/>
    </w:p>
    <w:p>
      <w:pPr>
        <w:ind w:firstLine="560"/>
        <w:spacing w:line="360" w:lineRule="auto"/>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eastAsia="zh-CN"/>
        </w:rPr>
        <w:t xml:space="preserve">采购文件制作人：</w:t>
      </w:r>
      <w:r>
        <w:rPr>
          <w:rFonts w:hint="eastAsia" w:ascii="黑体" w:hAnsi="黑体" w:eastAsia="黑体" w:cs="黑体"/>
          <w:bCs/>
          <w:color w:val="auto"/>
          <w:sz w:val="28"/>
          <w:szCs w:val="28"/>
          <w:highlight w:val="none"/>
          <w:lang w:val="en-US" w:eastAsia="zh-CN"/>
        </w:rPr>
        <w:t xml:space="preserve">赵斌   </w:t>
      </w:r>
      <w:r/>
    </w:p>
    <w:p>
      <w:pPr>
        <w:ind w:firstLine="560"/>
        <w:spacing w:line="360" w:lineRule="auto"/>
        <w:rPr>
          <w:rFonts w:hint="eastAsia" w:ascii="黑体" w:hAnsi="黑体" w:eastAsia="黑体" w:cs="黑体"/>
          <w:bCs/>
          <w:color w:val="auto"/>
          <w:sz w:val="28"/>
          <w:szCs w:val="28"/>
          <w:highlight w:val="none"/>
          <w:lang w:val="en-US"/>
        </w:rPr>
      </w:pPr>
      <w:r>
        <w:rPr>
          <w:rFonts w:hint="eastAsia" w:ascii="黑体" w:hAnsi="黑体" w:eastAsia="黑体" w:cs="黑体"/>
          <w:bCs/>
          <w:color w:val="auto"/>
          <w:sz w:val="28"/>
          <w:szCs w:val="28"/>
          <w:highlight w:val="none"/>
          <w:lang w:eastAsia="zh-CN"/>
        </w:rPr>
        <w:t xml:space="preserve">4.软件技术支持：0519-86722801</w:t>
      </w:r>
      <w:bookmarkEnd w:id="329"/>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附件:1.招标文件</w:t>
      </w:r>
      <w:r/>
    </w:p>
    <w:p>
      <w:pPr>
        <w:ind w:firstLine="11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2、采购人信用承诺</w:t>
      </w:r>
      <w:r/>
    </w:p>
    <w:p>
      <w:pPr>
        <w:ind w:firstLine="11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3、“苏采云”系统投标单位操作手册</w:t>
      </w:r>
      <w:r/>
    </w:p>
    <w:p>
      <w:pPr>
        <w:ind w:firstLine="1120"/>
        <w:spacing w:line="360" w:lineRule="auto"/>
        <w:rPr>
          <w:rFonts w:hint="eastAsia" w:ascii="黑体" w:hAnsi="黑体" w:eastAsia="黑体" w:cs="黑体"/>
          <w:bCs/>
          <w:color w:val="auto"/>
          <w:sz w:val="36"/>
          <w:szCs w:val="36"/>
          <w:highlight w:val="none"/>
        </w:rPr>
      </w:pPr>
      <w:r>
        <w:rPr>
          <w:rFonts w:hint="eastAsia" w:ascii="黑体" w:hAnsi="黑体" w:eastAsia="黑体" w:cs="黑体"/>
          <w:bCs/>
          <w:color w:val="auto"/>
          <w:sz w:val="28"/>
          <w:szCs w:val="28"/>
          <w:highlight w:val="none"/>
        </w:rPr>
        <w:t xml:space="preserve">4、政采贷和履约保函（保险）告知函</w:t>
      </w: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36"/>
          <w:szCs w:val="36"/>
          <w:highlight w:val="none"/>
        </w:rPr>
        <w:t xml:space="preserve">第二部分  投标须知</w:t>
      </w:r>
      <w:r/>
    </w:p>
    <w:p>
      <w:pPr>
        <w:pStyle w:val="970"/>
        <w:spacing w:before="0" w:after="0" w:line="360" w:lineRule="auto"/>
        <w:rPr>
          <w:rFonts w:hint="eastAsia" w:ascii="黑体" w:hAnsi="黑体" w:eastAsia="黑体" w:cs="黑体"/>
          <w:b w:val="0"/>
          <w:color w:val="auto"/>
          <w:sz w:val="28"/>
          <w:szCs w:val="28"/>
          <w:highlight w:val="none"/>
        </w:rPr>
      </w:pPr>
      <w:r/>
      <w:bookmarkStart w:id="6" w:name="_Toc120614214"/>
      <w:r/>
      <w:bookmarkStart w:id="7" w:name="_Toc20823275"/>
      <w:r/>
      <w:bookmarkStart w:id="8" w:name="_Toc513029203"/>
      <w:r/>
      <w:bookmarkStart w:id="9" w:name="_Toc16938519"/>
      <w:r>
        <w:rPr>
          <w:rFonts w:hint="eastAsia" w:ascii="黑体" w:hAnsi="黑体" w:eastAsia="黑体" w:cs="黑体"/>
          <w:b w:val="0"/>
          <w:color w:val="auto"/>
          <w:sz w:val="28"/>
          <w:szCs w:val="28"/>
          <w:highlight w:val="none"/>
        </w:rPr>
        <w:t xml:space="preserve">（一）总则</w:t>
      </w:r>
      <w:bookmarkEnd w:id="6"/>
      <w:r/>
      <w:bookmarkEnd w:id="7"/>
      <w:r/>
      <w:bookmarkEnd w:id="8"/>
      <w:r/>
      <w:bookmarkEnd w:id="9"/>
      <w:r/>
      <w:r/>
    </w:p>
    <w:p>
      <w:pPr>
        <w:pStyle w:val="971"/>
        <w:ind w:firstLine="560"/>
        <w:jc w:val="both"/>
        <w:spacing w:line="360" w:lineRule="auto"/>
        <w:rPr>
          <w:rFonts w:hint="eastAsia" w:ascii="黑体" w:hAnsi="黑体" w:eastAsia="黑体" w:cs="黑体"/>
          <w:bCs/>
          <w:color w:val="auto"/>
          <w:sz w:val="28"/>
          <w:szCs w:val="28"/>
          <w:highlight w:val="none"/>
        </w:rPr>
      </w:pPr>
      <w:r/>
      <w:bookmarkStart w:id="10" w:name="_Hlt16619475"/>
      <w:r/>
      <w:bookmarkEnd w:id="10"/>
      <w:r/>
      <w:bookmarkStart w:id="11" w:name="_Toc458694821"/>
      <w:r/>
      <w:bookmarkStart w:id="12" w:name="_Toc16938520"/>
      <w:r/>
      <w:bookmarkStart w:id="13" w:name="_Toc513029204"/>
      <w:r/>
      <w:bookmarkStart w:id="14" w:name="_Toc20823276"/>
      <w:r>
        <w:rPr>
          <w:rFonts w:hint="eastAsia" w:ascii="黑体" w:hAnsi="黑体" w:eastAsia="黑体" w:cs="黑体"/>
          <w:bCs/>
          <w:color w:val="auto"/>
          <w:sz w:val="28"/>
          <w:szCs w:val="28"/>
          <w:highlight w:val="none"/>
        </w:rPr>
        <w:t xml:space="preserve">1</w:t>
      </w:r>
      <w:bookmarkEnd w:id="11"/>
      <w:r>
        <w:rPr>
          <w:rFonts w:hint="eastAsia" w:ascii="黑体" w:hAnsi="黑体" w:eastAsia="黑体" w:cs="黑体"/>
          <w:bCs/>
          <w:color w:val="auto"/>
          <w:sz w:val="28"/>
          <w:szCs w:val="28"/>
          <w:highlight w:val="none"/>
        </w:rPr>
        <w:t xml:space="preserve">.招标方式</w:t>
      </w:r>
      <w:bookmarkEnd w:id="12"/>
      <w:r/>
      <w:bookmarkEnd w:id="13"/>
      <w:r/>
      <w:bookmarkEnd w:id="14"/>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本次招标采取公开招标方式，本招标文件仅适用于招标公告中所述项目。</w:t>
      </w:r>
      <w:r/>
    </w:p>
    <w:p>
      <w:pPr>
        <w:pStyle w:val="971"/>
        <w:ind w:firstLine="560"/>
        <w:jc w:val="both"/>
        <w:spacing w:line="360" w:lineRule="auto"/>
        <w:rPr>
          <w:rFonts w:hint="eastAsia" w:ascii="黑体" w:hAnsi="黑体" w:eastAsia="黑体" w:cs="黑体"/>
          <w:bCs/>
          <w:color w:val="auto"/>
          <w:sz w:val="28"/>
          <w:szCs w:val="28"/>
          <w:highlight w:val="none"/>
        </w:rPr>
      </w:pPr>
      <w:r/>
      <w:bookmarkStart w:id="15" w:name="_Toc513029205"/>
      <w:r/>
      <w:bookmarkStart w:id="16" w:name="_Toc20823277"/>
      <w:r/>
      <w:bookmarkStart w:id="17" w:name="_Toc16938521"/>
      <w:r>
        <w:rPr>
          <w:rFonts w:hint="eastAsia" w:ascii="黑体" w:hAnsi="黑体" w:eastAsia="黑体" w:cs="黑体"/>
          <w:bCs/>
          <w:color w:val="auto"/>
          <w:sz w:val="28"/>
          <w:szCs w:val="28"/>
          <w:highlight w:val="none"/>
        </w:rPr>
        <w:t xml:space="preserve">2.合格的投标人</w:t>
      </w:r>
      <w:bookmarkEnd w:id="15"/>
      <w:r/>
      <w:bookmarkEnd w:id="16"/>
      <w:r/>
      <w:bookmarkEnd w:id="17"/>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2.1满足招标公告中投标单位的资格要求的规定。</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满足本文件实质性条款的规定。</w:t>
      </w:r>
      <w:r/>
    </w:p>
    <w:p>
      <w:pPr>
        <w:pStyle w:val="971"/>
        <w:ind w:firstLine="560"/>
        <w:jc w:val="both"/>
        <w:spacing w:line="360" w:lineRule="auto"/>
        <w:rPr>
          <w:rFonts w:hint="eastAsia" w:ascii="黑体" w:hAnsi="黑体" w:eastAsia="黑体" w:cs="黑体"/>
          <w:bCs/>
          <w:color w:val="auto"/>
          <w:sz w:val="28"/>
          <w:szCs w:val="28"/>
          <w:highlight w:val="none"/>
        </w:rPr>
      </w:pPr>
      <w:r/>
      <w:bookmarkStart w:id="18" w:name="_Toc20823278"/>
      <w:r/>
      <w:bookmarkStart w:id="19" w:name="_Toc16938522"/>
      <w:r/>
      <w:bookmarkStart w:id="20" w:name="_Toc513029206"/>
      <w:r>
        <w:rPr>
          <w:rFonts w:hint="eastAsia" w:ascii="黑体" w:hAnsi="黑体" w:eastAsia="黑体" w:cs="黑体"/>
          <w:bCs/>
          <w:color w:val="auto"/>
          <w:sz w:val="28"/>
          <w:szCs w:val="28"/>
          <w:highlight w:val="none"/>
        </w:rPr>
        <w:t xml:space="preserve">3.适用法律</w:t>
      </w:r>
      <w:bookmarkEnd w:id="18"/>
      <w:r/>
      <w:bookmarkEnd w:id="19"/>
      <w:r/>
      <w:bookmarkEnd w:id="20"/>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本次招标及由此产生的合同受中华人民共和国有关的法律法规制约和保护。</w:t>
      </w:r>
      <w:r/>
    </w:p>
    <w:p>
      <w:pPr>
        <w:pStyle w:val="971"/>
        <w:ind w:firstLine="560"/>
        <w:jc w:val="both"/>
        <w:spacing w:line="360" w:lineRule="auto"/>
        <w:rPr>
          <w:rFonts w:hint="eastAsia" w:ascii="黑体" w:hAnsi="黑体" w:eastAsia="黑体" w:cs="黑体"/>
          <w:bCs/>
          <w:color w:val="auto"/>
          <w:sz w:val="28"/>
          <w:szCs w:val="28"/>
          <w:highlight w:val="none"/>
        </w:rPr>
      </w:pPr>
      <w:r/>
      <w:bookmarkStart w:id="21" w:name="_Toc20823279"/>
      <w:r/>
      <w:bookmarkStart w:id="22" w:name="_Toc16938523"/>
      <w:r/>
      <w:bookmarkStart w:id="23" w:name="_Toc462564067"/>
      <w:r/>
      <w:bookmarkStart w:id="24" w:name="_Toc513029207"/>
      <w:r>
        <w:rPr>
          <w:rFonts w:hint="eastAsia" w:ascii="黑体" w:hAnsi="黑体" w:eastAsia="黑体" w:cs="黑体"/>
          <w:bCs/>
          <w:color w:val="auto"/>
          <w:sz w:val="28"/>
          <w:szCs w:val="28"/>
          <w:highlight w:val="none"/>
        </w:rPr>
        <w:t xml:space="preserve">4.投标费用</w:t>
      </w:r>
      <w:bookmarkEnd w:id="21"/>
      <w:r/>
      <w:bookmarkEnd w:id="22"/>
      <w:r/>
      <w:bookmarkEnd w:id="23"/>
      <w:r/>
      <w:bookmarkEnd w:id="24"/>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投标单位应自行承担所有与参加招标有关的费用，无论招标过程中的做法和结果如何，采购人在任何情况下均无义务和责任承担这些费用。</w:t>
      </w:r>
      <w:r/>
    </w:p>
    <w:p>
      <w:pPr>
        <w:contextualSpacing/>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4.2</w:t>
      </w:r>
      <w:r>
        <w:rPr>
          <w:rFonts w:hint="eastAsia" w:ascii="黑体" w:hAnsi="黑体" w:eastAsia="黑体" w:cs="黑体"/>
          <w:bCs/>
          <w:color w:val="auto"/>
          <w:sz w:val="28"/>
          <w:szCs w:val="28"/>
          <w:highlight w:val="none"/>
          <w:lang w:val="en-US" w:eastAsia="zh-CN"/>
        </w:rPr>
        <w:t xml:space="preserve">本项目</w:t>
      </w:r>
      <w:r>
        <w:rPr>
          <w:rFonts w:hint="eastAsia" w:ascii="黑体" w:hAnsi="黑体" w:eastAsia="黑体" w:cs="黑体"/>
          <w:bCs/>
          <w:color w:val="auto"/>
          <w:sz w:val="28"/>
          <w:szCs w:val="28"/>
          <w:highlight w:val="none"/>
        </w:rPr>
        <w:t xml:space="preserve">采购代理服务费按照苏政采协[2024]20号文标准计收，</w:t>
      </w:r>
      <w:r>
        <w:rPr>
          <w:rFonts w:hint="eastAsia" w:ascii="黑体" w:hAnsi="黑体" w:eastAsia="黑体" w:cs="黑体"/>
          <w:bCs/>
          <w:color w:val="auto"/>
          <w:sz w:val="28"/>
          <w:szCs w:val="28"/>
          <w:highlight w:val="none"/>
          <w:lang w:val="en-US" w:eastAsia="zh-CN"/>
        </w:rPr>
        <w:t xml:space="preserve">整个项目的代理服务</w:t>
      </w:r>
      <w:r>
        <w:rPr>
          <w:rFonts w:hint="eastAsia" w:ascii="黑体" w:hAnsi="黑体" w:eastAsia="黑体" w:cs="黑体"/>
          <w:bCs/>
          <w:color w:val="auto"/>
          <w:sz w:val="28"/>
          <w:szCs w:val="28"/>
          <w:highlight w:val="none"/>
        </w:rPr>
        <w:t xml:space="preserve">费用包含在投标报价中，不单独列项，投标单位报价时应综合考虑（不单列）。代理费由成交投标单位在定标后支付给代理机构，如因成交投标单位原因导致本项目流标或改变中标结果或其被取消中标资格的，代理费不予退还。</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5.招标文件的约束力</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投标人一旦参加本项目采购活动，即被认为接受了本招标文件的规定和约束。</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6.招标文件的解释</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6.1招标文件需求部分（投标单位资格要求、项目需求）由采购人解释，其它部分由采购代理机构解释。</w:t>
      </w:r>
      <w:r/>
    </w:p>
    <w:p>
      <w:pPr>
        <w:pStyle w:val="970"/>
        <w:spacing w:before="0" w:after="0" w:line="360" w:lineRule="auto"/>
        <w:rPr>
          <w:rFonts w:hint="eastAsia" w:ascii="黑体" w:hAnsi="黑体" w:eastAsia="黑体" w:cs="黑体"/>
          <w:b w:val="0"/>
          <w:color w:val="auto"/>
          <w:sz w:val="28"/>
          <w:szCs w:val="28"/>
          <w:highlight w:val="none"/>
        </w:rPr>
      </w:pPr>
      <w:r/>
      <w:bookmarkStart w:id="25" w:name="_Toc120614215"/>
      <w:r/>
      <w:bookmarkStart w:id="26" w:name="_Toc16938525"/>
      <w:r/>
      <w:bookmarkStart w:id="27" w:name="_Toc513029209"/>
      <w:r/>
      <w:bookmarkStart w:id="28" w:name="_Toc20823281"/>
      <w:r>
        <w:rPr>
          <w:rFonts w:hint="eastAsia" w:ascii="黑体" w:hAnsi="黑体" w:eastAsia="黑体" w:cs="黑体"/>
          <w:b w:val="0"/>
          <w:color w:val="auto"/>
          <w:sz w:val="28"/>
          <w:szCs w:val="28"/>
          <w:highlight w:val="none"/>
        </w:rPr>
        <w:t xml:space="preserve">（二）招标文件</w:t>
      </w:r>
      <w:bookmarkEnd w:id="25"/>
      <w:r/>
      <w:bookmarkEnd w:id="26"/>
      <w:r/>
      <w:bookmarkEnd w:id="27"/>
      <w:r/>
      <w:bookmarkEnd w:id="28"/>
      <w:r/>
      <w:r/>
    </w:p>
    <w:p>
      <w:pPr>
        <w:pStyle w:val="971"/>
        <w:ind w:firstLine="560"/>
        <w:jc w:val="both"/>
        <w:spacing w:line="360" w:lineRule="auto"/>
        <w:rPr>
          <w:rFonts w:hint="eastAsia" w:ascii="黑体" w:hAnsi="黑体" w:eastAsia="黑体" w:cs="黑体"/>
          <w:bCs/>
          <w:color w:val="auto"/>
          <w:sz w:val="28"/>
          <w:szCs w:val="28"/>
          <w:highlight w:val="none"/>
        </w:rPr>
      </w:pPr>
      <w:r/>
      <w:bookmarkStart w:id="29" w:name="_Toc513029210"/>
      <w:r/>
      <w:bookmarkStart w:id="30" w:name="_Toc20823282"/>
      <w:r/>
      <w:bookmarkStart w:id="31" w:name="_Toc16938526"/>
      <w:r>
        <w:rPr>
          <w:rFonts w:hint="eastAsia" w:ascii="黑体" w:hAnsi="黑体" w:eastAsia="黑体" w:cs="黑体"/>
          <w:bCs/>
          <w:color w:val="auto"/>
          <w:sz w:val="28"/>
          <w:szCs w:val="28"/>
          <w:highlight w:val="none"/>
        </w:rPr>
        <w:t xml:space="preserve">1.招标文件构成</w:t>
      </w:r>
      <w:bookmarkEnd w:id="29"/>
      <w:r/>
      <w:bookmarkEnd w:id="30"/>
      <w:r/>
      <w:bookmarkEnd w:id="31"/>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招标文件由以下部分组成：</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（1）投标邀请</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（2）投标须知</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（3）项目需求</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（4）开标和评标</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（5）投标文件组成</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（6）附件（如有）</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请仔细检查招标文件是否齐全，如有缺漏请立即与采购人或采购代理机构联系解决。</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1"/>
        <w:ind w:firstLine="560"/>
        <w:jc w:val="both"/>
        <w:spacing w:line="360" w:lineRule="auto"/>
        <w:rPr>
          <w:rFonts w:hint="eastAsia" w:ascii="黑体" w:hAnsi="黑体" w:eastAsia="黑体" w:cs="黑体"/>
          <w:bCs/>
          <w:color w:val="auto"/>
          <w:sz w:val="28"/>
          <w:szCs w:val="28"/>
          <w:highlight w:val="none"/>
        </w:rPr>
      </w:pPr>
      <w:r/>
      <w:bookmarkStart w:id="32" w:name="_Toc20823283"/>
      <w:r/>
      <w:bookmarkStart w:id="33" w:name="_Toc462564070"/>
      <w:r/>
      <w:bookmarkStart w:id="34" w:name="_Toc16938527"/>
      <w:r/>
      <w:bookmarkStart w:id="35" w:name="_Toc513029211"/>
      <w:r>
        <w:rPr>
          <w:rFonts w:hint="eastAsia" w:ascii="黑体" w:hAnsi="黑体" w:eastAsia="黑体" w:cs="黑体"/>
          <w:bCs/>
          <w:color w:val="auto"/>
          <w:sz w:val="28"/>
          <w:szCs w:val="28"/>
          <w:highlight w:val="none"/>
        </w:rPr>
        <w:t xml:space="preserve">2.招标文件的澄清</w:t>
      </w:r>
      <w:bookmarkEnd w:id="32"/>
      <w:r/>
      <w:bookmarkEnd w:id="33"/>
      <w:r/>
      <w:bookmarkEnd w:id="34"/>
      <w:r/>
      <w:bookmarkEnd w:id="35"/>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任何要求对招标文件进行澄清的投标人，应在投标截止期十日前按招标公告中的通讯地址，以书面形式通知采购人。采购人有权对发出的招标文件进行必要的澄清或修改</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2.2采购人视情组织答疑会</w:t>
      </w:r>
      <w:r/>
    </w:p>
    <w:p>
      <w:pPr>
        <w:pStyle w:val="971"/>
        <w:ind w:firstLine="560"/>
        <w:jc w:val="both"/>
        <w:spacing w:line="360" w:lineRule="auto"/>
        <w:rPr>
          <w:rFonts w:hint="eastAsia" w:ascii="黑体" w:hAnsi="黑体" w:eastAsia="黑体" w:cs="黑体"/>
          <w:bCs/>
          <w:color w:val="auto"/>
          <w:sz w:val="28"/>
          <w:szCs w:val="28"/>
          <w:highlight w:val="none"/>
        </w:rPr>
      </w:pPr>
      <w:r/>
      <w:bookmarkStart w:id="36" w:name="_Toc16938528"/>
      <w:r/>
      <w:bookmarkStart w:id="37" w:name="_Toc513029212"/>
      <w:r/>
      <w:bookmarkStart w:id="38" w:name="_Toc20823284"/>
      <w:r/>
      <w:bookmarkStart w:id="39" w:name="_Toc462564071"/>
      <w:r>
        <w:rPr>
          <w:rFonts w:hint="eastAsia" w:ascii="黑体" w:hAnsi="黑体" w:eastAsia="黑体" w:cs="黑体"/>
          <w:bCs/>
          <w:color w:val="auto"/>
          <w:sz w:val="28"/>
          <w:szCs w:val="28"/>
          <w:highlight w:val="none"/>
        </w:rPr>
        <w:t xml:space="preserve">3.招标文件的修改</w:t>
      </w:r>
      <w:bookmarkEnd w:id="36"/>
      <w:r/>
      <w:bookmarkEnd w:id="37"/>
      <w:r/>
      <w:bookmarkEnd w:id="38"/>
      <w:r/>
      <w:bookmarkEnd w:id="39"/>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在投标截止时间前，采购人或采购代理机构可以对招标文件进行修改。</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 采购人或采购代理机构有权按照法定的要求推迟投标截止日期和开标日期。</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 招标文件的修改将在江苏政府采购网公布，补充文件将作为招标文件的组成部分，并对投标人具有约束力。</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5.投标人对采购人提供的采购文件所做出的推论、解释和结论，采购人概不负责。投标单位由于对采购文件的任何推论和误解以及采购人对有关问题的口头解释所造成的后果，均由各潜在投标人自负。</w:t>
      </w:r>
      <w:r/>
    </w:p>
    <w:p>
      <w:pPr>
        <w:pStyle w:val="970"/>
        <w:spacing w:before="0" w:after="0" w:line="360" w:lineRule="auto"/>
        <w:rPr>
          <w:rFonts w:hint="eastAsia" w:ascii="黑体" w:hAnsi="黑体" w:eastAsia="黑体" w:cs="黑体"/>
          <w:b w:val="0"/>
          <w:color w:val="auto"/>
          <w:sz w:val="28"/>
          <w:szCs w:val="28"/>
          <w:highlight w:val="none"/>
        </w:rPr>
      </w:pPr>
      <w:r/>
      <w:bookmarkStart w:id="40" w:name="_Toc513029213"/>
      <w:r/>
      <w:bookmarkStart w:id="41" w:name="_Toc16938529"/>
      <w:r/>
      <w:bookmarkStart w:id="42" w:name="_Toc462564072"/>
      <w:r/>
      <w:bookmarkStart w:id="43" w:name="_Toc120614216"/>
      <w:r/>
      <w:bookmarkStart w:id="44" w:name="_Toc20823285"/>
      <w:r>
        <w:rPr>
          <w:rFonts w:hint="eastAsia" w:ascii="黑体" w:hAnsi="黑体" w:eastAsia="黑体" w:cs="黑体"/>
          <w:b w:val="0"/>
          <w:color w:val="auto"/>
          <w:sz w:val="28"/>
          <w:szCs w:val="28"/>
          <w:highlight w:val="none"/>
        </w:rPr>
        <w:t xml:space="preserve">（三）投标文件的编制</w:t>
      </w:r>
      <w:bookmarkEnd w:id="40"/>
      <w:r/>
      <w:bookmarkEnd w:id="41"/>
      <w:r/>
      <w:bookmarkEnd w:id="42"/>
      <w:r/>
      <w:bookmarkEnd w:id="43"/>
      <w:r/>
      <w:bookmarkEnd w:id="44"/>
      <w:r/>
      <w:r/>
    </w:p>
    <w:p>
      <w:pPr>
        <w:pStyle w:val="971"/>
        <w:ind w:firstLine="560"/>
        <w:jc w:val="both"/>
        <w:spacing w:line="360" w:lineRule="auto"/>
        <w:rPr>
          <w:rFonts w:hint="eastAsia" w:ascii="黑体" w:hAnsi="黑体" w:eastAsia="黑体" w:cs="黑体"/>
          <w:bCs/>
          <w:color w:val="auto"/>
          <w:sz w:val="28"/>
          <w:szCs w:val="28"/>
          <w:highlight w:val="none"/>
        </w:rPr>
      </w:pPr>
      <w:r/>
      <w:bookmarkStart w:id="45" w:name="_Toc513029214"/>
      <w:r/>
      <w:bookmarkStart w:id="46" w:name="_Toc20823286"/>
      <w:r/>
      <w:bookmarkStart w:id="47" w:name="_Toc462564073"/>
      <w:r/>
      <w:bookmarkStart w:id="48" w:name="_Toc16938530"/>
      <w:r>
        <w:rPr>
          <w:rFonts w:hint="eastAsia" w:ascii="黑体" w:hAnsi="黑体" w:eastAsia="黑体" w:cs="黑体"/>
          <w:bCs/>
          <w:color w:val="auto"/>
          <w:sz w:val="28"/>
          <w:szCs w:val="28"/>
          <w:highlight w:val="none"/>
        </w:rPr>
        <w:t xml:space="preserve">1.投标文件的语言及度量衡单位</w:t>
      </w:r>
      <w:bookmarkEnd w:id="45"/>
      <w:r/>
      <w:bookmarkEnd w:id="46"/>
      <w:r/>
      <w:bookmarkEnd w:id="47"/>
      <w:r/>
      <w:bookmarkEnd w:id="48"/>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投标人提交的投标文件以及投标人与采购人或采购代理机构就有关投标的所有来往通知、函件和文件均应使用简体中文。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除技术性能另有规定外，投标文件所使用的度量衡单位，均须采用国家法定计量单位。</w:t>
      </w:r>
      <w:r/>
    </w:p>
    <w:p>
      <w:pPr>
        <w:pStyle w:val="971"/>
        <w:ind w:firstLine="560"/>
        <w:jc w:val="both"/>
        <w:spacing w:line="360" w:lineRule="auto"/>
        <w:rPr>
          <w:rFonts w:hint="eastAsia" w:ascii="黑体" w:hAnsi="黑体" w:eastAsia="黑体" w:cs="黑体"/>
          <w:bCs/>
          <w:color w:val="auto"/>
          <w:sz w:val="28"/>
          <w:szCs w:val="28"/>
          <w:highlight w:val="none"/>
        </w:rPr>
      </w:pPr>
      <w:r/>
      <w:bookmarkStart w:id="49" w:name="_Toc513029215"/>
      <w:r/>
      <w:bookmarkStart w:id="50" w:name="_Toc20823287"/>
      <w:r/>
      <w:bookmarkStart w:id="51" w:name="_Toc462564074"/>
      <w:r/>
      <w:bookmarkStart w:id="52" w:name="_Toc16938531"/>
      <w:r>
        <w:rPr>
          <w:rFonts w:hint="eastAsia" w:ascii="黑体" w:hAnsi="黑体" w:eastAsia="黑体" w:cs="黑体"/>
          <w:bCs/>
          <w:color w:val="auto"/>
          <w:sz w:val="28"/>
          <w:szCs w:val="28"/>
          <w:highlight w:val="none"/>
        </w:rPr>
        <w:t xml:space="preserve">2.投标文件构成</w:t>
      </w:r>
      <w:bookmarkEnd w:id="49"/>
      <w:r/>
      <w:bookmarkEnd w:id="50"/>
      <w:r/>
      <w:bookmarkEnd w:id="51"/>
      <w:r/>
      <w:bookmarkEnd w:id="52"/>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投标人编写的投标文件应包括资格审查证明材料文件，符合性审查材料文件、商务、技术标文件，价格标文件。投标单位按“第五部分 投标文件组成”要求编写投标文件</w:t>
      </w:r>
      <w:r/>
    </w:p>
    <w:p>
      <w:pPr>
        <w:pStyle w:val="971"/>
        <w:ind w:firstLine="560"/>
        <w:jc w:val="both"/>
        <w:spacing w:line="360" w:lineRule="auto"/>
        <w:rPr>
          <w:rFonts w:hint="eastAsia" w:ascii="黑体" w:hAnsi="黑体" w:eastAsia="黑体" w:cs="黑体"/>
          <w:bCs/>
          <w:color w:val="auto"/>
          <w:sz w:val="28"/>
          <w:szCs w:val="28"/>
          <w:highlight w:val="none"/>
        </w:rPr>
      </w:pPr>
      <w:r/>
      <w:bookmarkStart w:id="53" w:name="_Hlt26670360"/>
      <w:r/>
      <w:bookmarkEnd w:id="53"/>
      <w:r/>
      <w:bookmarkStart w:id="54" w:name="_Hlt26954838"/>
      <w:r/>
      <w:bookmarkEnd w:id="54"/>
      <w:r/>
      <w:bookmarkStart w:id="55" w:name="_Hlt26668975"/>
      <w:r/>
      <w:bookmarkEnd w:id="55"/>
      <w:r/>
      <w:bookmarkStart w:id="56" w:name="_Toc49090511"/>
      <w:r/>
      <w:bookmarkStart w:id="57" w:name="_Toc14577360"/>
      <w:r>
        <w:rPr>
          <w:rFonts w:hint="eastAsia" w:ascii="黑体" w:hAnsi="黑体" w:eastAsia="黑体" w:cs="黑体"/>
          <w:bCs/>
          <w:color w:val="auto"/>
          <w:sz w:val="28"/>
          <w:szCs w:val="28"/>
          <w:highlight w:val="none"/>
        </w:rPr>
        <w:t xml:space="preserve">3.投标有效期</w:t>
      </w:r>
      <w:bookmarkEnd w:id="56"/>
      <w:r/>
      <w:bookmarkEnd w:id="57"/>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3.1投标有效期为招标文件规定的开标之日后</w:t>
      </w:r>
      <w:r>
        <w:rPr>
          <w:rFonts w:hint="eastAsia" w:ascii="黑体" w:hAnsi="黑体" w:eastAsia="黑体" w:cs="黑体"/>
          <w:bCs/>
          <w:color w:val="auto"/>
          <w:sz w:val="28"/>
          <w:szCs w:val="28"/>
          <w:highlight w:val="none"/>
          <w:u w:val="single"/>
        </w:rPr>
        <w:t xml:space="preserve">六十（60）天</w:t>
      </w:r>
      <w:r>
        <w:rPr>
          <w:rFonts w:hint="eastAsia" w:ascii="黑体" w:hAnsi="黑体" w:eastAsia="黑体" w:cs="黑体"/>
          <w:bCs/>
          <w:color w:val="auto"/>
          <w:sz w:val="28"/>
          <w:szCs w:val="28"/>
          <w:highlight w:val="none"/>
        </w:rPr>
        <w:t xml:space="preserve">。投标有效期比规定短的将被视为非响应性投标而予以拒绝。</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4.投标有效期的延长</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5.电子响应文件其他要求</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5.1电子招标投标交易平台（即“苏采云”系统）相关要求是本采购文件的组成部分。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5.2投标人应对CA证书妥善保管，如被他人盗用投标，因此带来的结果均由投标单位自行承担。</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5.3投标人应当对采购文件提出的实质性要求和条件作出实质性响应，并在电子投标系统逐条应答。</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970"/>
        <w:spacing w:before="0" w:after="0" w:line="360" w:lineRule="auto"/>
        <w:rPr>
          <w:rFonts w:hint="eastAsia" w:ascii="黑体" w:hAnsi="黑体" w:eastAsia="黑体" w:cs="黑体"/>
          <w:b w:val="0"/>
          <w:color w:val="auto"/>
          <w:sz w:val="28"/>
          <w:szCs w:val="28"/>
          <w:highlight w:val="none"/>
        </w:rPr>
      </w:pPr>
      <w:r/>
      <w:bookmarkStart w:id="58" w:name="_Hlt26954852"/>
      <w:r/>
      <w:bookmarkEnd w:id="58"/>
      <w:r/>
      <w:bookmarkStart w:id="59" w:name="_Hlt26954739"/>
      <w:r/>
      <w:bookmarkEnd w:id="59"/>
      <w:r/>
      <w:bookmarkStart w:id="60" w:name="_Toc513029224"/>
      <w:r/>
      <w:bookmarkStart w:id="61" w:name="_Toc16938540"/>
      <w:r/>
      <w:bookmarkStart w:id="62" w:name="_Toc120614217"/>
      <w:r/>
      <w:bookmarkStart w:id="63" w:name="_Toc20823296"/>
      <w:r>
        <w:rPr>
          <w:rFonts w:hint="eastAsia" w:ascii="黑体" w:hAnsi="黑体" w:eastAsia="黑体" w:cs="黑体"/>
          <w:b w:val="0"/>
          <w:color w:val="auto"/>
          <w:sz w:val="28"/>
          <w:szCs w:val="28"/>
          <w:highlight w:val="none"/>
        </w:rPr>
        <w:t xml:space="preserve">（四）投标文件的递交</w:t>
      </w:r>
      <w:bookmarkEnd w:id="60"/>
      <w:r/>
      <w:bookmarkEnd w:id="61"/>
      <w:r/>
      <w:bookmarkEnd w:id="62"/>
      <w:r/>
      <w:bookmarkEnd w:id="63"/>
      <w:r/>
      <w:r/>
    </w:p>
    <w:p>
      <w:pPr>
        <w:pStyle w:val="971"/>
        <w:ind w:firstLine="560"/>
        <w:jc w:val="both"/>
        <w:spacing w:line="360" w:lineRule="auto"/>
        <w:rPr>
          <w:rFonts w:hint="eastAsia" w:ascii="黑体" w:hAnsi="黑体" w:eastAsia="黑体" w:cs="黑体"/>
          <w:bCs/>
          <w:color w:val="auto"/>
          <w:sz w:val="28"/>
          <w:szCs w:val="28"/>
          <w:highlight w:val="none"/>
        </w:rPr>
      </w:pPr>
      <w:r/>
      <w:bookmarkStart w:id="64" w:name="_Toc16938541"/>
      <w:r/>
      <w:bookmarkStart w:id="65" w:name="_Toc513029225"/>
      <w:r/>
      <w:bookmarkStart w:id="66" w:name="_Toc20823297"/>
      <w:r/>
      <w:bookmarkStart w:id="67" w:name="_Toc462564084"/>
      <w:r>
        <w:rPr>
          <w:rFonts w:hint="eastAsia" w:ascii="黑体" w:hAnsi="黑体" w:eastAsia="黑体" w:cs="黑体"/>
          <w:bCs/>
          <w:color w:val="auto"/>
          <w:sz w:val="28"/>
          <w:szCs w:val="28"/>
          <w:highlight w:val="none"/>
        </w:rPr>
        <w:t xml:space="preserve">1.投标文件</w:t>
      </w:r>
      <w:bookmarkEnd w:id="64"/>
      <w:r/>
      <w:bookmarkEnd w:id="65"/>
      <w:r/>
      <w:bookmarkEnd w:id="66"/>
      <w:r/>
      <w:bookmarkEnd w:id="67"/>
      <w:r>
        <w:rPr>
          <w:rFonts w:hint="eastAsia" w:ascii="黑体" w:hAnsi="黑体" w:eastAsia="黑体" w:cs="黑体"/>
          <w:bCs/>
          <w:color w:val="auto"/>
          <w:sz w:val="28"/>
          <w:szCs w:val="28"/>
          <w:highlight w:val="none"/>
        </w:rPr>
        <w:t xml:space="preserve">的递交</w:t>
      </w:r>
      <w:r/>
    </w:p>
    <w:p>
      <w:pPr>
        <w:ind w:firstLine="556"/>
        <w:spacing w:line="360" w:lineRule="auto"/>
        <w:rPr>
          <w:rFonts w:hint="eastAsia" w:ascii="黑体" w:hAnsi="黑体" w:eastAsia="黑体" w:cs="黑体"/>
          <w:bCs/>
          <w:color w:val="auto"/>
          <w:sz w:val="28"/>
          <w:szCs w:val="28"/>
          <w:highlight w:val="none"/>
        </w:rPr>
      </w:pPr>
      <w:r/>
      <w:bookmarkStart w:id="68" w:name="_Toc513029226"/>
      <w:r/>
      <w:bookmarkStart w:id="69" w:name="_Toc20823298"/>
      <w:r/>
      <w:bookmarkStart w:id="70" w:name="_Toc16938542"/>
      <w:r>
        <w:rPr>
          <w:rFonts w:hint="eastAsia" w:ascii="黑体" w:hAnsi="黑体" w:eastAsia="黑体" w:cs="黑体"/>
          <w:bCs/>
          <w:color w:val="auto"/>
          <w:sz w:val="28"/>
          <w:szCs w:val="28"/>
          <w:highlight w:val="none"/>
        </w:rPr>
        <w:t xml:space="preserve">1.1线上提交与接收地点：投标单位应当通过“苏采云”系统提交数据电文形式的响应文件（即电子投标），“苏采云”系统自动接收。</w:t>
      </w:r>
      <w:r/>
    </w:p>
    <w:p>
      <w:pPr>
        <w:ind w:firstLine="55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2.投标截止日期</w:t>
      </w:r>
      <w:bookmarkEnd w:id="68"/>
      <w:r/>
      <w:bookmarkEnd w:id="69"/>
      <w:r/>
      <w:bookmarkEnd w:id="70"/>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投标人上传电子投标文件的时间不得迟于招标公告中规定的投标截止时间。</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采购人或采购代理机构可以按照规定，通过修改招标文件酌情延长投标截止日期，在此情况下，投标人的所有权利和义务以及投标人受制的截止日期均应以延长后新的截止日期为准。</w:t>
      </w:r>
      <w:bookmarkStart w:id="71" w:name="_Toc16938543"/>
      <w:r/>
      <w:bookmarkStart w:id="72" w:name="_Toc20823299"/>
      <w:r/>
      <w:bookmarkStart w:id="73" w:name="_Toc513029227"/>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3.投标文件的密封（加密）要求：</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3.2投标人须通过“苏采云”系统提供的政府采购客户端工具（使用“CA数字证书”）加盖电子签章。</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说明：投标人应在用CA数字证书以及自备的能够登录“苏采云”系统的笔记本电脑，在达到开标时间后，使用CA数字证书解密各自投标文件。</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3.3投标人未按规定加密的投标文件，“苏采云”系统应当拒收并提示。</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4.投标文件</w:t>
      </w:r>
      <w:bookmarkEnd w:id="71"/>
      <w:r/>
      <w:bookmarkEnd w:id="72"/>
      <w:r/>
      <w:bookmarkEnd w:id="73"/>
      <w:r>
        <w:rPr>
          <w:rFonts w:hint="eastAsia" w:ascii="黑体" w:hAnsi="黑体" w:eastAsia="黑体" w:cs="黑体"/>
          <w:bCs/>
          <w:color w:val="auto"/>
          <w:sz w:val="28"/>
          <w:szCs w:val="28"/>
          <w:highlight w:val="none"/>
        </w:rPr>
        <w:t xml:space="preserve">的拒收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采购人或采购代理机构拒绝接收在其规定的投标截止时间后上传的任何投标文件。</w:t>
      </w:r>
      <w:r/>
    </w:p>
    <w:p>
      <w:pPr>
        <w:pStyle w:val="971"/>
        <w:ind w:firstLine="560"/>
        <w:jc w:val="both"/>
        <w:spacing w:line="360" w:lineRule="auto"/>
        <w:rPr>
          <w:rFonts w:hint="eastAsia" w:ascii="黑体" w:hAnsi="黑体" w:eastAsia="黑体" w:cs="黑体"/>
          <w:bCs/>
          <w:color w:val="auto"/>
          <w:sz w:val="28"/>
          <w:szCs w:val="28"/>
          <w:highlight w:val="none"/>
        </w:rPr>
      </w:pPr>
      <w:r/>
      <w:bookmarkStart w:id="74" w:name="_Toc20823300"/>
      <w:r/>
      <w:bookmarkStart w:id="75" w:name="_Toc513029228"/>
      <w:r/>
      <w:bookmarkStart w:id="76" w:name="_Toc16938544"/>
      <w:r>
        <w:rPr>
          <w:rFonts w:hint="eastAsia" w:ascii="黑体" w:hAnsi="黑体" w:eastAsia="黑体" w:cs="黑体"/>
          <w:bCs/>
          <w:color w:val="auto"/>
          <w:sz w:val="28"/>
          <w:szCs w:val="28"/>
          <w:highlight w:val="none"/>
        </w:rPr>
        <w:t xml:space="preserve">5.投标文件的撤回和修改</w:t>
      </w:r>
      <w:bookmarkEnd w:id="74"/>
      <w:r/>
      <w:bookmarkEnd w:id="75"/>
      <w:r/>
      <w:bookmarkEnd w:id="76"/>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投标文件的撤回</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5.1.1 电子投标文件的撤回</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投标人可在投标截止时间前，撤回其电子投标文件，具体操作方法见《江苏省政府采购（投标单位）CA数字证书及电子签章办理指南》。</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5.1.2 投标人撤回电子投标文件，则认为其不再参与本项目投标活动。</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 投标文件的修改</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投标人可在投标截止时间前，对其电子投标文件进行修改》。</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 在投标截止时间之后，投标人不得对其电子投标文件作任何修改。</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 在投标截止时间至招标文件中规定的投标有效期满之间的这段时间内，投标人不得撤回其投标。</w:t>
      </w:r>
      <w:r/>
    </w:p>
    <w:p>
      <w:pPr>
        <w:pStyle w:val="970"/>
        <w:spacing w:before="0" w:after="0" w:line="360" w:lineRule="auto"/>
        <w:rPr>
          <w:rFonts w:hint="eastAsia" w:ascii="黑体" w:hAnsi="黑体" w:eastAsia="黑体" w:cs="黑体"/>
          <w:b w:val="0"/>
          <w:color w:val="auto"/>
          <w:sz w:val="28"/>
          <w:szCs w:val="28"/>
          <w:highlight w:val="none"/>
        </w:rPr>
      </w:pPr>
      <w:r/>
      <w:bookmarkStart w:id="77" w:name="_Toc120614218"/>
      <w:r/>
      <w:bookmarkStart w:id="78" w:name="_Toc513029229"/>
      <w:r/>
      <w:bookmarkStart w:id="79" w:name="_Toc16938545"/>
      <w:r/>
      <w:bookmarkStart w:id="80" w:name="_Toc20823301"/>
      <w:r>
        <w:rPr>
          <w:rFonts w:hint="eastAsia" w:ascii="黑体" w:hAnsi="黑体" w:eastAsia="黑体" w:cs="黑体"/>
          <w:b w:val="0"/>
          <w:color w:val="auto"/>
          <w:sz w:val="28"/>
          <w:szCs w:val="28"/>
          <w:highlight w:val="none"/>
        </w:rPr>
        <w:t xml:space="preserve">（五）开标与评标</w:t>
      </w:r>
      <w:bookmarkEnd w:id="77"/>
      <w:r/>
      <w:bookmarkEnd w:id="78"/>
      <w:r/>
      <w:bookmarkEnd w:id="79"/>
      <w:r/>
      <w:bookmarkEnd w:id="80"/>
      <w:r/>
      <w:r/>
    </w:p>
    <w:p>
      <w:pPr>
        <w:pStyle w:val="971"/>
        <w:ind w:firstLine="560"/>
        <w:jc w:val="both"/>
        <w:spacing w:line="360" w:lineRule="auto"/>
        <w:rPr>
          <w:rFonts w:hint="eastAsia" w:ascii="黑体" w:hAnsi="黑体" w:eastAsia="黑体" w:cs="黑体"/>
          <w:bCs/>
          <w:color w:val="auto"/>
          <w:sz w:val="28"/>
          <w:szCs w:val="28"/>
          <w:highlight w:val="none"/>
        </w:rPr>
      </w:pPr>
      <w:r/>
      <w:bookmarkStart w:id="81" w:name="_Toc16938546"/>
      <w:r/>
      <w:bookmarkStart w:id="82" w:name="_Toc20823302"/>
      <w:r/>
      <w:bookmarkStart w:id="83" w:name="_Toc513029230"/>
      <w:r>
        <w:rPr>
          <w:rFonts w:hint="eastAsia" w:ascii="黑体" w:hAnsi="黑体" w:eastAsia="黑体" w:cs="黑体"/>
          <w:bCs/>
          <w:color w:val="auto"/>
          <w:sz w:val="28"/>
          <w:szCs w:val="28"/>
          <w:highlight w:val="none"/>
        </w:rPr>
        <w:t xml:space="preserve">1.开标</w:t>
      </w:r>
      <w:bookmarkEnd w:id="81"/>
      <w:r/>
      <w:bookmarkEnd w:id="82"/>
      <w:r/>
      <w:bookmarkEnd w:id="83"/>
      <w:r/>
      <w:r/>
    </w:p>
    <w:p>
      <w:pPr>
        <w:ind w:firstLine="55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采购人或采购代理机构将在招标公告中规定的时间和地点组织公开开标。</w:t>
      </w:r>
      <w:r/>
    </w:p>
    <w:p>
      <w:pPr>
        <w:ind w:firstLine="55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开标当天投标人及时登录不见面开标大厅，投标文件递交截止时间后，采购</w:t>
      </w:r>
      <w:r>
        <w:rPr>
          <w:rFonts w:hint="eastAsia" w:ascii="黑体" w:hAnsi="黑体" w:eastAsia="黑体" w:cs="黑体"/>
          <w:bCs/>
          <w:color w:val="auto"/>
          <w:sz w:val="28"/>
          <w:szCs w:val="28"/>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1.2开标仪式由招标代理机构组织，在不见面交易系统中进行开标，并公布各投标人的《开标一览表》。</w:t>
      </w:r>
      <w:r/>
    </w:p>
    <w:p>
      <w:pPr>
        <w:pStyle w:val="971"/>
        <w:ind w:firstLine="560"/>
        <w:jc w:val="both"/>
        <w:spacing w:line="360" w:lineRule="auto"/>
        <w:rPr>
          <w:rFonts w:hint="eastAsia" w:ascii="黑体" w:hAnsi="黑体" w:eastAsia="黑体" w:cs="黑体"/>
          <w:bCs/>
          <w:color w:val="auto"/>
          <w:sz w:val="28"/>
          <w:szCs w:val="28"/>
          <w:highlight w:val="none"/>
        </w:rPr>
      </w:pPr>
      <w:r/>
      <w:bookmarkStart w:id="84" w:name="_Toc16938547"/>
      <w:r/>
      <w:bookmarkStart w:id="85" w:name="_Toc20823303"/>
      <w:r/>
      <w:bookmarkStart w:id="86" w:name="_Toc513029231"/>
      <w:r>
        <w:rPr>
          <w:rFonts w:hint="eastAsia" w:ascii="黑体" w:hAnsi="黑体" w:eastAsia="黑体" w:cs="黑体"/>
          <w:bCs/>
          <w:color w:val="auto"/>
          <w:sz w:val="28"/>
          <w:szCs w:val="28"/>
          <w:highlight w:val="none"/>
        </w:rPr>
        <w:t xml:space="preserve">2.评标委员会</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开标后，采购人或采购代理机构将立即组织评标委员会（以下简称评委会）进行评标。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评委会由有关技术、经济等方面的专家组成，且人员构成符合政府采购有关规定。</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2.3评委会独立工作，负责评审所有投标文件并确定中标侯选人。</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3.评标过程的保密与公正</w:t>
      </w:r>
      <w:bookmarkEnd w:id="84"/>
      <w:r/>
      <w:bookmarkEnd w:id="85"/>
      <w:r/>
      <w:bookmarkEnd w:id="86"/>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3.1公开开标后，直至向中标的投标人授予合同时止，凡是与审查、澄清、评价和比较投标的有关资料以及授标建议等，采购人、评委、采购代理机构均不得向投标人或与评标无关的其他人员透露。</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3.2在评标过程中，投标人不得以任何行为影响评标过程，否则其投标文件将被作为无效投标文件。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3.3在评标期间，采购代理机构将设专门人员与投标人联系。</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3.4采购人或采购代理机构和评标委员会不向未中标的投标人解释未中标原因，也不公布评标过程中的相关细节。</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3.5采用综合评分法的项目，公布评标结果时一并公布所有投标人的评审得分及排序情况。</w:t>
      </w:r>
      <w:r/>
    </w:p>
    <w:p>
      <w:pPr>
        <w:pStyle w:val="971"/>
        <w:ind w:firstLine="560"/>
        <w:jc w:val="both"/>
        <w:spacing w:line="360" w:lineRule="auto"/>
        <w:rPr>
          <w:rFonts w:hint="eastAsia" w:ascii="黑体" w:hAnsi="黑体" w:eastAsia="黑体" w:cs="黑体"/>
          <w:bCs/>
          <w:color w:val="auto"/>
          <w:sz w:val="28"/>
          <w:szCs w:val="28"/>
          <w:highlight w:val="none"/>
        </w:rPr>
      </w:pPr>
      <w:r/>
      <w:bookmarkStart w:id="87" w:name="_Toc16938548"/>
      <w:r/>
      <w:bookmarkStart w:id="88" w:name="_Toc513029232"/>
      <w:r/>
      <w:bookmarkStart w:id="89" w:name="_Toc20823304"/>
      <w:r>
        <w:rPr>
          <w:rFonts w:hint="eastAsia" w:ascii="黑体" w:hAnsi="黑体" w:eastAsia="黑体" w:cs="黑体"/>
          <w:bCs/>
          <w:color w:val="auto"/>
          <w:sz w:val="28"/>
          <w:szCs w:val="28"/>
          <w:highlight w:val="none"/>
        </w:rPr>
        <w:t xml:space="preserve">4.投标的澄清</w:t>
      </w:r>
      <w:bookmarkEnd w:id="87"/>
      <w:r/>
      <w:bookmarkEnd w:id="88"/>
      <w:r/>
      <w:bookmarkEnd w:id="89"/>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4.3 接到评委会澄清要求的投标人如未按规定做出澄清，其风险由投标人自行承担。</w:t>
      </w:r>
      <w:r/>
    </w:p>
    <w:p>
      <w:pPr>
        <w:pStyle w:val="971"/>
        <w:ind w:firstLine="560"/>
        <w:jc w:val="both"/>
        <w:spacing w:line="360" w:lineRule="auto"/>
        <w:rPr>
          <w:rFonts w:hint="eastAsia" w:ascii="黑体" w:hAnsi="黑体" w:eastAsia="黑体" w:cs="黑体"/>
          <w:bCs/>
          <w:color w:val="auto"/>
          <w:sz w:val="28"/>
          <w:szCs w:val="28"/>
          <w:highlight w:val="none"/>
        </w:rPr>
      </w:pPr>
      <w:r/>
      <w:bookmarkStart w:id="90" w:name="_Toc20823305"/>
      <w:r/>
      <w:bookmarkStart w:id="91" w:name="_Toc513029233"/>
      <w:r/>
      <w:bookmarkStart w:id="92" w:name="_Toc16938549"/>
      <w:r>
        <w:rPr>
          <w:rFonts w:hint="eastAsia" w:ascii="黑体" w:hAnsi="黑体" w:eastAsia="黑体" w:cs="黑体"/>
          <w:bCs/>
          <w:color w:val="auto"/>
          <w:sz w:val="28"/>
          <w:szCs w:val="28"/>
          <w:highlight w:val="none"/>
        </w:rPr>
        <w:t xml:space="preserve">5.对投标文件的初审</w:t>
      </w:r>
      <w:bookmarkEnd w:id="90"/>
      <w:r/>
      <w:bookmarkEnd w:id="91"/>
      <w:r/>
      <w:bookmarkEnd w:id="92"/>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5.1投标文件初审分为资格审查和符合性审查。</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采购人在进行资格性审查的同时，评标委员会从“信用中国”网站查询投标单位的信用记录，以确定投标单位是否具备资格。</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接受联合体的项目，两个以上的自然人、法人或者其他组织组成一个联合体，以一个投标单位的身份共同参加政府采购活动的,联合体成员中任何一方存在不良信用记录的，视同联合体存在不良应用记录。</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5.1.3 未通过资格审查或符合性审查的投标人，采购人或采购代理机构告知未通过资格审查或符合性审查的原因，评审结束后，采购人或采购代理机构将不再告知未通过资格审查或符合性审查的原因。</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5.4评委会将对确定为实质性响应的投标进行进一步审核，看其是否有计算上或累加上的算术错误，修正错误的原则如下：</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（1）投标文件中开标一览表内容与投标文件中相应内容不一致的，以开标一览表为准。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（2）大写金额和小写金额不一致的，以大写金额为准。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（3）单价金额小数点或者百分比有明显错位的，以开标一览表的总价为准，并修改单价。</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（4）总价金额与按单价汇总金额不一致的，以单价金额计算结果为准。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同时出现两种以上错误的，按照前款规定的顺序修正。</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5.5评委会将按上述修正错误的方法调整投标文件中的投标报价，并告知投标人，调整后的价格应对投标人具有约束力。如果投标人不接受修正后的价格，则其投标将被拒绝。</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hint="eastAsia" w:ascii="黑体" w:hAnsi="黑体" w:eastAsia="黑体" w:cs="黑体"/>
          <w:bCs/>
          <w:color w:val="auto"/>
          <w:sz w:val="28"/>
          <w:szCs w:val="28"/>
          <w:highlight w:val="none"/>
        </w:rPr>
      </w:pPr>
      <w:r/>
      <w:bookmarkStart w:id="93" w:name="_Toc513029234"/>
      <w:r/>
      <w:bookmarkStart w:id="94" w:name="_Toc16938550"/>
      <w:r/>
      <w:bookmarkStart w:id="95" w:name="_Toc20823306"/>
      <w:r>
        <w:rPr>
          <w:rFonts w:hint="eastAsia" w:ascii="黑体" w:hAnsi="黑体" w:eastAsia="黑体" w:cs="黑体"/>
          <w:bCs/>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5.8 投标人在开、评标全过程中应保持通讯畅通，并安排专人与采购人或采购代理机构及评标委员会联系。</w:t>
      </w:r>
      <w:bookmarkEnd w:id="93"/>
      <w:r/>
      <w:bookmarkEnd w:id="94"/>
      <w:r/>
      <w:bookmarkEnd w:id="95"/>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6.无效投标条款和废标条款</w:t>
      </w:r>
      <w:r/>
    </w:p>
    <w:p>
      <w:pPr>
        <w:ind w:firstLine="560"/>
        <w:spacing w:line="360" w:lineRule="auto"/>
        <w:rPr>
          <w:rFonts w:hint="eastAsia" w:ascii="黑体" w:hAnsi="黑体" w:eastAsia="黑体" w:cs="黑体"/>
          <w:bCs/>
          <w:color w:val="auto"/>
          <w:sz w:val="28"/>
          <w:szCs w:val="28"/>
          <w:highlight w:val="none"/>
        </w:rPr>
      </w:pPr>
      <w:r/>
      <w:bookmarkStart w:id="96" w:name="_Toc513029235"/>
      <w:r/>
      <w:bookmarkStart w:id="97" w:name="_Toc20823307"/>
      <w:r/>
      <w:bookmarkStart w:id="98" w:name="_Toc16938551"/>
      <w:r>
        <w:rPr>
          <w:rFonts w:hint="eastAsia" w:ascii="黑体" w:hAnsi="黑体" w:eastAsia="黑体" w:cs="黑体"/>
          <w:bCs/>
          <w:color w:val="auto"/>
          <w:sz w:val="28"/>
          <w:szCs w:val="28"/>
          <w:highlight w:val="none"/>
        </w:rPr>
        <w:t xml:space="preserve">6.1无效投标条款</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 投标人在规定的时间内未成功解密电子投标文件的。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6.1.2 投标人未按照招标文件要求上传电子投标文件的。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6.1.3同一投标人提交两个（含两个）以上不同的投标报价的。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6.1.4投标人不具备招标文件中规定资格要求的。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6.1.5投标人的报价超过了采购预算或最高限价的。</w:t>
      </w:r>
      <w:r/>
    </w:p>
    <w:p>
      <w:pPr>
        <w:ind w:firstLine="560"/>
        <w:spacing w:line="360" w:lineRule="auto"/>
        <w:rPr>
          <w:rFonts w:hint="eastAsia" w:ascii="黑体" w:hAnsi="黑体" w:eastAsia="黑体" w:cs="黑体"/>
          <w:bCs/>
          <w:i/>
          <w:color w:val="auto"/>
          <w:sz w:val="28"/>
          <w:szCs w:val="28"/>
          <w:highlight w:val="none"/>
          <w:u w:val="single"/>
        </w:rPr>
      </w:pPr>
      <w:r>
        <w:rPr>
          <w:rFonts w:hint="eastAsia" w:ascii="黑体" w:hAnsi="黑体" w:eastAsia="黑体" w:cs="黑体"/>
          <w:bCs/>
          <w:color w:val="auto"/>
          <w:sz w:val="28"/>
          <w:szCs w:val="28"/>
          <w:highlight w:val="none"/>
        </w:rPr>
        <w:t xml:space="preserve">6.1.6未通过符合性检查的。</w:t>
      </w:r>
      <w:r/>
    </w:p>
    <w:p>
      <w:pPr>
        <w:ind w:firstLine="420"/>
        <w:spacing w:line="360" w:lineRule="auto"/>
        <w:rPr>
          <w:rFonts w:hint="eastAsia" w:ascii="黑体" w:hAnsi="黑体" w:eastAsia="黑体" w:cs="黑体"/>
          <w:bCs/>
          <w:i/>
          <w:color w:val="auto"/>
          <w:sz w:val="28"/>
          <w:szCs w:val="28"/>
          <w:highlight w:val="none"/>
          <w:u w:val="single"/>
        </w:rPr>
      </w:pPr>
      <w:r>
        <w:rPr>
          <w:rFonts w:hint="eastAsia" w:ascii="黑体" w:hAnsi="黑体" w:eastAsia="黑体" w:cs="黑体"/>
          <w:bCs/>
          <w:color w:val="auto"/>
          <w:sz w:val="28"/>
          <w:szCs w:val="28"/>
          <w:highlight w:val="none"/>
        </w:rPr>
        <w:t xml:space="preserve"> 6.1.7不符合招标文件中规定的其他实质性要求和条件的。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6.1.8 在“信用中国”网站（https://www.creditchina.gov.cn）查询，被列入</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"https://zxgk.court.gov.cn/shixin/"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"https://www.creditchina.gov.cn/zhuanxiangchaxun/zhongdashuishouweifaanjian/"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"https://www.creditchina.gov.cn/zhuanxiangchaxun/zhengfucaigouyanzhongweifashixinmingdan/"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"https://www.creditchina.gov.cn/xinxigongshi/shixinheimingdan/"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"https://www.creditchina.gov.cn/xinxigongshi/zhongdianguanzhushixinmingdan/"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及其他不符合《中华人民共和国政府采购法》第二十二条规定条件的信用记录。（投标文件中无需提供证明材料）。</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6.1.9 投标文件含有采购人不能接受的附加条件的。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6.1.10投标文件未按照招标文件要求加盖电子签章。</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6.1.11不同的投标人投标文件制作机器码、文件创建标识码一致的。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6.1.12</w:t>
      </w:r>
      <w:r>
        <w:rPr>
          <w:rFonts w:hint="eastAsia" w:ascii="黑体" w:hAnsi="黑体" w:eastAsia="黑体" w:cs="黑体"/>
          <w:bCs/>
          <w:color w:val="auto"/>
          <w:sz w:val="28"/>
          <w:szCs w:val="28"/>
          <w:highlight w:val="none"/>
          <w:lang w:val="en-US" w:eastAsia="zh-CN"/>
        </w:rPr>
        <w:t xml:space="preserve">投标文件商务技术标得分低于本采购文件商务技术标评分分值（85分）的50%时，视为未实质性响应采购文件要求，作为无效投标处理。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6.1.13其他法律、法规及本招标文件规定的属无效投标的情形。</w:t>
      </w:r>
      <w:r/>
    </w:p>
    <w:p>
      <w:pPr>
        <w:pStyle w:val="800"/>
        <w:ind w:firstLine="560"/>
        <w:spacing w:before="0" w:beforeAutospacing="0" w:after="0" w:afterAutospacing="0" w:line="360" w:lineRule="auto"/>
        <w:rPr>
          <w:rFonts w:hint="eastAsia" w:ascii="黑体" w:hAnsi="黑体" w:eastAsia="黑体" w:cs="黑体"/>
          <w:b/>
          <w:bCs/>
          <w:color w:val="auto"/>
          <w:sz w:val="28"/>
          <w:szCs w:val="28"/>
          <w:highlight w:val="none"/>
        </w:rPr>
      </w:pPr>
      <w:r>
        <w:rPr>
          <w:rFonts w:hint="eastAsia" w:ascii="黑体" w:hAnsi="黑体" w:eastAsia="黑体" w:cs="黑体"/>
          <w:bCs/>
          <w:color w:val="auto"/>
          <w:sz w:val="28"/>
          <w:szCs w:val="28"/>
          <w:highlight w:val="none"/>
        </w:rPr>
        <w:t xml:space="preserve">6.1.14</w:t>
      </w:r>
      <w:r>
        <w:rPr>
          <w:rFonts w:hint="eastAsia" w:ascii="黑体" w:hAnsi="黑体" w:eastAsia="黑体" w:cs="黑体"/>
          <w:b/>
          <w:bCs/>
          <w:color w:val="auto"/>
          <w:sz w:val="28"/>
          <w:szCs w:val="28"/>
          <w:highlight w:val="none"/>
        </w:rPr>
        <w:t xml:space="preserve">评标小组认为投标单位的报价出现（财库〔2026〕2号文）规定的异常低价情 形之一的，将通过“不见面交易系统 ”启动异常低价投标（响应）审查程序，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800"/>
        <w:ind w:firstLine="646"/>
        <w:jc w:val="both"/>
        <w:spacing w:before="0" w:beforeAutospacing="0" w:after="0" w:afterAutospacing="0" w:line="360" w:lineRule="auto"/>
        <w:rPr>
          <w:rFonts w:hint="eastAsia" w:ascii="黑体" w:hAnsi="黑体" w:eastAsia="黑体" w:cs="黑体"/>
          <w:color w:val="auto"/>
          <w:highlight w:val="none"/>
        </w:rPr>
      </w:pPr>
      <w:r>
        <w:rPr>
          <w:rFonts w:hint="eastAsia" w:ascii="黑体" w:hAnsi="黑体" w:eastAsia="黑体" w:cs="黑体"/>
          <w:b/>
          <w:bCs/>
          <w:color w:val="auto"/>
          <w:sz w:val="28"/>
          <w:szCs w:val="28"/>
          <w:highlight w:val="none"/>
        </w:rPr>
        <w:t xml:space="preserve">评标小组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标小组应当将其作为无效投标（响应）处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6.2废标条款：</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6.2.1符合专业条件的投标单位或者对招标文件作实质响应的投标单位不足三家的。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6.2.2出现影响采购公正的违法、违规行为的。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6.2.3因重大变故，采购任务取消的。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6.2.4评标委员会认定招标文件存在歧义、重大缺陷导致评审工作无法进行。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6.2.5 因系统故障原因造成开标不成功的。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6.3 投标截止时间结束后参加投标的投标单位不足三家的处理：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6.3.1如出现投标截止时间结束后参加投标的投标单位或者在评标期间对招标文件做出实质响应的投标单位不足三家情况，按政府采购相关规定执行。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7.投标文件线上格式要求</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7.1投标人应当通过“苏采云”系统提交数据电文形式的投标文件（即电子投标）。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7.2通过“苏采云”系统提交政府采购客户端工具导出加密的投标文件（后缀名为zip）。投标文件不得超过150M！</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7.3本项目采用线上投标，即投标人的投标文件从政府采购客户端工具制作通过“苏采云”系统提交，未提供线上投标文件的，投标无效。</w:t>
      </w:r>
      <w:bookmarkEnd w:id="96"/>
      <w:r/>
      <w:bookmarkEnd w:id="97"/>
      <w:r/>
      <w:bookmarkEnd w:id="98"/>
      <w:r/>
      <w:r/>
    </w:p>
    <w:p>
      <w:pPr>
        <w:pStyle w:val="970"/>
        <w:spacing w:before="0" w:after="0" w:line="360" w:lineRule="auto"/>
        <w:rPr>
          <w:rFonts w:hint="eastAsia" w:ascii="黑体" w:hAnsi="黑体" w:eastAsia="黑体" w:cs="黑体"/>
          <w:b w:val="0"/>
          <w:color w:val="auto"/>
          <w:sz w:val="28"/>
          <w:szCs w:val="28"/>
          <w:highlight w:val="none"/>
        </w:rPr>
      </w:pPr>
      <w:r/>
      <w:bookmarkStart w:id="99" w:name="_Toc120614219"/>
      <w:r>
        <w:rPr>
          <w:rFonts w:hint="eastAsia" w:ascii="黑体" w:hAnsi="黑体" w:eastAsia="黑体" w:cs="黑体"/>
          <w:b w:val="0"/>
          <w:color w:val="auto"/>
          <w:sz w:val="28"/>
          <w:szCs w:val="28"/>
          <w:highlight w:val="none"/>
        </w:rPr>
        <w:t xml:space="preserve">（六）定标</w:t>
      </w:r>
      <w:bookmarkEnd w:id="99"/>
      <w:r/>
      <w:r/>
    </w:p>
    <w:p>
      <w:pPr>
        <w:pStyle w:val="971"/>
        <w:ind w:firstLine="560"/>
        <w:jc w:val="both"/>
        <w:spacing w:line="360" w:lineRule="auto"/>
        <w:rPr>
          <w:rFonts w:hint="eastAsia" w:ascii="黑体" w:hAnsi="黑体" w:eastAsia="黑体" w:cs="黑体"/>
          <w:bCs/>
          <w:color w:val="auto"/>
          <w:sz w:val="28"/>
          <w:szCs w:val="28"/>
          <w:highlight w:val="none"/>
          <w:lang w:eastAsia="zh-CN"/>
        </w:rPr>
      </w:pPr>
      <w:r/>
      <w:bookmarkStart w:id="100" w:name="_Toc16938554"/>
      <w:r/>
      <w:bookmarkStart w:id="101" w:name="_Toc20823310"/>
      <w:r>
        <w:rPr>
          <w:rFonts w:hint="eastAsia" w:ascii="黑体" w:hAnsi="黑体" w:eastAsia="黑体" w:cs="黑体"/>
          <w:bCs/>
          <w:color w:val="auto"/>
          <w:sz w:val="28"/>
          <w:szCs w:val="28"/>
          <w:highlight w:val="none"/>
        </w:rPr>
        <w:t xml:space="preserve">1.确定</w:t>
      </w:r>
      <w:bookmarkEnd w:id="100"/>
      <w:r/>
      <w:bookmarkEnd w:id="101"/>
      <w:r>
        <w:rPr>
          <w:rFonts w:hint="eastAsia" w:ascii="黑体" w:hAnsi="黑体" w:eastAsia="黑体" w:cs="黑体"/>
          <w:bCs/>
          <w:color w:val="auto"/>
          <w:sz w:val="28"/>
          <w:szCs w:val="28"/>
          <w:highlight w:val="none"/>
          <w:lang w:eastAsia="zh-CN"/>
        </w:rPr>
        <w:t xml:space="preserve">成交投标单位</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1.1中标候选人的选取原则和数量见招标文件第四部分规定。 </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1.2采购人应根据评标委员会推荐的中标候选投标单位确定</w:t>
      </w:r>
      <w:r>
        <w:rPr>
          <w:rFonts w:hint="eastAsia" w:ascii="黑体" w:hAnsi="黑体" w:eastAsia="黑体" w:cs="黑体"/>
          <w:bCs/>
          <w:color w:val="auto"/>
          <w:sz w:val="28"/>
          <w:szCs w:val="28"/>
          <w:highlight w:val="none"/>
          <w:lang w:eastAsia="zh-CN"/>
        </w:rPr>
        <w:t xml:space="preserve">成交投标单位</w:t>
      </w:r>
      <w:r>
        <w:rPr>
          <w:rFonts w:hint="eastAsia" w:ascii="黑体" w:hAnsi="黑体" w:eastAsia="黑体" w:cs="黑体"/>
          <w:bCs/>
          <w:color w:val="auto"/>
          <w:sz w:val="28"/>
          <w:szCs w:val="28"/>
          <w:highlight w:val="none"/>
        </w:rPr>
        <w:t xml:space="preserve">。</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 采购人或采购代理机构将在“江苏政府采购网”发布中标公告，公告期限为1个工作日。</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1.4若有充分证据证明，中标人出现下列情况之一的，一经查实，将被取消中标资格：</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1.4.1提供虚假材料谋取中标的。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1.4.2向采购人或采购代理机构行贿或者评审专家提供其他不正当利益的。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1.4.3恶意竞争，投标总报价明显低于其自身合理成本且又无法提供证明的。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1.4.4属于本文件规定的无效条件，但在评标过程中又未被评委会发现的。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1.4.5与采购人或者其他投标单位恶意串通的。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1.4.6采取不正当手段诋毁、排挤其他投标单位的。</w:t>
      </w:r>
      <w:r/>
    </w:p>
    <w:p>
      <w:pPr>
        <w:ind w:firstLine="560"/>
        <w:spacing w:line="360" w:lineRule="auto"/>
        <w:rPr>
          <w:rFonts w:hint="eastAsia" w:ascii="黑体" w:hAnsi="黑体" w:eastAsia="黑体" w:cs="黑体"/>
          <w:bCs/>
          <w:color w:val="auto"/>
          <w:sz w:val="28"/>
          <w:szCs w:val="28"/>
          <w:highlight w:val="none"/>
        </w:rPr>
      </w:pPr>
      <w:r/>
      <w:bookmarkStart w:id="102" w:name="_Toc200451960"/>
      <w:r>
        <w:rPr>
          <w:rFonts w:hint="eastAsia" w:ascii="黑体" w:hAnsi="黑体" w:eastAsia="黑体" w:cs="黑体"/>
          <w:bCs/>
          <w:color w:val="auto"/>
          <w:sz w:val="28"/>
          <w:szCs w:val="28"/>
          <w:highlight w:val="none"/>
        </w:rPr>
        <w:t xml:space="preserve">1.5有下列情形之一的，视为投标人串通投标，投标无效：</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1.5.1不同投标人的投标文件由同一单位或者个人编制；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1.5.2不同投标人委托同一单位或者个人办理投标事宜；</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1.5.3不同投标人的投标文件载明的项目管理成员或者联系人员为同一人；</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1.5.4不同投标人的投标文件异常一致或者投标报价呈规律性差异；</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1.5.5不同投标人的投标文件相互混装；</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2.质疑处理</w:t>
      </w:r>
      <w:bookmarkEnd w:id="102"/>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提出质疑的投标单位应当是参与所质疑项目采购活动的投标单位。潜在投标单位依法获取其可质疑的采购文件的，可以对采购文件提出质疑。</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投标单位认为采购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黑体" w:hAnsi="黑体" w:eastAsia="黑体" w:cs="黑体"/>
          <w:color w:val="auto"/>
          <w:sz w:val="28"/>
          <w:szCs w:val="28"/>
          <w:highlight w:val="none"/>
        </w:rPr>
        <w:t xml:space="preserve">（</w:t>
      </w:r>
      <w:r>
        <w:rPr>
          <w:rFonts w:hint="eastAsia" w:ascii="黑体" w:hAnsi="黑体" w:eastAsia="黑体" w:cs="黑体"/>
          <w:b/>
          <w:bCs/>
          <w:color w:val="auto"/>
          <w:sz w:val="28"/>
          <w:szCs w:val="28"/>
          <w:highlight w:val="none"/>
          <w:u w:val="single"/>
        </w:rPr>
        <w:t xml:space="preserve">本项目招标公告期限届满后获取招标文件的，以公告期限届满之日为准）</w:t>
      </w:r>
      <w:r/>
    </w:p>
    <w:p>
      <w:pPr>
        <w:ind w:firstLine="560"/>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2.2.1对可以质疑的采购文件提出质疑的，为收到采购文件之日或者采购文件公告期限届满之日；</w:t>
      </w:r>
      <w:r/>
    </w:p>
    <w:p>
      <w:pPr>
        <w:ind w:firstLine="560"/>
        <w:jc w:val="left"/>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注明：本项目5个工作日后仍可下载招标文件，但不作为投标投标单位权益受到损害的证明材料和依据。</w:t>
      </w:r>
      <w:r/>
    </w:p>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2.2.2对采购过程提出质疑的，为各采购程序环节结束之日；</w:t>
      </w:r>
      <w:r/>
    </w:p>
    <w:p>
      <w:pPr>
        <w:ind w:firstLine="560"/>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2.2.3对中标或者成交结果提出质疑的，为中标或者成交结果公告期限届满之日。</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投标单位应当在法定质疑期内一次性提出针对同一采购程序环节的质疑。</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质疑函必须按照本招标文件中《质疑函范本》要求的格式和内容进行填写。投标单位如组成联合体参加投标，则《质疑函范本》中要求签字、盖章、加盖公章之处，联合体各方均须按要求签字、盖章、加盖公章。</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2.4质疑答复依据《政府采购质疑和投诉办法》（财政部令第94号）。</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采购人质疑接收人及联系方式，见招标文件第一部分。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2.5以下情形的质疑不予受理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2.5.1内容不符合《政府采购质疑和投诉办法》第十二条规定的质疑。</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2.5.2超出政府采购法定期限的质疑。</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2.5.3未参加投标活动的投标单位或在投标活动中自身权益未受到损害的投标单位所提出的质疑。</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2.5.4投标单位组成联合体参加投标，联合体中任何一方或多方未按要求签字、盖章、加盖公章的质疑。</w:t>
      </w:r>
      <w:r/>
    </w:p>
    <w:p>
      <w:pPr>
        <w:ind w:firstLine="54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2.6投标单位提出书面质疑必须有理、有据，不得捏造事实、提供虚假材料进行恶意质疑。否则，一经查实，采购人或采购代理机构有权依据政府采购的有关规定，报请政府采购监管部门对该投标单位进行相应的行政处罚和记录该投标单位的失信信息。</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3.中标通知书</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3.l 中标结果确定后，采购人或采购代理机构将向中标投标单位发出中标通知书。</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3.2中标通知书将是合同的一个组成部分。对采购人和中标投标单位均具有法律效力。中标通知书发出后，采购人改变中标结果的，或者中标投标单位放弃中标项目的，应当依法承担法律责任。</w:t>
      </w:r>
      <w:r/>
    </w:p>
    <w:p>
      <w:pPr>
        <w:pStyle w:val="970"/>
        <w:spacing w:before="0" w:after="0" w:line="360" w:lineRule="auto"/>
        <w:rPr>
          <w:rFonts w:hint="eastAsia" w:ascii="黑体" w:hAnsi="黑体" w:eastAsia="黑体" w:cs="黑体"/>
          <w:b w:val="0"/>
          <w:color w:val="auto"/>
          <w:sz w:val="28"/>
          <w:szCs w:val="28"/>
          <w:highlight w:val="none"/>
        </w:rPr>
      </w:pPr>
      <w:r/>
      <w:bookmarkStart w:id="103" w:name="_Toc513029236"/>
      <w:r/>
      <w:bookmarkStart w:id="104" w:name="_Toc120614220"/>
      <w:r/>
      <w:bookmarkStart w:id="105" w:name="_Toc16938552"/>
      <w:r/>
      <w:bookmarkStart w:id="106" w:name="_Toc20823308"/>
      <w:r>
        <w:rPr>
          <w:rFonts w:hint="eastAsia" w:ascii="黑体" w:hAnsi="黑体" w:eastAsia="黑体" w:cs="黑体"/>
          <w:b w:val="0"/>
          <w:color w:val="auto"/>
          <w:sz w:val="28"/>
          <w:szCs w:val="28"/>
          <w:highlight w:val="none"/>
        </w:rPr>
        <w:t xml:space="preserve">（七）授予合同</w:t>
      </w:r>
      <w:bookmarkEnd w:id="103"/>
      <w:r/>
      <w:bookmarkEnd w:id="104"/>
      <w:r/>
      <w:bookmarkEnd w:id="105"/>
      <w:r/>
      <w:bookmarkEnd w:id="106"/>
      <w:r/>
      <w:r/>
    </w:p>
    <w:p>
      <w:pPr>
        <w:pStyle w:val="971"/>
        <w:ind w:firstLine="560"/>
        <w:jc w:val="both"/>
        <w:spacing w:line="360" w:lineRule="auto"/>
        <w:rPr>
          <w:rFonts w:hint="eastAsia" w:ascii="黑体" w:hAnsi="黑体" w:eastAsia="黑体" w:cs="黑体"/>
          <w:bCs/>
          <w:color w:val="auto"/>
          <w:sz w:val="28"/>
          <w:szCs w:val="28"/>
          <w:highlight w:val="none"/>
        </w:rPr>
      </w:pPr>
      <w:r/>
      <w:bookmarkStart w:id="107" w:name="_Toc20823309"/>
      <w:r/>
      <w:bookmarkStart w:id="108" w:name="_Toc16938553"/>
      <w:r/>
      <w:bookmarkStart w:id="109" w:name="_Toc513029237"/>
      <w:r>
        <w:rPr>
          <w:rFonts w:hint="eastAsia" w:ascii="黑体" w:hAnsi="黑体" w:eastAsia="黑体" w:cs="黑体"/>
          <w:bCs/>
          <w:color w:val="auto"/>
          <w:sz w:val="28"/>
          <w:szCs w:val="28"/>
          <w:highlight w:val="none"/>
        </w:rPr>
        <w:t xml:space="preserve">1.签订合同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1.l中标人应当在中标通知书发出之日起三十日内，按照招标文件确定的事项与采购人签订政府采购合同。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1.2招标文件、中标人的投标文件及招标过程中有关澄清、承诺文件均应作为合同附件。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w:t>
      </w:r>
      <w:r>
        <w:rPr>
          <w:rFonts w:hint="eastAsia" w:ascii="黑体" w:hAnsi="黑体" w:eastAsia="黑体" w:cs="黑体"/>
          <w:bCs/>
          <w:color w:val="auto"/>
          <w:sz w:val="28"/>
          <w:szCs w:val="28"/>
          <w:highlight w:val="none"/>
          <w:lang w:eastAsia="zh-CN"/>
        </w:rPr>
        <w:t xml:space="preserve">成交投标单位</w:t>
      </w:r>
      <w:r>
        <w:rPr>
          <w:rFonts w:hint="eastAsia" w:ascii="黑体" w:hAnsi="黑体" w:eastAsia="黑体" w:cs="黑体"/>
          <w:bCs/>
          <w:color w:val="auto"/>
          <w:sz w:val="28"/>
          <w:szCs w:val="28"/>
          <w:highlight w:val="none"/>
        </w:rPr>
        <w:t xml:space="preserve">就采购项目和分包项目向采购人负责，分包投标单位就分包项目承担责任。转包或分包造成采购人损失的，中标人应承担相应赔偿责任。</w:t>
      </w:r>
      <w:r/>
    </w:p>
    <w:p>
      <w:pPr>
        <w:pStyle w:val="971"/>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2.货物和服务的追加、减少和添购。</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7"/>
      <w:r/>
      <w:bookmarkEnd w:id="108"/>
      <w:r/>
      <w:bookmarkEnd w:id="109"/>
      <w:r/>
      <w:r/>
    </w:p>
    <w:p>
      <w:pPr>
        <w:pStyle w:val="971"/>
        <w:ind w:firstLine="562"/>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3.政府采购履约保证资金、合同信用融资扶持政策</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3.1中标投标单位如需获得履约保证金支持，可在江苏政府采购网直接线上办理线上履约保证保险申请，详情请见江苏政府采购网首页 “易企服”综合服务平台-金融产品全周期-履约保证保险专栏。</w:t>
      </w:r>
      <w:r/>
    </w:p>
    <w:p>
      <w:pPr>
        <w:pStyle w:val="971"/>
        <w:ind w:firstLine="551"/>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3.2根据《</w:t>
      </w:r>
      <w:r>
        <w:rPr>
          <w:rFonts w:hint="eastAsia" w:ascii="黑体" w:hAnsi="黑体" w:eastAsia="黑体" w:cs="黑体"/>
          <w:bCs/>
          <w:color w:val="auto"/>
          <w:sz w:val="28"/>
          <w:szCs w:val="28"/>
          <w:highlight w:val="none"/>
        </w:rPr>
        <w:t xml:space="preserve">关于转发江苏省财政厅、中国人民银行南京分行&lt;关于深入推进政府采购线上合同信用融资工作的通知&gt;的通知》（通财购〔2021〕41号），对政府采购中标投标单位提出“政采贷”融资申请的，采购人应当依法按时在“苏采云”系统中录入并公开政府采购合同信息，勾选“融资贷款”选项，并在合同签订、验收付款、账号维护等环节提供必要便利，持续降低参与政府采购的中小企业融资成本。中标投标单位如需获得合同信用融资支持，可凭政府采购合同办理“政采贷”融资贷款，详情请见江苏政府采购网 “易企服”综合服务平台-金融产品全周期-贷款产品专栏。</w:t>
      </w:r>
      <w:r/>
    </w:p>
    <w:p>
      <w:pPr>
        <w:ind w:firstLine="42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根据《关于深入开展南通市政府采购线上合同信用融资业务的通知》（通财购〔2022〕68号），中标（成交）投标单位可通过中征应收账款融资服务平台（简称“中征平台”）办理“政采贷”融资贷款，具体业务操作流程如下： </w:t>
      </w:r>
      <w:r/>
    </w:p>
    <w:p>
      <w:pPr>
        <w:ind w:firstLine="42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3.3.1确定融资意向。中标(成交) 投标单位取得中标 (成交 ) 通知书后，联系意向金融机构，商治融资事项，确定融资意向。</w:t>
      </w:r>
      <w:r/>
    </w:p>
    <w:p>
      <w:pPr>
        <w:ind w:firstLine="42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3.3.2签订采购合同。中标(成交 ) 投标单位与采购人签订政府采购合同时，应将自身融资需求告知采购人或其委托的采购代理机构，提醒 (或协助 ) 其当天在“苏采云”上传合同的同时将“投标单位是否融资”选为“是”</w:t>
      </w:r>
      <w:r/>
    </w:p>
    <w:p>
      <w:pPr>
        <w:ind w:firstLine="42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3.3.3提交融资申请。中标(成交) 投标单位登录“中征平台”进行用户注册，查看“政采贷”融资产品，向确定合作的金融机构提交融资申请。</w:t>
      </w:r>
      <w:r/>
    </w:p>
    <w:p>
      <w:pPr>
        <w:ind w:firstLine="42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3.3.4确认回款账户。金融机构填写需要锁定的回款账户信息后中标(成交)投标单位应登录“中征平台”确认账户信息，以实现回款账户的锁定。</w:t>
      </w:r>
      <w:r/>
    </w:p>
    <w:p>
      <w:pPr>
        <w:jc w:val="center"/>
        <w:spacing w:line="360" w:lineRule="auto"/>
        <w:rPr>
          <w:rFonts w:hint="eastAsia" w:ascii="黑体" w:hAnsi="黑体" w:eastAsia="黑体" w:cs="黑体"/>
          <w:color w:val="auto"/>
          <w:highlight w:val="none"/>
        </w:rPr>
        <w:outlineLvl w:val="0"/>
      </w:pPr>
      <w:r>
        <w:rPr>
          <w:rFonts w:hint="eastAsia" w:ascii="黑体" w:hAnsi="黑体" w:eastAsia="黑体" w:cs="黑体"/>
          <w:bCs/>
          <w:color w:val="auto"/>
          <w:sz w:val="28"/>
          <w:szCs w:val="28"/>
          <w:highlight w:val="none"/>
        </w:rPr>
        <w:br w:type="page" w:clear="all"/>
      </w:r>
      <w:r>
        <w:rPr>
          <w:rFonts w:hint="eastAsia" w:ascii="黑体" w:hAnsi="黑体" w:eastAsia="黑体" w:cs="黑体"/>
          <w:b/>
          <w:color w:val="auto"/>
          <w:sz w:val="36"/>
          <w:szCs w:val="36"/>
          <w:highlight w:val="none"/>
        </w:rPr>
        <w:t xml:space="preserve">第三部分 项目需求</w:t>
      </w:r>
      <w:r/>
    </w:p>
    <w:p>
      <w:pPr>
        <w:ind w:firstLine="562"/>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bookmarkEnd w:id="0"/>
      <w:bookmarkEnd w:id="1"/>
      <w:bookmarkEnd w:id="2"/>
      <w:r/>
    </w:p>
    <w:p>
      <w:pPr>
        <w:ind w:firstLine="482"/>
        <w:spacing w:line="440" w:lineRule="exact"/>
        <w:rPr>
          <w:rFonts w:hint="eastAsia" w:ascii="黑体" w:hAnsi="黑体" w:eastAsia="黑体" w:cs="黑体"/>
          <w:b/>
          <w:bCs/>
          <w:color w:val="auto"/>
          <w:sz w:val="24"/>
          <w:szCs w:val="24"/>
          <w:highlight w:val="none"/>
        </w:rPr>
      </w:pPr>
      <w:r/>
      <w:bookmarkStart w:id="110" w:name="_Toc464808596"/>
      <w:r>
        <w:rPr>
          <w:rFonts w:hint="eastAsia" w:ascii="黑体" w:hAnsi="黑体" w:eastAsia="黑体" w:cs="黑体"/>
          <w:b/>
          <w:bCs/>
          <w:color w:val="auto"/>
          <w:sz w:val="24"/>
          <w:szCs w:val="24"/>
          <w:highlight w:val="none"/>
        </w:rPr>
        <w:t xml:space="preserve">一、</w:t>
      </w:r>
      <w:bookmarkEnd w:id="110"/>
      <w:r>
        <w:rPr>
          <w:rFonts w:hint="eastAsia" w:ascii="黑体" w:hAnsi="黑体" w:eastAsia="黑体" w:cs="黑体"/>
          <w:b/>
          <w:bCs/>
          <w:color w:val="auto"/>
          <w:sz w:val="28"/>
          <w:szCs w:val="28"/>
          <w:highlight w:val="none"/>
        </w:rPr>
        <w:t xml:space="preserve">采购标的需实现的功能或者目标，以及为落实政府采购政策需满足的要求</w:t>
      </w:r>
      <w:r>
        <w:rPr>
          <w:rFonts w:hint="eastAsia" w:ascii="黑体" w:hAnsi="黑体" w:eastAsia="黑体" w:cs="黑体"/>
          <w:b/>
          <w:bCs/>
          <w:color w:val="auto"/>
          <w:sz w:val="24"/>
          <w:szCs w:val="24"/>
          <w:highlight w:val="none"/>
        </w:rPr>
        <w:t xml:space="preserve"> </w:t>
      </w:r>
      <w:r/>
    </w:p>
    <w:p>
      <w:pPr>
        <w:ind w:firstLine="49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开发区“童声里的中国”少儿视听工坊布展实施地点位于公共文化中心一楼、二楼南侧，以及开发区智慧之眼大楼增设两个场景拍摄地（以采购人指定地点为准）；同时根据市委宣传部的规划部署与系统要求，通过深度的展陈内容策划、空间艺术化设计、视听场景营造及多媒体交互集成，打造集少儿美育、未成年人思想道德建设、视听艺术实践、红色文化传播为一体的常设少儿视听美育主题展陈空间， 并能一体化全链条展现开发区少儿视听工坊的综合成果。</w:t>
      </w:r>
      <w:r/>
    </w:p>
    <w:p>
      <w:pPr>
        <w:ind w:firstLine="562"/>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二、采购标的需执行的国家相关标准、行业标准、地方标准或者其他标准、规范</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本项目策划、设计、选材、制作、声学场景施工、安装、调试、验收全过程，严格执行国家、行业现行有效最新标准规范，新标准发布自动执行新版本，主要包含：</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1.消防安全强制标准</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《建筑内部装修设计防火规范》（GB 50222）、《建筑设计防火规范》（GB 50016），全部展陈材料、声学构件、展具装饰构件满足公共场所阻燃防火、疏散安全；不改动原有消防通道、消防系统。</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2.室内环保强制标准</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《民用建筑工程室内环境污染控制标准》（GB 50325）；完工后甲醛、苯、TVOC 等指标达标，适配少儿公共开放空间；落实财库〔2022〕35号文，优先选用绿色建材、环保阻燃材料。</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3.展陈照明专业标准</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《博物馆照明设计规范》（GB/T 23863），展厅、展示区灯光照度、色温、显色性、防眩光符合展陈要求；录音坊、剧场兼顾功能照明与展陈氛围照明设计。</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4.装饰施工验收标准</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《建筑装饰装修工程质量验收标准》（GB 50210），本项目配套辅助装修、声学附属施工遵照本标准验收。</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5.无障碍设计标准</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《无障碍设计规范》（GB 50763），四大功能区参观流线、标识、通道满足无障碍通行要求，适配少年儿童使用。</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6.视听健康</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《信息化教学环境视听技术规范》（T/CAET 001-2022）</w:t>
      </w:r>
      <w:r/>
    </w:p>
    <w:p>
      <w:pPr>
        <w:ind w:firstLine="560"/>
        <w:spacing w:line="440" w:lineRule="exact"/>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本项目均须遵循国家相关法律法规、江苏省地方及相关行业的规范标准、采购文件的技术规范的有关要求执行，如果在合同履行过程中有新的国家或行业（部）规范和标准出台的，则</w:t>
      </w:r>
      <w:r>
        <w:rPr>
          <w:rFonts w:hint="eastAsia" w:ascii="黑体" w:hAnsi="黑体" w:eastAsia="黑体" w:cs="黑体"/>
          <w:color w:val="auto"/>
          <w:sz w:val="28"/>
          <w:szCs w:val="28"/>
          <w:highlight w:val="none"/>
          <w:shd w:val="clear" w:color="auto" w:fill="ffffff"/>
          <w:lang w:eastAsia="zh-CN"/>
        </w:rPr>
        <w:t xml:space="preserve">投标单位</w:t>
      </w:r>
      <w:r>
        <w:rPr>
          <w:rFonts w:hint="eastAsia" w:ascii="黑体" w:hAnsi="黑体" w:eastAsia="黑体" w:cs="黑体"/>
          <w:color w:val="auto"/>
          <w:sz w:val="28"/>
          <w:szCs w:val="28"/>
          <w:highlight w:val="none"/>
          <w:shd w:val="clear" w:color="auto" w:fill="ffffff"/>
        </w:rPr>
        <w:t xml:space="preserve">应确保其合同标的物达到并符合新的国家或行业（部）规范和标准，因此而增加的费用及风险由</w:t>
      </w:r>
      <w:r>
        <w:rPr>
          <w:rFonts w:hint="eastAsia" w:ascii="黑体" w:hAnsi="黑体" w:eastAsia="黑体" w:cs="黑体"/>
          <w:color w:val="auto"/>
          <w:sz w:val="28"/>
          <w:szCs w:val="28"/>
          <w:highlight w:val="none"/>
          <w:shd w:val="clear" w:color="auto" w:fill="ffffff"/>
          <w:lang w:eastAsia="zh-CN"/>
        </w:rPr>
        <w:t xml:space="preserve">投标单位</w:t>
      </w:r>
      <w:r>
        <w:rPr>
          <w:rFonts w:hint="eastAsia" w:ascii="黑体" w:hAnsi="黑体" w:eastAsia="黑体" w:cs="黑体"/>
          <w:color w:val="auto"/>
          <w:sz w:val="28"/>
          <w:szCs w:val="28"/>
          <w:highlight w:val="none"/>
          <w:shd w:val="clear" w:color="auto" w:fill="ffffff"/>
        </w:rPr>
        <w:t xml:space="preserve">自行承担。</w:t>
      </w:r>
      <w:r/>
    </w:p>
    <w:p>
      <w:pPr>
        <w:numPr>
          <w:ilvl w:val="0"/>
          <w:numId w:val="2"/>
        </w:numPr>
        <w:ind w:firstLine="562"/>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本项目需满足的质量、安全、技术规格、物理特性等要求</w:t>
      </w:r>
      <w:r/>
    </w:p>
    <w:p>
      <w:pPr>
        <w:ind w:firstLine="560"/>
        <w:spacing w:line="440" w:lineRule="exact"/>
        <w:rPr>
          <w:rFonts w:hint="eastAsia" w:ascii="黑体" w:hAnsi="黑体" w:eastAsia="黑体" w:cs="黑体"/>
          <w:color w:val="auto"/>
          <w:sz w:val="28"/>
          <w:szCs w:val="28"/>
          <w:highlight w:val="none"/>
        </w:rPr>
      </w:pPr>
      <w:r/>
      <w:bookmarkStart w:id="111" w:name="_Toc5785"/>
      <w:r>
        <w:rPr>
          <w:rFonts w:hint="eastAsia" w:ascii="黑体" w:hAnsi="黑体" w:eastAsia="黑体" w:cs="黑体"/>
          <w:color w:val="auto"/>
          <w:sz w:val="28"/>
          <w:szCs w:val="28"/>
          <w:highlight w:val="none"/>
        </w:rPr>
        <w:t xml:space="preserve">1、安全性</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少儿视听工坊宜加强布展实施全过程达到安全、设备设施安全、操作安全、消防安全、应急处置以及安全告知，并确保参加的人员能够安全地参与各项活动和学习安全知识。 </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2、科学性</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少儿视听工坊宜保持展陈和体验内容的高度专业、权威，并持续更新、与时俱进，确保所传递的安全知识和技能准确、可靠、有效。 </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3、体验性</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少儿视听工坊设计宜注重少儿参与人员的亲身参与实践和效果反馈，通过各大区域功能不同情境、趣味互动等方式，让参加的少儿更深入提升美育、未成年人思想道德方面的综合素质。</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4、展项</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1）少儿视听工坊的展教装备的材料、制作、施工应符合国家环保、安全、防火及节能要求。 </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2）少儿视听工坊的展教场景宜高度仿真，通过实景建造配合多媒体交互、沉浸式体验等先进技术，突出实景实感、实物实体、实操性。 </w:t>
      </w:r>
      <w:r/>
    </w:p>
    <w:p>
      <w:pPr>
        <w:ind w:firstLine="49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3）少儿视听工坊的设计，核心在于打造一个能激发孩子探索欲、创作欲，同时严格保障其身心安全与健康的专业空间。它需要同时满足“合规的安全底线”和“儿童友好的发展性要求”。</w:t>
      </w:r>
      <w:bookmarkEnd w:id="111"/>
      <w:r/>
    </w:p>
    <w:p>
      <w:pPr>
        <w:ind w:firstLine="492"/>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四、采购标的的数量、采购项目交付或者实施的时间和地点、采购标的需满足的技术标准、规格、参数等要求</w:t>
      </w:r>
      <w:r/>
    </w:p>
    <w:p>
      <w:pPr>
        <w:pStyle w:val="764"/>
        <w:spacing w:line="360" w:lineRule="auto"/>
        <w:rPr>
          <w:rFonts w:hint="eastAsia" w:ascii="黑体" w:hAnsi="黑体" w:eastAsia="黑体" w:cs="黑体"/>
          <w:color w:val="auto"/>
          <w:sz w:val="28"/>
          <w:szCs w:val="28"/>
          <w:highlight w:val="none"/>
        </w:rPr>
      </w:pPr>
      <w:r/>
      <w:bookmarkStart w:id="112" w:name="EB424572ee4dc14ad987ceaae00ebeca21"/>
      <w:r/>
      <w:bookmarkEnd w:id="112"/>
      <w:r>
        <w:rPr>
          <w:rFonts w:hint="eastAsia" w:ascii="黑体" w:hAnsi="黑体" w:eastAsia="黑体" w:cs="黑体"/>
          <w:color w:val="auto"/>
          <w:sz w:val="28"/>
          <w:szCs w:val="28"/>
          <w:highlight w:val="none"/>
        </w:rPr>
        <w:t xml:space="preserve">（一）项目概述</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以“</w:t>
      </w:r>
      <w:bookmarkStart w:id="113" w:name="OLE_LINK9"/>
      <w:r>
        <w:rPr>
          <w:rFonts w:hint="eastAsia" w:ascii="黑体" w:hAnsi="黑体" w:eastAsia="黑体" w:cs="黑体"/>
          <w:color w:val="auto"/>
          <w:sz w:val="28"/>
          <w:szCs w:val="28"/>
          <w:highlight w:val="none"/>
        </w:rPr>
        <w:t xml:space="preserve">童声里的中国</w:t>
      </w:r>
      <w:bookmarkEnd w:id="113"/>
      <w:r>
        <w:rPr>
          <w:rFonts w:hint="eastAsia" w:ascii="黑体" w:hAnsi="黑体" w:eastAsia="黑体" w:cs="黑体"/>
          <w:color w:val="auto"/>
          <w:sz w:val="28"/>
          <w:szCs w:val="28"/>
          <w:highlight w:val="none"/>
        </w:rPr>
        <w:t xml:space="preserve">”少儿红色美育、少儿视听文化传播、未成年人思想道德教育为核心目标，围绕品牌主题叙事，完成展览大纲深化、展陈艺术设计、场景与功能空间深化、展陈道具与文创展示制作。重点针对录音坊、文创坊进行专项展陈场景打造，结合现有的影视坊和小剧场，打造集“舞台演绎——音频录制——影像拍摄——内容审核——成果展示”于一体的少儿视听艺术实践常设主题展陈空间。</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以下为参考平面图，</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可自行查勘现场，以现场实情为准，此图仅为参考，具体以成交</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中标后经采购人核准后的设计图纸为准。功能布局要求：二楼为童声录音坊展陈区；一楼为童声文创坊展陈区。</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中标后设计的图纸经采购人确认后方可进行实施，本项目参加的</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投标时设计理念，采购人有参考及借鉴的权利。</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mc:AlternateContent>
          <mc:Choice Requires="wpg">
            <w:drawing>
              <wp:inline xmlns:wp="http://schemas.openxmlformats.org/drawingml/2006/wordprocessingDrawing" distT="0" distB="0" distL="0" distR="0">
                <wp:extent cx="5274310" cy="3705225"/>
                <wp:effectExtent l="0" t="0" r="2540" b="952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9"/>
                        <a:stretch/>
                      </pic:blipFill>
                      <pic:spPr bwMode="auto">
                        <a:xfrm>
                          <a:off x="0" y="0"/>
                          <a:ext cx="5274310" cy="3705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3pt;height:291.8pt;mso-wrap-distance-left:0.0pt;mso-wrap-distance-top:0.0pt;mso-wrap-distance-right:0.0pt;mso-wrap-distance-bottom:0.0pt;" stroked="false">
                <v:path textboxrect="0,0,0,0"/>
                <v:imagedata r:id="rId19" o:title=""/>
              </v:shape>
            </w:pict>
          </mc:Fallback>
        </mc:AlternateContent>
      </w:r>
      <w:r>
        <w:rPr>
          <w:rFonts w:hint="eastAsia" w:ascii="黑体" w:hAnsi="黑体" w:eastAsia="黑体" w:cs="黑体"/>
          <w:color w:val="auto"/>
          <w:sz w:val="28"/>
          <w:szCs w:val="28"/>
          <w:highlight w:val="none"/>
        </w:rPr>
        <w:t xml:space="preserve"> </w:t>
      </w:r>
      <w:r>
        <w:rPr>
          <w:rFonts w:hint="eastAsia" w:ascii="黑体" w:hAnsi="黑体" w:eastAsia="黑体" w:cs="黑体"/>
          <w:color w:val="auto"/>
          <w:sz w:val="28"/>
          <w:szCs w:val="28"/>
          <w:highlight w:val="none"/>
        </w:rPr>
        <mc:AlternateContent>
          <mc:Choice Requires="wpg">
            <w:drawing>
              <wp:inline xmlns:wp="http://schemas.openxmlformats.org/drawingml/2006/wordprocessingDrawing" distT="0" distB="0" distL="0" distR="0">
                <wp:extent cx="5274310" cy="3705225"/>
                <wp:effectExtent l="0" t="0" r="2540" b="9525"/>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20"/>
                        <a:stretch/>
                      </pic:blipFill>
                      <pic:spPr bwMode="auto">
                        <a:xfrm>
                          <a:off x="0" y="0"/>
                          <a:ext cx="5274310" cy="3705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3pt;height:291.8pt;mso-wrap-distance-left:0.0pt;mso-wrap-distance-top:0.0pt;mso-wrap-distance-right:0.0pt;mso-wrap-distance-bottom:0.0pt;" stroked="false">
                <v:path textboxrect="0,0,0,0"/>
                <v:imagedata r:id="rId20" o:title=""/>
              </v:shape>
            </w:pict>
          </mc:Fallback>
        </mc:AlternateContent>
      </w:r>
      <w:r/>
    </w:p>
    <w:p>
      <w:pPr>
        <w:pStyle w:val="764"/>
        <w:spacing w:line="360" w:lineRule="auto"/>
        <w:rPr>
          <w:rFonts w:hint="eastAsia" w:ascii="黑体" w:hAnsi="黑体" w:eastAsia="黑体" w:cs="黑体"/>
          <w:color w:val="auto"/>
          <w:sz w:val="28"/>
          <w:szCs w:val="28"/>
          <w:highlight w:val="none"/>
        </w:rPr>
      </w:pPr>
      <w:r/>
      <w:bookmarkStart w:id="114" w:name="_Toc6708"/>
      <w:r>
        <w:rPr>
          <w:rFonts w:hint="eastAsia" w:ascii="黑体" w:hAnsi="黑体" w:eastAsia="黑体" w:cs="黑体"/>
          <w:color w:val="auto"/>
          <w:sz w:val="28"/>
          <w:szCs w:val="28"/>
          <w:highlight w:val="none"/>
        </w:rPr>
        <w:t xml:space="preserve">（二）项目规划与展陈内容</w:t>
      </w:r>
      <w:bookmarkEnd w:id="114"/>
      <w:r/>
    </w:p>
    <w:p>
      <w:pPr>
        <w:pStyle w:val="765"/>
        <w:spacing w:before="0" w:after="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 </w:t>
      </w:r>
      <w:bookmarkStart w:id="115" w:name="OLE_LINK28"/>
      <w:r/>
      <w:bookmarkStart w:id="116" w:name="OLE_LINK27"/>
      <w:r>
        <w:rPr>
          <w:rFonts w:hint="eastAsia" w:ascii="黑体" w:hAnsi="黑体" w:eastAsia="黑体" w:cs="黑体"/>
          <w:color w:val="auto"/>
          <w:sz w:val="28"/>
          <w:szCs w:val="28"/>
          <w:highlight w:val="none"/>
        </w:rPr>
        <w:t xml:space="preserve">童声录音坊展陈区</w:t>
      </w:r>
      <w:bookmarkEnd w:id="115"/>
      <w:r/>
      <w:bookmarkEnd w:id="116"/>
      <w:r>
        <w:rPr>
          <w:rFonts w:hint="eastAsia" w:ascii="黑体" w:hAnsi="黑体" w:eastAsia="黑体" w:cs="黑体"/>
          <w:color w:val="auto"/>
          <w:sz w:val="28"/>
          <w:szCs w:val="28"/>
          <w:highlight w:val="none"/>
        </w:rPr>
        <w:t xml:space="preserve">（声学环境营造与实训展陈）</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展陈区域位于公共文化中心二楼南侧。（具体范围详见图纸并结合现场查勘）</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展陈定位：</w:t>
      </w:r>
      <w:r>
        <w:rPr>
          <w:rFonts w:hint="eastAsia" w:ascii="黑体" w:hAnsi="黑体" w:eastAsia="黑体" w:cs="黑体"/>
          <w:color w:val="auto"/>
          <w:sz w:val="28"/>
          <w:szCs w:val="28"/>
          <w:highlight w:val="none"/>
        </w:rPr>
        <w:t xml:space="preserve">集声学环境展示、录音实训体验、音频成果展播于一体的专业展陈空间。</w:t>
      </w:r>
      <w:r/>
    </w:p>
    <w:p>
      <w:pPr>
        <w:ind w:firstLine="562"/>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核心展陈内容：</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声学环境营造（硬装展陈化）：</w:t>
      </w:r>
      <w:r>
        <w:rPr>
          <w:rFonts w:hint="eastAsia" w:ascii="黑体" w:hAnsi="黑体" w:eastAsia="黑体" w:cs="黑体"/>
          <w:color w:val="auto"/>
          <w:sz w:val="28"/>
          <w:szCs w:val="28"/>
          <w:highlight w:val="none"/>
        </w:rPr>
        <w:t xml:space="preserve">实施全屋吸音、隔音处理。墙面需采用兼具装饰性与声学功能的卡通吸音艺术板，搭配柔和暖光，打造“可视化”的声学空间，而非简单的工程装修。</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专业展具配置：</w:t>
      </w:r>
      <w:r>
        <w:rPr>
          <w:rFonts w:hint="eastAsia" w:ascii="黑体" w:hAnsi="黑体" w:eastAsia="黑体" w:cs="黑体"/>
          <w:color w:val="auto"/>
          <w:sz w:val="28"/>
          <w:szCs w:val="28"/>
          <w:highlight w:val="none"/>
        </w:rPr>
        <w:t xml:space="preserve">配置</w:t>
      </w:r>
      <w:bookmarkStart w:id="117" w:name="OLE_LINK31"/>
      <w:r/>
      <w:bookmarkStart w:id="118" w:name="OLE_LINK32"/>
      <w:r>
        <w:rPr>
          <w:rFonts w:hint="eastAsia" w:ascii="黑体" w:hAnsi="黑体" w:eastAsia="黑体" w:cs="黑体"/>
          <w:color w:val="auto"/>
          <w:sz w:val="28"/>
          <w:szCs w:val="28"/>
          <w:highlight w:val="none"/>
        </w:rPr>
        <w:t xml:space="preserve">大合唱录音室</w:t>
      </w:r>
      <w:bookmarkEnd w:id="117"/>
      <w:r/>
      <w:bookmarkEnd w:id="118"/>
      <w:r>
        <w:rPr>
          <w:rFonts w:hint="eastAsia" w:ascii="黑体" w:hAnsi="黑体" w:eastAsia="黑体" w:cs="黑体"/>
          <w:color w:val="auto"/>
          <w:sz w:val="28"/>
          <w:szCs w:val="28"/>
          <w:highlight w:val="none"/>
        </w:rPr>
        <w:t xml:space="preserve">和单人/小合唱录音室，采用双层隔音门与观察窗。配备的录音麦、监听耳机、调音台等设备，需作为展陈核心交互设备进行集成调试。</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成果展示：</w:t>
      </w:r>
      <w:r>
        <w:rPr>
          <w:rFonts w:hint="eastAsia" w:ascii="黑体" w:hAnsi="黑体" w:eastAsia="黑体" w:cs="黑体"/>
          <w:color w:val="auto"/>
          <w:sz w:val="28"/>
          <w:szCs w:val="28"/>
          <w:highlight w:val="none"/>
        </w:rPr>
        <w:t xml:space="preserve">设置“童声里的中国”作品收纳架及展示墙，对优秀音频作品成果进行实物化、可视化展陈。</w:t>
      </w:r>
      <w:r/>
    </w:p>
    <w:p>
      <w:pPr>
        <w:pStyle w:val="765"/>
        <w:spacing w:before="0" w:after="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 </w:t>
      </w:r>
      <w:bookmarkStart w:id="119" w:name="OLE_LINK29"/>
      <w:r/>
      <w:bookmarkStart w:id="120" w:name="OLE_LINK30"/>
      <w:r>
        <w:rPr>
          <w:rFonts w:hint="eastAsia" w:ascii="黑体" w:hAnsi="黑体" w:eastAsia="黑体" w:cs="黑体"/>
          <w:color w:val="auto"/>
          <w:sz w:val="28"/>
          <w:szCs w:val="28"/>
          <w:highlight w:val="none"/>
        </w:rPr>
        <w:t xml:space="preserve">童声文创坊展陈区</w:t>
      </w:r>
      <w:bookmarkEnd w:id="119"/>
      <w:r/>
      <w:bookmarkEnd w:id="120"/>
      <w:r>
        <w:rPr>
          <w:rFonts w:hint="eastAsia" w:ascii="黑体" w:hAnsi="黑体" w:eastAsia="黑体" w:cs="黑体"/>
          <w:color w:val="auto"/>
          <w:sz w:val="28"/>
          <w:szCs w:val="28"/>
          <w:highlight w:val="none"/>
        </w:rPr>
        <w:t xml:space="preserve">（品牌成果展示）</w:t>
      </w:r>
      <w:r/>
    </w:p>
    <w:p>
      <w:pPr>
        <w:ind w:firstLine="560"/>
        <w:spacing w:line="360" w:lineRule="auto"/>
        <w:rPr>
          <w:rFonts w:hint="eastAsia" w:ascii="黑体" w:hAnsi="黑体" w:eastAsia="黑体" w:cs="黑体"/>
          <w:color w:val="auto"/>
          <w:sz w:val="28"/>
          <w:szCs w:val="28"/>
          <w:highlight w:val="none"/>
        </w:rPr>
      </w:pPr>
      <w:r/>
      <w:bookmarkStart w:id="121" w:name="OLE_LINK3"/>
      <w:r>
        <w:rPr>
          <w:rFonts w:hint="eastAsia" w:ascii="黑体" w:hAnsi="黑体" w:eastAsia="黑体" w:cs="黑体"/>
          <w:color w:val="auto"/>
          <w:sz w:val="28"/>
          <w:szCs w:val="28"/>
          <w:highlight w:val="none"/>
        </w:rPr>
        <w:t xml:space="preserve">展陈区域位于公共文化中心一楼南侧，现新时代文明实践中心。（具体范围详见图纸并结合现场查勘）</w:t>
      </w:r>
      <w:bookmarkEnd w:id="121"/>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展陈定位：</w:t>
      </w:r>
      <w:r>
        <w:rPr>
          <w:rFonts w:hint="eastAsia" w:ascii="黑体" w:hAnsi="黑体" w:eastAsia="黑体" w:cs="黑体"/>
          <w:color w:val="auto"/>
          <w:sz w:val="28"/>
          <w:szCs w:val="28"/>
          <w:highlight w:val="none"/>
        </w:rPr>
        <w:t xml:space="preserve">“童声里的中国”品牌文创产品与数字成果的集中展示空间。</w:t>
      </w:r>
      <w:r/>
    </w:p>
    <w:p>
      <w:pPr>
        <w:ind w:firstLine="562"/>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核心展陈内容（被展陈的实物内容及数字内容由采购人提供）：</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实物展陈：</w:t>
      </w:r>
      <w:r>
        <w:rPr>
          <w:rFonts w:hint="eastAsia" w:ascii="黑体" w:hAnsi="黑体" w:eastAsia="黑体" w:cs="黑体"/>
          <w:color w:val="auto"/>
          <w:sz w:val="28"/>
          <w:szCs w:val="28"/>
          <w:highlight w:val="none"/>
        </w:rPr>
        <w:t xml:space="preserve">利用定制化展柜、展台展示历年“童声里的中国”作品集、胸针、文具、联名音乐盒等衍生品，需体现展示的艺术性与安全性。</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数字展陈：</w:t>
      </w:r>
      <w:r>
        <w:rPr>
          <w:rFonts w:hint="eastAsia" w:ascii="黑体" w:hAnsi="黑体" w:eastAsia="黑体" w:cs="黑体"/>
          <w:color w:val="auto"/>
          <w:sz w:val="28"/>
          <w:szCs w:val="28"/>
          <w:highlight w:val="none"/>
        </w:rPr>
        <w:t xml:space="preserve">通过多媒体</w:t>
      </w:r>
      <w:r>
        <w:rPr>
          <w:rFonts w:hint="eastAsia" w:ascii="黑体" w:hAnsi="黑体" w:eastAsia="黑体" w:cs="黑体"/>
          <w:color w:val="auto"/>
          <w:sz w:val="28"/>
          <w:szCs w:val="28"/>
          <w:highlight w:val="none"/>
          <w:lang w:val="en-US" w:eastAsia="zh-CN"/>
        </w:rPr>
        <w:t xml:space="preserve">AI</w:t>
      </w:r>
      <w:r>
        <w:rPr>
          <w:rFonts w:hint="eastAsia" w:ascii="黑体" w:hAnsi="黑体" w:eastAsia="黑体" w:cs="黑体"/>
          <w:color w:val="auto"/>
          <w:sz w:val="28"/>
          <w:szCs w:val="28"/>
          <w:highlight w:val="none"/>
        </w:rPr>
        <w:t xml:space="preserve">交互系统，分类展示历年音视频、剧本资料，实现展示与互动一体化。</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安全防护：</w:t>
      </w:r>
      <w:r>
        <w:rPr>
          <w:rFonts w:hint="eastAsia" w:ascii="黑体" w:hAnsi="黑体" w:eastAsia="黑体" w:cs="黑体"/>
          <w:color w:val="auto"/>
          <w:sz w:val="28"/>
          <w:szCs w:val="28"/>
          <w:highlight w:val="none"/>
        </w:rPr>
        <w:t xml:space="preserve">采用幼儿安全防护设计，确保展陈设施符合少儿使用标准（圆角处理、环保材料）。</w:t>
      </w:r>
      <w:r/>
    </w:p>
    <w:p>
      <w:pPr>
        <w:pStyle w:val="765"/>
        <w:spacing w:before="0" w:after="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 童声影视坊展陈区（影视创作与审核展陈）</w:t>
      </w:r>
      <w:r/>
    </w:p>
    <w:p>
      <w:pPr>
        <w:ind w:firstLine="560"/>
        <w:spacing w:line="360" w:lineRule="auto"/>
        <w:rPr>
          <w:rFonts w:hint="eastAsia" w:ascii="黑体" w:hAnsi="黑体" w:eastAsia="黑体" w:cs="黑体"/>
          <w:color w:val="auto"/>
          <w:sz w:val="28"/>
          <w:szCs w:val="28"/>
          <w:highlight w:val="none"/>
        </w:rPr>
      </w:pPr>
      <w:r/>
      <w:bookmarkStart w:id="122" w:name="OLE_LINK23"/>
      <w:r/>
      <w:bookmarkStart w:id="123" w:name="OLE_LINK21"/>
      <w:r>
        <w:rPr>
          <w:rFonts w:hint="eastAsia" w:ascii="黑体" w:hAnsi="黑体" w:eastAsia="黑体" w:cs="黑体"/>
          <w:color w:val="auto"/>
          <w:sz w:val="28"/>
          <w:szCs w:val="28"/>
          <w:highlight w:val="none"/>
        </w:rPr>
        <w:t xml:space="preserve">展陈区域位于开发区智慧之眼大楼。</w:t>
      </w:r>
      <w:bookmarkEnd w:id="122"/>
      <w:bookmarkEnd w:id="123"/>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展陈定位：</w:t>
      </w:r>
      <w:r>
        <w:rPr>
          <w:rFonts w:hint="eastAsia" w:ascii="黑体" w:hAnsi="黑体" w:eastAsia="黑体" w:cs="黑体"/>
          <w:color w:val="auto"/>
          <w:sz w:val="28"/>
          <w:szCs w:val="28"/>
          <w:highlight w:val="none"/>
        </w:rPr>
        <w:t xml:space="preserve">少儿影视创作展示、剧本‑成片预审核评议、优秀剧目归档陈列主题展陈空间。</w:t>
      </w:r>
      <w:r/>
    </w:p>
    <w:p>
      <w:pPr>
        <w:ind w:firstLine="562"/>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核心展陈内容：</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场景化拍摄基地：</w:t>
      </w:r>
      <w:r>
        <w:rPr>
          <w:rFonts w:hint="eastAsia" w:ascii="黑体" w:hAnsi="黑体" w:eastAsia="黑体" w:cs="黑体"/>
          <w:color w:val="auto"/>
          <w:sz w:val="28"/>
          <w:szCs w:val="28"/>
          <w:highlight w:val="none"/>
        </w:rPr>
        <w:t xml:space="preserve">在智慧之眼增设“儿童家庭”和“学生教室”两个实景拍摄场景，作为影视工坊的场景化展陈节点。</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审核流程展示：</w:t>
      </w:r>
      <w:r>
        <w:rPr>
          <w:rFonts w:hint="eastAsia" w:ascii="黑体" w:hAnsi="黑体" w:eastAsia="黑体" w:cs="黑体"/>
          <w:color w:val="auto"/>
          <w:sz w:val="28"/>
          <w:szCs w:val="28"/>
          <w:highlight w:val="none"/>
        </w:rPr>
        <w:t xml:space="preserve">建设儿童剧审核中心，墙面张贴幼儿内容审核准则、优秀剧目案例与本土创作导向指引，通过</w:t>
      </w:r>
      <w:r>
        <w:rPr>
          <w:rFonts w:hint="eastAsia" w:ascii="黑体" w:hAnsi="黑体" w:eastAsia="黑体" w:cs="黑体"/>
          <w:color w:val="auto"/>
          <w:sz w:val="28"/>
          <w:szCs w:val="28"/>
          <w:highlight w:val="none"/>
          <w:lang w:val="en-US" w:eastAsia="zh-CN"/>
        </w:rPr>
        <w:t xml:space="preserve">信息发布系统</w:t>
      </w:r>
      <w:r>
        <w:rPr>
          <w:rFonts w:hint="eastAsia" w:ascii="黑体" w:hAnsi="黑体" w:eastAsia="黑体" w:cs="黑体"/>
          <w:color w:val="auto"/>
          <w:sz w:val="28"/>
          <w:szCs w:val="28"/>
          <w:highlight w:val="none"/>
        </w:rPr>
        <w:t xml:space="preserve">展示审核流程与评议成果。</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艺术布展：</w:t>
      </w:r>
      <w:r>
        <w:rPr>
          <w:rFonts w:hint="eastAsia" w:ascii="黑体" w:hAnsi="黑体" w:eastAsia="黑体" w:cs="黑体"/>
          <w:color w:val="auto"/>
          <w:sz w:val="28"/>
          <w:szCs w:val="28"/>
          <w:highlight w:val="none"/>
        </w:rPr>
        <w:t xml:space="preserve">拍摄基地图文展示场景、审核评议空间氛围设计；审核准则、优秀案例主题墙面版式设计。</w:t>
      </w:r>
      <w:r/>
    </w:p>
    <w:p>
      <w:pPr>
        <w:pStyle w:val="765"/>
        <w:spacing w:before="0" w:after="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 童声小剧场展陈区（沉浸式演艺展陈）</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展陈区域为现在的能达剧院。</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展陈定位：</w:t>
      </w:r>
      <w:r>
        <w:rPr>
          <w:rFonts w:hint="eastAsia" w:ascii="黑体" w:hAnsi="黑体" w:eastAsia="黑体" w:cs="黑体"/>
          <w:color w:val="auto"/>
          <w:sz w:val="28"/>
          <w:szCs w:val="28"/>
          <w:highlight w:val="none"/>
        </w:rPr>
        <w:t xml:space="preserve">将能达剧院改造为具备品牌叙事功能的演艺空间。</w:t>
      </w:r>
      <w:r/>
    </w:p>
    <w:p>
      <w:pPr>
        <w:ind w:firstLine="562"/>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核心内容：</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品牌视觉植入：</w:t>
      </w:r>
      <w:r>
        <w:rPr>
          <w:rFonts w:hint="eastAsia" w:ascii="黑体" w:hAnsi="黑体" w:eastAsia="黑体" w:cs="黑体"/>
          <w:color w:val="auto"/>
          <w:sz w:val="28"/>
          <w:szCs w:val="28"/>
          <w:highlight w:val="none"/>
        </w:rPr>
        <w:t xml:space="preserve">植入“童声里的中国”品牌标识系统，剧场外增设“童声”演出剧照艺术展墙，通过视觉语言讲述品牌故事。</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交互展项：</w:t>
      </w:r>
      <w:r>
        <w:rPr>
          <w:rFonts w:hint="eastAsia" w:ascii="黑体" w:hAnsi="黑体" w:eastAsia="黑体" w:cs="黑体"/>
          <w:color w:val="auto"/>
          <w:sz w:val="28"/>
          <w:szCs w:val="28"/>
          <w:highlight w:val="none"/>
        </w:rPr>
        <w:t xml:space="preserve">配置儿童防摔无线话筒、立式麦克风，作为可互动的演艺展具。</w:t>
      </w:r>
      <w:r/>
    </w:p>
    <w:p>
      <w:pPr>
        <w:pStyle w:val="765"/>
        <w:spacing w:before="0" w:after="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 配套氛围与导视展陈</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室外标识：</w:t>
      </w:r>
      <w:r>
        <w:rPr>
          <w:rFonts w:hint="eastAsia" w:ascii="黑体" w:hAnsi="黑体" w:eastAsia="黑体" w:cs="黑体"/>
          <w:color w:val="auto"/>
          <w:sz w:val="28"/>
          <w:szCs w:val="28"/>
          <w:highlight w:val="none"/>
        </w:rPr>
        <w:t xml:space="preserve">设置“童声里的中国”立体字样及LOGO立体插排，作为地标性精神堡垒展陈装置。</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数字展播：</w:t>
      </w:r>
      <w:r>
        <w:rPr>
          <w:rFonts w:hint="eastAsia" w:ascii="黑体" w:hAnsi="黑体" w:eastAsia="黑体" w:cs="黑体"/>
          <w:color w:val="auto"/>
          <w:sz w:val="28"/>
          <w:szCs w:val="28"/>
          <w:highlight w:val="none"/>
        </w:rPr>
        <w:t xml:space="preserve">利用信息发布系统循环展播品牌宣传片，形成动态展示窗口。</w:t>
      </w:r>
      <w:r/>
    </w:p>
    <w:p>
      <w:pPr>
        <w:ind w:firstLine="562"/>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导视系统：</w:t>
      </w:r>
      <w:r>
        <w:rPr>
          <w:rFonts w:hint="eastAsia" w:ascii="黑体" w:hAnsi="黑体" w:eastAsia="黑体" w:cs="黑体"/>
          <w:color w:val="auto"/>
          <w:sz w:val="28"/>
          <w:szCs w:val="28"/>
          <w:highlight w:val="none"/>
        </w:rPr>
        <w:t xml:space="preserve">全域统一设置“童声里的中国”主题导视标识，完善安全守则、应急疏散图等图文版展示系统。</w:t>
      </w:r>
      <w:r/>
    </w:p>
    <w:p>
      <w:pPr>
        <w:pStyle w:val="765"/>
        <w:spacing w:before="0" w:after="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 实施内容清单（请</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结合现场查勘报价）</w:t>
      </w:r>
      <w:r/>
    </w:p>
    <w:p>
      <w:pPr>
        <w:ind w:firstLine="560"/>
        <w:spacing w:line="5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本项目现场查勘联系人：社会事业局     联系号码：0513-81193350</w:t>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rPr>
        <w:t xml:space="preserve">查勘时间：2026年</w:t>
      </w:r>
      <w:r>
        <w:rPr>
          <w:rFonts w:hint="eastAsia" w:ascii="黑体" w:hAnsi="黑体" w:eastAsia="黑体" w:cs="黑体"/>
          <w:color w:val="auto"/>
          <w:sz w:val="28"/>
          <w:szCs w:val="28"/>
          <w:highlight w:val="none"/>
          <w:lang w:val="en-US" w:eastAsia="zh-CN"/>
        </w:rPr>
        <w:t xml:space="preserve">9</w:t>
      </w:r>
      <w:r>
        <w:rPr>
          <w:rFonts w:hint="eastAsia" w:ascii="黑体" w:hAnsi="黑体" w:eastAsia="黑体" w:cs="黑体"/>
          <w:color w:val="auto"/>
          <w:sz w:val="28"/>
          <w:szCs w:val="28"/>
          <w:highlight w:val="none"/>
        </w:rPr>
        <w:t xml:space="preserve">月</w:t>
      </w:r>
      <w:r>
        <w:rPr>
          <w:rFonts w:hint="eastAsia" w:ascii="黑体" w:hAnsi="黑体" w:eastAsia="黑体" w:cs="黑体"/>
          <w:color w:val="auto"/>
          <w:sz w:val="28"/>
          <w:szCs w:val="28"/>
          <w:highlight w:val="none"/>
          <w:lang w:val="en-US" w:eastAsia="zh-CN"/>
        </w:rPr>
        <w:t xml:space="preserve">28</w:t>
      </w:r>
      <w:r>
        <w:rPr>
          <w:rFonts w:hint="eastAsia" w:ascii="黑体" w:hAnsi="黑体" w:eastAsia="黑体" w:cs="黑体"/>
          <w:color w:val="auto"/>
          <w:sz w:val="28"/>
          <w:szCs w:val="28"/>
          <w:highlight w:val="none"/>
        </w:rPr>
        <w:t xml:space="preserve">日-2026年</w:t>
      </w:r>
      <w:r>
        <w:rPr>
          <w:rFonts w:hint="eastAsia" w:ascii="黑体" w:hAnsi="黑体" w:eastAsia="黑体" w:cs="黑体"/>
          <w:color w:val="auto"/>
          <w:sz w:val="28"/>
          <w:szCs w:val="28"/>
          <w:highlight w:val="none"/>
          <w:lang w:val="en-US" w:eastAsia="zh-CN"/>
        </w:rPr>
        <w:t xml:space="preserve">10</w:t>
      </w:r>
      <w:r>
        <w:rPr>
          <w:rFonts w:hint="eastAsia" w:ascii="黑体" w:hAnsi="黑体" w:eastAsia="黑体" w:cs="黑体"/>
          <w:color w:val="auto"/>
          <w:sz w:val="28"/>
          <w:szCs w:val="28"/>
          <w:highlight w:val="none"/>
        </w:rPr>
        <w:t xml:space="preserve">月</w:t>
      </w:r>
      <w:r>
        <w:rPr>
          <w:rFonts w:hint="eastAsia" w:ascii="黑体" w:hAnsi="黑体" w:eastAsia="黑体" w:cs="黑体"/>
          <w:color w:val="auto"/>
          <w:sz w:val="28"/>
          <w:szCs w:val="28"/>
          <w:highlight w:val="none"/>
          <w:lang w:val="en-US" w:eastAsia="zh-CN"/>
        </w:rPr>
        <w:t xml:space="preserve">9</w:t>
      </w:r>
      <w:r>
        <w:rPr>
          <w:rFonts w:hint="eastAsia" w:ascii="黑体" w:hAnsi="黑体" w:eastAsia="黑体" w:cs="黑体"/>
          <w:color w:val="auto"/>
          <w:sz w:val="28"/>
          <w:szCs w:val="28"/>
          <w:highlight w:val="none"/>
        </w:rPr>
        <w:t xml:space="preserve">日，上午：9:30-11:00，下午：13:30-16:30</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节假日除外</w:t>
      </w:r>
      <w:r>
        <w:rPr>
          <w:rFonts w:hint="eastAsia" w:ascii="黑体" w:hAnsi="黑体" w:eastAsia="黑体" w:cs="黑体"/>
          <w:color w:val="auto"/>
          <w:sz w:val="28"/>
          <w:szCs w:val="28"/>
          <w:highlight w:val="none"/>
          <w:lang w:eastAsia="zh-CN"/>
        </w:rPr>
        <w:t xml:space="preserve">）</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注：（1）本项目为交钥匙项目，全过程产生的所有费用均包含在本次投标报价中，请</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自行查勘现场，不排除本项目需求内容中未提及部分，但本项目实际所需的材料及内容均包含在本次投标报价中，请</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仔细核实本</w:t>
      </w:r>
      <w:r>
        <w:rPr>
          <w:rFonts w:hint="eastAsia" w:ascii="黑体" w:hAnsi="黑体" w:eastAsia="黑体" w:cs="黑体"/>
          <w:color w:val="auto"/>
          <w:sz w:val="28"/>
          <w:szCs w:val="28"/>
          <w:highlight w:val="none"/>
          <w:lang w:eastAsia="zh-CN"/>
        </w:rPr>
        <w:t xml:space="preserve">招标文件</w:t>
      </w:r>
      <w:r>
        <w:rPr>
          <w:rFonts w:hint="eastAsia" w:ascii="黑体" w:hAnsi="黑体" w:eastAsia="黑体" w:cs="黑体"/>
          <w:color w:val="auto"/>
          <w:sz w:val="28"/>
          <w:szCs w:val="28"/>
          <w:highlight w:val="none"/>
        </w:rPr>
        <w:t xml:space="preserve">内容以及深化设计所有涉及的内容，进行综合考虑后合理报价。一旦中标，成交</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不得以不了解本项目，要求采购人额外支付任何费用。</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（2）以下清单仅为功能需求描述，</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需根据“展陈服务”的特性，提供包含设计、制作、安装、调试的完整解决方案并一次性通过竣工验收，否则后续产生的所有费用均由成交</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承担。</w:t>
      </w:r>
      <w:r/>
    </w:p>
    <w:p>
      <w:pPr>
        <w:pStyle w:val="766"/>
        <w:spacing w:before="0" w:after="0" w:line="360" w:lineRule="auto"/>
        <w:rPr>
          <w:rFonts w:hint="eastAsia" w:ascii="黑体" w:hAnsi="黑体" w:eastAsia="黑体" w:cs="黑体"/>
          <w:color w:val="auto"/>
          <w:sz w:val="28"/>
          <w:szCs w:val="28"/>
          <w:highlight w:val="none"/>
        </w:rPr>
      </w:pPr>
      <w:r/>
      <w:bookmarkStart w:id="124" w:name="OLE_LINK37"/>
      <w:r/>
      <w:bookmarkStart w:id="125" w:name="OLE_LINK36"/>
      <w:r>
        <w:rPr>
          <w:rFonts w:hint="eastAsia" w:ascii="黑体" w:hAnsi="黑体" w:eastAsia="黑体" w:cs="黑体"/>
          <w:color w:val="auto"/>
          <w:sz w:val="28"/>
          <w:szCs w:val="28"/>
          <w:highlight w:val="none"/>
        </w:rPr>
        <w:t xml:space="preserve">6.1 展陈内容实施</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包含美工展板制作、场景道具制作、软硬件设备采购与集成、展柜展具制作安装等。</w:t>
      </w:r>
      <w:r/>
    </w:p>
    <w:p>
      <w:pPr>
        <w:pStyle w:val="767"/>
        <w:jc w:val="center"/>
        <w:spacing w:before="0" w:after="0" w:line="360" w:lineRule="auto"/>
        <w:rPr>
          <w:rFonts w:hint="eastAsia" w:ascii="黑体" w:hAnsi="黑体" w:eastAsia="黑体" w:cs="黑体"/>
          <w:color w:val="auto"/>
          <w:szCs w:val="28"/>
          <w:highlight w:val="none"/>
        </w:rPr>
      </w:pPr>
      <w:r>
        <w:rPr>
          <w:rFonts w:hint="eastAsia" w:ascii="黑体" w:hAnsi="黑体" w:eastAsia="黑体" w:cs="黑体"/>
          <w:color w:val="auto"/>
          <w:szCs w:val="28"/>
          <w:highlight w:val="none"/>
        </w:rPr>
        <w:t xml:space="preserve">童声录音坊展陈区</w:t>
      </w:r>
      <w:r/>
    </w:p>
    <w:tbl>
      <w:tblPr>
        <w:tblStyle w:val="772"/>
        <w:tblW w:w="883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463"/>
        <w:gridCol w:w="5200"/>
        <w:gridCol w:w="739"/>
        <w:gridCol w:w="851"/>
      </w:tblGrid>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序号</w:t>
            </w:r>
            <w:r/>
          </w:p>
        </w:tc>
        <w:tc>
          <w:tcPr>
            <w:shd w:val="clear" w:color="auto" w:fill="auto"/>
            <w:tcW w:w="1463"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项目名称</w:t>
            </w:r>
            <w:r/>
          </w:p>
        </w:tc>
        <w:tc>
          <w:tcPr>
            <w:shd w:val="clear" w:color="auto" w:fill="auto"/>
            <w:tcW w:w="5200"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项目特征描述</w:t>
            </w:r>
            <w:r/>
          </w:p>
        </w:tc>
        <w:tc>
          <w:tcPr>
            <w:shd w:val="clear" w:color="auto" w:fill="auto"/>
            <w:tcW w:w="739"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计量单位</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工程量</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一、大合唱录音室展陈布置</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（一）场景化家具</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63"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三人位沙发</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规格：三人位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面料：采用超纤维皮，表面纹理均匀</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海绵：采用通用型高回弹性海绵，密度≥45kg/m³,回弹性≥35%</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框架：基础框架主料采用刨方实木，封板辅料采用实木多层板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金属：采用碳素钢材，激光数控切割焊接，焊缝均匀整齐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喷塑：钢材表面采用热固性静电干粉涂料加热固化</w:t>
            </w:r>
            <w:r/>
          </w:p>
        </w:tc>
        <w:tc>
          <w:tcPr>
            <w:shd w:val="clear" w:color="auto" w:fill="auto"/>
            <w:tcW w:w="739"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组</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63"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茶几</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规格：直径800*435mm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板材：基材采用E0级中密度纤维板，面材采用天然实木木皮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油漆：采用环保型净味水性油漆，四底二面，漆面平整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金属：采用碳素钢材，激光数控切割焊接，焊缝均匀整齐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喷塑：钢材表面采用热固性静电干粉涂料加热固化</w:t>
            </w:r>
            <w:r/>
          </w:p>
        </w:tc>
        <w:tc>
          <w:tcPr>
            <w:shd w:val="clear" w:color="auto" w:fill="auto"/>
            <w:tcW w:w="739"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63"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角几</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规格：直径454*469mm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板材：基材采用E0级中密度纤维板，面材采用天然实木木皮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油漆：采用环保型净味水性油漆，四底二面，漆面平整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金属：采用碳素钢材，激光数控切割焊接，焊缝均匀整齐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喷塑：钢材表面采用热固性静电干粉涂料加热固化</w:t>
            </w:r>
            <w:r/>
          </w:p>
        </w:tc>
        <w:tc>
          <w:tcPr>
            <w:shd w:val="clear" w:color="auto" w:fill="auto"/>
            <w:tcW w:w="739"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（二）展陈核心交互设备</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录音棚数字音频系统控制端</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采用紧凑型桌面式设备结构，外形尺寸不大于　20cm×20cm×10cm，可置于机架桌面或控制台下方；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★中央处理器核心数量不少于16核（性能核心不少于12核）；图形处理器核心数量不少于40核；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★存储为固态盘结构，容量不小于1TB；板载内存不少于64GB；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具备不少于4个雷雳5接口，单接口双向传输带宽不低于120Gb/s；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同时具备不少于2个传输速率不低于10Gb/s的USB-C接口、不少于2个USB-A接口、HDMI接口、10Gb以太网接口、UHS-II SDXC读卡器；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具备Wi-Fi 6E及蓝牙5.3或更高标准无线通信能力；</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支持同时连接5台显示设备；</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支持100～240V、50/60Hz交流供电；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支持通过Thunderbolt接口输出DisplayPort 2.1信号，HDMI接口支持8K/60Hz或4K/240Hz输出；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采用统一内存架构，使处理器、图形处理单元与神经网络计算单元共享高速内存，减少多轨工程运行中音色库、插件与工程数据的数据搬运；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具备独立神经计算单元，核心不少于16核，可执行智能降噪、人声分离、语音转写等任务；</w:t>
            </w:r>
            <w:r/>
          </w:p>
          <w:p>
            <w:pPr>
              <w:ind w:firstLine="420"/>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具备专用媒体处理引擎，支持H.264、HEVC、ProRes RAW多种格式硬件编解码，用于音频后期画面同步；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Apple Silicon、macOS、Thunderbolt、Pro Tools、AAX插件及专业音频软硬件生态的整体兼容性；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采用高效散热系统，适合专业创作工作环境使用；具体运行噪声以实际负载、环境温度及设备工作状态为准。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配套2套显示终端，尺寸不小于23.8英寸。</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专业数字音频工作站软件</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bookmarkStart w:id="126" w:name="OLE_LINK34"/>
            <w:r/>
            <w:bookmarkStart w:id="127" w:name="OLE_LINK33"/>
            <w:r>
              <w:rPr>
                <w:rFonts w:hint="eastAsia" w:ascii="黑体" w:hAnsi="黑体" w:eastAsia="黑体" w:cs="黑体"/>
                <w:color w:val="auto"/>
                <w:szCs w:val="21"/>
                <w:highlight w:val="none"/>
              </w:rPr>
              <w:t xml:space="preserve">★</w:t>
            </w:r>
            <w:bookmarkEnd w:id="126"/>
            <w:r/>
            <w:bookmarkEnd w:id="127"/>
            <w:r>
              <w:rPr>
                <w:rFonts w:hint="eastAsia" w:ascii="黑体" w:hAnsi="黑体" w:eastAsia="黑体" w:cs="黑体"/>
                <w:color w:val="auto"/>
                <w:szCs w:val="21"/>
                <w:highlight w:val="none"/>
              </w:rPr>
              <w:t xml:space="preserve">支持音频轨道数量不低于2048条；支持乐器轨道不低于512条、MIDI轨道不低于1024条；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支持立体声、环绕声及Dolby Atmos沉浸式音频混音；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支持辅助轨道及路由文件夹不低于1024条；</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支持最高32位浮点及192kHz音频格式；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支持AAX插件格式；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兼容macOS及Windows系统；</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Retrospective MIDI记录功能（可回溯未按录音键时的MIDI即兴）；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支持VCA主控轨道不低于128条，适配大型混音工程分组控制；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支持视频轨道不低于64条，具备内置视频引擎，可直接进行画面对位配音；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支持同时录音输入通道不低于256路；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支持第7阶Ambisonics、轨道宽度大9.1.6、96kHz Dolby Atmos ADM支持；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支持ARA 2协议及第三方音高编辑软件深度集成；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可升级支持DSP加速卡或专用音频接口系统，具备后续扩展路径；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随机提供原厂插件捆绑包及云端项目协作功能；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提供合法永久授权凭证，不接受仅限期限使用的订阅授权作为等效替代，授权账户移交及不少于1个可用激活；</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不少于36个月技术支持服务。</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混响插件</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★提供合法软件永久授权，支持iLok本机或iLok USB授权；兼容Pro Tools；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全部IR为真实空间实地录音（悉尼歌剧院、教堂、配乐舞台、经典硬件混响EMT板/480/224/RMX16等），含纯正Atmos IR，非算法生成模型；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▲支持单声道至9.1.6输入输出（Dolby Atmos卷积混响）；</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支持混响衰减、亮度、阻尼、空间尺寸及预延迟调节；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具备四段均衡器；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舞台定位器：可调整虚拟扬声器位置实现真实重放；</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云尺寸和平移跟踪混响 - 从 LCR 到 9.1.6 输入 Altiverbs；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支持AAX Native、AU、VST3及MAS插件格式，64位运行；</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支持macOS 10.15及以上，兼容Apple Silicon及Intel平台；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支持用户自行采集及导入自定义脉冲响应；</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支持按空间类型、混响时间及关键字快速检索脉冲响应；</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支持早期反射声与混响尾音独立控制；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支持门控混响、反向混响及调制混响；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支持各输出通道电平及延迟独立调节；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支持混响声像跟随输入声像变化；</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随机提供不低于8GB核心脉冲响应资源；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免费持续添加新IR。</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监听音箱</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采用两分频有源结构，高、低频各配独立功率放大器及DSP有源分频，无需外接功率放大器；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低频单元口径不小于8英寸，振膜采用涂层铝或性能不低于该材质的金属振膜；</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高频单元采用气动式（折叠振膜／带式）换能结构，并配置指向性控制波导；</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内置放大器总输出功率不低于280W，其中高频及低频各不低于140W；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频率范围不劣于37Hz～24kHz（-3dB，1m全空间条件）；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最大声压级不低于120dB（全空间，&gt;100Hz）或126dB（半空间，&gt;100Hz）；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同时具备平衡XLR模拟输入、非平衡RCA模拟输入及S/PDIF同轴数字输入，数字输入支持不低于24bit/96kHz；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具备以太网（LAN）接口，可通过配套软件完成参数设置及固件升级；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具备房间声学适配滤波功能，至少包含高频搁架滤波（调节范围不小于-5dB～+3dB）、中频均衡（不小于±3dB）、低频搁架滤波（不小于-5dB～+3dB）及桌面反射衰减滤波（不小于-5dB～0dB）；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具备内置输出保护限幅电路；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分频频率为2200Hz；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音量调节范围不低于-∞～+10dB；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最大输入电平至少支持-10dBV及+4dBu两档灵敏度切换；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箱体采用低衍射外形设计，并采用后向倒相孔结构；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高频采用气动式折叠振膜换能器，振动质量极低，瞬态响应快且高频失真低，配合指向性控制波导扩展有效听音区并抑制桌面及墙面早期反射，改善立体声成像精度；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低频单元采用涂层铝振膜配合谐振抑制防尘帽及气流优化音圈与磁路结构，降低振膜分割振动及音圈气流噪声，提高低频动态与失真表现；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箱体采用低衍射外形，减少箱体边缘衍射对频率响应及声像定位的影响；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后向倒相孔经气流优化设计，在延伸低频下潜的同时降低端口气流噪声；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▲背部配置智能控制显示屏及智能控制旋钮集中控制界面，可在音箱本体上直接完成滤波、均衡、延时及待机等全部参数设置与数值确认，无需依赖计算机；</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具备信号唤醒、网络唤醒及可调自动待机（可选15／30／60分钟或关闭）功能，待机功耗低于1W；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具备状态指示功能，可通过发光标识显示不少于8种系统状态（含信号过载），且亮度可在0%～100%连续调节，避免指示灯在暗光控制室内造成干扰；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支持手动及DHCP自动两种IP地址配置方式，便于接入既有演播室控制网络；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S/PDIF数字接口同时具备输入与输出，可实现数字信号直通级联，减少多只音箱数字分配所需的外部设备；具备网络接口及配套软件，可完成远程参数设置与固件升级。</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封闭式监听耳机</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采用封闭式环耳型结构；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配备不小于45mm大孔径动圈单元；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耳机线采用可拆卸插拔结构；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频率响应范围不劣于15Hz至28kHz；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额定阻抗为38Ω；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灵敏度不低于99dB；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随机配备不少于3条耳机线，包含卷曲线、3m直线及1.2m直线；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配备6.35mm螺纹转接头及便携收纳袋；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具备90°旋转耳罩，支持单耳监听操作；</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耳罩及头带支持折叠收纳，便于外出录制携带；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耳机线可更换，降低长期使用维护成本。</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监听耳机</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采用动圈式立体声监听耳机结构；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额定阻抗不高于32Ω，可由声卡或计算机直接驱动；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内置有源低频增强（Active Bass Amplifier）；</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频率响应范围不劣于20Hz至20kHz；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灵敏度不低于102dB；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最大输入功率不低于200mW；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配备约3m连接线、3.5mm插头及6.35mm转接头；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具备可调节头带及柔软耳垫；</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耳机线上具备独立音量调节功能，配音人员可自行调整监听音量而无需操作调音台；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具备低频增强调校，适用于配音及语言类节目长时间监听；</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适用于多人同时监听的配音间及录音棚场景。</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耳机分配放大器</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★具备8个完全独立的耳机放大通道；耳机输出接口数量不少于16个可为多名使用人员提供独立监听；</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每通道具备独立音量控制；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采用标准19英寸1U机架结构；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后面板具备XLR音频输入接口；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信噪比不低于90dB（22Hz～22kHz，未加权）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总谐波失真不大于0.1%；</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频率响应范围不劣于20Hz至30kHz；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工作电压支持AC115V及AC230V，功耗不大于30W；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每通道最大输出功率不低于+21dBm（100Ω负载），可驱动高阻抗监听耳机；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具备立体声/单声道切换功能，可将两路单声道信号混合分配；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每通道具备输入、输出及过载独立LED指示，便于快速定位信号异常；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采用全铝机身结构，无风扇被动散热，适用于录音棚静音环境；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具备不少于16个耳机输出接口。</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32通道AD/DA转换与Dante网络音频接口</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具备不少于192×192路内部路由矩阵，支持路由、拆分及子混音；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支持AES67模式（可在设置菜单切换，与Ravenna/LiveWire互通）；</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★配合Virtual Dante声卡可直接作为64通道Dante音频接口使用；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电源支持运行中热插拔更换、自动切换，故障无需返修；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Dante网络延迟可调150μs～5ms（默认1ms，经10级交换机）；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MADI传输距离：同轴100m、多模光纤400–2000m、单模可达40km；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★模拟输入及模拟输出通道数量均不少于32路，且均为全平衡结构；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模拟输入及输出采用DB-25（TASCAM标准针脚）接口，输入及输出各不少于4个；</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内置符合Dante标准的网络音频接口，Dante输入及输出通道数量均不少于64路；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Dante接口须具备不少于2个RJ-45以太网端口，支持网络冗余（主备链路）；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MADI（AES10）输入及输出通道数量均不少于64路（48kHz采样率），并采用不少于2个可插拔SFP光模块插槽，支持光纤及同轴模块更换；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ADAT光纤输入及输出接口各不少于4个，通道数量不少于32入32出（48kHz采样率）；</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最高采样率不低于192kHz，并支持S/MUX方式的高采样率传输；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具备字时钟BNC输入及输出各不少于1个，输入端具备75Ω终端匹配的可切换功能；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具备不少于2路6.35mm TRS立体声监听/耳机输出，并配备独立的数模转换监听通路及数字音量控制；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模拟输入满度电平须可在+20dBu～-8dBu范围内以1dB步进进行数字调节；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具备全部输入、输出通道之间的自由路由与混音功能，可将同一信号同时分配至不少于8个目的地；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具备预设存储与调用功能，并可通过面板及远程方式切换；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▲具备不少于2个带螺纹锁定的直流供电输入接口以支持冗余供电，并具备电源电压监测及故障屏幕告警功能；</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具备MIDI输入及输出接口各1个，采用3.5mm TRS形式；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具备GPIO控制端口，通用输入不少于4路（用于预设切换）、通用输出不少于4路（用于锁定、电源、MADI及温度告警监控），采用DB-15接口；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具备USB 2.0接口，可用于远程控制及固件升级；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具备TFT显示界面，可显示各通道电平及设备设置概览，电平显示分辨率不低于28级；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模数及数模转换器具备可切换滤波器；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采用无风扇散热结构；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工作环境温度范围不劣于+5℃～+45℃；</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支持在模拟、MADI、ADAT及Dante各格式之间自由转换与交叉路由，单机即可承担系统内的格式转换与信号分配中心功能，减少额外分配设备；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MADI链路具备冗余能力，在光纤与同轴链路之间可于信号丢失时自动切换，提高关键任务场合的可靠性；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▲同时具备MADI、Dante及电源三重冗余设计，适用于播出、直播及重要演出等不可中断场合；</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内置SHARC系列浮点DSP处理器，每通道累加运算位宽不低于80bit，可对不少于384个音频通道进行路由与处理，并预留不少于2个DSP扩展插槽，支持后续增加处理能力及音频处理算法；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耳机输出具备独立监听矩阵，可任选任意输入或输出通道作为监听源，并支持单声道、立体声及M/S解码监听，便于系统调试与信号排查；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MADI及ADAT接口延时低至3个采样周期，减少多设备级联时的累积延时；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内置高精度温度补偿晶振，初始精度不劣于±1.5ppm，全温度范围内不劣于±2.5ppm，年老化不劣于±1ppm；配合数字控制锁相环抖动抑制系统，典型输出抖动不高于100ps；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支持MIDI与MADI之间的双向转换（MIDI-over-MADI），可通过MADI链路远程传输MIDI及预设管理指令，减少长距离控制布线；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采用可由用户自行更换的SFP光模块，支持多模光纤、单模光纤及同轴模块，可根据布线距离灵活选择而无需更换主机；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用户界面采用多点触控TFT屏配双层发光触摸编码器，可在设备本体直接完成路由、增益及监听设置，无需依赖计算机软件；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支持多台同型设备级联，在有限机架空间内扩展音频通道数量，便于系统后续扩容；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采用无风扇散热设计，无风扇噪声，适应控制室及录音棚的低噪声环境要求；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GPIO端口可接受外部开关触发预设切换，并向中控或监控系统输出设备状态告警，便于纳入机房集中监控；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采用标准19英寸机架式结构，高度不超过1U，深度不大于320mm。</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多指向大振膜电容话筒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采用大振膜电容式声压梯度换能结构，振膜直径不小于32mm；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至少具备心形、全指向和八字形三种可切换指向模式；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频率响应不劣于20Hz～20kHz；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等效噪声不高于14dB(A)；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降低输入电压的情况下最大声压级不低于152dB SPL；</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具备不小于-10dB的输入衰减开关；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具备低频衰减或高通滤波开关，用于降低近讲效应及低频环境噪声；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灵敏度不低于10mV/Pa；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标称输出阻抗不高于200Ω；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采用平衡式音频输出；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随话筒配备专用防震架、泡沫防风罩及带锁缓冲航空箱；</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心形/全指向/八字三指向切换 + -10dB PAD + 低频滚降开关（抗近讲效应）</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采用手工装配的通孔焊接电路板，便于元器件检测及后期维修；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采用定制绕制音频输出变压器实现平衡输出，提高长距离传输时的共模干扰抑制能力；</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提供与话筒外形匹配的可选专用防喷罩，便于控制近距离人声录制中的爆破音。</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电子管大振膜电容话筒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采用电子管放大电路的大振膜电容话筒结构；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振膜采用不小于34mm边缘端接双振膜；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具备不少于9种可选指向模式；</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8针旋入式专用线缆；独立电源支持115V/230V</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频率响应范围不劣于20Hz至24kHz；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灵敏度不低于11mV/Pa；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输出阻抗为200Ω；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最大声压级不低于138dB；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等效噪声不高于15dB(A)；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随附木质话筒盒、防震架、锁扣航空箱</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可提供严格声学配对套装</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采用6072A型电子管放大电路，具备电子管特有的谐波结构；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采用定制绕线音频输出变压器，实现变压器耦合平衡输出；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指向模式可在专用电源面板上连续切换，无需接触话筒本体；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采用手工装配及通孔焊接工艺，复刻经典电子管话筒电路结构。</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电子管立体声话筒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采用单机身双话筒头立体声电子管电容结构；</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两个话筒头可独立旋转调节夹角；</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每个话筒头具备不少于9种指向模式；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支持X-Y、Mid-Side及Blumlein等重合式立体声拾音方式；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采用双32mm电容振膜；</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频率响应范围不劣于20Hz至24kHz；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灵敏度不低于11mV/Pa；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输出阻抗为200Ω；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最大声压级不低于138dB；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等效噪声不高于15dB(A)；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双电路差异化栅偏压与阳极接地设计</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12芯螺纹旋入式专用线缆；随附立体声电源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随机配备防震架及带衬垫锁扣式运输箱；</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采用6072A型电子管放大电路；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两个信号通路具备完全独立的放大电路及独立输出变压器，保证左右声道分离度；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单支话筒即可完成重合式立体声拾音，无需配对两支话筒并调整间距；</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适用于人声、乐器组、合唱及环境声立体声录制。</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乐器电容话筒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采用小振膜电容话筒结构，振膜直径约20mm；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套装包含1支话筒，并支持可更换全指向及心形指向话筒头；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频率响应范围不劣于20Hz至20kHz；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最大声压级不低于142dB，适用于近距离拾取鼓组、铜管等高声压声源；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采用晶体管放大电路及定制绕线输出变压器；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灵敏度不低于15mV/Pa；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输出阻抗为200Ω；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最大声压级不低于142dB；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等效噪声不高于14dB(A)；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支持48V±4V幻象供电，工作电流不大于3.0mA；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固态放大+定制绕线输出变压器；手工通孔焊接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随机配备防震架、木质话筒盒、航空箱；</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可换音头设计：心形（标配）、全指向（标配）、超心形（选配）——一套覆盖点拾音与环境拾音；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该话筒有立体声配对服务，适用于立体声与A/B制拾音。</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立体声总线压缩器</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采用双通道VCA压缩结构，支持立体声联动工作；</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具备阈值、压缩比、启动时间、释放时间及输出增益调节；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阈值调节范围覆盖-20dB至+20dB；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压缩比至少包括2:1、4:1及10:1；</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频率响应范围不劣于20Hz至20kHz；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信噪比88dB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最大输出电平20dB；双总线连接器可外接侧链</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具备电路旁通功能；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具备增益衰减显示；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启动时间至少具备5档定值可选，覆盖0.1ms至10ms；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释放时间至少具备0.1s、0.3s、0.6s、1.2s四档定值及AUTO自动模式；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具备自动侧链高通滤波功能，响应频率为60Hz，避免低频过度触发压缩；</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采用全模拟信号处理路径，无AD/DA转换环节；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适用于混音总线整体黏合处理，可在不明显改变音色的前提下提升整体密度。</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双通道电子管均衡器</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具备2个独立均衡处理通道；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采用被动式均衡电路配合电子管增益补偿结构；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输入及输出均采用变压器耦合，平衡XLR接口；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频率响应范围不劣于20Hz至20kHz；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具备电路旁通功能及电源指示；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工作电源为AC220V；</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采用5670W类电子管作为增益放大级；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输入及输出变压器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低频提升与衰减可选频点不少于6个，覆盖20Hz至100Hz；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高频提升可选频点不少于6个，覆盖2.1kHz至18kHz；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高频衰减可选频点不少于5个，覆盖3kHz至20kHz；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具备高频带宽（Q值）调节功能；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支持低频同时提升与衰减形成经典被动均衡曲线；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两通道可独立调节和Mid-Side中侧处理两种模式；可通过M/S开关切换。</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软件控制台</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采用USB-C连接，支持Mac及PC平台；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具备8个DAW控制通道；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具备8支100mm电动推子；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支持独奏、静音及通道选择；</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支持通道声像控制；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支持开始、停止、循环等传输控制；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兼容Logic Pro、Pro Tools、Cubase及Ableton Live；</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随机配备USB-C线缆及支架；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推子为电动触摸感应型，可跟随工程自动化数据实时回位；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支持读取、写入、触摸、锁存及修剪五种自动化模式；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具备8个独立通道显示屏，可显示通道名称及参数值；</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具备不少于73个带RGB背光按键，按功能分区并以颜色区分状态；</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支持通过USB-C级联扩展控制器，推子数量最多可扩展至32支；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具备慢跑轮，支持时间线定位与波形浏览。</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液晶电视</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≥55英寸，分辨率：4K（3840*2160），2×HDMI，2×USB，CPU架构：不低于四核A35，WIFI频段：2.4G&amp;5G，系统：Android。</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带滤波电源时序管理器</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输出回路不少于8路，具备逐路时序延时启动功能；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最大总输出电流不低于80A（AC220V）；</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输入端配置额定电流不低于80A、与总负载匹配的断路器及过流保护；电气安全符合现行国家标准。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具备电网干扰滤波功能；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相邻输出回路时序间隔约1秒；</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单路输出能力不低于30A/60秒或10A RMS；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输入采用单相三线制供电；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具备XLR联机控制接口，可多台级联统一开关机；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支持外部中控继电器控制，可接入中控系统联动；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具备USB供电输出（5V/50mA），可为小型设备供电；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滤波器可抑制无线电及电火花类电源干扰，改善音频系统底噪；</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具备过流保护。</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18</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落地话筒支架</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采用钢制三脚落地结构，支架腿可折叠；</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高度调节范围覆盖900mm至1605mm；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旋臂长度不小于840mm，并具备可伸缩延长结构；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采用3/8英寸螺纹连接；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具备旋臂夹紧旋钮；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底座采用锌合金压铸结构，整体重量不低于3.1kg；</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旋臂为可伸缩式设计，收纳后长度显著缩短，便于运输；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三脚可折叠结构在承载重型话筒及防震架时仍保持稳定；</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主要承力结构采用金属材料；</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适用于录音棚、配音间及演播室长期高频次使用。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录音棚设备机架桌</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采用标准19英寸机架安装结构；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具备独立后部开门式检修挡板；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固定托盘承重不低于100kg；</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采用可组装式框架结构，含上下箱体、底座、前后框架及通风板；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钢制部件采用数控冲压折弯成型；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表面经防锈、喷砂及喷塑处理；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机架内部具备前后通风孔；</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后部采用独立开门式检修挡板，便于维护和线缆整理；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整体配色以黑色为主并配木纹饰面，适配录音棚控制室环境；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支持显示器支架等配件扩展安装；</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可根据现场尺寸进行组合式部署。</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张</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20</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带扶手办公椅</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座椅高度可调，调节范围覆盖450mm至580mm；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具备高靠背及腰部支撑；</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具备同步倾斜及倾斜锁定功能；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座宽不小于460mm，座深不小于490mm；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具备扶手；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靠背采用透气网面结构；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配备适用于地毯及硬质地面的脚轮；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产品耐用性及稳定性须符合EN 1335或ANSI/BIFMA X5.1或同等标准；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具备自动倾斜张力调节功能，可根据使用者体重自适应；</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椅套可拆卸清洗。</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张</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模拟录音调音台</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采用全模拟在线式（in-line）录音调音台结构，每通道具备双输入路径（长推子与短推子），可在同一通道条上同时建立录音与监听路径；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内置A类分立式话筒前置放大器数量不少于16路，每路最大增益不低于60dB；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▲物理推子数量不少于40；</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★混音输入通道总数不少于48，总输入点不少于42；录音总线数量不少于16；编组数量不少于8，且编组具备平衡插入点；辅助发送不少于6路，提示（Cue）发送不少于2路；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具备不少于4段可分割式通道均衡器，其中全参数频段不少于2段，频率覆盖不劣于40Hz～20kHz，增益调节范围不小于±15dB，并具备可变Q值控制；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内置立体声VCA总线压缩器；</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具备完整监听控制单元，包含不少于4组立体声监听输出、不少于2路返送（Foldback）输出、耳机输出、主混音及不少于3组立体声监听源选择、Mono及独听功能；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内置一体化电源，无需外置电源箱；</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受控制室既有安装位限制，设备占地不大于1.2m×1.2m，须适应本项目控制室既有空间；</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话筒等效输入噪声EIN &lt; -127.5dBu（20Hz–20kHz，150Ω源）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总线噪声：无输入路由时 &lt; -93dBu；36路输入路由时 &lt; -78dBu</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话筒／线路输入不少于16路，均带平衡插入点；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DAW／录音返回输入不少于16路，带平衡插入点；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立体声效果返回不少于4组，可路由至总线或编组；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全台插入点总数不少于40；</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具备对讲（Talkback）功能及艺人通信功能；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具备复古混合总线处理电路，采用分立变压器驱动方式为总线增加谐波染色，可通过开关旁通对比处理前后效果；</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混音总线采用高性能分立式求和放大模块，提高动态余量与瞬态表现；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总线压缩器具备低频扩展功能，减少低频信号对总线压缩的过度触发；</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通道均衡可在长推子与短推子路径之间分割，实现对话筒输入与DAW返回同时进行均衡处理，便于录制阶段即开始建立混音；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对讲支持脚踏开关控制，录音师可在双手操作推子时启用对讲；</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设置工程师专用监听耳机输出，独立于艺人监听通路；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配备总线压缩器增益衰减VU表，便于直观观察压缩量，适用于教学演示；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全模拟信号路径无数字系统的相位偏移与延时问题；</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整机功耗低、运行安静，适应控制室长时间录音的低噪声要求。</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22</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立体声电容乐器话筒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采用小振膜电容式换能结构，以成对方式供货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指向性为心形；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频率响应不劣于30Hz～18kHz；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最大声压级不低于134dB（1kHz，总谐波失真不高于1%）；</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大于或等于 22dBA（IEC 581-5）</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灵敏度不低于-38dB±2dB（0dB=1V/Pa，1kHz）；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输出阻抗不高于500Ω ±30%（1kHz 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信噪比不低于74dB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推荐负载阻抗不低于1000Ω；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采用平衡XLR输出；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每支话筒须配备安装支架及收纳包装盒；</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成对供货，适用于X-Y、A-B、ORTF等立体声拾音布置；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小振膜结构在离轴条件下保持较一致的频率响应，有利于原声乐器及人声组合的立体声定位；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体积小、支架安装方式灵活，可在录音棚及舞台场景通用。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23</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立体声铝带话筒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采用铝带（Ribbon）式换能结构；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为单机身内置两组铝带音头的立体声话筒，支持X-Y及中侧（M-S）立体声制式，并可作为单声道铝带话筒使用；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指向性为八字形；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频率响应不劣于30Hz～18kHz；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最大声压级不低于140dB（1kHz，总谐波失真不高于1%）；</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采用无源铝带结构，无需幻象供电，须配合高增益话筒前置放大器使用；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灵敏度不低于-50dB±3dB（0dB=1V/Pa，1kHz）；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输出阻抗不高于30Ω；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建议负载阻抗不低于1000Ω；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采用平衡XLR输出；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配备防震架及带缓冲的收纳箱或收纳盒；</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采用厚度约2.8微米的轻质铝带振膜，振动质量小，瞬态响应快，可较完整地还原乐器起振细节；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八字形指向可同时拾取话筒正面与背面声场并对侧向形成较强抑制，便于在录音中同时获取直达声与房间氛围；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可承受高声压，适用于吉他放大器、架子鼓、打击乐、铜管及木管等高电平近场拾音，近距离拾音时高频不过度突出；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单机身即可切换X-Y、M-S及单声道使用方式，减少立体声拾音时的摆位与配对工作量。</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24</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萨克斯话筒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采用电容式换能结构，专用于萨克斯、小号、长号、大号、圆号等管乐器的近距离拾音；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指向性为心形；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最大声压级不低于140dB；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频率响应不劣于50Hz～20kHz；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配备可自由弯曲的鹅颈支杆及与管乐器管口或琴身匹配的夹持装置；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灵敏度不低于-47dB±3dB（0dB=1V/Pa，1kHz）；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输出阻抗不高于2.2kΩ；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信噪比不低于68dB；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话筒线缆长度不短于1m；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随附与所投话筒匹配的Mini XLR转XLR有线转接器；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话筒头可承受不低于140dB声压级，适用于高声压铜管乐器近距离拾音；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话筒接口采用Mini XLR形式，可直接接入无线话筒腰包发射器，实现有线与无线两种使用方式，适应舞台演出与录音两类场景；鹅颈支杆可精确定位拾音点，在多乐器同台演出时通过贴近乐器拾音降低其他声源串入。</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25</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吉它话筒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采用电容式换能结构，专用于吉他、尤克里里、曼陀林等弹拨类原声乐器的近距离拾音；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指向性为心形；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最大声压级不低于140dB；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频率响应不劣于50Hz～20kHz；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配备可弯曲鹅颈支杆及与乐器音孔或琴身匹配的夹持装置，专用固定附件不少于2个；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灵敏度不低于-47dB±3dB（0dB=1V/Pa，1kHz）；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输出阻抗不高于2.2kΩ；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信噪比不低于68dB；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话筒线缆长度不短于1m；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随附Mini XLR转XLR转接器，可实现有线连接；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话筒接口采用Mini XLR形式，可直接接入无线话筒腰包发射器，兼顾舞台演出与录音应用；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夹持结构轻量化，便于在不妨碍正常演奏的位置安装。</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26</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手风琴话筒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采用电容式换能结构，专用于手风琴拾音；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套装话筒不少于3支，并覆盖左右手声部拾音；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最大声压级不低于140dB；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配备与话筒数量相匹配的专用夹持装置，且各夹持装置具备可弯曲鹅颈支杆；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夹持装置须采用轻质橡胶或同等弹性材料，并具备与乐器振动隔离的措施；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随附Mini XLR转XLR转接器及双Mini XLR转单XLR合并转接器，可实现三支话筒的完整有线连接；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灵敏度不低于-47dB±3dB（0dB=1V/Pa，1kHz）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输出阻抗不高于2.2kΩ；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频率响应不劣于50Hz～20kHz；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夹持部位应采用软质接触材料，并具备防刮保护措施；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右手双话筒布置便于分别覆盖手风琴高音区和中低音区；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话筒头与夹持装置之间设置弹性悬浮防震结构，隔离手风琴风箱操作及琴体振动产生的结构噪声；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话筒接口采用Mini XLR形式；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全套夹持装置安装与拆卸无需工具，可在演出间隙快速完成乐器更换。</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27</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打击乐话筒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采用电容式换能结构，专用于通鼓、军鼓及打击乐器的近距离拾音；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套装内话筒数量不少于4支；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指向性为单一指向（心形或超心形）；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最大声压级不低于140dB；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频率响应不劣于50Hz～20kHz；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每支话筒须配备可弯曲鹅颈支杆及适配鼓圈的橡胶夹持装置，夹持装置须可适配不同尺寸的鼓圈；</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话筒头与夹持装置之间须设置弹性悬浮防震结构；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灵敏度不低于-47dB±3dB（0dB=1V/Pa，1kHz）；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输出阻抗不高于2.2kΩ；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信噪比不低于68dB；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话筒线缆长度不短于1m；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随附与话筒数量相匹配的Mini XLR转XLR转接器；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夹持装置采用弹性材料，适配不同尺寸鼓圈并降低结构振动传递。</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弹性悬浮防震架可隔离鼓体剧烈振动产生的结构噪声，减少低频轰鸣与杂音；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话筒可安装于军鼓下方进行底面拾音，扩展音色选择；</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话筒接口采用Mini XLR形式，可接入无线话筒发射器，适应舞台快速换台需求；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夹持式结构支持免工具或少工具快速安装与拆卸。</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28</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小提琴话筒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采用电容式换能结构，专用于小提琴、中提琴的近距离拾音；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指向性为全指向；</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频率响应不劣于30Hz～18kHz；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最大声压级不低于140dB；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配备可弯曲鹅颈支杆及适配琴身或琴桥的专用夹持装置；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灵敏度不低于-37dB±2dB（0dB=1V/Pa，1kHz）；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输出阻抗不高于2.2kΩ；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信噪比不低于68dB；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随附Mini XLR转XLR转接器；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全指向拾音结构有助于减轻超近距离拾音时的近讲效应；</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话筒头可承受不低于140dB声压级，适应弦乐器近距离拾音的高瞬态峰值；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话筒接口采用Mini XLR形式，可接入无线话筒发射器，兼顾现场扩声与录音应用。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29</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大提琴话筒</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采用电容式换能结构，专用于大提琴等大型弓弦乐器的近距离拾音；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指向性为心形；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频率响应不劣于50Hz～20kHz；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最大声压级不低于140dB；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配备可弯曲鹅颈支杆及专用夹持安装系统，安装系统须具备与琴体振动隔离的措施；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支持48V幻象供电并提供匹配有线连接附件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灵敏度不低于-47dB±3dB（0dB=1V/Pa，1kHz）；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输出阻抗不高于2.2kΩ；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信噪比不低于68dB；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话筒线缆长度不短于1.5m；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随附防风罩及专用支架/夹持附件；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安装系统在保证话筒稳固固定的同时隔离琴体振动，减少弓法及琴体共振产生的结构噪声；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适用于大提琴低频及中频声部的近距离拾音；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可选配电池供电的独立幻象电源，在无幻象供电条件的场地仍可正常使用；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话筒接口采用Mini XLR形式，可接入无线话筒发射器，兼顾现场扩声与录音应用。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30</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专用线材</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录音棚专用XLR线、8芯音频线、HDMI线、话筒线及设备数据线等。</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二、单人/小合唱录音室展陈布置</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（一）场景化家具</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63"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三人位沙发</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规格：三人位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面料：采用超纤维皮，表面纹理均匀</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海绵：采用通用型高回弹性海绵，密度≥45kg/m³,回弹性≥35%</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框架：基础框架主料采用刨方实木，封板辅料采用实木多层板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金属：采用碳素钢材，激光数控切割焊接，焊缝均匀整齐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喷塑：钢材表面采用热固性静电干粉涂料加热固化</w:t>
            </w:r>
            <w:r/>
          </w:p>
        </w:tc>
        <w:tc>
          <w:tcPr>
            <w:shd w:val="clear" w:color="auto" w:fill="auto"/>
            <w:tcW w:w="739"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组</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63"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边几</w:t>
            </w:r>
            <w:r/>
          </w:p>
        </w:tc>
        <w:tc>
          <w:tcPr>
            <w:shd w:val="clear" w:color="auto" w:fill="auto"/>
            <w:tcW w:w="5200"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规格：直径454*469mm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板材：基材采用E0级中密度纤维板，面材采用天然实木木皮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油漆：采用环保型净味水性油漆，四底二面，漆面平整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金属：采用碳素钢材，激光数控切割焊接，焊缝均匀整齐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喷塑：钢材表面采用热固性静电干粉涂料加热固化</w:t>
            </w:r>
            <w:r/>
          </w:p>
        </w:tc>
        <w:tc>
          <w:tcPr>
            <w:shd w:val="clear" w:color="auto" w:fill="auto"/>
            <w:tcW w:w="739"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椅子</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规格：常规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金属：采用碳素钢材，激光数控切割焊接，焊缝均匀整齐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喷塑：钢材表面采用热固性静电干粉涂料加热固化</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框架：基础框架主料采用刨方实木，封板辅料采用实木多层板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面料：采用麻绒布料，表面纹理均匀</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海绵：采用通用型高回弹性海绵，密度≥45kg/m³,回弹性≥35%</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把</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（二）展陈核心交互设备</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录音棚数字音频系统控制端</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同“大合唱录音室展陈布置-录音棚数字音频系统控制端”</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专业数字音频工作站软件</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同“大合唱录音室展陈布置-专业数字音频工作站软件”</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数控模拟音频处理器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采用硬件模拟电路进行音频处理，处理环节为真实模拟信号路径，非纯软件算法建模；</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▲16通道可自动化模拟处理；32bit AD/DA转换；</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与本项目数字音频控制端的macOS版本、Thunderbolt接口及所配置DAW完成联调；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采用标准19英寸1U机架结构；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▲支持AAX、AU及VST3插件格式；</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模拟硬件处理参数可由DAW插件界面直接控制，支持参数自动化写入；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模拟处理设置可随工程文件保存与调用，实现模拟音色的工程级重现；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支持模拟处理通道在工程内按需分配，无需重新接线；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随机提供APB专用插件组，包含压缩、限制、多段动态、均衡及模拟饱和模块；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模拟饱和电路经通道匹配校准；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支持Pro Tools、Logic Pro、Cubase等主流DAW；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支持Apple Silicon平台运行。</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混响插件</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同“大合唱录音室展陈布置-混响插件”</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音箱/环境模拟插件</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★提供合法软件永久授权，支持iLok本机或iLok USB授权；兼容Pro Tools；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具备扬声器、扩声系统、通信设备及环境声场模拟功能；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内置扬声器脉冲响应数量不少于400种；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采样播放器：5列表×60采样按钮，鼠标或MIDI触发环境声；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反射声采样（毛毯、手提箱、汽车后备箱等物体遮挡效果）；</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TELECOM模块：模拟GSM手机压缩/失真/延迟；RADIO调谐模块；GRAMOPHONE留声机模块；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支持AAX Native、AU及VST3插件格式，64位运行；</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支持macOS及Windows系统；</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★内置话筒模拟不少于23种，可组合扬声器与拾音话筒形成完整重放链路；内置真实环境声场不少于50种，配套环境素材容量不低于5GB；内置预置数量不少于500种；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具备电话通信、无线电调谐、失真、放大器模拟及波形整形专用模块；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具备压缩、均衡及调制效果模块，均衡器提供不少于5种滤波器类型；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调制模块支持颤音、合唱、镶边及移相效果；</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具备多路LFO及包络控制；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支持导入用户自有采样素材并通过MIDI触发回放；</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经典Leslie吉他旋转音箱声音及话筒模拟。</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监听音箱</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同“大合唱录音室展陈布置-监听音箱”</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封闭式监听耳机</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同“大合唱录音室展陈布置-混封闭式监听耳机”</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监听耳机</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同“大合唱录音室展陈布置-混监听耳机”</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耳机分配放大器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同“大合唱录音室展陈布置-耳机分配放大器”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32通道AD/DA转换与Dante网络音频接口</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同“大合唱录音室展陈布置-32通道AD/DA转换与Dante网络音频接口”</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多指向大振膜电容话筒</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同“大合唱录音室展陈布置-多指向大振膜电容话筒”</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电子管大振膜电容话筒</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同“大合唱录音室展陈布置-电子管大振膜电容话筒”</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电子管立体声话筒</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同“大合唱录音室展陈布置-电子管立体声话筒”</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乐器电容话筒</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同“大合唱录音室展陈布置-乐器电容话筒”</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四通道话筒前置放大器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采用A类全分立式话筒放大结构，放大电路不得使用集成运算放大器；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独立话筒放大通道数不少于4；</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每通道最大增益范围不低于75dB；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每通道具备48V幻象供电、-20dB输入衰减、极性反转及静音四项独立控制；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话筒输入及线路输出均采用平衡XLR接口；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采用标准19英寸机架结构，高度不超过1U；</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总谐波失真不高于1%，须在600Ω负载、30Hz～35kHz范围内；</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供电采用外置独立电源箱，通过多针专用线缆与主机连接，并随附该电源箱及连接线缆；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每通道输入及输出均采用音频变压器耦合，实现输入输出电气隔离，抑制长距离平衡传输中的接地环路干扰；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放大级采用模块化分立放大电路，单通道可独立更换维修，降低长期使用的维护成本；</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变压器及整流电路置于机箱之外的独立供电箱内，减少电源变压器磁场与纹波对音频主板的干扰，降低本底噪声；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电路采用通孔元件焊接工艺，便于元器件检测与后期维修。</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立体声总线压缩器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同“大合唱录音室展陈布置-立体声总线压缩器”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双通道电子管均衡器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同“大合唱录音室展陈布置-双通道电子管均衡器”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18</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软件控制台</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同“大合唱录音室展陈布置-软件控制台”</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液晶电视</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同“大合唱录音室展陈布置-液晶电视”</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20</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带滤波电源时序管理器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同“大合唱录音室展陈布置-带滤波电源时序管理器”</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落地话筒支架</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同“大合唱录音室展陈布置-落地话筒支架”</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22</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录音棚设备机架桌</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同“大合唱录音室展陈布置-录音棚设备机架桌”</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张</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23</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带扶手办公椅</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同“大合唱录音室展陈布置-带扶手办公椅”</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24</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音乐制作工作站与插件套装</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★采用永久使用授权，不得以仅限期订阅授权替代；软件授权可以激活不少于4台电脑；</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▲套装内完整软件产品数量不少于20个，须同时包含数字音频工作站主程序、虚拟乐器及效果器插件合集；</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支持AAX、AU、VST3中的不少于两种，并兼容本项目数字音频工作站；</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支持64位运行，并兼容Windows 10及macOS 13或更高版本操作系统，在Intel及Apple Silicon处理器上均可运行；</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工作站主程序音频及MIDI轨道数量不受软件许可限制；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工作站主程序须支持多声道环绕声，输入输出总线可处理多声道音频，并支持多声道文件的录制与导入；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支持ARA 2标准，兼容ARA的插件可用于音频时间拉伸；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工作站内置基于大语言模型的AI创作助手，可解答软件操作问题、生成MIDI序列并对现有片段进行分析与配套编写，便于教学演示与创作辅助；</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含Antares Auto-Tune Access + Celemony Melodyne 5 Essential（人声修音全流程），无需另行采购即可完成人声修音工作流；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具备完整的自动化系统、内置效果器及MIDI编辑功能；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包含虚拟乐器数量不少于10种，涵盖合成器、采样器及音源类别；</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包含鼓循环及采样音色扩展库；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随附效果器合集，涵盖动态、均衡、调制、混响、延时类别；</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采用在线激活方式时，须提供合法授权凭证及授权恢复机制，并说明单授权可同时激活的设备数量；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包含复古硬件建模乐器系列，可用于电子音乐制作与音色设计教学；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界面配色方案支持不少于18种用户自定义颜色，可适配不同使用习惯。</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件</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25</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模拟录音调音台</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同“大合唱录音室展陈布置-模拟录音调音台”</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26</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双通道话筒前置放大器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具备2个完全独立的话筒前置放大通道；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每通道增益范围不低于72dB；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每通道具备可调高通滤波，频率调节范围覆盖20Hz至250Hz；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每通道具备极性反转、48V幻象供电及输出衰减功能；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输入及输出均采用XLR接口；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每通道具备不少于8段LED电平显示；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每通道具备双抽头输入变压器，可切换不同变压器抽头以改变输入阻抗与音色特性；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具备可调COLOR饱和处理功能，可在不改变增益的前提下调节谐波染色程度；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具备低噪声模式切换，适配电容话筒与动圈/带式话筒不同噪声需求；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前面板具备不少于6个功能拨挡开关及6个调节旋钮，全部功能面板直控；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两个通道可独立设置，支持不同话筒同时接入。</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27</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电子声场处理器</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采用标准19英寸机架结构，高度不超过2U；</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DSP运算位宽不低于56bit，模数／数模转换精度不低于24bit；</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模拟输入不少于2通道，模拟输出不少于4通道；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数字光纤（Toslink）输入不少于2路；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以插件方式实现分频、参量均衡、31段图示均衡、压缩、限制、延时及混合矩阵功能；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支持通过USB接口由计算机软件控制全部参数，控制软件支持macOS及Windows操作系统；</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支持环绕声处理及中置声道音频处理；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具备预置存储与调用功能；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随附USB连接线缆及控制软件下载授权；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支持导入房间声学测量软件（如Room EQ Wizard）的测试数据，自动生成参量均衡曲线，缩短声场校准时间并提高校准可复现性；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支持FIR滤波器数据导入，可实现相位线性化及高精度频响修正；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可作为独立USB音频接口使用，无需额外设备即可完成测量信号播放与采集；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面板不设控制按钮与旋钮，全部参数经软件控制，避免调校完成后被误操作改动，适用于对外开放的教学及演播场所；</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支持选配无线遥控器切换均衡曲线预置，便于在听音位直接进行不同曲线的对比。</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28</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电子管建模插件套装</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★采用永久使用授权，不得以仅限期订阅授权替代；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套装内插件数量不少于4个，须包含均衡器不少于2款、压缩／限制器不少于1款、饱和器不少于1款；</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★支持AAX Native、AU及VST3三种64位插件格式，并与本项目所配置数字音频工作站兼容；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兼容本项目工作站操作系统，并支持Apple Silicon及Intel处理器；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压缩／限制器须具备不少于3档程序相关释放时间及不少于3档固定释放时间；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压缩／限制器须具备外部侧链输入功能；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均衡器及压缩器均具备可调输入与输出电平；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压缩器及饱和器具备自动输出电平控制功能；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饱和器具备高通及低通滤波器，可实现频率相关的饱和处理，并具备音色深浅调节；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采用在线激活方式时，须提供合法授权凭证及授权恢复机制；单授权同时激活设备数量为1台，如需多机使用须按点位相应增加授权数量；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均衡器插件提供同一硬件原型的两种电路版本，各具不同控制方式与音色特性，便于对比选择；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均衡器支持立体声与M/S（中／侧）两种运算模式，可对中间声道与侧向声道分别进行均衡处理；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压缩器可在还原原始硬件音色与现代低染色音色之间切换，兼顾修复性处理与音色塑造；</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压缩器具备高通侧链低音管理功能，减少低频对压缩检测电路的过度触发；</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全部插件基于真实电子管硬件电路建模，为人声、总线及母带处理提供模拟谐波染色。</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29</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音频处理插件套装</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★采用永久使用授权，不得以仅限期订阅授权替代；每套授权不少于2个可同时激活席位，支持通过iLok USB密钥或iLok账户方式激活，并提供授权恢复机制；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▲插件类型须覆盖通道条、压缩、限制、均衡、滤波、多段动态、磁带模拟、混响、降噪及对白处理；</w:t>
            </w:r>
            <w:r>
              <w:rPr>
                <w:rFonts w:hint="eastAsia" w:ascii="黑体" w:hAnsi="黑体" w:eastAsia="黑体" w:cs="黑体"/>
                <w:b/>
                <w:color w:val="auto"/>
                <w:szCs w:val="21"/>
                <w:highlight w:val="none"/>
              </w:rPr>
              <w:t xml:space="preserve">（提供或产品彩页或技术白皮书或制造商网站截图或国家市场监督管理总局认可的第三方检测机构出具的带CMA或CNAS标志的检测报告等证明材料并加盖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公章，证明材料必须明确体现本参数指标且满足要求）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★支持AAX Native、AU及VST3 64位插件格式，并兼容本项目数字音频工作站、macOS及Windows操作系统，支持Apple Silicon原生运行；</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如本项目需接入HDX或Avid VENUE S6L系统，须同时提供对应的AAX DSP或VENUE兼容授权；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包含不少于2种通道条处理插件，至少具备均衡、动态、滤波及饱和处理模块；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包含不少于2种多频段动态处理插件，支持不少于3个独立频段的动态控制；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包含不少于2款多频段自动均衡插件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包含不少于2种母带限制器或峰值限制器，支持输出电平控制及峰值限制处理；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包含专业降噪处理插件，可用于降低配音及对白素材中的宽带噪声、底噪或干扰声；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包含对白综合处理插件，可对对白素材进行均衡、动态、滤波或响度相关处理；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包含模块化音频处理插件，支持在单一插件界面内调用不少于10种不同处理模块；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包含不少于1款混响软件，1款延迟软件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包含不少于1款失真和噪音发生器插件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兼容Pro Tools、Logic Pro、Cubase、Nuendo、Ableton Live、Reaper及Studio One等不少于6种主流宿主软件。</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30</w:t>
            </w:r>
            <w:r/>
          </w:p>
        </w:tc>
        <w:tc>
          <w:tcPr>
            <w:shd w:val="clear" w:color="auto" w:fill="auto"/>
            <w:tcW w:w="146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专用线材</w:t>
            </w:r>
            <w:r/>
          </w:p>
        </w:tc>
        <w:tc>
          <w:tcPr>
            <w:shd w:val="clear" w:color="auto" w:fill="auto"/>
            <w:tcW w:w="5200" w:type="dxa"/>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录音棚专用XLR线、8芯音频线、HDMI线、话筒线及设备数据线等。</w:t>
            </w:r>
            <w:r/>
          </w:p>
        </w:tc>
        <w:tc>
          <w:tcPr>
            <w:shd w:val="clear" w:color="auto" w:fill="auto"/>
            <w:tcW w:w="73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bl>
    <w:p>
      <w:pPr>
        <w:rPr>
          <w:rFonts w:hint="eastAsia" w:ascii="黑体" w:hAnsi="黑体" w:eastAsia="黑体" w:cs="黑体"/>
          <w:color w:val="auto"/>
          <w:highlight w:val="none"/>
        </w:rPr>
      </w:pPr>
      <w:r>
        <w:rPr>
          <w:rFonts w:hint="eastAsia" w:ascii="黑体" w:hAnsi="黑体" w:eastAsia="黑体" w:cs="黑体"/>
          <w:color w:val="auto"/>
          <w:highlight w:val="none"/>
        </w:rPr>
      </w:r>
      <w:r/>
    </w:p>
    <w:p>
      <w:pPr>
        <w:pStyle w:val="767"/>
        <w:jc w:val="center"/>
        <w:spacing w:before="0" w:after="0" w:line="360" w:lineRule="auto"/>
        <w:rPr>
          <w:rFonts w:hint="eastAsia" w:ascii="黑体" w:hAnsi="黑体" w:eastAsia="黑体" w:cs="黑体"/>
          <w:color w:val="auto"/>
          <w:szCs w:val="28"/>
          <w:highlight w:val="none"/>
        </w:rPr>
      </w:pPr>
      <w:r>
        <w:rPr>
          <w:rFonts w:hint="eastAsia" w:ascii="黑体" w:hAnsi="黑体" w:eastAsia="黑体" w:cs="黑体"/>
          <w:color w:val="auto"/>
          <w:szCs w:val="28"/>
          <w:highlight w:val="none"/>
        </w:rPr>
        <w:t xml:space="preserve">童声文创坊展陈区</w:t>
      </w:r>
      <w:r/>
    </w:p>
    <w:tbl>
      <w:tblPr>
        <w:tblStyle w:val="772"/>
        <w:tblW w:w="880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418"/>
        <w:gridCol w:w="5245"/>
        <w:gridCol w:w="709"/>
        <w:gridCol w:w="850"/>
      </w:tblGrid>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序号</w:t>
            </w:r>
            <w:r/>
          </w:p>
        </w:tc>
        <w:tc>
          <w:tcPr>
            <w:shd w:val="clear" w:color="auto" w:fill="auto"/>
            <w:tcW w:w="141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项目名称</w:t>
            </w:r>
            <w:r/>
          </w:p>
        </w:tc>
        <w:tc>
          <w:tcPr>
            <w:shd w:val="clear" w:color="auto" w:fill="auto"/>
            <w:tcW w:w="5245"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项目特征描述</w:t>
            </w:r>
            <w:r/>
          </w:p>
        </w:tc>
        <w:tc>
          <w:tcPr>
            <w:shd w:val="clear" w:color="auto" w:fill="auto"/>
            <w:tcW w:w="709"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计量单位</w:t>
            </w:r>
            <w:r/>
          </w:p>
        </w:tc>
        <w:tc>
          <w:tcPr>
            <w:shd w:val="clear" w:color="auto" w:fill="auto"/>
            <w:tcW w:w="850"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工程量</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一、美工艺术展项</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宣绒布UV画面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1、专用粘结界面剂滚涂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2、宣绒布UV画面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3、美工后期深化</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69.39</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7.896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15.792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云朵发光造型</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1、云朵发光造型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2、含钢支架</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音乐艺术装置</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1、音乐艺术装置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二、场景化家具</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展柜</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规格：1200*400*1600mm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框架木材：采用天然橡胶木实木，边角抛圆修边处理，含水率≤10%</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油漆：采用环保型净味水性油漆，四底二面，漆面平整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层板背板板材：基材采用E0级多层板，面材采用浸渍胶膜纸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封边：采用与板材同色的PVC封边条，边角抛圆修边处理</w:t>
            </w:r>
            <w:r/>
          </w:p>
        </w:tc>
        <w:tc>
          <w:tcPr>
            <w:shd w:val="clear" w:color="auto" w:fill="auto"/>
            <w:tcW w:w="709"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组</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三、多媒体AI交互系统</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多媒体AI交互系统</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一、整体要求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具备AI交互功能，分类展示历年音视频、剧本资料，实现展示与互动一体化。</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二、详细技术要求</w:t>
            </w:r>
            <w:r/>
          </w:p>
          <w:p>
            <w:pPr>
              <w:ind w:firstLine="420"/>
              <w:widowControl/>
              <w:rPr>
                <w:rFonts w:hint="eastAsia" w:ascii="黑体" w:hAnsi="黑体" w:eastAsia="黑体" w:cs="黑体"/>
                <w:color w:val="auto"/>
                <w:szCs w:val="21"/>
                <w:highlight w:val="none"/>
              </w:rPr>
            </w:pPr>
            <w:r/>
            <w:bookmarkStart w:id="128" w:name="OLE_LINK54"/>
            <w:r/>
            <w:bookmarkStart w:id="129" w:name="OLE_LINK55"/>
            <w:r>
              <w:rPr>
                <w:rFonts w:hint="eastAsia" w:ascii="黑体" w:hAnsi="黑体" w:eastAsia="黑体" w:cs="黑体"/>
                <w:color w:val="auto"/>
                <w:szCs w:val="21"/>
                <w:highlight w:val="none"/>
              </w:rPr>
              <w:t xml:space="preserve">★</w:t>
            </w:r>
            <w:bookmarkEnd w:id="128"/>
            <w:r/>
            <w:bookmarkEnd w:id="129"/>
            <w:r>
              <w:rPr>
                <w:rFonts w:hint="eastAsia" w:ascii="黑体" w:hAnsi="黑体" w:eastAsia="黑体" w:cs="黑体"/>
                <w:color w:val="auto"/>
                <w:szCs w:val="21"/>
                <w:highlight w:val="none"/>
              </w:rPr>
              <w:t xml:space="preserve">1.屏幕≥86英寸，显示比例16:9。显示分辨率3840*2160，可视角度≥178°。</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2.支持红外触控，Windows和Android系统下均支持≥50点触控及书写划线。</w:t>
            </w:r>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bookmarkStart w:id="130" w:name="OLE_LINK56"/>
            <w:r/>
            <w:bookmarkStart w:id="131" w:name="OLE_LINK57"/>
            <w:r>
              <w:rPr>
                <w:rFonts w:hint="eastAsia" w:ascii="黑体" w:hAnsi="黑体" w:eastAsia="黑体" w:cs="黑体"/>
                <w:color w:val="auto"/>
                <w:szCs w:val="21"/>
                <w:highlight w:val="none"/>
              </w:rPr>
              <w:t xml:space="preserve">▲</w:t>
            </w:r>
            <w:bookmarkEnd w:id="130"/>
            <w:r/>
            <w:bookmarkEnd w:id="131"/>
            <w:r>
              <w:rPr>
                <w:rFonts w:hint="eastAsia" w:ascii="黑体" w:hAnsi="黑体" w:eastAsia="黑体" w:cs="黑体"/>
                <w:color w:val="auto"/>
                <w:szCs w:val="21"/>
                <w:highlight w:val="none"/>
              </w:rPr>
              <w:t xml:space="preserve">3.内置2.2声道扬声器，前朝向发声，12W高音扬声器2个，上朝向30W中低音扬声器2个，最大功率≥84W，全部扬声器无需打开背板即可单独拆卸。</w:t>
            </w:r>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4.内置非独立外扩展的4阵列麦克风，可用于对环境音频进行采集，麦克风拾音距离≥12米。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▲5.听力模式下具备AI人声语言增强功能，支持三挡强弱调节。扩声系统语言传输指数（STIPA）≥0.75。</w:t>
            </w:r>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内置语音助手，通过整机麦克风及智能笔以唤醒词调起语音助手，支持语音交互的方式调节整机音量、亮度，语音操控打开系统已安装应用如：浏览器、计算器、画板，语音搜索指定网页内容，支持选择网页中的视频进行播放或暂停。</w:t>
            </w:r>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7.上边框内置非独立摄像头，采用一体化集成设计，支持输出4:3、16:9比例的图片和视频，支持拍摄＞1600 万像素数的照片和视频，支持输出 4k 分辨率的视频。</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▲8.支持发出频率为18kHz-22kHz超声波信号，智能手机和笔记本电脑接收超声波信号后可以自动识别附近投屏设备，点击对应设备即可完成投屏操作。</w:t>
            </w:r>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9.Windows通道支持文件传输应用，支持通过扫码、超声、wifi直连三种方式与手机进行握手连接，实现文件传输功能。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▲10.内置AR工具，支持对视频展台所采集的画面中叠加动态的3D 模型。3D模型包括：动物、微生物、人体骨骼、乐器、星球、地形。</w:t>
            </w:r>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内置AI智能体（非第三方应用），根据需求可快速创建，支持个性化设定角色信息包括角色性格、技能与头像信息，支持语音和文字两种方式与智能体进行对话交互，创建的智能体可上传到资源库进行共享使用。</w:t>
            </w:r>
            <w:bookmarkStart w:id="132" w:name="OLE_LINK63"/>
            <w:r/>
            <w:bookmarkStart w:id="133" w:name="OLE_LINK62"/>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bookmarkEnd w:id="132"/>
            <w:r/>
            <w:bookmarkEnd w:id="133"/>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12.插拔式OPS：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1）采用按压式卡扣，无需工具即可快速拆卸。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★2）模块要求：主频≥2.0GHz，8核心十二线程；不低于 DDR4 8GB内存，256GB SSD硬盘；≥1路HDMI，≥3路USB。</w:t>
            </w:r>
            <w:r/>
          </w:p>
        </w:tc>
        <w:tc>
          <w:tcPr>
            <w:shd w:val="clear" w:color="auto" w:fill="auto"/>
            <w:tcW w:w="70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0"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bl>
    <w:p>
      <w:pPr>
        <w:rPr>
          <w:rFonts w:hint="eastAsia" w:ascii="黑体" w:hAnsi="黑体" w:eastAsia="黑体" w:cs="黑体"/>
          <w:color w:val="auto"/>
          <w:highlight w:val="none"/>
        </w:rPr>
      </w:pPr>
      <w:r>
        <w:rPr>
          <w:rFonts w:hint="eastAsia" w:ascii="黑体" w:hAnsi="黑体" w:eastAsia="黑体" w:cs="黑体"/>
          <w:color w:val="auto"/>
          <w:highlight w:val="none"/>
        </w:rPr>
      </w:r>
      <w:r/>
    </w:p>
    <w:p>
      <w:pPr>
        <w:pStyle w:val="767"/>
        <w:jc w:val="center"/>
        <w:spacing w:before="0" w:after="0" w:line="360" w:lineRule="auto"/>
        <w:rPr>
          <w:rFonts w:hint="eastAsia" w:ascii="黑体" w:hAnsi="黑体" w:eastAsia="黑体" w:cs="黑体"/>
          <w:color w:val="auto"/>
          <w:szCs w:val="28"/>
          <w:highlight w:val="none"/>
        </w:rPr>
      </w:pPr>
      <w:r>
        <w:rPr>
          <w:rFonts w:hint="eastAsia" w:ascii="黑体" w:hAnsi="黑体" w:eastAsia="黑体" w:cs="黑体"/>
          <w:color w:val="auto"/>
          <w:szCs w:val="28"/>
          <w:highlight w:val="none"/>
        </w:rPr>
        <w:t xml:space="preserve">童声小剧场展陈区</w:t>
      </w:r>
      <w:r/>
    </w:p>
    <w:tbl>
      <w:tblPr>
        <w:tblStyle w:val="772"/>
        <w:tblW w:w="880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418"/>
        <w:gridCol w:w="5245"/>
        <w:gridCol w:w="708"/>
        <w:gridCol w:w="851"/>
      </w:tblGrid>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序号</w:t>
            </w:r>
            <w:r/>
          </w:p>
        </w:tc>
        <w:tc>
          <w:tcPr>
            <w:shd w:val="clear" w:color="auto" w:fill="auto"/>
            <w:tcW w:w="141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项目名称</w:t>
            </w:r>
            <w:r/>
          </w:p>
        </w:tc>
        <w:tc>
          <w:tcPr>
            <w:shd w:val="clear" w:color="auto" w:fill="auto"/>
            <w:tcW w:w="5245"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项目特征描述</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计量单位</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工程量</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一、美工艺术展项</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演出剧照</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1、相框+照片打印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3、单块尺寸不大于A4纸尺寸</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100</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二、话筒设备</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无线话筒</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1.基于数字U段的传输技术，pi/4-DQPSK调制方式，采用国产主控芯片，传输距离≥80米，接收机具有≥4路平衡输出、≥1路非平衡混音输出；具有混响、均衡、智能静音、音频加密、功率调节功能。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2.具有≥1台接收主机、≥4只手持发射机；频率范围等同或优于470MHz-510MHz、540MHz-590MHz、640MHz-690MHz、807MHz-830MHz四个频段使用。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接收机前面板具有≥4个TFT-LCD显示屏、≥4个编码旋钮、≥4个频率扫描实体按键、≥4个红外对频实体按键、≥1个电源开关按键、≥1个二合一指示灯（红外发射管+对频指示灯）；后面板具有≥1个LINE-OUT接口、≥4个XLR-OUT接口、≥4个BNC接口、≥1个DC接口。发射机具有≥1个OLED 显示屏、≥1个开关机/静音按键、≥2个工作状态指示灯。</w:t>
            </w:r>
            <w:bookmarkStart w:id="134" w:name="OLE_LINK60"/>
            <w:r/>
            <w:bookmarkStart w:id="135" w:name="OLE_LINK61"/>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bookmarkEnd w:id="134"/>
            <w:r/>
            <w:bookmarkEnd w:id="135"/>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4.具有自动静音功能，麦克风跌落、抛掷时，毫秒级自动静音，避免冲击声；实时监测设备姿态，静置≥5秒静音，≥8分钟关机，无需手动干预。</w:t>
            </w:r>
            <w:r>
              <w:rPr>
                <w:rFonts w:hint="eastAsia" w:ascii="黑体" w:hAnsi="黑体" w:eastAsia="黑体" w:cs="黑体"/>
                <w:b/>
                <w:color w:val="auto"/>
                <w:szCs w:val="21"/>
                <w:highlight w:val="none"/>
              </w:rPr>
              <w:t xml:space="preserve">（国家市场监督管理总局认可的第三方检测机构出具的带CMA或CNAS标志的检测报告复印件并加盖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5.具有多档位混响调节功能，混响效果≥15625个，效果占比、回响延时、混响幅度调节，三种音效各具有≥25档调节方式。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6.具有多频段均衡调节功能，均衡调节≥2197种，麦克风均衡器调节功能，具有高、中、低音三种调节档位，每种效果支持≥13档调节。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7.具有长时间续航，发射机连续使用时长≥10小时。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8.具有ID码防串扰功能，采用32位唯一ID码，用于接收和发射配对，收发ID码必须相同才能对码，能够有效防止相同频率的信号相互串台。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9.接收机具有≥4个2.2英寸的TFT-LCD显示屏；发射机具有≥0.96英寸OLED显示屏，能够显示频率信息、音频加密状态、功率挡位、静音状态、电量格数信息。</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话筒</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1.采用柱极式电容麦克风设计，具有良好的束状特性。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2.接口：平衡式XLR接口；方向特性：束状。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3.支持单只麦克风或多只麦克风同时使用。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4.幻象供电：≥+48V</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1.高度调节等同或优于1030-1710mm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2.横杠长度≥750mm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3.外箱尺寸≥325*290*1000MM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bl>
    <w:p>
      <w:pPr>
        <w:rPr>
          <w:rFonts w:hint="eastAsia" w:ascii="黑体" w:hAnsi="黑体" w:eastAsia="黑体" w:cs="黑体"/>
          <w:color w:val="auto"/>
          <w:highlight w:val="none"/>
        </w:rPr>
      </w:pPr>
      <w:r>
        <w:rPr>
          <w:rFonts w:hint="eastAsia" w:ascii="黑体" w:hAnsi="黑体" w:eastAsia="黑体" w:cs="黑体"/>
          <w:color w:val="auto"/>
          <w:highlight w:val="none"/>
        </w:rPr>
      </w:r>
      <w:r/>
    </w:p>
    <w:p>
      <w:pPr>
        <w:pStyle w:val="767"/>
        <w:jc w:val="center"/>
        <w:spacing w:before="0" w:after="0" w:line="360" w:lineRule="auto"/>
        <w:rPr>
          <w:rFonts w:hint="eastAsia" w:ascii="黑体" w:hAnsi="黑体" w:eastAsia="黑体" w:cs="黑体"/>
          <w:color w:val="auto"/>
          <w:szCs w:val="28"/>
          <w:highlight w:val="none"/>
        </w:rPr>
      </w:pPr>
      <w:r>
        <w:rPr>
          <w:rFonts w:hint="eastAsia" w:ascii="黑体" w:hAnsi="黑体" w:eastAsia="黑体" w:cs="黑体"/>
          <w:color w:val="auto"/>
          <w:szCs w:val="28"/>
          <w:highlight w:val="none"/>
        </w:rPr>
        <w:t xml:space="preserve">童声影视坊展陈区</w:t>
      </w:r>
      <w:r/>
    </w:p>
    <w:tbl>
      <w:tblPr>
        <w:tblStyle w:val="772"/>
        <w:tblW w:w="880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418"/>
        <w:gridCol w:w="5245"/>
        <w:gridCol w:w="708"/>
        <w:gridCol w:w="851"/>
      </w:tblGrid>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序号</w:t>
            </w:r>
            <w:r/>
          </w:p>
        </w:tc>
        <w:tc>
          <w:tcPr>
            <w:shd w:val="clear" w:color="auto" w:fill="auto"/>
            <w:tcW w:w="141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项目名称</w:t>
            </w:r>
            <w:r/>
          </w:p>
        </w:tc>
        <w:tc>
          <w:tcPr>
            <w:shd w:val="clear" w:color="auto" w:fill="auto"/>
            <w:tcW w:w="5245"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项目特征描述</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计量单位</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工程量</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一、美工艺术展项（影视拍摄区）</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4.86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9.72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6.48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9.72</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二、美工艺术展项（审核区）</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0.81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2.43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4.86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3.24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4.86</w:t>
            </w:r>
            <w:r/>
          </w:p>
        </w:tc>
      </w:tr>
    </w:tbl>
    <w:p>
      <w:pPr>
        <w:rPr>
          <w:rFonts w:hint="eastAsia" w:ascii="黑体" w:hAnsi="黑体" w:eastAsia="黑体" w:cs="黑体"/>
          <w:color w:val="auto"/>
          <w:highlight w:val="none"/>
        </w:rPr>
      </w:pPr>
      <w:r>
        <w:rPr>
          <w:rFonts w:hint="eastAsia" w:ascii="黑体" w:hAnsi="黑体" w:eastAsia="黑体" w:cs="黑体"/>
          <w:color w:val="auto"/>
          <w:highlight w:val="none"/>
        </w:rPr>
      </w:r>
      <w:r/>
    </w:p>
    <w:p>
      <w:pPr>
        <w:pStyle w:val="767"/>
        <w:jc w:val="center"/>
        <w:spacing w:before="0" w:after="0" w:line="360" w:lineRule="auto"/>
        <w:rPr>
          <w:rFonts w:hint="eastAsia" w:ascii="黑体" w:hAnsi="黑体" w:eastAsia="黑体" w:cs="黑体"/>
          <w:color w:val="auto"/>
          <w:szCs w:val="28"/>
          <w:highlight w:val="none"/>
        </w:rPr>
      </w:pPr>
      <w:r>
        <w:rPr>
          <w:rFonts w:hint="eastAsia" w:ascii="黑体" w:hAnsi="黑体" w:eastAsia="黑体" w:cs="黑体"/>
          <w:color w:val="auto"/>
          <w:szCs w:val="28"/>
          <w:highlight w:val="none"/>
        </w:rPr>
        <w:t xml:space="preserve">配套氛围与导视展陈</w:t>
      </w:r>
      <w:r/>
    </w:p>
    <w:tbl>
      <w:tblPr>
        <w:tblStyle w:val="772"/>
        <w:tblW w:w="880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418"/>
        <w:gridCol w:w="5245"/>
        <w:gridCol w:w="708"/>
        <w:gridCol w:w="851"/>
      </w:tblGrid>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序号</w:t>
            </w:r>
            <w:r/>
          </w:p>
        </w:tc>
        <w:tc>
          <w:tcPr>
            <w:shd w:val="clear" w:color="auto" w:fill="auto"/>
            <w:tcW w:w="141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项目名称</w:t>
            </w:r>
            <w:r/>
          </w:p>
        </w:tc>
        <w:tc>
          <w:tcPr>
            <w:shd w:val="clear" w:color="auto" w:fill="auto"/>
            <w:tcW w:w="5245"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项目特征描述</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计量单位</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工程量</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一、公共展陈区布置</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（一）美工艺术展项</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顶面音符发光造型</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1、顶面音符发光造型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2、半径：2000mm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红色造型飘带</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1、红色造型飘带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2、专业</w:t>
            </w:r>
            <w:r>
              <w:rPr>
                <w:rFonts w:hint="eastAsia" w:ascii="黑体" w:hAnsi="黑体" w:eastAsia="黑体" w:cs="黑体"/>
                <w:color w:val="auto"/>
                <w:szCs w:val="21"/>
                <w:highlight w:val="none"/>
                <w:lang w:eastAsia="zh-CN"/>
              </w:rPr>
              <w:t xml:space="preserve">投标单位</w:t>
            </w:r>
            <w:r>
              <w:rPr>
                <w:rFonts w:hint="eastAsia" w:ascii="黑体" w:hAnsi="黑体" w:eastAsia="黑体" w:cs="黑体"/>
                <w:color w:val="auto"/>
                <w:szCs w:val="21"/>
                <w:highlight w:val="none"/>
              </w:rPr>
              <w:t xml:space="preserve">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LOGO</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1、LOGO（音符）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2、规格约：1000*1150mm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音符发光造型</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1、音符发光造型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2、规格约：800*1800mm高</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1、20mm厚金属字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239</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144.8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217.2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亚克力立体字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1、5mm厚亚克力立体字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362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雪弗板立体字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1、20mm厚雪弗板立体字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雪弗板立体字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1、15mm厚雪弗板立体字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雪弗板立体字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1、10mm厚雪弗板立体字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雪弗板立体字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1、5mm厚雪弗板立体字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330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宣绒布UV画面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1、专用粘结界面剂滚涂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2、宣绒布UV画面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81.76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1、5mm厚雪弗板立体展板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1、15mm亚克力立体展板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20</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1、10mm亚克力立体展板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美工立体展板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1、5mm亚克力立体展板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2、美工后期深化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（二）场景化家具</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抽屉凳子</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规格：弧长4365*500*450mm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板材：基材采用E0级刨花板，面材采用浸渍胶膜纸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封边：采用与板材同色的PVC封边条，边角抛圆修边处理</w:t>
            </w:r>
            <w:r/>
          </w:p>
        </w:tc>
        <w:tc>
          <w:tcPr>
            <w:shd w:val="clear" w:color="auto" w:fill="auto"/>
            <w:tcW w:w="708"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定制弧形木饰面卡座</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规格：高900mm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板材：基材采用E0级中密度纤维板，面材采用天然实木木皮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油漆：采用环保型净味水性油漆，四底二面，漆面平整</w:t>
            </w:r>
            <w:r/>
          </w:p>
        </w:tc>
        <w:tc>
          <w:tcPr>
            <w:shd w:val="clear" w:color="auto" w:fill="auto"/>
            <w:tcW w:w="708"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组</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懒人沙发</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规格：常规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面料：采用猫爪布面料，表面纹理均匀</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填充物：内置PP颗粒填充物。</w:t>
            </w:r>
            <w:r/>
          </w:p>
        </w:tc>
        <w:tc>
          <w:tcPr>
            <w:shd w:val="clear" w:color="auto" w:fill="auto"/>
            <w:tcW w:w="708"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书报架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规格：2500*330*60mm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板材：基材采用E0级中密度纤维板，面材采用天然实木木皮</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油漆：采用环保型净味水性油漆，四底二面，漆面平整</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工艺：采用碳素钢材，激光数控切割焊接，焊缝均匀整齐，膨胀螺丝墙面两</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侧后侧固定</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五金：暗藏LED灯带,光源待选定。</w:t>
            </w:r>
            <w:r/>
          </w:p>
        </w:tc>
        <w:tc>
          <w:tcPr>
            <w:shd w:val="clear" w:color="auto" w:fill="auto"/>
            <w:tcW w:w="708"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片</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办公桌</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规格：1400*700*750mm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板材：基材采用E0级刨花板，面材采用浸渍胶膜纸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封边：采用与板材同色的PVC封边条，边角抛圆修边处理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金属：采用碳素钢材，激光数控切割焊接，焊缝均匀整齐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喷塑：钢材表面采用热固性静电干粉涂料加热固化</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五金：抽屉配置阻尼缓冲式三节滑轨，门板配置阻尼缓冲式铰链，三位数字密码锁，铝合金翻盖线盒，ABS塑料接线底盒</w:t>
            </w:r>
            <w:r/>
          </w:p>
        </w:tc>
        <w:tc>
          <w:tcPr>
            <w:shd w:val="clear" w:color="auto" w:fill="auto"/>
            <w:tcW w:w="708"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张</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办公椅</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规格：常规</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面料：靠背采用网布，座垫采用麻绒布，表面纹理均匀</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海绵：采用高回弹性海绵，密度≥45kg/m³,回弹性≥40%</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底盘：采用钢板冲压而成，安全防爆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气棒：采用厚度2mm壁管，升降行程80mm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椅脚：采用增强工程尼龙塑胶一体成形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脚轮：采用直径48mmPP塑料轮，柔性聚氨酯包边</w:t>
            </w:r>
            <w:r/>
          </w:p>
        </w:tc>
        <w:tc>
          <w:tcPr>
            <w:shd w:val="clear" w:color="auto" w:fill="auto"/>
            <w:tcW w:w="708"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把</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（三）多媒体交互展陈</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磁带机</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供电与功率：供电方式 插电 / 充电 / 电池供电（4节1号电池或18650电池自备），蓝牙版本 5.0，机器功率 3.2W，喇叭尺寸 3.5英寸，喇叭功率 8W × 2（双喇叭）；</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接口与功能： 功能接口 USB、3.5mm耳机、DC电源，支持功能 磁带播放、U盘（最大32G）、AM/FM/SW1-2收音、蓝牙、转录、TF卡、3.5mm耳机输出；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收音频率范围： 中波 MW 530–1710 kHz，短波 SW1-2 2.8–22.2 MHz，调频 FM 88–108 MHz。</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CD播放器</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供电与功率： 输出功率 2.5W，喇叭输出 4Ω-3W，输入电压 5V-2A，供电方式 插电供电 + 内置锂电池，电池规格 3.7V-2600mAh / 18650锂电池 / 9.62Wh；</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连接与接口： 蓝牙 BT 5.1（双向模式），接口 USB、3.5mm、OPTICAL（光纤）、USB-C；</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收音与格式： 调频范围 87.5MHz–108.0MHz，格式支持 CD / CD-R / CD-RW / MP3 / WMA。</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MP3播放器</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TFT彩屏；分辨率：128*160；支持视频播放；视频格式：AVI 128*160；外接扩展卡：TF卡；支持电子书阅读；支持录音；支持FM功能；支持外放功能；数据接口：USB-C；耳机接口：3.5mm；支持A-B复读；音频播放格式：WAV WMA MP3 FLAC APE；内存容量：≥32GB。</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黑胶唱片机</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功能:黑胶、蓝牙、U盘、SD卡、音频；</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支持唱片:7-10-12寸；</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音频输入:3.5mm；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音频输出:3.5mm/RCA 内置音响；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无线连接方式：蓝牙。</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调音台</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1、音量控制旋钮方式：旋钮式调节；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2、话筒物理接口数：6个 XLR 单声道输入接口，支持标准动圈/电容麦克风接入；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3、立体声物理接口数：4个 RCA 立体声输入接口，适用于CD机、MP3播放器等音频源；</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4、AUX物理输出接口数：1个 AUX 输出接口，可将混合后的音频信号（含混响）输出至外部功放、音箱或录音设备；</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5、支持48V幻象供电，可驱动电容麦克风，满足专业录音需求；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6、内置简单混响与回声效果处理。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天花喇叭</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1、同轴二分频设计，高低音采用倾斜角度设计，内置可调指向高音；</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2、额定功率：≥50W；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3、最大功率：≥100W；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4、标称阻抗：≤8Ω；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5、频率范围(-10dB)等同或优于60Hz-20kHz；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6、最大声压级：≥111dB；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7、覆盖角（-6dB）：等同或优于0-120°；</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8、扬声器：≥6.5"低频×1，≥1"高音×1。</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多媒体功放机</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1、音源具备USB、蓝牙、路线、麦克风输入。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2、采用DSP处理器，内置8种MIC效果器应用场景模式，分别为：Room、Hall、Echo、Delay、KTV、Classical、MaiBa(麦霸)、ChangJiang(唱将)。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3、控制可以通过红外遥控、编码开关、按键实现其功能。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4、面板LCD显示屏,实现直观显示各种功能及工作状态。</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5、提供≥2路RCA线路输入，≥3路平衡麦带幻象电源输入。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6、采用DSP处理器，预置多种场景模式。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7、每路话筒音量独立可调，效果可调，音乐音量独立可调，高中低音调节；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8、具备≥1路RS485接口，支持RS485通讯中控集成控制； </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9、支持USB播放，支持MP3、WAV、APE、FLAC主流音乐格式。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10、具有开关机软启动保护功能，具有压限、短路、过载、过热保护。</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11、额定输出功率：≥2x150W@4Ω；≥2x95W@8Ω。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12、内置≥48V幻象开关控制功能。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13、支持蓝牙功能，可以手机，电脑设备连接。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14、每个话筒输入有增益调节功能，话筒能最佳匹配功放输入状态。</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强弱电管线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音频连接线、水晶头、网线、电源线、音箱线、金属配管等。</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信息发布系统</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一、整体要求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信息发布系统是循环展播品牌宣传片，形成动态展示的窗口。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二、详细技术参数</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显示净尺寸：长5.12×高2.88m；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像素分辨率：3328点×高1872点；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1、像素间距：1.538mm；像素密度：422500（点/㎡）；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2、刷新频率：≥3840Hz；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3、白平衡亮度：≥800nits；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4、模组平整度：≤0.01mm；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5、模组机械强度：≥5MPa；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6、功耗：峰值≤420W/㎡ 平均值≤140W/㎡；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7、色温：3000-20000K可调；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8、可视角度：水平≥170°，垂直≥170°；</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9、对比度：≥8000:1；</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10、换帧频率（Hz）：50/60；</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11、具备故障自诊断及排查功能；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12、智能节电：带有智能（黑屏）节电功能，开启智能节电功能比没有开启节能40%以上；</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w:t>
            </w:r>
            <w:r>
              <w:rPr>
                <w:rFonts w:hint="eastAsia" w:ascii="黑体" w:hAnsi="黑体" w:eastAsia="黑体" w:cs="黑体"/>
                <w:color w:val="auto"/>
                <w:szCs w:val="21"/>
                <w:highlight w:val="none"/>
                <w:lang w:val="en-US" w:eastAsia="zh-CN"/>
              </w:rPr>
              <w:t xml:space="preserve">屏体</w:t>
            </w:r>
            <w:r>
              <w:rPr>
                <w:rFonts w:hint="eastAsia" w:ascii="黑体" w:hAnsi="黑体" w:eastAsia="黑体" w:cs="黑体"/>
                <w:color w:val="auto"/>
                <w:szCs w:val="21"/>
                <w:highlight w:val="none"/>
              </w:rPr>
              <w:t xml:space="preserve">符合GB 21520-2023标准要求，应能满足能效一级；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14、满足CSA035.2-2017标准。“人眼视觉舒适度(VICO)”指数低于1.0(符合中国国家标准委的“人眼视觉舒适度(VICO)”要求)，去除100%紫外线，消除80%摩尔纹；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15、模组电源接口采用4P接插头，免工具维护，同时有防呆设计，预防接错电源线短路而导致的烧毁模组行为；</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w:t>
            </w:r>
            <w:r>
              <w:rPr>
                <w:rFonts w:hint="eastAsia" w:ascii="黑体" w:hAnsi="黑体" w:eastAsia="黑体" w:cs="黑体"/>
                <w:color w:val="auto"/>
                <w:szCs w:val="21"/>
                <w:highlight w:val="none"/>
                <w:lang w:val="en-US" w:eastAsia="zh-CN"/>
              </w:rPr>
              <w:t xml:space="preserve">屏体</w:t>
            </w:r>
            <w:r>
              <w:rPr>
                <w:rFonts w:hint="eastAsia" w:ascii="黑体" w:hAnsi="黑体" w:eastAsia="黑体" w:cs="黑体"/>
                <w:color w:val="auto"/>
                <w:szCs w:val="21"/>
                <w:highlight w:val="none"/>
              </w:rPr>
              <w:t xml:space="preserve">具有防潮、防尘、防腐蚀、防电磁干扰、防静电等功能，并具有过流、短路、过压、欠压保护等功能。</w:t>
            </w:r>
            <w:r/>
          </w:p>
          <w:p>
            <w:pPr>
              <w:ind w:firstLine="420"/>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b/>
                <w:color w:val="auto"/>
                <w:szCs w:val="21"/>
                <w:highlight w:val="none"/>
              </w:rPr>
              <w:t xml:space="preserve">以上1-16项参数必须提供国家市场监督管理总局认可的第三方检测机构出具的带CMA或CNAS标志的检测报告复印件并加盖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公章，检测报告必须明确体现本参数指标且满足要求。</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17、具有像素显示调整方法及装置，具有储运装置。</w:t>
            </w:r>
            <w:r>
              <w:rPr>
                <w:rFonts w:hint="eastAsia" w:ascii="黑体" w:hAnsi="黑体" w:eastAsia="黑体" w:cs="黑体"/>
                <w:b/>
                <w:color w:val="auto"/>
                <w:szCs w:val="21"/>
                <w:highlight w:val="none"/>
              </w:rPr>
              <w:t xml:space="preserve">（提供相关证明材料复印件并加盖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w:t>
            </w:r>
            <w:r/>
          </w:p>
          <w:p>
            <w:pPr>
              <w:ind w:firstLine="420"/>
              <w:widowControl/>
              <w:rPr>
                <w:rFonts w:hint="eastAsia" w:ascii="黑体" w:hAnsi="黑体" w:eastAsia="黑体" w:cs="黑体"/>
                <w:b/>
                <w:color w:val="auto"/>
                <w:szCs w:val="21"/>
                <w:highlight w:val="none"/>
                <w:lang w:val="en-US" w:eastAsia="zh-CN"/>
              </w:rPr>
            </w:pPr>
            <w:r>
              <w:rPr>
                <w:rFonts w:hint="eastAsia" w:ascii="黑体" w:hAnsi="黑体" w:eastAsia="黑体" w:cs="黑体"/>
                <w:color w:val="auto"/>
                <w:szCs w:val="21"/>
                <w:highlight w:val="none"/>
              </w:rPr>
              <w:t xml:space="preserve">18、为了保证屏幕显示的图像清晰、颜色准确以及亮度均匀，提高用户的观看效果，需具有显示屏画面自动校正系统功能。</w:t>
            </w:r>
            <w:r>
              <w:rPr>
                <w:rFonts w:hint="eastAsia" w:ascii="黑体" w:hAnsi="黑体" w:eastAsia="黑体" w:cs="黑体"/>
                <w:b/>
                <w:color w:val="auto"/>
                <w:szCs w:val="21"/>
                <w:highlight w:val="none"/>
              </w:rPr>
              <w:t xml:space="preserve">（提供相关证明材料复印件并加盖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w:t>
            </w:r>
            <w:r>
              <w:rPr>
                <w:rFonts w:hint="eastAsia" w:ascii="黑体" w:hAnsi="黑体" w:eastAsia="黑体" w:cs="黑体"/>
                <w:b/>
                <w:color w:val="auto"/>
                <w:szCs w:val="21"/>
                <w:highlight w:val="none"/>
                <w:lang w:val="en-US" w:eastAsia="zh-CN"/>
              </w:rPr>
              <w:t xml:space="preserve"> </w:t>
            </w:r>
            <w:r/>
          </w:p>
          <w:p>
            <w:pPr>
              <w:ind w:firstLine="420"/>
              <w:widowControl/>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19、为了使显示的图像清晰、细腻，所投产品具有图像清晰度优化处理功能。</w:t>
            </w:r>
            <w:r>
              <w:rPr>
                <w:rFonts w:hint="eastAsia" w:ascii="黑体" w:hAnsi="黑体" w:eastAsia="黑体" w:cs="黑体"/>
                <w:b/>
                <w:color w:val="auto"/>
                <w:szCs w:val="21"/>
                <w:highlight w:val="none"/>
              </w:rPr>
              <w:t xml:space="preserve">（提供相关证明材料复印件并加盖</w:t>
            </w:r>
            <w:r>
              <w:rPr>
                <w:rFonts w:hint="eastAsia" w:ascii="黑体" w:hAnsi="黑体" w:eastAsia="黑体" w:cs="黑体"/>
                <w:b/>
                <w:color w:val="auto"/>
                <w:szCs w:val="21"/>
                <w:highlight w:val="none"/>
                <w:lang w:eastAsia="zh-CN"/>
              </w:rPr>
              <w:t xml:space="preserve">投标单位</w:t>
            </w:r>
            <w:r>
              <w:rPr>
                <w:rFonts w:hint="eastAsia" w:ascii="黑体" w:hAnsi="黑体" w:eastAsia="黑体" w:cs="黑体"/>
                <w:b/>
                <w:color w:val="auto"/>
                <w:szCs w:val="21"/>
                <w:highlight w:val="none"/>
              </w:rPr>
              <w:t xml:space="preserve">公章）</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20、配套系统：如控制系统、视频处理器、多媒体播放盒、控制终端、配电、配线、框架等。</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音乐交互系统</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w:t>
            </w:r>
            <w:r>
              <w:rPr>
                <w:rFonts w:hint="eastAsia" w:ascii="黑体" w:hAnsi="黑体" w:eastAsia="黑体" w:cs="黑体"/>
                <w:color w:val="auto"/>
                <w:szCs w:val="21"/>
                <w:highlight w:val="none"/>
              </w:rPr>
              <w:t xml:space="preserve">装置由物理按压按钮（内置压力/电容感应传感器及）、单片机控制板、外置音乐播放盒（安卓盒子）及有源音箱四部分组成。系统工作流程为：用户按压按钮 → 单片机捕获按压信号并通过串口/IO口将触发指令发送给安卓盒子 → 安卓盒子接收到指令后，调用预置音频文件并通过音频输出口连接有源音箱进行播放。播放结束后，安卓盒子返回空闲状态，，等待下一次触发。整套系统响应延迟低于200ms，交互流畅自然。装置无需屏幕或文字引导，用户仅凭按压动作即可获得即时的听觉反馈，营造出温暖、治愈的沉浸式互动体验，有效提升空间趣味性与参与感。</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gridSpan w:val="3"/>
            <w:shd w:val="clear" w:color="auto" w:fill="auto"/>
            <w:tcW w:w="7245" w:type="dxa"/>
            <w:vAlign w:val="center"/>
            <w:textDirection w:val="lrTb"/>
            <w:noWrap w:val="false"/>
          </w:tcPr>
          <w:p>
            <w:pP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二、展陈区基础监控及网络布置</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8路硬盘录像机</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1、视频接入：8路，最大支持8MP（4K）分辨率；</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2、网络带宽：输入/输出带宽均为 80Mbps；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3、视频解码：支持 H.265/H.264，解码能力 8×1080P（开启SVC增强模式支持12×1080P）；</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4、同步回放：最大支持 8 路；</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5、接口：1路 HDMI，1路 VGA/6、HDMI输出：最高支持 4K（4096×2160）/30Hz；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6、VGA输出：最高支持 1080P（1920×1080）/60Hz；</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7、预览分屏：1/2/4/6/8/9画面；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8、智能分析：支持 4 路智能人车移动侦测；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9、录像模式：支持手动、定时、事件、移动侦测、回放与备份：支持常规/事件/智能回放，支持常规/事件/剪辑备份；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10、解码格式：G.711ulaw / G.711alaw / G.726；</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11、音频接口：1路 RCA 音频输出，1路 RCA 语音对讲输入；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12、盘位：1个 SATA 接口；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13、存储容量：单盘最大支持 8TB；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14、网络接口：1个 RJ45 10M/100M 自适应以太网口；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15、USB接口：2个 USB 2.0（后置）。</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400W高清半球</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1、分辨率与帧率：最高 2560 × 1440，支持 25fps；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2、压缩标准：主码流 H.265/Smart265，子码流 H.265；</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3、码率控制：32 Kbps ~ 8 Mbps（支持定码率/变码率）；</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4、智能事件：移动侦测（支持人形检测）；</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5、功能：内置麦克风，支持环境噪声过滤；</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6、传感器：1/2.7" CMOS；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7、最低照度：0.005 Lux；</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8、镜头规格：M12接口，最大光圈 F2.0；</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9、日夜模式：ICR红外滤片式，支持自动/定时切换；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10、类型：智能补光（红外/白光可切换）；</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11、有效距离：红外最远30m，白光最远20m；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12、网络接口：1个 RJ45 10M/100M 自适应以太网口；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13、供电方式：DC 12V / PoE (IEEE 802.3af)；</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14、防护等级：IP67。</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10口POE交换机</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1、8个千兆PoE电口，1个千兆电口，1个千兆光口；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2、交换容量：≥20 Gbps，包转发率：≥1488 Mpps；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3、符合IEEE802.3af/at供电标准，整机PoE功率≥110W；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4、支持易调试APP管理，一个APP管理安防和网络。</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监控硬盘</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标称容量：≥8TB；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外形规格：3.5-inch；</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接口类型：SATA；</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转速：≥5400RPM；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缓存：≥256MB；</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最大读取速度：≥215MB/s。</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16口POE交换机</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★1、16个千兆PoE电口，1个千兆电口，1个千兆光口；</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2、交换容量：≥56 Gbps，包转发率：≥41.66 Mpps；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3、MAC地址容量：≥8K；</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4、缓存：4.1Mbits；</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5、浪涌防护：支持≥6KV防浪涌；</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6、端口最大供电功率：单端口≥30W；</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7、整机最大供电功率：≥230W。</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光模块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千兆单模光模块，最大传输距离10KM,双纤口,适用LC型接头跳线。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无线AP</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双频千兆吸顶AP，1个千兆LAN口上联，内置天线，支持2.4GHz/5GHz双频通信，支持802.11a/b/g/n/ac Wave1/Wave2/ax协议。支持AP与路由两种工作模式，支持二层智能漫游，支持一体化组网，支持APP管理。支持802.3at PoE供电和本地供电。</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路由器</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固化5个千兆电口（含4个PoE口），整机PoE最大输入功率60W，单端口最大输出功率30W，内置AC功能，支持Easy VPN、IPSec VPN、OPEN VPN，支持PPPoE Server、扫码认证、授权认证，支持儿童上网行为管理、应用流控、应用阻断，支持云平台与APP管理。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双口网络面板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规格：86 型平面面板；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特征：自带推拉式防尘门，可拆卸式透明标签盖，灵活方便；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材料：所有塑料材料应采用ABS材质耐腐塑料，配有标签， UL 94V-0 防火等级；</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可在不卸下面板时，在前端进行模块安装和拆卸，维护便利。</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双口网络地插</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符合GB/T23307-2009标准；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开起式地面插座，开合灵活，无卡死现象；</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四周边缘有圆角处理，安装后与地面高度差小于3mm，有效防止因地面落差造成事故或产品损坏；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采用防尘和防渗设计，关闭时灰尘和水不易进入；</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可选材料：铜合金、铝合金、不锈钢、锌合金、复合材料等；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面板尺寸：120×120mm；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底盒尺寸：100×100×55mm。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6类非屏蔽模块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产品规格：非屏蔽信息模块插座，规格包含Cat5e、Cat6，任选T568A、T568B接线方式；</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电气参数：直流电阻：0.3Ω；额定电流：1.5A；绝缘阻抗：不低于500ＭΩ；接点阻抗：≤20mΩ；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使用寿命：拔插寿命≥750 次；端接寿命≥200次；端子镀金厚度≥ 50u˝；</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执行标准：ANSI/TIA568C.2 及ISO/IEC；</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11801:2002 Ed2.0或国际通用标准；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产品应能够满足高速数据、语音和视频信号的传输，传输性能应用频率应大于100MHz@Cat5e、250MHz@Cat6。</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6类24口配线架背板（含模块）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产品类型：可提供Cat6、Cat5e两种；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产品规格：24口RJ45模块式配线架；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后面带背面理线盘，单独配置非屏蔽模块；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执行标准：ISO/IEC 11801:2002 Ed2.0，ANSI/TIA 568C.2；</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标识特点：配线架带有透明可翻盖式标识系统，以用于网络颜色管理。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42U机柜</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600mm*600mm*2000mm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6类4对非屏双绞线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芯线规格：26AWG实芯裸铜导体；</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芯线对数：25对、50对、100对，每芯带有彩色护套；</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标准：ISO/IEC 11801:2002 Ed2.0， ANSI/TIA 568C.2；</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护套表面印有唯一可追溯批次的标识，带有撕裂绳；护套材质室内型应可提供CM、CMR、CMP及LSZH等。</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箱</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6芯单模光缆</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要求光纤具有折射率分布控制精确、几何特性优越和衰减低等优点；</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光纤类型：单模9/125µm；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执行标准：ISO/IEC 11801:2002 Ed2.0, TIA/EIA 568B.3，TIA/EIA-455；</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室外光缆适用于直埋式和管道式应用，符合对抗拉力、压力和拉力的承受标准性能；</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外护材料耐腐蚀，阻燃、防酸、防水、防紫外线、阻燃、环保、防啮齿动物、高密度聚乙烯外套等要求。</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米</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200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光纤盒</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8芯光纤盒</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光纤跳线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光纤规格：OS2单模9/125µm、多模62.5/125µm、多模50/125µm、万兆（OM3、OM4）可选；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接口类型：LC、LC、ST、FC等接口可选；</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执行标准：ISO/IEC 11801:2002 Ed2.0，ANSI/TIA 568C.3；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护套材质：Riser，Plenum或者LSZH供选择；</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要求100% 3D几何尺寸检测和控制；</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要求100%通过工厂测试；</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要求每根跳线应带有唯一可识别的序号标签供追朔。</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条</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HDMI线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3米</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配管</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JDG20管</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米</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300</w:t>
            </w:r>
            <w:r/>
          </w:p>
        </w:tc>
      </w:tr>
    </w:tbl>
    <w:p>
      <w:pPr>
        <w:rPr>
          <w:rFonts w:hint="eastAsia" w:ascii="黑体" w:hAnsi="黑体" w:eastAsia="黑体" w:cs="黑体"/>
          <w:color w:val="auto"/>
          <w:highlight w:val="none"/>
        </w:rPr>
      </w:pPr>
      <w:r>
        <w:rPr>
          <w:rFonts w:hint="eastAsia" w:ascii="黑体" w:hAnsi="黑体" w:eastAsia="黑体" w:cs="黑体"/>
          <w:color w:val="auto"/>
          <w:highlight w:val="none"/>
        </w:rPr>
      </w:r>
      <w:bookmarkEnd w:id="124"/>
      <w:bookmarkEnd w:id="125"/>
      <w:r/>
    </w:p>
    <w:p>
      <w:pPr>
        <w:pStyle w:val="766"/>
        <w:spacing w:before="0" w:after="0"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6.2 展陈环境营造</w:t>
      </w:r>
      <w:r/>
    </w:p>
    <w:p>
      <w:pPr>
        <w:ind w:firstLine="480"/>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包含录音棚声学展陈环境营造（吸音/隔音）、展陈区域墙面及地面基础处理、强弱电配套改造等。</w:t>
      </w:r>
      <w:r/>
    </w:p>
    <w:p>
      <w:pPr>
        <w:pStyle w:val="767"/>
        <w:jc w:val="center"/>
        <w:spacing w:before="0" w:after="0" w:line="360" w:lineRule="auto"/>
        <w:rPr>
          <w:rFonts w:hint="eastAsia" w:ascii="黑体" w:hAnsi="黑体" w:eastAsia="黑体" w:cs="黑体"/>
          <w:color w:val="auto"/>
          <w:szCs w:val="28"/>
          <w:highlight w:val="none"/>
        </w:rPr>
      </w:pPr>
      <w:r>
        <w:rPr>
          <w:rFonts w:hint="eastAsia" w:ascii="黑体" w:hAnsi="黑体" w:eastAsia="黑体" w:cs="黑体"/>
          <w:color w:val="auto"/>
          <w:szCs w:val="28"/>
          <w:highlight w:val="none"/>
        </w:rPr>
        <w:t xml:space="preserve">童声录音坊展陈区环境营造</w:t>
      </w:r>
      <w:r/>
    </w:p>
    <w:tbl>
      <w:tblPr>
        <w:tblStyle w:val="772"/>
        <w:tblW w:w="880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418"/>
        <w:gridCol w:w="5245"/>
        <w:gridCol w:w="708"/>
        <w:gridCol w:w="851"/>
      </w:tblGrid>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序号</w:t>
            </w:r>
            <w:r/>
          </w:p>
        </w:tc>
        <w:tc>
          <w:tcPr>
            <w:shd w:val="clear" w:color="auto" w:fill="auto"/>
            <w:tcW w:w="141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项目名称</w:t>
            </w:r>
            <w:r/>
          </w:p>
        </w:tc>
        <w:tc>
          <w:tcPr>
            <w:shd w:val="clear" w:color="auto" w:fill="auto"/>
            <w:tcW w:w="5245"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项目特征描述</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计量单位</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工程量</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一、地面处理</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石材楼地面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1、30mm干硬性水泥砂浆粘贴石材门槛石/专业倒角、磨边/石材六面防护/镜面处理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2.63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块料楼地面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1、40mm干硬性水泥砂浆粘贴800*800mm地砖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91.58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复合地板地面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1、40mm细石混凝土找平/复合地板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2、部位：办公室</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14.93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复合地板地面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1、40mm细石混凝土找平/隔音复合地板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187.38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复合地板地台</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1、镀锌钢骨架/双层12mm阻燃板/隔音复合地板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39.95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地面地胶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1、50厚细石混凝土找平/自流平/2mm拼色地胶</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97.49</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二、天棚处理</w:t>
            </w:r>
            <w:r/>
          </w:p>
        </w:tc>
        <w:tc>
          <w:tcPr>
            <w:shd w:val="clear" w:color="auto" w:fill="auto"/>
            <w:tcW w:w="708"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石膏板平吊顶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1、平面/φ8镀锌丝杆/U型简单不上人型轻钢龙骨/副龙骨间距400*600mm/9.5mm纸面石膏板/板面钉眼封防锈漆/自粘胶带/满批混合腻子三遍/白色无机涂料三遍</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330.66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石膏板侧边</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1、双层9.5mm纸面石膏板/板面钉眼封防锈漆/自粘胶带/满批混合腻子三遍/白色无机涂料三遍</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10.88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石膏板平吊顶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1、平面/φ8镀锌丝杆/U型简单不上人型轻钢龙骨/副龙骨间距400*600mm/9.5mm纸面石膏板/板面钉眼封防锈漆/自粘胶带/满批混合腻子三遍/深灰色无机涂料三遍</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7.47</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聚酯纤维吸音板平吊顶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1、平面/φ8镀锌丝杆/U型简单不上人型轻钢龙骨/副龙骨间距400*600mm/9.5mm纸面石膏板/9mm阻燃聚酯纤维吸音板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73.18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聚酯纤维吸音板吊顶侧边</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1、9.5mm纸面石膏板/9mm阻燃聚酯纤维吸音板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16.14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原顶喷灰</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1、原顶梁面喷深灰色无机涂料三遍</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2、按展开面积计算</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83.99</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石膏板平吊顶-硅酸钙穿孔复合吸音板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1、平面/φ8镀锌丝杆/T型简单不上人型轻钢龙骨/600*600*15mm硅酸钙穿孔复合吸音板面层</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12.82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顶面木纹边框</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1、顶面木纹边框/展宽120mm</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2、详见图纸</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34.08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顶面回光灯槽</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1、展宽350mm/双层9.5mm纸面石膏板/板面钉眼封防锈漆/自粘胶带/满批混合腻子三遍/白色无机涂料三遍</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95.71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窗帘盒</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1、展宽400mm/12mm玻镁板/9.5mm纸面石膏板/板面钉眼封防锈漆/自粘胶带/满批混合腻子三遍/白色无机涂料三遍</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21.51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顶面开孔</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1、开筒灯孔、喇叭孔</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顶面开孔</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1、开空调孔、格式灯孔</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成品检修孔</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1、开孔/成品检修口</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个</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三、墙面处理</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（一）办公区域</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包柱子</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3、12mm纸面石膏板/板面钉眼封防锈漆/自粘胶带</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1.34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石膏板封板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2、12mm纸面石膏板/板面钉眼封防锈漆/自粘胶带</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19.85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墙面喷刷涂料</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1、墙面满批混合腻子三遍/白色无机涂料三遍</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21.07</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7.66</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（二）门厅、过道</w:t>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包柱子</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3、12mm纸面石膏板/板面钉眼封防锈漆/自粘胶带</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石膏板封板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2、12mm纸面石膏板/板面钉眼封防锈漆/自粘胶带</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63.9</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艺术肌理涂料墙面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1、满批混合腻子三遍/艺术肌理涂料</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69.01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51.99</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硅酸钙板包柱</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布艺硬包</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1、布艺硬包</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53.55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不锈钢收边条</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1、黑钛不锈钢收边条</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37.42</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（三）公共展陈区</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美工版面基层墙面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1、12mm纸面石膏板/板面钉眼封防锈漆/自粘胶带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3、满批混合腻子三遍/宣绒布另计</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18.17</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美工版面基层墙面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2、12mm纸面石膏板/板面钉眼封防锈漆/自粘胶带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3、满批混合腻子三遍/宣绒布另计</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49.45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美工版面基层墙面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3、12mm纸面石膏板/板面钉眼封防锈漆/自粘胶带</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4、满批混合腻子三遍/宣绒布另计</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14.17</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21.59</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造型布艺硬包</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1、造型布艺硬包</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16.19</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不锈钢收边条</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1、黑钛不锈钢边框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14.72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27.09</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（四）控制室-单人/小合唱录音室</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41.01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聚酯纤维吸音板造型墙面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4、12mm阻燃聚酯纤维吸音板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23.93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陶铝吸音板造型墙面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4、15mm仿木纹陶铝吸音板/局部含灯槽</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8.11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陶铝吸音板墙面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1、15mm仿木纹陶铝吸音板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11.85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声学扩散板墙面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1、定制成品声学扩散板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2、规格:立体松木，600*600*90mm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（五）控制室-大合唱录音室</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61.48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聚酯纤维吸音板造型墙面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4、12mm阻燃聚酯纤维吸音板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5.75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32.28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陶铝吸音板造型墙面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4、15mm仿木纹陶铝吸音板/局部含灯槽</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1.93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陶铝吸音板墙面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1、15mm仿木纹陶铝吸音板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17.93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27.35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声学扩散板墙面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1、定制成品声学扩散板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2、规格：立体松木，600*600*90mm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（六）单人/小合唱录音室</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57.75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硅酸钙板包柱</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38.36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陶铝吸音板造型墙面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4、15mm仿木纹陶铝吸音板/局部含灯槽</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11.35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陶铝吸音板墙面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1、15mm仿木纹陶铝吸音板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7.45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22.46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声学扩散板墙面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1、定制成品声学扩散板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2、规格：立体松木，600*600*90mm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（七）大合唱录音室</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179.28</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硅酸钙板包柱</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1、附墙轻钢龙骨</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3.84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聚酯纤维吸音板造型墙面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1、12mm阻燃聚酯纤维吸音板/局部含灯槽</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28.86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54.24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声学扩散板墙面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1、定制成品声学扩散板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2、规格：立体松木，600*600*90mm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陶铝吸音板墙面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1、15mm仿木纹陶铝吸音板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3.35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28.05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声学扩散板墙面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1、定制成品声学扩散板</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2、规格：大宽频松木，600*1200*100mm</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块</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（八）储藏间（3间）</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石膏板封板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2、12mm纸面石膏板/板面钉眼封防锈漆/自粘胶带</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79.01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墙面喷刷涂料</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1、墙面满批混合腻子三遍/白色无机涂料三遍</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92.57</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33.18</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（九）隔音间（2间）</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硅酸钙板封板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1、轻钢龙骨内填50mm岩棉，容重100kg/m3</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2、12mm硅酸钙板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79.33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聚酯纤维吸音板墙面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1、12mm阻燃聚酯纤维吸音板</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77.93</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金属踢脚线</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1、12mm硅酸钙板/成品1.2mm黑钛不锈钢踢脚线H=50mm </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27.99</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四、门窗处理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成品暗门</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1、定制成品暗门700*1800mm/饰面层另计/暗门五金</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樘</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木纹色隔音门</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1、定制成品木纹色隔音门及门套1010*2450mm/单开不锈钢执手锁1把/不锈钢铰链3只/不锈钢门吸1只/不锈钢拉手1副</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樘</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木纹色隔音门</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1、定制成品木纹色隔音门及门套1610*2450mm/双开不锈钢执手锁1把/不锈钢铰链6只/不锈钢门吸2只/不锈钢拉手2副</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樘</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卷帘</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1、定制遮光卷帘</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58.05</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五、隔墙及其他处理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拆除工程</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1、原室内装修拆除</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2、垃圾清运</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550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金属隔断</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1、双层75系列轻钢龙骨</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423.76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金属隔断</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1、单层75系列轻钢龙骨</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241.36</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玻璃隔断</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1、定制成品单透钢化玻璃隔断（含玻璃门、五金）</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14.84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录音棚专业观察窗</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1、定制录音棚专业观察窗（含边框）</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2、外侧5+5中空玻璃、中间8mm斜坡玻璃、里侧5mm钢化玻璃</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3、专业</w:t>
            </w:r>
            <w:r>
              <w:rPr>
                <w:rFonts w:hint="eastAsia" w:ascii="黑体" w:hAnsi="黑体" w:eastAsia="黑体" w:cs="黑体"/>
                <w:color w:val="auto"/>
                <w:szCs w:val="21"/>
                <w:highlight w:val="none"/>
                <w:lang w:eastAsia="zh-CN"/>
              </w:rPr>
              <w:t xml:space="preserve">投标单位</w:t>
            </w:r>
            <w:r>
              <w:rPr>
                <w:rFonts w:hint="eastAsia" w:ascii="黑体" w:hAnsi="黑体" w:eastAsia="黑体" w:cs="黑体"/>
                <w:color w:val="auto"/>
                <w:szCs w:val="21"/>
                <w:highlight w:val="none"/>
              </w:rPr>
              <w:t xml:space="preserve">深化</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16.92</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零星钢构件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1、钢骨架/镀锌方管焊接/膨胀螺栓固定</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t</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0.91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遮阳布</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1、普通遮阳布、无滑轨、无窗帘杆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125.4</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脚手架搭拆</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1、脚手架搭拆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550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9</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保洁</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1、保洁</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550</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10</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打胶</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1、打胶</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550</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六、电气处理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电气工程</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1、电箱、电缆、桥架、管线、开关插座、普通灯具</w:t>
            </w:r>
            <w:r/>
          </w:p>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2、按装修平面面积计算</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550</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七、空调处理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000000" w:fill="ffffff"/>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原有室内空调风管机移位</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1、原有室内空调风管机移位</w:t>
            </w:r>
            <w:r/>
          </w:p>
        </w:tc>
        <w:tc>
          <w:tcPr>
            <w:shd w:val="clear" w:color="000000" w:fill="ffffff"/>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台</w:t>
            </w:r>
            <w:r/>
          </w:p>
        </w:tc>
        <w:tc>
          <w:tcPr>
            <w:shd w:val="clear" w:color="000000" w:fill="ffffff"/>
            <w:tcW w:w="851"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w:t>
            </w:r>
            <w:r/>
          </w:p>
        </w:tc>
      </w:tr>
      <w:tr>
        <w:trPr>
          <w:trHeight w:val="600"/>
        </w:trPr>
        <w:tc>
          <w:tcPr>
            <w:shd w:val="clear" w:color="000000" w:fill="ffffff"/>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原有空调风管口接软管至吊顶完成面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1、原有空调风管口接软管至吊顶完成面</w:t>
            </w:r>
            <w:r/>
          </w:p>
        </w:tc>
        <w:tc>
          <w:tcPr>
            <w:shd w:val="clear" w:color="000000" w:fill="ffffff"/>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w:t>
            </w:r>
            <w:r/>
          </w:p>
        </w:tc>
        <w:tc>
          <w:tcPr>
            <w:shd w:val="clear" w:color="000000" w:fill="ffffff"/>
            <w:tcW w:w="851"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r>
      <w:tr>
        <w:trPr>
          <w:trHeight w:val="600"/>
        </w:trPr>
        <w:tc>
          <w:tcPr>
            <w:gridSpan w:val="3"/>
            <w:shd w:val="clear" w:color="auto" w:fill="auto"/>
            <w:tcW w:w="7245"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八、消防处理</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　</w:t>
            </w:r>
            <w:r/>
          </w:p>
        </w:tc>
      </w:tr>
      <w:tr>
        <w:trPr>
          <w:trHeight w:val="600"/>
        </w:trPr>
        <w:tc>
          <w:tcPr>
            <w:shd w:val="clear" w:color="000000" w:fill="ffffff"/>
            <w:tcW w:w="582"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p>
        </w:tc>
        <w:tc>
          <w:tcPr>
            <w:shd w:val="clear" w:color="auto" w:fill="auto"/>
            <w:tcW w:w="1418"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消防喷淋改造</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1、上喷改下喷</w:t>
            </w:r>
            <w:r/>
          </w:p>
        </w:tc>
        <w:tc>
          <w:tcPr>
            <w:shd w:val="clear" w:color="000000" w:fill="ffffff"/>
            <w:tcW w:w="7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m2</w:t>
            </w:r>
            <w:r/>
          </w:p>
        </w:tc>
        <w:tc>
          <w:tcPr>
            <w:shd w:val="clear" w:color="000000" w:fill="ffffff"/>
            <w:tcW w:w="851" w:type="dxa"/>
            <w:vAlign w:val="center"/>
            <w:textDirection w:val="lrTb"/>
            <w:noWrap/>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550</w:t>
            </w:r>
            <w:r/>
          </w:p>
        </w:tc>
      </w:tr>
    </w:tbl>
    <w:p>
      <w:pPr>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pStyle w:val="767"/>
        <w:jc w:val="center"/>
        <w:spacing w:before="0" w:after="0" w:line="360" w:lineRule="auto"/>
        <w:rPr>
          <w:rFonts w:hint="eastAsia" w:ascii="黑体" w:hAnsi="黑体" w:eastAsia="黑体" w:cs="黑体"/>
          <w:color w:val="auto"/>
          <w:szCs w:val="28"/>
          <w:highlight w:val="none"/>
        </w:rPr>
      </w:pPr>
      <w:r>
        <w:rPr>
          <w:rFonts w:hint="eastAsia" w:ascii="黑体" w:hAnsi="黑体" w:eastAsia="黑体" w:cs="黑体"/>
          <w:color w:val="auto"/>
          <w:szCs w:val="28"/>
          <w:highlight w:val="none"/>
        </w:rPr>
        <w:t xml:space="preserve">童声文创坊展陈区环境营造</w:t>
      </w:r>
      <w:r/>
    </w:p>
    <w:tbl>
      <w:tblPr>
        <w:tblStyle w:val="772"/>
        <w:tblW w:w="880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418"/>
        <w:gridCol w:w="5245"/>
        <w:gridCol w:w="708"/>
        <w:gridCol w:w="851"/>
      </w:tblGrid>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序号</w:t>
            </w:r>
            <w:r/>
          </w:p>
        </w:tc>
        <w:tc>
          <w:tcPr>
            <w:shd w:val="clear" w:color="auto" w:fill="auto"/>
            <w:tcW w:w="1418" w:type="dxa"/>
            <w:vAlign w:val="center"/>
            <w:textDirection w:val="lrTb"/>
            <w:noWrap w:val="false"/>
          </w:tcPr>
          <w:p>
            <w:pPr>
              <w:jc w:val="center"/>
              <w:widowControl/>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项目名称</w:t>
            </w:r>
            <w:r/>
          </w:p>
        </w:tc>
        <w:tc>
          <w:tcPr>
            <w:shd w:val="clear" w:color="auto" w:fill="auto"/>
            <w:tcW w:w="5245" w:type="dxa"/>
            <w:vAlign w:val="center"/>
            <w:textDirection w:val="lrTb"/>
            <w:noWrap w:val="false"/>
          </w:tcPr>
          <w:p>
            <w:pPr>
              <w:jc w:val="center"/>
              <w:widowControl/>
              <w:rPr>
                <w:rFonts w:hint="eastAsia" w:ascii="黑体" w:hAnsi="黑体" w:eastAsia="黑体" w:cs="黑体"/>
                <w:b/>
                <w:bCs/>
                <w:color w:val="auto"/>
                <w:highlight w:val="none"/>
              </w:rPr>
            </w:pPr>
            <w:r/>
            <w:bookmarkStart w:id="136" w:name="OLE_LINK67"/>
            <w:r/>
            <w:bookmarkStart w:id="137" w:name="OLE_LINK66"/>
            <w:r>
              <w:rPr>
                <w:rFonts w:hint="eastAsia" w:ascii="黑体" w:hAnsi="黑体" w:eastAsia="黑体" w:cs="黑体"/>
                <w:b/>
                <w:bCs/>
                <w:color w:val="auto"/>
                <w:highlight w:val="none"/>
              </w:rPr>
              <w:t xml:space="preserve">项目特征描述</w:t>
            </w:r>
            <w:bookmarkEnd w:id="136"/>
            <w:r/>
            <w:bookmarkEnd w:id="137"/>
            <w:r/>
            <w:r/>
          </w:p>
        </w:tc>
        <w:tc>
          <w:tcPr>
            <w:shd w:val="clear" w:color="auto" w:fill="auto"/>
            <w:tcW w:w="708" w:type="dxa"/>
            <w:vAlign w:val="center"/>
            <w:textDirection w:val="lrTb"/>
            <w:noWrap w:val="false"/>
          </w:tcPr>
          <w:p>
            <w:pPr>
              <w:jc w:val="center"/>
              <w:widowControl/>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计量单位</w:t>
            </w:r>
            <w:r/>
          </w:p>
        </w:tc>
        <w:tc>
          <w:tcPr>
            <w:shd w:val="clear" w:color="auto" w:fill="auto"/>
            <w:tcW w:w="851" w:type="dxa"/>
            <w:vAlign w:val="center"/>
            <w:textDirection w:val="lrTb"/>
            <w:noWrap w:val="false"/>
          </w:tcPr>
          <w:p>
            <w:pPr>
              <w:jc w:val="center"/>
              <w:widowControl/>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工程量</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1</w:t>
            </w:r>
            <w:r/>
          </w:p>
        </w:tc>
        <w:tc>
          <w:tcPr>
            <w:shd w:val="clear" w:color="auto" w:fill="auto"/>
            <w:tcW w:w="1418" w:type="dxa"/>
            <w:vAlign w:val="center"/>
            <w:textDirection w:val="lrTb"/>
            <w:noWrap w:val="false"/>
          </w:tcPr>
          <w:p>
            <w:pP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拆除工程</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1、原服务台上方顶面局部拆除、后局部修复</w:t>
            </w:r>
            <w:r/>
          </w:p>
          <w:p>
            <w:pPr>
              <w:ind w:firstLine="420"/>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2、墙面美工字拆除</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项</w:t>
            </w:r>
            <w:r/>
          </w:p>
        </w:tc>
        <w:tc>
          <w:tcPr>
            <w:shd w:val="clear" w:color="auto" w:fill="auto"/>
            <w:tcW w:w="851" w:type="dxa"/>
            <w:vAlign w:val="center"/>
            <w:textDirection w:val="lrTb"/>
            <w:noWrap/>
          </w:tcPr>
          <w:p>
            <w:pPr>
              <w:jc w:val="cente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1</w:t>
            </w:r>
            <w:r/>
          </w:p>
        </w:tc>
      </w:tr>
      <w:tr>
        <w:trPr>
          <w:trHeight w:val="600"/>
        </w:trPr>
        <w:tc>
          <w:tcPr>
            <w:shd w:val="clear" w:color="auto" w:fill="auto"/>
            <w:tcW w:w="582" w:type="dxa"/>
            <w:vAlign w:val="center"/>
            <w:textDirection w:val="lrTb"/>
            <w:noWrap w:val="false"/>
          </w:tcPr>
          <w:p>
            <w:pPr>
              <w:jc w:val="cente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2</w:t>
            </w:r>
            <w:r/>
          </w:p>
        </w:tc>
        <w:tc>
          <w:tcPr>
            <w:shd w:val="clear" w:color="auto" w:fill="auto"/>
            <w:tcW w:w="1418" w:type="dxa"/>
            <w:vAlign w:val="center"/>
            <w:textDirection w:val="lrTb"/>
            <w:noWrap w:val="false"/>
          </w:tcPr>
          <w:p>
            <w:pP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美工版面基层墙面</w:t>
            </w:r>
            <w:r/>
          </w:p>
        </w:tc>
        <w:tc>
          <w:tcPr>
            <w:shd w:val="clear" w:color="auto" w:fill="auto"/>
            <w:tcW w:w="5245" w:type="dxa"/>
            <w:vAlign w:val="center"/>
            <w:textDirection w:val="lrTb"/>
            <w:noWrap w:val="false"/>
          </w:tcPr>
          <w:p>
            <w:pPr>
              <w:ind w:firstLine="420"/>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1、轻钢龙骨内填50mm岩棉，容重100kg/m3</w:t>
            </w:r>
            <w:r/>
          </w:p>
          <w:p>
            <w:pPr>
              <w:ind w:firstLine="420"/>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2、12mm纸面石膏板/板面钉眼封防锈漆/自粘胶带</w:t>
            </w:r>
            <w:r/>
          </w:p>
          <w:p>
            <w:pPr>
              <w:ind w:firstLine="420"/>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3、满批混合腻子三遍/宣绒布另计</w:t>
            </w:r>
            <w:r/>
          </w:p>
        </w:tc>
        <w:tc>
          <w:tcPr>
            <w:shd w:val="clear" w:color="auto" w:fill="auto"/>
            <w:tcW w:w="708" w:type="dxa"/>
            <w:vAlign w:val="center"/>
            <w:textDirection w:val="lrTb"/>
            <w:noWrap w:val="false"/>
          </w:tcPr>
          <w:p>
            <w:pPr>
              <w:jc w:val="cente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m2</w:t>
            </w:r>
            <w:r/>
          </w:p>
        </w:tc>
        <w:tc>
          <w:tcPr>
            <w:shd w:val="clear" w:color="auto" w:fill="auto"/>
            <w:tcW w:w="851" w:type="dxa"/>
            <w:vAlign w:val="center"/>
            <w:textDirection w:val="lrTb"/>
            <w:noWrap w:val="false"/>
          </w:tcPr>
          <w:p>
            <w:pPr>
              <w:jc w:val="center"/>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69.39</w:t>
            </w:r>
            <w:r/>
          </w:p>
        </w:tc>
      </w:tr>
    </w:tbl>
    <w:p>
      <w:pPr>
        <w:spacing w:line="360" w:lineRule="auto"/>
        <w:rPr>
          <w:rFonts w:hint="eastAsia" w:ascii="黑体" w:hAnsi="黑体" w:eastAsia="黑体" w:cs="黑体"/>
          <w:b/>
          <w:bCs/>
          <w:color w:val="auto"/>
          <w:sz w:val="28"/>
          <w:szCs w:val="28"/>
          <w:highlight w:val="none"/>
        </w:rPr>
      </w:pPr>
      <w:r>
        <w:rPr>
          <w:rFonts w:hint="eastAsia" w:ascii="黑体" w:hAnsi="黑体" w:eastAsia="黑体" w:cs="黑体"/>
          <w:color w:val="auto"/>
          <w:sz w:val="28"/>
          <w:szCs w:val="28"/>
          <w:highlight w:val="none"/>
        </w:rPr>
        <w:t xml:space="preserve">注明：本项目为交钥匙项目，全过程产生的所有费用均包含在本次投标报价中，请</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自行查勘现场，不排除本项目需求内容中未提及部分，但本项目实际所需的材料及内容均包含在本次投标报价中，请</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仔细核实本</w:t>
      </w:r>
      <w:r>
        <w:rPr>
          <w:rFonts w:hint="eastAsia" w:ascii="黑体" w:hAnsi="黑体" w:eastAsia="黑体" w:cs="黑体"/>
          <w:color w:val="auto"/>
          <w:sz w:val="28"/>
          <w:szCs w:val="28"/>
          <w:highlight w:val="none"/>
          <w:lang w:eastAsia="zh-CN"/>
        </w:rPr>
        <w:t xml:space="preserve">招标文件</w:t>
      </w:r>
      <w:r>
        <w:rPr>
          <w:rFonts w:hint="eastAsia" w:ascii="黑体" w:hAnsi="黑体" w:eastAsia="黑体" w:cs="黑体"/>
          <w:color w:val="auto"/>
          <w:sz w:val="28"/>
          <w:szCs w:val="28"/>
          <w:highlight w:val="none"/>
        </w:rPr>
        <w:t xml:space="preserve">内容以及深化设计所有涉及的内容，进行综合考虑后合理报价。一旦中标，成交</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不得以不了解本项目，要求采购人额外支付任何费用。</w:t>
      </w:r>
      <w:r/>
    </w:p>
    <w:p>
      <w:pPr>
        <w:pStyle w:val="763"/>
        <w:ind w:firstLine="560"/>
        <w:spacing w:before="0" w:after="0" w:line="360" w:lineRule="auto"/>
        <w:widowControl/>
        <w:rPr>
          <w:rFonts w:hint="eastAsia" w:ascii="黑体" w:hAnsi="黑体" w:eastAsia="黑体" w:cs="黑体"/>
          <w:color w:val="auto"/>
          <w:sz w:val="28"/>
          <w:szCs w:val="28"/>
          <w:highlight w:val="none"/>
          <w:lang w:bidi="ar"/>
        </w:rPr>
      </w:pPr>
      <w:r>
        <w:rPr>
          <w:rFonts w:hint="eastAsia" w:ascii="黑体" w:hAnsi="黑体" w:eastAsia="黑体" w:cs="黑体"/>
          <w:color w:val="auto"/>
          <w:sz w:val="28"/>
          <w:szCs w:val="28"/>
          <w:highlight w:val="none"/>
        </w:rPr>
        <w:t xml:space="preserve">3.合同履约期限：</w:t>
      </w:r>
      <w:r>
        <w:rPr>
          <w:rFonts w:hint="eastAsia" w:ascii="黑体" w:hAnsi="黑体" w:eastAsia="黑体" w:cs="黑体"/>
          <w:b w:val="0"/>
          <w:bCs w:val="0"/>
          <w:color w:val="auto"/>
          <w:sz w:val="28"/>
          <w:szCs w:val="28"/>
          <w:highlight w:val="none"/>
        </w:rPr>
        <w:t xml:space="preserve">自合同内约定的时间起120日历天内完成本项目所有服务内容（含各专业施工图及布展的深化设计、布展实施、软硬件的安装及调试、完成整体竣工验收通过）；</w:t>
      </w:r>
      <w:r/>
    </w:p>
    <w:p>
      <w:pPr>
        <w:pStyle w:val="1019"/>
        <w:ind w:firstLine="560"/>
        <w:jc w:val="both"/>
        <w:spacing w:before="0" w:beforeAutospacing="0" w:after="0" w:afterAutospacing="0" w:line="44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w:t>
      </w:r>
      <w:r>
        <w:rPr>
          <w:rFonts w:hint="eastAsia" w:ascii="黑体" w:hAnsi="黑体" w:eastAsia="黑体" w:cs="黑体"/>
          <w:b/>
          <w:bCs/>
          <w:color w:val="auto"/>
          <w:sz w:val="28"/>
          <w:szCs w:val="28"/>
          <w:highlight w:val="none"/>
        </w:rPr>
        <w:t xml:space="preserve">服务地点：采购人指定地点。</w:t>
      </w:r>
      <w:r/>
    </w:p>
    <w:p>
      <w:pPr>
        <w:pStyle w:val="785"/>
        <w:spacing w:before="120" w:after="120" w:line="360" w:lineRule="auto"/>
        <w:tabs>
          <w:tab w:val="left" w:pos="0" w:leader="none"/>
        </w:tabs>
        <w:rPr>
          <w:rFonts w:hint="eastAsia" w:ascii="黑体" w:hAnsi="黑体" w:eastAsia="黑体" w:cs="黑体"/>
          <w:b/>
          <w:bCs/>
          <w:color w:val="auto"/>
          <w:sz w:val="28"/>
          <w:szCs w:val="28"/>
          <w:highlight w:val="none"/>
        </w:rPr>
        <w:outlineLvl w:val="0"/>
      </w:pPr>
      <w:r/>
      <w:bookmarkStart w:id="138" w:name="_Toc1830"/>
      <w:r>
        <w:rPr>
          <w:rFonts w:hint="eastAsia" w:ascii="黑体" w:hAnsi="黑体" w:eastAsia="黑体" w:cs="黑体"/>
          <w:b/>
          <w:color w:val="auto"/>
          <w:sz w:val="28"/>
          <w:szCs w:val="28"/>
          <w:highlight w:val="none"/>
        </w:rPr>
        <w:t xml:space="preserve">五、</w:t>
      </w:r>
      <w:r>
        <w:rPr>
          <w:rFonts w:hint="eastAsia" w:ascii="黑体" w:hAnsi="黑体" w:eastAsia="黑体" w:cs="黑体"/>
          <w:b/>
          <w:bCs/>
          <w:color w:val="auto"/>
          <w:sz w:val="28"/>
          <w:szCs w:val="28"/>
          <w:highlight w:val="none"/>
        </w:rPr>
        <w:t xml:space="preserve">采购标的包装、运输、交货、验收标准、售后及培训</w:t>
      </w:r>
      <w:r/>
    </w:p>
    <w:p>
      <w:pPr>
        <w:pStyle w:val="785"/>
        <w:ind w:firstLine="562"/>
        <w:spacing w:before="120" w:after="120" w:line="360" w:lineRule="auto"/>
        <w:tabs>
          <w:tab w:val="left" w:pos="0" w:leader="none"/>
        </w:tabs>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1.商品包装环保要求：</w:t>
      </w:r>
      <w:r>
        <w:rPr>
          <w:rFonts w:hint="eastAsia" w:ascii="黑体" w:hAnsi="黑体" w:eastAsia="黑体" w:cs="黑体"/>
          <w:color w:val="auto"/>
          <w:sz w:val="28"/>
          <w:szCs w:val="28"/>
          <w:highlight w:val="none"/>
        </w:rPr>
        <w:t xml:space="preserve">应当按《关于印发〈商品包装政府采购需求标准（试行）〉、〈快递包装政府采购需求标准（试行）〉的通知》（财办库〔2020〕123号）文件执行。</w:t>
      </w:r>
      <w:r/>
    </w:p>
    <w:p>
      <w:pPr>
        <w:pStyle w:val="785"/>
        <w:ind w:firstLine="560"/>
        <w:spacing w:before="120" w:after="120" w:line="360" w:lineRule="auto"/>
        <w:tabs>
          <w:tab w:val="left" w:pos="0"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785"/>
        <w:ind w:firstLine="562"/>
        <w:spacing w:before="120" w:after="120" w:line="360" w:lineRule="auto"/>
        <w:tabs>
          <w:tab w:val="left" w:pos="0" w:leader="none"/>
        </w:tabs>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2.运输：</w:t>
      </w:r>
      <w:r>
        <w:rPr>
          <w:rFonts w:hint="eastAsia" w:ascii="黑体" w:hAnsi="黑体" w:eastAsia="黑体" w:cs="黑体"/>
          <w:color w:val="auto"/>
          <w:sz w:val="28"/>
          <w:szCs w:val="28"/>
          <w:highlight w:val="none"/>
        </w:rPr>
        <w:t xml:space="preserve">货物的运输及风险由中标人负责，运输费用及运输保险费用包含在合同价款中，采购人对此不负任何责任。</w:t>
      </w:r>
      <w:r/>
    </w:p>
    <w:p>
      <w:pPr>
        <w:pStyle w:val="785"/>
        <w:ind w:firstLine="562"/>
        <w:spacing w:before="120" w:after="120" w:line="360" w:lineRule="auto"/>
        <w:tabs>
          <w:tab w:val="left" w:pos="0" w:leader="none"/>
        </w:tabs>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3.交货、安装：</w:t>
      </w:r>
      <w:r>
        <w:rPr>
          <w:rFonts w:hint="eastAsia" w:ascii="黑体" w:hAnsi="黑体" w:eastAsia="黑体" w:cs="黑体"/>
          <w:color w:val="auto"/>
          <w:sz w:val="28"/>
          <w:szCs w:val="28"/>
          <w:highlight w:val="none"/>
        </w:rPr>
        <w:t xml:space="preserve">交货方式为中标人送货至采购人指定地点，除不可抗力因素外，中标人必须按合同规定的时间、地点安排各项的实施、交货并安装。</w:t>
      </w:r>
      <w:r/>
    </w:p>
    <w:p>
      <w:pPr>
        <w:pStyle w:val="785"/>
        <w:ind w:firstLine="562"/>
        <w:spacing w:before="120" w:after="120" w:line="360" w:lineRule="auto"/>
        <w:tabs>
          <w:tab w:val="left" w:pos="0" w:leader="none"/>
        </w:tabs>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4.交货时间：</w:t>
      </w:r>
      <w:r>
        <w:rPr>
          <w:rFonts w:hint="eastAsia" w:ascii="黑体" w:hAnsi="黑体" w:eastAsia="黑体" w:cs="黑体"/>
          <w:color w:val="auto"/>
          <w:sz w:val="28"/>
          <w:szCs w:val="28"/>
          <w:highlight w:val="none"/>
        </w:rPr>
        <w:t xml:space="preserve">自合同内约定的时间起120日历天内完成本项目所有服务内容（含各专业施工图及布展的深化设计、布展实施、软硬件的安装及调试、完成整体竣工验收通过）。</w:t>
      </w:r>
      <w:r/>
    </w:p>
    <w:p>
      <w:pPr>
        <w:contextualSpacing/>
        <w:ind w:firstLine="562"/>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5.验收标准：</w:t>
      </w:r>
      <w:r/>
    </w:p>
    <w:p>
      <w:pPr>
        <w:contextualSpacing/>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（1）严格按照采购合同开展履约验收。采购人成立验收小组，按照采购合同的约定对</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contextualSpacing/>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（2）验收合格的项目，采购人将根据采购合同的约定及时向</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支付采购资金、退还履约保证金。验收不合格的项目，采购人将依法及时处理。采购合同的履行、违约责任和解决争议的方式等适用《中华人民共和国民法典》。</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在履约过程中有政府采购法律法规规定的违法违规情形的，一切责任由</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自行承担。</w:t>
      </w:r>
      <w:r/>
    </w:p>
    <w:p>
      <w:pPr>
        <w:contextualSpacing/>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（3）验收成功通过，费用由采购人支付，但在验收不成功产生的所有费用包含验收费用均由中标人承担。</w:t>
      </w:r>
      <w:r/>
    </w:p>
    <w:p>
      <w:pPr>
        <w:contextualSpacing/>
        <w:ind w:firstLine="562"/>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6、培训与售后服务</w:t>
      </w:r>
      <w:bookmarkEnd w:id="138"/>
      <w:r/>
      <w:r/>
    </w:p>
    <w:p>
      <w:pPr>
        <w:contextualSpacing/>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（1）提供7x24小时技术咨询热线。</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（2）故障响应时间：接到报修后2小时内响应，一般故障24小时内解决，重大故障48小时内提出解决方案并尽快修复。</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质保期内乙方需承担因修补展项、设备、材料和软件中的缺陷而发生的所有费用，以及往返工地的运输和保险费用等。乙方逾期不派人修复、更换的，甲方有权委任第三人修复、更换，由此产生的费用由乙方承担。</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（4）经甲方认可，乙方可对细小缺陷进行修理或调整，但由此产生的全部直接费用由乙方负责。</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（5）如在布展设备、材料和软件使用过程中发现有重大的设计缺陷或安全隐患，乙方有责任负责采取相应的补救措施以克服或排除。</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（6）质量保证期内所有软件提供免费升级。</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（7）质保期内，由于使用不当造成故障而不属于保修范围内，乙方应予以最优惠价格进行有偿修复。</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（8）质保期结束后乙方还应提供必要的技术支持服务，但可按公开的标准酌情收取适当费用，其间因维护、升级、改造等服务所需的材料设备费用由甲方承担。</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（9）提供定期巡检服务。 建立备品备件库或提供快速采购渠道。</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10）所有产品及更换零配件与市场上其他同类产品具有适配度及兼容性，质保期届满后，中标人可继续提供设备的维修服务，保证不可高于本合同内产品品相关备品、备件及维修服务的价格，并且不高于任何第三方的优惠价格。</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（11）乙方负责对甲方的参加的人员进行技术培训，包括讲解培训、操作培训、维护培训、运维管理培训以及其它技术培训。</w:t>
      </w:r>
      <w:r/>
    </w:p>
    <w:p>
      <w:pPr>
        <w:ind w:left="10" w:firstLine="476"/>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（12）本项目质保期：从验收合格之日起不低于3年。 </w:t>
      </w:r>
      <w:r/>
    </w:p>
    <w:p>
      <w:pPr>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六、其他要求</w:t>
      </w:r>
      <w:r/>
    </w:p>
    <w:p>
      <w:pPr>
        <w:ind w:firstLine="562"/>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（1）不允许转包或分包，一旦发现转包或分包行为，采购人有权单方面终止合同，成交人承担违约责任，采购人有权不予拨付资金。</w:t>
      </w:r>
      <w:r/>
    </w:p>
    <w:p>
      <w:pPr>
        <w:ind w:firstLine="562"/>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（2）成交人应保证采购人在使用本项目的服务或其任何一部分时不受第三方提出侵犯其专利权、版权、商标权或其他权利的起诉。一旦出现侵权，成交人应承担全部责任。</w:t>
      </w:r>
      <w:r/>
    </w:p>
    <w:p>
      <w:pPr>
        <w:ind w:firstLine="562"/>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（3）</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须对采购单位提供的数据、材料具有保密义务，如发现有泄密行为，采购单位有权解除合同并追究其相关责任。</w:t>
      </w:r>
      <w:r/>
    </w:p>
    <w:p>
      <w:pPr>
        <w:ind w:firstLine="562"/>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（4）如发现成交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出现弄虚作假行为的，采购单位有权解除合同并追究其相关责任。成交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对服务缺陷不予更正，采购单位有权另请其他单位更正，所发生的费用由成交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承担。</w:t>
      </w:r>
      <w:r/>
    </w:p>
    <w:p>
      <w:pPr>
        <w:ind w:firstLine="562"/>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（5）</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必须承诺响应</w:t>
      </w:r>
      <w:r>
        <w:rPr>
          <w:rFonts w:hint="eastAsia" w:ascii="黑体" w:hAnsi="黑体" w:eastAsia="黑体" w:cs="黑体"/>
          <w:b/>
          <w:bCs/>
          <w:color w:val="auto"/>
          <w:sz w:val="28"/>
          <w:szCs w:val="28"/>
          <w:highlight w:val="none"/>
          <w:lang w:eastAsia="zh-CN"/>
        </w:rPr>
        <w:t xml:space="preserve">招标文件</w:t>
      </w:r>
      <w:r>
        <w:rPr>
          <w:rFonts w:hint="eastAsia" w:ascii="黑体" w:hAnsi="黑体" w:eastAsia="黑体" w:cs="黑体"/>
          <w:b/>
          <w:bCs/>
          <w:color w:val="auto"/>
          <w:sz w:val="28"/>
          <w:szCs w:val="28"/>
          <w:highlight w:val="none"/>
        </w:rPr>
        <w:t xml:space="preserve">中提出的全部要求，只响应其中部分内容者，其响应文件将作无效标处理。</w:t>
      </w:r>
      <w:r/>
    </w:p>
    <w:p>
      <w:pPr>
        <w:ind w:firstLine="562"/>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（6）本项目发生以下情况一切安全责任均由成交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负责，采购人不承担任何责任：成交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人员在岗履行工作职责期间，发生自身的人身伤害、伤亡；成交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违反国家相关法规，与聘用人员发生纠纷，均由成交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负责调解与处理；成交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在所有服务中违反国家相关法规或行业规范，因过失造成他人人身伤亡等，均由成交</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负责处理并承担经济和道义上的责任，采购人不承担任何责任。</w:t>
      </w:r>
      <w:r/>
    </w:p>
    <w:p>
      <w:pPr>
        <w:pStyle w:val="800"/>
        <w:ind w:firstLine="538"/>
        <w:spacing w:before="0" w:beforeAutospacing="0" w:after="0" w:afterAutospacing="0" w:line="440" w:lineRule="exact"/>
        <w:widowControl w:val="off"/>
        <w:rPr>
          <w:rFonts w:hint="eastAsia" w:ascii="黑体" w:hAnsi="黑体" w:eastAsia="黑体" w:cs="黑体"/>
          <w:b/>
          <w:bCs/>
          <w:color w:val="auto"/>
          <w:spacing w:val="-6"/>
          <w:sz w:val="28"/>
          <w:szCs w:val="28"/>
          <w:highlight w:val="none"/>
        </w:rPr>
      </w:pPr>
      <w:r>
        <w:rPr>
          <w:rFonts w:hint="eastAsia" w:ascii="黑体" w:hAnsi="黑体" w:eastAsia="黑体" w:cs="黑体"/>
          <w:b/>
          <w:bCs/>
          <w:color w:val="auto"/>
          <w:spacing w:val="-6"/>
          <w:sz w:val="28"/>
          <w:szCs w:val="28"/>
          <w:highlight w:val="none"/>
        </w:rPr>
        <w:t xml:space="preserve">（7）本项目各阶段具体服务内容及要求，请各</w:t>
      </w:r>
      <w:r>
        <w:rPr>
          <w:rFonts w:hint="eastAsia" w:ascii="黑体" w:hAnsi="黑体" w:eastAsia="黑体" w:cs="黑体"/>
          <w:b/>
          <w:bCs/>
          <w:color w:val="auto"/>
          <w:spacing w:val="-6"/>
          <w:sz w:val="28"/>
          <w:szCs w:val="28"/>
          <w:highlight w:val="none"/>
          <w:lang w:eastAsia="zh-CN"/>
        </w:rPr>
        <w:t xml:space="preserve">投标单位</w:t>
      </w:r>
      <w:r>
        <w:rPr>
          <w:rFonts w:hint="eastAsia" w:ascii="黑体" w:hAnsi="黑体" w:eastAsia="黑体" w:cs="黑体"/>
          <w:b/>
          <w:bCs/>
          <w:color w:val="auto"/>
          <w:spacing w:val="-6"/>
          <w:sz w:val="28"/>
          <w:szCs w:val="28"/>
          <w:highlight w:val="none"/>
        </w:rPr>
        <w:t xml:space="preserve">根据以往经验自行综合考虑并结合</w:t>
      </w:r>
      <w:r>
        <w:rPr>
          <w:rFonts w:hint="eastAsia" w:ascii="黑体" w:hAnsi="黑体" w:eastAsia="黑体" w:cs="黑体"/>
          <w:b/>
          <w:bCs/>
          <w:color w:val="auto"/>
          <w:spacing w:val="-6"/>
          <w:sz w:val="28"/>
          <w:szCs w:val="28"/>
          <w:highlight w:val="none"/>
          <w:lang w:eastAsia="zh-CN"/>
        </w:rPr>
        <w:t xml:space="preserve">招标文件</w:t>
      </w:r>
      <w:r>
        <w:rPr>
          <w:rFonts w:hint="eastAsia" w:ascii="黑体" w:hAnsi="黑体" w:eastAsia="黑体" w:cs="黑体"/>
          <w:b/>
          <w:bCs/>
          <w:color w:val="auto"/>
          <w:spacing w:val="-6"/>
          <w:sz w:val="28"/>
          <w:szCs w:val="28"/>
          <w:highlight w:val="none"/>
        </w:rPr>
        <w:t xml:space="preserve">内容后进行合理报价，若成交后成交</w:t>
      </w:r>
      <w:r>
        <w:rPr>
          <w:rFonts w:hint="eastAsia" w:ascii="黑体" w:hAnsi="黑体" w:eastAsia="黑体" w:cs="黑体"/>
          <w:b/>
          <w:bCs/>
          <w:color w:val="auto"/>
          <w:spacing w:val="-6"/>
          <w:sz w:val="28"/>
          <w:szCs w:val="28"/>
          <w:highlight w:val="none"/>
          <w:lang w:eastAsia="zh-CN"/>
        </w:rPr>
        <w:t xml:space="preserve">投标单位</w:t>
      </w:r>
      <w:r>
        <w:rPr>
          <w:rFonts w:hint="eastAsia" w:ascii="黑体" w:hAnsi="黑体" w:eastAsia="黑体" w:cs="黑体"/>
          <w:b/>
          <w:bCs/>
          <w:color w:val="auto"/>
          <w:spacing w:val="-6"/>
          <w:sz w:val="28"/>
          <w:szCs w:val="28"/>
          <w:highlight w:val="none"/>
        </w:rPr>
        <w:t xml:space="preserve">以各种理由在</w:t>
      </w:r>
      <w:r>
        <w:rPr>
          <w:rFonts w:hint="eastAsia" w:ascii="黑体" w:hAnsi="黑体" w:eastAsia="黑体" w:cs="黑体"/>
          <w:b/>
          <w:bCs/>
          <w:color w:val="auto"/>
          <w:spacing w:val="-6"/>
          <w:sz w:val="28"/>
          <w:szCs w:val="28"/>
          <w:highlight w:val="none"/>
          <w:lang w:eastAsia="zh-CN"/>
        </w:rPr>
        <w:t xml:space="preserve">招标文件</w:t>
      </w:r>
      <w:r>
        <w:rPr>
          <w:rFonts w:hint="eastAsia" w:ascii="黑体" w:hAnsi="黑体" w:eastAsia="黑体" w:cs="黑体"/>
          <w:b/>
          <w:bCs/>
          <w:color w:val="auto"/>
          <w:spacing w:val="-6"/>
          <w:sz w:val="28"/>
          <w:szCs w:val="28"/>
          <w:highlight w:val="none"/>
        </w:rPr>
        <w:t xml:space="preserve">规定的时间内不予签订合同及实施的，采购人将上报有关监管部门后将其列入信用黑名单，视情节轻重该单位将1-3年之内不能参加南通市政府采购相关活动。</w:t>
      </w:r>
      <w:r/>
    </w:p>
    <w:p>
      <w:pPr>
        <w:ind w:firstLine="538"/>
        <w:jc w:val="left"/>
        <w:spacing w:line="440" w:lineRule="exact"/>
        <w:rPr>
          <w:rFonts w:hint="eastAsia" w:ascii="黑体" w:hAnsi="黑体" w:eastAsia="黑体" w:cs="黑体"/>
          <w:b/>
          <w:bCs/>
          <w:color w:val="auto"/>
          <w:spacing w:val="-6"/>
          <w:sz w:val="28"/>
          <w:szCs w:val="28"/>
          <w:highlight w:val="none"/>
        </w:rPr>
      </w:pPr>
      <w:r>
        <w:rPr>
          <w:rFonts w:hint="eastAsia" w:ascii="黑体" w:hAnsi="黑体" w:eastAsia="黑体" w:cs="黑体"/>
          <w:b/>
          <w:bCs/>
          <w:color w:val="auto"/>
          <w:spacing w:val="-6"/>
          <w:sz w:val="28"/>
          <w:szCs w:val="28"/>
          <w:highlight w:val="none"/>
        </w:rPr>
        <w:t xml:space="preserve">（8）成交</w:t>
      </w:r>
      <w:r>
        <w:rPr>
          <w:rFonts w:hint="eastAsia" w:ascii="黑体" w:hAnsi="黑体" w:eastAsia="黑体" w:cs="黑体"/>
          <w:b/>
          <w:bCs/>
          <w:color w:val="auto"/>
          <w:spacing w:val="-6"/>
          <w:sz w:val="28"/>
          <w:szCs w:val="28"/>
          <w:highlight w:val="none"/>
          <w:lang w:eastAsia="zh-CN"/>
        </w:rPr>
        <w:t xml:space="preserve">投标单位</w:t>
      </w:r>
      <w:r>
        <w:rPr>
          <w:rFonts w:hint="eastAsia" w:ascii="黑体" w:hAnsi="黑体" w:eastAsia="黑体" w:cs="黑体"/>
          <w:b/>
          <w:bCs/>
          <w:color w:val="auto"/>
          <w:spacing w:val="-6"/>
          <w:sz w:val="28"/>
          <w:szCs w:val="28"/>
          <w:highlight w:val="none"/>
        </w:rPr>
        <w:t xml:space="preserve">在合同期内出现重大失误，采购人有权终止合同，并从服务费中扣除成交</w:t>
      </w:r>
      <w:r>
        <w:rPr>
          <w:rFonts w:hint="eastAsia" w:ascii="黑体" w:hAnsi="黑体" w:eastAsia="黑体" w:cs="黑体"/>
          <w:b/>
          <w:bCs/>
          <w:color w:val="auto"/>
          <w:spacing w:val="-6"/>
          <w:sz w:val="28"/>
          <w:szCs w:val="28"/>
          <w:highlight w:val="none"/>
          <w:lang w:eastAsia="zh-CN"/>
        </w:rPr>
        <w:t xml:space="preserve">投标单位</w:t>
      </w:r>
      <w:r>
        <w:rPr>
          <w:rFonts w:hint="eastAsia" w:ascii="黑体" w:hAnsi="黑体" w:eastAsia="黑体" w:cs="黑体"/>
          <w:b/>
          <w:bCs/>
          <w:color w:val="auto"/>
          <w:spacing w:val="-6"/>
          <w:sz w:val="28"/>
          <w:szCs w:val="28"/>
          <w:highlight w:val="none"/>
        </w:rPr>
        <w:t xml:space="preserve">造成的损失。重大失误由采购人进行认定，成交</w:t>
      </w:r>
      <w:r>
        <w:rPr>
          <w:rFonts w:hint="eastAsia" w:ascii="黑体" w:hAnsi="黑体" w:eastAsia="黑体" w:cs="黑体"/>
          <w:b/>
          <w:bCs/>
          <w:color w:val="auto"/>
          <w:spacing w:val="-6"/>
          <w:sz w:val="28"/>
          <w:szCs w:val="28"/>
          <w:highlight w:val="none"/>
          <w:lang w:eastAsia="zh-CN"/>
        </w:rPr>
        <w:t xml:space="preserve">投标单位</w:t>
      </w:r>
      <w:r>
        <w:rPr>
          <w:rFonts w:hint="eastAsia" w:ascii="黑体" w:hAnsi="黑体" w:eastAsia="黑体" w:cs="黑体"/>
          <w:b/>
          <w:bCs/>
          <w:color w:val="auto"/>
          <w:spacing w:val="-6"/>
          <w:sz w:val="28"/>
          <w:szCs w:val="28"/>
          <w:highlight w:val="none"/>
        </w:rPr>
        <w:t xml:space="preserve">无条件服从。</w:t>
      </w:r>
      <w:r/>
    </w:p>
    <w:p>
      <w:pPr>
        <w:ind w:firstLine="538"/>
        <w:jc w:val="left"/>
        <w:spacing w:line="440" w:lineRule="exact"/>
        <w:rPr>
          <w:rFonts w:hint="eastAsia" w:ascii="黑体" w:hAnsi="黑体" w:eastAsia="黑体" w:cs="黑体"/>
          <w:b/>
          <w:bCs/>
          <w:color w:val="auto"/>
          <w:spacing w:val="-6"/>
          <w:sz w:val="28"/>
          <w:szCs w:val="28"/>
          <w:highlight w:val="none"/>
        </w:rPr>
      </w:pPr>
      <w:r>
        <w:rPr>
          <w:rFonts w:hint="eastAsia" w:ascii="黑体" w:hAnsi="黑体" w:eastAsia="黑体" w:cs="黑体"/>
          <w:b/>
          <w:bCs/>
          <w:color w:val="auto"/>
          <w:spacing w:val="-6"/>
          <w:sz w:val="28"/>
          <w:szCs w:val="28"/>
          <w:highlight w:val="none"/>
        </w:rPr>
        <w:t xml:space="preserve">（9）</w:t>
      </w:r>
      <w:r>
        <w:rPr>
          <w:rFonts w:hint="eastAsia" w:ascii="黑体" w:hAnsi="黑体" w:eastAsia="黑体" w:cs="黑体"/>
          <w:b/>
          <w:bCs/>
          <w:color w:val="auto"/>
          <w:spacing w:val="-6"/>
          <w:sz w:val="28"/>
          <w:szCs w:val="28"/>
          <w:highlight w:val="none"/>
          <w:lang w:eastAsia="zh-CN"/>
        </w:rPr>
        <w:t xml:space="preserve">投标单位</w:t>
      </w:r>
      <w:r>
        <w:rPr>
          <w:rFonts w:hint="eastAsia" w:ascii="黑体" w:hAnsi="黑体" w:eastAsia="黑体" w:cs="黑体"/>
          <w:b/>
          <w:bCs/>
          <w:color w:val="auto"/>
          <w:spacing w:val="-6"/>
          <w:sz w:val="28"/>
          <w:szCs w:val="28"/>
          <w:highlight w:val="none"/>
        </w:rPr>
        <w:t xml:space="preserve">及团队人员应当对项目实施过程中获知的资料文件、 数据信息和项目过程中形成的阶段性数据、文件、成果等严格保密。 </w:t>
      </w:r>
      <w:r>
        <w:rPr>
          <w:rFonts w:hint="eastAsia" w:ascii="黑体" w:hAnsi="黑体" w:eastAsia="黑体" w:cs="黑体"/>
          <w:b/>
          <w:bCs/>
          <w:color w:val="auto"/>
          <w:spacing w:val="-6"/>
          <w:sz w:val="28"/>
          <w:szCs w:val="28"/>
          <w:highlight w:val="none"/>
          <w:lang w:eastAsia="zh-CN"/>
        </w:rPr>
        <w:t xml:space="preserve">投标单位</w:t>
      </w:r>
      <w:r>
        <w:rPr>
          <w:rFonts w:hint="eastAsia" w:ascii="黑体" w:hAnsi="黑体" w:eastAsia="黑体" w:cs="黑体"/>
          <w:b/>
          <w:bCs/>
          <w:color w:val="auto"/>
          <w:spacing w:val="-6"/>
          <w:sz w:val="28"/>
          <w:szCs w:val="28"/>
          <w:highlight w:val="none"/>
        </w:rPr>
        <w:t xml:space="preserve">应妥善保管采购人提供的资料、数据等，并在项目实施完毕后立即归还或按要求销毁，不得擅自复制或留存。</w:t>
      </w:r>
      <w:r/>
    </w:p>
    <w:p>
      <w:pPr>
        <w:pStyle w:val="1019"/>
        <w:ind w:firstLine="480"/>
        <w:jc w:val="both"/>
        <w:spacing w:before="0" w:beforeAutospacing="0" w:after="0" w:afterAutospacing="0" w:line="360" w:lineRule="auto"/>
        <w:rPr>
          <w:rFonts w:hint="eastAsia" w:ascii="黑体" w:hAnsi="黑体" w:eastAsia="黑体" w:cs="黑体"/>
          <w:b/>
          <w:bCs/>
          <w:i/>
          <w:iCs/>
          <w:color w:val="auto"/>
          <w:spacing w:val="-6"/>
          <w:sz w:val="28"/>
          <w:szCs w:val="28"/>
          <w:highlight w:val="none"/>
          <w:u w:val="single"/>
        </w:rPr>
      </w:pPr>
      <w:r>
        <w:rPr>
          <w:rFonts w:hint="eastAsia" w:ascii="黑体" w:hAnsi="黑体" w:eastAsia="黑体" w:cs="黑体"/>
          <w:b/>
          <w:bCs/>
          <w:i/>
          <w:iCs/>
          <w:color w:val="auto"/>
          <w:sz w:val="28"/>
          <w:szCs w:val="28"/>
          <w:highlight w:val="none"/>
          <w:u w:val="single"/>
          <w:lang w:val="zh-CN"/>
        </w:rPr>
        <w:t xml:space="preserve">★</w:t>
      </w:r>
      <w:r>
        <w:rPr>
          <w:rFonts w:hint="eastAsia" w:ascii="黑体" w:hAnsi="黑体" w:eastAsia="黑体" w:cs="黑体"/>
          <w:b/>
          <w:bCs/>
          <w:color w:val="auto"/>
          <w:spacing w:val="-6"/>
          <w:sz w:val="28"/>
          <w:szCs w:val="28"/>
          <w:highlight w:val="none"/>
          <w:u w:val="single"/>
        </w:rPr>
        <w:t xml:space="preserve">（10）</w:t>
      </w:r>
      <w:r>
        <w:rPr>
          <w:rFonts w:hint="eastAsia" w:ascii="黑体" w:hAnsi="黑体" w:eastAsia="黑体" w:cs="黑体"/>
          <w:b/>
          <w:bCs/>
          <w:i/>
          <w:iCs/>
          <w:color w:val="auto"/>
          <w:spacing w:val="-6"/>
          <w:sz w:val="28"/>
          <w:szCs w:val="28"/>
          <w:highlight w:val="none"/>
          <w:u w:val="single"/>
          <w:lang w:eastAsia="zh-CN"/>
        </w:rPr>
        <w:t xml:space="preserve">投标单位</w:t>
      </w:r>
      <w:r>
        <w:rPr>
          <w:rFonts w:hint="eastAsia" w:ascii="黑体" w:hAnsi="黑体" w:eastAsia="黑体" w:cs="黑体"/>
          <w:b/>
          <w:bCs/>
          <w:i/>
          <w:iCs/>
          <w:color w:val="auto"/>
          <w:spacing w:val="-6"/>
          <w:sz w:val="28"/>
          <w:szCs w:val="28"/>
          <w:highlight w:val="none"/>
          <w:u w:val="single"/>
        </w:rPr>
        <w:t xml:space="preserve">须在项目实施前把详细的实施方案报送采购方审批，经批准同意后方可以进行设计。设计图纸内容须经采购人核实后方可进行工程量清单及标底的编制，工程量清单和标底内容须经采购人指定第三方的造价咨询服务机构审核出具咨询报告书，并经采购人确认后方可进行，并确保在本</w:t>
      </w:r>
      <w:r>
        <w:rPr>
          <w:rFonts w:hint="eastAsia" w:ascii="黑体" w:hAnsi="黑体" w:eastAsia="黑体" w:cs="黑体"/>
          <w:b/>
          <w:bCs/>
          <w:i/>
          <w:iCs/>
          <w:color w:val="auto"/>
          <w:spacing w:val="-6"/>
          <w:sz w:val="28"/>
          <w:szCs w:val="28"/>
          <w:highlight w:val="none"/>
          <w:u w:val="single"/>
          <w:lang w:eastAsia="zh-CN"/>
        </w:rPr>
        <w:t xml:space="preserve">招标文件</w:t>
      </w:r>
      <w:r>
        <w:rPr>
          <w:rFonts w:hint="eastAsia" w:ascii="黑体" w:hAnsi="黑体" w:eastAsia="黑体" w:cs="黑体"/>
          <w:b/>
          <w:bCs/>
          <w:i/>
          <w:iCs/>
          <w:color w:val="auto"/>
          <w:spacing w:val="-6"/>
          <w:sz w:val="28"/>
          <w:szCs w:val="28"/>
          <w:highlight w:val="none"/>
          <w:u w:val="single"/>
        </w:rPr>
        <w:t xml:space="preserve">规定的时间内通过全过程验收完毕交付给采购人（提供承诺书，格式自拟）。</w:t>
      </w:r>
      <w:r/>
    </w:p>
    <w:p>
      <w:pPr>
        <w:ind w:firstLine="480"/>
        <w:spacing w:line="360" w:lineRule="auto"/>
        <w:rPr>
          <w:rFonts w:hint="eastAsia" w:ascii="黑体" w:hAnsi="黑体" w:eastAsia="黑体" w:cs="黑体"/>
          <w:b/>
          <w:bCs/>
          <w:i/>
          <w:iCs/>
          <w:color w:val="auto"/>
          <w:sz w:val="28"/>
          <w:szCs w:val="28"/>
          <w:highlight w:val="none"/>
          <w:u w:val="single"/>
        </w:rPr>
      </w:pPr>
      <w:r/>
      <w:bookmarkStart w:id="139" w:name="OLE_LINK64"/>
      <w:r/>
      <w:bookmarkStart w:id="140" w:name="OLE_LINK65"/>
      <w:r>
        <w:rPr>
          <w:rFonts w:hint="eastAsia" w:ascii="黑体" w:hAnsi="黑体" w:eastAsia="黑体" w:cs="黑体"/>
          <w:b/>
          <w:bCs/>
          <w:i/>
          <w:iCs/>
          <w:color w:val="auto"/>
          <w:sz w:val="28"/>
          <w:szCs w:val="28"/>
          <w:highlight w:val="none"/>
          <w:u w:val="single"/>
          <w:lang w:val="zh-CN"/>
        </w:rPr>
        <w:t xml:space="preserve">★</w:t>
      </w:r>
      <w:bookmarkEnd w:id="139"/>
      <w:r/>
      <w:bookmarkEnd w:id="140"/>
      <w:r>
        <w:rPr>
          <w:rFonts w:hint="eastAsia" w:ascii="黑体" w:hAnsi="黑体" w:eastAsia="黑体" w:cs="黑体"/>
          <w:b/>
          <w:bCs/>
          <w:i/>
          <w:iCs/>
          <w:color w:val="auto"/>
          <w:sz w:val="28"/>
          <w:szCs w:val="28"/>
          <w:highlight w:val="none"/>
          <w:u w:val="single"/>
        </w:rPr>
        <w:t xml:space="preserve">（11）本项目第三章项目需求中的场景化家具的甲醛释放量，有害物质限量要求等必须满足国标要求</w:t>
      </w:r>
      <w:bookmarkStart w:id="141" w:name="OLE_LINK72"/>
      <w:r/>
      <w:bookmarkStart w:id="142" w:name="OLE_LINK73"/>
      <w:r>
        <w:rPr>
          <w:rFonts w:hint="eastAsia" w:ascii="黑体" w:hAnsi="黑体" w:eastAsia="黑体" w:cs="黑体"/>
          <w:b/>
          <w:bCs/>
          <w:i/>
          <w:iCs/>
          <w:color w:val="auto"/>
          <w:sz w:val="28"/>
          <w:szCs w:val="28"/>
          <w:highlight w:val="none"/>
          <w:u w:val="single"/>
        </w:rPr>
        <w:t xml:space="preserve">（提供承诺书，格式自拟）。</w:t>
      </w:r>
      <w:bookmarkEnd w:id="141"/>
      <w:r/>
      <w:bookmarkEnd w:id="142"/>
      <w:r/>
      <w:r/>
    </w:p>
    <w:p>
      <w:pPr>
        <w:ind w:firstLine="480"/>
        <w:spacing w:line="360" w:lineRule="auto"/>
        <w:rPr>
          <w:rFonts w:hint="eastAsia" w:ascii="黑体" w:hAnsi="黑体" w:eastAsia="黑体" w:cs="黑体"/>
          <w:b/>
          <w:bCs/>
          <w:i/>
          <w:iCs/>
          <w:color w:val="auto"/>
          <w:sz w:val="28"/>
          <w:szCs w:val="28"/>
          <w:highlight w:val="none"/>
          <w:u w:val="single"/>
        </w:rPr>
      </w:pPr>
      <w:r>
        <w:rPr>
          <w:rFonts w:hint="eastAsia" w:ascii="黑体" w:hAnsi="黑体" w:eastAsia="黑体" w:cs="黑体"/>
          <w:b/>
          <w:bCs/>
          <w:i/>
          <w:iCs/>
          <w:color w:val="auto"/>
          <w:sz w:val="28"/>
          <w:szCs w:val="28"/>
          <w:highlight w:val="none"/>
          <w:u w:val="single"/>
          <w:lang w:val="zh-CN"/>
        </w:rPr>
        <w:t xml:space="preserve">★</w:t>
      </w:r>
      <w:r>
        <w:rPr>
          <w:rFonts w:hint="eastAsia" w:ascii="黑体" w:hAnsi="黑体" w:eastAsia="黑体" w:cs="黑体"/>
          <w:b/>
          <w:bCs/>
          <w:i/>
          <w:iCs/>
          <w:color w:val="auto"/>
          <w:sz w:val="28"/>
          <w:szCs w:val="28"/>
          <w:highlight w:val="none"/>
          <w:u w:val="single"/>
        </w:rPr>
        <w:t xml:space="preserve">（12）本项目第三章项目需求中带“★”指标为关键参数指标，不允许负偏离，若出现不满足的项，则按无效投标处理（提供承诺书，格式自拟）。</w:t>
      </w:r>
      <w:r/>
    </w:p>
    <w:p>
      <w:pPr>
        <w:ind w:firstLine="480"/>
        <w:spacing w:line="360" w:lineRule="auto"/>
        <w:rPr>
          <w:rFonts w:hint="eastAsia" w:ascii="黑体" w:hAnsi="黑体" w:eastAsia="黑体" w:cs="黑体"/>
          <w:b/>
          <w:bCs/>
          <w:i/>
          <w:iCs/>
          <w:color w:val="auto"/>
          <w:sz w:val="28"/>
          <w:szCs w:val="28"/>
          <w:highlight w:val="none"/>
          <w:u w:val="single"/>
        </w:rPr>
      </w:pPr>
      <w:r>
        <w:rPr>
          <w:rFonts w:hint="eastAsia" w:ascii="黑体" w:hAnsi="黑体" w:eastAsia="黑体" w:cs="黑体"/>
          <w:b/>
          <w:bCs/>
          <w:i/>
          <w:iCs/>
          <w:color w:val="auto"/>
          <w:sz w:val="28"/>
          <w:szCs w:val="28"/>
          <w:highlight w:val="none"/>
          <w:u w:val="single"/>
          <w:lang w:val="zh-CN"/>
        </w:rPr>
        <w:t xml:space="preserve">★</w:t>
      </w:r>
      <w:r>
        <w:rPr>
          <w:rFonts w:hint="eastAsia" w:ascii="黑体" w:hAnsi="黑体" w:eastAsia="黑体" w:cs="黑体"/>
          <w:b/>
          <w:bCs/>
          <w:i/>
          <w:iCs/>
          <w:color w:val="auto"/>
          <w:sz w:val="28"/>
          <w:szCs w:val="28"/>
          <w:highlight w:val="none"/>
          <w:u w:val="single"/>
        </w:rPr>
        <w:t xml:space="preserve">（13）本项目涉及需拆除以及本项目产生的所有垃圾的清运（垃圾运送的范围符合采购人及南通市相关行政部门的要求），以及对布展区域相关场所现有设备、物品的搬迁（按采购人要求搬运到指定地点），均包含在投标报价中，采购人不再单独额外支付费用（提供承诺书，格式自拟）。</w:t>
      </w:r>
      <w:r/>
    </w:p>
    <w:p>
      <w:pPr>
        <w:pStyle w:val="1120"/>
        <w:ind w:firstLine="562"/>
        <w:rPr>
          <w:rFonts w:hint="eastAsia" w:ascii="黑体" w:hAnsi="黑体" w:eastAsia="黑体" w:cs="黑体"/>
          <w:b/>
          <w:bCs/>
          <w:i/>
          <w:iCs/>
          <w:color w:val="auto"/>
          <w:sz w:val="28"/>
          <w:szCs w:val="28"/>
          <w:highlight w:val="none"/>
          <w:u w:val="single"/>
        </w:rPr>
      </w:pPr>
      <w:r>
        <w:rPr>
          <w:rFonts w:hint="eastAsia" w:ascii="黑体" w:hAnsi="黑体" w:eastAsia="黑体" w:cs="黑体"/>
          <w:b/>
          <w:bCs/>
          <w:i/>
          <w:iCs/>
          <w:color w:val="auto"/>
          <w:sz w:val="28"/>
          <w:szCs w:val="28"/>
          <w:highlight w:val="none"/>
          <w:u w:val="single"/>
          <w:lang w:val="zh-CN"/>
        </w:rPr>
        <w:t xml:space="preserve">★</w:t>
      </w:r>
      <w:r>
        <w:rPr>
          <w:rFonts w:hint="eastAsia" w:ascii="黑体" w:hAnsi="黑体" w:eastAsia="黑体" w:cs="黑体"/>
          <w:b/>
          <w:bCs/>
          <w:i/>
          <w:iCs/>
          <w:color w:val="auto"/>
          <w:sz w:val="28"/>
          <w:szCs w:val="28"/>
          <w:highlight w:val="none"/>
          <w:u w:val="single"/>
        </w:rPr>
        <w:t xml:space="preserve">（14）本项目实施的每个阶段，所有拟派人员须具有符合各阶段专业人员实施</w:t>
      </w:r>
      <w:r>
        <w:rPr>
          <w:rFonts w:hint="eastAsia" w:ascii="黑体" w:hAnsi="黑体" w:eastAsia="黑体" w:cs="黑体"/>
          <w:b/>
          <w:bCs/>
          <w:i/>
          <w:iCs/>
          <w:color w:val="auto"/>
          <w:spacing w:val="-6"/>
          <w:sz w:val="28"/>
          <w:szCs w:val="28"/>
          <w:highlight w:val="none"/>
          <w:u w:val="single"/>
        </w:rPr>
        <w:t xml:space="preserve">（提供承诺书，格式自拟）</w:t>
      </w:r>
      <w:r>
        <w:rPr>
          <w:rFonts w:hint="eastAsia" w:ascii="黑体" w:hAnsi="黑体" w:eastAsia="黑体" w:cs="黑体"/>
          <w:b/>
          <w:bCs/>
          <w:i/>
          <w:iCs/>
          <w:color w:val="auto"/>
          <w:sz w:val="28"/>
          <w:szCs w:val="28"/>
          <w:highlight w:val="none"/>
          <w:u w:val="single"/>
        </w:rPr>
        <w:t xml:space="preserve">。</w:t>
      </w:r>
      <w:r/>
    </w:p>
    <w:p>
      <w:pPr>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七、付款方式</w:t>
      </w:r>
      <w:r/>
    </w:p>
    <w:p>
      <w:pPr>
        <w:ind w:firstLine="562"/>
        <w:jc w:val="left"/>
        <w:spacing w:line="360" w:lineRule="auto"/>
        <w:tabs>
          <w:tab w:val="left" w:pos="360" w:leader="none"/>
        </w:tabs>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t xml:space="preserve">（1）本项目竣工验收合格并提交符合采购人要求的结算资料后，累计付至合同价的70%；</w:t>
      </w:r>
      <w:r/>
    </w:p>
    <w:p>
      <w:pPr>
        <w:ind w:firstLine="562"/>
        <w:jc w:val="left"/>
        <w:spacing w:line="360" w:lineRule="auto"/>
        <w:tabs>
          <w:tab w:val="left" w:pos="360" w:leader="none"/>
        </w:tabs>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t xml:space="preserve">经结算审计后付至审定价的95%；余款5%在整体交付验收合格之日起三年后无任何问题一次性付清。</w:t>
      </w:r>
      <w:r/>
    </w:p>
    <w:p>
      <w:pPr>
        <w:ind w:firstLine="562"/>
        <w:jc w:val="left"/>
        <w:spacing w:line="360" w:lineRule="auto"/>
        <w:tabs>
          <w:tab w:val="left" w:pos="360" w:leader="none"/>
        </w:tabs>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t xml:space="preserve">（2）发票由成交</w:t>
      </w:r>
      <w:r>
        <w:rPr>
          <w:rFonts w:hint="eastAsia" w:ascii="黑体" w:hAnsi="黑体" w:eastAsia="黑体" w:cs="黑体"/>
          <w:b/>
          <w:bCs/>
          <w:color w:val="auto"/>
          <w:sz w:val="28"/>
          <w:szCs w:val="28"/>
          <w:highlight w:val="none"/>
          <w:lang w:eastAsia="zh-CN" w:bidi="ar"/>
        </w:rPr>
        <w:t xml:space="preserve">投标单位</w:t>
      </w:r>
      <w:r>
        <w:rPr>
          <w:rFonts w:hint="eastAsia" w:ascii="黑体" w:hAnsi="黑体" w:eastAsia="黑体" w:cs="黑体"/>
          <w:b/>
          <w:bCs/>
          <w:color w:val="auto"/>
          <w:sz w:val="28"/>
          <w:szCs w:val="28"/>
          <w:highlight w:val="none"/>
          <w:lang w:bidi="ar"/>
        </w:rPr>
        <w:t xml:space="preserve">按国家有关财税规定开具给采购人，采购人在收到成交</w:t>
      </w:r>
      <w:r>
        <w:rPr>
          <w:rFonts w:hint="eastAsia" w:ascii="黑体" w:hAnsi="黑体" w:eastAsia="黑体" w:cs="黑体"/>
          <w:b/>
          <w:bCs/>
          <w:color w:val="auto"/>
          <w:sz w:val="28"/>
          <w:szCs w:val="28"/>
          <w:highlight w:val="none"/>
          <w:lang w:eastAsia="zh-CN" w:bidi="ar"/>
        </w:rPr>
        <w:t xml:space="preserve">投标单位</w:t>
      </w:r>
      <w:r>
        <w:rPr>
          <w:rFonts w:hint="eastAsia" w:ascii="黑体" w:hAnsi="黑体" w:eastAsia="黑体" w:cs="黑体"/>
          <w:b/>
          <w:bCs/>
          <w:color w:val="auto"/>
          <w:sz w:val="28"/>
          <w:szCs w:val="28"/>
          <w:highlight w:val="none"/>
          <w:lang w:bidi="ar"/>
        </w:rPr>
        <w:t xml:space="preserve">提供的发票后30日历天内付款，若成交</w:t>
      </w:r>
      <w:r>
        <w:rPr>
          <w:rFonts w:hint="eastAsia" w:ascii="黑体" w:hAnsi="黑体" w:eastAsia="黑体" w:cs="黑体"/>
          <w:b/>
          <w:bCs/>
          <w:color w:val="auto"/>
          <w:sz w:val="28"/>
          <w:szCs w:val="28"/>
          <w:highlight w:val="none"/>
          <w:lang w:eastAsia="zh-CN" w:bidi="ar"/>
        </w:rPr>
        <w:t xml:space="preserve">投标单位</w:t>
      </w:r>
      <w:r>
        <w:rPr>
          <w:rFonts w:hint="eastAsia" w:ascii="黑体" w:hAnsi="黑体" w:eastAsia="黑体" w:cs="黑体"/>
          <w:b/>
          <w:bCs/>
          <w:color w:val="auto"/>
          <w:sz w:val="28"/>
          <w:szCs w:val="28"/>
          <w:highlight w:val="none"/>
          <w:lang w:bidi="ar"/>
        </w:rPr>
        <w:t xml:space="preserve">延迟开票，采购人付款时间顺延。</w:t>
      </w:r>
      <w:r/>
    </w:p>
    <w:p>
      <w:pPr>
        <w:jc w:val="left"/>
        <w:spacing w:line="400" w:lineRule="exact"/>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八、采购标的其他技术、服务等要求：</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1、商品包装环保要求：应当按《关于印发〈商品包装政府采购需求标准（试行）〉、〈快递包装政府采购需求标准（试行）〉的通知》（财办库〔2020〕123号）文件执行。</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（1）商品包装层数不得超过3层，空隙率不大于40%；</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（2）商品包装尽可能使用单一材质的包装材料，如因功能需求必需使用不同材质，不同材质间应便于分离；</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（3）商品包装中铅、汞、镉、六价铬的总含量应不大于100mg/kg；</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（4）商品包装印刷使用的油墨中挥发性有机化合物(VOCs)含量应不大于 5%（以重量计）；</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（5）塑料材质商品包装上呈现的印刷颜色不得超过6色；</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（6）纸质商品包装应使用75%以上的可再生纤维原料生产；</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（7）木质商品包装的原料应来源于可持续性森林。</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2、快递包装环保要求：</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（1）快递包装中重金属（铅、汞、镉、六价铬）总量应不大于 100mg/kg；</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（2）快递包装印刷使用的油墨中不应添加邻苯二甲酸酯，其挥发性有机化合物(VOCs)含量应不大于5%（以重量计）；</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（3）快递包装中使用纸基材的包装材料，纸基材中的有机氯的含量应不大于 150 mg/kg；</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（5）快递中使用的塑料包装袋不得使用聚氯乙烯作为原料，且原料应为单一材质制成，生物分解率大于60%；</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（6）快递中使用的充气类填充物不得使用聚氯乙烯作为原料，且原料为单一材质制成，生物分解率大于60%；</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（7）快递中使用的集装袋应为单一材质制成，其重复使用次数应不小于 80 次；</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（8）快递中应使用幅宽不大于45mm 的生物降解胶带；</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（9）快递包装中不得使用溶剂型胶粘剂；</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（11）快递应使用电子面单；</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（12）直接使用商品包装作为快递包装的商品，其商品包装满足《商品包装政府采购需求标准（试行）》即可；</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（13）快递包装产品质量和封装方式应符合相关国家或行业标准技术指标要求。</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3、绿色数据中心（如有）</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（1）采购数据中心相关设备、运维服务，应当有利于节约能源、环境保护和资源循环利用。</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（2）采购人在履约验收中对成交</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提供的产品或服务进行抽查检测，必要时可委托取得相关资质的第三方机构对其进行检测、认证。因检测、认证涉及生产过程或检测时间长等原因，不能在验收过程中开展检测、认证的，</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应在验收阶段提供相关检测报告、认证报告。</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（3）成交</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未按合同约定提供设备或服务的，采购人依法追究其违约责任。对</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提供虚假材料谋取中标、成交的，依法由相关部门予以处理。</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4、低挥发性有机化合物产品：本项目中如有涉及涂料、胶黏剂、油墨、清洗剂等挥发性有机物产品的，属于强制性标准的，</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应当执行国家和江苏省VOCs含量限制标准。</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如提供符合推荐性标准的涂料、胶黏剂、油墨、清洗剂等挥发性有机物产品的，予以评审优惠。在通用类货物、家具、印刷、公务车辆维修等采购项目中，</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应优先使用低挥发性原辅材料，将使用低VOCs含量的涂料、胶黏剂等纳入合同条款。</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5、节能环保产品：</w:t>
      </w:r>
      <w:r>
        <w:rPr>
          <w:rFonts w:hint="eastAsia" w:ascii="黑体" w:hAnsi="黑体" w:eastAsia="黑体" w:cs="黑体"/>
          <w:b/>
          <w:bCs/>
          <w:color w:val="auto"/>
          <w:sz w:val="28"/>
          <w:szCs w:val="28"/>
          <w:highlight w:val="none"/>
          <w:u w:val="single"/>
        </w:rPr>
        <w:t xml:space="preserve">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spacing w:line="40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6、绿色低碳管理目标和服务要求：在合同能源管理等服务类采购项目中，要强化绿色低碳管理目标和服务要求，促进绿色产品和服务推广应用。</w:t>
      </w:r>
      <w:r/>
    </w:p>
    <w:p>
      <w:pPr>
        <w:pStyle w:val="778"/>
        <w:ind w:firstLine="560"/>
        <w:spacing w:before="138" w:line="400" w:lineRule="exact"/>
        <w:rPr>
          <w:rFonts w:hint="eastAsia" w:ascii="黑体" w:hAnsi="黑体" w:eastAsia="黑体" w:cs="黑体"/>
          <w:b/>
          <w:bCs/>
          <w:color w:val="auto"/>
          <w:sz w:val="28"/>
          <w:szCs w:val="28"/>
          <w:highlight w:val="none"/>
        </w:rPr>
      </w:pPr>
      <w:r>
        <w:rPr>
          <w:rFonts w:hint="eastAsia" w:ascii="黑体" w:hAnsi="黑体" w:eastAsia="黑体" w:cs="黑体"/>
          <w:color w:val="auto"/>
          <w:sz w:val="28"/>
          <w:szCs w:val="28"/>
          <w:highlight w:val="none"/>
        </w:rPr>
        <w:t xml:space="preserve">7、低挥发性有机化合物产品：本项目中如有涉及涂料、胶黏剂、 油墨、清洗剂等挥发性有机物产品的，属于强制性标准的，</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应当执行国家和我省VOCs含量限制标准。</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提供符合推荐性标准的涂料、胶黏剂、油墨、清洗剂等挥发性有机物产品的，予以评审优惠。</w:t>
      </w:r>
      <w:r>
        <w:rPr>
          <w:rFonts w:hint="eastAsia" w:ascii="黑体" w:hAnsi="黑体" w:eastAsia="黑体" w:cs="黑体"/>
          <w:color w:val="auto"/>
          <w:sz w:val="28"/>
          <w:szCs w:val="28"/>
          <w:highlight w:val="none"/>
          <w:lang w:eastAsia="zh-CN"/>
        </w:rPr>
        <w:t xml:space="preserve">投标单位</w:t>
      </w:r>
      <w:r>
        <w:rPr>
          <w:rFonts w:hint="eastAsia" w:ascii="黑体" w:hAnsi="黑体" w:eastAsia="黑体" w:cs="黑体"/>
          <w:color w:val="auto"/>
          <w:sz w:val="28"/>
          <w:szCs w:val="28"/>
          <w:highlight w:val="none"/>
        </w:rPr>
        <w:t xml:space="preserve">应优先使用低挥发性原辅材料，将使用低VOCs含量的涂料、胶黏剂等纳入合同条款。</w:t>
      </w:r>
      <w:r/>
    </w:p>
    <w:p>
      <w:pPr>
        <w:jc w:val="left"/>
        <w:spacing w:line="440" w:lineRule="exact"/>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九、履约保证金：本项目不缴纳</w:t>
      </w:r>
      <w:r/>
    </w:p>
    <w:p>
      <w:pPr>
        <w:spacing w:line="360" w:lineRule="auto"/>
        <w:rPr>
          <w:rFonts w:hint="eastAsia" w:ascii="黑体" w:hAnsi="黑体" w:eastAsia="黑体" w:cs="黑体"/>
          <w:b/>
          <w:bCs/>
          <w:color w:val="auto"/>
          <w:sz w:val="28"/>
          <w:szCs w:val="28"/>
          <w:highlight w:val="none"/>
        </w:rPr>
        <w:outlineLvl w:val="0"/>
      </w:pPr>
      <w:r>
        <w:rPr>
          <w:rFonts w:hint="eastAsia" w:ascii="黑体" w:hAnsi="黑体" w:eastAsia="黑体" w:cs="黑体"/>
          <w:b/>
          <w:bCs/>
          <w:color w:val="auto"/>
          <w:spacing w:val="-6"/>
          <w:sz w:val="28"/>
          <w:szCs w:val="28"/>
          <w:highlight w:val="none"/>
        </w:rPr>
        <w:t xml:space="preserve">十、</w:t>
      </w:r>
      <w:bookmarkStart w:id="143" w:name="_Toc28136"/>
      <w:r>
        <w:rPr>
          <w:rFonts w:hint="eastAsia" w:ascii="黑体" w:hAnsi="黑体" w:eastAsia="黑体" w:cs="黑体"/>
          <w:b/>
          <w:bCs/>
          <w:color w:val="auto"/>
          <w:sz w:val="28"/>
          <w:szCs w:val="28"/>
          <w:highlight w:val="none"/>
        </w:rPr>
        <w:t xml:space="preserve">政府采购中实施本国产品标准及相关政策</w:t>
      </w:r>
      <w:bookmarkEnd w:id="143"/>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1.本项目对采购本国产品给予政策支持，具体内容见</w:t>
      </w:r>
      <w:r>
        <w:rPr>
          <w:rFonts w:hint="eastAsia" w:ascii="黑体" w:hAnsi="黑体" w:eastAsia="黑体" w:cs="黑体"/>
          <w:color w:val="auto"/>
          <w:sz w:val="28"/>
          <w:szCs w:val="28"/>
          <w:highlight w:val="none"/>
          <w:lang w:val="en-US" w:eastAsia="zh-CN"/>
        </w:rPr>
        <w:t xml:space="preserve">本招标文件</w:t>
      </w:r>
      <w:r>
        <w:rPr>
          <w:rFonts w:hint="eastAsia" w:ascii="黑体" w:hAnsi="黑体" w:eastAsia="黑体" w:cs="黑体"/>
          <w:color w:val="auto"/>
          <w:sz w:val="28"/>
          <w:szCs w:val="28"/>
          <w:highlight w:val="none"/>
        </w:rPr>
        <w:t xml:space="preserve">第四</w:t>
      </w:r>
      <w:r>
        <w:rPr>
          <w:rFonts w:hint="eastAsia" w:ascii="黑体" w:hAnsi="黑体" w:eastAsia="黑体" w:cs="黑体"/>
          <w:color w:val="auto"/>
          <w:sz w:val="28"/>
          <w:szCs w:val="28"/>
          <w:highlight w:val="none"/>
          <w:lang w:val="en-US" w:eastAsia="zh-CN"/>
        </w:rPr>
        <w:t xml:space="preserve">章</w:t>
      </w:r>
      <w:r>
        <w:rPr>
          <w:rFonts w:hint="eastAsia" w:ascii="黑体" w:hAnsi="黑体" w:eastAsia="黑体" w:cs="黑体"/>
          <w:color w:val="auto"/>
          <w:sz w:val="28"/>
          <w:szCs w:val="28"/>
          <w:highlight w:val="none"/>
        </w:rPr>
        <w:t xml:space="preserve">具体内容。</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360" w:lineRule="auto"/>
        <w:rPr>
          <w:rFonts w:hint="eastAsia" w:ascii="黑体" w:hAnsi="黑体" w:eastAsia="黑体" w:cs="黑体"/>
          <w:b/>
          <w:bCs/>
          <w:color w:val="auto"/>
          <w:sz w:val="28"/>
          <w:szCs w:val="28"/>
          <w:highlight w:val="none"/>
        </w:rPr>
      </w:pPr>
      <w:r>
        <w:rPr>
          <w:rFonts w:hint="eastAsia" w:ascii="黑体" w:hAnsi="黑体" w:eastAsia="黑体" w:cs="黑体"/>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144" w:name="_Toc32302"/>
      <w:r/>
      <w:bookmarkEnd w:id="144"/>
      <w:r/>
    </w:p>
    <w:p>
      <w:pPr>
        <w:jc w:val="left"/>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十一、投标报价</w:t>
      </w:r>
      <w:r/>
    </w:p>
    <w:p>
      <w:pPr>
        <w:ind w:firstLine="562"/>
        <w:spacing w:line="440" w:lineRule="exact"/>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t xml:space="preserve">本项目为交钥匙项目，投标报价为人民币总价报价，报价应包括但不限于完成本次招标范围内全部工作内容所需所有费用。其中应包括但不限于所有设备、配套设施、各类辅助材料的包装、仓储、运输、保险、安装、调试、集成，保修期内备品备件、专用工具、伴随服务、人员培训，运维期耗材备件、车辆与设备维护服务，以及履约完成前发生的所有含税费用，不论其在</w:t>
      </w:r>
      <w:r>
        <w:rPr>
          <w:rFonts w:hint="eastAsia" w:ascii="黑体" w:hAnsi="黑体" w:eastAsia="黑体" w:cs="黑体"/>
          <w:b/>
          <w:bCs/>
          <w:color w:val="auto"/>
          <w:sz w:val="28"/>
          <w:szCs w:val="28"/>
          <w:highlight w:val="none"/>
          <w:lang w:eastAsia="zh-CN" w:bidi="ar"/>
        </w:rPr>
        <w:t xml:space="preserve">招标文件</w:t>
      </w:r>
      <w:r>
        <w:rPr>
          <w:rFonts w:hint="eastAsia" w:ascii="黑体" w:hAnsi="黑体" w:eastAsia="黑体" w:cs="黑体"/>
          <w:b/>
          <w:bCs/>
          <w:color w:val="auto"/>
          <w:sz w:val="28"/>
          <w:szCs w:val="28"/>
          <w:highlight w:val="none"/>
          <w:lang w:bidi="ar"/>
        </w:rPr>
        <w:t xml:space="preserve">中是否提及。</w:t>
      </w:r>
      <w:r/>
    </w:p>
    <w:p>
      <w:pPr>
        <w:pStyle w:val="785"/>
        <w:spacing w:before="120" w:after="120" w:line="360" w:lineRule="auto"/>
        <w:tabs>
          <w:tab w:val="left" w:pos="0" w:leader="none"/>
        </w:tabs>
        <w:rPr>
          <w:rFonts w:hint="eastAsia" w:ascii="黑体" w:hAnsi="黑体" w:eastAsia="黑体" w:cs="黑体"/>
          <w:b/>
          <w:bCs/>
          <w:color w:val="auto"/>
          <w:sz w:val="28"/>
          <w:szCs w:val="28"/>
          <w:highlight w:val="none"/>
        </w:rPr>
        <w:outlineLvl w:val="0"/>
      </w:pPr>
      <w:r/>
      <w:bookmarkStart w:id="145" w:name="_Toc24391"/>
      <w:r>
        <w:rPr>
          <w:rFonts w:hint="eastAsia" w:ascii="黑体" w:hAnsi="黑体" w:eastAsia="黑体" w:cs="黑体"/>
          <w:b/>
          <w:bCs/>
          <w:color w:val="auto"/>
          <w:sz w:val="28"/>
          <w:szCs w:val="28"/>
          <w:highlight w:val="none"/>
        </w:rPr>
        <w:t xml:space="preserve">十二、样品：无</w:t>
      </w:r>
      <w:bookmarkEnd w:id="145"/>
      <w:r/>
      <w:r/>
    </w:p>
    <w:p>
      <w:pPr>
        <w:ind w:left="210" w:firstLine="562"/>
        <w:spacing w:line="440" w:lineRule="exact"/>
        <w:rPr>
          <w:rFonts w:hint="eastAsia" w:ascii="黑体" w:hAnsi="黑体" w:eastAsia="黑体" w:cs="黑体"/>
          <w:b/>
          <w:bCs/>
          <w:i/>
          <w:iCs/>
          <w:color w:val="auto"/>
          <w:sz w:val="28"/>
          <w:szCs w:val="28"/>
          <w:highlight w:val="none"/>
          <w:u w:val="single"/>
        </w:rPr>
      </w:pPr>
      <w:r>
        <w:rPr>
          <w:rFonts w:hint="eastAsia" w:ascii="黑体" w:hAnsi="黑体" w:eastAsia="黑体" w:cs="黑体"/>
          <w:b/>
          <w:bCs/>
          <w:i/>
          <w:iCs/>
          <w:color w:val="auto"/>
          <w:sz w:val="28"/>
          <w:szCs w:val="28"/>
          <w:highlight w:val="none"/>
          <w:u w:val="single"/>
        </w:rPr>
        <w:t xml:space="preserve">注明：本项目需求中涉及到加</w:t>
      </w:r>
      <w:r>
        <w:rPr>
          <w:rFonts w:hint="eastAsia" w:ascii="黑体" w:hAnsi="黑体" w:eastAsia="黑体" w:cs="黑体"/>
          <w:b/>
          <w:bCs/>
          <w:i/>
          <w:iCs/>
          <w:color w:val="auto"/>
          <w:sz w:val="28"/>
          <w:szCs w:val="28"/>
          <w:highlight w:val="none"/>
          <w:u w:val="single"/>
          <w:lang w:val="zh-CN"/>
        </w:rPr>
        <w:t xml:space="preserve">★</w:t>
      </w:r>
      <w:r>
        <w:rPr>
          <w:rFonts w:hint="eastAsia" w:ascii="黑体" w:hAnsi="黑体" w:eastAsia="黑体" w:cs="黑体"/>
          <w:b/>
          <w:bCs/>
          <w:i/>
          <w:iCs/>
          <w:color w:val="auto"/>
          <w:sz w:val="28"/>
          <w:szCs w:val="28"/>
          <w:highlight w:val="none"/>
          <w:u w:val="single"/>
        </w:rPr>
        <w:t xml:space="preserve">条款且加倾斜字体的所有内容，</w:t>
      </w:r>
      <w:r>
        <w:rPr>
          <w:rFonts w:hint="eastAsia" w:ascii="黑体" w:hAnsi="黑体" w:eastAsia="黑体" w:cs="黑体"/>
          <w:b/>
          <w:bCs/>
          <w:i/>
          <w:iCs/>
          <w:color w:val="auto"/>
          <w:sz w:val="28"/>
          <w:szCs w:val="28"/>
          <w:highlight w:val="none"/>
          <w:u w:val="single"/>
          <w:lang w:eastAsia="zh-CN"/>
        </w:rPr>
        <w:t xml:space="preserve">投标单位</w:t>
      </w:r>
      <w:r>
        <w:rPr>
          <w:rFonts w:hint="eastAsia" w:ascii="黑体" w:hAnsi="黑体" w:eastAsia="黑体" w:cs="黑体"/>
          <w:b/>
          <w:bCs/>
          <w:i/>
          <w:iCs/>
          <w:color w:val="auto"/>
          <w:sz w:val="28"/>
          <w:szCs w:val="28"/>
          <w:highlight w:val="none"/>
          <w:u w:val="single"/>
        </w:rPr>
        <w:t xml:space="preserve">须在确保本项目质量的情况下综合考虑实施成本，并在商务技术标符合性条款中提交相关承诺书（格式自拟），中标后要求无条件实现加★条款字体倾斜的所有内容。</w:t>
      </w:r>
      <w:r/>
    </w:p>
    <w:p>
      <w:pPr>
        <w:ind w:left="210" w:firstLine="562"/>
        <w:spacing w:line="440" w:lineRule="exact"/>
        <w:rPr>
          <w:rFonts w:hint="eastAsia" w:ascii="黑体" w:hAnsi="黑体" w:eastAsia="黑体" w:cs="黑体"/>
          <w:b/>
          <w:bCs/>
          <w:i/>
          <w:iCs/>
          <w:color w:val="auto"/>
          <w:sz w:val="28"/>
          <w:szCs w:val="28"/>
          <w:highlight w:val="none"/>
          <w:u w:val="single"/>
        </w:rPr>
      </w:pPr>
      <w:r>
        <w:rPr>
          <w:rFonts w:hint="eastAsia" w:ascii="黑体" w:hAnsi="黑体" w:eastAsia="黑体" w:cs="黑体"/>
          <w:b/>
          <w:bCs/>
          <w:i/>
          <w:iCs/>
          <w:color w:val="auto"/>
          <w:sz w:val="28"/>
          <w:szCs w:val="28"/>
          <w:highlight w:val="none"/>
          <w:u w:val="single"/>
          <w:lang w:eastAsia="zh-CN"/>
        </w:rPr>
        <w:t xml:space="preserve">投标单位</w:t>
      </w:r>
      <w:r>
        <w:rPr>
          <w:rFonts w:hint="eastAsia" w:ascii="黑体" w:hAnsi="黑体" w:eastAsia="黑体" w:cs="黑体"/>
          <w:b/>
          <w:bCs/>
          <w:i/>
          <w:iCs/>
          <w:color w:val="auto"/>
          <w:sz w:val="28"/>
          <w:szCs w:val="28"/>
          <w:highlight w:val="none"/>
          <w:u w:val="single"/>
        </w:rPr>
        <w:t xml:space="preserve">未能在商务技术标符合性条款中提交</w:t>
      </w:r>
      <w:r>
        <w:rPr>
          <w:rFonts w:hint="eastAsia" w:ascii="黑体" w:hAnsi="黑体" w:eastAsia="黑体" w:cs="黑体"/>
          <w:b/>
          <w:bCs/>
          <w:i/>
          <w:iCs/>
          <w:color w:val="auto"/>
          <w:sz w:val="28"/>
          <w:szCs w:val="28"/>
          <w:highlight w:val="none"/>
          <w:u w:val="single"/>
          <w:lang w:val="en-US" w:eastAsia="zh-CN"/>
        </w:rPr>
        <w:t xml:space="preserve">技术部分正负偏离表及商务部分正负偏离表（格式按后附）</w:t>
      </w:r>
      <w:r>
        <w:rPr>
          <w:rFonts w:hint="eastAsia" w:ascii="黑体" w:hAnsi="黑体" w:eastAsia="黑体" w:cs="黑体"/>
          <w:b/>
          <w:bCs/>
          <w:i/>
          <w:iCs/>
          <w:color w:val="auto"/>
          <w:sz w:val="28"/>
          <w:szCs w:val="28"/>
          <w:highlight w:val="none"/>
          <w:u w:val="single"/>
        </w:rPr>
        <w:t xml:space="preserve">、承诺书，经</w:t>
      </w:r>
      <w:r>
        <w:rPr>
          <w:rFonts w:hint="eastAsia" w:ascii="黑体" w:hAnsi="黑体" w:eastAsia="黑体" w:cs="黑体"/>
          <w:b/>
          <w:bCs/>
          <w:i/>
          <w:iCs/>
          <w:color w:val="auto"/>
          <w:sz w:val="28"/>
          <w:szCs w:val="28"/>
          <w:highlight w:val="none"/>
          <w:u w:val="single"/>
          <w:lang w:val="en-US" w:eastAsia="zh-CN"/>
        </w:rPr>
        <w:t xml:space="preserve">评标</w:t>
      </w:r>
      <w:r>
        <w:rPr>
          <w:rFonts w:hint="eastAsia" w:ascii="黑体" w:hAnsi="黑体" w:eastAsia="黑体" w:cs="黑体"/>
          <w:b/>
          <w:bCs/>
          <w:i/>
          <w:iCs/>
          <w:color w:val="auto"/>
          <w:sz w:val="28"/>
          <w:szCs w:val="28"/>
          <w:highlight w:val="none"/>
          <w:u w:val="single"/>
        </w:rPr>
        <w:t xml:space="preserve">小组核实将被判为不满足</w:t>
      </w:r>
      <w:r>
        <w:rPr>
          <w:rFonts w:hint="eastAsia" w:ascii="黑体" w:hAnsi="黑体" w:eastAsia="黑体" w:cs="黑体"/>
          <w:b/>
          <w:bCs/>
          <w:i/>
          <w:iCs/>
          <w:color w:val="auto"/>
          <w:sz w:val="28"/>
          <w:szCs w:val="28"/>
          <w:highlight w:val="none"/>
          <w:u w:val="single"/>
          <w:lang w:eastAsia="zh-CN"/>
        </w:rPr>
        <w:t xml:space="preserve">招标文件</w:t>
      </w:r>
      <w:r>
        <w:rPr>
          <w:rFonts w:hint="eastAsia" w:ascii="黑体" w:hAnsi="黑体" w:eastAsia="黑体" w:cs="黑体"/>
          <w:b/>
          <w:bCs/>
          <w:i/>
          <w:iCs/>
          <w:color w:val="auto"/>
          <w:sz w:val="28"/>
          <w:szCs w:val="28"/>
          <w:highlight w:val="none"/>
          <w:u w:val="single"/>
        </w:rPr>
        <w:t xml:space="preserve">实质性要求，作为无效响应处理。</w:t>
      </w:r>
      <w:r/>
    </w:p>
    <w:p>
      <w:pPr>
        <w:ind w:left="210" w:firstLine="562"/>
        <w:spacing w:line="440" w:lineRule="exact"/>
        <w:rPr>
          <w:rFonts w:hint="eastAsia" w:ascii="黑体" w:hAnsi="黑体" w:eastAsia="黑体" w:cs="黑体"/>
          <w:b/>
          <w:bCs/>
          <w:i/>
          <w:iCs/>
          <w:color w:val="auto"/>
          <w:sz w:val="28"/>
          <w:szCs w:val="28"/>
          <w:highlight w:val="none"/>
          <w:u w:val="single"/>
        </w:rPr>
      </w:pPr>
      <w:r>
        <w:rPr>
          <w:rFonts w:hint="eastAsia" w:ascii="黑体" w:hAnsi="黑体" w:eastAsia="黑体" w:cs="黑体"/>
          <w:b/>
          <w:bCs/>
          <w:color w:val="auto"/>
          <w:sz w:val="28"/>
          <w:szCs w:val="28"/>
          <w:highlight w:val="none"/>
        </w:rPr>
        <w:br w:type="page" w:clear="all"/>
      </w:r>
      <w:r/>
    </w:p>
    <w:p>
      <w:pPr>
        <w:jc w:val="both"/>
        <w:spacing w:line="360" w:lineRule="auto"/>
        <w:rPr>
          <w:rFonts w:hint="eastAsia" w:ascii="黑体" w:hAnsi="黑体" w:eastAsia="黑体" w:cs="黑体"/>
          <w:bCs/>
          <w:i w:val="0"/>
          <w:iCs w:val="0"/>
          <w:color w:val="auto"/>
          <w:sz w:val="28"/>
          <w:szCs w:val="28"/>
          <w:highlight w:val="none"/>
        </w:rPr>
        <w:outlineLvl w:val="0"/>
      </w:pPr>
      <w:r>
        <w:rPr>
          <w:rFonts w:hint="eastAsia" w:ascii="黑体" w:hAnsi="黑体" w:eastAsia="黑体" w:cs="黑体"/>
          <w:bCs/>
          <w:i w:val="0"/>
          <w:iCs w:val="0"/>
          <w:color w:val="auto"/>
          <w:sz w:val="28"/>
          <w:szCs w:val="28"/>
          <w:highlight w:val="none"/>
        </w:rPr>
      </w:r>
      <w:r/>
    </w:p>
    <w:p>
      <w:pPr>
        <w:ind w:firstLine="2891"/>
        <w:rPr>
          <w:rFonts w:hint="eastAsia" w:ascii="黑体" w:hAnsi="黑体" w:eastAsia="黑体" w:cs="黑体"/>
          <w:b/>
          <w:bCs w:val="0"/>
          <w:color w:val="auto"/>
          <w:sz w:val="36"/>
          <w:szCs w:val="36"/>
          <w:highlight w:val="none"/>
        </w:rPr>
      </w:pPr>
      <w:r>
        <w:rPr>
          <w:rFonts w:hint="eastAsia" w:ascii="黑体" w:hAnsi="黑体" w:eastAsia="黑体" w:cs="黑体"/>
          <w:b/>
          <w:bCs w:val="0"/>
          <w:color w:val="auto"/>
          <w:sz w:val="36"/>
          <w:szCs w:val="36"/>
          <w:highlight w:val="none"/>
        </w:rPr>
        <w:t xml:space="preserve">第四部分  开标和评标</w:t>
      </w:r>
      <w:r/>
    </w:p>
    <w:p>
      <w:pPr>
        <w:pStyle w:val="1040"/>
        <w:ind w:left="0" w:right="0" w:firstLine="562"/>
        <w:jc w:val="left"/>
        <w:spacing w:before="0" w:after="0"/>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一、开标</w:t>
      </w:r>
      <w:r/>
    </w:p>
    <w:p>
      <w:pPr>
        <w:ind w:firstLine="537"/>
        <w:spacing w:line="360" w:lineRule="auto"/>
        <w:tabs>
          <w:tab w:val="left" w:pos="3585"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不见面远程开标模式：投标单位在各自地点通过“苏采云”不见面交易系统参加开标会。</w:t>
      </w:r>
      <w:r/>
    </w:p>
    <w:p>
      <w:pPr>
        <w:pStyle w:val="1040"/>
        <w:ind w:left="0" w:right="0" w:firstLine="562"/>
        <w:jc w:val="left"/>
        <w:spacing w:before="0" w:after="0"/>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二、评标流程和评标标准</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采用综合评分法。分资格审查、符合性审查、商务技术标、价格标四部分评审，总分值为100分，加分和减分因素除外。</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首先由采购人对投标单位资格进行审查，然后评标委员会对符合资格的投标单位的投标文件进行符合性审查，最后评标委员会对符合性审查合格的投标文件商务、技术部分进行评估，综合比较与评价。待商务技术标评审结束后，进行价格标的评审。投标单位商务、技术部分和价格部分的合计分值，为该投标单位的评标总得分。</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pStyle w:val="800"/>
        <w:ind w:firstLine="562"/>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（一）本项目如出现以下情形的，评标小组将启动政府采购启动异常低价投标（响应）审查程序：</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1.投标（响应）报价低于全部通过符合性审查投标单位投标（响应）报价平均值50%的，即投标（响应）报价&lt;全部通过符合性审查投标单位投标（响应）报价平均值×50%；</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2.投标（响应）报价低于通过符合性审查的次低报价投标单位投标（响应）报价50%的，即投标（响应）报价&lt;通过符合性审查的次低报价投标单位投标（响应）报价×50%；</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3.投标（响应）报价低于采购项目最高限价45%的，即投标（响应）报价&lt;采购项目最高限价×45%；</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4.评审委员会基于专业判断，认为投标单位报价过低，有可能影响产品质量或者不能诚信履约的其他情形。</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二）评审委员会启动异常低价投标（响应）审查后，属于前述第1项至第4项情形的，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审委员会应当将其作为无效投标（响应）处理。</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0"/>
        <w:ind w:firstLine="646"/>
        <w:jc w:val="both"/>
        <w:spacing w:before="0" w:beforeAutospacing="0" w:after="0" w:afterAutospacing="0"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异常低价投标（响应）审查的启动原因、审查意见和审查结果应当在评审报告中记录，并随投标单位提供的相关书面说明及证明材料，以及评审委员会有关互联网浏览、查询历史一并归档。</w:t>
      </w:r>
      <w:r/>
    </w:p>
    <w:p>
      <w:pPr>
        <w:pStyle w:val="800"/>
        <w:ind w:firstLine="646"/>
        <w:jc w:val="both"/>
        <w:spacing w:before="0" w:beforeAutospacing="0" w:after="0" w:afterAutospacing="0"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三、评委在认真审阅投标文件的基础上，根据各投标文件的响应程度独立评判，不得统一打分。</w:t>
      </w:r>
      <w:r/>
    </w:p>
    <w:p>
      <w:pPr>
        <w:ind w:firstLine="413"/>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（一）采购人（代表）对投标单位资格进行审查。</w:t>
      </w:r>
      <w:r/>
    </w:p>
    <w:p>
      <w:pPr>
        <w:pStyle w:val="1044"/>
        <w:ind w:firstLine="577"/>
        <w:spacing w:line="360" w:lineRule="auto"/>
        <w:rPr>
          <w:rFonts w:hint="eastAsia" w:ascii="黑体" w:hAnsi="黑体" w:eastAsia="黑体" w:cs="黑体"/>
          <w:bCs/>
          <w:color w:val="auto"/>
          <w:sz w:val="28"/>
          <w:highlight w:val="none"/>
        </w:rPr>
      </w:pPr>
      <w:r>
        <w:rPr>
          <w:rFonts w:hint="eastAsia" w:ascii="黑体" w:hAnsi="黑体" w:eastAsia="黑体" w:cs="黑体"/>
          <w:bCs/>
          <w:color w:val="auto"/>
          <w:sz w:val="28"/>
          <w:highlight w:val="none"/>
        </w:rPr>
        <w:t xml:space="preserve">投标单位资格不合格的，其投标文件判定为无效投标文件。</w:t>
      </w:r>
      <w:r/>
    </w:p>
    <w:p>
      <w:pPr>
        <w:ind w:firstLine="413"/>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（二）评标委员会对符合资格投标单位的投标文件进行符合性审查。</w:t>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符合性审查要求</w:t>
      </w:r>
      <w:r/>
    </w:p>
    <w:tbl>
      <w:tblPr>
        <w:tblStyle w:val="772"/>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按《招标文件》要求</w:t>
            </w:r>
            <w:r>
              <w:rPr>
                <w:rFonts w:hint="eastAsia" w:ascii="黑体" w:hAnsi="黑体" w:eastAsia="黑体" w:cs="黑体"/>
                <w:bCs/>
                <w:color w:val="auto"/>
                <w:sz w:val="28"/>
                <w:szCs w:val="28"/>
                <w:highlight w:val="none"/>
              </w:rPr>
              <w:t xml:space="preserve">提供承诺书</w:t>
            </w:r>
            <w:r>
              <w:rPr>
                <w:rFonts w:hint="eastAsia" w:ascii="黑体" w:hAnsi="黑体" w:eastAsia="黑体" w:cs="黑体"/>
                <w:bCs/>
                <w:color w:val="auto"/>
                <w:sz w:val="28"/>
                <w:szCs w:val="28"/>
                <w:highlight w:val="none"/>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满足《</w:t>
            </w:r>
            <w:r>
              <w:rPr>
                <w:rFonts w:hint="eastAsia" w:ascii="黑体" w:hAnsi="黑体" w:eastAsia="黑体" w:cs="黑体"/>
                <w:b/>
                <w:color w:val="auto"/>
                <w:sz w:val="28"/>
                <w:szCs w:val="28"/>
                <w:highlight w:val="none"/>
              </w:rPr>
              <w:t xml:space="preserve">招标</w:t>
            </w:r>
            <w:r>
              <w:rPr>
                <w:rFonts w:hint="eastAsia" w:ascii="黑体" w:hAnsi="黑体" w:eastAsia="黑体" w:cs="黑体"/>
                <w:b/>
                <w:color w:val="auto"/>
                <w:sz w:val="28"/>
                <w:szCs w:val="28"/>
                <w:highlight w:val="none"/>
                <w:lang w:val="zh-CN"/>
              </w:rPr>
              <w:t xml:space="preserve">文件》以“★”标明的全部实质性条款要求。</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没有串通投标情形。</w:t>
            </w:r>
            <w:r/>
          </w:p>
        </w:tc>
      </w:tr>
    </w:tbl>
    <w:p>
      <w:pPr>
        <w:pStyle w:val="1044"/>
        <w:ind w:firstLine="577"/>
        <w:spacing w:line="360" w:lineRule="auto"/>
        <w:rPr>
          <w:rFonts w:hint="eastAsia" w:ascii="黑体" w:hAnsi="黑体" w:eastAsia="黑体" w:cs="黑体"/>
          <w:b/>
          <w:color w:val="auto"/>
          <w:sz w:val="28"/>
          <w:highlight w:val="none"/>
          <w:u w:val="single"/>
        </w:rPr>
      </w:pPr>
      <w:r>
        <w:rPr>
          <w:rFonts w:hint="eastAsia" w:ascii="黑体" w:hAnsi="黑体" w:eastAsia="黑体" w:cs="黑体"/>
          <w:b/>
          <w:color w:val="auto"/>
          <w:sz w:val="28"/>
          <w:highlight w:val="none"/>
          <w:u w:val="single"/>
          <w:lang w:val="zh-CN"/>
        </w:rPr>
        <w:t xml:space="preserve">本</w:t>
      </w:r>
      <w:r>
        <w:rPr>
          <w:rFonts w:hint="eastAsia" w:ascii="黑体" w:hAnsi="黑体" w:eastAsia="黑体" w:cs="黑体"/>
          <w:b/>
          <w:color w:val="auto"/>
          <w:sz w:val="28"/>
          <w:highlight w:val="none"/>
          <w:u w:val="single"/>
        </w:rPr>
        <w:t xml:space="preserve">招标</w:t>
      </w:r>
      <w:r>
        <w:rPr>
          <w:rFonts w:hint="eastAsia" w:ascii="黑体" w:hAnsi="黑体" w:eastAsia="黑体" w:cs="黑体"/>
          <w:b/>
          <w:color w:val="auto"/>
          <w:sz w:val="28"/>
          <w:highlight w:val="none"/>
          <w:u w:val="single"/>
          <w:lang w:val="zh-CN"/>
        </w:rPr>
        <w:t xml:space="preserve">文件有“★”标明的条款，请各投标单位仔细研读且作为符合性审查要求，未通过符合性审查的响应文件，经</w:t>
      </w:r>
      <w:r>
        <w:rPr>
          <w:rFonts w:hint="eastAsia" w:ascii="黑体" w:hAnsi="黑体" w:eastAsia="黑体" w:cs="黑体"/>
          <w:b/>
          <w:color w:val="auto"/>
          <w:sz w:val="28"/>
          <w:highlight w:val="none"/>
          <w:u w:val="single"/>
        </w:rPr>
        <w:t xml:space="preserve">评标</w:t>
      </w:r>
      <w:r>
        <w:rPr>
          <w:rFonts w:hint="eastAsia" w:ascii="黑体" w:hAnsi="黑体" w:eastAsia="黑体" w:cs="黑体"/>
          <w:b/>
          <w:color w:val="auto"/>
          <w:sz w:val="28"/>
          <w:highlight w:val="none"/>
          <w:u w:val="single"/>
          <w:lang w:val="zh-CN"/>
        </w:rPr>
        <w:t xml:space="preserve">小组核实将被判为不满足</w:t>
      </w:r>
      <w:r>
        <w:rPr>
          <w:rFonts w:hint="eastAsia" w:ascii="黑体" w:hAnsi="黑体" w:eastAsia="黑体" w:cs="黑体"/>
          <w:b/>
          <w:color w:val="auto"/>
          <w:sz w:val="28"/>
          <w:highlight w:val="none"/>
          <w:u w:val="single"/>
        </w:rPr>
        <w:t xml:space="preserve">招标</w:t>
      </w:r>
      <w:r>
        <w:rPr>
          <w:rFonts w:hint="eastAsia" w:ascii="黑体" w:hAnsi="黑体" w:eastAsia="黑体" w:cs="黑体"/>
          <w:b/>
          <w:color w:val="auto"/>
          <w:sz w:val="28"/>
          <w:highlight w:val="none"/>
          <w:u w:val="single"/>
          <w:lang w:val="zh-CN"/>
        </w:rPr>
        <w:t xml:space="preserve">文件实质性要求，</w:t>
      </w:r>
      <w:r>
        <w:rPr>
          <w:rFonts w:hint="eastAsia" w:ascii="黑体" w:hAnsi="黑体" w:eastAsia="黑体" w:cs="黑体"/>
          <w:b/>
          <w:color w:val="auto"/>
          <w:sz w:val="28"/>
          <w:highlight w:val="none"/>
          <w:u w:val="single"/>
        </w:rPr>
        <w:t xml:space="preserve">作无效投标处理。符合性审查资料请放置在符合性资料中，若因投标单位提供的资料混乱、不清晰导致符合性审查未能通过的，由投标单位自行承担后果。</w:t>
      </w:r>
      <w:r/>
    </w:p>
    <w:p>
      <w:pPr>
        <w:pStyle w:val="1072"/>
        <w:ind w:firstLine="280"/>
        <w:spacing w:before="0" w:beforeAutospacing="0" w:after="0" w:afterAutospacing="0" w:line="360" w:lineRule="auto"/>
        <w:rPr>
          <w:rFonts w:hint="eastAsia" w:ascii="黑体" w:hAnsi="黑体" w:eastAsia="黑体" w:cs="黑体"/>
          <w:bCs/>
          <w:color w:val="auto"/>
          <w:sz w:val="28"/>
          <w:szCs w:val="28"/>
          <w:highlight w:val="none"/>
          <w:lang w:eastAsia="en-US"/>
        </w:rPr>
      </w:pPr>
      <w:r>
        <w:rPr>
          <w:rFonts w:hint="eastAsia" w:ascii="黑体" w:hAnsi="黑体" w:eastAsia="黑体" w:cs="黑体"/>
          <w:bCs/>
          <w:color w:val="auto"/>
          <w:sz w:val="28"/>
          <w:szCs w:val="28"/>
          <w:highlight w:val="none"/>
        </w:rPr>
        <w:t xml:space="preserve">四</w:t>
      </w:r>
      <w:r>
        <w:rPr>
          <w:rFonts w:hint="eastAsia" w:ascii="黑体" w:hAnsi="黑体" w:eastAsia="黑体" w:cs="黑体"/>
          <w:bCs/>
          <w:color w:val="auto"/>
          <w:sz w:val="28"/>
          <w:szCs w:val="28"/>
          <w:highlight w:val="none"/>
          <w:lang w:eastAsia="en-US"/>
        </w:rPr>
        <w:t xml:space="preserve">、综合评分评审标准</w:t>
      </w:r>
      <w:r/>
    </w:p>
    <w:tbl>
      <w:tblPr>
        <w:tblStyle w:val="772"/>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2"/>
        <w:gridCol w:w="1660"/>
        <w:gridCol w:w="1284"/>
        <w:gridCol w:w="5643"/>
      </w:tblGrid>
      <w:tr>
        <w:trPr>
          <w:jc w:val="center"/>
          <w:trHeight w:val="626"/>
        </w:trPr>
        <w:tc>
          <w:tcPr>
            <w:gridSpan w:val="3"/>
            <w:shd w:val="clear" w:color="auto" w:fill="auto"/>
            <w:tcW w:w="3816" w:type="dxa"/>
            <w:vAlign w:val="center"/>
            <w:textDirection w:val="lrTb"/>
            <w:noWrap w:val="false"/>
          </w:tcPr>
          <w:p>
            <w:pPr>
              <w:ind w:left="695"/>
              <w:jc w:val="center"/>
              <w:spacing w:line="3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分值构成（100分）</w:t>
            </w:r>
            <w:r/>
          </w:p>
        </w:tc>
        <w:tc>
          <w:tcPr>
            <w:shd w:val="clear" w:color="auto" w:fill="auto"/>
            <w:tcBorders>
              <w:left w:val="none" w:color="000000" w:sz="4" w:space="0"/>
            </w:tcBorders>
            <w:tcW w:w="5643" w:type="dxa"/>
            <w:vAlign w:val="center"/>
            <w:textDirection w:val="lrTb"/>
            <w:noWrap w:val="false"/>
          </w:tcPr>
          <w:p>
            <w:pPr>
              <w:ind w:left="695"/>
              <w:spacing w:line="36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商务技术标</w:t>
            </w:r>
            <w:r>
              <w:rPr>
                <w:rFonts w:hint="eastAsia" w:ascii="黑体" w:hAnsi="黑体" w:eastAsia="黑体" w:cs="黑体"/>
                <w:color w:val="auto"/>
                <w:sz w:val="28"/>
                <w:szCs w:val="28"/>
                <w:highlight w:val="none"/>
                <w:lang w:val="en-US" w:eastAsia="zh-CN"/>
              </w:rPr>
              <w:t xml:space="preserve">85</w:t>
            </w:r>
            <w:r>
              <w:rPr>
                <w:rFonts w:hint="eastAsia" w:ascii="黑体" w:hAnsi="黑体" w:eastAsia="黑体" w:cs="黑体"/>
                <w:color w:val="auto"/>
                <w:sz w:val="28"/>
                <w:szCs w:val="28"/>
                <w:highlight w:val="none"/>
              </w:rPr>
              <w:t xml:space="preserve">分，报价标</w:t>
            </w:r>
            <w:r>
              <w:rPr>
                <w:rFonts w:hint="eastAsia" w:ascii="黑体" w:hAnsi="黑体" w:eastAsia="黑体" w:cs="黑体"/>
                <w:color w:val="auto"/>
                <w:sz w:val="28"/>
                <w:szCs w:val="28"/>
                <w:highlight w:val="none"/>
                <w:lang w:val="en-US" w:eastAsia="zh-CN"/>
              </w:rPr>
              <w:t xml:space="preserve">15</w:t>
            </w:r>
            <w:r>
              <w:rPr>
                <w:rFonts w:hint="eastAsia" w:ascii="黑体" w:hAnsi="黑体" w:eastAsia="黑体" w:cs="黑体"/>
                <w:color w:val="auto"/>
                <w:sz w:val="28"/>
                <w:szCs w:val="28"/>
                <w:highlight w:val="none"/>
              </w:rPr>
              <w:t xml:space="preserve">分</w:t>
            </w:r>
            <w:r/>
          </w:p>
        </w:tc>
      </w:tr>
      <w:tr>
        <w:trPr>
          <w:jc w:val="center"/>
          <w:trHeight w:val="647"/>
        </w:trPr>
        <w:tc>
          <w:tcPr>
            <w:shd w:val="clear" w:color="auto" w:fill="auto"/>
            <w:tcW w:w="872" w:type="dxa"/>
            <w:vAlign w:val="center"/>
            <w:textDirection w:val="lrTb"/>
            <w:noWrap w:val="false"/>
          </w:tcPr>
          <w:p>
            <w:pPr>
              <w:jc w:val="cente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序号</w:t>
            </w:r>
            <w:r/>
          </w:p>
        </w:tc>
        <w:tc>
          <w:tcPr>
            <w:shd w:val="clear" w:color="auto" w:fill="auto"/>
            <w:tcBorders>
              <w:left w:val="none" w:color="000000" w:sz="4" w:space="0"/>
            </w:tcBorders>
            <w:tcW w:w="1660" w:type="dxa"/>
            <w:vAlign w:val="center"/>
            <w:textDirection w:val="lrTb"/>
            <w:noWrap w:val="false"/>
          </w:tcPr>
          <w:p>
            <w:pP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评分因素</w:t>
            </w:r>
            <w:r/>
          </w:p>
        </w:tc>
        <w:tc>
          <w:tcPr>
            <w:gridSpan w:val="2"/>
            <w:shd w:val="clear" w:color="auto" w:fill="auto"/>
            <w:tcBorders>
              <w:left w:val="none" w:color="000000" w:sz="4" w:space="0"/>
            </w:tcBorders>
            <w:tcW w:w="6927" w:type="dxa"/>
            <w:vAlign w:val="center"/>
            <w:textDirection w:val="lrTb"/>
            <w:noWrap w:val="false"/>
          </w:tcPr>
          <w:p>
            <w:pPr>
              <w:ind w:left="695" w:firstLine="1400"/>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评分标准</w:t>
            </w:r>
            <w:r/>
          </w:p>
        </w:tc>
      </w:tr>
      <w:tr>
        <w:trPr>
          <w:jc w:val="center"/>
          <w:trHeight w:val="989"/>
        </w:trPr>
        <w:tc>
          <w:tcPr>
            <w:shd w:val="clear" w:color="auto" w:fill="auto"/>
            <w:tcW w:w="872" w:type="dxa"/>
            <w:vAlign w:val="center"/>
            <w:textDirection w:val="lrTb"/>
            <w:noWrap w:val="false"/>
          </w:tcPr>
          <w:p>
            <w:pPr>
              <w:ind w:firstLine="280"/>
              <w:jc w:val="cente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w:t>
            </w:r>
            <w:r/>
          </w:p>
        </w:tc>
        <w:tc>
          <w:tcPr>
            <w:shd w:val="clear" w:color="auto" w:fill="auto"/>
            <w:tcBorders>
              <w:left w:val="none" w:color="000000" w:sz="4" w:space="0"/>
            </w:tcBorders>
            <w:tcW w:w="1660" w:type="dxa"/>
            <w:vAlign w:val="center"/>
            <w:textDirection w:val="lrTb"/>
            <w:noWrap w:val="false"/>
          </w:tcPr>
          <w:p>
            <w:pPr>
              <w:pStyle w:val="1090"/>
              <w:ind w:firstLine="0"/>
              <w:widowControl/>
              <w:rPr>
                <w:rFonts w:hint="eastAsia" w:ascii="黑体" w:hAnsi="黑体" w:eastAsia="黑体" w:cs="黑体"/>
                <w:color w:val="auto"/>
                <w:sz w:val="28"/>
                <w:szCs w:val="28"/>
                <w:highlight w:val="none"/>
              </w:rPr>
            </w:pPr>
            <w:r>
              <w:rPr>
                <w:rFonts w:hint="eastAsia" w:ascii="黑体" w:hAnsi="黑体" w:eastAsia="黑体" w:cs="黑体"/>
                <w:color w:val="auto"/>
                <w:sz w:val="24"/>
                <w:szCs w:val="24"/>
                <w:highlight w:val="none"/>
              </w:rPr>
              <w:t xml:space="preserve">展陈设计方案（20分）</w:t>
            </w:r>
            <w:r/>
          </w:p>
        </w:tc>
        <w:tc>
          <w:tcPr>
            <w:gridSpan w:val="2"/>
            <w:shd w:val="clear" w:color="auto" w:fill="auto"/>
            <w:tcBorders>
              <w:left w:val="none" w:color="000000" w:sz="4" w:space="0"/>
            </w:tcBorders>
            <w:tcW w:w="6927" w:type="dxa"/>
            <w:vAlign w:val="center"/>
            <w:textDirection w:val="lrTb"/>
            <w:noWrap w:val="false"/>
          </w:tcPr>
          <w:p>
            <w:pPr>
              <w:spacing w:line="320" w:lineRule="exact"/>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响应供应商提供针对本项目的相关设计方案，</w:t>
            </w:r>
            <w:r>
              <w:rPr>
                <w:rFonts w:hint="eastAsia" w:ascii="黑体" w:hAnsi="黑体" w:eastAsia="黑体" w:cs="黑体"/>
                <w:color w:val="auto"/>
                <w:sz w:val="24"/>
                <w:szCs w:val="24"/>
                <w:highlight w:val="none"/>
                <w:lang w:eastAsia="zh-CN" w:bidi="ar"/>
              </w:rPr>
              <w:t xml:space="preserve">评标小组</w:t>
            </w:r>
            <w:r>
              <w:rPr>
                <w:rFonts w:hint="eastAsia" w:ascii="黑体" w:hAnsi="黑体" w:eastAsia="黑体" w:cs="黑体"/>
                <w:color w:val="auto"/>
                <w:sz w:val="24"/>
                <w:szCs w:val="24"/>
                <w:highlight w:val="none"/>
                <w:lang w:bidi="ar"/>
              </w:rPr>
              <w:t xml:space="preserve">根据以下内容要求综合评审：</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1.需求理解与主题把握（4分）：能够准确把握设计需求，对少儿视听工坊、儿童文创中心需要承载的红色童声美育、专业录音实训、少儿互动体验等展示运营内容理解透彻，对场馆定位和核心主题充分了解，充分融入展厅设计与深化之中，能全面生动展现红色少儿视听美育特色。</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bidi="ar"/>
              </w:rPr>
              <w:t xml:space="preserve">（1）方案</w:t>
            </w:r>
            <w:r>
              <w:rPr>
                <w:rFonts w:hint="eastAsia" w:ascii="黑体" w:hAnsi="黑体" w:eastAsia="黑体" w:cs="黑体"/>
                <w:color w:val="auto"/>
                <w:sz w:val="24"/>
                <w:szCs w:val="24"/>
                <w:highlight w:val="none"/>
              </w:rPr>
              <w:t xml:space="preserve">能精准把握场馆定位、核心主题及各项功能，充分融入设计，充分展现红色少儿视听美育特色得4分；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（2）理解主要需求，大部分设计要求落实，特色有体现但挖掘不深得2分；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（3）基本知晓需求，方案相关体现较少，美育特色单薄得1分；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rPr>
              <w:t xml:space="preserve">（4）需求理解明显偏差或未提供</w:t>
            </w:r>
            <w:r>
              <w:rPr>
                <w:rFonts w:hint="eastAsia" w:ascii="黑体" w:hAnsi="黑体" w:eastAsia="黑体" w:cs="黑体"/>
                <w:color w:val="auto"/>
                <w:sz w:val="24"/>
                <w:szCs w:val="24"/>
                <w:highlight w:val="none"/>
                <w:lang w:bidi="ar"/>
              </w:rPr>
              <w:t xml:space="preserve">得0分</w:t>
            </w:r>
            <w:r>
              <w:rPr>
                <w:rFonts w:hint="eastAsia" w:ascii="黑体" w:hAnsi="黑体" w:eastAsia="黑体" w:cs="黑体"/>
                <w:color w:val="auto"/>
                <w:sz w:val="24"/>
                <w:szCs w:val="24"/>
                <w:highlight w:val="none"/>
              </w:rPr>
              <w:t xml:space="preserve">。</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2.</w:t>
            </w:r>
            <w:r>
              <w:rPr>
                <w:rFonts w:hint="eastAsia" w:ascii="黑体" w:hAnsi="黑体" w:eastAsia="黑体" w:cs="黑体"/>
                <w:color w:val="auto"/>
                <w:sz w:val="24"/>
                <w:szCs w:val="24"/>
                <w:highlight w:val="none"/>
              </w:rPr>
              <w:t xml:space="preserve">受众适配与空间规划</w:t>
            </w:r>
            <w:r>
              <w:rPr>
                <w:rFonts w:hint="eastAsia" w:ascii="黑体" w:hAnsi="黑体" w:eastAsia="黑体" w:cs="黑体"/>
                <w:color w:val="auto"/>
                <w:sz w:val="24"/>
                <w:szCs w:val="24"/>
                <w:highlight w:val="none"/>
                <w:lang w:bidi="ar"/>
              </w:rPr>
              <w:t xml:space="preserve">（4分）</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bidi="ar"/>
              </w:rPr>
              <w:t xml:space="preserve">从设计理念、设计思路、整体设计风格，结合场馆功能特点等方面考虑，能够针对少儿学生、专业录制从业者、参观访客三类不同参观使用对象，设置差异化参观体验、实训录制内容，空间形式表现整体和谐统一又不失各功能板块的独立性。</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（1）针对少儿、专业者、访客设置差异化体验实训，空间协调，各功能板块独立清晰得4分；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（2）区分三类受众并配置对应内容，功能基本独立，局部空间需优化得</w:t>
            </w:r>
            <w:r>
              <w:rPr>
                <w:rFonts w:hint="eastAsia" w:ascii="黑体" w:hAnsi="黑体" w:eastAsia="黑体" w:cs="黑体"/>
                <w:color w:val="auto"/>
                <w:sz w:val="24"/>
                <w:szCs w:val="24"/>
                <w:highlight w:val="none"/>
              </w:rPr>
              <w:t xml:space="preserve">2分</w:t>
            </w:r>
            <w:r>
              <w:rPr>
                <w:rFonts w:hint="eastAsia" w:ascii="黑体" w:hAnsi="黑体" w:eastAsia="黑体" w:cs="黑体"/>
                <w:color w:val="auto"/>
                <w:sz w:val="24"/>
                <w:szCs w:val="24"/>
                <w:highlight w:val="none"/>
                <w:lang w:bidi="ar"/>
              </w:rPr>
              <w:t xml:space="preserve">；</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（3）仅覆盖部分受众，差异化不足，功能板块区分度弱得1分；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（4）未区分使用对象，布局混乱或无相关设计得0分</w:t>
            </w:r>
            <w:r>
              <w:rPr>
                <w:rFonts w:hint="eastAsia" w:ascii="黑体" w:hAnsi="黑体" w:eastAsia="黑体" w:cs="黑体"/>
                <w:color w:val="auto"/>
                <w:sz w:val="24"/>
                <w:szCs w:val="24"/>
                <w:highlight w:val="none"/>
              </w:rPr>
              <w:t xml:space="preserve">。</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3.</w:t>
            </w:r>
            <w:r>
              <w:rPr>
                <w:rFonts w:hint="eastAsia" w:ascii="黑体" w:hAnsi="黑体" w:eastAsia="黑体" w:cs="黑体"/>
                <w:color w:val="auto"/>
                <w:sz w:val="24"/>
                <w:szCs w:val="24"/>
                <w:highlight w:val="none"/>
              </w:rPr>
              <w:t xml:space="preserve">空间亮点与功能适配</w:t>
            </w:r>
            <w:r>
              <w:rPr>
                <w:rFonts w:hint="eastAsia" w:ascii="黑体" w:hAnsi="黑体" w:eastAsia="黑体" w:cs="黑体"/>
                <w:color w:val="auto"/>
                <w:sz w:val="24"/>
                <w:szCs w:val="24"/>
                <w:highlight w:val="none"/>
                <w:lang w:bidi="ar"/>
              </w:rPr>
              <w:t xml:space="preserve">（4分）</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bidi="ar"/>
              </w:rPr>
              <w:t xml:space="preserve">深化、改动设计能够突出空间核心亮点与特色体验装置，具备画龙点睛的效果；展厅、录音棚、文创体验区空间布局设计合理，完美契合专业录音设备、音乐互动装置、文创展陈等展示运营手段使用需求。</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（1）核心亮点、特色装置突出，空间布局科学，完全满足录音、互动、展陈运营要求得4分；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（2）具备亮点装置，布局基本合理，可满足主要使用需求得</w:t>
            </w:r>
            <w:r>
              <w:rPr>
                <w:rFonts w:hint="eastAsia" w:ascii="黑体" w:hAnsi="黑体" w:eastAsia="黑体" w:cs="黑体"/>
                <w:color w:val="auto"/>
                <w:sz w:val="24"/>
                <w:szCs w:val="24"/>
                <w:highlight w:val="none"/>
              </w:rPr>
              <w:t xml:space="preserve">2分</w:t>
            </w:r>
            <w:r>
              <w:rPr>
                <w:rFonts w:hint="eastAsia" w:ascii="黑体" w:hAnsi="黑体" w:eastAsia="黑体" w:cs="黑体"/>
                <w:color w:val="auto"/>
                <w:sz w:val="24"/>
                <w:szCs w:val="24"/>
                <w:highlight w:val="none"/>
                <w:lang w:bidi="ar"/>
              </w:rPr>
              <w:t xml:space="preserve">；</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（3）亮点薄弱，部分设备、展陈条件考虑不周得1分；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（4）无核心亮点，布局不合理或未提供设计得0分。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4.展陈大纲</w:t>
            </w:r>
            <w:r>
              <w:rPr>
                <w:rFonts w:hint="eastAsia" w:ascii="黑体" w:hAnsi="黑体" w:eastAsia="黑体" w:cs="黑体"/>
                <w:color w:val="auto"/>
                <w:sz w:val="24"/>
                <w:szCs w:val="24"/>
                <w:highlight w:val="none"/>
              </w:rPr>
              <w:t xml:space="preserve">完整度、创新性及落地性</w:t>
            </w:r>
            <w:r>
              <w:rPr>
                <w:rFonts w:hint="eastAsia" w:ascii="黑体" w:hAnsi="黑体" w:eastAsia="黑体" w:cs="黑体"/>
                <w:color w:val="auto"/>
                <w:sz w:val="24"/>
                <w:szCs w:val="24"/>
                <w:highlight w:val="none"/>
                <w:lang w:bidi="ar"/>
              </w:rPr>
              <w:t xml:space="preserve">（4分）</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bidi="ar"/>
              </w:rPr>
              <w:t xml:space="preserve">方案具备完整的展陈大纲、创意创新性、现场可落地操作性，能够进一步提升初步设计方案的空间功能、视听体验与美育展示品质，有效体现“童声里的中国”的品牌故事线。</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（1）方案完整，创意突出，落地性强得4分；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（2）方案较完整，可落地得</w:t>
            </w:r>
            <w:r>
              <w:rPr>
                <w:rFonts w:hint="eastAsia" w:ascii="黑体" w:hAnsi="黑体" w:eastAsia="黑体" w:cs="黑体"/>
                <w:color w:val="auto"/>
                <w:sz w:val="24"/>
                <w:szCs w:val="24"/>
                <w:highlight w:val="none"/>
              </w:rPr>
              <w:t xml:space="preserve">2分</w:t>
            </w:r>
            <w:r>
              <w:rPr>
                <w:rFonts w:hint="eastAsia" w:ascii="黑体" w:hAnsi="黑体" w:eastAsia="黑体" w:cs="黑体"/>
                <w:color w:val="auto"/>
                <w:sz w:val="24"/>
                <w:szCs w:val="24"/>
                <w:highlight w:val="none"/>
                <w:lang w:bidi="ar"/>
              </w:rPr>
              <w:t xml:space="preserve">；</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（3）完整性、创意不足，落地存在制约得1分；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（4）方案残缺、难以落地或未提供方案得0分。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5.</w:t>
            </w:r>
            <w:r>
              <w:rPr>
                <w:rFonts w:hint="eastAsia" w:ascii="黑体" w:hAnsi="黑体" w:eastAsia="黑体" w:cs="黑体"/>
                <w:color w:val="auto"/>
                <w:sz w:val="24"/>
                <w:szCs w:val="24"/>
                <w:highlight w:val="none"/>
              </w:rPr>
              <w:t xml:space="preserve">主题契合度及图纸完整性</w:t>
            </w:r>
            <w:r>
              <w:rPr>
                <w:rFonts w:hint="eastAsia" w:ascii="黑体" w:hAnsi="黑体" w:eastAsia="黑体" w:cs="黑体"/>
                <w:color w:val="auto"/>
                <w:sz w:val="24"/>
                <w:szCs w:val="24"/>
                <w:highlight w:val="none"/>
                <w:lang w:bidi="ar"/>
              </w:rPr>
              <w:t xml:space="preserve">（4分）</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bidi="ar"/>
              </w:rPr>
              <w:t xml:space="preserve">根据项目需求，结合本地红色少儿文化特色和少儿视听文创场馆风格特点等方面考虑，红韵童声结合打造具有专属辨识度、独一无二的少儿视听文创展示场馆。立意准确，整体空间风格、色彩色调、造型样式等高度契合红色童声美育主题需求，具备较强童趣与红色文化艺术感染力。能提供布展效果图、平面分区图、功能分区图、人流动线组织图、录音棚专项施工图等全套设计图纸资料。</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（1）方案深度融合本地红色少儿文化，场馆辨识度高，主题氛围感染力强，图纸齐全得4分；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（2）体现项目红色文化特色，主要图纸齐全，个别图纸深度不够得</w:t>
            </w:r>
            <w:r>
              <w:rPr>
                <w:rFonts w:hint="eastAsia" w:ascii="黑体" w:hAnsi="黑体" w:eastAsia="黑体" w:cs="黑体"/>
                <w:color w:val="auto"/>
                <w:sz w:val="24"/>
                <w:szCs w:val="24"/>
                <w:highlight w:val="none"/>
              </w:rPr>
              <w:t xml:space="preserve">2分</w:t>
            </w:r>
            <w:r>
              <w:rPr>
                <w:rFonts w:hint="eastAsia" w:ascii="黑体" w:hAnsi="黑体" w:eastAsia="黑体" w:cs="黑体"/>
                <w:color w:val="auto"/>
                <w:sz w:val="24"/>
                <w:szCs w:val="24"/>
                <w:highlight w:val="none"/>
                <w:lang w:bidi="ar"/>
              </w:rPr>
              <w:t xml:space="preserve">；</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（3）本地文化融合不足，主题氛围偏弱，缺失部分关键图纸得1分；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（4）主题立意偏离，图纸大量缺失或未提供设计资料得0分。</w:t>
            </w:r>
            <w:r/>
          </w:p>
          <w:p>
            <w:pPr>
              <w:rPr>
                <w:rFonts w:hint="eastAsia" w:ascii="黑体" w:hAnsi="黑体" w:eastAsia="黑体" w:cs="黑体"/>
                <w:color w:val="auto"/>
                <w:sz w:val="28"/>
                <w:szCs w:val="28"/>
                <w:highlight w:val="none"/>
              </w:rPr>
            </w:pPr>
            <w:r>
              <w:rPr>
                <w:rFonts w:hint="eastAsia" w:ascii="黑体" w:hAnsi="黑体" w:eastAsia="黑体" w:cs="黑体"/>
                <w:b/>
                <w:bCs/>
                <w:color w:val="auto"/>
                <w:sz w:val="24"/>
                <w:szCs w:val="24"/>
                <w:highlight w:val="none"/>
                <w:lang w:bidi="ar"/>
              </w:rPr>
              <w:t xml:space="preserve">注明：各</w:t>
            </w:r>
            <w:r>
              <w:rPr>
                <w:rFonts w:hint="eastAsia" w:ascii="黑体" w:hAnsi="黑体" w:eastAsia="黑体" w:cs="黑体"/>
                <w:b/>
                <w:bCs/>
                <w:color w:val="auto"/>
                <w:sz w:val="24"/>
                <w:szCs w:val="24"/>
                <w:highlight w:val="none"/>
                <w:lang w:eastAsia="zh-CN" w:bidi="ar"/>
              </w:rPr>
              <w:t xml:space="preserve">供应商</w:t>
            </w:r>
            <w:r>
              <w:rPr>
                <w:rFonts w:hint="eastAsia" w:ascii="黑体" w:hAnsi="黑体" w:eastAsia="黑体" w:cs="黑体"/>
                <w:b/>
                <w:bCs/>
                <w:color w:val="auto"/>
                <w:sz w:val="24"/>
                <w:szCs w:val="24"/>
                <w:highlight w:val="none"/>
                <w:lang w:bidi="ar"/>
              </w:rPr>
              <w:t xml:space="preserve">投标时的设计方案，采购人有权作为参考依据。本项目的最终设计方案须经采购人确定后方可实施。</w:t>
            </w:r>
            <w:r/>
          </w:p>
        </w:tc>
      </w:tr>
      <w:tr>
        <w:trPr>
          <w:jc w:val="center"/>
          <w:trHeight w:val="647"/>
        </w:trPr>
        <w:tc>
          <w:tcPr>
            <w:shd w:val="clear" w:color="auto" w:fill="auto"/>
            <w:tcW w:w="872" w:type="dxa"/>
            <w:vAlign w:val="center"/>
            <w:textDirection w:val="lrTb"/>
            <w:noWrap w:val="false"/>
          </w:tcPr>
          <w:p>
            <w:pPr>
              <w:ind w:firstLine="280"/>
              <w:jc w:val="cente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w:t>
            </w:r>
            <w:r/>
          </w:p>
        </w:tc>
        <w:tc>
          <w:tcPr>
            <w:shd w:val="clear" w:color="auto" w:fill="auto"/>
            <w:tcBorders>
              <w:left w:val="none" w:color="000000" w:sz="4" w:space="0"/>
            </w:tcBorders>
            <w:tcW w:w="1660" w:type="dxa"/>
            <w:vAlign w:val="center"/>
            <w:textDirection w:val="lrTb"/>
            <w:noWrap w:val="false"/>
          </w:tcPr>
          <w:p>
            <w:pPr>
              <w:rPr>
                <w:rFonts w:hint="eastAsia" w:ascii="黑体" w:hAnsi="黑体" w:eastAsia="黑体" w:cs="黑体"/>
                <w:bCs/>
                <w:color w:val="auto"/>
                <w:sz w:val="28"/>
                <w:szCs w:val="28"/>
                <w:highlight w:val="none"/>
              </w:rPr>
            </w:pPr>
            <w:r>
              <w:rPr>
                <w:rFonts w:hint="eastAsia" w:ascii="黑体" w:hAnsi="黑体" w:eastAsia="黑体" w:cs="黑体"/>
                <w:color w:val="auto"/>
                <w:sz w:val="24"/>
                <w:szCs w:val="24"/>
                <w:highlight w:val="none"/>
              </w:rPr>
              <w:t xml:space="preserve">展陈施工方案（20分）</w:t>
            </w:r>
            <w:r/>
          </w:p>
        </w:tc>
        <w:tc>
          <w:tcPr>
            <w:gridSpan w:val="2"/>
            <w:shd w:val="clear" w:color="auto" w:fill="auto"/>
            <w:tcBorders>
              <w:left w:val="none" w:color="000000" w:sz="4" w:space="0"/>
            </w:tcBorders>
            <w:tcW w:w="6927" w:type="dxa"/>
            <w:vAlign w:val="center"/>
            <w:textDirection w:val="lrTb"/>
            <w:noWrap w:val="false"/>
          </w:tcPr>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总体实施部署（3分）：布展工程概述、总体安排、施工部署及施工段划分等健全、合理、规范、高效。概述描述清晰明了、科学合理、可实施性强的得3分；概述描述比较清晰、可操作性尚可得2分；内容描述简单、有可操作性的得1分；未提供得0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实施进度计划及保障措施（3分）：关于本布展施工进度计划的描述，以及为完成该计划所定措施科学、合理、规范、高效。进度计划描述清晰明了、科学合理、可实施性强的得3分；进度计划描述比较清晰、可操作性尚可的得2分；进度计划描述简单、有操作性的得1分；未提供得0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现场平面布置和临时设施布置方案（3分）：施工现场平面布置和临时设施布置方案完整、科学合理、可操作性强的得3分；方案较完整合理、但有缺陷的得2分；方案不够完整的得1分；未提供或被离本项目需求要求得0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分部、分项工程的施工方案（3分）：该布展分部分项工程的施工方案、具体施工技术措施科学、合理、操作性强、规范、高效。工程分部分项工程的施工方案、具体施工技术措施科学合理、操作性强、规范高效的得3分；工程分部分项工程的施工方案、具体施工技术措施比较科学合理、操作性较好的得2分；工程分部分项工程的施工方案、具体施工技术措施简单、有操作性、有涉及但不全面的得1分；未提供或被离本项目需求要求得0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5.质量保证措施（3分）：该布展施工质量保证</w:t>
            </w:r>
            <w:r>
              <w:rPr>
                <w:rFonts w:hint="eastAsia" w:ascii="黑体" w:hAnsi="黑体" w:eastAsia="黑体" w:cs="黑体"/>
                <w:color w:val="auto"/>
                <w:sz w:val="24"/>
                <w:szCs w:val="24"/>
                <w:highlight w:val="none"/>
                <w:lang w:val="en-US" w:eastAsia="zh-CN"/>
              </w:rPr>
              <w:t xml:space="preserve">措施</w:t>
            </w:r>
            <w:r>
              <w:rPr>
                <w:rFonts w:hint="eastAsia" w:ascii="黑体" w:hAnsi="黑体" w:eastAsia="黑体" w:cs="黑体"/>
                <w:color w:val="auto"/>
                <w:sz w:val="24"/>
                <w:szCs w:val="24"/>
                <w:highlight w:val="none"/>
              </w:rPr>
              <w:t xml:space="preserve">内容规范合理、针对性强、可实施性强的得3分；方案较完整、科学、合理、但有缺陷的得2分；方案不够完整、科学、合理的得1分；未提供或被离本项目需求要求得0分。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安全文明施工措施（3分）：该布展工程安全文明施工、现场扬尘污染防治措施及环境保护方面的措施科学合理、操作性强、规范高效的得3分；现场扬尘污染防治措施及环境保护方面的措施比较科学合理、操作性较强好的得2分；现场扬尘污染防治措施及环境保护方面的措施简单、有涉及但不全面的得1分；未提供或被离本项目需求要求得0分。</w:t>
            </w:r>
            <w:r/>
          </w:p>
          <w:p>
            <w:pPr>
              <w:rPr>
                <w:rFonts w:hint="eastAsia" w:ascii="黑体" w:hAnsi="黑体" w:eastAsia="黑体" w:cs="黑体"/>
                <w:color w:val="auto"/>
                <w:sz w:val="28"/>
                <w:szCs w:val="28"/>
                <w:highlight w:val="none"/>
              </w:rPr>
            </w:pPr>
            <w:r>
              <w:rPr>
                <w:rFonts w:hint="eastAsia" w:ascii="黑体" w:hAnsi="黑体" w:eastAsia="黑体" w:cs="黑体"/>
                <w:color w:val="auto"/>
                <w:sz w:val="24"/>
                <w:szCs w:val="24"/>
                <w:highlight w:val="none"/>
              </w:rPr>
              <w:t xml:space="preserve">7.恶劣天气、特殊事故、纠纷等应急处置方案（2分）：应急预案制定有针对性，方案实施可行性强的得2分；具有应急预案，方案描述较为简单，可行性一般的得1分；未提供或被离本项目需求要求得0分。</w:t>
            </w:r>
            <w:r/>
          </w:p>
        </w:tc>
      </w:tr>
      <w:tr>
        <w:trPr>
          <w:jc w:val="center"/>
          <w:trHeight w:val="330"/>
        </w:trPr>
        <w:tc>
          <w:tcPr>
            <w:shd w:val="clear" w:color="auto" w:fill="auto"/>
            <w:tcW w:w="872" w:type="dxa"/>
            <w:vAlign w:val="center"/>
            <w:textDirection w:val="lrTb"/>
            <w:noWrap w:val="false"/>
          </w:tcPr>
          <w:p>
            <w:pPr>
              <w:ind w:firstLine="560"/>
              <w:jc w:val="cente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p>
        </w:tc>
        <w:tc>
          <w:tcPr>
            <w:shd w:val="clear" w:color="auto" w:fill="auto"/>
            <w:tcBorders>
              <w:left w:val="none" w:color="000000" w:sz="4" w:space="0"/>
            </w:tcBorders>
            <w:tcW w:w="1660" w:type="dxa"/>
            <w:vAlign w:val="center"/>
            <w:textDirection w:val="lrTb"/>
            <w:noWrap w:val="false"/>
          </w:tcPr>
          <w:p>
            <w:pPr>
              <w:rPr>
                <w:rFonts w:hint="eastAsia" w:ascii="黑体" w:hAnsi="黑体" w:eastAsia="黑体" w:cs="黑体"/>
                <w:color w:val="auto"/>
                <w:sz w:val="28"/>
                <w:szCs w:val="28"/>
                <w:highlight w:val="none"/>
              </w:rPr>
            </w:pPr>
            <w:r>
              <w:rPr>
                <w:rFonts w:hint="eastAsia" w:ascii="黑体" w:hAnsi="黑体" w:eastAsia="黑体" w:cs="黑体"/>
                <w:color w:val="auto"/>
                <w:sz w:val="24"/>
                <w:szCs w:val="24"/>
                <w:highlight w:val="none"/>
              </w:rPr>
              <w:t xml:space="preserve">售后服务方案（3分）</w:t>
            </w:r>
            <w:r/>
          </w:p>
        </w:tc>
        <w:tc>
          <w:tcPr>
            <w:gridSpan w:val="2"/>
            <w:shd w:val="clear" w:color="auto" w:fill="auto"/>
            <w:tcBorders>
              <w:left w:val="none" w:color="000000" w:sz="4" w:space="0"/>
            </w:tcBorders>
            <w:tcW w:w="6927" w:type="dxa"/>
            <w:vAlign w:val="center"/>
            <w:textDirection w:val="lrTb"/>
            <w:noWrap w:val="false"/>
          </w:tcPr>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供应商提供详细的售后服务方案与措施，包含售后服务方案、服务时间响应、具体保障措施、服务人员配置等，评委会根据方案是否全面具体、可行性方面综合评审,满分3分。</w:t>
            </w:r>
            <w:r/>
          </w:p>
          <w:p>
            <w:pPr>
              <w:rPr>
                <w:rFonts w:hint="eastAsia" w:ascii="黑体" w:hAnsi="黑体" w:eastAsia="黑体" w:cs="黑体"/>
                <w:color w:val="auto"/>
                <w:sz w:val="28"/>
                <w:szCs w:val="28"/>
                <w:highlight w:val="none"/>
                <w:lang w:val="zh-CN"/>
              </w:rPr>
            </w:pPr>
            <w:r>
              <w:rPr>
                <w:rFonts w:hint="eastAsia" w:ascii="黑体" w:hAnsi="黑体" w:eastAsia="黑体" w:cs="黑体"/>
                <w:color w:val="auto"/>
                <w:sz w:val="24"/>
                <w:szCs w:val="24"/>
                <w:highlight w:val="none"/>
              </w:rPr>
              <w:t xml:space="preserve">能提供详细的售后服务方案、响应及时高效、保障措施针对性强且紧扣本项目售后需求的得3分；方案较为详细、响应及时、保障措施具有一定的可行性得2分；有方案但未被离本项目需求要求的得1分；不提供不得分。</w:t>
            </w:r>
            <w:r/>
          </w:p>
        </w:tc>
      </w:tr>
      <w:tr>
        <w:trPr>
          <w:jc w:val="center"/>
          <w:trHeight w:val="330"/>
        </w:trPr>
        <w:tc>
          <w:tcPr>
            <w:shd w:val="clear" w:color="auto" w:fill="auto"/>
            <w:tcW w:w="872" w:type="dxa"/>
            <w:vAlign w:val="center"/>
            <w:textDirection w:val="lrTb"/>
            <w:noWrap w:val="false"/>
          </w:tcPr>
          <w:p>
            <w:pPr>
              <w:ind w:firstLine="560"/>
              <w:jc w:val="center"/>
              <w:spacing w:line="360" w:lineRule="exact"/>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4</w:t>
            </w:r>
            <w:r/>
          </w:p>
        </w:tc>
        <w:tc>
          <w:tcPr>
            <w:shd w:val="clear" w:color="auto" w:fill="auto"/>
            <w:tcBorders>
              <w:left w:val="none" w:color="000000" w:sz="4" w:space="0"/>
            </w:tcBorders>
            <w:tcW w:w="1660" w:type="dxa"/>
            <w:vAlign w:val="center"/>
            <w:textDirection w:val="lrTb"/>
            <w:noWrap w:val="false"/>
          </w:tcPr>
          <w:p>
            <w:pPr>
              <w:rPr>
                <w:rFonts w:hint="eastAsia" w:ascii="黑体" w:hAnsi="黑体" w:eastAsia="黑体" w:cs="黑体"/>
                <w:bCs/>
                <w:color w:val="auto"/>
                <w:sz w:val="28"/>
                <w:szCs w:val="28"/>
                <w:highlight w:val="none"/>
                <w:lang w:val="en-US" w:eastAsia="zh-CN" w:bidi="ar-SA"/>
              </w:rPr>
            </w:pPr>
            <w:r>
              <w:rPr>
                <w:rFonts w:hint="eastAsia" w:ascii="黑体" w:hAnsi="黑体" w:eastAsia="黑体" w:cs="黑体"/>
                <w:color w:val="auto"/>
                <w:sz w:val="24"/>
                <w:szCs w:val="24"/>
                <w:highlight w:val="none"/>
              </w:rPr>
              <w:t xml:space="preserve">培训方案（2分）</w:t>
            </w:r>
            <w:r/>
          </w:p>
        </w:tc>
        <w:tc>
          <w:tcPr>
            <w:gridSpan w:val="2"/>
            <w:shd w:val="clear" w:color="auto" w:fill="auto"/>
            <w:tcBorders>
              <w:left w:val="none" w:color="000000" w:sz="4" w:space="0"/>
            </w:tcBorders>
            <w:tcW w:w="6927" w:type="dxa"/>
            <w:vAlign w:val="center"/>
            <w:textDirection w:val="lrTb"/>
            <w:noWrap w:val="false"/>
          </w:tcPr>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响应供应商提供针对本项目的培训方案，包含培训内容、培训方式、培训计划等，评委会根据方案是否全面具体、可行性方面综合评审,满分2分。</w:t>
            </w:r>
            <w:r/>
          </w:p>
          <w:p>
            <w:pPr>
              <w:rPr>
                <w:rFonts w:hint="eastAsia" w:ascii="黑体" w:hAnsi="黑体" w:eastAsia="黑体" w:cs="黑体"/>
                <w:color w:val="auto"/>
                <w:sz w:val="28"/>
                <w:szCs w:val="28"/>
                <w:highlight w:val="none"/>
                <w:lang w:val="en-US" w:eastAsia="zh-CN" w:bidi="ar-SA"/>
              </w:rPr>
            </w:pPr>
            <w:r>
              <w:rPr>
                <w:rFonts w:hint="eastAsia" w:ascii="黑体" w:hAnsi="黑体" w:eastAsia="黑体" w:cs="黑体"/>
                <w:color w:val="auto"/>
                <w:sz w:val="24"/>
                <w:szCs w:val="24"/>
                <w:highlight w:val="none"/>
              </w:rPr>
              <w:t xml:space="preserve">方案内容包含以上所要求的所有内容，完全满足项目培训要求，能实现项目目标且合理的得2分；较能满足项目培训要求，能实现项目目标且较合理的得1分；有项目培训要求且未被离本项目需求要求的得0.5分；不提供不得分。</w:t>
            </w:r>
            <w:r/>
          </w:p>
        </w:tc>
      </w:tr>
      <w:tr>
        <w:trPr>
          <w:jc w:val="center"/>
          <w:trHeight w:val="330"/>
        </w:trPr>
        <w:tc>
          <w:tcPr>
            <w:shd w:val="clear" w:color="auto" w:fill="auto"/>
            <w:tcW w:w="872" w:type="dxa"/>
            <w:vAlign w:val="center"/>
            <w:textDirection w:val="lrTb"/>
            <w:noWrap w:val="false"/>
          </w:tcPr>
          <w:p>
            <w:pPr>
              <w:ind w:firstLine="560"/>
              <w:jc w:val="center"/>
              <w:spacing w:line="360" w:lineRule="exact"/>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5</w:t>
            </w:r>
            <w:r/>
          </w:p>
        </w:tc>
        <w:tc>
          <w:tcPr>
            <w:shd w:val="clear" w:color="auto" w:fill="auto"/>
            <w:tcBorders>
              <w:left w:val="none" w:color="000000" w:sz="4" w:space="0"/>
            </w:tcBorders>
            <w:tcW w:w="1660" w:type="dxa"/>
            <w:vAlign w:val="center"/>
            <w:textDirection w:val="lrTb"/>
            <w:noWrap w:val="false"/>
          </w:tcPr>
          <w:p>
            <w:pPr>
              <w:pStyle w:val="1090"/>
              <w:ind w:firstLine="0"/>
              <w:widowControl/>
              <w:rPr>
                <w:rFonts w:hint="eastAsia" w:ascii="黑体" w:hAnsi="黑体" w:eastAsia="黑体" w:cs="黑体"/>
                <w:bCs/>
                <w:color w:val="auto"/>
                <w:sz w:val="28"/>
                <w:szCs w:val="28"/>
                <w:highlight w:val="none"/>
                <w:lang w:val="en-US" w:eastAsia="zh-CN" w:bidi="ar-SA"/>
              </w:rPr>
            </w:pPr>
            <w:r>
              <w:rPr>
                <w:rFonts w:hint="eastAsia" w:ascii="黑体" w:hAnsi="黑体" w:eastAsia="黑体" w:cs="黑体"/>
                <w:color w:val="auto"/>
                <w:sz w:val="24"/>
                <w:szCs w:val="24"/>
                <w:highlight w:val="none"/>
                <w:lang w:bidi="ar"/>
              </w:rPr>
              <w:t xml:space="preserve">功能参数（25分）</w:t>
            </w:r>
            <w:r/>
          </w:p>
        </w:tc>
        <w:tc>
          <w:tcPr>
            <w:gridSpan w:val="2"/>
            <w:shd w:val="clear" w:color="auto" w:fill="auto"/>
            <w:tcBorders>
              <w:left w:val="none" w:color="000000" w:sz="4" w:space="0"/>
            </w:tcBorders>
            <w:tcW w:w="6927" w:type="dxa"/>
            <w:vAlign w:val="center"/>
            <w:textDirection w:val="lrTb"/>
            <w:noWrap w:val="false"/>
          </w:tcPr>
          <w:p>
            <w:pPr>
              <w:rPr>
                <w:rFonts w:hint="eastAsia" w:ascii="黑体" w:hAnsi="黑体" w:eastAsia="黑体" w:cs="黑体"/>
                <w:color w:val="auto"/>
                <w:sz w:val="24"/>
                <w:szCs w:val="24"/>
                <w:highlight w:val="none"/>
                <w:lang w:val="zh-CN"/>
              </w:rPr>
            </w:pPr>
            <w:r>
              <w:rPr>
                <w:rFonts w:hint="eastAsia" w:ascii="黑体" w:hAnsi="黑体" w:eastAsia="黑体" w:cs="黑体"/>
                <w:color w:val="auto"/>
                <w:sz w:val="24"/>
                <w:szCs w:val="24"/>
                <w:highlight w:val="none"/>
              </w:rPr>
              <w:t xml:space="preserve">本项目第三章项目需求中</w:t>
            </w:r>
            <w:r>
              <w:rPr>
                <w:rFonts w:hint="eastAsia" w:ascii="黑体" w:hAnsi="黑体" w:eastAsia="黑体" w:cs="黑体"/>
                <w:color w:val="auto"/>
                <w:sz w:val="24"/>
                <w:szCs w:val="24"/>
                <w:highlight w:val="none"/>
                <w:lang w:val="zh-CN"/>
              </w:rPr>
              <w:t xml:space="preserve">带“★”指标为</w:t>
            </w:r>
            <w:r>
              <w:rPr>
                <w:rFonts w:hint="eastAsia" w:ascii="黑体" w:hAnsi="黑体" w:eastAsia="黑体" w:cs="黑体"/>
                <w:color w:val="auto"/>
                <w:sz w:val="24"/>
                <w:szCs w:val="24"/>
                <w:highlight w:val="none"/>
              </w:rPr>
              <w:t xml:space="preserve">关键参数</w:t>
            </w:r>
            <w:r>
              <w:rPr>
                <w:rFonts w:hint="eastAsia" w:ascii="黑体" w:hAnsi="黑体" w:eastAsia="黑体" w:cs="黑体"/>
                <w:color w:val="auto"/>
                <w:sz w:val="24"/>
                <w:szCs w:val="24"/>
                <w:highlight w:val="none"/>
                <w:lang w:val="zh-CN"/>
              </w:rPr>
              <w:t xml:space="preserve">指标，</w:t>
            </w:r>
            <w:r>
              <w:rPr>
                <w:rFonts w:hint="eastAsia" w:ascii="黑体" w:hAnsi="黑体" w:eastAsia="黑体" w:cs="黑体"/>
                <w:color w:val="auto"/>
                <w:sz w:val="24"/>
                <w:szCs w:val="24"/>
                <w:highlight w:val="none"/>
              </w:rPr>
              <w:t xml:space="preserve">不允许负偏离，若出现</w:t>
            </w:r>
            <w:r>
              <w:rPr>
                <w:rFonts w:hint="eastAsia" w:ascii="黑体" w:hAnsi="黑体" w:eastAsia="黑体" w:cs="黑体"/>
                <w:color w:val="auto"/>
                <w:sz w:val="24"/>
                <w:szCs w:val="24"/>
                <w:highlight w:val="none"/>
                <w:lang w:val="zh-CN"/>
              </w:rPr>
              <w:t xml:space="preserve">不满足的项，</w:t>
            </w:r>
            <w:r>
              <w:rPr>
                <w:rFonts w:hint="eastAsia" w:ascii="黑体" w:hAnsi="黑体" w:eastAsia="黑体" w:cs="黑体"/>
                <w:color w:val="auto"/>
                <w:sz w:val="24"/>
                <w:szCs w:val="24"/>
                <w:highlight w:val="none"/>
              </w:rPr>
              <w:t xml:space="preserve">则</w:t>
            </w:r>
            <w:r>
              <w:rPr>
                <w:rFonts w:hint="eastAsia" w:ascii="黑体" w:hAnsi="黑体" w:eastAsia="黑体" w:cs="黑体"/>
                <w:color w:val="auto"/>
                <w:sz w:val="24"/>
                <w:szCs w:val="24"/>
                <w:highlight w:val="none"/>
                <w:lang w:val="zh-CN"/>
              </w:rPr>
              <w:t xml:space="preserve">按无效投标处理；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（1）重要参数（本项目“▲”参数共16项）（满分16分）：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招标文件</w:t>
            </w:r>
            <w:r>
              <w:rPr>
                <w:rFonts w:hint="eastAsia" w:ascii="黑体" w:hAnsi="黑体" w:eastAsia="黑体" w:cs="黑体"/>
                <w:color w:val="auto"/>
                <w:sz w:val="24"/>
                <w:szCs w:val="24"/>
                <w:highlight w:val="none"/>
              </w:rPr>
              <w:t xml:space="preserve">项目需求中标注“▲”参数为重要技术指标，须提供相关技术指标证明材料予以佐证。响应供应商自行承担因材料提供不全导致的技术参数评审风险，不提供相关证明资料的作负偏离处理。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“▲”条款的参数每偏离一项扣1分，直至本条款分值扣完为止。</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（2）一般参数（满分9分）：</w:t>
            </w:r>
            <w:r/>
          </w:p>
          <w:p>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项目需求参数中除“▲”和“★”项以外的内容为一般条款，在投标文件格式中“技术部分正负偏离表”进行响应，要求提供相关证明资料进行佐证的必须提供，否则视作负偏离处理。每有一项不满足指标要求的扣 0.</w:t>
            </w:r>
            <w:r>
              <w:rPr>
                <w:rFonts w:hint="eastAsia" w:ascii="黑体" w:hAnsi="黑体" w:eastAsia="黑体" w:cs="黑体"/>
                <w:color w:val="auto"/>
                <w:sz w:val="24"/>
                <w:szCs w:val="24"/>
                <w:highlight w:val="none"/>
                <w:lang w:val="en-US" w:eastAsia="zh-CN"/>
              </w:rPr>
              <w:t xml:space="preserve">3</w:t>
            </w:r>
            <w:r>
              <w:rPr>
                <w:rFonts w:hint="eastAsia" w:ascii="黑体" w:hAnsi="黑体" w:eastAsia="黑体" w:cs="黑体"/>
                <w:color w:val="auto"/>
                <w:sz w:val="24"/>
                <w:szCs w:val="24"/>
                <w:highlight w:val="none"/>
                <w:lang w:val="zh-CN"/>
              </w:rPr>
              <w:t xml:space="preserve">分</w:t>
            </w:r>
            <w:r>
              <w:rPr>
                <w:rFonts w:hint="eastAsia" w:ascii="黑体" w:hAnsi="黑体" w:eastAsia="黑体" w:cs="黑体"/>
                <w:color w:val="auto"/>
                <w:sz w:val="24"/>
                <w:szCs w:val="24"/>
                <w:highlight w:val="none"/>
              </w:rPr>
              <w:t xml:space="preserve">，扣完为止。</w:t>
            </w:r>
            <w:r/>
          </w:p>
          <w:p>
            <w:pPr>
              <w:rPr>
                <w:rFonts w:hint="eastAsia" w:ascii="黑体" w:hAnsi="黑体" w:eastAsia="黑体" w:cs="黑体"/>
                <w:color w:val="auto"/>
                <w:sz w:val="28"/>
                <w:szCs w:val="28"/>
                <w:highlight w:val="none"/>
                <w:lang w:val="en-US" w:eastAsia="zh-CN" w:bidi="ar-SA"/>
              </w:rPr>
            </w:pPr>
            <w:r>
              <w:rPr>
                <w:rFonts w:hint="eastAsia" w:ascii="黑体" w:hAnsi="黑体" w:eastAsia="黑体" w:cs="黑体"/>
                <w:b/>
                <w:bCs/>
                <w:color w:val="auto"/>
                <w:sz w:val="24"/>
                <w:szCs w:val="24"/>
                <w:highlight w:val="none"/>
              </w:rPr>
              <w:t xml:space="preserve">注明：本项目功能参数内容应在技术部分正负偏离表中响应文件响应情况应如实填写，并与本</w:t>
            </w:r>
            <w:r>
              <w:rPr>
                <w:rFonts w:hint="eastAsia" w:ascii="黑体" w:hAnsi="黑体" w:eastAsia="黑体" w:cs="黑体"/>
                <w:b/>
                <w:bCs/>
                <w:color w:val="auto"/>
                <w:sz w:val="24"/>
                <w:szCs w:val="24"/>
                <w:highlight w:val="none"/>
                <w:lang w:eastAsia="zh-CN"/>
              </w:rPr>
              <w:t xml:space="preserve">招标文件</w:t>
            </w:r>
            <w:r>
              <w:rPr>
                <w:rFonts w:hint="eastAsia" w:ascii="黑体" w:hAnsi="黑体" w:eastAsia="黑体" w:cs="黑体"/>
                <w:b/>
                <w:bCs/>
                <w:color w:val="auto"/>
                <w:sz w:val="24"/>
                <w:szCs w:val="24"/>
                <w:highlight w:val="none"/>
              </w:rPr>
              <w:t xml:space="preserve">文件技术要求对应，如简单填写“响应或完全响应”将视为实质性不满足，视为投标无效,为谋求中标提供虚假参数的作废标处理。（注：技术参数要求中需要提供佐证材料的，如未按要求提供，将视为该项参数不满足并按上述规定扣分）；</w:t>
            </w:r>
            <w:r/>
          </w:p>
        </w:tc>
      </w:tr>
      <w:tr>
        <w:trPr>
          <w:jc w:val="center"/>
          <w:trHeight w:val="330"/>
        </w:trPr>
        <w:tc>
          <w:tcPr>
            <w:shd w:val="clear" w:color="auto" w:fill="auto"/>
            <w:tcW w:w="872" w:type="dxa"/>
            <w:vAlign w:val="center"/>
            <w:textDirection w:val="lrTb"/>
            <w:noWrap w:val="false"/>
          </w:tcPr>
          <w:p>
            <w:pPr>
              <w:ind w:firstLine="560"/>
              <w:jc w:val="center"/>
              <w:spacing w:line="360" w:lineRule="exact"/>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6</w:t>
            </w:r>
            <w:r/>
          </w:p>
        </w:tc>
        <w:tc>
          <w:tcPr>
            <w:shd w:val="clear" w:color="auto" w:fill="auto"/>
            <w:tcBorders>
              <w:left w:val="none" w:color="000000" w:sz="4" w:space="0"/>
            </w:tcBorders>
            <w:tcW w:w="1660" w:type="dxa"/>
            <w:vAlign w:val="center"/>
            <w:textDirection w:val="lrTb"/>
            <w:noWrap w:val="false"/>
          </w:tcPr>
          <w:p>
            <w:pPr>
              <w:spacing w:line="320" w:lineRule="exact"/>
              <w:rPr>
                <w:rFonts w:hint="eastAsia" w:ascii="黑体" w:hAnsi="黑体" w:eastAsia="黑体" w:cs="黑体"/>
                <w:color w:val="auto"/>
                <w:sz w:val="28"/>
                <w:szCs w:val="28"/>
                <w:highlight w:val="none"/>
                <w:lang w:val="en-US" w:eastAsia="zh-CN" w:bidi="ar-SA"/>
              </w:rPr>
            </w:pPr>
            <w:r>
              <w:rPr>
                <w:rFonts w:hint="eastAsia" w:ascii="黑体" w:hAnsi="黑体" w:eastAsia="黑体" w:cs="黑体"/>
                <w:color w:val="auto"/>
                <w:sz w:val="24"/>
                <w:szCs w:val="24"/>
                <w:highlight w:val="none"/>
                <w:lang w:bidi="ar"/>
              </w:rPr>
              <w:t xml:space="preserve">技术力量（9分）</w:t>
            </w:r>
            <w:r/>
          </w:p>
        </w:tc>
        <w:tc>
          <w:tcPr>
            <w:gridSpan w:val="2"/>
            <w:shd w:val="clear" w:color="auto" w:fill="auto"/>
            <w:tcBorders>
              <w:left w:val="none" w:color="000000" w:sz="4" w:space="0"/>
            </w:tcBorders>
            <w:tcW w:w="6927" w:type="dxa"/>
            <w:vAlign w:val="center"/>
            <w:textDirection w:val="lrTb"/>
            <w:noWrap w:val="false"/>
          </w:tcPr>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1、响应供应商拟派设计负责人要求：具备建筑智能化或装饰施工类专业高级职称(提供职称证书)及以上专业职称，得3分，具备建筑智能化或装饰施工类专业中级职称(提供职称证书)及以上专业职称，得2分；中级以下职称不予得分。</w:t>
            </w:r>
            <w:r/>
          </w:p>
          <w:p>
            <w:pPr>
              <w:rPr>
                <w:rFonts w:hint="eastAsia" w:ascii="黑体" w:hAnsi="黑体" w:eastAsia="黑体" w:cs="黑体"/>
                <w:color w:val="auto"/>
                <w:sz w:val="24"/>
                <w:szCs w:val="24"/>
                <w:highlight w:val="none"/>
                <w:lang w:val="zh-CN"/>
              </w:rPr>
            </w:pP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lang w:bidi="ar"/>
              </w:rPr>
              <w:t xml:space="preserve">响应供应商拟派项目组成员：</w:t>
            </w:r>
            <w:r>
              <w:rPr>
                <w:rFonts w:hint="eastAsia" w:ascii="黑体" w:hAnsi="黑体" w:eastAsia="黑体" w:cs="黑体"/>
                <w:color w:val="auto"/>
                <w:sz w:val="24"/>
                <w:szCs w:val="24"/>
                <w:highlight w:val="none"/>
                <w:lang w:val="zh-CN" w:bidi="ar"/>
              </w:rPr>
              <w:t xml:space="preserve">具备电气工程</w:t>
            </w:r>
            <w:r>
              <w:rPr>
                <w:rFonts w:hint="eastAsia" w:ascii="黑体" w:hAnsi="黑体" w:eastAsia="黑体" w:cs="黑体"/>
                <w:color w:val="auto"/>
                <w:sz w:val="24"/>
                <w:szCs w:val="24"/>
                <w:highlight w:val="none"/>
                <w:lang w:bidi="ar"/>
              </w:rPr>
              <w:t xml:space="preserve">类专业</w:t>
            </w:r>
            <w:r>
              <w:rPr>
                <w:rFonts w:hint="eastAsia" w:ascii="黑体" w:hAnsi="黑体" w:eastAsia="黑体" w:cs="黑体"/>
                <w:color w:val="auto"/>
                <w:sz w:val="24"/>
                <w:szCs w:val="24"/>
                <w:highlight w:val="none"/>
                <w:lang w:val="zh-CN" w:bidi="ar"/>
              </w:rPr>
              <w:t xml:space="preserve">或信息化工程</w:t>
            </w:r>
            <w:r>
              <w:rPr>
                <w:rFonts w:hint="eastAsia" w:ascii="黑体" w:hAnsi="黑体" w:eastAsia="黑体" w:cs="黑体"/>
                <w:color w:val="auto"/>
                <w:sz w:val="24"/>
                <w:szCs w:val="24"/>
                <w:highlight w:val="none"/>
                <w:lang w:bidi="ar"/>
              </w:rPr>
              <w:t xml:space="preserve">类专业</w:t>
            </w:r>
            <w:r>
              <w:rPr>
                <w:rFonts w:hint="eastAsia" w:ascii="黑体" w:hAnsi="黑体" w:eastAsia="黑体" w:cs="黑体"/>
                <w:color w:val="auto"/>
                <w:sz w:val="24"/>
                <w:szCs w:val="24"/>
                <w:highlight w:val="none"/>
                <w:lang w:val="zh-CN" w:bidi="ar"/>
              </w:rPr>
              <w:t xml:space="preserve">中级及以上专业职称，得2分；中级以下职称不予得分。</w:t>
            </w:r>
            <w:r/>
          </w:p>
          <w:p>
            <w:pPr>
              <w:rPr>
                <w:rFonts w:hint="eastAsia" w:ascii="黑体" w:hAnsi="黑体" w:eastAsia="黑体" w:cs="黑体"/>
                <w:color w:val="auto"/>
                <w:sz w:val="24"/>
                <w:szCs w:val="24"/>
                <w:highlight w:val="none"/>
                <w:lang w:bidi="ar"/>
              </w:rPr>
            </w:pPr>
            <w:r>
              <w:rPr>
                <w:rFonts w:hint="eastAsia" w:ascii="黑体" w:hAnsi="黑体" w:eastAsia="黑体" w:cs="黑体"/>
                <w:color w:val="auto"/>
                <w:sz w:val="24"/>
                <w:szCs w:val="24"/>
                <w:highlight w:val="none"/>
                <w:lang w:bidi="ar"/>
              </w:rPr>
              <w:t xml:space="preserve">3、拟派售后服务</w:t>
            </w:r>
            <w:r>
              <w:rPr>
                <w:rFonts w:hint="eastAsia" w:ascii="黑体" w:hAnsi="黑体" w:eastAsia="黑体" w:cs="黑体"/>
                <w:color w:val="auto"/>
                <w:sz w:val="24"/>
                <w:szCs w:val="24"/>
                <w:highlight w:val="none"/>
              </w:rPr>
              <w:t xml:space="preserve">人员具备专业售后服务管理师资格，每提供一个认证证书得1分，</w:t>
            </w:r>
            <w:r>
              <w:rPr>
                <w:rFonts w:hint="eastAsia" w:ascii="黑体" w:hAnsi="黑体" w:eastAsia="黑体" w:cs="黑体"/>
                <w:color w:val="auto"/>
                <w:sz w:val="24"/>
                <w:szCs w:val="24"/>
                <w:highlight w:val="none"/>
                <w:lang w:bidi="ar"/>
              </w:rPr>
              <w:t xml:space="preserve">满分4分。</w:t>
            </w:r>
            <w:r/>
          </w:p>
          <w:p>
            <w:pPr>
              <w:spacing w:line="320" w:lineRule="exact"/>
              <w:rPr>
                <w:rFonts w:hint="eastAsia" w:ascii="黑体" w:hAnsi="黑体" w:eastAsia="黑体" w:cs="黑体"/>
                <w:color w:val="auto"/>
                <w:sz w:val="28"/>
                <w:szCs w:val="28"/>
                <w:highlight w:val="none"/>
                <w:lang w:val="en-US" w:eastAsia="zh-CN" w:bidi="ar-SA"/>
              </w:rPr>
            </w:pPr>
            <w:r>
              <w:rPr>
                <w:rFonts w:hint="eastAsia" w:ascii="黑体" w:hAnsi="黑体" w:eastAsia="黑体" w:cs="黑体"/>
                <w:color w:val="auto"/>
                <w:sz w:val="24"/>
                <w:szCs w:val="24"/>
                <w:highlight w:val="none"/>
                <w:lang w:bidi="ar"/>
              </w:rPr>
              <w:t xml:space="preserve">注明：1.以上第1-3条款投标文件中须提供上述人员证书的</w:t>
            </w:r>
            <w:r>
              <w:rPr>
                <w:rFonts w:hint="eastAsia" w:ascii="黑体" w:hAnsi="黑体" w:eastAsia="黑体" w:cs="黑体"/>
                <w:color w:val="auto"/>
                <w:sz w:val="24"/>
                <w:szCs w:val="24"/>
                <w:highlight w:val="none"/>
                <w:lang w:val="zh-CN" w:bidi="ar"/>
              </w:rPr>
              <w:t xml:space="preserve">同时</w:t>
            </w:r>
            <w:r>
              <w:rPr>
                <w:rFonts w:hint="eastAsia" w:ascii="黑体" w:hAnsi="黑体" w:eastAsia="黑体" w:cs="黑体"/>
                <w:color w:val="auto"/>
                <w:sz w:val="24"/>
                <w:szCs w:val="24"/>
                <w:highlight w:val="none"/>
                <w:lang w:bidi="ar"/>
              </w:rPr>
              <w:t xml:space="preserve">提供</w:t>
            </w:r>
            <w:r>
              <w:rPr>
                <w:rFonts w:hint="eastAsia" w:ascii="黑体" w:hAnsi="黑体" w:eastAsia="黑体" w:cs="黑体"/>
                <w:color w:val="auto"/>
                <w:sz w:val="24"/>
                <w:szCs w:val="24"/>
                <w:highlight w:val="none"/>
                <w:lang w:eastAsia="zh-CN" w:bidi="ar"/>
              </w:rPr>
              <w:t xml:space="preserve">供应商</w:t>
            </w:r>
            <w:r>
              <w:rPr>
                <w:rFonts w:hint="eastAsia" w:ascii="黑体" w:hAnsi="黑体" w:eastAsia="黑体" w:cs="黑体"/>
                <w:color w:val="auto"/>
                <w:sz w:val="24"/>
                <w:szCs w:val="24"/>
                <w:highlight w:val="none"/>
                <w:lang w:bidi="ar"/>
              </w:rPr>
              <w:t xml:space="preserve">为</w:t>
            </w:r>
            <w:r>
              <w:rPr>
                <w:rFonts w:hint="eastAsia" w:ascii="黑体" w:hAnsi="黑体" w:eastAsia="黑体" w:cs="黑体"/>
                <w:color w:val="auto"/>
                <w:sz w:val="24"/>
                <w:szCs w:val="24"/>
                <w:highlight w:val="none"/>
                <w:shd w:val="clear" w:color="auto" w:fill="7f7f7f" w:themeFill="text1" w:themeFillTint="7F"/>
                <w:lang w:val="en-US" w:eastAsia="zh-CN" w:bidi="ar"/>
              </w:rPr>
              <w:t xml:space="preserve">上述拟派人员</w:t>
            </w:r>
            <w:r>
              <w:rPr>
                <w:rFonts w:hint="eastAsia" w:ascii="黑体" w:hAnsi="黑体" w:eastAsia="黑体" w:cs="黑体"/>
                <w:color w:val="auto"/>
                <w:sz w:val="24"/>
                <w:szCs w:val="24"/>
                <w:highlight w:val="none"/>
                <w:lang w:bidi="ar"/>
              </w:rPr>
              <w:t xml:space="preserve">缴纳近3个月（自2026年6月-8月止）中任意1个月社保证明材料（需盖有政府部门印章，带二维码或验证码的可扫描查询）加盖响应供应商公章的扫描件</w:t>
            </w:r>
            <w:r>
              <w:rPr>
                <w:rFonts w:hint="eastAsia" w:ascii="黑体" w:hAnsi="黑体" w:eastAsia="黑体" w:cs="黑体"/>
                <w:color w:val="auto"/>
                <w:sz w:val="24"/>
                <w:szCs w:val="24"/>
                <w:highlight w:val="none"/>
                <w:lang w:val="zh-CN" w:bidi="ar"/>
              </w:rPr>
              <w:t xml:space="preserve">。</w:t>
            </w:r>
            <w:r>
              <w:rPr>
                <w:rFonts w:hint="eastAsia" w:ascii="黑体" w:hAnsi="黑体" w:eastAsia="黑体" w:cs="黑体"/>
                <w:color w:val="auto"/>
                <w:sz w:val="24"/>
                <w:szCs w:val="24"/>
                <w:highlight w:val="none"/>
                <w:lang w:bidi="ar"/>
              </w:rPr>
              <w:t xml:space="preserve">以上未按照要求提供原件扫描件或投标文件中未提供或提供不完整的，一律不予得分。2.同一人具有多个证书的不累计得分，仅认可一个证书计分。</w:t>
            </w:r>
            <w:r/>
          </w:p>
        </w:tc>
      </w:tr>
      <w:tr>
        <w:trPr>
          <w:jc w:val="center"/>
          <w:trHeight w:val="330"/>
        </w:trPr>
        <w:tc>
          <w:tcPr>
            <w:shd w:val="clear" w:color="auto" w:fill="auto"/>
            <w:tcW w:w="872" w:type="dxa"/>
            <w:vAlign w:val="center"/>
            <w:textDirection w:val="lrTb"/>
            <w:noWrap w:val="false"/>
          </w:tcPr>
          <w:p>
            <w:pPr>
              <w:ind w:firstLine="560"/>
              <w:jc w:val="center"/>
              <w:spacing w:line="360" w:lineRule="exact"/>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7</w:t>
            </w:r>
            <w:r/>
          </w:p>
        </w:tc>
        <w:tc>
          <w:tcPr>
            <w:shd w:val="clear" w:color="auto" w:fill="auto"/>
            <w:tcBorders>
              <w:left w:val="none" w:color="000000" w:sz="4" w:space="0"/>
            </w:tcBorders>
            <w:tcW w:w="1660" w:type="dxa"/>
            <w:vAlign w:val="center"/>
            <w:textDirection w:val="lrTb"/>
            <w:noWrap w:val="false"/>
          </w:tcPr>
          <w:p>
            <w:pPr>
              <w:spacing w:line="320" w:lineRule="exact"/>
              <w:rPr>
                <w:rFonts w:hint="eastAsia" w:ascii="黑体" w:hAnsi="黑体" w:eastAsia="黑体" w:cs="黑体"/>
                <w:color w:val="auto"/>
                <w:sz w:val="28"/>
                <w:szCs w:val="28"/>
                <w:highlight w:val="none"/>
                <w:lang w:val="en-US" w:eastAsia="zh-CN" w:bidi="ar-SA"/>
              </w:rPr>
            </w:pPr>
            <w:r>
              <w:rPr>
                <w:rFonts w:hint="eastAsia" w:ascii="黑体" w:hAnsi="黑体" w:eastAsia="黑体" w:cs="黑体"/>
                <w:color w:val="auto"/>
                <w:sz w:val="24"/>
                <w:szCs w:val="24"/>
                <w:highlight w:val="none"/>
                <w:lang w:bidi="ar"/>
              </w:rPr>
              <w:t xml:space="preserve">类似业绩（6分）</w:t>
            </w:r>
            <w:r/>
          </w:p>
        </w:tc>
        <w:tc>
          <w:tcPr>
            <w:gridSpan w:val="2"/>
            <w:shd w:val="clear" w:color="auto" w:fill="auto"/>
            <w:tcBorders>
              <w:left w:val="none" w:color="000000" w:sz="4" w:space="0"/>
            </w:tcBorders>
            <w:tcW w:w="6927" w:type="dxa"/>
            <w:vAlign w:val="center"/>
            <w:textDirection w:val="lrTb"/>
            <w:noWrap w:val="false"/>
          </w:tcPr>
          <w:p>
            <w:pPr>
              <w:pStyle w:val="775"/>
              <w:ind w:firstLine="0"/>
              <w:jc w:val="both"/>
              <w:widowControl/>
              <w:rPr>
                <w:rFonts w:hint="eastAsia" w:ascii="黑体" w:hAnsi="黑体" w:eastAsia="黑体" w:cs="黑体"/>
                <w:color w:val="auto"/>
                <w:szCs w:val="24"/>
                <w:highlight w:val="none"/>
              </w:rPr>
            </w:pPr>
            <w:r>
              <w:rPr>
                <w:rFonts w:hint="eastAsia" w:ascii="黑体" w:hAnsi="黑体" w:eastAsia="黑体" w:cs="黑体"/>
                <w:color w:val="auto"/>
                <w:szCs w:val="24"/>
                <w:highlight w:val="none"/>
                <w:lang w:bidi="ar"/>
              </w:rPr>
              <w:t xml:space="preserve">1、</w:t>
            </w:r>
            <w:r>
              <w:rPr>
                <w:rFonts w:hint="eastAsia" w:ascii="黑体" w:hAnsi="黑体" w:eastAsia="黑体" w:cs="黑体"/>
                <w:color w:val="auto"/>
                <w:szCs w:val="24"/>
                <w:highlight w:val="none"/>
              </w:rPr>
              <w:t xml:space="preserve">投标供应商自2023年1月1日(以合同签订日期为准)起承担过类似本项目业绩案例，提供一项得2分，本小项最高6分。</w:t>
            </w:r>
            <w:r/>
          </w:p>
          <w:p>
            <w:pPr>
              <w:rPr>
                <w:rFonts w:hint="eastAsia" w:ascii="黑体" w:hAnsi="黑体" w:eastAsia="黑体" w:cs="黑体"/>
                <w:color w:val="auto"/>
                <w:sz w:val="28"/>
                <w:szCs w:val="28"/>
                <w:highlight w:val="none"/>
                <w:lang w:val="en-US" w:eastAsia="zh-CN" w:bidi="ar-SA"/>
              </w:rPr>
            </w:pPr>
            <w:r>
              <w:rPr>
                <w:rFonts w:hint="eastAsia" w:ascii="黑体" w:hAnsi="黑体" w:eastAsia="黑体" w:cs="黑体"/>
                <w:color w:val="auto"/>
                <w:sz w:val="24"/>
                <w:szCs w:val="24"/>
                <w:highlight w:val="none"/>
              </w:rPr>
              <w:t xml:space="preserve">注明：以提供的“①中标通知书；②合同文本复印件(合同 包含但不限于首页、合同盖章页、清单页);③竣工验收证明复印件。”这3份文件齐全作为1个案例业绩考评（不提供或少提供不得分），业绩时间以合同签订日期为准。业绩单位名称需与响应供应商名称一致，否则不得分。分包或转包合同不予得分。</w:t>
            </w:r>
            <w:r/>
          </w:p>
        </w:tc>
      </w:tr>
      <w:tr>
        <w:trPr>
          <w:jc w:val="center"/>
          <w:trHeight w:val="377"/>
        </w:trPr>
        <w:tc>
          <w:tcPr>
            <w:gridSpan w:val="4"/>
            <w:shd w:val="clear" w:color="auto" w:fill="auto"/>
            <w:tcW w:w="9459" w:type="dxa"/>
            <w:vAlign w:val="center"/>
            <w:textDirection w:val="lrTb"/>
            <w:noWrap w:val="false"/>
          </w:tcPr>
          <w:p>
            <w:pPr>
              <w:pStyle w:val="777"/>
              <w:numPr>
                <w:ilvl w:val="255"/>
                <w:numId w:val="0"/>
              </w:numPr>
              <w:spacing w:line="36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注：①上述商务技术标的投标单位响应所有佐证材料需提供原件扫描件并加盖单位公章，无原件扫描件或未响应上述要求未提供完整或不清晰的均不予得分；②以上所提供材料必须真实可靠，伪造证书证件、伪造合同等一切弄虚作假行为，一经发现和查实（含在本项目合同履行期间被查实），采购方有权终止合同，并追究</w:t>
            </w:r>
            <w:r>
              <w:rPr>
                <w:rFonts w:hint="eastAsia" w:ascii="黑体" w:hAnsi="黑体" w:eastAsia="黑体" w:cs="黑体"/>
                <w:b/>
                <w:bCs/>
                <w:color w:val="auto"/>
                <w:sz w:val="28"/>
                <w:szCs w:val="28"/>
                <w:highlight w:val="none"/>
                <w:lang w:eastAsia="zh-CN"/>
              </w:rPr>
              <w:t xml:space="preserve">投标单位</w:t>
            </w:r>
            <w:r>
              <w:rPr>
                <w:rFonts w:hint="eastAsia" w:ascii="黑体" w:hAnsi="黑体" w:eastAsia="黑体" w:cs="黑体"/>
                <w:b/>
                <w:bCs/>
                <w:color w:val="auto"/>
                <w:sz w:val="28"/>
                <w:szCs w:val="28"/>
                <w:highlight w:val="none"/>
              </w:rPr>
              <w:t xml:space="preserve">经济和法律责任，同时上报有关部门列入诚信黑名单。</w:t>
            </w:r>
            <w:r>
              <w:rPr>
                <w:rFonts w:hint="eastAsia" w:ascii="黑体" w:hAnsi="黑体" w:eastAsia="黑体" w:cs="黑体"/>
                <w:b/>
                <w:bCs/>
                <w:color w:val="auto"/>
                <w:sz w:val="28"/>
                <w:szCs w:val="28"/>
                <w:highlight w:val="none"/>
                <w:lang w:val="en-US" w:eastAsia="zh-CN"/>
              </w:rPr>
              <w:t xml:space="preserve">③各投标单位的商务技术分按算术平均值计算，分值小数点后保留两位。</w:t>
            </w:r>
            <w:r/>
          </w:p>
        </w:tc>
      </w:tr>
      <w:tr>
        <w:trPr>
          <w:jc w:val="center"/>
          <w:trHeight w:val="377"/>
        </w:trPr>
        <w:tc>
          <w:tcPr>
            <w:shd w:val="clear" w:color="auto" w:fill="auto"/>
            <w:tcW w:w="872" w:type="dxa"/>
            <w:vAlign w:val="center"/>
            <w:textDirection w:val="lrTb"/>
            <w:noWrap w:val="false"/>
          </w:tcPr>
          <w:p>
            <w:pP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报价标</w:t>
            </w:r>
            <w:r/>
          </w:p>
          <w:p>
            <w:pP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15</w:t>
            </w:r>
            <w:r>
              <w:rPr>
                <w:rFonts w:hint="eastAsia" w:ascii="黑体" w:hAnsi="黑体" w:eastAsia="黑体" w:cs="黑体"/>
                <w:bCs/>
                <w:color w:val="auto"/>
                <w:sz w:val="28"/>
                <w:szCs w:val="28"/>
                <w:highlight w:val="none"/>
              </w:rPr>
              <w:t xml:space="preserve">分</w:t>
            </w:r>
            <w:r/>
          </w:p>
        </w:tc>
        <w:tc>
          <w:tcPr>
            <w:shd w:val="clear" w:color="auto" w:fill="auto"/>
            <w:tcBorders>
              <w:left w:val="none" w:color="000000" w:sz="4" w:space="0"/>
            </w:tcBorders>
            <w:tcW w:w="1660" w:type="dxa"/>
            <w:vAlign w:val="center"/>
            <w:textDirection w:val="lrTb"/>
            <w:noWrap w:val="false"/>
          </w:tcPr>
          <w:p>
            <w:pPr>
              <w:jc w:val="center"/>
              <w:spacing w:line="36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投标</w:t>
            </w:r>
            <w:r>
              <w:rPr>
                <w:rFonts w:hint="eastAsia" w:ascii="黑体" w:hAnsi="黑体" w:eastAsia="黑体" w:cs="黑体"/>
                <w:bCs/>
                <w:color w:val="auto"/>
                <w:sz w:val="28"/>
                <w:szCs w:val="28"/>
                <w:highlight w:val="none"/>
              </w:rPr>
              <w:t xml:space="preserve">基准价</w:t>
            </w:r>
            <w:r/>
          </w:p>
        </w:tc>
        <w:tc>
          <w:tcPr>
            <w:gridSpan w:val="2"/>
            <w:shd w:val="clear" w:color="auto" w:fill="auto"/>
            <w:tcBorders>
              <w:left w:val="none" w:color="000000" w:sz="4" w:space="0"/>
            </w:tcBorders>
            <w:tcW w:w="6927" w:type="dxa"/>
            <w:vAlign w:val="center"/>
            <w:textDirection w:val="lrTb"/>
            <w:noWrap w:val="false"/>
          </w:tcPr>
          <w:p>
            <w:pPr>
              <w:ind w:firstLine="560"/>
              <w:spacing w:line="360" w:lineRule="exact"/>
              <w:rPr>
                <w:rFonts w:hint="eastAsia" w:ascii="黑体" w:hAnsi="黑体" w:eastAsia="黑体" w:cs="黑体"/>
                <w:bCs/>
                <w:color w:val="auto"/>
                <w:sz w:val="28"/>
                <w:szCs w:val="28"/>
                <w:highlight w:val="none"/>
                <w:lang w:eastAsia="zh-CN"/>
              </w:rPr>
            </w:pPr>
            <w:r>
              <w:rPr>
                <w:rFonts w:hint="eastAsia" w:ascii="黑体" w:hAnsi="黑体" w:eastAsia="黑体" w:cs="黑体"/>
                <w:bCs/>
                <w:color w:val="auto"/>
                <w:sz w:val="28"/>
                <w:szCs w:val="28"/>
                <w:highlight w:val="none"/>
              </w:rPr>
              <w:t xml:space="preserve">满足</w:t>
            </w:r>
            <w:r>
              <w:rPr>
                <w:rFonts w:hint="eastAsia" w:ascii="黑体" w:hAnsi="黑体" w:eastAsia="黑体" w:cs="黑体"/>
                <w:bCs/>
                <w:color w:val="auto"/>
                <w:sz w:val="28"/>
                <w:szCs w:val="28"/>
                <w:highlight w:val="none"/>
                <w:lang w:val="en-US" w:eastAsia="zh-CN"/>
              </w:rPr>
              <w:t xml:space="preserve">招标</w:t>
            </w:r>
            <w:r>
              <w:rPr>
                <w:rFonts w:hint="eastAsia" w:ascii="黑体" w:hAnsi="黑体" w:eastAsia="黑体" w:cs="黑体"/>
                <w:bCs/>
                <w:color w:val="auto"/>
                <w:sz w:val="28"/>
                <w:szCs w:val="28"/>
                <w:highlight w:val="none"/>
              </w:rPr>
              <w:t xml:space="preserve">文件要求且响应价格最低的响应报价为评标基准价，其价格分为满分（</w:t>
            </w:r>
            <w:r>
              <w:rPr>
                <w:rFonts w:hint="eastAsia" w:ascii="黑体" w:hAnsi="黑体" w:eastAsia="黑体" w:cs="黑体"/>
                <w:bCs/>
                <w:color w:val="auto"/>
                <w:sz w:val="28"/>
                <w:szCs w:val="28"/>
                <w:highlight w:val="none"/>
                <w:lang w:val="en-US" w:eastAsia="zh-CN"/>
              </w:rPr>
              <w:t xml:space="preserve">15</w:t>
            </w:r>
            <w:r>
              <w:rPr>
                <w:rFonts w:hint="eastAsia" w:ascii="黑体" w:hAnsi="黑体" w:eastAsia="黑体" w:cs="黑体"/>
                <w:bCs/>
                <w:color w:val="auto"/>
                <w:sz w:val="28"/>
                <w:szCs w:val="28"/>
                <w:highlight w:val="none"/>
              </w:rPr>
              <w:t xml:space="preserve">分），其他投标单位的价格分统一按照下列公式计算：</w:t>
            </w:r>
            <w:r>
              <w:rPr>
                <w:rFonts w:hint="eastAsia" w:ascii="黑体" w:hAnsi="黑体" w:eastAsia="黑体" w:cs="黑体"/>
                <w:bCs/>
                <w:color w:val="auto"/>
                <w:sz w:val="28"/>
                <w:szCs w:val="28"/>
                <w:highlight w:val="none"/>
                <w:lang w:eastAsia="zh-CN"/>
              </w:rPr>
              <w:t xml:space="preserve">（</w:t>
            </w:r>
            <w:r>
              <w:rPr>
                <w:rFonts w:hint="eastAsia" w:ascii="黑体" w:hAnsi="黑体" w:eastAsia="黑体" w:cs="黑体"/>
                <w:bCs/>
                <w:color w:val="auto"/>
                <w:sz w:val="28"/>
                <w:szCs w:val="28"/>
                <w:highlight w:val="none"/>
                <w:lang w:val="en-US" w:eastAsia="zh-CN"/>
              </w:rPr>
              <w:t xml:space="preserve">投标报价小数点后保留后两位</w:t>
            </w:r>
            <w:r>
              <w:rPr>
                <w:rFonts w:hint="eastAsia" w:ascii="黑体" w:hAnsi="黑体" w:eastAsia="黑体" w:cs="黑体"/>
                <w:bCs/>
                <w:color w:val="auto"/>
                <w:sz w:val="28"/>
                <w:szCs w:val="28"/>
                <w:highlight w:val="none"/>
                <w:lang w:eastAsia="zh-CN"/>
              </w:rPr>
              <w:t xml:space="preserve">）</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color w:val="auto"/>
                <w:sz w:val="28"/>
                <w:szCs w:val="28"/>
                <w:highlight w:val="none"/>
              </w:rPr>
              <w:t xml:space="preserve">价格标得分=（评标基准价/投标报价）×</w:t>
            </w:r>
            <w:r>
              <w:rPr>
                <w:rFonts w:hint="eastAsia" w:ascii="黑体" w:hAnsi="黑体" w:eastAsia="黑体" w:cs="黑体"/>
                <w:color w:val="auto"/>
                <w:sz w:val="28"/>
                <w:szCs w:val="28"/>
                <w:highlight w:val="none"/>
                <w:lang w:val="en-US" w:eastAsia="zh-CN"/>
              </w:rPr>
              <w:t xml:space="preserve">15</w:t>
            </w:r>
            <w:r>
              <w:rPr>
                <w:rFonts w:hint="eastAsia" w:ascii="黑体" w:hAnsi="黑体" w:eastAsia="黑体" w:cs="黑体"/>
                <w:color w:val="auto"/>
                <w:sz w:val="28"/>
                <w:szCs w:val="28"/>
                <w:highlight w:val="none"/>
              </w:rPr>
              <w:t xml:space="preserve">%×100</w:t>
            </w:r>
            <w:r/>
          </w:p>
        </w:tc>
      </w:tr>
    </w:tbl>
    <w:p>
      <w:pPr>
        <w:ind w:firstLine="422"/>
        <w:spacing w:line="460" w:lineRule="exact"/>
        <w:rPr>
          <w:rFonts w:hint="eastAsia" w:ascii="黑体" w:hAnsi="黑体" w:eastAsia="黑体" w:cs="黑体"/>
          <w:b/>
          <w:bCs/>
          <w:color w:val="auto"/>
          <w:sz w:val="28"/>
          <w:szCs w:val="28"/>
          <w:highlight w:val="none"/>
        </w:rPr>
      </w:pPr>
      <w:r>
        <w:rPr>
          <w:rFonts w:hint="eastAsia" w:ascii="黑体" w:hAnsi="黑体" w:eastAsia="黑体" w:cs="黑体"/>
          <w:b/>
          <w:bCs w:val="0"/>
          <w:color w:val="auto"/>
          <w:sz w:val="28"/>
          <w:szCs w:val="28"/>
          <w:highlight w:val="none"/>
        </w:rPr>
        <w:t xml:space="preserve">五、</w:t>
      </w:r>
      <w:r>
        <w:rPr>
          <w:rFonts w:hint="eastAsia" w:ascii="黑体" w:hAnsi="黑体" w:eastAsia="黑体" w:cs="黑体"/>
          <w:b/>
          <w:bCs/>
          <w:color w:val="auto"/>
          <w:sz w:val="28"/>
          <w:szCs w:val="28"/>
          <w:highlight w:val="none"/>
        </w:rPr>
        <w:t xml:space="preserve">政府采购政策功能落实</w:t>
      </w:r>
      <w:r/>
    </w:p>
    <w:p>
      <w:pPr>
        <w:ind w:firstLine="570"/>
        <w:spacing w:line="500" w:lineRule="exact"/>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t xml:space="preserve">本项目专门面向中小企业采购的项目或者采购包，不再执行价格评审优惠的扶持政策。</w:t>
      </w:r>
      <w:r/>
    </w:p>
    <w:p>
      <w:pPr>
        <w:ind w:firstLine="480"/>
        <w:jc w:val="left"/>
        <w:spacing w:line="4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根据《江苏省政府采购信用管理暂行办法》的规定，投标单位信用评价结果为三星的扣2分，评价结果为二星的扣3分，评价结果为一星的扣4分。</w:t>
      </w:r>
      <w:r/>
    </w:p>
    <w:p>
      <w:pPr>
        <w:pStyle w:val="1040"/>
        <w:ind w:firstLine="562"/>
        <w:jc w:val="both"/>
        <w:spacing w:before="0" w:after="0" w:line="288"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六、采购本国产品的支持政策</w:t>
      </w:r>
      <w:r/>
    </w:p>
    <w:p>
      <w:pPr>
        <w:ind w:firstLine="480"/>
        <w:jc w:val="left"/>
        <w:spacing w:line="4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 当采购项目或者采购包中含有多种产品，</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为该采购项目或者采购包提供的符合本国产品标准的产品成本之和占该</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提供的全部产品成本之和的比例达到80%以上时（</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需在“第</w:t>
      </w:r>
      <w:r>
        <w:rPr>
          <w:rFonts w:hint="eastAsia" w:ascii="黑体" w:hAnsi="黑体" w:eastAsia="黑体" w:cs="黑体"/>
          <w:bCs/>
          <w:color w:val="auto"/>
          <w:sz w:val="28"/>
          <w:szCs w:val="28"/>
          <w:highlight w:val="none"/>
          <w:lang w:val="en-US" w:eastAsia="zh-CN"/>
        </w:rPr>
        <w:t xml:space="preserve">五部分</w:t>
      </w:r>
      <w:r>
        <w:rPr>
          <w:rFonts w:hint="eastAsia" w:ascii="黑体" w:hAnsi="黑体" w:eastAsia="黑体" w:cs="黑体"/>
          <w:bCs/>
          <w:color w:val="auto"/>
          <w:sz w:val="28"/>
          <w:szCs w:val="28"/>
          <w:highlight w:val="none"/>
        </w:rPr>
        <w:t xml:space="preserve"> 投标文件</w:t>
      </w:r>
      <w:r>
        <w:rPr>
          <w:rFonts w:hint="eastAsia" w:ascii="黑体" w:hAnsi="黑体" w:eastAsia="黑体" w:cs="黑体"/>
          <w:bCs/>
          <w:color w:val="auto"/>
          <w:sz w:val="28"/>
          <w:szCs w:val="28"/>
          <w:highlight w:val="none"/>
          <w:lang w:val="en-US" w:eastAsia="zh-CN"/>
        </w:rPr>
        <w:t xml:space="preserve">组成</w:t>
      </w:r>
      <w:r>
        <w:rPr>
          <w:rFonts w:hint="eastAsia" w:ascii="黑体" w:hAnsi="黑体" w:eastAsia="黑体" w:cs="黑体"/>
          <w:bCs/>
          <w:color w:val="auto"/>
          <w:sz w:val="28"/>
          <w:szCs w:val="28"/>
          <w:highlight w:val="none"/>
        </w:rPr>
        <w:t xml:space="preserve">”的“附件 投标分项报价表”中填写比例数值），依法对该</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提供的全部产品给予价格评审优惠，即对该</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提供的全部产品的总报价给予20%的价格扣除，用扣除后的价格参与评审。</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未填写比例数值，或比例数值不足80%的，将不享受本国产品价格评审优惠。</w:t>
      </w:r>
      <w:r/>
    </w:p>
    <w:p>
      <w:pPr>
        <w:ind w:firstLine="480"/>
        <w:jc w:val="left"/>
        <w:spacing w:line="4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需按照</w:t>
      </w:r>
      <w:r>
        <w:rPr>
          <w:rFonts w:hint="eastAsia" w:ascii="黑体" w:hAnsi="黑体" w:eastAsia="黑体" w:cs="黑体"/>
          <w:bCs/>
          <w:color w:val="auto"/>
          <w:sz w:val="28"/>
          <w:szCs w:val="28"/>
          <w:highlight w:val="none"/>
          <w:lang w:eastAsia="zh-CN"/>
        </w:rPr>
        <w:t xml:space="preserve">招标文件</w:t>
      </w:r>
      <w:r>
        <w:rPr>
          <w:rFonts w:hint="eastAsia" w:ascii="黑体" w:hAnsi="黑体" w:eastAsia="黑体" w:cs="黑体"/>
          <w:bCs/>
          <w:color w:val="auto"/>
          <w:sz w:val="28"/>
          <w:szCs w:val="28"/>
          <w:highlight w:val="none"/>
        </w:rPr>
        <w:t xml:space="preserve">的要求提供《关于符合本国产品标准的声明函》（以下简称《声明函》），如不提供将不享受本国产品价格评审优惠。</w:t>
      </w:r>
      <w:r/>
    </w:p>
    <w:p>
      <w:pPr>
        <w:ind w:firstLine="480"/>
        <w:jc w:val="left"/>
        <w:spacing w:line="4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 </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400" w:lineRule="exact"/>
        <w:rPr>
          <w:rFonts w:hint="eastAsia" w:ascii="黑体" w:hAnsi="黑体" w:eastAsia="黑体" w:cs="黑体"/>
          <w:b/>
          <w:bCs/>
          <w:color w:val="auto"/>
          <w:sz w:val="28"/>
          <w:szCs w:val="28"/>
          <w:highlight w:val="none"/>
        </w:rPr>
      </w:pPr>
      <w:r>
        <w:rPr>
          <w:rFonts w:hint="eastAsia" w:ascii="黑体" w:hAnsi="黑体" w:eastAsia="黑体" w:cs="黑体"/>
          <w:bCs/>
          <w:color w:val="auto"/>
          <w:sz w:val="28"/>
          <w:szCs w:val="28"/>
          <w:highlight w:val="none"/>
        </w:rPr>
        <w:t xml:space="preserve">5、评标过程中如发现</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黑体" w:hAnsi="黑体" w:eastAsia="黑体" w:cs="黑体"/>
          <w:bCs/>
          <w:color w:val="auto"/>
          <w:sz w:val="28"/>
          <w:szCs w:val="28"/>
          <w:highlight w:val="none"/>
          <w:lang w:eastAsia="zh-CN"/>
        </w:rPr>
        <w:t xml:space="preserve">招标文件</w:t>
      </w:r>
      <w:r>
        <w:rPr>
          <w:rFonts w:hint="eastAsia" w:ascii="黑体" w:hAnsi="黑体" w:eastAsia="黑体" w:cs="黑体"/>
          <w:bCs/>
          <w:color w:val="auto"/>
          <w:sz w:val="28"/>
          <w:szCs w:val="28"/>
          <w:highlight w:val="none"/>
        </w:rPr>
        <w:t xml:space="preserve">规定的，</w:t>
      </w:r>
      <w:r>
        <w:rPr>
          <w:rFonts w:hint="eastAsia" w:ascii="黑体" w:hAnsi="黑体" w:eastAsia="黑体" w:cs="黑体"/>
          <w:bCs/>
          <w:color w:val="auto"/>
          <w:sz w:val="28"/>
          <w:szCs w:val="28"/>
          <w:highlight w:val="none"/>
          <w:lang w:eastAsia="zh-CN"/>
        </w:rPr>
        <w:t xml:space="preserve">投标单位</w:t>
      </w:r>
      <w:r>
        <w:rPr>
          <w:rFonts w:hint="eastAsia" w:ascii="黑体" w:hAnsi="黑体" w:eastAsia="黑体" w:cs="黑体"/>
          <w:bCs/>
          <w:color w:val="auto"/>
          <w:sz w:val="28"/>
          <w:szCs w:val="28"/>
          <w:highlight w:val="none"/>
        </w:rPr>
        <w:t xml:space="preserve">提供的相关产品视为不符合本国产品标准。</w:t>
      </w:r>
      <w:r/>
    </w:p>
    <w:p>
      <w:pPr>
        <w:ind w:firstLine="560"/>
        <w:spacing w:line="5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七</w:t>
      </w:r>
      <w:r>
        <w:rPr>
          <w:rFonts w:hint="eastAsia" w:ascii="黑体" w:hAnsi="黑体" w:eastAsia="黑体" w:cs="黑体"/>
          <w:bCs/>
          <w:color w:val="auto"/>
          <w:sz w:val="28"/>
          <w:szCs w:val="28"/>
          <w:highlight w:val="none"/>
        </w:rPr>
        <w:t xml:space="preserve">、中标人的确定</w:t>
      </w:r>
      <w:r/>
    </w:p>
    <w:p>
      <w:pPr>
        <w:ind w:firstLine="57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评委会汇总各评委评分后，按照得分从高到低的顺序推荐三名中标候选人，并编写评标报告。</w:t>
      </w:r>
      <w:r/>
    </w:p>
    <w:p>
      <w:pPr>
        <w:ind w:firstLine="570"/>
        <w:spacing w:line="360" w:lineRule="auto"/>
        <w:rPr>
          <w:rFonts w:hint="eastAsia" w:ascii="黑体" w:hAnsi="黑体" w:eastAsia="黑体" w:cs="黑体"/>
          <w:b/>
          <w:bCs w:val="0"/>
          <w:color w:val="auto"/>
          <w:sz w:val="28"/>
          <w:szCs w:val="28"/>
          <w:highlight w:val="none"/>
        </w:rPr>
      </w:pPr>
      <w:r>
        <w:rPr>
          <w:rFonts w:hint="eastAsia" w:ascii="黑体" w:hAnsi="黑体" w:eastAsia="黑体" w:cs="黑体"/>
          <w:b/>
          <w:bCs w:val="0"/>
          <w:color w:val="auto"/>
          <w:sz w:val="28"/>
          <w:szCs w:val="28"/>
          <w:highlight w:val="none"/>
        </w:rPr>
        <w:t xml:space="preserve">采购人委托评标委员会直接确定排名第一的中标候选人为中标人。</w:t>
      </w:r>
      <w:r/>
    </w:p>
    <w:p>
      <w:pPr>
        <w:ind w:firstLine="557"/>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八</w:t>
      </w:r>
      <w:r>
        <w:rPr>
          <w:rFonts w:hint="eastAsia" w:ascii="黑体" w:hAnsi="黑体" w:eastAsia="黑体" w:cs="黑体"/>
          <w:bCs/>
          <w:color w:val="auto"/>
          <w:sz w:val="28"/>
          <w:szCs w:val="28"/>
          <w:highlight w:val="none"/>
        </w:rPr>
        <w:t xml:space="preserve">、采购人代表宣布评标结果。</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九</w:t>
      </w:r>
      <w:r>
        <w:rPr>
          <w:rFonts w:hint="eastAsia" w:ascii="黑体" w:hAnsi="黑体" w:eastAsia="黑体" w:cs="黑体"/>
          <w:bCs/>
          <w:color w:val="auto"/>
          <w:sz w:val="28"/>
          <w:szCs w:val="28"/>
          <w:highlight w:val="none"/>
        </w:rPr>
        <w:t xml:space="preserve">、公告中标结果</w:t>
      </w:r>
      <w:r/>
    </w:p>
    <w:p>
      <w:pPr>
        <w:ind w:firstLine="57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自确定中标人之日起2个工作日内，在江苏政府采购网公告中标结果，公告期限为1个工作日。</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十</w:t>
      </w:r>
      <w:r>
        <w:rPr>
          <w:rFonts w:hint="eastAsia" w:ascii="黑体" w:hAnsi="黑体" w:eastAsia="黑体" w:cs="黑体"/>
          <w:bCs/>
          <w:color w:val="auto"/>
          <w:sz w:val="28"/>
          <w:szCs w:val="28"/>
          <w:highlight w:val="none"/>
        </w:rPr>
        <w:t xml:space="preserve">、发放中标通知书</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公告中标结果的同时，采购人或采购代理机构向中标投标单位发放中标通知书。</w:t>
      </w:r>
      <w:r/>
    </w:p>
    <w:p>
      <w:pPr>
        <w:ind w:firstLine="57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中标通知书发出后，采购人不得违法改变中标结果，中标投标单位无正当理由不得放弃中标。</w:t>
      </w:r>
      <w:r/>
    </w:p>
    <w:p>
      <w:pPr>
        <w:ind w:firstLine="554"/>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eastAsia="zh-CN"/>
        </w:rPr>
        <w:t xml:space="preserve">成交投标单位</w:t>
      </w:r>
      <w:r>
        <w:rPr>
          <w:rFonts w:hint="eastAsia" w:ascii="黑体" w:hAnsi="黑体" w:eastAsia="黑体" w:cs="黑体"/>
          <w:bCs/>
          <w:color w:val="auto"/>
          <w:sz w:val="28"/>
          <w:szCs w:val="28"/>
          <w:highlight w:val="none"/>
        </w:rPr>
        <w:t xml:space="preserve">在中标公示期后、领取中标通知书前必须按要求提供纸质响应文件（资格审查材料、技术标、报价标）叁份及电子格式投标文件（光盘贰份），以供存档。纸质响应文件应使用CA系统打印，且必须保证与评标时的电子标书完全一致，否则不予签订合同。</w:t>
      </w:r>
      <w:r/>
    </w:p>
    <w:p>
      <w:pPr>
        <w:pStyle w:val="785"/>
        <w:ind w:firstLine="560"/>
        <w:spacing w:line="360" w:lineRule="auto"/>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十一、</w:t>
      </w:r>
      <w:r>
        <w:rPr>
          <w:rFonts w:hint="eastAsia" w:ascii="黑体" w:hAnsi="黑体" w:eastAsia="黑体" w:cs="黑体"/>
          <w:color w:val="auto"/>
          <w:sz w:val="28"/>
          <w:szCs w:val="28"/>
          <w:highlight w:val="none"/>
        </w:rPr>
        <w:t xml:space="preserve">其他</w:t>
      </w:r>
      <w:r/>
    </w:p>
    <w:p>
      <w:pPr>
        <w:pStyle w:val="785"/>
        <w:ind w:firstLine="560"/>
        <w:spacing w:line="360" w:lineRule="auto"/>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pStyle w:val="785"/>
        <w:ind w:firstLine="560"/>
        <w:spacing w:line="360" w:lineRule="auto"/>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当排名第一的中标候选人放弃中标、因不可抗力不能履行合同，或者被查实存在影响中标结果的违法行为等情形，不符合中标条件的，采购人可以按照评标委员会提出的中标候选人名单排序（按照综合得分由高到低顺序）依次确定其他中标候选人为成交投标单位，也可以重新招标。</w:t>
      </w:r>
      <w:r/>
    </w:p>
    <w:p>
      <w:pPr>
        <w:ind w:firstLine="554"/>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36"/>
          <w:szCs w:val="36"/>
          <w:highlight w:val="none"/>
        </w:rPr>
        <w:outlineLvl w:val="0"/>
      </w:pP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36"/>
          <w:szCs w:val="36"/>
          <w:highlight w:val="none"/>
        </w:rPr>
        <w:t xml:space="preserve">第五部分  投标文件组成</w:t>
      </w:r>
      <w:r/>
    </w:p>
    <w:p>
      <w:pPr>
        <w:ind w:firstLine="555"/>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投标文件由资格审查证明材料、符合性审查材料、商务技术标、价格标、四部分组成。</w:t>
      </w:r>
      <w:r>
        <w:rPr>
          <w:rFonts w:hint="eastAsia" w:ascii="黑体" w:hAnsi="黑体" w:eastAsia="黑体" w:cs="黑体"/>
          <w:bCs/>
          <w:color w:val="auto"/>
          <w:sz w:val="28"/>
          <w:szCs w:val="28"/>
          <w:highlight w:val="none"/>
          <w:lang w:val="zh-CN"/>
        </w:rPr>
        <w:t xml:space="preserve">请投标单位根据本招标文件的要求在以上</w:t>
      </w:r>
      <w:r>
        <w:rPr>
          <w:rFonts w:hint="eastAsia" w:ascii="黑体" w:hAnsi="黑体" w:eastAsia="黑体" w:cs="黑体"/>
          <w:bCs/>
          <w:color w:val="auto"/>
          <w:sz w:val="28"/>
          <w:szCs w:val="28"/>
          <w:highlight w:val="none"/>
        </w:rPr>
        <w:t xml:space="preserve">四部分中</w:t>
      </w:r>
      <w:r>
        <w:rPr>
          <w:rFonts w:hint="eastAsia" w:ascii="黑体" w:hAnsi="黑体" w:eastAsia="黑体" w:cs="黑体"/>
          <w:bCs/>
          <w:color w:val="auto"/>
          <w:sz w:val="28"/>
          <w:szCs w:val="28"/>
          <w:highlight w:val="none"/>
          <w:lang w:val="zh-CN"/>
        </w:rPr>
        <w:t xml:space="preserve">分别上传响应的投标材料。</w:t>
      </w:r>
      <w:r/>
    </w:p>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一、资格审查证明材料</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1.投标人符合《政府采购法》第二十二条规定条件的承诺函（格式见附件）；</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2.法定代表人身份证明书</w:t>
      </w:r>
      <w:r>
        <w:rPr>
          <w:rFonts w:hint="eastAsia" w:ascii="黑体" w:hAnsi="黑体" w:eastAsia="黑体" w:cs="黑体"/>
          <w:bCs/>
          <w:color w:val="auto"/>
          <w:sz w:val="28"/>
          <w:szCs w:val="28"/>
          <w:highlight w:val="none"/>
        </w:rPr>
        <w:t xml:space="preserve">及法定代表人身份证扫描件</w:t>
      </w:r>
      <w:r>
        <w:rPr>
          <w:rFonts w:hint="eastAsia" w:ascii="黑体" w:hAnsi="黑体" w:eastAsia="黑体" w:cs="黑体"/>
          <w:bCs/>
          <w:color w:val="auto"/>
          <w:sz w:val="28"/>
          <w:szCs w:val="28"/>
          <w:highlight w:val="none"/>
          <w:lang w:val="zh-CN"/>
        </w:rPr>
        <w:t xml:space="preserve">（格式见附件）；</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3.法定代表人授权委托书原件，</w:t>
      </w:r>
      <w:r>
        <w:rPr>
          <w:rFonts w:hint="eastAsia" w:ascii="黑体" w:hAnsi="黑体" w:eastAsia="黑体" w:cs="黑体"/>
          <w:bCs/>
          <w:color w:val="auto"/>
          <w:sz w:val="28"/>
          <w:szCs w:val="28"/>
          <w:highlight w:val="none"/>
        </w:rPr>
        <w:t xml:space="preserve">及法定代表人、被授权人的两人身份证的扫描件</w:t>
      </w:r>
      <w:r>
        <w:rPr>
          <w:rFonts w:hint="eastAsia" w:ascii="黑体" w:hAnsi="黑体" w:eastAsia="黑体" w:cs="黑体"/>
          <w:bCs/>
          <w:color w:val="auto"/>
          <w:sz w:val="28"/>
          <w:szCs w:val="28"/>
          <w:highlight w:val="none"/>
          <w:lang w:val="zh-CN"/>
        </w:rPr>
        <w:t xml:space="preserve">（格式见附件）；</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4</w:t>
      </w:r>
      <w:r>
        <w:rPr>
          <w:rFonts w:hint="eastAsia" w:ascii="黑体" w:hAnsi="黑体" w:eastAsia="黑体" w:cs="黑体"/>
          <w:bCs/>
          <w:color w:val="auto"/>
          <w:sz w:val="28"/>
          <w:szCs w:val="28"/>
          <w:highlight w:val="none"/>
          <w:lang w:val="zh-CN"/>
        </w:rPr>
        <w:t xml:space="preserve">.投标投标单位</w:t>
      </w:r>
      <w:r>
        <w:rPr>
          <w:rFonts w:hint="eastAsia" w:ascii="黑体" w:hAnsi="黑体" w:eastAsia="黑体" w:cs="黑体"/>
          <w:bCs/>
          <w:color w:val="auto"/>
          <w:sz w:val="28"/>
          <w:szCs w:val="28"/>
          <w:highlight w:val="none"/>
        </w:rPr>
        <w:t xml:space="preserve">未</w:t>
      </w:r>
      <w:r>
        <w:rPr>
          <w:rFonts w:hint="eastAsia" w:ascii="黑体" w:hAnsi="黑体" w:eastAsia="黑体" w:cs="黑体"/>
          <w:bCs/>
          <w:color w:val="auto"/>
          <w:sz w:val="28"/>
          <w:szCs w:val="28"/>
          <w:highlight w:val="none"/>
          <w:lang w:val="zh-CN"/>
        </w:rPr>
        <w:t xml:space="preserve">被“信用中国”网站列入失信被执行人或重大税收违法案件当事人名单或政府采购严重失信行为记录名单，或查询“信用中国”网站后发现投标投标单位</w:t>
      </w:r>
      <w:r>
        <w:rPr>
          <w:rFonts w:hint="eastAsia" w:ascii="黑体" w:hAnsi="黑体" w:eastAsia="黑体" w:cs="黑体"/>
          <w:bCs/>
          <w:color w:val="auto"/>
          <w:sz w:val="28"/>
          <w:szCs w:val="28"/>
          <w:highlight w:val="none"/>
        </w:rPr>
        <w:t xml:space="preserve">不</w:t>
      </w:r>
      <w:r>
        <w:rPr>
          <w:rFonts w:hint="eastAsia" w:ascii="黑体" w:hAnsi="黑体" w:eastAsia="黑体" w:cs="黑体"/>
          <w:bCs/>
          <w:color w:val="auto"/>
          <w:sz w:val="28"/>
          <w:szCs w:val="28"/>
          <w:highlight w:val="none"/>
          <w:lang w:val="zh-CN"/>
        </w:rPr>
        <w:t xml:space="preserve">存在其他不符合资格条件规定的信用记录的（</w:t>
      </w:r>
      <w:r>
        <w:rPr>
          <w:rFonts w:hint="eastAsia" w:ascii="黑体" w:hAnsi="黑体" w:eastAsia="黑体" w:cs="黑体"/>
          <w:bCs/>
          <w:color w:val="auto"/>
          <w:sz w:val="28"/>
          <w:szCs w:val="28"/>
          <w:highlight w:val="none"/>
          <w:lang w:val="en-US" w:eastAsia="zh-CN"/>
        </w:rPr>
        <w:t xml:space="preserve">投标单位不需提供</w:t>
      </w:r>
      <w:r>
        <w:rPr>
          <w:rFonts w:hint="eastAsia" w:ascii="黑体" w:hAnsi="黑体" w:eastAsia="黑体" w:cs="黑体"/>
          <w:bCs/>
          <w:color w:val="auto"/>
          <w:sz w:val="28"/>
          <w:szCs w:val="28"/>
          <w:highlight w:val="none"/>
          <w:lang w:val="zh-CN"/>
        </w:rPr>
        <w:t xml:space="preserve">）。</w:t>
      </w:r>
      <w:r/>
    </w:p>
    <w:p>
      <w:pPr>
        <w:ind w:firstLine="560"/>
        <w:spacing w:line="360" w:lineRule="auto"/>
        <w:rPr>
          <w:rFonts w:hint="eastAsia" w:ascii="黑体" w:hAnsi="黑体" w:eastAsia="黑体" w:cs="黑体"/>
          <w:bCs/>
          <w:color w:val="auto"/>
          <w:sz w:val="28"/>
          <w:szCs w:val="28"/>
          <w:highlight w:val="none"/>
          <w:lang w:eastAsia="zh-CN"/>
        </w:rPr>
      </w:pPr>
      <w:r>
        <w:rPr>
          <w:rFonts w:hint="eastAsia" w:ascii="黑体" w:hAnsi="黑体" w:eastAsia="黑体" w:cs="黑体"/>
          <w:bCs/>
          <w:color w:val="auto"/>
          <w:sz w:val="28"/>
          <w:szCs w:val="28"/>
          <w:highlight w:val="none"/>
          <w:lang w:val="en-US" w:eastAsia="zh-CN"/>
        </w:rPr>
        <w:t xml:space="preserve">5</w:t>
      </w:r>
      <w:r>
        <w:rPr>
          <w:rFonts w:hint="eastAsia" w:ascii="黑体" w:hAnsi="黑体" w:eastAsia="黑体" w:cs="黑体"/>
          <w:bCs/>
          <w:color w:val="auto"/>
          <w:sz w:val="28"/>
          <w:szCs w:val="28"/>
          <w:highlight w:val="none"/>
        </w:rPr>
        <w:t xml:space="preserve">.投标单位信用承诺书（格式见</w:t>
      </w:r>
      <w:r>
        <w:rPr>
          <w:rFonts w:hint="eastAsia" w:ascii="黑体" w:hAnsi="黑体" w:eastAsia="黑体" w:cs="黑体"/>
          <w:bCs/>
          <w:color w:val="auto"/>
          <w:sz w:val="28"/>
          <w:szCs w:val="28"/>
          <w:highlight w:val="none"/>
          <w:lang w:val="zh-CN"/>
        </w:rPr>
        <w:t xml:space="preserve">附件</w:t>
      </w: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lang w:eastAsia="zh-CN"/>
        </w:rPr>
        <w:t xml:space="preserve">；</w:t>
      </w:r>
      <w:r/>
    </w:p>
    <w:p>
      <w:pPr>
        <w:ind w:firstLine="560"/>
        <w:spacing w:line="360" w:lineRule="auto"/>
        <w:rPr>
          <w:rFonts w:hint="default"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6.</w:t>
      </w:r>
      <w:r>
        <w:rPr>
          <w:rFonts w:hint="eastAsia" w:ascii="黑体" w:hAnsi="黑体" w:eastAsia="黑体" w:cs="黑体"/>
          <w:bCs/>
          <w:color w:val="auto"/>
          <w:sz w:val="28"/>
          <w:szCs w:val="28"/>
          <w:highlight w:val="none"/>
          <w:lang w:val="zh-CN"/>
        </w:rPr>
        <w:t xml:space="preserve">提供中小企业声明函或残疾人福利性单位声明函或监狱或戒毒企业证明材料（</w:t>
      </w:r>
      <w:r>
        <w:rPr>
          <w:rFonts w:hint="eastAsia" w:ascii="黑体" w:hAnsi="黑体" w:eastAsia="黑体" w:cs="黑体"/>
          <w:bCs/>
          <w:color w:val="auto"/>
          <w:sz w:val="28"/>
          <w:szCs w:val="28"/>
          <w:highlight w:val="none"/>
          <w:lang w:val="en-US" w:eastAsia="zh-CN"/>
        </w:rPr>
        <w:t xml:space="preserve">格式见附件</w:t>
      </w:r>
      <w:r>
        <w:rPr>
          <w:rFonts w:hint="eastAsia" w:ascii="黑体" w:hAnsi="黑体" w:eastAsia="黑体" w:cs="黑体"/>
          <w:bCs/>
          <w:color w:val="auto"/>
          <w:sz w:val="28"/>
          <w:szCs w:val="28"/>
          <w:highlight w:val="none"/>
          <w:lang w:val="zh-CN"/>
        </w:rPr>
        <w:t xml:space="preserve">）。</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color w:val="auto"/>
          <w:sz w:val="28"/>
          <w:szCs w:val="28"/>
          <w:highlight w:val="none"/>
          <w:lang w:val="en-US" w:eastAsia="zh-CN"/>
        </w:rPr>
        <w:t xml:space="preserve">7</w:t>
      </w:r>
      <w:r>
        <w:rPr>
          <w:rFonts w:hint="eastAsia" w:ascii="黑体" w:hAnsi="黑体" w:eastAsia="黑体" w:cs="黑体"/>
          <w:color w:val="auto"/>
          <w:sz w:val="28"/>
          <w:szCs w:val="28"/>
          <w:highlight w:val="none"/>
        </w:rPr>
        <w:t xml:space="preserve">.投标单位未同时在其他投标单位为股东或法定代表人（或负责人）的佐证材料：投标单位投标时提供本单位、营业执照、公司股东股权资料，若经核实有同一人在两家及以上投标本项目的投标单位有股份或同为单位法定代表人（或负责人的），将作无效响应处理；未提供以上材料或提供不全的，经核实作无效响应处理。</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en-US" w:eastAsia="zh-CN"/>
        </w:rPr>
        <w:t xml:space="preserve">8</w:t>
      </w:r>
      <w:r>
        <w:rPr>
          <w:rFonts w:hint="eastAsia" w:ascii="黑体" w:hAnsi="黑体" w:eastAsia="黑体" w:cs="黑体"/>
          <w:bCs/>
          <w:color w:val="auto"/>
          <w:sz w:val="28"/>
          <w:szCs w:val="28"/>
          <w:highlight w:val="none"/>
          <w:lang w:val="zh-CN"/>
        </w:rPr>
        <w:t xml:space="preserve">.招标公告资格要求提供相应的佐证材料；</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en-US" w:eastAsia="zh-CN"/>
        </w:rPr>
        <w:t xml:space="preserve">9</w:t>
      </w:r>
      <w:r>
        <w:rPr>
          <w:rFonts w:hint="eastAsia" w:ascii="黑体" w:hAnsi="黑体" w:eastAsia="黑体" w:cs="黑体"/>
          <w:bCs/>
          <w:color w:val="auto"/>
          <w:sz w:val="28"/>
          <w:szCs w:val="28"/>
          <w:highlight w:val="none"/>
          <w:lang w:val="zh-CN"/>
        </w:rPr>
        <w:t xml:space="preserve">.其它需要提交的资格审查证明材料。</w:t>
      </w:r>
      <w:r/>
    </w:p>
    <w:p>
      <w:pPr>
        <w:ind w:firstLine="562"/>
        <w:spacing w:line="360" w:lineRule="auto"/>
        <w:rPr>
          <w:rFonts w:hint="eastAsia" w:ascii="黑体" w:hAnsi="黑体" w:eastAsia="黑体" w:cs="黑体"/>
          <w:b/>
          <w:bCs w:val="0"/>
          <w:color w:val="auto"/>
          <w:sz w:val="28"/>
          <w:szCs w:val="28"/>
          <w:highlight w:val="none"/>
          <w:lang w:val="zh-CN"/>
        </w:rPr>
      </w:pPr>
      <w:r>
        <w:rPr>
          <w:rFonts w:hint="eastAsia" w:ascii="黑体" w:hAnsi="黑体" w:eastAsia="黑体" w:cs="黑体"/>
          <w:b/>
          <w:bCs w:val="0"/>
          <w:color w:val="auto"/>
          <w:sz w:val="28"/>
          <w:szCs w:val="28"/>
          <w:highlight w:val="none"/>
          <w:lang w:val="zh-CN"/>
        </w:rPr>
        <w:t xml:space="preserve">（</w:t>
      </w:r>
      <w:r>
        <w:rPr>
          <w:rFonts w:hint="eastAsia" w:ascii="黑体" w:hAnsi="黑体" w:eastAsia="黑体" w:cs="黑体"/>
          <w:b/>
          <w:bCs w:val="0"/>
          <w:color w:val="auto"/>
          <w:sz w:val="28"/>
          <w:szCs w:val="28"/>
          <w:highlight w:val="none"/>
        </w:rPr>
        <w:t xml:space="preserve">如采购</w:t>
      </w:r>
      <w:r>
        <w:rPr>
          <w:rFonts w:hint="eastAsia" w:ascii="黑体" w:hAnsi="黑体" w:eastAsia="黑体" w:cs="黑体"/>
          <w:b/>
          <w:bCs w:val="0"/>
          <w:color w:val="auto"/>
          <w:sz w:val="28"/>
          <w:szCs w:val="28"/>
          <w:highlight w:val="none"/>
          <w:lang w:val="zh-CN"/>
        </w:rPr>
        <w:t xml:space="preserve">文件要求提供的资格审查证明材料中没有对应的接口上传的资料，可以在本部分的其他材料的接口中上传）</w:t>
      </w:r>
      <w:r/>
    </w:p>
    <w:p>
      <w:pPr>
        <w:numPr>
          <w:ilvl w:val="0"/>
          <w:numId w:val="3"/>
        </w:numPr>
        <w:ind w:left="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符合性审查</w:t>
      </w:r>
      <w:r/>
    </w:p>
    <w:p>
      <w:pPr>
        <w:ind w:firstLine="562"/>
        <w:spacing w:line="360" w:lineRule="auto"/>
        <w:rPr>
          <w:rFonts w:hint="eastAsia" w:ascii="黑体" w:hAnsi="黑体" w:eastAsia="黑体" w:cs="黑体"/>
          <w:bCs/>
          <w:i/>
          <w:iCs/>
          <w:color w:val="auto"/>
          <w:sz w:val="28"/>
          <w:szCs w:val="28"/>
          <w:highlight w:val="none"/>
          <w:lang w:val="zh-CN"/>
        </w:rPr>
      </w:pPr>
      <w:r>
        <w:rPr>
          <w:rFonts w:hint="eastAsia" w:ascii="黑体" w:hAnsi="黑体" w:eastAsia="黑体" w:cs="黑体"/>
          <w:b/>
          <w:i/>
          <w:iCs/>
          <w:color w:val="auto"/>
          <w:sz w:val="28"/>
          <w:szCs w:val="28"/>
          <w:highlight w:val="none"/>
          <w:lang w:val="zh-CN"/>
        </w:rPr>
        <w:t xml:space="preserve">★</w:t>
      </w:r>
      <w:r>
        <w:rPr>
          <w:rFonts w:hint="eastAsia" w:ascii="黑体" w:hAnsi="黑体" w:eastAsia="黑体" w:cs="黑体"/>
          <w:bCs/>
          <w:i/>
          <w:iCs/>
          <w:color w:val="auto"/>
          <w:sz w:val="28"/>
          <w:szCs w:val="28"/>
          <w:highlight w:val="none"/>
        </w:rPr>
        <w:t xml:space="preserve">1、</w:t>
      </w:r>
      <w:r>
        <w:rPr>
          <w:rFonts w:hint="eastAsia" w:ascii="黑体" w:hAnsi="黑体" w:eastAsia="黑体" w:cs="黑体"/>
          <w:bCs/>
          <w:i/>
          <w:iCs/>
          <w:color w:val="auto"/>
          <w:sz w:val="28"/>
          <w:szCs w:val="28"/>
          <w:highlight w:val="none"/>
          <w:lang w:val="zh-CN"/>
        </w:rPr>
        <w:t xml:space="preserve">商务部分正负偏离表；（格式见附件）</w:t>
      </w:r>
      <w:r/>
    </w:p>
    <w:p>
      <w:pPr>
        <w:ind w:firstLine="560"/>
        <w:spacing w:line="360" w:lineRule="auto"/>
        <w:rPr>
          <w:rFonts w:hint="eastAsia" w:ascii="黑体" w:hAnsi="黑体" w:eastAsia="黑体" w:cs="黑体"/>
          <w:bCs/>
          <w:i/>
          <w:iCs/>
          <w:color w:val="auto"/>
          <w:sz w:val="28"/>
          <w:szCs w:val="28"/>
          <w:highlight w:val="none"/>
          <w:lang w:val="zh-CN"/>
        </w:rPr>
      </w:pPr>
      <w:r>
        <w:rPr>
          <w:rFonts w:hint="eastAsia" w:ascii="黑体" w:hAnsi="黑体" w:eastAsia="黑体" w:cs="黑体"/>
          <w:bCs/>
          <w:i/>
          <w:iCs/>
          <w:color w:val="auto"/>
          <w:sz w:val="28"/>
          <w:szCs w:val="28"/>
          <w:highlight w:val="none"/>
          <w:lang w:val="zh-CN"/>
        </w:rPr>
        <w:t xml:space="preserve">★</w:t>
      </w:r>
      <w:r>
        <w:rPr>
          <w:rFonts w:hint="eastAsia" w:ascii="黑体" w:hAnsi="黑体" w:eastAsia="黑体" w:cs="黑体"/>
          <w:bCs/>
          <w:i/>
          <w:iCs/>
          <w:color w:val="auto"/>
          <w:sz w:val="28"/>
          <w:szCs w:val="28"/>
          <w:highlight w:val="none"/>
        </w:rPr>
        <w:t xml:space="preserve">2</w:t>
      </w:r>
      <w:r>
        <w:rPr>
          <w:rFonts w:hint="eastAsia" w:ascii="黑体" w:hAnsi="黑体" w:eastAsia="黑体" w:cs="黑体"/>
          <w:bCs/>
          <w:i/>
          <w:iCs/>
          <w:color w:val="auto"/>
          <w:sz w:val="28"/>
          <w:szCs w:val="28"/>
          <w:highlight w:val="none"/>
          <w:lang w:val="zh-CN"/>
        </w:rPr>
        <w:t xml:space="preserve">、技术部分正负偏离表；（格式见附件）</w:t>
      </w:r>
      <w:r/>
    </w:p>
    <w:p>
      <w:pPr>
        <w:pStyle w:val="782"/>
        <w:ind w:left="0" w:firstLine="560"/>
        <w:rPr>
          <w:rFonts w:hint="eastAsia" w:ascii="黑体" w:hAnsi="黑体" w:eastAsia="黑体" w:cs="黑体"/>
          <w:b/>
          <w:bCs w:val="0"/>
          <w:i/>
          <w:iCs/>
          <w:color w:val="auto"/>
          <w:sz w:val="28"/>
          <w:szCs w:val="28"/>
          <w:highlight w:val="none"/>
          <w:u w:val="single"/>
          <w:lang w:val="zh-CN" w:eastAsia="zh-CN" w:bidi="ar-SA"/>
        </w:rPr>
      </w:pP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3、</w:t>
      </w:r>
      <w:r>
        <w:rPr>
          <w:rFonts w:hint="eastAsia" w:ascii="黑体" w:hAnsi="黑体" w:eastAsia="黑体" w:cs="黑体"/>
          <w:b/>
          <w:bCs w:val="0"/>
          <w:i/>
          <w:iCs/>
          <w:color w:val="auto"/>
          <w:sz w:val="28"/>
          <w:szCs w:val="28"/>
          <w:highlight w:val="none"/>
          <w:lang w:val="zh-CN" w:eastAsia="zh-CN" w:bidi="ar-SA"/>
        </w:rPr>
        <w:t xml:space="preserve">相关承诺书：</w:t>
      </w:r>
      <w:bookmarkStart w:id="146" w:name="OLE_LINK11"/>
      <w:r>
        <w:rPr>
          <w:rFonts w:hint="eastAsia" w:ascii="黑体" w:hAnsi="黑体" w:eastAsia="黑体" w:cs="黑体"/>
          <w:b/>
          <w:bCs w:val="0"/>
          <w:i/>
          <w:iCs/>
          <w:color w:val="auto"/>
          <w:sz w:val="28"/>
          <w:szCs w:val="28"/>
          <w:highlight w:val="none"/>
          <w:u w:val="single"/>
          <w:lang w:val="zh-CN" w:eastAsia="zh-CN" w:bidi="ar-SA"/>
        </w:rPr>
        <w:t xml:space="preserve">本</w:t>
      </w:r>
      <w:r>
        <w:rPr>
          <w:rFonts w:hint="eastAsia" w:ascii="黑体" w:hAnsi="黑体" w:eastAsia="黑体" w:cs="黑体"/>
          <w:b/>
          <w:bCs w:val="0"/>
          <w:i/>
          <w:iCs/>
          <w:color w:val="auto"/>
          <w:sz w:val="28"/>
          <w:szCs w:val="28"/>
          <w:highlight w:val="none"/>
          <w:u w:val="single"/>
          <w:lang w:val="en-US" w:eastAsia="zh-CN" w:bidi="ar-SA"/>
        </w:rPr>
        <w:t xml:space="preserve">招标</w:t>
      </w:r>
      <w:r>
        <w:rPr>
          <w:rFonts w:hint="eastAsia" w:ascii="黑体" w:hAnsi="黑体" w:eastAsia="黑体" w:cs="黑体"/>
          <w:b/>
          <w:bCs w:val="0"/>
          <w:i/>
          <w:iCs/>
          <w:color w:val="auto"/>
          <w:sz w:val="28"/>
          <w:szCs w:val="28"/>
          <w:highlight w:val="none"/>
          <w:u w:val="single"/>
          <w:lang w:val="zh-CN" w:eastAsia="zh-CN" w:bidi="ar-SA"/>
        </w:rPr>
        <w:t xml:space="preserve">文件项目需求中★”号</w:t>
      </w:r>
      <w:r>
        <w:rPr>
          <w:rFonts w:hint="eastAsia" w:ascii="黑体" w:hAnsi="黑体" w:eastAsia="黑体" w:cs="黑体"/>
          <w:b/>
          <w:bCs w:val="0"/>
          <w:i/>
          <w:iCs/>
          <w:color w:val="auto"/>
          <w:sz w:val="28"/>
          <w:szCs w:val="28"/>
          <w:highlight w:val="none"/>
          <w:u w:val="single"/>
          <w:lang w:val="en-US" w:eastAsia="zh-CN" w:bidi="ar-SA"/>
        </w:rPr>
        <w:t xml:space="preserve">部分</w:t>
      </w:r>
      <w:r>
        <w:rPr>
          <w:rFonts w:hint="eastAsia" w:ascii="黑体" w:hAnsi="黑体" w:eastAsia="黑体" w:cs="黑体"/>
          <w:b/>
          <w:bCs w:val="0"/>
          <w:i/>
          <w:iCs/>
          <w:color w:val="auto"/>
          <w:sz w:val="28"/>
          <w:szCs w:val="28"/>
          <w:highlight w:val="none"/>
          <w:u w:val="single"/>
          <w:lang w:val="zh-CN" w:eastAsia="zh-CN" w:bidi="ar-SA"/>
        </w:rPr>
        <w:t xml:space="preserve">标明且字体倾斜的所有条款要求提交的相关承诺书（格式自拟）</w:t>
      </w:r>
      <w:bookmarkEnd w:id="146"/>
      <w:r>
        <w:rPr>
          <w:rFonts w:hint="eastAsia" w:ascii="黑体" w:hAnsi="黑体" w:eastAsia="黑体" w:cs="黑体"/>
          <w:b/>
          <w:bCs w:val="0"/>
          <w:i/>
          <w:iCs/>
          <w:color w:val="auto"/>
          <w:sz w:val="28"/>
          <w:szCs w:val="28"/>
          <w:highlight w:val="none"/>
          <w:u w:val="single"/>
          <w:lang w:val="zh-CN" w:eastAsia="zh-CN" w:bidi="ar-SA"/>
        </w:rPr>
        <w:t xml:space="preserve">；经评标小组核实将被判为不满足招标文件实质性要求，作为无效投标处理。</w:t>
      </w:r>
      <w:r/>
    </w:p>
    <w:p>
      <w:pPr>
        <w:ind w:firstLine="281"/>
        <w:spacing w:line="360" w:lineRule="auto"/>
        <w:rPr>
          <w:rFonts w:hint="eastAsia" w:ascii="黑体" w:hAnsi="黑体" w:eastAsia="黑体" w:cs="黑体"/>
          <w:b/>
          <w:bCs w:val="0"/>
          <w:color w:val="auto"/>
          <w:sz w:val="28"/>
          <w:szCs w:val="28"/>
          <w:highlight w:val="none"/>
          <w:lang w:val="zh-CN" w:eastAsia="zh-CN" w:bidi="ar-SA"/>
        </w:rPr>
      </w:pPr>
      <w:r>
        <w:rPr>
          <w:rFonts w:hint="eastAsia" w:ascii="黑体" w:hAnsi="黑体" w:eastAsia="黑体" w:cs="黑体"/>
          <w:b/>
          <w:bCs w:val="0"/>
          <w:color w:val="auto"/>
          <w:sz w:val="28"/>
          <w:szCs w:val="28"/>
          <w:highlight w:val="none"/>
          <w:lang w:val="zh-CN" w:eastAsia="zh-CN" w:bidi="ar-SA"/>
        </w:rPr>
        <w:t xml:space="preserve">注明：（上述1-3条款材料为符合性检查项，未提供或不符合要求均按无效处理）</w:t>
      </w:r>
      <w:r/>
    </w:p>
    <w:p>
      <w:pPr>
        <w:numPr>
          <w:ilvl w:val="0"/>
          <w:numId w:val="0"/>
        </w:num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en-US" w:eastAsia="zh-CN"/>
        </w:rPr>
        <w:t xml:space="preserve">三、</w:t>
      </w:r>
      <w:r>
        <w:rPr>
          <w:rFonts w:hint="eastAsia" w:ascii="黑体" w:hAnsi="黑体" w:eastAsia="黑体" w:cs="黑体"/>
          <w:bCs/>
          <w:color w:val="auto"/>
          <w:sz w:val="28"/>
          <w:szCs w:val="28"/>
          <w:highlight w:val="none"/>
          <w:lang w:val="zh-CN"/>
        </w:rPr>
        <w:t xml:space="preserve">商务技术标包（应包括但不限于以下内容。不得出现报价，否则作废）</w:t>
      </w:r>
      <w:r/>
    </w:p>
    <w:p>
      <w:pPr>
        <w:numPr>
          <w:ilvl w:val="0"/>
          <w:numId w:val="0"/>
        </w:num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1.商务技术评分标准中须提供的相关得分佐证材料；</w:t>
      </w:r>
      <w:r/>
    </w:p>
    <w:p>
      <w:pPr>
        <w:numPr>
          <w:ilvl w:val="0"/>
          <w:numId w:val="0"/>
        </w:num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2.投标单位认为需要提交的其他商务技术材料。</w:t>
      </w:r>
      <w:r/>
    </w:p>
    <w:p>
      <w:pPr>
        <w:numPr>
          <w:ilvl w:val="0"/>
          <w:numId w:val="0"/>
        </w:numPr>
        <w:spacing w:line="360" w:lineRule="auto"/>
        <w:rPr>
          <w:rFonts w:hint="eastAsia" w:ascii="黑体" w:hAnsi="黑体" w:eastAsia="黑体" w:cs="黑体"/>
          <w:b/>
          <w:bCs w:val="0"/>
          <w:color w:val="auto"/>
          <w:sz w:val="28"/>
          <w:szCs w:val="28"/>
          <w:highlight w:val="none"/>
          <w:lang w:val="zh-CN"/>
        </w:rPr>
      </w:pPr>
      <w:r>
        <w:rPr>
          <w:rFonts w:hint="eastAsia" w:ascii="黑体" w:hAnsi="黑体" w:eastAsia="黑体" w:cs="黑体"/>
          <w:b/>
          <w:bCs w:val="0"/>
          <w:color w:val="auto"/>
          <w:sz w:val="28"/>
          <w:szCs w:val="28"/>
          <w:highlight w:val="none"/>
          <w:lang w:val="zh-CN"/>
        </w:rPr>
        <w:t xml:space="preserve">（如采购文件要求提供的商务技术标材料中没有对应的接口上传的资料，可以在本部分的其他材料的接口中上传）</w:t>
      </w:r>
      <w:r/>
    </w:p>
    <w:p>
      <w:pPr>
        <w:rPr>
          <w:rFonts w:hint="eastAsia" w:ascii="黑体" w:hAnsi="黑体" w:eastAsia="黑体" w:cs="黑体"/>
          <w:color w:val="auto"/>
          <w:highlight w:val="none"/>
          <w:lang w:val="en-US" w:eastAsia="zh-CN"/>
        </w:rPr>
      </w:pPr>
      <w:r>
        <w:rPr>
          <w:rFonts w:hint="eastAsia" w:ascii="黑体" w:hAnsi="黑体" w:eastAsia="黑体" w:cs="黑体"/>
          <w:color w:val="auto"/>
          <w:highlight w:val="none"/>
          <w:lang w:val="en-US" w:eastAsia="zh-CN"/>
        </w:rPr>
      </w:r>
      <w:r/>
    </w:p>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en-US" w:eastAsia="zh-CN"/>
        </w:rPr>
        <w:t xml:space="preserve">四</w:t>
      </w:r>
      <w:r>
        <w:rPr>
          <w:rFonts w:hint="eastAsia" w:ascii="黑体" w:hAnsi="黑体" w:eastAsia="黑体" w:cs="黑体"/>
          <w:bCs/>
          <w:color w:val="auto"/>
          <w:sz w:val="28"/>
          <w:szCs w:val="28"/>
          <w:highlight w:val="none"/>
          <w:lang w:val="zh-CN"/>
        </w:rPr>
        <w:t xml:space="preserve">、价格标</w:t>
      </w:r>
      <w:r/>
    </w:p>
    <w:p>
      <w:pPr>
        <w:numPr>
          <w:ilvl w:val="0"/>
          <w:numId w:val="0"/>
        </w:num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1.开标一览表（格式见附件）；</w:t>
      </w:r>
      <w:r/>
    </w:p>
    <w:p>
      <w:pPr>
        <w:numPr>
          <w:ilvl w:val="0"/>
          <w:numId w:val="0"/>
        </w:numPr>
        <w:spacing w:line="360" w:lineRule="auto"/>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2.</w:t>
      </w:r>
      <w:r>
        <w:rPr>
          <w:rFonts w:hint="eastAsia" w:ascii="黑体" w:hAnsi="黑体" w:eastAsia="黑体" w:cs="黑体"/>
          <w:bCs/>
          <w:color w:val="auto"/>
          <w:sz w:val="28"/>
          <w:szCs w:val="28"/>
          <w:highlight w:val="none"/>
          <w:lang w:val="zh-CN"/>
        </w:rPr>
        <w:t xml:space="preserve">投标分项报价表</w:t>
      </w:r>
      <w:r>
        <w:rPr>
          <w:rFonts w:hint="eastAsia" w:ascii="黑体" w:hAnsi="黑体" w:eastAsia="黑体" w:cs="黑体"/>
          <w:bCs/>
          <w:color w:val="auto"/>
          <w:sz w:val="28"/>
          <w:szCs w:val="28"/>
          <w:highlight w:val="none"/>
          <w:lang w:val="zh-CN" w:eastAsia="zh-CN"/>
        </w:rPr>
        <w:t xml:space="preserve">（</w:t>
      </w:r>
      <w:r>
        <w:rPr>
          <w:rFonts w:hint="eastAsia" w:ascii="黑体" w:hAnsi="黑体" w:eastAsia="黑体" w:cs="黑体"/>
          <w:bCs/>
          <w:color w:val="auto"/>
          <w:sz w:val="28"/>
          <w:szCs w:val="28"/>
          <w:highlight w:val="none"/>
          <w:lang w:val="en-US" w:eastAsia="zh-CN"/>
        </w:rPr>
        <w:t xml:space="preserve">格式见后附件</w:t>
      </w:r>
      <w:r>
        <w:rPr>
          <w:rFonts w:hint="eastAsia" w:ascii="黑体" w:hAnsi="黑体" w:eastAsia="黑体" w:cs="黑体"/>
          <w:bCs/>
          <w:color w:val="auto"/>
          <w:sz w:val="28"/>
          <w:szCs w:val="28"/>
          <w:highlight w:val="none"/>
          <w:lang w:val="zh-CN" w:eastAsia="zh-CN"/>
        </w:rPr>
        <w:t xml:space="preserve">）</w:t>
      </w:r>
      <w:r/>
    </w:p>
    <w:p>
      <w:pPr>
        <w:numPr>
          <w:ilvl w:val="0"/>
          <w:numId w:val="0"/>
        </w:numPr>
        <w:spacing w:line="360" w:lineRule="auto"/>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3</w:t>
      </w:r>
      <w:r>
        <w:rPr>
          <w:rFonts w:hint="eastAsia" w:ascii="黑体" w:hAnsi="黑体" w:eastAsia="黑体" w:cs="黑体"/>
          <w:bCs/>
          <w:color w:val="auto"/>
          <w:sz w:val="28"/>
          <w:szCs w:val="28"/>
          <w:highlight w:val="none"/>
          <w:lang w:val="zh-CN"/>
        </w:rPr>
        <w:t xml:space="preserve">.关于符合本国产品标准的声明函（如有，格式见附件）</w:t>
      </w:r>
      <w:r/>
    </w:p>
    <w:p>
      <w:pPr>
        <w:numPr>
          <w:ilvl w:val="0"/>
          <w:numId w:val="0"/>
        </w:numPr>
        <w:spacing w:line="360" w:lineRule="auto"/>
        <w:rPr>
          <w:rFonts w:hint="eastAsia" w:ascii="黑体" w:hAnsi="黑体" w:eastAsia="黑体" w:cs="黑体"/>
          <w:b/>
          <w:bCs w:val="0"/>
          <w:color w:val="auto"/>
          <w:sz w:val="28"/>
          <w:szCs w:val="28"/>
          <w:highlight w:val="none"/>
          <w:lang w:val="en-US" w:eastAsia="zh-CN"/>
        </w:rPr>
      </w:pPr>
      <w:r>
        <w:rPr>
          <w:rFonts w:hint="eastAsia" w:ascii="黑体" w:hAnsi="黑体" w:eastAsia="黑体" w:cs="黑体"/>
          <w:b/>
          <w:bCs w:val="0"/>
          <w:color w:val="auto"/>
          <w:sz w:val="28"/>
          <w:szCs w:val="28"/>
          <w:highlight w:val="none"/>
          <w:lang w:val="en-US" w:eastAsia="zh-CN"/>
        </w:rPr>
        <w:t xml:space="preserve">注明：以上第3条款符合相关要求的提供，不符合的不须提供。</w:t>
      </w:r>
      <w:r/>
    </w:p>
    <w:p>
      <w:pPr>
        <w:numPr>
          <w:ilvl w:val="0"/>
          <w:numId w:val="0"/>
        </w:numPr>
        <w:spacing w:line="360" w:lineRule="auto"/>
        <w:rPr>
          <w:rFonts w:hint="eastAsia" w:ascii="黑体" w:hAnsi="黑体" w:eastAsia="黑体" w:cs="黑体"/>
          <w:b/>
          <w:bCs w:val="0"/>
          <w:color w:val="auto"/>
          <w:sz w:val="28"/>
          <w:szCs w:val="28"/>
          <w:highlight w:val="none"/>
          <w:lang w:val="zh-CN" w:eastAsia="zh-CN"/>
        </w:rPr>
      </w:pPr>
      <w:r>
        <w:rPr>
          <w:rFonts w:hint="eastAsia" w:ascii="黑体" w:hAnsi="黑体" w:eastAsia="黑体" w:cs="黑体"/>
          <w:b/>
          <w:bCs w:val="0"/>
          <w:color w:val="auto"/>
          <w:sz w:val="28"/>
          <w:szCs w:val="28"/>
          <w:highlight w:val="none"/>
          <w:lang w:val="zh-CN" w:eastAsia="zh-CN"/>
        </w:rPr>
        <w:t xml:space="preserve">（如招标文件要求提供的价格标资料中没有对应的接口上传的资料可以在本部分的其他材料的接口中上传）</w:t>
      </w:r>
      <w:r/>
    </w:p>
    <w:p>
      <w:pPr>
        <w:contextualSpacing/>
        <w:spacing w:line="360" w:lineRule="auto"/>
        <w:rPr>
          <w:rFonts w:hint="eastAsia" w:ascii="黑体" w:hAnsi="黑体" w:eastAsia="黑体" w:cs="黑体"/>
          <w:bCs/>
          <w:color w:val="auto"/>
          <w:sz w:val="28"/>
          <w:szCs w:val="28"/>
          <w:highlight w:val="none"/>
          <w:lang w:val="zh-CN" w:eastAsia="zh-CN" w:bidi="ar-SA"/>
        </w:rPr>
      </w:pPr>
      <w:r>
        <w:rPr>
          <w:rFonts w:hint="eastAsia" w:ascii="黑体" w:hAnsi="黑体" w:eastAsia="黑体" w:cs="黑体"/>
          <w:bCs/>
          <w:color w:val="auto"/>
          <w:sz w:val="28"/>
          <w:szCs w:val="28"/>
          <w:highlight w:val="none"/>
          <w:lang w:val="zh-CN" w:eastAsia="zh-CN" w:bidi="ar-SA"/>
        </w:rPr>
        <w:br w:type="page" w:clear="all"/>
      </w:r>
      <w:r/>
    </w:p>
    <w:p>
      <w:pP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附件</w:t>
      </w:r>
      <w:r/>
    </w:p>
    <w:p>
      <w:pPr>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投标人符合《中华人民共和国政府采购法》第二十二条规定条件的声明函</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我单位参加</w:t>
      </w:r>
      <w:r>
        <w:rPr>
          <w:rFonts w:hint="eastAsia" w:ascii="黑体" w:hAnsi="黑体" w:eastAsia="黑体" w:cs="黑体"/>
          <w:bCs/>
          <w:color w:val="auto"/>
          <w:sz w:val="28"/>
          <w:szCs w:val="28"/>
          <w:highlight w:val="none"/>
          <w:u w:val="single"/>
        </w:rPr>
        <w:t xml:space="preserve">________________ _</w:t>
      </w:r>
      <w:r>
        <w:rPr>
          <w:rFonts w:hint="eastAsia" w:ascii="黑体" w:hAnsi="黑体" w:eastAsia="黑体" w:cs="黑体"/>
          <w:bCs/>
          <w:color w:val="auto"/>
          <w:sz w:val="28"/>
          <w:szCs w:val="28"/>
          <w:highlight w:val="none"/>
        </w:rPr>
        <w:t xml:space="preserve">（项目名称），</w:t>
      </w:r>
      <w:r>
        <w:rPr>
          <w:rFonts w:hint="eastAsia" w:ascii="黑体" w:hAnsi="黑体" w:eastAsia="黑体" w:cs="黑体"/>
          <w:bCs/>
          <w:color w:val="auto"/>
          <w:sz w:val="28"/>
          <w:szCs w:val="28"/>
          <w:highlight w:val="none"/>
          <w:u w:val="single"/>
        </w:rPr>
        <w:t xml:space="preserve">_______ __________</w:t>
      </w:r>
      <w:r>
        <w:rPr>
          <w:rFonts w:hint="eastAsia" w:ascii="黑体" w:hAnsi="黑体" w:eastAsia="黑体" w:cs="黑体"/>
          <w:bCs/>
          <w:color w:val="auto"/>
          <w:sz w:val="28"/>
          <w:szCs w:val="28"/>
          <w:highlight w:val="none"/>
        </w:rPr>
        <w:t xml:space="preserve">（项目编号）投标活动。针对《中华人民共和国政府采购法》第二十二条规定做出如下声明：</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1.我单位具有独立承担民事责任的能力；</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2.我单位具有良好的商业信誉和健全的财务会计制度；</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3.我单位具有履行合同所必需的设备和专业技术能力；</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4.我单位有依法缴纳税收和社会保障资金的良好记录；</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我单位参加政府采购活动前三年内，在经营活动中没有重大违法记录；（1.投标单位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6.我单位满足法律、行政法规规定的其他条件。</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承诺人名称（公章）：</w:t>
      </w:r>
      <w:r/>
    </w:p>
    <w:p>
      <w:pPr>
        <w:jc w:val="righ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jc w:val="righ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日期：</w:t>
      </w:r>
      <w:r>
        <w:rPr>
          <w:rFonts w:hint="eastAsia" w:ascii="黑体" w:hAnsi="黑体" w:eastAsia="黑体" w:cs="黑体"/>
          <w:bCs/>
          <w:color w:val="auto"/>
          <w:sz w:val="28"/>
          <w:szCs w:val="28"/>
          <w:highlight w:val="none"/>
          <w:u w:val="single"/>
        </w:rPr>
        <w:t xml:space="preserve">______</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contextualSpacing/>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法定代表人身份证明</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先生/女士： 现任我单位</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职务，为法定代表人，特此证明。</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身份证号码：</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联系方式：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083"/>
        <w:jc w:val="center"/>
        <w:spacing w:line="360" w:lineRule="auto"/>
        <w:rPr>
          <w:rFonts w:hint="eastAsia" w:ascii="黑体" w:hAnsi="黑体" w:eastAsia="黑体" w:cs="黑体"/>
          <w:b/>
          <w:bCs w:val="0"/>
          <w:color w:val="auto"/>
          <w:sz w:val="28"/>
          <w:szCs w:val="28"/>
          <w:highlight w:val="none"/>
        </w:rPr>
      </w:pPr>
      <w:r>
        <w:rPr>
          <w:rFonts w:hint="eastAsia" w:ascii="黑体" w:hAnsi="黑体" w:eastAsia="黑体" w:cs="黑体"/>
          <w:b/>
          <w:bCs w:val="0"/>
          <w:color w:val="auto"/>
          <w:sz w:val="28"/>
          <w:szCs w:val="28"/>
          <w:highlight w:val="none"/>
        </w:rPr>
        <w:t xml:space="preserve">注：提供法定代表人的身份证扫描件。</w:t>
      </w:r>
      <w:r/>
    </w:p>
    <w:p>
      <w:pPr>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pStyle w:val="778"/>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rPr>
          <w:rFonts w:hint="eastAsia" w:ascii="黑体" w:hAnsi="黑体" w:eastAsia="黑体" w:cs="黑体"/>
          <w:color w:val="auto"/>
          <w:highlight w:val="none"/>
        </w:rPr>
      </w:pPr>
      <w:r>
        <w:rPr>
          <w:rFonts w:hint="eastAsia" w:ascii="黑体" w:hAnsi="黑体" w:eastAsia="黑体" w:cs="黑体"/>
          <w:color w:val="auto"/>
          <w:highlight w:val="none"/>
        </w:rPr>
      </w:r>
      <w:r/>
    </w:p>
    <w:p>
      <w:pPr>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br w:type="page" w:clear="all"/>
      </w:r>
      <w:r>
        <w:rPr>
          <w:rFonts w:hint="eastAsia" w:ascii="黑体" w:hAnsi="黑体" w:eastAsia="黑体" w:cs="黑体"/>
          <w:b/>
          <w:color w:val="auto"/>
          <w:sz w:val="28"/>
          <w:szCs w:val="28"/>
          <w:highlight w:val="none"/>
          <w:lang w:val="en-US" w:eastAsia="zh-CN"/>
        </w:rPr>
        <w:t xml:space="preserve">                   </w:t>
      </w:r>
      <w:r>
        <w:rPr>
          <w:rFonts w:hint="eastAsia" w:ascii="黑体" w:hAnsi="黑体" w:eastAsia="黑体" w:cs="黑体"/>
          <w:b/>
          <w:color w:val="auto"/>
          <w:sz w:val="28"/>
          <w:szCs w:val="28"/>
          <w:highlight w:val="none"/>
        </w:rPr>
        <w:t xml:space="preserve">法定代表人授权委托书</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本人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（姓名）系</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（授权单位名称）的法定代表人，现委托</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（姓名）（身份证号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）为我方代理人，以我方名义全权处理与本次采购项目（编号：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）有关的一切事务，其法律后果由我方承担。</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本授权书于</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日起生效。代理人无转委托权。</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代理人(被授权人):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。联系方式：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授权单位名称（盖章）：</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授权单位法定代表人（签字或盖章）：</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w:t>
      </w:r>
      <w:r/>
    </w:p>
    <w:p>
      <w:pPr>
        <w:jc w:val="righ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righ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
          <w:bCs w:val="0"/>
          <w:color w:val="auto"/>
          <w:sz w:val="28"/>
          <w:szCs w:val="28"/>
          <w:highlight w:val="none"/>
        </w:rPr>
      </w:pPr>
      <w:r>
        <w:rPr>
          <w:rFonts w:hint="eastAsia" w:ascii="黑体" w:hAnsi="黑体" w:eastAsia="黑体" w:cs="黑体"/>
          <w:b/>
          <w:bCs w:val="0"/>
          <w:color w:val="auto"/>
          <w:sz w:val="28"/>
          <w:szCs w:val="28"/>
          <w:highlight w:val="none"/>
        </w:rPr>
        <w:t xml:space="preserve">注：</w:t>
      </w:r>
      <w:r>
        <w:rPr>
          <w:rFonts w:hint="eastAsia" w:ascii="黑体" w:hAnsi="黑体" w:eastAsia="黑体" w:cs="黑体"/>
          <w:b/>
          <w:bCs/>
          <w:color w:val="auto"/>
          <w:sz w:val="24"/>
          <w:szCs w:val="24"/>
          <w:highlight w:val="none"/>
        </w:rPr>
        <w:t xml:space="preserve">提供法定代表人、被授权人的两人身份证的原件扫描件</w:t>
      </w:r>
      <w:r>
        <w:rPr>
          <w:rFonts w:hint="eastAsia" w:ascii="黑体" w:hAnsi="黑体" w:eastAsia="黑体" w:cs="黑体"/>
          <w:b/>
          <w:bCs w:val="0"/>
          <w:color w:val="auto"/>
          <w:sz w:val="28"/>
          <w:szCs w:val="28"/>
          <w:highlight w:val="none"/>
        </w:rPr>
        <w:t xml:space="preserve">。</w:t>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jc w:val="center"/>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818"/>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818"/>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818"/>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818"/>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79"/>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80"/>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80"/>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spacing w:line="360" w:lineRule="auto"/>
        <w:rPr>
          <w:rFonts w:hint="eastAsia" w:ascii="黑体" w:hAnsi="黑体" w:eastAsia="黑体" w:cs="黑体"/>
          <w:b/>
          <w:color w:val="auto"/>
          <w:sz w:val="30"/>
          <w:szCs w:val="30"/>
          <w:highlight w:val="none"/>
          <w:lang w:bidi="ar"/>
        </w:rPr>
      </w:pP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28"/>
          <w:szCs w:val="28"/>
          <w:highlight w:val="none"/>
          <w:lang w:val="en-US" w:eastAsia="zh-CN"/>
        </w:rPr>
        <w:t xml:space="preserve">                     </w:t>
      </w:r>
      <w:r>
        <w:rPr>
          <w:rFonts w:hint="eastAsia" w:ascii="黑体" w:hAnsi="黑体" w:eastAsia="黑体" w:cs="黑体"/>
          <w:b/>
          <w:color w:val="auto"/>
          <w:sz w:val="30"/>
          <w:szCs w:val="30"/>
          <w:highlight w:val="none"/>
          <w:lang w:bidi="ar"/>
        </w:rPr>
        <w:t xml:space="preserve">投标单位信用承诺书</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为营造公开、公平、公正的公共资源交易环境，树立诚信守法的投标人形象，本人代表本单位作出以下承诺：</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三、严格遵守即时信息公示规定，及时更新公共资源交易中心主体信息库中信息；</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六、自觉接受政府部门、行业组织、社会公众、新闻舆论等监督；</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七、上述承诺已向本单位员工作了宣传教育；</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如有违反上述承诺的不良行为，本单位同意将其予以上网公示。</w:t>
      </w:r>
      <w:r/>
    </w:p>
    <w:p>
      <w:pPr>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r>
      <w:r/>
    </w:p>
    <w:p>
      <w:pPr>
        <w:ind w:firstLine="4555"/>
        <w:jc w:val="left"/>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投标投标单位全称(盖公章)：</w:t>
      </w:r>
      <w:r/>
    </w:p>
    <w:p>
      <w:pPr>
        <w:ind w:firstLine="4555"/>
        <w:jc w:val="left"/>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法定代表人（签字或盖章）：</w:t>
      </w:r>
      <w:r/>
    </w:p>
    <w:p>
      <w:pPr>
        <w:ind w:firstLine="4555"/>
        <w:jc w:val="left"/>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color w:val="auto"/>
          <w:sz w:val="28"/>
          <w:szCs w:val="28"/>
          <w:highlight w:val="none"/>
          <w:lang w:val="zh-CN"/>
        </w:rPr>
        <w:t xml:space="preserve">时间：  年  月   日</w:t>
      </w:r>
      <w:r/>
    </w:p>
    <w:p>
      <w:pPr>
        <w:contextualSpacing/>
        <w:spacing w:line="400" w:lineRule="exact"/>
        <w:rPr>
          <w:rFonts w:hint="eastAsia" w:ascii="黑体" w:hAnsi="黑体" w:eastAsia="黑体" w:cs="黑体"/>
          <w:b/>
          <w:bCs/>
          <w:color w:val="auto"/>
          <w:sz w:val="28"/>
          <w:szCs w:val="28"/>
          <w:highlight w:val="none"/>
        </w:rPr>
      </w:pPr>
      <w:r>
        <w:rPr>
          <w:rFonts w:hint="eastAsia" w:ascii="黑体" w:hAnsi="黑体" w:eastAsia="黑体" w:cs="黑体"/>
          <w:b/>
          <w:color w:val="auto"/>
          <w:sz w:val="28"/>
          <w:szCs w:val="28"/>
          <w:highlight w:val="none"/>
          <w:lang w:val="zh-CN"/>
        </w:rPr>
        <w:br w:type="page" w:clear="all"/>
      </w:r>
      <w:r>
        <w:rPr>
          <w:rFonts w:hint="eastAsia" w:ascii="黑体" w:hAnsi="黑体" w:eastAsia="黑体" w:cs="黑体"/>
          <w:b/>
          <w:color w:val="auto"/>
          <w:sz w:val="28"/>
          <w:szCs w:val="28"/>
          <w:highlight w:val="none"/>
          <w:lang w:val="en-US" w:eastAsia="zh-CN"/>
        </w:rPr>
        <w:t xml:space="preserve">                        </w:t>
      </w:r>
      <w:r>
        <w:rPr>
          <w:rFonts w:hint="eastAsia" w:ascii="黑体" w:hAnsi="黑体" w:eastAsia="黑体" w:cs="黑体"/>
          <w:b/>
          <w:bCs/>
          <w:color w:val="auto"/>
          <w:sz w:val="28"/>
          <w:szCs w:val="28"/>
          <w:highlight w:val="none"/>
        </w:rPr>
        <w:t xml:space="preserve">中小企业声明函（服务）</w:t>
      </w:r>
      <w:r/>
    </w:p>
    <w:p>
      <w:pPr>
        <w:jc w:val="center"/>
        <w:spacing w:before="240" w:after="60"/>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r>
      <w:r/>
    </w:p>
    <w:p>
      <w:pPr>
        <w:ind w:firstLine="562"/>
        <w:spacing w:line="36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本公司（联合体）郑重声明，根据《政府采购促进中小企业发展管理办法》（财库﹝2020﹞46 号）的规定，本公司（联合体）参加</w:t>
      </w:r>
      <w:r>
        <w:rPr>
          <w:rFonts w:hint="eastAsia" w:ascii="黑体" w:hAnsi="黑体" w:eastAsia="黑体" w:cs="黑体"/>
          <w:b/>
          <w:bCs/>
          <w:color w:val="auto"/>
          <w:sz w:val="28"/>
          <w:szCs w:val="28"/>
          <w:highlight w:val="none"/>
          <w:u w:val="single"/>
          <w:lang w:bidi="zh-CN"/>
        </w:rPr>
        <w:t xml:space="preserve">（单位名称）</w:t>
      </w:r>
      <w:r>
        <w:rPr>
          <w:rFonts w:hint="eastAsia" w:ascii="黑体" w:hAnsi="黑体" w:eastAsia="黑体" w:cs="黑体"/>
          <w:b/>
          <w:bCs/>
          <w:color w:val="auto"/>
          <w:sz w:val="28"/>
          <w:szCs w:val="28"/>
          <w:highlight w:val="none"/>
          <w:lang w:bidi="zh-CN"/>
        </w:rPr>
        <w:t xml:space="preserve">的</w:t>
      </w:r>
      <w:r>
        <w:rPr>
          <w:rFonts w:hint="eastAsia" w:ascii="黑体" w:hAnsi="黑体" w:eastAsia="黑体" w:cs="黑体"/>
          <w:b/>
          <w:bCs/>
          <w:color w:val="auto"/>
          <w:sz w:val="28"/>
          <w:szCs w:val="28"/>
          <w:highlight w:val="none"/>
          <w:u w:val="single"/>
          <w:lang w:bidi="zh-CN"/>
        </w:rPr>
        <w:t xml:space="preserve">（项目名称）</w:t>
      </w:r>
      <w:r>
        <w:rPr>
          <w:rFonts w:hint="eastAsia" w:ascii="黑体" w:hAnsi="黑体" w:eastAsia="黑体" w:cs="黑体"/>
          <w:b/>
          <w:bCs/>
          <w:color w:val="auto"/>
          <w:sz w:val="28"/>
          <w:szCs w:val="28"/>
          <w:highlight w:val="none"/>
          <w:lang w:bidi="zh-CN"/>
        </w:rPr>
        <w:t xml:space="preserve">采购活动，服务全部由符合政策要求的中小企业承接）。相关企业（含联合体中的中小企业、签订分包意向协议的中小企业）的具体情况如下：</w:t>
      </w:r>
      <w:r/>
    </w:p>
    <w:p>
      <w:pPr>
        <w:jc w:val="left"/>
        <w:spacing w:line="36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1.</w:t>
      </w:r>
      <w:r>
        <w:rPr>
          <w:rFonts w:hint="eastAsia" w:ascii="黑体" w:hAnsi="黑体" w:eastAsia="黑体" w:cs="黑体"/>
          <w:b/>
          <w:bCs/>
          <w:color w:val="auto"/>
          <w:sz w:val="28"/>
          <w:szCs w:val="28"/>
          <w:highlight w:val="none"/>
          <w:u w:val="single"/>
          <w:lang w:bidi="zh-CN"/>
        </w:rPr>
        <w:t xml:space="preserve">（标的名称）</w:t>
      </w:r>
      <w:r>
        <w:rPr>
          <w:rFonts w:hint="eastAsia" w:ascii="黑体" w:hAnsi="黑体" w:eastAsia="黑体" w:cs="黑体"/>
          <w:b/>
          <w:bCs/>
          <w:color w:val="auto"/>
          <w:sz w:val="28"/>
          <w:szCs w:val="28"/>
          <w:highlight w:val="none"/>
          <w:lang w:bidi="zh-CN"/>
        </w:rPr>
        <w:t xml:space="preserve">，属于</w:t>
      </w:r>
      <w:r>
        <w:rPr>
          <w:rFonts w:hint="eastAsia" w:ascii="黑体" w:hAnsi="黑体" w:eastAsia="黑体" w:cs="黑体"/>
          <w:b/>
          <w:bCs/>
          <w:color w:val="auto"/>
          <w:sz w:val="28"/>
          <w:szCs w:val="28"/>
          <w:highlight w:val="none"/>
          <w:u w:val="single"/>
          <w:lang w:bidi="zh-CN"/>
        </w:rPr>
        <w:t xml:space="preserve">租赁和商务服务业（采购文件中明确的所属行业）</w:t>
      </w:r>
      <w:r>
        <w:rPr>
          <w:rFonts w:hint="eastAsia" w:ascii="黑体" w:hAnsi="黑体" w:eastAsia="黑体" w:cs="黑体"/>
          <w:b/>
          <w:bCs/>
          <w:color w:val="auto"/>
          <w:sz w:val="28"/>
          <w:szCs w:val="28"/>
          <w:highlight w:val="none"/>
          <w:lang w:bidi="zh-CN"/>
        </w:rPr>
        <w:t xml:space="preserve">；承建（承接）企业为</w:t>
      </w:r>
      <w:r>
        <w:rPr>
          <w:rFonts w:hint="eastAsia" w:ascii="黑体" w:hAnsi="黑体" w:eastAsia="黑体" w:cs="黑体"/>
          <w:b/>
          <w:bCs/>
          <w:color w:val="auto"/>
          <w:sz w:val="28"/>
          <w:szCs w:val="28"/>
          <w:highlight w:val="none"/>
          <w:u w:val="single"/>
          <w:lang w:bidi="zh-CN"/>
        </w:rPr>
        <w:t xml:space="preserve">（企业名称）</w:t>
      </w:r>
      <w:r>
        <w:rPr>
          <w:rFonts w:hint="eastAsia" w:ascii="黑体" w:hAnsi="黑体" w:eastAsia="黑体" w:cs="黑体"/>
          <w:b/>
          <w:bCs/>
          <w:color w:val="auto"/>
          <w:sz w:val="28"/>
          <w:szCs w:val="28"/>
          <w:highlight w:val="none"/>
          <w:lang w:bidi="zh-CN"/>
        </w:rPr>
        <w:t xml:space="preserve">，从业人员</w:t>
      </w:r>
      <w:r>
        <w:rPr>
          <w:rFonts w:hint="eastAsia" w:ascii="黑体" w:hAnsi="黑体" w:eastAsia="黑体" w:cs="黑体"/>
          <w:b/>
          <w:bCs/>
          <w:color w:val="auto"/>
          <w:sz w:val="28"/>
          <w:szCs w:val="28"/>
          <w:highlight w:val="none"/>
          <w:u w:val="single"/>
          <w:lang w:bidi="zh-CN"/>
        </w:rPr>
        <w:tab/>
      </w:r>
      <w:r>
        <w:rPr>
          <w:rFonts w:hint="eastAsia" w:ascii="黑体" w:hAnsi="黑体" w:eastAsia="黑体" w:cs="黑体"/>
          <w:b/>
          <w:bCs/>
          <w:color w:val="auto"/>
          <w:sz w:val="28"/>
          <w:szCs w:val="28"/>
          <w:highlight w:val="none"/>
          <w:lang w:bidi="zh-CN"/>
        </w:rPr>
        <w:t xml:space="preserve">人，营业收入为</w:t>
      </w:r>
      <w:r>
        <w:rPr>
          <w:rFonts w:hint="eastAsia" w:ascii="黑体" w:hAnsi="黑体" w:eastAsia="黑体" w:cs="黑体"/>
          <w:b/>
          <w:bCs/>
          <w:color w:val="auto"/>
          <w:sz w:val="28"/>
          <w:szCs w:val="28"/>
          <w:highlight w:val="none"/>
          <w:u w:val="single"/>
          <w:lang w:bidi="zh-CN"/>
        </w:rPr>
        <w:tab/>
      </w:r>
      <w:r>
        <w:rPr>
          <w:rFonts w:hint="eastAsia" w:ascii="黑体" w:hAnsi="黑体" w:eastAsia="黑体" w:cs="黑体"/>
          <w:b/>
          <w:bCs/>
          <w:color w:val="auto"/>
          <w:sz w:val="28"/>
          <w:szCs w:val="28"/>
          <w:highlight w:val="none"/>
          <w:lang w:bidi="zh-CN"/>
        </w:rPr>
        <w:t xml:space="preserve">万元，资产总额为</w:t>
      </w:r>
      <w:r>
        <w:rPr>
          <w:rFonts w:hint="eastAsia" w:ascii="黑体" w:hAnsi="黑体" w:eastAsia="黑体" w:cs="黑体"/>
          <w:b/>
          <w:bCs/>
          <w:color w:val="auto"/>
          <w:sz w:val="28"/>
          <w:szCs w:val="28"/>
          <w:highlight w:val="none"/>
          <w:u w:val="single"/>
          <w:lang w:bidi="zh-CN"/>
        </w:rPr>
        <w:tab/>
      </w:r>
      <w:r>
        <w:rPr>
          <w:rFonts w:hint="eastAsia" w:ascii="黑体" w:hAnsi="黑体" w:eastAsia="黑体" w:cs="黑体"/>
          <w:b/>
          <w:bCs/>
          <w:color w:val="auto"/>
          <w:sz w:val="28"/>
          <w:szCs w:val="28"/>
          <w:highlight w:val="none"/>
          <w:lang w:bidi="zh-CN"/>
        </w:rPr>
        <w:t xml:space="preserve">万元，属于</w:t>
      </w:r>
      <w:r>
        <w:rPr>
          <w:rFonts w:hint="eastAsia" w:ascii="黑体" w:hAnsi="黑体" w:eastAsia="黑体" w:cs="黑体"/>
          <w:b/>
          <w:bCs/>
          <w:color w:val="auto"/>
          <w:sz w:val="28"/>
          <w:szCs w:val="28"/>
          <w:highlight w:val="none"/>
          <w:u w:val="single"/>
          <w:lang w:bidi="zh-CN"/>
        </w:rPr>
        <w:t xml:space="preserve">（□中型企业 □小型企业 □微型企业）</w:t>
      </w:r>
      <w:r>
        <w:rPr>
          <w:rFonts w:hint="eastAsia" w:ascii="黑体" w:hAnsi="黑体" w:eastAsia="黑体" w:cs="黑体"/>
          <w:b/>
          <w:bCs/>
          <w:color w:val="auto"/>
          <w:sz w:val="28"/>
          <w:szCs w:val="28"/>
          <w:highlight w:val="none"/>
          <w:lang w:bidi="zh-CN"/>
        </w:rPr>
        <w:t xml:space="preserve">；</w:t>
      </w:r>
      <w:r/>
    </w:p>
    <w:p>
      <w:pPr>
        <w:jc w:val="left"/>
        <w:spacing w:line="36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2.</w:t>
      </w:r>
      <w:r>
        <w:rPr>
          <w:rFonts w:hint="eastAsia" w:ascii="黑体" w:hAnsi="黑体" w:eastAsia="黑体" w:cs="黑体"/>
          <w:b/>
          <w:bCs/>
          <w:color w:val="auto"/>
          <w:sz w:val="28"/>
          <w:szCs w:val="28"/>
          <w:highlight w:val="none"/>
          <w:u w:val="single"/>
          <w:lang w:bidi="zh-CN"/>
        </w:rPr>
        <w:t xml:space="preserve">（标的名称）</w:t>
      </w:r>
      <w:r>
        <w:rPr>
          <w:rFonts w:hint="eastAsia" w:ascii="黑体" w:hAnsi="黑体" w:eastAsia="黑体" w:cs="黑体"/>
          <w:b/>
          <w:bCs/>
          <w:color w:val="auto"/>
          <w:sz w:val="28"/>
          <w:szCs w:val="28"/>
          <w:highlight w:val="none"/>
          <w:lang w:bidi="zh-CN"/>
        </w:rPr>
        <w:t xml:space="preserve">，属于</w:t>
      </w:r>
      <w:r>
        <w:rPr>
          <w:rFonts w:hint="eastAsia" w:ascii="黑体" w:hAnsi="黑体" w:eastAsia="黑体" w:cs="黑体"/>
          <w:b/>
          <w:bCs/>
          <w:color w:val="auto"/>
          <w:sz w:val="28"/>
          <w:szCs w:val="28"/>
          <w:highlight w:val="none"/>
          <w:u w:val="single"/>
          <w:lang w:bidi="zh-CN"/>
        </w:rPr>
        <w:t xml:space="preserve">租赁和商务服务业（采购文件中明确的所属行业）</w:t>
      </w:r>
      <w:r>
        <w:rPr>
          <w:rFonts w:hint="eastAsia" w:ascii="黑体" w:hAnsi="黑体" w:eastAsia="黑体" w:cs="黑体"/>
          <w:b/>
          <w:bCs/>
          <w:color w:val="auto"/>
          <w:sz w:val="28"/>
          <w:szCs w:val="28"/>
          <w:highlight w:val="none"/>
          <w:lang w:bidi="zh-CN"/>
        </w:rPr>
        <w:t xml:space="preserve">；承建（承接）企业为</w:t>
      </w:r>
      <w:r>
        <w:rPr>
          <w:rFonts w:hint="eastAsia" w:ascii="黑体" w:hAnsi="黑体" w:eastAsia="黑体" w:cs="黑体"/>
          <w:b/>
          <w:bCs/>
          <w:color w:val="auto"/>
          <w:sz w:val="28"/>
          <w:szCs w:val="28"/>
          <w:highlight w:val="none"/>
          <w:u w:val="single"/>
          <w:lang w:bidi="zh-CN"/>
        </w:rPr>
        <w:t xml:space="preserve">（企业名称）</w:t>
      </w:r>
      <w:r>
        <w:rPr>
          <w:rFonts w:hint="eastAsia" w:ascii="黑体" w:hAnsi="黑体" w:eastAsia="黑体" w:cs="黑体"/>
          <w:b/>
          <w:bCs/>
          <w:color w:val="auto"/>
          <w:sz w:val="28"/>
          <w:szCs w:val="28"/>
          <w:highlight w:val="none"/>
          <w:lang w:bidi="zh-CN"/>
        </w:rPr>
        <w:t xml:space="preserve">，从业人员</w:t>
      </w:r>
      <w:r>
        <w:rPr>
          <w:rFonts w:hint="eastAsia" w:ascii="黑体" w:hAnsi="黑体" w:eastAsia="黑体" w:cs="黑体"/>
          <w:b/>
          <w:bCs/>
          <w:color w:val="auto"/>
          <w:sz w:val="28"/>
          <w:szCs w:val="28"/>
          <w:highlight w:val="none"/>
          <w:u w:val="single"/>
          <w:lang w:bidi="zh-CN"/>
        </w:rPr>
        <w:tab/>
      </w:r>
      <w:r>
        <w:rPr>
          <w:rFonts w:hint="eastAsia" w:ascii="黑体" w:hAnsi="黑体" w:eastAsia="黑体" w:cs="黑体"/>
          <w:b/>
          <w:bCs/>
          <w:color w:val="auto"/>
          <w:sz w:val="28"/>
          <w:szCs w:val="28"/>
          <w:highlight w:val="none"/>
          <w:lang w:bidi="zh-CN"/>
        </w:rPr>
        <w:t xml:space="preserve">人，营业收入为</w:t>
      </w:r>
      <w:r>
        <w:rPr>
          <w:rFonts w:hint="eastAsia" w:ascii="黑体" w:hAnsi="黑体" w:eastAsia="黑体" w:cs="黑体"/>
          <w:b/>
          <w:bCs/>
          <w:color w:val="auto"/>
          <w:sz w:val="28"/>
          <w:szCs w:val="28"/>
          <w:highlight w:val="none"/>
          <w:u w:val="single"/>
          <w:lang w:bidi="zh-CN"/>
        </w:rPr>
        <w:tab/>
      </w:r>
      <w:r>
        <w:rPr>
          <w:rFonts w:hint="eastAsia" w:ascii="黑体" w:hAnsi="黑体" w:eastAsia="黑体" w:cs="黑体"/>
          <w:b/>
          <w:bCs/>
          <w:color w:val="auto"/>
          <w:sz w:val="28"/>
          <w:szCs w:val="28"/>
          <w:highlight w:val="none"/>
          <w:lang w:bidi="zh-CN"/>
        </w:rPr>
        <w:t xml:space="preserve">万元，资产总额为</w:t>
      </w:r>
      <w:r>
        <w:rPr>
          <w:rFonts w:hint="eastAsia" w:ascii="黑体" w:hAnsi="黑体" w:eastAsia="黑体" w:cs="黑体"/>
          <w:b/>
          <w:bCs/>
          <w:color w:val="auto"/>
          <w:sz w:val="28"/>
          <w:szCs w:val="28"/>
          <w:highlight w:val="none"/>
          <w:u w:val="single"/>
          <w:lang w:bidi="zh-CN"/>
        </w:rPr>
        <w:tab/>
      </w:r>
      <w:r>
        <w:rPr>
          <w:rFonts w:hint="eastAsia" w:ascii="黑体" w:hAnsi="黑体" w:eastAsia="黑体" w:cs="黑体"/>
          <w:b/>
          <w:bCs/>
          <w:color w:val="auto"/>
          <w:sz w:val="28"/>
          <w:szCs w:val="28"/>
          <w:highlight w:val="none"/>
          <w:lang w:bidi="zh-CN"/>
        </w:rPr>
        <w:t xml:space="preserve">万元，属于 </w:t>
      </w:r>
      <w:r>
        <w:rPr>
          <w:rFonts w:hint="eastAsia" w:ascii="黑体" w:hAnsi="黑体" w:eastAsia="黑体" w:cs="黑体"/>
          <w:b/>
          <w:bCs/>
          <w:color w:val="auto"/>
          <w:sz w:val="28"/>
          <w:szCs w:val="28"/>
          <w:highlight w:val="none"/>
          <w:u w:val="single"/>
          <w:lang w:bidi="zh-CN"/>
        </w:rPr>
        <w:t xml:space="preserve">（□中型企业 □小型企业 □微型企业）</w:t>
      </w:r>
      <w:r>
        <w:rPr>
          <w:rFonts w:hint="eastAsia" w:ascii="黑体" w:hAnsi="黑体" w:eastAsia="黑体" w:cs="黑体"/>
          <w:b/>
          <w:bCs/>
          <w:color w:val="auto"/>
          <w:sz w:val="28"/>
          <w:szCs w:val="28"/>
          <w:highlight w:val="none"/>
          <w:lang w:bidi="zh-CN"/>
        </w:rPr>
        <w:t xml:space="preserve">；</w:t>
      </w:r>
      <w:r/>
    </w:p>
    <w:p>
      <w:pPr>
        <w:jc w:val="left"/>
        <w:spacing w:line="36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w:t>
      </w:r>
      <w:r/>
    </w:p>
    <w:p>
      <w:pPr>
        <w:ind w:firstLine="562"/>
        <w:spacing w:line="36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2"/>
        <w:spacing w:line="36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本企业对上述声明内容的真实性负责。如有虚假，将依法承担相应责任。</w:t>
      </w:r>
      <w:r/>
    </w:p>
    <w:p>
      <w:pPr>
        <w:spacing w:line="30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r>
      <w:r/>
    </w:p>
    <w:p>
      <w:pPr>
        <w:spacing w:line="30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r>
      <w:r/>
    </w:p>
    <w:p>
      <w:pPr>
        <w:ind w:firstLine="4919"/>
        <w:spacing w:line="30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企业名称（盖章）：</w:t>
      </w:r>
      <w:r/>
    </w:p>
    <w:p>
      <w:pPr>
        <w:ind w:firstLine="4919"/>
        <w:spacing w:line="300" w:lineRule="auto"/>
        <w:rPr>
          <w:rFonts w:hint="eastAsia" w:ascii="黑体" w:hAnsi="黑体" w:eastAsia="黑体" w:cs="黑体"/>
          <w:b/>
          <w:bCs/>
          <w:color w:val="auto"/>
          <w:sz w:val="28"/>
          <w:szCs w:val="28"/>
          <w:highlight w:val="none"/>
          <w:lang w:bidi="zh-CN"/>
        </w:rPr>
        <w:outlineLvl w:val="0"/>
      </w:pPr>
      <w:r>
        <w:rPr>
          <w:rFonts w:hint="eastAsia" w:ascii="黑体" w:hAnsi="黑体" w:eastAsia="黑体" w:cs="黑体"/>
          <w:b/>
          <w:bCs/>
          <w:color w:val="auto"/>
          <w:sz w:val="28"/>
          <w:szCs w:val="28"/>
          <w:highlight w:val="none"/>
          <w:lang w:bidi="zh-CN"/>
        </w:rPr>
        <w:t xml:space="preserve">日期：</w:t>
      </w:r>
      <w:r/>
    </w:p>
    <w:p>
      <w:pPr>
        <w:spacing w:line="300" w:lineRule="auto"/>
        <w:rPr>
          <w:rFonts w:hint="eastAsia" w:ascii="黑体" w:hAnsi="黑体" w:eastAsia="黑体" w:cs="黑体"/>
          <w:b/>
          <w:bCs/>
          <w:color w:val="auto"/>
          <w:sz w:val="28"/>
          <w:szCs w:val="28"/>
          <w:highlight w:val="none"/>
        </w:rPr>
        <w:outlineLvl w:val="0"/>
      </w:pPr>
      <w:r>
        <w:rPr>
          <w:rFonts w:hint="eastAsia" w:ascii="黑体" w:hAnsi="黑体" w:eastAsia="黑体" w:cs="黑体"/>
          <w:b/>
          <w:bCs/>
          <w:color w:val="auto"/>
          <w:sz w:val="28"/>
          <w:szCs w:val="28"/>
          <w:highlight w:val="none"/>
        </w:rPr>
      </w:r>
      <w:r/>
    </w:p>
    <w:p>
      <w:pPr>
        <w:ind w:firstLine="480"/>
        <w:spacing w:line="40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备注：</w:t>
      </w:r>
      <w:r/>
    </w:p>
    <w:p>
      <w:pPr>
        <w:ind w:firstLine="480"/>
        <w:spacing w:line="40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1.从业人员、营业收入、资产总额填报上一年度数据，无上一年度数据的新成立企业可不填报。</w:t>
      </w:r>
      <w:r/>
    </w:p>
    <w:p>
      <w:pPr>
        <w:ind w:firstLine="482"/>
        <w:spacing w:line="40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2.专门面向中小微型企业采购的项目，供应商如不提供此声明函，则不能通过资格审查；非专门面向中小微型企业采购的项目，小微企业供应商如不提供此声明函，价格将不做相应扣除。</w:t>
      </w:r>
      <w:r/>
    </w:p>
    <w:p>
      <w:pPr>
        <w:ind w:firstLine="480"/>
        <w:spacing w:line="46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3.供应商自行勾选承接企业的企业规模类型。</w:t>
      </w:r>
      <w:r/>
    </w:p>
    <w:p>
      <w:pPr>
        <w:rPr>
          <w:rFonts w:hint="eastAsia" w:ascii="黑体" w:hAnsi="黑体" w:eastAsia="黑体" w:cs="黑体"/>
          <w:b/>
          <w:bCs/>
          <w:color w:val="auto"/>
          <w:sz w:val="32"/>
          <w:szCs w:val="32"/>
          <w:highlight w:val="none"/>
        </w:rPr>
      </w:pPr>
      <w:r>
        <w:rPr>
          <w:rFonts w:hint="eastAsia" w:ascii="黑体" w:hAnsi="黑体" w:eastAsia="黑体" w:cs="黑体"/>
          <w:b/>
          <w:bCs/>
          <w:color w:val="auto"/>
          <w:sz w:val="28"/>
          <w:szCs w:val="28"/>
          <w:highlight w:val="none"/>
        </w:rPr>
        <w:br w:type="page" w:clear="all"/>
      </w:r>
      <w:r>
        <w:rPr>
          <w:rFonts w:hint="eastAsia" w:ascii="黑体" w:hAnsi="黑体" w:eastAsia="黑体" w:cs="黑体"/>
          <w:b/>
          <w:bCs/>
          <w:color w:val="auto"/>
          <w:sz w:val="28"/>
          <w:szCs w:val="28"/>
          <w:highlight w:val="none"/>
          <w:lang w:val="en-US" w:eastAsia="zh-CN"/>
        </w:rPr>
        <w:t xml:space="preserve">                     </w:t>
      </w:r>
      <w:r>
        <w:rPr>
          <w:rFonts w:hint="eastAsia" w:ascii="黑体" w:hAnsi="黑体" w:eastAsia="黑体" w:cs="黑体"/>
          <w:b/>
          <w:bCs/>
          <w:color w:val="auto"/>
          <w:szCs w:val="24"/>
          <w:highlight w:val="none"/>
        </w:rPr>
        <w:t xml:space="preserve">  </w:t>
      </w:r>
      <w:r>
        <w:rPr>
          <w:rFonts w:hint="eastAsia" w:ascii="黑体" w:hAnsi="黑体" w:eastAsia="黑体" w:cs="黑体"/>
          <w:b/>
          <w:bCs/>
          <w:color w:val="auto"/>
          <w:sz w:val="32"/>
          <w:szCs w:val="32"/>
          <w:highlight w:val="none"/>
        </w:rPr>
        <w:t xml:space="preserve"> 残疾人福利性单位声明函</w:t>
      </w:r>
      <w:r/>
    </w:p>
    <w:p>
      <w:pPr>
        <w:ind w:firstLine="560"/>
        <w:spacing w:line="588"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本单位对上述声明的真实性负责。如有虚假，将依法承担相应责任。</w:t>
      </w:r>
      <w:r/>
    </w:p>
    <w:p>
      <w:pPr>
        <w:spacing w:line="588"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spacing w:line="588"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注：1.供应商如不提供此声明函，价格将不做相应扣除。 </w:t>
      </w:r>
      <w:r/>
    </w:p>
    <w:p>
      <w:pPr>
        <w:ind w:firstLine="560"/>
        <w:spacing w:line="588"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黑体" w:hAnsi="黑体" w:eastAsia="黑体" w:cs="黑体"/>
          <w:b/>
          <w:bCs/>
          <w:color w:val="auto"/>
          <w:spacing w:val="6"/>
          <w:sz w:val="24"/>
          <w:szCs w:val="24"/>
          <w:highlight w:val="none"/>
        </w:rPr>
      </w:pPr>
      <w:r>
        <w:rPr>
          <w:rFonts w:hint="eastAsia" w:ascii="黑体" w:hAnsi="黑体" w:eastAsia="黑体" w:cs="黑体"/>
          <w:b/>
          <w:bCs/>
          <w:color w:val="auto"/>
          <w:spacing w:val="6"/>
          <w:sz w:val="24"/>
          <w:szCs w:val="24"/>
          <w:highlight w:val="none"/>
        </w:rPr>
      </w:r>
      <w:r/>
    </w:p>
    <w:p>
      <w:pPr>
        <w:ind w:firstLine="584"/>
        <w:spacing w:line="588" w:lineRule="exact"/>
        <w:rPr>
          <w:rFonts w:hint="eastAsia" w:ascii="黑体" w:hAnsi="黑体" w:eastAsia="黑体" w:cs="黑体"/>
          <w:b/>
          <w:bCs/>
          <w:color w:val="auto"/>
          <w:spacing w:val="6"/>
          <w:sz w:val="24"/>
          <w:szCs w:val="24"/>
          <w:highlight w:val="none"/>
        </w:rPr>
      </w:pPr>
      <w:r>
        <w:rPr>
          <w:rFonts w:hint="eastAsia" w:ascii="黑体" w:hAnsi="黑体" w:eastAsia="黑体" w:cs="黑体"/>
          <w:b/>
          <w:bCs/>
          <w:color w:val="auto"/>
          <w:spacing w:val="6"/>
          <w:sz w:val="24"/>
          <w:szCs w:val="24"/>
          <w:highlight w:val="none"/>
        </w:rPr>
      </w:r>
      <w:r/>
    </w:p>
    <w:p>
      <w:pPr>
        <w:ind w:firstLine="584"/>
        <w:spacing w:line="588" w:lineRule="exact"/>
        <w:rPr>
          <w:rFonts w:hint="eastAsia" w:ascii="黑体" w:hAnsi="黑体" w:eastAsia="黑体" w:cs="黑体"/>
          <w:b/>
          <w:bCs/>
          <w:color w:val="auto"/>
          <w:spacing w:val="6"/>
          <w:sz w:val="24"/>
          <w:szCs w:val="24"/>
          <w:highlight w:val="none"/>
        </w:rPr>
      </w:pPr>
      <w:r>
        <w:rPr>
          <w:rFonts w:hint="eastAsia" w:ascii="黑体" w:hAnsi="黑体" w:eastAsia="黑体" w:cs="黑体"/>
          <w:b/>
          <w:bCs/>
          <w:color w:val="auto"/>
          <w:spacing w:val="6"/>
          <w:sz w:val="24"/>
          <w:szCs w:val="24"/>
          <w:highlight w:val="none"/>
        </w:rPr>
      </w:r>
      <w:r/>
    </w:p>
    <w:p>
      <w:pPr>
        <w:ind w:firstLine="584"/>
        <w:spacing w:line="588" w:lineRule="exact"/>
        <w:rPr>
          <w:rFonts w:hint="eastAsia" w:ascii="黑体" w:hAnsi="黑体" w:eastAsia="黑体" w:cs="黑体"/>
          <w:b/>
          <w:bCs/>
          <w:color w:val="auto"/>
          <w:spacing w:val="6"/>
          <w:sz w:val="24"/>
          <w:szCs w:val="24"/>
          <w:highlight w:val="none"/>
        </w:rPr>
      </w:pPr>
      <w:r>
        <w:rPr>
          <w:rFonts w:hint="eastAsia" w:ascii="黑体" w:hAnsi="黑体" w:eastAsia="黑体" w:cs="黑体"/>
          <w:b/>
          <w:bCs/>
          <w:color w:val="auto"/>
          <w:spacing w:val="6"/>
          <w:sz w:val="24"/>
          <w:szCs w:val="24"/>
          <w:highlight w:val="none"/>
        </w:rPr>
      </w:r>
      <w:r/>
    </w:p>
    <w:p>
      <w:pPr>
        <w:ind w:right="1560" w:firstLine="584"/>
        <w:jc w:val="center"/>
        <w:spacing w:line="588" w:lineRule="exact"/>
        <w:tabs>
          <w:tab w:val="left" w:pos="4860" w:leader="none"/>
        </w:tabs>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           供应商全称（盖章）：</w:t>
      </w:r>
      <w:r/>
    </w:p>
    <w:p>
      <w:pPr>
        <w:ind w:right="1560" w:firstLine="560"/>
        <w:jc w:val="center"/>
        <w:spacing w:line="588" w:lineRule="exact"/>
        <w:tabs>
          <w:tab w:val="left" w:pos="4860" w:leader="none"/>
        </w:tabs>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              日  期：</w:t>
      </w:r>
      <w:r/>
    </w:p>
    <w:p>
      <w:pPr>
        <w:ind w:firstLine="420"/>
        <w:rPr>
          <w:rFonts w:hint="eastAsia" w:ascii="黑体" w:hAnsi="黑体" w:eastAsia="黑体" w:cs="黑体"/>
          <w:b/>
          <w:bCs/>
          <w:color w:val="auto"/>
          <w:szCs w:val="24"/>
          <w:highlight w:val="none"/>
        </w:rPr>
      </w:pPr>
      <w:r>
        <w:rPr>
          <w:rFonts w:hint="eastAsia" w:ascii="黑体" w:hAnsi="黑体" w:eastAsia="黑体" w:cs="黑体"/>
          <w:b/>
          <w:bCs/>
          <w:color w:val="auto"/>
          <w:szCs w:val="24"/>
          <w:highlight w:val="none"/>
        </w:rPr>
      </w:r>
      <w:r/>
    </w:p>
    <w:p>
      <w:pPr>
        <w:rPr>
          <w:rFonts w:hint="eastAsia" w:ascii="黑体" w:hAnsi="黑体" w:eastAsia="黑体" w:cs="黑体"/>
          <w:b/>
          <w:bCs/>
          <w:color w:val="auto"/>
          <w:sz w:val="28"/>
          <w:szCs w:val="28"/>
          <w:highlight w:val="none"/>
        </w:rPr>
      </w:pPr>
      <w:r>
        <w:rPr>
          <w:rFonts w:hint="eastAsia" w:ascii="黑体" w:hAnsi="黑体" w:eastAsia="黑体" w:cs="黑体"/>
          <w:b/>
          <w:bCs/>
          <w:color w:val="auto"/>
          <w:szCs w:val="24"/>
          <w:highlight w:val="none"/>
        </w:rPr>
        <w:br w:type="page" w:clear="all"/>
      </w:r>
      <w:r/>
    </w:p>
    <w:p>
      <w:pPr>
        <w:ind w:firstLine="3213"/>
        <w:spacing w:line="460" w:lineRule="exact"/>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    监狱和戒毒企业证明材料</w:t>
      </w:r>
      <w:r/>
    </w:p>
    <w:p>
      <w:pPr>
        <w:ind w:firstLine="4290"/>
        <w:spacing w:line="420" w:lineRule="exact"/>
        <w:rPr>
          <w:rFonts w:hint="eastAsia" w:ascii="黑体" w:hAnsi="黑体" w:eastAsia="黑体" w:cs="黑体"/>
          <w:b/>
          <w:bCs/>
          <w:color w:val="auto"/>
          <w:szCs w:val="24"/>
          <w:highlight w:val="none"/>
        </w:rPr>
      </w:pPr>
      <w:r>
        <w:rPr>
          <w:rFonts w:hint="eastAsia" w:ascii="黑体" w:hAnsi="黑体" w:eastAsia="黑体" w:cs="黑体"/>
          <w:b/>
          <w:bCs/>
          <w:color w:val="auto"/>
          <w:szCs w:val="24"/>
          <w:highlight w:val="none"/>
        </w:rPr>
        <w:t xml:space="preserve">（格式自拟）</w:t>
      </w:r>
      <w:r/>
    </w:p>
    <w:p>
      <w:pPr>
        <w:ind w:firstLine="495"/>
        <w:spacing w:line="420" w:lineRule="exact"/>
        <w:rPr>
          <w:rFonts w:hint="eastAsia" w:ascii="黑体" w:hAnsi="黑体" w:eastAsia="黑体" w:cs="黑体"/>
          <w:b/>
          <w:bCs/>
          <w:color w:val="auto"/>
          <w:szCs w:val="24"/>
          <w:highlight w:val="none"/>
        </w:rPr>
      </w:pPr>
      <w:r>
        <w:rPr>
          <w:rFonts w:hint="eastAsia" w:ascii="黑体" w:hAnsi="黑体" w:eastAsia="黑体" w:cs="黑体"/>
          <w:b/>
          <w:bCs/>
          <w:color w:val="auto"/>
          <w:szCs w:val="24"/>
          <w:highlight w:val="none"/>
        </w:rPr>
      </w:r>
      <w:r/>
    </w:p>
    <w:p>
      <w:pPr>
        <w:ind w:firstLine="660"/>
        <w:spacing w:line="42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黑体" w:hAnsi="黑体" w:eastAsia="黑体" w:cs="黑体"/>
          <w:b/>
          <w:bCs/>
          <w:color w:val="auto"/>
          <w:sz w:val="24"/>
          <w:szCs w:val="24"/>
          <w:highlight w:val="none"/>
        </w:rPr>
        <w:outlineLvl w:val="0"/>
      </w:pPr>
      <w:r>
        <w:rPr>
          <w:rFonts w:hint="eastAsia" w:ascii="黑体" w:hAnsi="黑体" w:eastAsia="黑体" w:cs="黑体"/>
          <w:b/>
          <w:bCs/>
          <w:color w:val="auto"/>
          <w:sz w:val="24"/>
          <w:szCs w:val="24"/>
          <w:highlight w:val="none"/>
        </w:rPr>
      </w:r>
      <w:r/>
    </w:p>
    <w:p>
      <w:pPr>
        <w:spacing w:line="42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注：1.供应商如不提供此声明函，价格将不做相应扣除。 </w:t>
      </w:r>
      <w:r/>
    </w:p>
    <w:p>
      <w:pPr>
        <w:ind w:firstLine="560"/>
        <w:spacing w:line="42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rPr>
          <w:rFonts w:hint="eastAsia" w:ascii="黑体" w:hAnsi="黑体" w:eastAsia="黑体" w:cs="黑体"/>
          <w:b/>
          <w:color w:val="auto"/>
          <w:sz w:val="24"/>
          <w:szCs w:val="24"/>
          <w:highlight w:val="none"/>
          <w:lang w:val="zh-CN"/>
        </w:rPr>
      </w:pPr>
      <w:r>
        <w:rPr>
          <w:rFonts w:hint="eastAsia" w:ascii="黑体" w:hAnsi="黑体" w:eastAsia="黑体" w:cs="黑体"/>
          <w:b/>
          <w:color w:val="auto"/>
          <w:sz w:val="24"/>
          <w:szCs w:val="24"/>
          <w:highlight w:val="none"/>
          <w:lang w:val="zh-CN"/>
        </w:rPr>
      </w:r>
      <w:r/>
    </w:p>
    <w:p>
      <w:pPr>
        <w:contextualSpacing/>
        <w:jc w:val="center"/>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br w:type="page" w:clear="all"/>
      </w:r>
      <w:r/>
    </w:p>
    <w:p>
      <w:pPr>
        <w:contextualSpacing/>
        <w:jc w:val="center"/>
        <w:spacing w:line="360" w:lineRule="auto"/>
        <w:rPr>
          <w:rFonts w:hint="eastAsia" w:ascii="黑体" w:hAnsi="黑体" w:eastAsia="黑体" w:cs="黑体"/>
          <w:b w:val="0"/>
          <w:bCs/>
          <w:i/>
          <w:iCs/>
          <w:color w:val="auto"/>
          <w:sz w:val="28"/>
          <w:szCs w:val="28"/>
          <w:highlight w:val="none"/>
        </w:rPr>
      </w:pPr>
      <w:r>
        <w:rPr>
          <w:rFonts w:hint="eastAsia" w:ascii="黑体" w:hAnsi="黑体" w:eastAsia="黑体" w:cs="黑体"/>
          <w:b w:val="0"/>
          <w:bCs/>
          <w:i/>
          <w:iCs/>
          <w:color w:val="auto"/>
          <w:sz w:val="28"/>
          <w:szCs w:val="28"/>
          <w:highlight w:val="none"/>
          <w:lang w:val="zh-CN"/>
        </w:rPr>
        <w:t xml:space="preserve">★</w:t>
      </w:r>
      <w:r>
        <w:rPr>
          <w:rFonts w:hint="eastAsia" w:ascii="黑体" w:hAnsi="黑体" w:eastAsia="黑体" w:cs="黑体"/>
          <w:b w:val="0"/>
          <w:bCs/>
          <w:i/>
          <w:iCs/>
          <w:color w:val="auto"/>
          <w:sz w:val="28"/>
          <w:szCs w:val="28"/>
          <w:highlight w:val="none"/>
        </w:rPr>
        <w:t xml:space="preserve">商务部分正负偏离表</w:t>
      </w:r>
      <w:r/>
    </w:p>
    <w:p>
      <w:pPr>
        <w:ind w:firstLine="560"/>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（由投标人据实填写，表格不够自行添加）</w:t>
      </w:r>
      <w:r/>
    </w:p>
    <w:tbl>
      <w:tblPr>
        <w:tblStyle w:val="772"/>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62"/>
        <w:gridCol w:w="2433"/>
        <w:gridCol w:w="2124"/>
        <w:gridCol w:w="2741"/>
        <w:gridCol w:w="1509"/>
      </w:tblGrid>
      <w:tr>
        <w:trPr>
          <w:trHeight w:val="994"/>
        </w:trPr>
        <w:tc>
          <w:tcPr>
            <w:tcW w:w="460"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序号</w:t>
            </w:r>
            <w:r/>
          </w:p>
        </w:tc>
        <w:tc>
          <w:tcPr>
            <w:tcW w:w="1254"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货物或服务名称</w:t>
            </w:r>
            <w:r/>
          </w:p>
        </w:tc>
        <w:tc>
          <w:tcPr>
            <w:tcW w:w="1095"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招标文件要求的商务条款</w:t>
            </w:r>
            <w:r/>
          </w:p>
        </w:tc>
        <w:tc>
          <w:tcPr>
            <w:tcW w:w="1413"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投标文件响应情况</w:t>
            </w:r>
            <w:r/>
          </w:p>
        </w:tc>
        <w:tc>
          <w:tcPr>
            <w:tcW w:w="778"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偏离说明</w:t>
            </w:r>
            <w:r/>
          </w:p>
        </w:tc>
      </w:tr>
      <w:tr>
        <w:trPr>
          <w:trHeight w:val="414"/>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548"/>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00"/>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19"/>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bl>
    <w:p>
      <w:pPr>
        <w:contextualSpacing/>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1.投标人提交的投标文件中与招标文件第三部分“项目需求”中的商务部分的要求，</w:t>
      </w:r>
      <w:r>
        <w:rPr>
          <w:rFonts w:hint="eastAsia" w:ascii="黑体" w:hAnsi="黑体" w:eastAsia="黑体" w:cs="黑体"/>
          <w:b/>
          <w:bCs w:val="0"/>
          <w:color w:val="auto"/>
          <w:sz w:val="28"/>
          <w:szCs w:val="28"/>
          <w:highlight w:val="none"/>
          <w:u w:val="single"/>
        </w:rPr>
        <w:t xml:space="preserve">应逐条填列在偏离表中</w:t>
      </w:r>
      <w:r>
        <w:rPr>
          <w:rFonts w:hint="eastAsia" w:ascii="黑体" w:hAnsi="黑体" w:eastAsia="黑体" w:cs="黑体"/>
          <w:bCs/>
          <w:color w:val="auto"/>
          <w:sz w:val="28"/>
          <w:szCs w:val="28"/>
          <w:highlight w:val="none"/>
        </w:rPr>
        <w:t xml:space="preserve">。</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2.“偏离说明”一栏选择“正偏离”、“无偏离”、“负偏离”进行填写。正偏离、无偏离的确认和负偏离的是否响应招标文件，由评委认定。</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3.投标人如果虚假响应，将被暂停参加采购人组织的政府采购活动。</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4.投标单位若提供其他增值服务，可以在表中自行据实填写。</w:t>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rPr>
          <w:rFonts w:hint="eastAsia" w:ascii="黑体" w:hAnsi="黑体" w:eastAsia="黑体" w:cs="黑体"/>
          <w:b/>
          <w:bCs w:val="0"/>
          <w:color w:val="auto"/>
          <w:sz w:val="28"/>
          <w:szCs w:val="28"/>
          <w:highlight w:val="none"/>
        </w:rPr>
      </w:pPr>
      <w:r>
        <w:rPr>
          <w:rFonts w:hint="eastAsia" w:ascii="黑体" w:hAnsi="黑体" w:eastAsia="黑体" w:cs="黑体"/>
          <w:b/>
          <w:color w:val="auto"/>
          <w:sz w:val="28"/>
          <w:szCs w:val="28"/>
          <w:highlight w:val="none"/>
          <w:lang w:val="zh-CN"/>
        </w:rPr>
        <w:br w:type="page" w:clear="all"/>
      </w:r>
      <w:r>
        <w:rPr>
          <w:rFonts w:hint="eastAsia" w:ascii="黑体" w:hAnsi="黑体" w:eastAsia="黑体" w:cs="黑体"/>
          <w:b/>
          <w:color w:val="auto"/>
          <w:sz w:val="28"/>
          <w:szCs w:val="28"/>
          <w:highlight w:val="none"/>
          <w:lang w:val="en-US" w:eastAsia="zh-CN"/>
        </w:rPr>
        <w:t xml:space="preserve">                   </w:t>
      </w:r>
      <w:r>
        <w:rPr>
          <w:rFonts w:hint="eastAsia" w:ascii="黑体" w:hAnsi="黑体" w:eastAsia="黑体" w:cs="黑体"/>
          <w:b/>
          <w:bCs w:val="0"/>
          <w:color w:val="auto"/>
          <w:sz w:val="28"/>
          <w:szCs w:val="28"/>
          <w:highlight w:val="none"/>
          <w:lang w:val="en-US" w:eastAsia="zh-CN"/>
        </w:rPr>
        <w:t xml:space="preserve">   </w:t>
      </w:r>
      <w:r>
        <w:rPr>
          <w:rFonts w:hint="eastAsia" w:ascii="黑体" w:hAnsi="黑体" w:eastAsia="黑体" w:cs="黑体"/>
          <w:b/>
          <w:bCs w:val="0"/>
          <w:i/>
          <w:iCs/>
          <w:color w:val="auto"/>
          <w:sz w:val="28"/>
          <w:szCs w:val="28"/>
          <w:highlight w:val="none"/>
          <w:u w:val="none"/>
          <w:lang w:val="zh-CN"/>
        </w:rPr>
        <w:t xml:space="preserve">★</w:t>
      </w:r>
      <w:r>
        <w:rPr>
          <w:rFonts w:hint="eastAsia" w:ascii="黑体" w:hAnsi="黑体" w:eastAsia="黑体" w:cs="黑体"/>
          <w:b/>
          <w:bCs w:val="0"/>
          <w:i/>
          <w:iCs/>
          <w:color w:val="auto"/>
          <w:sz w:val="28"/>
          <w:szCs w:val="28"/>
          <w:highlight w:val="none"/>
          <w:u w:val="none"/>
        </w:rPr>
        <w:t xml:space="preserve">技术部分正负偏离表</w:t>
      </w:r>
      <w:r/>
    </w:p>
    <w:p>
      <w:pPr>
        <w:ind w:firstLine="560"/>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（由投标人据实填写，表格不够自行添加）</w:t>
      </w:r>
      <w:r/>
    </w:p>
    <w:tbl>
      <w:tblPr>
        <w:tblStyle w:val="772"/>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62"/>
        <w:gridCol w:w="2433"/>
        <w:gridCol w:w="2124"/>
        <w:gridCol w:w="2741"/>
        <w:gridCol w:w="1509"/>
      </w:tblGrid>
      <w:tr>
        <w:trPr>
          <w:trHeight w:val="994"/>
        </w:trPr>
        <w:tc>
          <w:tcPr>
            <w:tcW w:w="460"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序号</w:t>
            </w:r>
            <w:r/>
          </w:p>
        </w:tc>
        <w:tc>
          <w:tcPr>
            <w:tcW w:w="1254"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货物或服务名称</w:t>
            </w:r>
            <w:r/>
          </w:p>
        </w:tc>
        <w:tc>
          <w:tcPr>
            <w:tcW w:w="1095"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招标文件要求的技术要求</w:t>
            </w:r>
            <w:r/>
          </w:p>
        </w:tc>
        <w:tc>
          <w:tcPr>
            <w:tcW w:w="1413"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投标文件响应情况</w:t>
            </w:r>
            <w:r/>
          </w:p>
        </w:tc>
        <w:tc>
          <w:tcPr>
            <w:tcW w:w="778"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偏离说明</w:t>
            </w:r>
            <w:r/>
          </w:p>
        </w:tc>
      </w:tr>
      <w:tr>
        <w:trPr>
          <w:trHeight w:val="414"/>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548"/>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00"/>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19"/>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bl>
    <w:p>
      <w:pPr>
        <w:contextualSpacing/>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1.投标人提交的投标文件中与招标文件第三部分“项目需求”中的技术部分的要求，</w:t>
      </w:r>
      <w:r>
        <w:rPr>
          <w:rFonts w:hint="eastAsia" w:ascii="黑体" w:hAnsi="黑体" w:eastAsia="黑体" w:cs="黑体"/>
          <w:b/>
          <w:bCs w:val="0"/>
          <w:color w:val="auto"/>
          <w:sz w:val="28"/>
          <w:szCs w:val="28"/>
          <w:highlight w:val="none"/>
          <w:u w:val="single"/>
        </w:rPr>
        <w:t xml:space="preserve">应逐条填列在偏离表中</w:t>
      </w:r>
      <w:r>
        <w:rPr>
          <w:rFonts w:hint="eastAsia" w:ascii="黑体" w:hAnsi="黑体" w:eastAsia="黑体" w:cs="黑体"/>
          <w:bCs/>
          <w:color w:val="auto"/>
          <w:sz w:val="28"/>
          <w:szCs w:val="28"/>
          <w:highlight w:val="none"/>
        </w:rPr>
        <w:t xml:space="preserve">。</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 “偏离说明”一栏选择“正偏离”、“无偏离”、“负偏离”进行填写。正偏离、无偏离的确认和负偏离的是否响应招标文件，由评委认定。</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3.投标人如果虚假响应，将被暂停参加采购人组织的政府采购活动。</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4.投标单位若提供其他增值服务，可以在表中自行据实填写。</w:t>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rPr>
          <w:rStyle w:val="1023"/>
          <w:rFonts w:hint="eastAsia" w:ascii="黑体" w:hAnsi="黑体" w:eastAsia="黑体" w:cs="黑体"/>
          <w:b w:val="0"/>
          <w:color w:val="auto"/>
          <w:sz w:val="28"/>
          <w:szCs w:val="28"/>
          <w:highlight w:val="none"/>
        </w:rPr>
      </w:pPr>
      <w:r>
        <w:rPr>
          <w:rStyle w:val="1023"/>
          <w:rFonts w:hint="eastAsia" w:ascii="黑体" w:hAnsi="黑体" w:eastAsia="黑体" w:cs="黑体"/>
          <w:b w:val="0"/>
          <w:color w:val="auto"/>
          <w:sz w:val="28"/>
          <w:szCs w:val="28"/>
          <w:highlight w:val="none"/>
        </w:rPr>
        <w:br w:type="page" w:clear="all"/>
      </w:r>
      <w:r/>
    </w:p>
    <w:p>
      <w:pPr>
        <w:jc w:val="center"/>
        <w:spacing w:line="360" w:lineRule="auto"/>
        <w:rPr>
          <w:rFonts w:hint="eastAsia" w:ascii="黑体" w:hAnsi="黑体" w:eastAsia="黑体" w:cs="黑体"/>
          <w:b/>
          <w:bCs/>
          <w:color w:val="auto"/>
          <w:sz w:val="28"/>
          <w:szCs w:val="28"/>
          <w:highlight w:val="none"/>
        </w:rPr>
        <w:outlineLvl w:val="0"/>
      </w:pPr>
      <w:r/>
      <w:bookmarkStart w:id="147" w:name="_Toc11237"/>
      <w:r/>
      <w:bookmarkStart w:id="148" w:name="OLE_LINK15"/>
      <w:r/>
      <w:bookmarkStart w:id="149" w:name="OLE_LINK16"/>
      <w:r>
        <w:rPr>
          <w:rFonts w:hint="eastAsia" w:ascii="黑体" w:hAnsi="黑体" w:eastAsia="黑体" w:cs="黑体"/>
          <w:b/>
          <w:bCs/>
          <w:color w:val="auto"/>
          <w:sz w:val="28"/>
          <w:szCs w:val="28"/>
          <w:highlight w:val="none"/>
        </w:rPr>
        <w:t xml:space="preserve">开标 一 览表</w:t>
      </w:r>
      <w:bookmarkEnd w:id="147"/>
      <w:r/>
      <w:r/>
    </w:p>
    <w:p>
      <w:pPr>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rPr>
        <w:t xml:space="preserve">投标人全称（加盖公章）：</w:t>
      </w:r>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项目编号：</w:t>
      </w:r>
      <w:r/>
    </w:p>
    <w:tbl>
      <w:tblPr>
        <w:tblStyle w:val="77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rHeight w:val="623"/>
        </w:trPr>
        <w:tc>
          <w:tcPr>
            <w:tcW w:w="4148" w:type="dxa"/>
            <w:vAlign w:val="center"/>
            <w:textDirection w:val="lrTb"/>
            <w:noWrap w:val="false"/>
          </w:tcPr>
          <w:p>
            <w:pPr>
              <w:jc w:val="center"/>
              <w:rPr>
                <w:rFonts w:hint="eastAsia" w:ascii="黑体" w:hAnsi="黑体" w:eastAsia="黑体" w:cs="黑体"/>
                <w:color w:val="auto"/>
                <w:szCs w:val="22"/>
                <w:highlight w:val="none"/>
              </w:rPr>
            </w:pPr>
            <w:r>
              <w:rPr>
                <w:rFonts w:hint="eastAsia" w:ascii="黑体" w:hAnsi="黑体" w:eastAsia="黑体" w:cs="黑体"/>
                <w:color w:val="auto"/>
                <w:sz w:val="28"/>
                <w:szCs w:val="28"/>
                <w:highlight w:val="none"/>
              </w:rPr>
              <w:t xml:space="preserve">投标货物、服务名称</w:t>
            </w:r>
            <w:r/>
          </w:p>
        </w:tc>
        <w:tc>
          <w:tcPr>
            <w:tcW w:w="4607" w:type="dxa"/>
            <w:vAlign w:val="center"/>
            <w:textDirection w:val="lrTb"/>
            <w:noWrap w:val="false"/>
          </w:tcPr>
          <w:p>
            <w:pPr>
              <w:jc w:val="center"/>
              <w:rPr>
                <w:rFonts w:hint="eastAsia" w:ascii="黑体" w:hAnsi="黑体" w:eastAsia="黑体" w:cs="黑体"/>
                <w:color w:val="auto"/>
                <w:szCs w:val="22"/>
                <w:highlight w:val="none"/>
                <w:lang w:eastAsia="zh-CN"/>
              </w:rPr>
            </w:pPr>
            <w:r>
              <w:rPr>
                <w:rFonts w:hint="eastAsia" w:ascii="黑体" w:hAnsi="黑体" w:eastAsia="黑体" w:cs="黑体"/>
                <w:color w:val="auto"/>
                <w:sz w:val="28"/>
                <w:szCs w:val="28"/>
                <w:highlight w:val="none"/>
              </w:rPr>
              <w:t xml:space="preserve">投标总报价</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元</w:t>
            </w:r>
            <w:r>
              <w:rPr>
                <w:rFonts w:hint="eastAsia" w:ascii="黑体" w:hAnsi="黑体" w:eastAsia="黑体" w:cs="黑体"/>
                <w:color w:val="auto"/>
                <w:sz w:val="28"/>
                <w:szCs w:val="28"/>
                <w:highlight w:val="none"/>
                <w:lang w:eastAsia="zh-CN"/>
              </w:rPr>
              <w:t xml:space="preserve">）</w:t>
            </w:r>
            <w:r/>
          </w:p>
        </w:tc>
      </w:tr>
      <w:tr>
        <w:trPr>
          <w:trHeight w:val="1091"/>
        </w:trPr>
        <w:tc>
          <w:tcPr>
            <w:tcW w:w="4148" w:type="dxa"/>
            <w:vAlign w:val="center"/>
            <w:textDirection w:val="lrTb"/>
            <w:noWrap w:val="false"/>
          </w:tcPr>
          <w:p>
            <w:pPr>
              <w:rPr>
                <w:rFonts w:hint="eastAsia" w:ascii="黑体" w:hAnsi="黑体" w:eastAsia="黑体" w:cs="黑体"/>
                <w:color w:val="auto"/>
                <w:szCs w:val="22"/>
                <w:highlight w:val="none"/>
              </w:rPr>
            </w:pPr>
            <w:r>
              <w:rPr>
                <w:rFonts w:hint="eastAsia" w:ascii="黑体" w:hAnsi="黑体" w:eastAsia="黑体" w:cs="黑体"/>
                <w:color w:val="auto"/>
                <w:szCs w:val="22"/>
                <w:highlight w:val="none"/>
              </w:rPr>
            </w:r>
            <w:r/>
          </w:p>
        </w:tc>
        <w:tc>
          <w:tcPr>
            <w:tcW w:w="4607" w:type="dxa"/>
            <w:vAlign w:val="center"/>
            <w:textDirection w:val="lrTb"/>
            <w:noWrap w:val="false"/>
          </w:tcPr>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大写：</w:t>
            </w:r>
            <w:r/>
          </w:p>
          <w:p>
            <w:pPr>
              <w:rPr>
                <w:rFonts w:hint="eastAsia" w:ascii="黑体" w:hAnsi="黑体" w:eastAsia="黑体" w:cs="黑体"/>
                <w:color w:val="auto"/>
                <w:szCs w:val="22"/>
                <w:highlight w:val="none"/>
                <w:u w:val="single"/>
                <w:lang w:val="en-US" w:eastAsia="zh-CN"/>
              </w:rPr>
            </w:pPr>
            <w:r>
              <w:rPr>
                <w:rFonts w:hint="eastAsia" w:ascii="黑体" w:hAnsi="黑体" w:eastAsia="黑体" w:cs="黑体"/>
                <w:color w:val="auto"/>
                <w:sz w:val="28"/>
                <w:szCs w:val="28"/>
                <w:highlight w:val="none"/>
              </w:rPr>
              <w:t xml:space="preserve">小写：（</w:t>
            </w:r>
            <w:r>
              <w:rPr>
                <w:rFonts w:hint="eastAsia" w:ascii="黑体" w:hAnsi="黑体" w:eastAsia="黑体" w:cs="黑体"/>
                <w:color w:val="auto"/>
                <w:sz w:val="28"/>
                <w:szCs w:val="28"/>
                <w:highlight w:val="none"/>
                <w:lang w:val="en-US" w:eastAsia="zh-CN"/>
              </w:rPr>
              <w:t xml:space="preserve">¥</w:t>
            </w:r>
            <w:r>
              <w:rPr>
                <w:rFonts w:hint="eastAsia" w:ascii="黑体" w:hAnsi="黑体" w:eastAsia="黑体" w:cs="黑体"/>
                <w:color w:val="auto"/>
                <w:sz w:val="28"/>
                <w:szCs w:val="28"/>
                <w:highlight w:val="none"/>
              </w:rPr>
              <w:t xml:space="preserve">）</w:t>
            </w:r>
            <w:r>
              <w:rPr>
                <w:rFonts w:hint="eastAsia" w:ascii="黑体" w:hAnsi="黑体" w:eastAsia="黑体" w:cs="黑体"/>
                <w:color w:val="auto"/>
                <w:sz w:val="28"/>
                <w:szCs w:val="28"/>
                <w:highlight w:val="none"/>
                <w:lang w:val="en-US" w:eastAsia="zh-CN"/>
              </w:rPr>
              <w:t xml:space="preserve">        </w:t>
            </w:r>
            <w:r/>
          </w:p>
        </w:tc>
      </w:tr>
    </w:tbl>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日期：</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填写说明：</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1.开标一览表必须加盖投标单位公章（原件扫描件无效）。</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2.如有分包，投标人投任何一个包的标的，都需单独填写开标一览表。</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3.投标报价小数点后可保留二位小数。</w:t>
      </w:r>
      <w:r/>
    </w:p>
    <w:p>
      <w:pPr>
        <w:spacing w:line="360" w:lineRule="auto"/>
        <w:widowControl/>
        <w:rPr>
          <w:rFonts w:hint="eastAsia" w:ascii="黑体" w:hAnsi="黑体" w:eastAsia="黑体" w:cs="黑体"/>
          <w:b/>
          <w:bCs/>
          <w:color w:val="auto"/>
          <w:sz w:val="28"/>
          <w:szCs w:val="28"/>
          <w:highlight w:val="none"/>
        </w:rPr>
        <w:outlineLvl w:val="0"/>
      </w:pPr>
      <w:r>
        <w:rPr>
          <w:rFonts w:hint="eastAsia" w:ascii="黑体" w:hAnsi="黑体" w:eastAsia="黑体" w:cs="黑体"/>
          <w:b/>
          <w:bCs/>
          <w:color w:val="auto"/>
          <w:sz w:val="28"/>
          <w:szCs w:val="28"/>
          <w:highlight w:val="none"/>
        </w:rPr>
        <w:t xml:space="preserve"> </w:t>
      </w:r>
      <w:r/>
    </w:p>
    <w:p>
      <w:pPr>
        <w:rPr>
          <w:rFonts w:hint="eastAsia" w:ascii="黑体" w:hAnsi="黑体" w:eastAsia="黑体" w:cs="黑体"/>
          <w:color w:val="auto"/>
          <w:sz w:val="22"/>
          <w:highlight w:val="none"/>
        </w:rPr>
      </w:pPr>
      <w:r>
        <w:rPr>
          <w:rFonts w:hint="eastAsia" w:ascii="黑体" w:hAnsi="黑体" w:eastAsia="黑体" w:cs="黑体"/>
          <w:b/>
          <w:bCs/>
          <w:color w:val="auto"/>
          <w:sz w:val="28"/>
          <w:szCs w:val="28"/>
          <w:highlight w:val="none"/>
        </w:rPr>
        <w:br w:type="page" w:clear="all"/>
      </w:r>
      <w:r/>
    </w:p>
    <w:p>
      <w:pPr>
        <w:ind w:firstLine="2640"/>
        <w:spacing w:before="163" w:line="226" w:lineRule="auto"/>
        <w:rPr>
          <w:rFonts w:hint="eastAsia" w:ascii="黑体" w:hAnsi="黑体" w:eastAsia="黑体" w:cs="黑体"/>
          <w:color w:val="auto"/>
          <w:sz w:val="20"/>
          <w:highlight w:val="none"/>
        </w:rPr>
      </w:pPr>
      <w:r>
        <w:rPr>
          <w:rFonts w:hint="eastAsia" w:ascii="黑体" w:hAnsi="黑体" w:eastAsia="黑体" w:cs="黑体"/>
          <w:bCs/>
          <w:color w:val="auto"/>
          <w:sz w:val="24"/>
          <w:highlight w:val="none"/>
        </w:rPr>
        <w:t xml:space="preserve">投标分项报价表</w:t>
      </w:r>
      <w:r>
        <w:rPr>
          <w:rFonts w:hint="eastAsia" w:ascii="黑体" w:hAnsi="黑体" w:eastAsia="黑体" w:cs="黑体"/>
          <w:b/>
          <w:bCs/>
          <w:color w:val="auto"/>
          <w:spacing w:val="6"/>
          <w:sz w:val="20"/>
          <w:highlight w:val="none"/>
        </w:rPr>
        <w:t xml:space="preserve">（参考格式）</w:t>
      </w:r>
      <w:r/>
    </w:p>
    <w:p>
      <w:pPr>
        <w:ind w:left="259"/>
        <w:spacing w:before="164" w:line="228" w:lineRule="auto"/>
        <w:rPr>
          <w:rFonts w:hint="eastAsia" w:ascii="黑体" w:hAnsi="黑体" w:eastAsia="黑体" w:cs="黑体"/>
          <w:color w:val="auto"/>
          <w:spacing w:val="4"/>
          <w:sz w:val="20"/>
          <w:highlight w:val="none"/>
        </w:rPr>
      </w:pPr>
      <w:r>
        <w:rPr>
          <w:rFonts w:hint="eastAsia" w:ascii="黑体" w:hAnsi="黑体" w:eastAsia="黑体" w:cs="黑体"/>
          <w:color w:val="auto"/>
          <w:spacing w:val="4"/>
          <w:sz w:val="20"/>
          <w:highlight w:val="none"/>
        </w:rPr>
        <w:t xml:space="preserve">项目编号：</w:t>
      </w:r>
      <w:r/>
    </w:p>
    <w:p>
      <w:pPr>
        <w:ind w:left="259"/>
        <w:spacing w:before="164" w:line="228" w:lineRule="auto"/>
        <w:rPr>
          <w:rFonts w:hint="eastAsia" w:ascii="黑体" w:hAnsi="黑体" w:eastAsia="黑体" w:cs="黑体"/>
          <w:color w:val="auto"/>
          <w:sz w:val="20"/>
          <w:highlight w:val="none"/>
        </w:rPr>
      </w:pPr>
      <w:r>
        <w:rPr>
          <w:rFonts w:hint="eastAsia" w:ascii="黑体" w:hAnsi="黑体" w:eastAsia="黑体" w:cs="黑体"/>
          <w:color w:val="auto"/>
          <w:spacing w:val="4"/>
          <w:sz w:val="20"/>
          <w:highlight w:val="none"/>
        </w:rPr>
        <w:t xml:space="preserve">项目名称：</w:t>
      </w:r>
      <w:r/>
    </w:p>
    <w:p>
      <w:pPr>
        <w:spacing w:line="130" w:lineRule="exact"/>
        <w:rPr>
          <w:rFonts w:hint="eastAsia" w:ascii="黑体" w:hAnsi="黑体" w:eastAsia="黑体" w:cs="黑体"/>
          <w:color w:val="auto"/>
          <w:highlight w:val="none"/>
        </w:rPr>
      </w:pPr>
      <w:r>
        <w:rPr>
          <w:rFonts w:hint="eastAsia" w:ascii="黑体" w:hAnsi="黑体" w:eastAsia="黑体" w:cs="黑体"/>
          <w:color w:val="auto"/>
          <w:highlight w:val="none"/>
        </w:rPr>
      </w:r>
      <w:r/>
    </w:p>
    <w:tbl>
      <w:tblPr>
        <w:tblStyle w:val="1106"/>
        <w:tblW w:w="90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0"/>
        <w:gridCol w:w="1418"/>
        <w:gridCol w:w="2268"/>
        <w:gridCol w:w="966"/>
        <w:gridCol w:w="966"/>
        <w:gridCol w:w="967"/>
        <w:gridCol w:w="967"/>
        <w:gridCol w:w="785"/>
      </w:tblGrid>
      <w:tr>
        <w:trPr>
          <w:trHeight w:val="826"/>
        </w:trPr>
        <w:tc>
          <w:tcPr>
            <w:tcW w:w="710" w:type="dxa"/>
            <w:vAlign w:val="center"/>
            <w:textDirection w:val="lrTb"/>
            <w:noWrap w:val="false"/>
          </w:tcPr>
          <w:p>
            <w:pPr>
              <w:pStyle w:val="1105"/>
              <w:jc w:val="center"/>
              <w:rPr>
                <w:rFonts w:hint="eastAsia" w:ascii="黑体" w:hAnsi="黑体" w:eastAsia="黑体" w:cs="黑体"/>
                <w:color w:val="auto"/>
                <w:highlight w:val="none"/>
              </w:rPr>
            </w:pPr>
            <w:r>
              <w:rPr>
                <w:rFonts w:hint="eastAsia" w:ascii="黑体" w:hAnsi="黑体" w:eastAsia="黑体" w:cs="黑体"/>
                <w:color w:val="auto"/>
                <w:spacing w:val="5"/>
                <w:highlight w:val="none"/>
              </w:rPr>
              <w:t xml:space="preserve">序号</w:t>
            </w:r>
            <w:r/>
          </w:p>
        </w:tc>
        <w:tc>
          <w:tcPr>
            <w:tcW w:w="1418" w:type="dxa"/>
            <w:vAlign w:val="center"/>
            <w:textDirection w:val="lrTb"/>
            <w:noWrap w:val="false"/>
          </w:tcPr>
          <w:p>
            <w:pPr>
              <w:pStyle w:val="1105"/>
              <w:ind w:left="115"/>
              <w:spacing w:before="35" w:line="227" w:lineRule="auto"/>
              <w:rPr>
                <w:rFonts w:hint="eastAsia" w:ascii="黑体" w:hAnsi="黑体" w:eastAsia="黑体" w:cs="黑体"/>
                <w:color w:val="auto"/>
                <w:highlight w:val="none"/>
              </w:rPr>
            </w:pPr>
            <w:r>
              <w:rPr>
                <w:rFonts w:hint="eastAsia" w:ascii="黑体" w:hAnsi="黑体" w:eastAsia="黑体" w:cs="黑体"/>
                <w:color w:val="auto"/>
                <w:spacing w:val="1"/>
                <w:highlight w:val="none"/>
              </w:rPr>
              <w:t xml:space="preserve">设备（材料或服务）名称</w:t>
            </w:r>
            <w:r/>
          </w:p>
        </w:tc>
        <w:tc>
          <w:tcPr>
            <w:tcW w:w="2268" w:type="dxa"/>
            <w:textDirection w:val="lrTb"/>
            <w:noWrap w:val="false"/>
          </w:tcPr>
          <w:p>
            <w:pPr>
              <w:pStyle w:val="1105"/>
              <w:ind w:left="215"/>
              <w:spacing w:before="238" w:line="228" w:lineRule="auto"/>
              <w:rPr>
                <w:rFonts w:hint="eastAsia" w:ascii="黑体" w:hAnsi="黑体" w:eastAsia="黑体" w:cs="黑体"/>
                <w:color w:val="auto"/>
                <w:highlight w:val="none"/>
              </w:rPr>
            </w:pPr>
            <w:r>
              <w:rPr>
                <w:rFonts w:hint="eastAsia" w:ascii="黑体" w:hAnsi="黑体" w:eastAsia="黑体" w:cs="黑体"/>
                <w:color w:val="auto"/>
                <w:spacing w:val="8"/>
                <w:highlight w:val="none"/>
              </w:rPr>
              <w:t xml:space="preserve">特征描述、型号规格</w:t>
            </w:r>
            <w:r/>
          </w:p>
        </w:tc>
        <w:tc>
          <w:tcPr>
            <w:tcW w:w="966" w:type="dxa"/>
            <w:textDirection w:val="lrTb"/>
            <w:noWrap w:val="false"/>
          </w:tcPr>
          <w:p>
            <w:pPr>
              <w:pStyle w:val="1105"/>
              <w:ind w:left="281"/>
              <w:spacing w:before="239" w:line="228" w:lineRule="auto"/>
              <w:rPr>
                <w:rFonts w:hint="eastAsia" w:ascii="黑体" w:hAnsi="黑体" w:eastAsia="黑体" w:cs="黑体"/>
                <w:color w:val="auto"/>
                <w:highlight w:val="none"/>
              </w:rPr>
            </w:pPr>
            <w:r>
              <w:rPr>
                <w:rFonts w:hint="eastAsia" w:ascii="黑体" w:hAnsi="黑体" w:eastAsia="黑体" w:cs="黑体"/>
                <w:color w:val="auto"/>
                <w:spacing w:val="3"/>
                <w:highlight w:val="none"/>
              </w:rPr>
              <w:t xml:space="preserve">单位</w:t>
            </w:r>
            <w:r/>
          </w:p>
        </w:tc>
        <w:tc>
          <w:tcPr>
            <w:tcW w:w="966" w:type="dxa"/>
            <w:textDirection w:val="lrTb"/>
            <w:noWrap w:val="false"/>
          </w:tcPr>
          <w:p>
            <w:pPr>
              <w:pStyle w:val="1105"/>
              <w:ind w:left="280"/>
              <w:spacing w:before="238" w:line="228" w:lineRule="auto"/>
              <w:rPr>
                <w:rFonts w:hint="eastAsia" w:ascii="黑体" w:hAnsi="黑体" w:eastAsia="黑体" w:cs="黑体"/>
                <w:color w:val="auto"/>
                <w:highlight w:val="none"/>
              </w:rPr>
            </w:pPr>
            <w:r>
              <w:rPr>
                <w:rFonts w:hint="eastAsia" w:ascii="黑体" w:hAnsi="黑体" w:eastAsia="黑体" w:cs="黑体"/>
                <w:color w:val="auto"/>
                <w:spacing w:val="3"/>
                <w:highlight w:val="none"/>
              </w:rPr>
              <w:t xml:space="preserve">数量</w:t>
            </w:r>
            <w:r/>
          </w:p>
        </w:tc>
        <w:tc>
          <w:tcPr>
            <w:tcW w:w="967" w:type="dxa"/>
            <w:vAlign w:val="center"/>
            <w:textDirection w:val="lrTb"/>
            <w:noWrap w:val="false"/>
          </w:tcPr>
          <w:p>
            <w:pPr>
              <w:pStyle w:val="1105"/>
              <w:jc w:val="center"/>
              <w:rPr>
                <w:rFonts w:hint="eastAsia" w:ascii="黑体" w:hAnsi="黑体" w:eastAsia="黑体" w:cs="黑体"/>
                <w:color w:val="auto"/>
                <w:highlight w:val="none"/>
              </w:rPr>
            </w:pPr>
            <w:r>
              <w:rPr>
                <w:rFonts w:hint="eastAsia" w:ascii="黑体" w:hAnsi="黑体" w:eastAsia="黑体" w:cs="黑体"/>
                <w:color w:val="auto"/>
                <w:spacing w:val="3"/>
                <w:highlight w:val="none"/>
              </w:rPr>
              <w:t xml:space="preserve">单价</w:t>
            </w:r>
            <w:r>
              <w:rPr>
                <w:rFonts w:hint="eastAsia" w:ascii="黑体" w:hAnsi="黑体" w:eastAsia="黑体" w:cs="黑体"/>
                <w:color w:val="auto"/>
                <w:spacing w:val="-3"/>
                <w:highlight w:val="none"/>
              </w:rPr>
              <w:t xml:space="preserve">（元）</w:t>
            </w:r>
            <w:r/>
          </w:p>
        </w:tc>
        <w:tc>
          <w:tcPr>
            <w:tcW w:w="967" w:type="dxa"/>
            <w:vAlign w:val="center"/>
            <w:textDirection w:val="lrTb"/>
            <w:noWrap w:val="false"/>
          </w:tcPr>
          <w:p>
            <w:pPr>
              <w:pStyle w:val="1105"/>
              <w:jc w:val="center"/>
              <w:rPr>
                <w:rFonts w:hint="eastAsia" w:ascii="黑体" w:hAnsi="黑体" w:eastAsia="黑体" w:cs="黑体"/>
                <w:color w:val="auto"/>
                <w:highlight w:val="none"/>
              </w:rPr>
            </w:pPr>
            <w:r>
              <w:rPr>
                <w:rFonts w:hint="eastAsia" w:ascii="黑体" w:hAnsi="黑体" w:eastAsia="黑体" w:cs="黑体"/>
                <w:color w:val="auto"/>
                <w:spacing w:val="2"/>
                <w:highlight w:val="none"/>
              </w:rPr>
              <w:t xml:space="preserve">小计</w:t>
            </w:r>
            <w:r>
              <w:rPr>
                <w:rFonts w:hint="eastAsia" w:ascii="黑体" w:hAnsi="黑体" w:eastAsia="黑体" w:cs="黑体"/>
                <w:color w:val="auto"/>
                <w:spacing w:val="-3"/>
                <w:highlight w:val="none"/>
              </w:rPr>
              <w:t xml:space="preserve">（元）</w:t>
            </w:r>
            <w:r/>
          </w:p>
        </w:tc>
        <w:tc>
          <w:tcPr>
            <w:tcW w:w="785" w:type="dxa"/>
            <w:vAlign w:val="center"/>
            <w:textDirection w:val="lrTb"/>
            <w:noWrap w:val="false"/>
          </w:tcPr>
          <w:p>
            <w:pPr>
              <w:pStyle w:val="1105"/>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备注</w:t>
            </w:r>
            <w:r/>
          </w:p>
        </w:tc>
      </w:tr>
      <w:tr>
        <w:trPr>
          <w:trHeight w:val="413"/>
        </w:trPr>
        <w:tc>
          <w:tcPr>
            <w:tcW w:w="710"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3"/>
        </w:trPr>
        <w:tc>
          <w:tcPr>
            <w:tcW w:w="710"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3"/>
        </w:trPr>
        <w:tc>
          <w:tcPr>
            <w:tcW w:w="710"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3"/>
        </w:trPr>
        <w:tc>
          <w:tcPr>
            <w:tcW w:w="710"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3"/>
        </w:trPr>
        <w:tc>
          <w:tcPr>
            <w:tcW w:w="710" w:type="dxa"/>
            <w:textDirection w:val="lrTb"/>
            <w:noWrap w:val="false"/>
          </w:tcPr>
          <w:p>
            <w:pPr>
              <w:pStyle w:val="1105"/>
              <w:spacing w:before="33" w:line="229" w:lineRule="auto"/>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4"/>
        </w:trPr>
        <w:tc>
          <w:tcPr>
            <w:tcW w:w="710"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3"/>
        </w:trPr>
        <w:tc>
          <w:tcPr>
            <w:tcW w:w="710"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3"/>
        </w:trPr>
        <w:tc>
          <w:tcPr>
            <w:tcW w:w="710" w:type="dxa"/>
            <w:textDirection w:val="lrTb"/>
            <w:noWrap w:val="false"/>
          </w:tcPr>
          <w:p>
            <w:pPr>
              <w:pStyle w:val="1105"/>
              <w:spacing w:before="36" w:line="229" w:lineRule="auto"/>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41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2268"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6"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967"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c>
          <w:tcPr>
            <w:tcW w:w="785"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8"/>
        </w:trPr>
        <w:tc>
          <w:tcPr>
            <w:gridSpan w:val="2"/>
            <w:tcW w:w="2128" w:type="dxa"/>
            <w:textDirection w:val="lrTb"/>
            <w:noWrap w:val="false"/>
          </w:tcPr>
          <w:p>
            <w:pPr>
              <w:pStyle w:val="1105"/>
              <w:jc w:val="center"/>
              <w:spacing w:before="36" w:line="226" w:lineRule="auto"/>
              <w:rPr>
                <w:rFonts w:hint="eastAsia" w:ascii="黑体" w:hAnsi="黑体" w:eastAsia="黑体" w:cs="黑体"/>
                <w:color w:val="auto"/>
                <w:highlight w:val="none"/>
              </w:rPr>
            </w:pPr>
            <w:r>
              <w:rPr>
                <w:rFonts w:hint="eastAsia" w:ascii="黑体" w:hAnsi="黑体" w:eastAsia="黑体" w:cs="黑体"/>
                <w:color w:val="auto"/>
                <w:spacing w:val="7"/>
                <w:highlight w:val="none"/>
              </w:rPr>
              <w:t xml:space="preserve">投标总报价（元）</w:t>
            </w:r>
            <w:r/>
          </w:p>
        </w:tc>
        <w:tc>
          <w:tcPr>
            <w:gridSpan w:val="6"/>
            <w:tcW w:w="6919" w:type="dxa"/>
            <w:textDirection w:val="lrTb"/>
            <w:noWrap w:val="false"/>
          </w:tcPr>
          <w:p>
            <w:pPr>
              <w:rPr>
                <w:rFonts w:hint="eastAsia" w:ascii="黑体" w:hAnsi="黑体" w:eastAsia="黑体" w:cs="黑体"/>
                <w:color w:val="auto"/>
                <w:sz w:val="20"/>
                <w:highlight w:val="none"/>
              </w:rPr>
            </w:pPr>
            <w:r>
              <w:rPr>
                <w:rFonts w:hint="eastAsia" w:ascii="黑体" w:hAnsi="黑体" w:eastAsia="黑体" w:cs="黑体"/>
                <w:color w:val="auto"/>
                <w:sz w:val="20"/>
                <w:highlight w:val="none"/>
              </w:rPr>
            </w:r>
            <w:r/>
          </w:p>
        </w:tc>
      </w:tr>
      <w:tr>
        <w:trPr>
          <w:trHeight w:val="418"/>
        </w:trPr>
        <w:tc>
          <w:tcPr>
            <w:gridSpan w:val="8"/>
            <w:tcW w:w="9047" w:type="dxa"/>
            <w:textDirection w:val="lrTb"/>
            <w:noWrap w:val="false"/>
          </w:tcPr>
          <w:p>
            <w:pPr>
              <w:pStyle w:val="1105"/>
              <w:spacing w:before="36" w:line="226" w:lineRule="auto"/>
              <w:rPr>
                <w:rFonts w:hint="eastAsia" w:ascii="黑体" w:hAnsi="黑体" w:eastAsia="黑体" w:cs="黑体"/>
                <w:color w:val="auto"/>
                <w:highlight w:val="none"/>
              </w:rPr>
            </w:pPr>
            <w:r>
              <w:rPr>
                <w:rFonts w:hint="eastAsia" w:ascii="黑体" w:hAnsi="黑体" w:eastAsia="黑体" w:cs="黑体"/>
                <w:color w:val="auto"/>
                <w:spacing w:val="7"/>
                <w:highlight w:val="none"/>
              </w:rPr>
              <w:t xml:space="preserve">本采购包中提供的符合本国产品标准的产品成本之和占该采购包提供的全部产品成本之和的比例为</w:t>
            </w:r>
            <w:r>
              <w:rPr>
                <w:rFonts w:hint="eastAsia" w:ascii="黑体" w:hAnsi="黑体" w:eastAsia="黑体" w:cs="黑体"/>
                <w:color w:val="auto"/>
                <w:spacing w:val="7"/>
                <w:highlight w:val="none"/>
                <w:u w:val="single"/>
              </w:rPr>
              <w:t xml:space="preserve">     </w:t>
            </w:r>
            <w:r>
              <w:rPr>
                <w:rFonts w:hint="eastAsia" w:ascii="黑体" w:hAnsi="黑体" w:eastAsia="黑体" w:cs="黑体"/>
                <w:color w:val="auto"/>
                <w:spacing w:val="7"/>
                <w:highlight w:val="none"/>
              </w:rPr>
              <w:t xml:space="preserve">%。</w:t>
            </w:r>
            <w:r/>
          </w:p>
        </w:tc>
      </w:tr>
    </w:tbl>
    <w:p>
      <w:pPr>
        <w:spacing w:before="29" w:line="227" w:lineRule="auto"/>
        <w:rPr>
          <w:rFonts w:hint="eastAsia" w:ascii="黑体" w:hAnsi="黑体" w:eastAsia="黑体" w:cs="黑体"/>
          <w:color w:val="auto"/>
          <w:sz w:val="20"/>
          <w:highlight w:val="none"/>
        </w:rPr>
      </w:pPr>
      <w:r>
        <w:rPr>
          <w:rFonts w:hint="eastAsia" w:ascii="黑体" w:hAnsi="黑体" w:eastAsia="黑体" w:cs="黑体"/>
          <w:color w:val="auto"/>
          <w:spacing w:val="8"/>
          <w:sz w:val="20"/>
          <w:highlight w:val="none"/>
        </w:rPr>
        <w:t xml:space="preserve">供应商（签章</w:t>
      </w:r>
      <w:r>
        <w:rPr>
          <w:rFonts w:hint="eastAsia" w:ascii="黑体" w:hAnsi="黑体" w:eastAsia="黑体" w:cs="黑体"/>
          <w:color w:val="auto"/>
          <w:spacing w:val="-54"/>
          <w:sz w:val="20"/>
          <w:highlight w:val="none"/>
        </w:rPr>
        <w:t xml:space="preserve">）：</w:t>
      </w:r>
      <w:r/>
    </w:p>
    <w:p>
      <w:pPr>
        <w:rPr>
          <w:rFonts w:hint="eastAsia" w:ascii="黑体" w:hAnsi="黑体" w:eastAsia="黑体" w:cs="黑体"/>
          <w:color w:val="auto"/>
          <w:spacing w:val="-6"/>
          <w:sz w:val="20"/>
          <w:highlight w:val="none"/>
        </w:rPr>
      </w:pPr>
      <w:r>
        <w:rPr>
          <w:rFonts w:hint="eastAsia" w:ascii="黑体" w:hAnsi="黑体" w:eastAsia="黑体" w:cs="黑体"/>
          <w:color w:val="auto"/>
          <w:spacing w:val="-6"/>
          <w:sz w:val="20"/>
          <w:highlight w:val="none"/>
        </w:rPr>
        <w:t xml:space="preserve">日期：   年   月  日</w:t>
      </w:r>
      <w:r/>
    </w:p>
    <w:p>
      <w:pPr>
        <w:rPr>
          <w:rFonts w:hint="eastAsia" w:ascii="黑体" w:hAnsi="黑体" w:eastAsia="黑体" w:cs="黑体"/>
          <w:color w:val="auto"/>
          <w:spacing w:val="-6"/>
          <w:sz w:val="20"/>
          <w:highlight w:val="none"/>
        </w:rPr>
      </w:pPr>
      <w:r>
        <w:rPr>
          <w:rFonts w:hint="eastAsia" w:ascii="黑体" w:hAnsi="黑体" w:eastAsia="黑体" w:cs="黑体"/>
          <w:color w:val="auto"/>
          <w:spacing w:val="-6"/>
          <w:sz w:val="20"/>
          <w:highlight w:val="none"/>
        </w:rPr>
      </w:r>
      <w:r/>
    </w:p>
    <w:p>
      <w:pPr>
        <w:ind w:left="7"/>
        <w:keepLines w:val="0"/>
        <w:keepNext w:val="0"/>
        <w:pageBreakBefore w:val="0"/>
        <w:spacing w:before="185" w:line="360" w:lineRule="auto"/>
        <w:widowControl w:val="off"/>
        <w:rPr>
          <w:rFonts w:hint="eastAsia" w:ascii="黑体" w:hAnsi="黑体" w:eastAsia="黑体" w:cs="黑体"/>
          <w:b/>
          <w:bCs/>
          <w:color w:val="auto"/>
          <w:sz w:val="20"/>
          <w:szCs w:val="20"/>
          <w:highlight w:val="none"/>
          <w:lang w:eastAsia="zh-CN"/>
        </w:rPr>
      </w:pPr>
      <w:r>
        <w:rPr>
          <w:rFonts w:hint="eastAsia" w:ascii="黑体" w:hAnsi="黑体" w:eastAsia="黑体" w:cs="黑体"/>
          <w:b/>
          <w:bCs/>
          <w:color w:val="auto"/>
          <w:spacing w:val="11"/>
          <w:sz w:val="20"/>
          <w:szCs w:val="20"/>
          <w:highlight w:val="none"/>
          <w:lang w:eastAsia="zh-CN"/>
        </w:rPr>
        <w:t xml:space="preserve">注：1.上述投标总报价必须包括完成本次项目全部工作内容所必须的设计以及布展及布置实施制作所需的</w:t>
      </w:r>
      <w:r>
        <w:rPr>
          <w:rFonts w:hint="eastAsia" w:ascii="黑体" w:hAnsi="黑体" w:eastAsia="黑体" w:cs="黑体"/>
          <w:b/>
          <w:bCs/>
          <w:color w:val="auto"/>
          <w:spacing w:val="12"/>
          <w:sz w:val="20"/>
          <w:szCs w:val="20"/>
          <w:highlight w:val="none"/>
          <w:lang w:eastAsia="zh-CN"/>
        </w:rPr>
        <w:t xml:space="preserve">全部产品、人工、仓储、发货、运输、原有拆除及处置、安装、调试、验收、培训、质保、保险、</w:t>
      </w:r>
      <w:r>
        <w:rPr>
          <w:rFonts w:hint="eastAsia" w:ascii="黑体" w:hAnsi="黑体" w:eastAsia="黑体" w:cs="黑体"/>
          <w:b/>
          <w:bCs/>
          <w:color w:val="auto"/>
          <w:spacing w:val="11"/>
          <w:sz w:val="20"/>
          <w:szCs w:val="20"/>
          <w:highlight w:val="none"/>
          <w:lang w:eastAsia="zh-CN"/>
        </w:rPr>
        <w:t xml:space="preserve">专利、</w:t>
      </w:r>
      <w:r>
        <w:rPr>
          <w:rFonts w:hint="eastAsia" w:ascii="黑体" w:hAnsi="黑体" w:eastAsia="黑体" w:cs="黑体"/>
          <w:b/>
          <w:bCs/>
          <w:color w:val="auto"/>
          <w:spacing w:val="12"/>
          <w:sz w:val="20"/>
          <w:szCs w:val="20"/>
          <w:highlight w:val="none"/>
          <w:lang w:eastAsia="zh-CN"/>
        </w:rPr>
        <w:t xml:space="preserve">风险、利润、税金及其他伴随服务等一切必须费用，本项目为交钥</w:t>
      </w:r>
      <w:r>
        <w:rPr>
          <w:rFonts w:hint="eastAsia" w:ascii="黑体" w:hAnsi="黑体" w:eastAsia="黑体" w:cs="黑体"/>
          <w:b/>
          <w:bCs/>
          <w:color w:val="auto"/>
          <w:spacing w:val="11"/>
          <w:sz w:val="20"/>
          <w:szCs w:val="20"/>
          <w:highlight w:val="none"/>
          <w:lang w:eastAsia="zh-CN"/>
        </w:rPr>
        <w:t xml:space="preserve">匙项目，包括但不限于上述内容，各供应商</w:t>
      </w:r>
      <w:r>
        <w:rPr>
          <w:rFonts w:hint="eastAsia" w:ascii="黑体" w:hAnsi="黑体" w:eastAsia="黑体" w:cs="黑体"/>
          <w:b/>
          <w:bCs/>
          <w:color w:val="auto"/>
          <w:spacing w:val="8"/>
          <w:sz w:val="20"/>
          <w:szCs w:val="20"/>
          <w:highlight w:val="none"/>
          <w:lang w:eastAsia="zh-CN"/>
        </w:rPr>
        <w:t xml:space="preserve">应充分考虑各项报价说明包括的因素以及项目实施期间各类建材市场价格变化，政策性调整的风险，</w:t>
      </w:r>
      <w:r>
        <w:rPr>
          <w:rFonts w:hint="eastAsia" w:ascii="黑体" w:hAnsi="黑体" w:eastAsia="黑体" w:cs="黑体"/>
          <w:b/>
          <w:bCs/>
          <w:color w:val="auto"/>
          <w:spacing w:val="12"/>
          <w:sz w:val="20"/>
          <w:szCs w:val="20"/>
          <w:highlight w:val="none"/>
          <w:lang w:eastAsia="zh-CN"/>
        </w:rPr>
        <w:t xml:space="preserve">慎重报价。</w:t>
      </w:r>
      <w:r>
        <w:rPr>
          <w:rFonts w:hint="eastAsia" w:ascii="黑体" w:hAnsi="黑体" w:eastAsia="黑体" w:cs="黑体"/>
          <w:b/>
          <w:bCs/>
          <w:color w:val="auto"/>
          <w:spacing w:val="12"/>
          <w:sz w:val="20"/>
          <w:szCs w:val="20"/>
          <w:highlight w:val="none"/>
          <w:lang w:val="en-US" w:eastAsia="zh-CN"/>
        </w:rPr>
        <w:t xml:space="preserve">响应供应商</w:t>
      </w:r>
      <w:r>
        <w:rPr>
          <w:rFonts w:hint="eastAsia" w:ascii="黑体" w:hAnsi="黑体" w:eastAsia="黑体" w:cs="黑体"/>
          <w:b/>
          <w:bCs/>
          <w:color w:val="auto"/>
          <w:spacing w:val="12"/>
          <w:sz w:val="20"/>
          <w:szCs w:val="20"/>
          <w:highlight w:val="none"/>
          <w:lang w:eastAsia="zh-CN"/>
        </w:rPr>
        <w:t xml:space="preserve">应根据招标要求及</w:t>
      </w:r>
      <w:r>
        <w:rPr>
          <w:rFonts w:hint="eastAsia" w:ascii="黑体" w:hAnsi="黑体" w:eastAsia="黑体" w:cs="黑体"/>
          <w:b/>
          <w:bCs/>
          <w:color w:val="auto"/>
          <w:spacing w:val="12"/>
          <w:sz w:val="20"/>
          <w:szCs w:val="20"/>
          <w:highlight w:val="none"/>
          <w:lang w:val="en-US" w:eastAsia="zh-CN"/>
        </w:rPr>
        <w:t xml:space="preserve">投标</w:t>
      </w:r>
      <w:r>
        <w:rPr>
          <w:rFonts w:hint="eastAsia" w:ascii="黑体" w:hAnsi="黑体" w:eastAsia="黑体" w:cs="黑体"/>
          <w:b/>
          <w:bCs/>
          <w:color w:val="auto"/>
          <w:spacing w:val="12"/>
          <w:sz w:val="20"/>
          <w:szCs w:val="20"/>
          <w:highlight w:val="none"/>
          <w:lang w:eastAsia="zh-CN"/>
        </w:rPr>
        <w:t xml:space="preserve">设计方案，结合勘察现</w:t>
      </w:r>
      <w:r>
        <w:rPr>
          <w:rFonts w:hint="eastAsia" w:ascii="黑体" w:hAnsi="黑体" w:eastAsia="黑体" w:cs="黑体"/>
          <w:b/>
          <w:bCs/>
          <w:color w:val="auto"/>
          <w:spacing w:val="11"/>
          <w:sz w:val="20"/>
          <w:szCs w:val="20"/>
          <w:highlight w:val="none"/>
          <w:lang w:eastAsia="zh-CN"/>
        </w:rPr>
        <w:t xml:space="preserve">场情况等综合考虑后报价。本表格投标</w:t>
      </w:r>
      <w:r>
        <w:rPr>
          <w:rFonts w:hint="eastAsia" w:ascii="黑体" w:hAnsi="黑体" w:eastAsia="黑体" w:cs="黑体"/>
          <w:b/>
          <w:bCs/>
          <w:color w:val="auto"/>
          <w:spacing w:val="8"/>
          <w:sz w:val="20"/>
          <w:szCs w:val="20"/>
          <w:highlight w:val="none"/>
          <w:lang w:eastAsia="zh-CN"/>
        </w:rPr>
        <w:t xml:space="preserve">总报价需与开标一览表的投标总报价一致。</w:t>
      </w:r>
      <w:r/>
    </w:p>
    <w:p>
      <w:pPr>
        <w:ind w:left="27" w:right="52" w:firstLine="340"/>
        <w:keepLines w:val="0"/>
        <w:keepNext w:val="0"/>
        <w:pageBreakBefore w:val="0"/>
        <w:spacing w:before="1" w:line="360" w:lineRule="auto"/>
        <w:widowControl w:val="off"/>
        <w:rPr>
          <w:rFonts w:hint="eastAsia" w:ascii="黑体" w:hAnsi="黑体" w:eastAsia="黑体" w:cs="黑体"/>
          <w:b/>
          <w:bCs/>
          <w:color w:val="auto"/>
          <w:sz w:val="20"/>
          <w:szCs w:val="20"/>
          <w:highlight w:val="none"/>
          <w:lang w:eastAsia="zh-CN"/>
        </w:rPr>
      </w:pPr>
      <w:r>
        <w:rPr>
          <w:rFonts w:hint="eastAsia" w:ascii="黑体" w:hAnsi="黑体" w:eastAsia="黑体" w:cs="黑体"/>
          <w:b/>
          <w:bCs/>
          <w:color w:val="auto"/>
          <w:spacing w:val="8"/>
          <w:sz w:val="20"/>
          <w:szCs w:val="20"/>
          <w:highlight w:val="none"/>
          <w:lang w:eastAsia="zh-CN"/>
        </w:rPr>
        <w:t xml:space="preserve">2.各供应商根据设计方案，按照上述格式进行详细的报价分析，需明确所有的设备设施及材料，并注</w:t>
      </w:r>
      <w:r>
        <w:rPr>
          <w:rFonts w:hint="eastAsia" w:ascii="黑体" w:hAnsi="黑体" w:eastAsia="黑体" w:cs="黑体"/>
          <w:b/>
          <w:bCs/>
          <w:color w:val="auto"/>
          <w:spacing w:val="9"/>
          <w:sz w:val="20"/>
          <w:szCs w:val="20"/>
          <w:highlight w:val="none"/>
          <w:lang w:eastAsia="zh-CN"/>
        </w:rPr>
        <w:t xml:space="preserve">明所使用的材料、产品的规格型号</w:t>
      </w:r>
      <w:r>
        <w:rPr>
          <w:rFonts w:hint="eastAsia" w:ascii="黑体" w:hAnsi="黑体" w:eastAsia="黑体" w:cs="黑体"/>
          <w:b/>
          <w:bCs/>
          <w:color w:val="auto"/>
          <w:spacing w:val="9"/>
          <w:sz w:val="20"/>
          <w:szCs w:val="20"/>
          <w:highlight w:val="none"/>
          <w:lang w:val="en-US" w:eastAsia="zh-CN"/>
        </w:rPr>
        <w:t xml:space="preserve">等</w:t>
      </w:r>
      <w:r>
        <w:rPr>
          <w:rFonts w:hint="eastAsia" w:ascii="黑体" w:hAnsi="黑体" w:eastAsia="黑体" w:cs="黑体"/>
          <w:b/>
          <w:bCs/>
          <w:color w:val="auto"/>
          <w:spacing w:val="9"/>
          <w:sz w:val="20"/>
          <w:szCs w:val="20"/>
          <w:highlight w:val="none"/>
          <w:lang w:eastAsia="zh-CN"/>
        </w:rPr>
        <w:t xml:space="preserve">，上述格式供参考，但应包括上述表格内的相关内容。</w:t>
      </w:r>
      <w:r/>
    </w:p>
    <w:p>
      <w:pPr>
        <w:ind w:firstLine="438"/>
        <w:keepLines w:val="0"/>
        <w:keepNext w:val="0"/>
        <w:pageBreakBefore w:val="0"/>
        <w:spacing w:line="360" w:lineRule="auto"/>
        <w:widowControl w:val="off"/>
        <w:rPr>
          <w:rFonts w:hint="eastAsia" w:ascii="黑体" w:hAnsi="黑体" w:eastAsia="黑体" w:cs="黑体"/>
          <w:b/>
          <w:bCs/>
          <w:color w:val="auto"/>
          <w:sz w:val="20"/>
          <w:szCs w:val="20"/>
          <w:highlight w:val="none"/>
          <w:lang w:eastAsia="zh-CN"/>
        </w:rPr>
      </w:pPr>
      <w:r>
        <w:rPr>
          <w:rFonts w:hint="eastAsia" w:ascii="黑体" w:hAnsi="黑体" w:eastAsia="黑体" w:cs="黑体"/>
          <w:b/>
          <w:bCs/>
          <w:color w:val="auto"/>
          <w:spacing w:val="9"/>
          <w:sz w:val="20"/>
          <w:szCs w:val="20"/>
          <w:highlight w:val="none"/>
          <w:lang w:eastAsia="zh-CN"/>
        </w:rPr>
        <w:t xml:space="preserve">3.供应商可针对本项目实际情况（</w:t>
      </w:r>
      <w:r>
        <w:rPr>
          <w:rFonts w:hint="eastAsia" w:ascii="黑体" w:hAnsi="黑体" w:eastAsia="黑体" w:cs="黑体"/>
          <w:b/>
          <w:bCs/>
          <w:color w:val="auto"/>
          <w:spacing w:val="9"/>
          <w:sz w:val="20"/>
          <w:szCs w:val="20"/>
          <w:highlight w:val="none"/>
          <w:lang w:val="en-US" w:eastAsia="zh-CN"/>
        </w:rPr>
        <w:t xml:space="preserve">具体请按照第三章项目需求包含的所有内容且本项目需求第四项第6条款.“实施内容清单”中已列明“</w:t>
      </w:r>
      <w:r>
        <w:rPr>
          <w:rFonts w:hint="eastAsia" w:ascii="黑体" w:hAnsi="黑体" w:eastAsia="黑体" w:cs="黑体"/>
          <w:b/>
          <w:bCs/>
          <w:color w:val="auto"/>
          <w:spacing w:val="1"/>
          <w:highlight w:val="none"/>
          <w:lang w:eastAsia="zh-CN"/>
        </w:rPr>
        <w:t xml:space="preserve">设备（材料或服务）</w:t>
      </w:r>
      <w:r>
        <w:rPr>
          <w:rFonts w:hint="eastAsia" w:ascii="黑体" w:hAnsi="黑体" w:eastAsia="黑体" w:cs="黑体"/>
          <w:b/>
          <w:bCs/>
          <w:color w:val="auto"/>
          <w:spacing w:val="1"/>
          <w:highlight w:val="none"/>
          <w:lang w:val="en-US" w:eastAsia="zh-CN"/>
        </w:rPr>
        <w:t xml:space="preserve">名称”的内容</w:t>
      </w:r>
      <w:r>
        <w:rPr>
          <w:rFonts w:hint="eastAsia" w:ascii="黑体" w:hAnsi="黑体" w:eastAsia="黑体" w:cs="黑体"/>
          <w:b/>
          <w:bCs/>
          <w:color w:val="auto"/>
          <w:spacing w:val="9"/>
          <w:sz w:val="20"/>
          <w:szCs w:val="20"/>
          <w:highlight w:val="none"/>
          <w:lang w:val="en-US" w:eastAsia="zh-CN"/>
        </w:rPr>
        <w:t xml:space="preserve">在本表报价内容中不可漏项或缺项，否则经评标小组核实后作未实质性响应处理</w:t>
      </w:r>
      <w:r>
        <w:rPr>
          <w:rFonts w:hint="eastAsia" w:ascii="黑体" w:hAnsi="黑体" w:eastAsia="黑体" w:cs="黑体"/>
          <w:b/>
          <w:bCs/>
          <w:color w:val="auto"/>
          <w:spacing w:val="9"/>
          <w:sz w:val="20"/>
          <w:szCs w:val="20"/>
          <w:highlight w:val="none"/>
          <w:lang w:eastAsia="zh-CN"/>
        </w:rPr>
        <w:t xml:space="preserve">），</w:t>
      </w:r>
      <w:r>
        <w:rPr>
          <w:rFonts w:hint="eastAsia" w:ascii="黑体" w:hAnsi="黑体" w:eastAsia="黑体" w:cs="黑体"/>
          <w:b/>
          <w:bCs/>
          <w:color w:val="auto"/>
          <w:spacing w:val="9"/>
          <w:sz w:val="20"/>
          <w:szCs w:val="20"/>
          <w:highlight w:val="none"/>
          <w:lang w:val="en-US" w:eastAsia="zh-CN"/>
        </w:rPr>
        <w:t xml:space="preserve">本表可</w:t>
      </w:r>
      <w:r>
        <w:rPr>
          <w:rFonts w:hint="eastAsia" w:ascii="黑体" w:hAnsi="黑体" w:eastAsia="黑体" w:cs="黑体"/>
          <w:b/>
          <w:bCs/>
          <w:color w:val="auto"/>
          <w:spacing w:val="9"/>
          <w:sz w:val="20"/>
          <w:szCs w:val="20"/>
          <w:highlight w:val="none"/>
          <w:lang w:eastAsia="zh-CN"/>
        </w:rPr>
        <w:t xml:space="preserve">自行调整投标分项报价表格式。</w:t>
      </w:r>
      <w:r/>
    </w:p>
    <w:p>
      <w:pPr>
        <w:pStyle w:val="1105"/>
        <w:ind w:left="115" w:firstLine="402"/>
        <w:jc w:val="left"/>
        <w:keepLines w:val="0"/>
        <w:keepNext w:val="0"/>
        <w:pageBreakBefore w:val="0"/>
        <w:spacing w:before="35" w:line="360" w:lineRule="auto"/>
        <w:widowControl w:val="off"/>
        <w:rPr>
          <w:rFonts w:hint="eastAsia" w:ascii="黑体" w:hAnsi="黑体" w:eastAsia="黑体" w:cs="黑体"/>
          <w:color w:val="auto"/>
          <w:sz w:val="20"/>
          <w:szCs w:val="20"/>
          <w:highlight w:val="none"/>
          <w:lang w:eastAsia="zh-CN"/>
        </w:rPr>
      </w:pPr>
      <w:r>
        <w:rPr>
          <w:rFonts w:hint="eastAsia" w:ascii="黑体" w:hAnsi="黑体" w:eastAsia="黑体" w:cs="黑体"/>
          <w:b/>
          <w:bCs/>
          <w:color w:val="auto"/>
          <w:sz w:val="20"/>
          <w:szCs w:val="20"/>
          <w:highlight w:val="none"/>
          <w:lang w:val="en-US" w:eastAsia="zh-CN"/>
        </w:rPr>
        <w:t xml:space="preserve">4.供应商在本表中涉及到</w:t>
      </w:r>
      <w:r>
        <w:rPr>
          <w:rFonts w:hint="eastAsia" w:ascii="黑体" w:hAnsi="黑体" w:eastAsia="黑体" w:cs="黑体"/>
          <w:b/>
          <w:bCs/>
          <w:color w:val="auto"/>
          <w:spacing w:val="1"/>
          <w:highlight w:val="none"/>
          <w:lang w:eastAsia="zh-CN"/>
        </w:rPr>
        <w:t xml:space="preserve">设备（材料或服务）</w:t>
      </w:r>
      <w:r>
        <w:rPr>
          <w:rFonts w:hint="eastAsia" w:ascii="黑体" w:hAnsi="黑体" w:eastAsia="黑体" w:cs="黑体"/>
          <w:b/>
          <w:bCs/>
          <w:color w:val="auto"/>
          <w:spacing w:val="1"/>
          <w:highlight w:val="none"/>
          <w:lang w:val="en-US" w:eastAsia="zh-CN"/>
        </w:rPr>
        <w:t xml:space="preserve">名称</w:t>
      </w:r>
      <w:r>
        <w:rPr>
          <w:rFonts w:hint="eastAsia" w:ascii="黑体" w:hAnsi="黑体" w:eastAsia="黑体" w:cs="黑体"/>
          <w:b/>
          <w:bCs/>
          <w:color w:val="auto"/>
          <w:sz w:val="20"/>
          <w:szCs w:val="20"/>
          <w:highlight w:val="none"/>
          <w:lang w:val="en-US" w:eastAsia="zh-CN"/>
        </w:rPr>
        <w:t xml:space="preserve">为货物的，以及所有提供的货物类产品中有为本国产品的请一并在备注栏中明确说明，</w:t>
      </w:r>
      <w:r>
        <w:rPr>
          <w:rFonts w:hint="eastAsia" w:ascii="黑体" w:hAnsi="黑体" w:eastAsia="黑体" w:cs="黑体"/>
          <w:b/>
          <w:bCs/>
          <w:color w:val="auto"/>
          <w:spacing w:val="9"/>
          <w:sz w:val="20"/>
          <w:szCs w:val="20"/>
          <w:highlight w:val="none"/>
          <w:lang w:eastAsia="zh-CN"/>
        </w:rPr>
        <w:t xml:space="preserve">供应商为该采购项目或者采购包提供的符合本国产品标准的</w:t>
      </w:r>
      <w:r>
        <w:rPr>
          <w:rFonts w:hint="eastAsia" w:ascii="黑体" w:hAnsi="黑体" w:eastAsia="黑体" w:cs="黑体"/>
          <w:b/>
          <w:bCs/>
          <w:color w:val="auto"/>
          <w:spacing w:val="8"/>
          <w:sz w:val="20"/>
          <w:szCs w:val="20"/>
          <w:highlight w:val="none"/>
          <w:lang w:eastAsia="zh-CN"/>
        </w:rPr>
        <w:t xml:space="preserve">产品成本之和占该供应商提供的全部产品成</w:t>
      </w:r>
      <w:r>
        <w:rPr>
          <w:rFonts w:hint="eastAsia" w:ascii="黑体" w:hAnsi="黑体" w:eastAsia="黑体" w:cs="黑体"/>
          <w:b/>
          <w:bCs/>
          <w:color w:val="auto"/>
          <w:spacing w:val="7"/>
          <w:sz w:val="20"/>
          <w:szCs w:val="20"/>
          <w:highlight w:val="none"/>
          <w:lang w:eastAsia="zh-CN"/>
        </w:rPr>
        <w:t xml:space="preserve">本之和的比例达到80%以上时（</w:t>
      </w:r>
      <w:r>
        <w:rPr>
          <w:rFonts w:hint="eastAsia" w:ascii="黑体" w:hAnsi="黑体" w:eastAsia="黑体" w:cs="黑体"/>
          <w:b/>
          <w:bCs/>
          <w:color w:val="auto"/>
          <w:spacing w:val="7"/>
          <w:sz w:val="20"/>
          <w:szCs w:val="20"/>
          <w:highlight w:val="none"/>
          <w:lang w:val="en-US" w:eastAsia="zh-CN"/>
        </w:rPr>
        <w:t xml:space="preserve">以本表中供应商提交的数据为准，请填写相应的比例数值</w:t>
      </w:r>
      <w:r>
        <w:rPr>
          <w:rFonts w:hint="eastAsia" w:ascii="黑体" w:hAnsi="黑体" w:eastAsia="黑体" w:cs="黑体"/>
          <w:b/>
          <w:bCs/>
          <w:color w:val="auto"/>
          <w:spacing w:val="7"/>
          <w:sz w:val="20"/>
          <w:szCs w:val="20"/>
          <w:highlight w:val="none"/>
          <w:lang w:eastAsia="zh-CN"/>
        </w:rPr>
        <w:t xml:space="preserve">）</w:t>
      </w:r>
      <w:r>
        <w:rPr>
          <w:rFonts w:hint="eastAsia" w:ascii="黑体" w:hAnsi="黑体" w:eastAsia="黑体" w:cs="黑体"/>
          <w:b/>
          <w:bCs/>
          <w:color w:val="auto"/>
          <w:spacing w:val="-34"/>
          <w:sz w:val="20"/>
          <w:szCs w:val="20"/>
          <w:highlight w:val="none"/>
          <w:lang w:eastAsia="zh-CN"/>
        </w:rPr>
        <w:t xml:space="preserve">，</w:t>
      </w:r>
      <w:r>
        <w:rPr>
          <w:rFonts w:hint="eastAsia" w:ascii="黑体" w:hAnsi="黑体" w:eastAsia="黑体" w:cs="黑体"/>
          <w:b/>
          <w:bCs/>
          <w:color w:val="auto"/>
          <w:spacing w:val="8"/>
          <w:sz w:val="20"/>
          <w:szCs w:val="20"/>
          <w:highlight w:val="none"/>
          <w:lang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00"/>
        <w:jc w:val="left"/>
        <w:keepLines w:val="0"/>
        <w:keepNext w:val="0"/>
        <w:pageBreakBefore w:val="0"/>
        <w:spacing w:line="360" w:lineRule="auto"/>
        <w:widowControl w:val="off"/>
        <w:rPr>
          <w:rFonts w:hint="eastAsia" w:ascii="黑体" w:hAnsi="黑体" w:eastAsia="黑体" w:cs="黑体"/>
          <w:color w:val="auto"/>
          <w:sz w:val="20"/>
          <w:szCs w:val="20"/>
          <w:highlight w:val="none"/>
          <w:lang w:val="en-US" w:eastAsia="zh-CN"/>
        </w:rPr>
        <w:sectPr>
          <w:headerReference w:type="default" r:id="rId9"/>
          <w:footerReference w:type="default" r:id="rId12"/>
          <w:footnotePr/>
          <w:endnotePr/>
          <w:type w:val="nextPage"/>
          <w:pgSz w:w="11906" w:h="16839" w:orient="portrait"/>
          <w:pgMar w:top="1286" w:right="1027" w:bottom="1151" w:left="1080" w:header="871" w:footer="989" w:gutter="0"/>
          <w:cols w:num="1" w:sep="0" w:space="720" w:equalWidth="1"/>
          <w:docGrid w:linePitch="360"/>
        </w:sectPr>
      </w:pPr>
      <w:r>
        <w:rPr>
          <w:rFonts w:hint="eastAsia" w:ascii="黑体" w:hAnsi="黑体" w:eastAsia="黑体" w:cs="黑体"/>
          <w:color w:val="auto"/>
          <w:sz w:val="20"/>
          <w:szCs w:val="20"/>
          <w:highlight w:val="none"/>
          <w:lang w:val="en-US" w:eastAsia="zh-CN"/>
        </w:rPr>
      </w:r>
      <w:r/>
    </w:p>
    <w:p>
      <w:pPr>
        <w:ind w:firstLine="2530"/>
        <w:spacing w:line="360" w:lineRule="auto"/>
        <w:widowControl/>
        <w:rPr>
          <w:rFonts w:hint="eastAsia" w:ascii="黑体" w:hAnsi="黑体" w:eastAsia="黑体" w:cs="黑体"/>
          <w:b/>
          <w:bCs/>
          <w:color w:val="auto"/>
          <w:sz w:val="28"/>
          <w:szCs w:val="28"/>
          <w:highlight w:val="none"/>
        </w:rPr>
        <w:outlineLvl w:val="0"/>
      </w:pPr>
      <w:r>
        <w:rPr>
          <w:rFonts w:hint="eastAsia" w:ascii="黑体" w:hAnsi="黑体" w:eastAsia="黑体" w:cs="黑体"/>
          <w:b/>
          <w:bCs/>
          <w:color w:val="auto"/>
          <w:sz w:val="28"/>
          <w:szCs w:val="28"/>
          <w:highlight w:val="none"/>
        </w:rPr>
        <w:t xml:space="preserve">关于符合本国产品标准的声明函</w:t>
      </w:r>
      <w:r/>
    </w:p>
    <w:p>
      <w:pPr>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highlight w:val="none"/>
        </w:rPr>
      </w:r>
      <w:r/>
    </w:p>
    <w:p>
      <w:pPr>
        <w:ind w:firstLine="42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0"/>
        <w:ind w:firstLine="420"/>
        <w:spacing w:before="30" w:beforeAutospacing="0" w:after="30" w:afterAutospacing="0" w:line="360" w:lineRule="auto"/>
        <w:rPr>
          <w:rFonts w:asciiTheme="majorEastAsia" w:hAnsiTheme="majorEastAsia" w:eastAsiaTheme="majorEastAsia"/>
          <w:color w:val="auto"/>
          <w:highlight w:val="none"/>
        </w:rPr>
      </w:pPr>
      <w:r>
        <w:rPr>
          <w:rFonts w:hint="eastAsia" w:asciiTheme="majorEastAsia" w:hAnsiTheme="majorEastAsia" w:eastAsiaTheme="majorEastAsia"/>
          <w:color w:val="auto"/>
          <w:highlight w:val="none"/>
          <w:shd w:val="clear" w:color="auto" w:fill="ffffff"/>
        </w:rPr>
        <w:t xml:space="preserve">1.</w:t>
      </w:r>
      <w:r>
        <w:rPr>
          <w:rStyle w:val="808"/>
          <w:rFonts w:hint="eastAsia" w:asciiTheme="majorEastAsia" w:hAnsiTheme="majorEastAsia" w:eastAsiaTheme="majorEastAsia"/>
          <w:color w:val="auto"/>
          <w:highlight w:val="none"/>
          <w:u w:val="single"/>
          <w:shd w:val="clear" w:color="auto" w:fill="ffffff"/>
        </w:rPr>
        <w:t xml:space="preserve">（产品名称1）</w:t>
      </w:r>
      <w:r>
        <w:rPr>
          <w:rStyle w:val="808"/>
          <w:rFonts w:hint="eastAsia" w:asciiTheme="majorEastAsia" w:hAnsiTheme="majorEastAsia" w:eastAsiaTheme="majorEastAsia"/>
          <w:color w:val="auto"/>
          <w:highlight w:val="none"/>
          <w:shd w:val="clear" w:color="auto" w:fill="ffffff"/>
          <w:vertAlign w:val="superscript"/>
        </w:rPr>
        <w:t xml:space="preserve">1</w:t>
      </w:r>
      <w:r>
        <w:rPr>
          <w:rFonts w:hint="eastAsia" w:asciiTheme="majorEastAsia" w:hAnsiTheme="majorEastAsia" w:eastAsiaTheme="majorEastAsia"/>
          <w:color w:val="auto"/>
          <w:highlight w:val="none"/>
          <w:shd w:val="clear" w:color="auto" w:fill="ffffff"/>
        </w:rPr>
        <w:t xml:space="preserve">，生产厂为</w:t>
      </w:r>
      <w:r>
        <w:rPr>
          <w:rStyle w:val="808"/>
          <w:rFonts w:hint="eastAsia" w:asciiTheme="majorEastAsia" w:hAnsiTheme="majorEastAsia" w:eastAsiaTheme="majorEastAsia"/>
          <w:color w:val="auto"/>
          <w:highlight w:val="none"/>
          <w:u w:val="single"/>
          <w:shd w:val="clear" w:color="auto" w:fill="ffffff"/>
        </w:rPr>
        <w:t xml:space="preserve">（厂名）</w:t>
      </w:r>
      <w:r>
        <w:rPr>
          <w:rStyle w:val="808"/>
          <w:rFonts w:hint="eastAsia" w:asciiTheme="majorEastAsia" w:hAnsiTheme="majorEastAsia" w:eastAsiaTheme="majorEastAsia"/>
          <w:color w:val="auto"/>
          <w:highlight w:val="none"/>
          <w:shd w:val="clear" w:color="auto" w:fill="ffffff"/>
          <w:vertAlign w:val="superscript"/>
        </w:rPr>
        <w:t xml:space="preserve">2</w:t>
      </w:r>
      <w:r>
        <w:rPr>
          <w:rFonts w:hint="eastAsia" w:asciiTheme="majorEastAsia" w:hAnsiTheme="majorEastAsia" w:eastAsiaTheme="majorEastAsia"/>
          <w:color w:val="auto"/>
          <w:highlight w:val="none"/>
          <w:shd w:val="clear" w:color="auto" w:fill="ffffff"/>
        </w:rPr>
        <w:t xml:space="preserve">，厂址为</w:t>
      </w:r>
      <w:r>
        <w:rPr>
          <w:rStyle w:val="808"/>
          <w:rFonts w:hint="eastAsia" w:asciiTheme="majorEastAsia" w:hAnsiTheme="majorEastAsia" w:eastAsiaTheme="majorEastAsia"/>
          <w:color w:val="auto"/>
          <w:highlight w:val="none"/>
          <w:u w:val="single"/>
          <w:shd w:val="clear" w:color="auto" w:fill="ffffff"/>
        </w:rPr>
        <w:t xml:space="preserve">（生产厂址）</w:t>
      </w:r>
      <w:r>
        <w:rPr>
          <w:rFonts w:hint="eastAsia" w:asciiTheme="majorEastAsia" w:hAnsiTheme="majorEastAsia" w:eastAsiaTheme="majorEastAsia"/>
          <w:color w:val="auto"/>
          <w:highlight w:val="none"/>
          <w:shd w:val="clear" w:color="auto" w:fill="ffffff"/>
        </w:rPr>
        <w:t xml:space="preserve">。</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的中国境内生产的组件成本占比≥</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shd w:val="clear" w:color="auto" w:fill="ffffff"/>
          <w:vertAlign w:val="superscript"/>
        </w:rPr>
        <w:t xml:space="preserve">3</w:t>
      </w:r>
      <w:r>
        <w:rPr>
          <w:rFonts w:hint="eastAsia" w:asciiTheme="majorEastAsia" w:hAnsiTheme="majorEastAsia" w:eastAsiaTheme="majorEastAsia"/>
          <w:color w:val="auto"/>
          <w:highlight w:val="none"/>
          <w:shd w:val="clear" w:color="auto" w:fill="ffffff"/>
        </w:rPr>
        <w:t xml:space="preserve">。</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的</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shd w:val="clear" w:color="auto" w:fill="ffffff"/>
          <w:vertAlign w:val="superscript"/>
        </w:rPr>
        <w:t xml:space="preserve">4</w:t>
      </w:r>
      <w:r>
        <w:rPr>
          <w:rFonts w:hint="eastAsia" w:asciiTheme="majorEastAsia" w:hAnsiTheme="majorEastAsia" w:eastAsiaTheme="majorEastAsia"/>
          <w:color w:val="auto"/>
          <w:highlight w:val="none"/>
          <w:shd w:val="clear" w:color="auto" w:fill="ffffff"/>
        </w:rPr>
        <w:t xml:space="preserve">在中国境内生产。</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的</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shd w:val="clear" w:color="auto" w:fill="ffffff"/>
          <w:vertAlign w:val="superscript"/>
        </w:rPr>
        <w:t xml:space="preserve">5</w:t>
      </w:r>
      <w:r>
        <w:rPr>
          <w:rFonts w:hint="eastAsia" w:asciiTheme="majorEastAsia" w:hAnsiTheme="majorEastAsia" w:eastAsiaTheme="majorEastAsia"/>
          <w:color w:val="auto"/>
          <w:highlight w:val="none"/>
          <w:shd w:val="clear" w:color="auto" w:fill="ffffff"/>
        </w:rPr>
        <w:t xml:space="preserve">在中国境内完成。</w:t>
      </w:r>
      <w:r/>
    </w:p>
    <w:p>
      <w:pPr>
        <w:pStyle w:val="800"/>
        <w:ind w:firstLine="420"/>
        <w:spacing w:before="30" w:beforeAutospacing="0" w:after="30" w:afterAutospacing="0" w:line="360" w:lineRule="auto"/>
        <w:rPr>
          <w:rFonts w:asciiTheme="majorEastAsia" w:hAnsiTheme="majorEastAsia" w:eastAsiaTheme="majorEastAsia"/>
          <w:color w:val="auto"/>
          <w:highlight w:val="none"/>
        </w:rPr>
      </w:pPr>
      <w:r>
        <w:rPr>
          <w:rFonts w:hint="eastAsia" w:asciiTheme="majorEastAsia" w:hAnsiTheme="majorEastAsia" w:eastAsiaTheme="majorEastAsia"/>
          <w:color w:val="auto"/>
          <w:highlight w:val="none"/>
          <w:shd w:val="clear" w:color="auto" w:fill="ffffff"/>
        </w:rPr>
        <w:t xml:space="preserve">2.</w:t>
      </w:r>
      <w:r>
        <w:rPr>
          <w:rStyle w:val="808"/>
          <w:rFonts w:hint="eastAsia" w:asciiTheme="majorEastAsia" w:hAnsiTheme="majorEastAsia" w:eastAsiaTheme="majorEastAsia"/>
          <w:color w:val="auto"/>
          <w:highlight w:val="none"/>
          <w:u w:val="single"/>
          <w:shd w:val="clear" w:color="auto" w:fill="ffffff"/>
        </w:rPr>
        <w:t xml:space="preserve">（产品名称2）</w:t>
      </w:r>
      <w:r>
        <w:rPr>
          <w:rFonts w:hint="eastAsia" w:asciiTheme="majorEastAsia" w:hAnsiTheme="majorEastAsia" w:eastAsiaTheme="majorEastAsia"/>
          <w:color w:val="auto"/>
          <w:highlight w:val="none"/>
          <w:shd w:val="clear" w:color="auto" w:fill="ffffff"/>
        </w:rPr>
        <w:t xml:space="preserve">，生产厂为</w:t>
      </w:r>
      <w:r>
        <w:rPr>
          <w:rStyle w:val="808"/>
          <w:rFonts w:hint="eastAsia" w:asciiTheme="majorEastAsia" w:hAnsiTheme="majorEastAsia" w:eastAsiaTheme="majorEastAsia"/>
          <w:color w:val="auto"/>
          <w:highlight w:val="none"/>
          <w:u w:val="single"/>
          <w:shd w:val="clear" w:color="auto" w:fill="ffffff"/>
        </w:rPr>
        <w:t xml:space="preserve">（厂名）</w:t>
      </w:r>
      <w:r>
        <w:rPr>
          <w:rFonts w:hint="eastAsia" w:asciiTheme="majorEastAsia" w:hAnsiTheme="majorEastAsia" w:eastAsiaTheme="majorEastAsia"/>
          <w:color w:val="auto"/>
          <w:highlight w:val="none"/>
          <w:shd w:val="clear" w:color="auto" w:fill="ffffff"/>
        </w:rPr>
        <w:t xml:space="preserve">，厂址为</w:t>
      </w:r>
      <w:r>
        <w:rPr>
          <w:rStyle w:val="808"/>
          <w:rFonts w:hint="eastAsia" w:asciiTheme="majorEastAsia" w:hAnsiTheme="majorEastAsia" w:eastAsiaTheme="majorEastAsia"/>
          <w:color w:val="auto"/>
          <w:highlight w:val="none"/>
          <w:u w:val="single"/>
          <w:shd w:val="clear" w:color="auto" w:fill="ffffff"/>
        </w:rPr>
        <w:t xml:space="preserve">（生产厂址）</w:t>
      </w:r>
      <w:r>
        <w:rPr>
          <w:rFonts w:hint="eastAsia" w:asciiTheme="majorEastAsia" w:hAnsiTheme="majorEastAsia" w:eastAsiaTheme="majorEastAsia"/>
          <w:color w:val="auto"/>
          <w:highlight w:val="none"/>
          <w:shd w:val="clear" w:color="auto" w:fill="ffffff"/>
        </w:rPr>
        <w:t xml:space="preserve">。</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的中国境内生产的组件成本占比≥</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的</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在中国境内生产。</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的</w:t>
      </w:r>
      <w:r>
        <w:rPr>
          <w:rFonts w:hint="eastAsia" w:asciiTheme="majorEastAsia" w:hAnsiTheme="majorEastAsia" w:eastAsiaTheme="majorEastAsia"/>
          <w:color w:val="auto"/>
          <w:highlight w:val="none"/>
          <w:u w:val="single"/>
          <w:shd w:val="clear" w:color="auto" w:fill="ffffff"/>
        </w:rPr>
        <w:t xml:space="preserve">  </w:t>
      </w:r>
      <w:r>
        <w:rPr>
          <w:rStyle w:val="808"/>
          <w:rFonts w:hint="eastAsia" w:asciiTheme="majorEastAsia" w:hAnsiTheme="majorEastAsia" w:eastAsiaTheme="majorEastAsia"/>
          <w:color w:val="auto"/>
          <w:highlight w:val="none"/>
          <w:u w:val="single"/>
          <w:shd w:val="clear" w:color="auto" w:fill="ffffff"/>
        </w:rPr>
        <w:t xml:space="preserve">/  </w:t>
      </w:r>
      <w:r>
        <w:rPr>
          <w:rFonts w:hint="eastAsia" w:asciiTheme="majorEastAsia" w:hAnsiTheme="majorEastAsia" w:eastAsiaTheme="majorEastAsia"/>
          <w:color w:val="auto"/>
          <w:highlight w:val="none"/>
          <w:shd w:val="clear" w:color="auto" w:fill="ffffff"/>
        </w:rPr>
        <w:t xml:space="preserve">在中国境内完成。</w:t>
      </w:r>
      <w:r/>
    </w:p>
    <w:p>
      <w:pPr>
        <w:ind w:firstLine="4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w:t>
      </w:r>
      <w:r/>
    </w:p>
    <w:p>
      <w:pPr>
        <w:ind w:firstLine="4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本公司（单位）对上述声明内容的真实性负责。如有虚假，愿承担相应法律责任。</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 </w:t>
      </w:r>
      <w:r/>
    </w:p>
    <w:p>
      <w:pPr>
        <w:ind w:right="480" w:firstLine="37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公司（单位）名称（盖章）：　</w:t>
      </w:r>
      <w:r/>
    </w:p>
    <w:p>
      <w:pPr>
        <w:jc w:val="cente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                                日期：　   年　  月　  日         </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__________________</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1.产品如有型号，请在“产品名称”栏一并填写。</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2.生产厂名与厂址应与生产厂营业执照载明的相关信息保持一致。</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3.该产品的中国境内生产的组件成本占比相关要求实施前，“规定比例”栏可不填，下同。</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4.该产品的关键组件要求实施前，“关键组件”栏可不填，下同。</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5.该产品的关键工序要求实施前，“关键工序”栏可不填，下同。</w:t>
      </w:r>
      <w:r/>
    </w:p>
    <w:p>
      <w:pPr>
        <w:spacing w:before="30" w:after="30"/>
        <w:rPr>
          <w:rFonts w:hint="eastAsia" w:ascii="黑体" w:hAnsi="黑体" w:eastAsia="黑体" w:cs="黑体"/>
          <w:color w:val="auto"/>
          <w:sz w:val="22"/>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6.用斜线划除的地方无需填写。</w:t>
      </w:r>
      <w:r/>
    </w:p>
    <w:p>
      <w:pPr>
        <w:spacing w:before="164" w:line="228" w:lineRule="auto"/>
        <w:rPr>
          <w:rFonts w:hint="eastAsia" w:ascii="黑体" w:hAnsi="黑体" w:eastAsia="黑体" w:cs="黑体"/>
          <w:bCs/>
          <w:color w:val="auto"/>
          <w:sz w:val="28"/>
          <w:szCs w:val="28"/>
          <w:highlight w:val="none"/>
        </w:rPr>
      </w:pPr>
      <w:r>
        <w:rPr>
          <w:rFonts w:hint="eastAsia" w:ascii="黑体" w:hAnsi="黑体" w:eastAsia="黑体" w:cs="黑体"/>
          <w:color w:val="auto"/>
          <w:sz w:val="22"/>
          <w:highlight w:val="none"/>
        </w:rPr>
        <w:br w:type="page" w:clear="all"/>
      </w:r>
      <w:bookmarkEnd w:id="148"/>
      <w:r/>
      <w:bookmarkEnd w:id="149"/>
      <w:r>
        <w:rPr>
          <w:rFonts w:hint="eastAsia" w:ascii="黑体" w:hAnsi="黑体" w:eastAsia="黑体" w:cs="黑体"/>
          <w:bCs/>
          <w:color w:val="auto"/>
          <w:sz w:val="28"/>
          <w:szCs w:val="28"/>
          <w:highlight w:val="none"/>
        </w:rPr>
        <w:t xml:space="preserve">质疑函范本</w:t>
      </w:r>
      <w:r/>
    </w:p>
    <w:p>
      <w:pPr>
        <w:spacing w:before="312"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一、质疑投标单位基本信息</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质疑投标单位：</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地址：邮编：</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联系人：联系电话：</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授权代表：</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联系电话：</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地址：邮编：</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二、质疑项目基本情况</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质疑项目的名称：</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质疑项目的编号：包号：</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采购人名称：</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采购文件获取日期：</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三、质疑事项具体内容</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质疑事项1：</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事实依据：</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法律依据：</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u w:val="single"/>
        </w:rPr>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质疑事项2</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四、与质疑事项相关的质疑请求</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请求：</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签字(签章)：                   公章：                      </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日期：    </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质疑函制作说明：</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1.投标单位提出质疑时，应提交质疑函和必要的证明材料。</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质疑投标单位若委托代理人进行质疑的，质疑函应按要求列明“授权代表”的有关内容，并在附件中提交由质疑投标单位签署的授权委托书。授权委托书应载明代理人的姓名或者名称、代理事项、具体权限、期限和相关事项。</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3.质疑投标单位若对项目的某一分包进行质疑，质疑函中应列明具体分包号。</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4.质疑函的质疑事项应具体、明确，并有必要的事实依据和法律依据。</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5.质疑函的质疑请求应与质疑事项相关。</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6.质疑投标单位为自然人的，质疑函应由本人签字；质疑投标单位为法人或者其他组织的，质疑函应由法定代表人、主要负责人，或者其授权代表签字或者盖章，并加盖公章。</w:t>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spacing w:line="360" w:lineRule="auto"/>
        <w:rPr>
          <w:rFonts w:hint="eastAsia" w:ascii="黑体" w:hAnsi="黑体" w:eastAsia="黑体" w:cs="黑体"/>
          <w:bCs/>
          <w:color w:val="auto"/>
          <w:sz w:val="72"/>
          <w:szCs w:val="72"/>
          <w:highlight w:val="none"/>
        </w:rPr>
      </w:pPr>
      <w:r>
        <w:rPr>
          <w:rFonts w:hint="eastAsia" w:ascii="黑体" w:hAnsi="黑体" w:eastAsia="黑体" w:cs="黑体"/>
          <w:bCs/>
          <w:color w:val="auto"/>
          <w:sz w:val="28"/>
          <w:szCs w:val="28"/>
          <w:highlight w:val="none"/>
        </w:rPr>
        <w:br w:type="page" w:clear="all"/>
      </w:r>
      <w:r/>
    </w:p>
    <w:p>
      <w:pPr>
        <w:ind w:right="561"/>
        <w:jc w:val="center"/>
        <w:spacing w:line="380" w:lineRule="exact"/>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中小企业划型标准规定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各行业划型标准为：</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（十五）</w:t>
      </w:r>
      <w:r>
        <w:rPr>
          <w:rFonts w:hint="eastAsia" w:ascii="黑体" w:hAnsi="黑体" w:eastAsia="黑体" w:cs="黑体"/>
          <w:b/>
          <w:bCs/>
          <w:color w:val="auto"/>
          <w:sz w:val="24"/>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8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spacing w:line="480" w:lineRule="auto"/>
        <w:rPr>
          <w:rFonts w:hint="eastAsia" w:ascii="黑体" w:hAnsi="黑体" w:eastAsia="黑体" w:cs="黑体"/>
          <w:b/>
          <w:bCs/>
          <w:color w:val="auto"/>
          <w:sz w:val="28"/>
          <w:szCs w:val="28"/>
          <w:highlight w:val="none"/>
          <w:shd w:val="clear" w:color="auto" w:fill="ffffff"/>
        </w:rPr>
        <w:outlineLvl w:val="0"/>
      </w:pPr>
      <w:r>
        <w:rPr>
          <w:rFonts w:hint="eastAsia" w:ascii="黑体" w:hAnsi="黑体" w:eastAsia="黑体" w:cs="黑体"/>
          <w:b/>
          <w:bCs/>
          <w:color w:val="auto"/>
          <w:sz w:val="28"/>
          <w:szCs w:val="28"/>
          <w:highlight w:val="none"/>
          <w:shd w:val="clear" w:color="auto" w:fill="ffffff"/>
        </w:rPr>
        <w:br w:type="page" w:clear="all"/>
      </w:r>
      <w:r>
        <w:rPr>
          <w:rFonts w:hint="eastAsia" w:ascii="黑体" w:hAnsi="黑体" w:eastAsia="黑体" w:cs="黑体"/>
          <w:b/>
          <w:bCs/>
          <w:color w:val="auto"/>
          <w:sz w:val="28"/>
          <w:szCs w:val="28"/>
          <w:highlight w:val="none"/>
          <w:shd w:val="clear" w:color="auto" w:fill="ffffff"/>
        </w:rPr>
        <w:t xml:space="preserve">         </w:t>
      </w:r>
      <w:r/>
    </w:p>
    <w:p>
      <w:pPr>
        <w:ind w:firstLine="1606"/>
        <w:spacing w:line="480" w:lineRule="auto"/>
        <w:rPr>
          <w:rFonts w:hint="eastAsia" w:ascii="黑体" w:hAnsi="黑体" w:eastAsia="黑体" w:cs="黑体"/>
          <w:b/>
          <w:bCs/>
          <w:color w:val="auto"/>
          <w:sz w:val="44"/>
          <w:szCs w:val="44"/>
          <w:highlight w:val="none"/>
        </w:rPr>
        <w:outlineLvl w:val="0"/>
      </w:pPr>
      <w:r>
        <w:rPr>
          <w:rFonts w:hint="eastAsia" w:ascii="黑体" w:hAnsi="黑体" w:eastAsia="黑体" w:cs="黑体"/>
          <w:b/>
          <w:bCs/>
          <w:color w:val="auto"/>
          <w:sz w:val="32"/>
          <w:szCs w:val="32"/>
          <w:highlight w:val="none"/>
        </w:rPr>
        <w:t xml:space="preserve">    </w:t>
      </w:r>
      <w:r>
        <w:rPr>
          <w:rFonts w:hint="eastAsia" w:ascii="黑体" w:hAnsi="黑体" w:eastAsia="黑体" w:cs="黑体"/>
          <w:b/>
          <w:bCs/>
          <w:color w:val="auto"/>
          <w:sz w:val="44"/>
          <w:szCs w:val="44"/>
          <w:highlight w:val="none"/>
        </w:rPr>
        <w:t xml:space="preserve">政府采购合同参考范本</w:t>
      </w:r>
      <w:r/>
    </w:p>
    <w:p>
      <w:pPr>
        <w:jc w:val="center"/>
        <w:spacing w:line="480" w:lineRule="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（服务类）</w:t>
      </w:r>
      <w:r/>
    </w:p>
    <w:p>
      <w:pPr>
        <w:pStyle w:val="974"/>
        <w:ind w:firstLine="0"/>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pStyle w:val="974"/>
        <w:ind w:firstLine="0"/>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pStyle w:val="974"/>
        <w:ind w:firstLine="0"/>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pStyle w:val="974"/>
        <w:ind w:firstLine="0"/>
        <w:jc w:val="center"/>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第一部分 合同书</w:t>
      </w:r>
      <w:r/>
    </w:p>
    <w:p>
      <w:pPr>
        <w:pStyle w:val="974"/>
        <w:ind w:firstLine="0"/>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pStyle w:val="974"/>
        <w:ind w:firstLine="0"/>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spacing w:before="120" w:line="22" w:lineRule="atLeas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ind w:firstLine="964"/>
        <w:widowControl/>
        <w:rPr>
          <w:rFonts w:hint="eastAsia" w:ascii="黑体" w:hAnsi="黑体" w:eastAsia="黑体" w:cs="黑体"/>
          <w:b/>
          <w:bCs/>
          <w:color w:val="auto"/>
          <w:szCs w:val="24"/>
          <w:highlight w:val="none"/>
        </w:rPr>
      </w:pPr>
      <w:r>
        <w:rPr>
          <w:rFonts w:hint="eastAsia" w:ascii="黑体" w:hAnsi="黑体" w:eastAsia="黑体" w:cs="黑体"/>
          <w:b/>
          <w:bCs/>
          <w:color w:val="auto"/>
          <w:sz w:val="24"/>
          <w:highlight w:val="none"/>
        </w:rPr>
        <w:t xml:space="preserve">项目名称：</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szCs w:val="24"/>
          <w:highlight w:val="none"/>
          <w:u w:val="single"/>
        </w:rPr>
        <w:t xml:space="preserve">南通经济技术开发区“童声里的中国”少儿视听工坊项目</w:t>
      </w:r>
      <w:r/>
    </w:p>
    <w:p>
      <w:pPr>
        <w:pStyle w:val="1107"/>
        <w:spacing w:before="120" w:line="22" w:lineRule="atLeast"/>
        <w:rPr>
          <w:rFonts w:hint="eastAsia" w:ascii="黑体" w:hAnsi="黑体" w:eastAsia="黑体" w:cs="黑体"/>
          <w:b/>
          <w:bCs/>
          <w:color w:val="auto"/>
          <w:szCs w:val="24"/>
          <w:highlight w:val="none"/>
        </w:rPr>
      </w:pPr>
      <w:r>
        <w:rPr>
          <w:rFonts w:hint="eastAsia" w:ascii="黑体" w:hAnsi="黑体" w:eastAsia="黑体" w:cs="黑体"/>
          <w:b/>
          <w:bCs/>
          <w:color w:val="auto"/>
          <w:szCs w:val="24"/>
          <w:highlight w:val="none"/>
        </w:rPr>
      </w:r>
      <w:r/>
    </w:p>
    <w:p>
      <w:pPr>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ind w:left="960"/>
        <w:spacing w:before="120" w:line="22" w:lineRule="atLeas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甲方：</w:t>
      </w:r>
      <w:r>
        <w:rPr>
          <w:rFonts w:hint="eastAsia" w:ascii="黑体" w:hAnsi="黑体" w:eastAsia="黑体" w:cs="黑体"/>
          <w:b/>
          <w:bCs/>
          <w:color w:val="auto"/>
          <w:sz w:val="24"/>
          <w:highlight w:val="none"/>
          <w:u w:val="single"/>
        </w:rPr>
        <w:t xml:space="preserve">                                       </w:t>
      </w:r>
      <w:r/>
    </w:p>
    <w:p>
      <w:pPr>
        <w:spacing w:before="120" w:line="22" w:lineRule="atLeas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ind w:left="960"/>
        <w:spacing w:before="120" w:line="22" w:lineRule="atLeas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乙方：</w:t>
      </w:r>
      <w:r>
        <w:rPr>
          <w:rFonts w:hint="eastAsia" w:ascii="黑体" w:hAnsi="黑体" w:eastAsia="黑体" w:cs="黑体"/>
          <w:b/>
          <w:bCs/>
          <w:color w:val="auto"/>
          <w:sz w:val="24"/>
          <w:highlight w:val="none"/>
          <w:u w:val="single"/>
        </w:rPr>
        <w:t xml:space="preserve">                                       </w:t>
      </w:r>
      <w:r/>
    </w:p>
    <w:p>
      <w:pPr>
        <w:spacing w:before="120" w:line="22" w:lineRule="atLeas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ind w:firstLine="964"/>
        <w:spacing w:before="120" w:line="22" w:lineRule="atLeas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签订地：</w:t>
      </w:r>
      <w:r>
        <w:rPr>
          <w:rFonts w:hint="eastAsia" w:ascii="黑体" w:hAnsi="黑体" w:eastAsia="黑体" w:cs="黑体"/>
          <w:b/>
          <w:bCs/>
          <w:color w:val="auto"/>
          <w:sz w:val="24"/>
          <w:highlight w:val="none"/>
          <w:u w:val="single"/>
        </w:rPr>
        <w:t xml:space="preserve">                                     </w:t>
      </w:r>
      <w:r/>
    </w:p>
    <w:p>
      <w:pPr>
        <w:spacing w:before="120" w:line="22" w:lineRule="atLeas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ind w:firstLine="964"/>
        <w:spacing w:before="120" w:line="22" w:lineRule="atLeas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签订日期：</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年</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月</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日</w:t>
      </w:r>
      <w:r/>
    </w:p>
    <w:p>
      <w:pPr>
        <w:ind w:firstLine="640"/>
        <w:jc w:val="center"/>
        <w:spacing w:line="600" w:lineRule="exact"/>
        <w:rPr>
          <w:rFonts w:hint="eastAsia" w:ascii="黑体" w:hAnsi="黑体" w:eastAsia="黑体" w:cs="黑体"/>
          <w:b/>
          <w:bCs/>
          <w:color w:val="auto"/>
          <w:sz w:val="24"/>
          <w:highlight w:val="none"/>
        </w:rPr>
        <w:sectPr>
          <w:headerReference w:type="default" r:id="rId10"/>
          <w:footerReference w:type="default" r:id="rId13"/>
          <w:footnotePr/>
          <w:endnotePr/>
          <w:type w:val="nextPage"/>
          <w:pgSz w:w="11907" w:h="16840" w:orient="portrait"/>
          <w:pgMar w:top="1440" w:right="1080" w:bottom="1440" w:left="1080" w:header="851" w:footer="851" w:gutter="0"/>
          <w:cols w:num="1" w:sep="0" w:space="720" w:equalWidth="1"/>
          <w:docGrid w:linePitch="360"/>
        </w:sectPr>
      </w:pPr>
      <w:r>
        <w:rPr>
          <w:rFonts w:hint="eastAsia" w:ascii="黑体" w:hAnsi="黑体" w:eastAsia="黑体" w:cs="黑体"/>
          <w:b/>
          <w:bCs/>
          <w:color w:val="auto"/>
          <w:sz w:val="24"/>
          <w:highlight w:val="none"/>
        </w:rPr>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u w:val="single"/>
          <w:lang w:val="zh-CN"/>
        </w:rPr>
        <w:t xml:space="preserve">        </w:t>
      </w:r>
      <w:r>
        <w:rPr>
          <w:rFonts w:hint="eastAsia" w:ascii="黑体" w:hAnsi="黑体" w:eastAsia="黑体" w:cs="黑体"/>
          <w:b/>
          <w:bCs/>
          <w:color w:val="auto"/>
          <w:sz w:val="24"/>
          <w:highlight w:val="none"/>
          <w:lang w:val="zh-CN"/>
        </w:rPr>
        <w:t xml:space="preserve">年</w:t>
      </w:r>
      <w:r>
        <w:rPr>
          <w:rFonts w:hint="eastAsia" w:ascii="黑体" w:hAnsi="黑体" w:eastAsia="黑体" w:cs="黑体"/>
          <w:b/>
          <w:bCs/>
          <w:color w:val="auto"/>
          <w:sz w:val="24"/>
          <w:highlight w:val="none"/>
          <w:u w:val="single"/>
          <w:lang w:val="zh-CN"/>
        </w:rPr>
        <w:t xml:space="preserve">    </w:t>
      </w:r>
      <w:r>
        <w:rPr>
          <w:rFonts w:hint="eastAsia" w:ascii="黑体" w:hAnsi="黑体" w:eastAsia="黑体" w:cs="黑体"/>
          <w:b/>
          <w:bCs/>
          <w:color w:val="auto"/>
          <w:sz w:val="24"/>
          <w:highlight w:val="none"/>
          <w:lang w:val="zh-CN"/>
        </w:rPr>
        <w:t xml:space="preserve">月</w:t>
      </w:r>
      <w:r>
        <w:rPr>
          <w:rFonts w:hint="eastAsia" w:ascii="黑体" w:hAnsi="黑体" w:eastAsia="黑体" w:cs="黑体"/>
          <w:b/>
          <w:bCs/>
          <w:color w:val="auto"/>
          <w:sz w:val="24"/>
          <w:highlight w:val="none"/>
          <w:u w:val="single"/>
          <w:lang w:val="zh-CN"/>
        </w:rPr>
        <w:t xml:space="preserve">    </w:t>
      </w:r>
      <w:r>
        <w:rPr>
          <w:rFonts w:hint="eastAsia" w:ascii="黑体" w:hAnsi="黑体" w:eastAsia="黑体" w:cs="黑体"/>
          <w:b/>
          <w:bCs/>
          <w:color w:val="auto"/>
          <w:sz w:val="24"/>
          <w:highlight w:val="none"/>
          <w:lang w:val="zh-CN"/>
        </w:rPr>
        <w:t xml:space="preserve">日</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u w:val="single"/>
        </w:rPr>
        <w:t xml:space="preserve">   （采购人名称）   </w:t>
      </w:r>
      <w:r>
        <w:rPr>
          <w:rFonts w:hint="eastAsia" w:ascii="黑体" w:hAnsi="黑体" w:eastAsia="黑体" w:cs="黑体"/>
          <w:b/>
          <w:bCs/>
          <w:color w:val="auto"/>
          <w:sz w:val="24"/>
          <w:highlight w:val="none"/>
        </w:rPr>
        <w:t xml:space="preserve">以</w:t>
      </w:r>
      <w:r>
        <w:rPr>
          <w:rFonts w:hint="eastAsia" w:ascii="黑体" w:hAnsi="黑体" w:eastAsia="黑体" w:cs="黑体"/>
          <w:b/>
          <w:bCs/>
          <w:color w:val="auto"/>
          <w:sz w:val="24"/>
          <w:highlight w:val="none"/>
          <w:u w:val="single"/>
        </w:rPr>
        <w:t xml:space="preserve">   （政府采购方式）  </w:t>
      </w:r>
      <w:r>
        <w:rPr>
          <w:rFonts w:hint="eastAsia" w:ascii="黑体" w:hAnsi="黑体" w:eastAsia="黑体" w:cs="黑体"/>
          <w:b/>
          <w:bCs/>
          <w:color w:val="auto"/>
          <w:sz w:val="24"/>
          <w:highlight w:val="none"/>
        </w:rPr>
        <w:t xml:space="preserve">对</w:t>
      </w:r>
      <w:r>
        <w:rPr>
          <w:rFonts w:hint="eastAsia" w:ascii="黑体" w:hAnsi="黑体" w:eastAsia="黑体" w:cs="黑体"/>
          <w:b/>
          <w:bCs/>
          <w:color w:val="auto"/>
          <w:sz w:val="24"/>
          <w:highlight w:val="none"/>
          <w:u w:val="single"/>
        </w:rPr>
        <w:t xml:space="preserve">   （同前页项目名称）   </w:t>
      </w:r>
      <w:r>
        <w:rPr>
          <w:rFonts w:hint="eastAsia" w:ascii="黑体" w:hAnsi="黑体" w:eastAsia="黑体" w:cs="黑体"/>
          <w:b/>
          <w:bCs/>
          <w:color w:val="auto"/>
          <w:sz w:val="24"/>
          <w:highlight w:val="none"/>
        </w:rPr>
        <w:t xml:space="preserve">项目进行了采购。经</w:t>
      </w:r>
      <w:r>
        <w:rPr>
          <w:rFonts w:hint="eastAsia" w:ascii="黑体" w:hAnsi="黑体" w:eastAsia="黑体" w:cs="黑体"/>
          <w:b/>
          <w:bCs/>
          <w:color w:val="auto"/>
          <w:sz w:val="24"/>
          <w:highlight w:val="none"/>
          <w:u w:val="single"/>
        </w:rPr>
        <w:t xml:space="preserve">   （相关评定主体名称）   </w:t>
      </w:r>
      <w:r>
        <w:rPr>
          <w:rFonts w:hint="eastAsia" w:ascii="黑体" w:hAnsi="黑体" w:eastAsia="黑体" w:cs="黑体"/>
          <w:b/>
          <w:bCs/>
          <w:color w:val="auto"/>
          <w:sz w:val="24"/>
          <w:highlight w:val="none"/>
        </w:rPr>
        <w:t xml:space="preserve">评定，</w:t>
      </w:r>
      <w:r>
        <w:rPr>
          <w:rFonts w:hint="eastAsia" w:ascii="黑体" w:hAnsi="黑体" w:eastAsia="黑体" w:cs="黑体"/>
          <w:b/>
          <w:bCs/>
          <w:color w:val="auto"/>
          <w:sz w:val="24"/>
          <w:highlight w:val="none"/>
          <w:u w:val="single"/>
        </w:rPr>
        <w:t xml:space="preserve">   （中标供应商名称） </w:t>
      </w:r>
      <w:r>
        <w:rPr>
          <w:rFonts w:hint="eastAsia" w:ascii="黑体" w:hAnsi="黑体" w:eastAsia="黑体" w:cs="黑体"/>
          <w:b/>
          <w:bCs/>
          <w:color w:val="auto"/>
          <w:sz w:val="24"/>
          <w:highlight w:val="none"/>
        </w:rPr>
        <w:t xml:space="preserve">为该项目中标供应商。现于中标通知书发出之日起十日内，按照采购文件确定的事项签订本合同。</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val="zh-CN"/>
        </w:rPr>
        <w:t xml:space="preserve">根据《中华人民共和国</w:t>
      </w:r>
      <w:r>
        <w:rPr>
          <w:rFonts w:hint="eastAsia" w:ascii="黑体" w:hAnsi="黑体" w:eastAsia="黑体" w:cs="黑体"/>
          <w:b/>
          <w:bCs/>
          <w:color w:val="auto"/>
          <w:sz w:val="24"/>
          <w:highlight w:val="none"/>
        </w:rPr>
        <w:t xml:space="preserve">民法典</w:t>
      </w:r>
      <w:r>
        <w:rPr>
          <w:rFonts w:hint="eastAsia" w:ascii="黑体" w:hAnsi="黑体" w:eastAsia="黑体" w:cs="黑体"/>
          <w:b/>
          <w:bCs/>
          <w:color w:val="auto"/>
          <w:sz w:val="24"/>
          <w:highlight w:val="none"/>
          <w:lang w:val="zh-CN"/>
        </w:rPr>
        <w:t xml:space="preserve">》、《中华人民共和国政府采购法》等相关法律法规之规定，按照平等、自愿、公平和诚实信用的原则，经</w:t>
      </w:r>
      <w:r>
        <w:rPr>
          <w:rFonts w:hint="eastAsia" w:ascii="黑体" w:hAnsi="黑体" w:eastAsia="黑体" w:cs="黑体"/>
          <w:b/>
          <w:bCs/>
          <w:color w:val="auto"/>
          <w:sz w:val="24"/>
          <w:highlight w:val="none"/>
          <w:u w:val="single"/>
        </w:rPr>
        <w:t xml:space="preserve">   （采购人名称）   </w:t>
      </w:r>
      <w:r>
        <w:rPr>
          <w:rFonts w:hint="eastAsia" w:ascii="黑体" w:hAnsi="黑体" w:eastAsia="黑体" w:cs="黑体"/>
          <w:b/>
          <w:bCs/>
          <w:color w:val="auto"/>
          <w:sz w:val="24"/>
          <w:highlight w:val="none"/>
          <w:lang w:val="zh-CN"/>
        </w:rPr>
        <w:t xml:space="preserve">(以下简称：甲方)和</w:t>
      </w:r>
      <w:r>
        <w:rPr>
          <w:rFonts w:hint="eastAsia" w:ascii="黑体" w:hAnsi="黑体" w:eastAsia="黑体" w:cs="黑体"/>
          <w:b/>
          <w:bCs/>
          <w:color w:val="auto"/>
          <w:sz w:val="24"/>
          <w:highlight w:val="none"/>
          <w:u w:val="single"/>
        </w:rPr>
        <w:t xml:space="preserve">   （中标供应商名称）   </w:t>
      </w:r>
      <w:r>
        <w:rPr>
          <w:rFonts w:hint="eastAsia" w:ascii="黑体" w:hAnsi="黑体" w:eastAsia="黑体" w:cs="黑体"/>
          <w:b/>
          <w:bCs/>
          <w:color w:val="auto"/>
          <w:sz w:val="24"/>
          <w:highlight w:val="none"/>
          <w:lang w:val="zh-CN"/>
        </w:rPr>
        <w:t xml:space="preserve">(以下简称：乙方)协商一致，约定以下合同</w:t>
      </w:r>
      <w:r>
        <w:rPr>
          <w:rFonts w:hint="eastAsia" w:ascii="黑体" w:hAnsi="黑体" w:eastAsia="黑体" w:cs="黑体"/>
          <w:b/>
          <w:bCs/>
          <w:color w:val="auto"/>
          <w:sz w:val="24"/>
          <w:highlight w:val="none"/>
        </w:rPr>
        <w:t xml:space="preserve">条款，以兹共同遵守、全面履行。</w:t>
      </w:r>
      <w:r/>
    </w:p>
    <w:p>
      <w:pPr>
        <w:ind w:firstLine="482"/>
        <w:spacing w:line="560" w:lineRule="exact"/>
        <w:rPr>
          <w:rFonts w:hint="eastAsia" w:ascii="黑体" w:hAnsi="黑体" w:eastAsia="黑体" w:cs="黑体"/>
          <w:b/>
          <w:bCs/>
          <w:color w:val="auto"/>
          <w:sz w:val="24"/>
          <w:highlight w:val="none"/>
        </w:rPr>
        <w:outlineLvl w:val="0"/>
      </w:pPr>
      <w:r/>
      <w:bookmarkStart w:id="150" w:name="_Toc19273"/>
      <w:r/>
      <w:bookmarkStart w:id="151" w:name="_Toc15367"/>
      <w:r/>
      <w:bookmarkStart w:id="152" w:name="_Toc20421"/>
      <w:r/>
      <w:bookmarkStart w:id="153" w:name="_Toc28855"/>
      <w:r/>
      <w:bookmarkStart w:id="154" w:name="_Toc22967"/>
      <w:r>
        <w:rPr>
          <w:rFonts w:hint="eastAsia" w:ascii="黑体" w:hAnsi="黑体" w:eastAsia="黑体" w:cs="黑体"/>
          <w:b/>
          <w:bCs/>
          <w:color w:val="auto"/>
          <w:sz w:val="24"/>
          <w:highlight w:val="none"/>
        </w:rPr>
        <w:t xml:space="preserve">1.1 合同组成部分</w:t>
      </w:r>
      <w:bookmarkEnd w:id="150"/>
      <w:r/>
      <w:bookmarkEnd w:id="151"/>
      <w:r/>
      <w:bookmarkEnd w:id="152"/>
      <w:r/>
      <w:bookmarkEnd w:id="153"/>
      <w:r/>
      <w:bookmarkEnd w:id="154"/>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1.1.1 本合同及其补充合同、变更协议；</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1.1.2 中标通知书；</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1.1.3 投标文件（含澄清或者说明文件）；</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1.1.4 </w:t>
      </w:r>
      <w:r>
        <w:rPr>
          <w:rFonts w:hint="eastAsia" w:ascii="黑体" w:hAnsi="黑体" w:eastAsia="黑体" w:cs="黑体"/>
          <w:b/>
          <w:bCs/>
          <w:color w:val="auto"/>
          <w:sz w:val="24"/>
          <w:highlight w:val="none"/>
          <w:lang w:val="en-US" w:eastAsia="zh-CN"/>
        </w:rPr>
        <w:t xml:space="preserve">招标</w:t>
      </w:r>
      <w:r>
        <w:rPr>
          <w:rFonts w:hint="eastAsia" w:ascii="黑体" w:hAnsi="黑体" w:eastAsia="黑体" w:cs="黑体"/>
          <w:b/>
          <w:bCs/>
          <w:color w:val="auto"/>
          <w:sz w:val="24"/>
          <w:highlight w:val="none"/>
          <w:lang w:eastAsia="zh-CN"/>
        </w:rPr>
        <w:t xml:space="preserve">文件</w:t>
      </w:r>
      <w:r>
        <w:rPr>
          <w:rFonts w:hint="eastAsia" w:ascii="黑体" w:hAnsi="黑体" w:eastAsia="黑体" w:cs="黑体"/>
          <w:b/>
          <w:bCs/>
          <w:color w:val="auto"/>
          <w:sz w:val="24"/>
          <w:highlight w:val="none"/>
        </w:rPr>
        <w:t xml:space="preserve">（含澄清或者修改文件）；</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1.1.5 其他相关采购文件。</w:t>
      </w:r>
      <w:r/>
    </w:p>
    <w:p>
      <w:pPr>
        <w:ind w:firstLine="482"/>
        <w:spacing w:line="560" w:lineRule="exact"/>
        <w:rPr>
          <w:rFonts w:hint="eastAsia" w:ascii="黑体" w:hAnsi="黑体" w:eastAsia="黑体" w:cs="黑体"/>
          <w:b/>
          <w:bCs/>
          <w:color w:val="auto"/>
          <w:sz w:val="24"/>
          <w:highlight w:val="none"/>
        </w:rPr>
        <w:outlineLvl w:val="0"/>
      </w:pPr>
      <w:r/>
      <w:bookmarkStart w:id="155" w:name="_Toc6311"/>
      <w:r/>
      <w:bookmarkStart w:id="156" w:name="_Toc2918"/>
      <w:r/>
      <w:bookmarkStart w:id="157" w:name="_Toc6773"/>
      <w:r/>
      <w:bookmarkStart w:id="158" w:name="_Toc18585"/>
      <w:r/>
      <w:bookmarkStart w:id="159" w:name="_Toc22185"/>
      <w:r>
        <w:rPr>
          <w:rFonts w:hint="eastAsia" w:ascii="黑体" w:hAnsi="黑体" w:eastAsia="黑体" w:cs="黑体"/>
          <w:b/>
          <w:bCs/>
          <w:color w:val="auto"/>
          <w:sz w:val="24"/>
          <w:highlight w:val="none"/>
        </w:rPr>
        <w:t xml:space="preserve">1.2 标的</w:t>
      </w:r>
      <w:bookmarkEnd w:id="155"/>
      <w:r/>
      <w:bookmarkEnd w:id="156"/>
      <w:r/>
      <w:bookmarkEnd w:id="157"/>
      <w:r/>
      <w:bookmarkEnd w:id="158"/>
      <w:r/>
      <w:bookmarkEnd w:id="159"/>
      <w:r/>
      <w:r/>
    </w:p>
    <w:p>
      <w:pPr>
        <w:ind w:firstLine="482"/>
        <w:spacing w:line="560" w:lineRule="exac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1.2.1 标的名称：</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1.2.2 标的数量：</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1.2.3 标的质量：</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rPr>
        <w:outlineLvl w:val="0"/>
      </w:pPr>
      <w:r/>
      <w:bookmarkStart w:id="160" w:name="_Toc13918"/>
      <w:r/>
      <w:bookmarkStart w:id="161" w:name="_Toc4929"/>
      <w:r/>
      <w:bookmarkStart w:id="162" w:name="_Toc1386"/>
      <w:r/>
      <w:bookmarkStart w:id="163" w:name="_Toc5635"/>
      <w:r/>
      <w:bookmarkStart w:id="164" w:name="_Toc21124"/>
      <w:r>
        <w:rPr>
          <w:rFonts w:hint="eastAsia" w:ascii="黑体" w:hAnsi="黑体" w:eastAsia="黑体" w:cs="黑体"/>
          <w:b/>
          <w:bCs/>
          <w:color w:val="auto"/>
          <w:sz w:val="24"/>
          <w:highlight w:val="none"/>
        </w:rPr>
        <w:t xml:space="preserve">1.3 价款</w:t>
      </w:r>
      <w:bookmarkEnd w:id="160"/>
      <w:r/>
      <w:bookmarkEnd w:id="161"/>
      <w:r/>
      <w:bookmarkEnd w:id="162"/>
      <w:r/>
      <w:bookmarkEnd w:id="163"/>
      <w:r/>
      <w:bookmarkEnd w:id="164"/>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本合同总价为：¥</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元（大写：</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元人民币）。</w:t>
      </w:r>
      <w:r/>
    </w:p>
    <w:p>
      <w:pPr>
        <w:ind w:firstLine="482"/>
        <w:spacing w:line="560" w:lineRule="exac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分项价格：</w:t>
      </w: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02"/>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序号</w:t>
            </w:r>
            <w:r/>
          </w:p>
        </w:tc>
        <w:tc>
          <w:tcPr>
            <w:tcW w:w="340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分项名称</w:t>
            </w:r>
            <w:r/>
          </w:p>
        </w:tc>
        <w:tc>
          <w:tcPr>
            <w:tcW w:w="2552" w:type="dxa"/>
            <w:vAlign w:val="center"/>
            <w:textDirection w:val="lrTb"/>
            <w:noWrap w:val="false"/>
          </w:tcPr>
          <w:p>
            <w:pPr>
              <w:pStyle w:val="1002"/>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340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255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r>
      <w:tr>
        <w:trPr>
          <w:jc w:val="center"/>
          <w:trHeight w:val="369"/>
        </w:trPr>
        <w:tc>
          <w:tcPr>
            <w:tcW w:w="1201"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340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255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r>
      <w:tr>
        <w:trPr>
          <w:jc w:val="center"/>
          <w:trHeight w:val="369"/>
        </w:trPr>
        <w:tc>
          <w:tcPr>
            <w:tcW w:w="1201"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340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255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r>
      <w:tr>
        <w:trPr>
          <w:jc w:val="center"/>
          <w:trHeight w:val="369"/>
        </w:trPr>
        <w:tc>
          <w:tcPr>
            <w:tcW w:w="1201"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340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c>
          <w:tcPr>
            <w:tcW w:w="255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r>
      <w:tr>
        <w:trPr>
          <w:jc w:val="center"/>
          <w:trHeight w:val="369"/>
        </w:trPr>
        <w:tc>
          <w:tcPr>
            <w:gridSpan w:val="2"/>
            <w:tcW w:w="4603"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总价</w:t>
            </w:r>
            <w:r/>
          </w:p>
        </w:tc>
        <w:tc>
          <w:tcPr>
            <w:tcW w:w="2552" w:type="dxa"/>
            <w:vAlign w:val="center"/>
            <w:textDirection w:val="lrTb"/>
            <w:noWrap w:val="false"/>
          </w:tcPr>
          <w:p>
            <w:pPr>
              <w:pStyle w:val="1002"/>
              <w:ind w:firstLine="200"/>
              <w:jc w:val="center"/>
              <w:spacing w:line="56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tc>
      </w:tr>
    </w:tbl>
    <w:p>
      <w:pPr>
        <w:ind w:firstLine="482"/>
        <w:spacing w:line="560" w:lineRule="exact"/>
        <w:rPr>
          <w:rFonts w:hint="eastAsia" w:ascii="黑体" w:hAnsi="黑体" w:eastAsia="黑体" w:cs="黑体"/>
          <w:b/>
          <w:bCs/>
          <w:color w:val="auto"/>
          <w:sz w:val="24"/>
          <w:highlight w:val="none"/>
        </w:rPr>
        <w:outlineLvl w:val="0"/>
      </w:pPr>
      <w:r/>
      <w:bookmarkStart w:id="165" w:name="_Toc3654"/>
      <w:r/>
      <w:bookmarkStart w:id="166" w:name="_Toc30158"/>
      <w:r/>
      <w:bookmarkStart w:id="167" w:name="_Toc30506"/>
      <w:r/>
      <w:bookmarkStart w:id="168" w:name="_Toc14993"/>
      <w:r/>
      <w:bookmarkStart w:id="169" w:name="_Toc26916"/>
      <w:r>
        <w:rPr>
          <w:rFonts w:hint="eastAsia" w:ascii="黑体" w:hAnsi="黑体" w:eastAsia="黑体" w:cs="黑体"/>
          <w:b/>
          <w:bCs/>
          <w:color w:val="auto"/>
          <w:sz w:val="24"/>
          <w:highlight w:val="none"/>
        </w:rPr>
        <w:t xml:space="preserve">1.4 付款方式和发票开具方式</w:t>
      </w:r>
      <w:bookmarkEnd w:id="165"/>
      <w:r/>
      <w:bookmarkEnd w:id="166"/>
      <w:r/>
      <w:bookmarkEnd w:id="167"/>
      <w:r/>
      <w:bookmarkEnd w:id="168"/>
      <w:r/>
      <w:bookmarkEnd w:id="169"/>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1.4.1付款方式：</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1.4.2 发票开具方式：</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rPr>
        <w:outlineLvl w:val="0"/>
      </w:pPr>
      <w:r/>
      <w:bookmarkStart w:id="170" w:name="_Toc3625"/>
      <w:r/>
      <w:bookmarkStart w:id="171" w:name="_Toc11108"/>
      <w:r/>
      <w:bookmarkStart w:id="172" w:name="_Toc8772"/>
      <w:r/>
      <w:bookmarkStart w:id="173" w:name="_Toc31421"/>
      <w:r/>
      <w:bookmarkStart w:id="174" w:name="_Toc4760"/>
      <w:r>
        <w:rPr>
          <w:rFonts w:hint="eastAsia" w:ascii="黑体" w:hAnsi="黑体" w:eastAsia="黑体" w:cs="黑体"/>
          <w:b/>
          <w:bCs/>
          <w:color w:val="auto"/>
          <w:sz w:val="24"/>
          <w:highlight w:val="none"/>
        </w:rPr>
        <w:t xml:space="preserve">1.5 履行期限、地点和方式</w:t>
      </w:r>
      <w:bookmarkEnd w:id="170"/>
      <w:r/>
      <w:bookmarkEnd w:id="171"/>
      <w:r/>
      <w:bookmarkEnd w:id="172"/>
      <w:r/>
      <w:bookmarkEnd w:id="173"/>
      <w:r/>
      <w:bookmarkEnd w:id="174"/>
      <w:r/>
      <w:r/>
    </w:p>
    <w:p>
      <w:pPr>
        <w:ind w:firstLine="482"/>
        <w:spacing w:line="560" w:lineRule="exac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rPr>
        <w:t xml:space="preserve">1.5.1 履行期限：</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1.5.2 履行地点：</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1.5.3 履行方式：</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u w:val="single"/>
        </w:rPr>
        <w:outlineLvl w:val="0"/>
      </w:pPr>
      <w:r/>
      <w:bookmarkStart w:id="175" w:name="_Toc8586"/>
      <w:r/>
      <w:bookmarkStart w:id="176" w:name="_Toc24662"/>
      <w:r/>
      <w:bookmarkStart w:id="177" w:name="_Toc3079"/>
      <w:r/>
      <w:bookmarkStart w:id="178" w:name="_Toc2375"/>
      <w:r/>
      <w:bookmarkStart w:id="179" w:name="_Toc5698"/>
      <w:r>
        <w:rPr>
          <w:rFonts w:hint="eastAsia" w:ascii="黑体" w:hAnsi="黑体" w:eastAsia="黑体" w:cs="黑体"/>
          <w:b/>
          <w:bCs/>
          <w:color w:val="auto"/>
          <w:sz w:val="24"/>
          <w:highlight w:val="none"/>
        </w:rPr>
        <w:t xml:space="preserve">1.6 违约责任</w:t>
      </w:r>
      <w:bookmarkEnd w:id="175"/>
      <w:r/>
      <w:bookmarkEnd w:id="176"/>
      <w:r/>
      <w:bookmarkEnd w:id="177"/>
      <w:r/>
      <w:bookmarkEnd w:id="178"/>
      <w:r/>
      <w:bookmarkEnd w:id="179"/>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%计算，最高限额为本合同总价的</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%；迟延履行的违约金计算数额达到前述最高限额之日起，甲方有权在要求乙方支付违约金的同时，书面通知乙方解除本合同；</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%计算，最高限额为本合同总价的</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%；迟延付款的违约金计算数额达到前述最高限额之日起，乙方有权在要求甲方支付违约金的同时，书面通知甲方解除本合同；</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黑体" w:hAnsi="黑体" w:eastAsia="黑体" w:cs="黑体"/>
          <w:b/>
          <w:bCs/>
          <w:color w:val="auto"/>
          <w:sz w:val="24"/>
          <w:highlight w:val="none"/>
        </w:rPr>
        <w:outlineLvl w:val="0"/>
      </w:pPr>
      <w:r/>
      <w:bookmarkStart w:id="180" w:name="_Toc18683"/>
      <w:r/>
      <w:bookmarkStart w:id="181" w:name="_Toc32454"/>
      <w:r/>
      <w:bookmarkStart w:id="182" w:name="_Toc30329"/>
      <w:r/>
      <w:bookmarkStart w:id="183" w:name="_Toc26807"/>
      <w:r/>
      <w:bookmarkStart w:id="184" w:name="_Toc9497"/>
      <w:r>
        <w:rPr>
          <w:rFonts w:hint="eastAsia" w:ascii="黑体" w:hAnsi="黑体" w:eastAsia="黑体" w:cs="黑体"/>
          <w:b/>
          <w:bCs/>
          <w:color w:val="auto"/>
          <w:sz w:val="24"/>
          <w:highlight w:val="none"/>
        </w:rPr>
        <w:t xml:space="preserve">1.7 合同争议的解决</w:t>
      </w:r>
      <w:bookmarkEnd w:id="180"/>
      <w:r/>
      <w:bookmarkEnd w:id="181"/>
      <w:r/>
      <w:bookmarkEnd w:id="182"/>
      <w:r/>
      <w:bookmarkEnd w:id="183"/>
      <w:r/>
      <w:bookmarkEnd w:id="184"/>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本合同履行过程中发生的任何争议，双方当事人均可通过和解或者调解解决；不愿和解、调解或者和解、调解不成的，可以选择下列第</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种方式解决：</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1.7.1 将争议提交</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仲裁委员会依申请仲裁时其现行有效的仲裁规则裁决；</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1.7.2 向</w:t>
      </w:r>
      <w:r>
        <w:rPr>
          <w:rFonts w:hint="eastAsia" w:ascii="黑体" w:hAnsi="黑体" w:eastAsia="黑体" w:cs="黑体"/>
          <w:b/>
          <w:bCs/>
          <w:color w:val="auto"/>
          <w:sz w:val="24"/>
          <w:highlight w:val="none"/>
          <w:u w:val="single"/>
        </w:rPr>
        <w:t xml:space="preserve">   （被告住所地、合同履行地、合同签订地、原告住所地、标的物所在地等与争议有实际联系的地点中选出的人民法院名称）    </w:t>
      </w:r>
      <w:r>
        <w:rPr>
          <w:rFonts w:hint="eastAsia" w:ascii="黑体" w:hAnsi="黑体" w:eastAsia="黑体" w:cs="黑体"/>
          <w:b/>
          <w:bCs/>
          <w:color w:val="auto"/>
          <w:sz w:val="24"/>
          <w:highlight w:val="none"/>
        </w:rPr>
        <w:t xml:space="preserve">人民法院起诉。</w:t>
      </w:r>
      <w:r/>
    </w:p>
    <w:p>
      <w:pPr>
        <w:ind w:firstLine="482"/>
        <w:spacing w:line="560" w:lineRule="exact"/>
        <w:rPr>
          <w:rFonts w:hint="eastAsia" w:ascii="黑体" w:hAnsi="黑体" w:eastAsia="黑体" w:cs="黑体"/>
          <w:b/>
          <w:bCs/>
          <w:color w:val="auto"/>
          <w:sz w:val="24"/>
          <w:highlight w:val="none"/>
        </w:rPr>
        <w:outlineLvl w:val="0"/>
      </w:pPr>
      <w:r/>
      <w:bookmarkStart w:id="185" w:name="_Toc26227"/>
      <w:r/>
      <w:bookmarkStart w:id="186" w:name="_Toc12273"/>
      <w:r/>
      <w:bookmarkStart w:id="187" w:name="_Toc16417"/>
      <w:r/>
      <w:bookmarkStart w:id="188" w:name="_Toc23784"/>
      <w:r/>
      <w:bookmarkStart w:id="189" w:name="_Toc15827"/>
      <w:r>
        <w:rPr>
          <w:rFonts w:hint="eastAsia" w:ascii="黑体" w:hAnsi="黑体" w:eastAsia="黑体" w:cs="黑体"/>
          <w:b/>
          <w:bCs/>
          <w:color w:val="auto"/>
          <w:sz w:val="24"/>
          <w:highlight w:val="none"/>
        </w:rPr>
        <w:t xml:space="preserve">1.8 合同生效</w:t>
      </w:r>
      <w:bookmarkEnd w:id="185"/>
      <w:r/>
      <w:bookmarkEnd w:id="186"/>
      <w:r/>
      <w:bookmarkEnd w:id="187"/>
      <w:r/>
      <w:bookmarkEnd w:id="188"/>
      <w:r/>
      <w:bookmarkEnd w:id="189"/>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本合同自双方当事人盖章或者签字时生效。</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甲方：                                   乙方：</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统一社会信用代码：                        统一社会信用代码或身份证号码：</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住所：                                   住所：</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法定代表人或                             法定代表人</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授权代表（签字）：                        或授权代表（签字）: </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联系人：                                 联系人：</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约定送达地址：                           约定送达地址：</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邮政编码：                               邮政编码：</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电话:                                    电话: </w:t>
      </w:r>
      <w:r/>
    </w:p>
    <w:p>
      <w:pPr>
        <w:spacing w:line="560" w:lineRule="exact"/>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lang w:val="zh-CN"/>
        </w:rPr>
        <w:t xml:space="preserve">传真:                                    传真:</w:t>
      </w:r>
      <w:r/>
    </w:p>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val="zh-CN"/>
        </w:rPr>
        <w:t xml:space="preserve">电子邮箱：                               电子邮箱：</w:t>
      </w:r>
      <w:r/>
    </w:p>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开户银行：                               开户银行： </w:t>
      </w:r>
      <w:r/>
    </w:p>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开户名称：                               开户名称： </w:t>
      </w:r>
      <w:r/>
    </w:p>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开户账号：</w:t>
      </w:r>
      <w:r>
        <w:rPr>
          <w:rFonts w:hint="eastAsia" w:ascii="黑体" w:hAnsi="黑体" w:eastAsia="黑体" w:cs="黑体"/>
          <w:b/>
          <w:bCs/>
          <w:color w:val="auto"/>
          <w:sz w:val="24"/>
          <w:highlight w:val="none"/>
          <w:lang w:val="zh-CN"/>
        </w:rPr>
        <w:t xml:space="preserve">                               </w:t>
      </w:r>
      <w:r>
        <w:rPr>
          <w:rFonts w:hint="eastAsia" w:ascii="黑体" w:hAnsi="黑体" w:eastAsia="黑体" w:cs="黑体"/>
          <w:b/>
          <w:bCs/>
          <w:color w:val="auto"/>
          <w:sz w:val="24"/>
          <w:highlight w:val="none"/>
        </w:rPr>
        <w:t xml:space="preserve">开户账号：</w:t>
      </w:r>
      <w:r/>
    </w:p>
    <w:p>
      <w:pPr>
        <w:jc w:val="left"/>
        <w:spacing w:line="560" w:lineRule="exact"/>
        <w:widowControl/>
        <w:rPr>
          <w:rFonts w:hint="eastAsia" w:ascii="黑体" w:hAnsi="黑体" w:eastAsia="黑体" w:cs="黑体"/>
          <w:b/>
          <w:bCs/>
          <w:color w:val="auto"/>
          <w:highlight w:val="none"/>
        </w:rPr>
      </w:pPr>
      <w:r/>
      <w:bookmarkStart w:id="190" w:name="_Toc331685783"/>
      <w:r/>
      <w:r/>
    </w:p>
    <w:p>
      <w:pPr>
        <w:jc w:val="left"/>
        <w:spacing w:line="560" w:lineRule="exact"/>
        <w:widowControl/>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jc w:val="left"/>
        <w:spacing w:line="560" w:lineRule="exact"/>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jc w:val="left"/>
        <w:spacing w:line="560" w:lineRule="exact"/>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jc w:val="left"/>
        <w:spacing w:line="560" w:lineRule="exact"/>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jc w:val="left"/>
        <w:spacing w:line="560" w:lineRule="exact"/>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pStyle w:val="974"/>
        <w:ind w:firstLine="200"/>
        <w:jc w:val="center"/>
        <w:spacing w:line="560" w:lineRule="exact"/>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pStyle w:val="974"/>
        <w:ind w:firstLine="200"/>
        <w:jc w:val="center"/>
        <w:spacing w:line="560" w:lineRule="exact"/>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pStyle w:val="974"/>
        <w:ind w:left="0" w:firstLine="0"/>
        <w:jc w:val="both"/>
        <w:spacing w:line="560" w:lineRule="exact"/>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pStyle w:val="974"/>
        <w:ind w:firstLine="200"/>
        <w:jc w:val="center"/>
        <w:spacing w:line="560" w:lineRule="exact"/>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第二部分 合同一般条款</w:t>
      </w:r>
      <w:bookmarkEnd w:id="190"/>
      <w:r/>
      <w:r/>
    </w:p>
    <w:p>
      <w:pPr>
        <w:ind w:firstLine="482"/>
        <w:spacing w:line="560" w:lineRule="exact"/>
        <w:rPr>
          <w:rFonts w:hint="eastAsia" w:ascii="黑体" w:hAnsi="黑体" w:eastAsia="黑体" w:cs="黑体"/>
          <w:b/>
          <w:bCs/>
          <w:color w:val="auto"/>
          <w:sz w:val="24"/>
          <w:highlight w:val="none"/>
        </w:rPr>
        <w:outlineLvl w:val="0"/>
      </w:pPr>
      <w:r/>
      <w:bookmarkStart w:id="191" w:name="_Ref467379195"/>
      <w:r/>
      <w:bookmarkStart w:id="192" w:name="_Toc279701240"/>
      <w:r/>
      <w:bookmarkStart w:id="193" w:name="_Toc25079"/>
      <w:r/>
      <w:bookmarkStart w:id="194" w:name="_Ref467379094"/>
      <w:r/>
      <w:bookmarkStart w:id="195" w:name="_Ref467378463"/>
      <w:r/>
      <w:bookmarkStart w:id="196" w:name="_Ref467379205"/>
      <w:r/>
      <w:bookmarkStart w:id="197" w:name="_Ref467379101"/>
      <w:r/>
      <w:bookmarkStart w:id="198" w:name="_Ref467379109"/>
      <w:r/>
      <w:bookmarkStart w:id="199" w:name="_Toc259093669"/>
      <w:r/>
      <w:bookmarkStart w:id="200" w:name="_Toc19680"/>
      <w:r/>
      <w:bookmarkStart w:id="201" w:name="_Toc487900349"/>
      <w:r/>
      <w:bookmarkStart w:id="202" w:name="_Ref467378499"/>
      <w:r/>
      <w:bookmarkStart w:id="203" w:name="_Ref467379214"/>
      <w:r/>
      <w:bookmarkStart w:id="204" w:name="_Ref467379225"/>
      <w:r/>
      <w:bookmarkStart w:id="205" w:name="_Ref467378404"/>
      <w:r/>
      <w:bookmarkStart w:id="206" w:name="_Toc31297"/>
      <w:r/>
      <w:bookmarkStart w:id="207" w:name="_Toc14021"/>
      <w:r/>
      <w:bookmarkStart w:id="208" w:name="_Toc5228"/>
      <w:r>
        <w:rPr>
          <w:rFonts w:hint="eastAsia" w:ascii="黑体" w:hAnsi="黑体" w:eastAsia="黑体" w:cs="黑体"/>
          <w:b/>
          <w:bCs/>
          <w:color w:val="auto"/>
          <w:sz w:val="24"/>
          <w:highlight w:val="none"/>
        </w:rPr>
        <w:t xml:space="preserve">2.1 定义</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本合同中的下列词语应按以下内容进行解释：</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2.1.1 “合同”系指采购人和中标供应商签订的载明双方当事人所达成的协议，并包括所有的附件、附录和构成合同的其他文件。</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2.1.2 “合同价”系指根据合同约定，中标供应商在完全履行合同义务后，采购人应支付给中标供应商的价格。</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2"/>
        <w:spacing w:line="560" w:lineRule="exact"/>
        <w:rPr>
          <w:rFonts w:hint="eastAsia" w:ascii="黑体" w:hAnsi="黑体" w:eastAsia="黑体" w:cs="黑体"/>
          <w:b/>
          <w:bCs/>
          <w:color w:val="auto"/>
          <w:sz w:val="24"/>
          <w:highlight w:val="none"/>
        </w:rPr>
      </w:pPr>
      <w:r/>
      <w:bookmarkStart w:id="209" w:name="_Ref467378840"/>
      <w:r>
        <w:rPr>
          <w:rFonts w:hint="eastAsia" w:ascii="黑体" w:hAnsi="黑体" w:eastAsia="黑体" w:cs="黑体"/>
          <w:b/>
          <w:bCs/>
          <w:color w:val="auto"/>
          <w:sz w:val="24"/>
          <w:highlight w:val="none"/>
        </w:rPr>
        <w:t xml:space="preserve">2.1.4 “甲方”系指与中标供应商签署合同的采购人</w:t>
      </w:r>
      <w:bookmarkEnd w:id="209"/>
      <w:r>
        <w:rPr>
          <w:rFonts w:hint="eastAsia" w:ascii="黑体" w:hAnsi="黑体" w:eastAsia="黑体" w:cs="黑体"/>
          <w:b/>
          <w:bCs/>
          <w:color w:val="auto"/>
          <w:sz w:val="24"/>
          <w:highlight w:val="none"/>
        </w:rPr>
        <w:t xml:space="preserve">；采购人委托采购代理机构代表其与乙方签订合同的，采购人的授权委托书作为合同附件。</w:t>
      </w:r>
      <w:r/>
    </w:p>
    <w:p>
      <w:pPr>
        <w:ind w:firstLine="482"/>
        <w:spacing w:line="560" w:lineRule="exact"/>
        <w:rPr>
          <w:rFonts w:hint="eastAsia" w:ascii="黑体" w:hAnsi="黑体" w:eastAsia="黑体" w:cs="黑体"/>
          <w:b/>
          <w:bCs/>
          <w:color w:val="auto"/>
          <w:sz w:val="24"/>
          <w:highlight w:val="none"/>
        </w:rPr>
      </w:pPr>
      <w:r/>
      <w:bookmarkStart w:id="210" w:name="_Ref467379400"/>
      <w:r>
        <w:rPr>
          <w:rFonts w:hint="eastAsia" w:ascii="黑体" w:hAnsi="黑体" w:eastAsia="黑体" w:cs="黑体"/>
          <w:b/>
          <w:bCs/>
          <w:color w:val="auto"/>
          <w:sz w:val="24"/>
          <w:highlight w:val="none"/>
        </w:rPr>
        <w:t xml:space="preserve">2.1.5 “乙方”系指根据合同约定提供服务的中标供应商</w:t>
      </w:r>
      <w:bookmarkEnd w:id="210"/>
      <w:r>
        <w:rPr>
          <w:rFonts w:hint="eastAsia" w:ascii="黑体" w:hAnsi="黑体" w:eastAsia="黑体" w:cs="黑体"/>
          <w:b/>
          <w:bCs/>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2"/>
        <w:spacing w:line="560" w:lineRule="exact"/>
        <w:rPr>
          <w:rFonts w:hint="eastAsia" w:ascii="黑体" w:hAnsi="黑体" w:eastAsia="黑体" w:cs="黑体"/>
          <w:b/>
          <w:bCs/>
          <w:color w:val="auto"/>
          <w:sz w:val="24"/>
          <w:highlight w:val="none"/>
        </w:rPr>
      </w:pPr>
      <w:r/>
      <w:bookmarkStart w:id="211" w:name="_Ref467379436"/>
      <w:r>
        <w:rPr>
          <w:rFonts w:hint="eastAsia" w:ascii="黑体" w:hAnsi="黑体" w:eastAsia="黑体" w:cs="黑体"/>
          <w:b/>
          <w:bCs/>
          <w:color w:val="auto"/>
          <w:sz w:val="24"/>
          <w:highlight w:val="none"/>
        </w:rPr>
        <w:t xml:space="preserve">2.1.6 “现场”系指合同约定提供服务的地点。</w:t>
      </w:r>
      <w:bookmarkEnd w:id="211"/>
      <w:r/>
      <w:r/>
    </w:p>
    <w:p>
      <w:pPr>
        <w:ind w:firstLine="482"/>
        <w:spacing w:line="560" w:lineRule="exact"/>
        <w:rPr>
          <w:rFonts w:hint="eastAsia" w:ascii="黑体" w:hAnsi="黑体" w:eastAsia="黑体" w:cs="黑体"/>
          <w:b/>
          <w:bCs/>
          <w:color w:val="auto"/>
          <w:sz w:val="24"/>
          <w:highlight w:val="none"/>
        </w:rPr>
        <w:outlineLvl w:val="0"/>
      </w:pPr>
      <w:r/>
      <w:bookmarkStart w:id="212" w:name="_Toc3769"/>
      <w:r/>
      <w:bookmarkStart w:id="213" w:name="_Toc19539"/>
      <w:r/>
      <w:bookmarkStart w:id="214" w:name="_Toc23289"/>
      <w:r/>
      <w:bookmarkStart w:id="215" w:name="_Toc31402"/>
      <w:r/>
      <w:bookmarkStart w:id="216" w:name="_Toc487900350"/>
      <w:r/>
      <w:bookmarkStart w:id="217" w:name="_Toc279701241"/>
      <w:r/>
      <w:bookmarkStart w:id="218" w:name="_Toc16752"/>
      <w:r/>
      <w:bookmarkStart w:id="219" w:name="_Toc259093670"/>
      <w:r>
        <w:rPr>
          <w:rFonts w:hint="eastAsia" w:ascii="黑体" w:hAnsi="黑体" w:eastAsia="黑体" w:cs="黑体"/>
          <w:b/>
          <w:bCs/>
          <w:color w:val="auto"/>
          <w:sz w:val="24"/>
          <w:highlight w:val="none"/>
        </w:rPr>
        <w:t xml:space="preserve">2.2 技术规范</w:t>
      </w:r>
      <w:bookmarkEnd w:id="212"/>
      <w:r/>
      <w:bookmarkEnd w:id="213"/>
      <w:r/>
      <w:bookmarkEnd w:id="214"/>
      <w:r/>
      <w:bookmarkEnd w:id="215"/>
      <w:r/>
      <w:bookmarkEnd w:id="216"/>
      <w:r/>
      <w:bookmarkEnd w:id="217"/>
      <w:r/>
      <w:bookmarkEnd w:id="218"/>
      <w:r/>
      <w:bookmarkEnd w:id="219"/>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黑体" w:hAnsi="黑体" w:eastAsia="黑体" w:cs="黑体"/>
          <w:b/>
          <w:bCs/>
          <w:color w:val="auto"/>
          <w:sz w:val="24"/>
          <w:highlight w:val="none"/>
        </w:rPr>
        <w:outlineLvl w:val="0"/>
      </w:pPr>
      <w:r/>
      <w:bookmarkStart w:id="220" w:name="_Toc13673"/>
      <w:r/>
      <w:bookmarkStart w:id="221" w:name="_Toc259093671"/>
      <w:r/>
      <w:bookmarkStart w:id="222" w:name="_Toc9161"/>
      <w:r/>
      <w:bookmarkStart w:id="223" w:name="_Toc279701242"/>
      <w:r/>
      <w:bookmarkStart w:id="224" w:name="_Toc12412"/>
      <w:r/>
      <w:bookmarkStart w:id="225" w:name="_Toc4133"/>
      <w:r/>
      <w:bookmarkStart w:id="226" w:name="_Toc27945"/>
      <w:r/>
      <w:bookmarkStart w:id="227" w:name="_Toc487900351"/>
      <w:r>
        <w:rPr>
          <w:rFonts w:hint="eastAsia" w:ascii="黑体" w:hAnsi="黑体" w:eastAsia="黑体" w:cs="黑体"/>
          <w:b/>
          <w:bCs/>
          <w:color w:val="auto"/>
          <w:sz w:val="24"/>
          <w:highlight w:val="none"/>
        </w:rPr>
        <w:t xml:space="preserve">2.3 知识产权</w:t>
      </w:r>
      <w:bookmarkEnd w:id="220"/>
      <w:r/>
      <w:bookmarkEnd w:id="221"/>
      <w:r/>
      <w:bookmarkEnd w:id="222"/>
      <w:r/>
      <w:bookmarkEnd w:id="223"/>
      <w:r/>
      <w:bookmarkEnd w:id="224"/>
      <w:r/>
      <w:bookmarkEnd w:id="225"/>
      <w:r/>
      <w:bookmarkEnd w:id="226"/>
      <w:r/>
      <w:bookmarkEnd w:id="227"/>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2.3.2 合同涉及技术成果的归属和收益的分成办法：因履行本合同形成的智力成果归甲方所有，其他具体详见合同专用条款。</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2.4 履约检查和问题反馈</w:t>
      </w:r>
      <w:r/>
    </w:p>
    <w:p>
      <w:pPr>
        <w:ind w:firstLine="482"/>
        <w:spacing w:line="560" w:lineRule="exact"/>
        <w:rPr>
          <w:rFonts w:hint="eastAsia" w:ascii="黑体" w:hAnsi="黑体" w:eastAsia="黑体" w:cs="黑体"/>
          <w:b/>
          <w:bCs/>
          <w:color w:val="auto"/>
          <w:sz w:val="24"/>
          <w:highlight w:val="none"/>
        </w:rPr>
      </w:pPr>
      <w:r/>
      <w:bookmarkStart w:id="228" w:name="_Ref467379657"/>
      <w:r>
        <w:rPr>
          <w:rFonts w:hint="eastAsia" w:ascii="黑体" w:hAnsi="黑体" w:eastAsia="黑体" w:cs="黑体"/>
          <w:b/>
          <w:bCs/>
          <w:color w:val="auto"/>
          <w:sz w:val="24"/>
          <w:highlight w:val="none"/>
        </w:rPr>
        <w:t xml:space="preserve">2.4.1</w:t>
      </w:r>
      <w:bookmarkEnd w:id="228"/>
      <w:r/>
      <w:bookmarkStart w:id="229" w:name="_Toc186431854"/>
      <w:r/>
      <w:bookmarkStart w:id="230" w:name="_Toc279701247"/>
      <w:r/>
      <w:bookmarkStart w:id="231" w:name="_Ref467379807"/>
      <w:r/>
      <w:bookmarkStart w:id="232" w:name="_Toc487900357"/>
      <w:r/>
      <w:bookmarkStart w:id="233" w:name="_Toc259093676"/>
      <w:r/>
      <w:bookmarkStart w:id="234" w:name="_Ref467379793"/>
      <w:r>
        <w:rPr>
          <w:rFonts w:hint="eastAsia" w:ascii="黑体" w:hAnsi="黑体" w:eastAsia="黑体" w:cs="黑体"/>
          <w:b/>
          <w:bCs/>
          <w:color w:val="auto"/>
          <w:sz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2.4.2 合同履行期间，甲方有权将履行过程中出现的问题反馈给乙方，双方当事人应以书面形式约定需要完善和改进的内容</w:t>
      </w:r>
      <w:bookmarkEnd w:id="229"/>
      <w:r/>
      <w:bookmarkStart w:id="235" w:name="_Toc186431855"/>
      <w:r>
        <w:rPr>
          <w:rFonts w:hint="eastAsia" w:ascii="黑体" w:hAnsi="黑体" w:eastAsia="黑体" w:cs="黑体"/>
          <w:b/>
          <w:bCs/>
          <w:color w:val="auto"/>
          <w:sz w:val="24"/>
          <w:highlight w:val="none"/>
        </w:rPr>
        <w:t xml:space="preserve">。</w:t>
      </w:r>
      <w:bookmarkEnd w:id="235"/>
      <w:r/>
    </w:p>
    <w:p>
      <w:pPr>
        <w:ind w:firstLine="482"/>
        <w:spacing w:line="560" w:lineRule="exact"/>
        <w:rPr>
          <w:rFonts w:hint="eastAsia" w:ascii="黑体" w:hAnsi="黑体" w:eastAsia="黑体" w:cs="黑体"/>
          <w:b/>
          <w:bCs/>
          <w:color w:val="auto"/>
          <w:sz w:val="24"/>
          <w:highlight w:val="none"/>
        </w:rPr>
        <w:outlineLvl w:val="0"/>
      </w:pPr>
      <w:r/>
      <w:bookmarkStart w:id="236" w:name="_Toc22011"/>
      <w:r/>
      <w:bookmarkStart w:id="237" w:name="_Toc26555"/>
      <w:r/>
      <w:bookmarkStart w:id="238" w:name="_Toc31233"/>
      <w:r/>
      <w:bookmarkStart w:id="239" w:name="_Toc32670"/>
      <w:r/>
      <w:bookmarkStart w:id="240" w:name="_Toc15447"/>
      <w:r>
        <w:rPr>
          <w:rFonts w:hint="eastAsia" w:ascii="黑体" w:hAnsi="黑体" w:eastAsia="黑体" w:cs="黑体"/>
          <w:b/>
          <w:bCs/>
          <w:color w:val="auto"/>
          <w:sz w:val="24"/>
          <w:highlight w:val="none"/>
        </w:rPr>
        <w:t xml:space="preserve">2.5 结算方式和付款条件</w:t>
      </w:r>
      <w:bookmarkEnd w:id="230"/>
      <w:r/>
      <w:bookmarkEnd w:id="231"/>
      <w:r/>
      <w:bookmarkEnd w:id="232"/>
      <w:r/>
      <w:bookmarkEnd w:id="233"/>
      <w:r/>
      <w:bookmarkEnd w:id="234"/>
      <w:r/>
      <w:bookmarkEnd w:id="236"/>
      <w:r/>
      <w:bookmarkEnd w:id="237"/>
      <w:r/>
      <w:bookmarkEnd w:id="238"/>
      <w:r/>
      <w:bookmarkEnd w:id="239"/>
      <w:r/>
      <w:bookmarkEnd w:id="240"/>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详见</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w:t>
      </w:r>
      <w:r/>
    </w:p>
    <w:p>
      <w:pPr>
        <w:ind w:firstLine="482"/>
        <w:spacing w:line="560" w:lineRule="exact"/>
        <w:rPr>
          <w:rFonts w:hint="eastAsia" w:ascii="黑体" w:hAnsi="黑体" w:eastAsia="黑体" w:cs="黑体"/>
          <w:b/>
          <w:bCs/>
          <w:color w:val="auto"/>
          <w:sz w:val="24"/>
          <w:highlight w:val="none"/>
        </w:rPr>
        <w:outlineLvl w:val="0"/>
      </w:pPr>
      <w:r/>
      <w:bookmarkStart w:id="241" w:name="_Toc259093677"/>
      <w:r/>
      <w:bookmarkStart w:id="242" w:name="_Ref467379923"/>
      <w:r/>
      <w:bookmarkStart w:id="243" w:name="_Toc279701248"/>
      <w:r/>
      <w:bookmarkStart w:id="244" w:name="_Ref467379852"/>
      <w:r/>
      <w:bookmarkStart w:id="245" w:name="_Ref467379863"/>
      <w:r/>
      <w:bookmarkStart w:id="246" w:name="_Toc487900358"/>
      <w:r/>
      <w:bookmarkStart w:id="247" w:name="_Toc13154"/>
      <w:r/>
      <w:bookmarkStart w:id="248" w:name="_Toc30507"/>
      <w:r/>
      <w:bookmarkStart w:id="249" w:name="_Toc18990"/>
      <w:r/>
      <w:bookmarkStart w:id="250" w:name="_Toc13467"/>
      <w:r/>
      <w:bookmarkStart w:id="251" w:name="_Toc16163"/>
      <w:r>
        <w:rPr>
          <w:rFonts w:hint="eastAsia" w:ascii="黑体" w:hAnsi="黑体" w:eastAsia="黑体" w:cs="黑体"/>
          <w:b/>
          <w:bCs/>
          <w:color w:val="auto"/>
          <w:sz w:val="24"/>
          <w:highlight w:val="none"/>
        </w:rPr>
        <w:t xml:space="preserve">2.6 技术资料</w:t>
      </w:r>
      <w:bookmarkEnd w:id="241"/>
      <w:r/>
      <w:bookmarkEnd w:id="242"/>
      <w:r/>
      <w:bookmarkEnd w:id="243"/>
      <w:r/>
      <w:bookmarkEnd w:id="244"/>
      <w:r/>
      <w:bookmarkEnd w:id="245"/>
      <w:r/>
      <w:bookmarkEnd w:id="246"/>
      <w:r>
        <w:rPr>
          <w:rFonts w:hint="eastAsia" w:ascii="黑体" w:hAnsi="黑体" w:eastAsia="黑体" w:cs="黑体"/>
          <w:b/>
          <w:bCs/>
          <w:color w:val="auto"/>
          <w:sz w:val="24"/>
          <w:highlight w:val="none"/>
        </w:rPr>
        <w:t xml:space="preserve">和保密义务</w:t>
      </w:r>
      <w:bookmarkEnd w:id="247"/>
      <w:r/>
      <w:bookmarkEnd w:id="248"/>
      <w:r/>
      <w:bookmarkEnd w:id="249"/>
      <w:r/>
      <w:bookmarkEnd w:id="250"/>
      <w:r/>
      <w:bookmarkEnd w:id="251"/>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2.6.1 乙方有权依据合同约定和项目需要，向甲方了解有关情况，调阅有关资料等，甲方应予积极配合；</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2.6.2 乙方有义务妥善保管和保护由甲方提供的前款信息和资料等；</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黑体" w:hAnsi="黑体" w:eastAsia="黑体" w:cs="黑体"/>
          <w:b/>
          <w:bCs/>
          <w:color w:val="auto"/>
          <w:sz w:val="24"/>
          <w:highlight w:val="none"/>
        </w:rPr>
        <w:outlineLvl w:val="0"/>
      </w:pPr>
      <w:r/>
      <w:bookmarkStart w:id="252" w:name="_Toc19069"/>
      <w:r/>
      <w:bookmarkStart w:id="253" w:name="_Toc259093681"/>
      <w:r/>
      <w:bookmarkStart w:id="254" w:name="_Toc487900362"/>
      <w:r/>
      <w:bookmarkStart w:id="255" w:name="_Toc279701252"/>
      <w:r>
        <w:rPr>
          <w:rFonts w:hint="eastAsia" w:ascii="黑体" w:hAnsi="黑体" w:eastAsia="黑体" w:cs="黑体"/>
          <w:b/>
          <w:bCs/>
          <w:color w:val="auto"/>
          <w:sz w:val="24"/>
          <w:highlight w:val="none"/>
        </w:rPr>
        <w:t xml:space="preserve">2.7 质量保证</w:t>
      </w:r>
      <w:bookmarkEnd w:id="252"/>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2.7.1 乙方应建立和完善履行合同的内部质量保证体系，并提供相关内部规章制度给甲方，以便甲方进行监督检查；</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黑体" w:hAnsi="黑体" w:eastAsia="黑体" w:cs="黑体"/>
          <w:b/>
          <w:bCs/>
          <w:color w:val="auto"/>
          <w:sz w:val="24"/>
          <w:highlight w:val="none"/>
        </w:rPr>
        <w:outlineLvl w:val="0"/>
      </w:pPr>
      <w:r/>
      <w:bookmarkStart w:id="256" w:name="_Toc22267"/>
      <w:r>
        <w:rPr>
          <w:rFonts w:hint="eastAsia" w:ascii="黑体" w:hAnsi="黑体" w:eastAsia="黑体" w:cs="黑体"/>
          <w:b/>
          <w:bCs/>
          <w:color w:val="auto"/>
          <w:sz w:val="24"/>
          <w:highlight w:val="none"/>
        </w:rPr>
        <w:t xml:space="preserve">2.8 延迟</w:t>
      </w:r>
      <w:bookmarkEnd w:id="253"/>
      <w:r/>
      <w:bookmarkEnd w:id="254"/>
      <w:r/>
      <w:bookmarkEnd w:id="255"/>
      <w:r>
        <w:rPr>
          <w:rFonts w:hint="eastAsia" w:ascii="黑体" w:hAnsi="黑体" w:eastAsia="黑体" w:cs="黑体"/>
          <w:b/>
          <w:bCs/>
          <w:color w:val="auto"/>
          <w:sz w:val="24"/>
          <w:highlight w:val="none"/>
        </w:rPr>
        <w:t xml:space="preserve">履行</w:t>
      </w:r>
      <w:bookmarkEnd w:id="256"/>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黑体" w:hAnsi="黑体" w:eastAsia="黑体" w:cs="黑体"/>
          <w:b/>
          <w:bCs/>
          <w:color w:val="auto"/>
          <w:sz w:val="24"/>
          <w:highlight w:val="none"/>
        </w:rPr>
        <w:outlineLvl w:val="0"/>
      </w:pPr>
      <w:r/>
      <w:bookmarkStart w:id="257" w:name="_Toc10611"/>
      <w:r/>
      <w:bookmarkStart w:id="258" w:name="_Ref467378121"/>
      <w:r/>
      <w:bookmarkStart w:id="259" w:name="_Toc259093683"/>
      <w:r/>
      <w:bookmarkStart w:id="260" w:name="_Toc487900364"/>
      <w:r/>
      <w:bookmarkStart w:id="261" w:name="_Toc279701254"/>
      <w:r>
        <w:rPr>
          <w:rFonts w:hint="eastAsia" w:ascii="黑体" w:hAnsi="黑体" w:eastAsia="黑体" w:cs="黑体"/>
          <w:b/>
          <w:bCs/>
          <w:color w:val="auto"/>
          <w:sz w:val="24"/>
          <w:highlight w:val="none"/>
        </w:rPr>
        <w:t xml:space="preserve">2.9 合同变更</w:t>
      </w:r>
      <w:bookmarkEnd w:id="257"/>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62" w:name="_Toc487900369"/>
      <w:r/>
      <w:bookmarkStart w:id="263" w:name="_Toc259093688"/>
      <w:r/>
      <w:bookmarkStart w:id="264" w:name="_Toc279701259"/>
      <w:r/>
      <w:r/>
    </w:p>
    <w:p>
      <w:pPr>
        <w:ind w:firstLine="482"/>
        <w:spacing w:line="560" w:lineRule="exact"/>
        <w:rPr>
          <w:rFonts w:hint="eastAsia" w:ascii="黑体" w:hAnsi="黑体" w:eastAsia="黑体" w:cs="黑体"/>
          <w:b/>
          <w:bCs/>
          <w:color w:val="auto"/>
          <w:sz w:val="24"/>
          <w:highlight w:val="none"/>
        </w:rPr>
        <w:outlineLvl w:val="0"/>
      </w:pPr>
      <w:r/>
      <w:bookmarkStart w:id="265" w:name="_Toc21830"/>
      <w:r/>
      <w:bookmarkStart w:id="266" w:name="_Toc42"/>
      <w:r/>
      <w:bookmarkStart w:id="267" w:name="_Toc10663"/>
      <w:r/>
      <w:bookmarkStart w:id="268" w:name="_Toc23368"/>
      <w:r/>
      <w:bookmarkStart w:id="269" w:name="_Toc26689"/>
      <w:r>
        <w:rPr>
          <w:rFonts w:hint="eastAsia" w:ascii="黑体" w:hAnsi="黑体" w:eastAsia="黑体" w:cs="黑体"/>
          <w:b/>
          <w:bCs/>
          <w:color w:val="auto"/>
          <w:sz w:val="24"/>
          <w:highlight w:val="none"/>
        </w:rPr>
        <w:t xml:space="preserve">2.10 合同转让</w:t>
      </w:r>
      <w:bookmarkEnd w:id="262"/>
      <w:r/>
      <w:bookmarkEnd w:id="263"/>
      <w:r/>
      <w:bookmarkEnd w:id="264"/>
      <w:r>
        <w:rPr>
          <w:rFonts w:hint="eastAsia" w:ascii="黑体" w:hAnsi="黑体" w:eastAsia="黑体" w:cs="黑体"/>
          <w:b/>
          <w:bCs/>
          <w:color w:val="auto"/>
          <w:sz w:val="24"/>
          <w:highlight w:val="none"/>
        </w:rPr>
        <w:t xml:space="preserve">和分包</w:t>
      </w:r>
      <w:bookmarkEnd w:id="265"/>
      <w:r/>
      <w:bookmarkEnd w:id="266"/>
      <w:r/>
      <w:bookmarkEnd w:id="267"/>
      <w:r/>
      <w:bookmarkEnd w:id="268"/>
      <w:r/>
      <w:bookmarkEnd w:id="269"/>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黑体" w:hAnsi="黑体" w:eastAsia="黑体" w:cs="黑体"/>
          <w:b/>
          <w:bCs/>
          <w:color w:val="auto"/>
          <w:sz w:val="24"/>
          <w:highlight w:val="none"/>
        </w:rPr>
        <w:outlineLvl w:val="0"/>
      </w:pPr>
      <w:r/>
      <w:bookmarkStart w:id="270" w:name="_Toc32494"/>
      <w:r/>
      <w:bookmarkStart w:id="271" w:name="_Toc4720"/>
      <w:r/>
      <w:bookmarkStart w:id="272" w:name="_Toc26633"/>
      <w:r/>
      <w:bookmarkStart w:id="273" w:name="_Toc14371"/>
      <w:r/>
      <w:bookmarkStart w:id="274" w:name="_Toc25571"/>
      <w:r>
        <w:rPr>
          <w:rFonts w:hint="eastAsia" w:ascii="黑体" w:hAnsi="黑体" w:eastAsia="黑体" w:cs="黑体"/>
          <w:b/>
          <w:bCs/>
          <w:color w:val="auto"/>
          <w:sz w:val="24"/>
          <w:highlight w:val="none"/>
        </w:rPr>
        <w:t xml:space="preserve">2.11 不可抗力</w:t>
      </w:r>
      <w:bookmarkEnd w:id="270"/>
      <w:r/>
      <w:bookmarkEnd w:id="271"/>
      <w:r/>
      <w:bookmarkEnd w:id="272"/>
      <w:r/>
      <w:bookmarkEnd w:id="273"/>
      <w:r/>
      <w:bookmarkEnd w:id="274"/>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2.11.1如果任何一方遭遇法律规定的不可抗力，致使合同履行受阻时，履行合同的期限应予延长，延长的期限应相当于不可抗力所影响的时间；</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2.11.2 因不可抗力致使不能实现合同目的的，当事人可以解除合同；</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2.11.3 因不可抗力致使合同有变更必要的，双方当事人应在</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约定时间内以书面形式变更合同；</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2.11.4受不可抗力影响的一方在不可抗力发生后，应在</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约定时间内以书面形式通知对方当事人，并在</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约定时间内，将有关部门出具的证明文件送达对方当事人。</w:t>
      </w:r>
      <w:r/>
    </w:p>
    <w:p>
      <w:pPr>
        <w:ind w:firstLine="482"/>
        <w:spacing w:line="560" w:lineRule="exact"/>
        <w:rPr>
          <w:rFonts w:hint="eastAsia" w:ascii="黑体" w:hAnsi="黑体" w:eastAsia="黑体" w:cs="黑体"/>
          <w:b/>
          <w:bCs/>
          <w:color w:val="auto"/>
          <w:sz w:val="24"/>
          <w:highlight w:val="none"/>
        </w:rPr>
        <w:outlineLvl w:val="0"/>
      </w:pPr>
      <w:r/>
      <w:bookmarkStart w:id="275" w:name="_Toc259093684"/>
      <w:r/>
      <w:bookmarkStart w:id="276" w:name="_Toc23854"/>
      <w:r/>
      <w:bookmarkStart w:id="277" w:name="_Toc24465"/>
      <w:r/>
      <w:bookmarkStart w:id="278" w:name="_Toc3638"/>
      <w:r/>
      <w:bookmarkStart w:id="279" w:name="_Toc14115"/>
      <w:r/>
      <w:bookmarkStart w:id="280" w:name="_Toc279701255"/>
      <w:r/>
      <w:bookmarkStart w:id="281" w:name="_Toc487900365"/>
      <w:r/>
      <w:bookmarkStart w:id="282" w:name="_Toc25783"/>
      <w:r>
        <w:rPr>
          <w:rFonts w:hint="eastAsia" w:ascii="黑体" w:hAnsi="黑体" w:eastAsia="黑体" w:cs="黑体"/>
          <w:b/>
          <w:bCs/>
          <w:color w:val="auto"/>
          <w:sz w:val="24"/>
          <w:highlight w:val="none"/>
        </w:rPr>
        <w:t xml:space="preserve">2.12 税费</w:t>
      </w:r>
      <w:bookmarkEnd w:id="275"/>
      <w:r/>
      <w:bookmarkEnd w:id="276"/>
      <w:r/>
      <w:bookmarkEnd w:id="277"/>
      <w:r/>
      <w:bookmarkEnd w:id="278"/>
      <w:r/>
      <w:bookmarkEnd w:id="279"/>
      <w:r/>
      <w:bookmarkEnd w:id="280"/>
      <w:r/>
      <w:bookmarkEnd w:id="281"/>
      <w:r/>
      <w:bookmarkEnd w:id="282"/>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与合同有关的一切税费，均按照中华人民共和国法律的相关规定缴纳。</w:t>
      </w:r>
      <w:r/>
    </w:p>
    <w:p>
      <w:pPr>
        <w:ind w:firstLine="482"/>
        <w:spacing w:line="560" w:lineRule="exact"/>
        <w:rPr>
          <w:rFonts w:hint="eastAsia" w:ascii="黑体" w:hAnsi="黑体" w:eastAsia="黑体" w:cs="黑体"/>
          <w:b/>
          <w:bCs/>
          <w:color w:val="auto"/>
          <w:sz w:val="24"/>
          <w:highlight w:val="none"/>
        </w:rPr>
        <w:outlineLvl w:val="0"/>
      </w:pPr>
      <w:r/>
      <w:bookmarkStart w:id="283" w:name="_Toc259093687"/>
      <w:r/>
      <w:bookmarkStart w:id="284" w:name="_Toc487900368"/>
      <w:r/>
      <w:bookmarkStart w:id="285" w:name="_Toc7315"/>
      <w:r/>
      <w:bookmarkStart w:id="286" w:name="_Toc14814"/>
      <w:r/>
      <w:bookmarkStart w:id="287" w:name="_Toc26883"/>
      <w:r/>
      <w:bookmarkStart w:id="288" w:name="_Toc25525"/>
      <w:r/>
      <w:bookmarkStart w:id="289" w:name="_Toc30105"/>
      <w:r/>
      <w:bookmarkStart w:id="290" w:name="_Toc279701258"/>
      <w:r>
        <w:rPr>
          <w:rFonts w:hint="eastAsia" w:ascii="黑体" w:hAnsi="黑体" w:eastAsia="黑体" w:cs="黑体"/>
          <w:b/>
          <w:bCs/>
          <w:color w:val="auto"/>
          <w:sz w:val="24"/>
          <w:highlight w:val="none"/>
        </w:rPr>
        <w:t xml:space="preserve">2.13 乙方破产</w:t>
      </w:r>
      <w:bookmarkEnd w:id="283"/>
      <w:r/>
      <w:bookmarkEnd w:id="284"/>
      <w:r/>
      <w:bookmarkEnd w:id="285"/>
      <w:r/>
      <w:bookmarkEnd w:id="286"/>
      <w:r/>
      <w:bookmarkEnd w:id="287"/>
      <w:r/>
      <w:bookmarkEnd w:id="288"/>
      <w:r/>
      <w:bookmarkEnd w:id="289"/>
      <w:r/>
      <w:bookmarkEnd w:id="290"/>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黑体" w:hAnsi="黑体" w:eastAsia="黑体" w:cs="黑体"/>
          <w:b/>
          <w:bCs/>
          <w:color w:val="auto"/>
          <w:sz w:val="24"/>
          <w:highlight w:val="none"/>
        </w:rPr>
        <w:outlineLvl w:val="0"/>
      </w:pPr>
      <w:r/>
      <w:bookmarkStart w:id="291" w:name="_Toc1123"/>
      <w:r/>
      <w:bookmarkStart w:id="292" w:name="_Toc23323"/>
      <w:r/>
      <w:bookmarkStart w:id="293" w:name="_Toc2016"/>
      <w:r>
        <w:rPr>
          <w:rFonts w:hint="eastAsia" w:ascii="黑体" w:hAnsi="黑体" w:eastAsia="黑体" w:cs="黑体"/>
          <w:b/>
          <w:bCs/>
          <w:color w:val="auto"/>
          <w:sz w:val="24"/>
          <w:highlight w:val="none"/>
        </w:rPr>
        <w:t xml:space="preserve">2.14 合同中止、终止</w:t>
      </w:r>
      <w:bookmarkEnd w:id="291"/>
      <w:r/>
      <w:bookmarkEnd w:id="292"/>
      <w:r/>
      <w:bookmarkEnd w:id="293"/>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2.14.1 双方当事人不得擅自中止或者终止合同；</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黑体" w:hAnsi="黑体" w:eastAsia="黑体" w:cs="黑体"/>
          <w:b/>
          <w:bCs/>
          <w:color w:val="auto"/>
          <w:sz w:val="24"/>
          <w:highlight w:val="none"/>
        </w:rPr>
        <w:outlineLvl w:val="0"/>
      </w:pPr>
      <w:r/>
      <w:bookmarkStart w:id="294" w:name="_Toc17363"/>
      <w:r/>
      <w:bookmarkStart w:id="295" w:name="_Toc14525"/>
      <w:r/>
      <w:bookmarkStart w:id="296" w:name="_Toc1969"/>
      <w:r>
        <w:rPr>
          <w:rFonts w:hint="eastAsia" w:ascii="黑体" w:hAnsi="黑体" w:eastAsia="黑体" w:cs="黑体"/>
          <w:b/>
          <w:bCs/>
          <w:color w:val="auto"/>
          <w:sz w:val="24"/>
          <w:highlight w:val="none"/>
        </w:rPr>
        <w:t xml:space="preserve">2.15 检验和验收</w:t>
      </w:r>
      <w:bookmarkEnd w:id="294"/>
      <w:r/>
      <w:bookmarkEnd w:id="295"/>
      <w:r/>
      <w:bookmarkEnd w:id="296"/>
      <w:r/>
      <w:r/>
    </w:p>
    <w:p>
      <w:pPr>
        <w:ind w:firstLine="482"/>
        <w:spacing w:line="560" w:lineRule="exact"/>
        <w:tabs>
          <w:tab w:val="left" w:pos="360" w:leader="none"/>
          <w:tab w:val="left" w:pos="540" w:leader="none"/>
          <w:tab w:val="left" w:pos="1080" w:leader="none"/>
        </w:tabs>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2.15.1 乙方按照</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的约定，定期提交服务报告，甲方按照</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的约定进行定期验收；</w:t>
      </w:r>
      <w:r/>
    </w:p>
    <w:p>
      <w:pPr>
        <w:ind w:firstLine="482"/>
        <w:spacing w:line="560" w:lineRule="exact"/>
        <w:tabs>
          <w:tab w:val="left" w:pos="360" w:leader="none"/>
          <w:tab w:val="left" w:pos="540" w:leader="none"/>
          <w:tab w:val="left" w:pos="1080" w:leader="none"/>
        </w:tabs>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2"/>
        <w:spacing w:line="560" w:lineRule="exact"/>
        <w:tabs>
          <w:tab w:val="left" w:pos="360" w:leader="none"/>
          <w:tab w:val="left" w:pos="540" w:leader="none"/>
          <w:tab w:val="left" w:pos="1080" w:leader="none"/>
        </w:tabs>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2.15.3 检验和验收标准、程序等具体内容以及前述验收书的效力详见</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i/>
          <w:color w:val="auto"/>
          <w:sz w:val="24"/>
          <w:highlight w:val="none"/>
        </w:rPr>
        <w:t xml:space="preserve">。</w:t>
      </w:r>
      <w:bookmarkEnd w:id="258"/>
      <w:bookmarkEnd w:id="259"/>
      <w:bookmarkEnd w:id="260"/>
      <w:bookmarkEnd w:id="261"/>
      <w:r/>
    </w:p>
    <w:p>
      <w:pPr>
        <w:ind w:firstLine="482"/>
        <w:spacing w:line="560" w:lineRule="exact"/>
        <w:rPr>
          <w:rFonts w:hint="eastAsia" w:ascii="黑体" w:hAnsi="黑体" w:eastAsia="黑体" w:cs="黑体"/>
          <w:b/>
          <w:bCs/>
          <w:color w:val="auto"/>
          <w:sz w:val="24"/>
          <w:highlight w:val="none"/>
        </w:rPr>
        <w:outlineLvl w:val="0"/>
      </w:pPr>
      <w:r/>
      <w:bookmarkStart w:id="297" w:name="_Toc259093690"/>
      <w:r/>
      <w:bookmarkStart w:id="298" w:name="_Toc487900371"/>
      <w:r/>
      <w:bookmarkStart w:id="299" w:name="_Toc279701261"/>
      <w:r/>
      <w:bookmarkStart w:id="300" w:name="_Toc9808"/>
      <w:r/>
      <w:bookmarkStart w:id="301" w:name="_Toc31892"/>
      <w:r/>
      <w:bookmarkStart w:id="302" w:name="_Toc2308"/>
      <w:r/>
      <w:bookmarkStart w:id="303" w:name="_Toc12666"/>
      <w:r/>
      <w:bookmarkStart w:id="304" w:name="_Toc25198"/>
      <w:r>
        <w:rPr>
          <w:rFonts w:hint="eastAsia" w:ascii="黑体" w:hAnsi="黑体" w:eastAsia="黑体" w:cs="黑体"/>
          <w:b/>
          <w:bCs/>
          <w:color w:val="auto"/>
          <w:sz w:val="24"/>
          <w:highlight w:val="none"/>
        </w:rPr>
        <w:t xml:space="preserve">2.16 通知</w:t>
      </w:r>
      <w:bookmarkEnd w:id="297"/>
      <w:r/>
      <w:bookmarkEnd w:id="298"/>
      <w:r/>
      <w:bookmarkEnd w:id="299"/>
      <w:r>
        <w:rPr>
          <w:rFonts w:hint="eastAsia" w:ascii="黑体" w:hAnsi="黑体" w:eastAsia="黑体" w:cs="黑体"/>
          <w:b/>
          <w:bCs/>
          <w:color w:val="auto"/>
          <w:sz w:val="24"/>
          <w:highlight w:val="none"/>
        </w:rPr>
        <w:t xml:space="preserve">和送达</w:t>
      </w:r>
      <w:bookmarkEnd w:id="300"/>
      <w:r/>
      <w:bookmarkEnd w:id="301"/>
      <w:r/>
      <w:bookmarkEnd w:id="302"/>
      <w:r/>
      <w:bookmarkEnd w:id="303"/>
      <w:r/>
      <w:bookmarkEnd w:id="304"/>
      <w:r/>
      <w:r/>
    </w:p>
    <w:p>
      <w:pPr>
        <w:ind w:firstLine="482"/>
        <w:spacing w:line="560" w:lineRule="exact"/>
        <w:rPr>
          <w:rFonts w:hint="eastAsia" w:ascii="黑体" w:hAnsi="黑体" w:eastAsia="黑体" w:cs="黑体"/>
          <w:b/>
          <w:bCs/>
          <w:color w:val="auto"/>
          <w:sz w:val="24"/>
          <w:highlight w:val="none"/>
        </w:rPr>
      </w:pPr>
      <w:r/>
      <w:bookmarkStart w:id="305" w:name="_Toc29220"/>
      <w:r/>
      <w:bookmarkStart w:id="306" w:name="_Toc7073"/>
      <w:r/>
      <w:bookmarkStart w:id="307" w:name="_Toc487900372"/>
      <w:r/>
      <w:bookmarkStart w:id="308" w:name="_Toc259093691"/>
      <w:r/>
      <w:bookmarkStart w:id="309" w:name="_Toc279701262"/>
      <w:r>
        <w:rPr>
          <w:rFonts w:hint="eastAsia" w:ascii="黑体" w:hAnsi="黑体" w:eastAsia="黑体" w:cs="黑体"/>
          <w:b/>
          <w:bCs/>
          <w:color w:val="auto"/>
          <w:sz w:val="24"/>
          <w:highlight w:val="none"/>
        </w:rPr>
        <w:t xml:space="preserve">2.16.1 任何一方因履行合同而以合同第一部分尾部所列明的</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发出的所有通知、文件、材料，均视为已向对方当事人送达；任何一方变更上述送达方式或者地址的，应于</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个工作日内书面通知对方当事人，在对方当事人收到有关变更通知之前，变更前的约定送达方式或者地址仍视为有效。</w:t>
      </w:r>
      <w:bookmarkEnd w:id="305"/>
      <w:r/>
      <w:bookmarkEnd w:id="306"/>
      <w:r/>
      <w:r/>
    </w:p>
    <w:p>
      <w:pPr>
        <w:ind w:firstLine="482"/>
        <w:spacing w:line="560" w:lineRule="exact"/>
        <w:rPr>
          <w:rFonts w:hint="eastAsia" w:ascii="黑体" w:hAnsi="黑体" w:eastAsia="黑体" w:cs="黑体"/>
          <w:b/>
          <w:bCs/>
          <w:color w:val="auto"/>
          <w:sz w:val="24"/>
          <w:highlight w:val="none"/>
        </w:rPr>
      </w:pPr>
      <w:r/>
      <w:bookmarkStart w:id="310" w:name="_Toc27674"/>
      <w:r/>
      <w:bookmarkStart w:id="311" w:name="_Toc18401"/>
      <w:r>
        <w:rPr>
          <w:rFonts w:hint="eastAsia" w:ascii="黑体" w:hAnsi="黑体" w:eastAsia="黑体" w:cs="黑体"/>
          <w:b/>
          <w:bCs/>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0"/>
      <w:r/>
      <w:bookmarkEnd w:id="311"/>
      <w:r/>
      <w:bookmarkEnd w:id="307"/>
      <w:bookmarkEnd w:id="308"/>
      <w:bookmarkEnd w:id="309"/>
      <w:r/>
    </w:p>
    <w:p>
      <w:pPr>
        <w:ind w:firstLine="482"/>
        <w:spacing w:line="560" w:lineRule="exact"/>
        <w:rPr>
          <w:rFonts w:hint="eastAsia" w:ascii="黑体" w:hAnsi="黑体" w:eastAsia="黑体" w:cs="黑体"/>
          <w:b/>
          <w:bCs/>
          <w:color w:val="auto"/>
          <w:sz w:val="24"/>
          <w:highlight w:val="none"/>
        </w:rPr>
        <w:outlineLvl w:val="0"/>
      </w:pPr>
      <w:r/>
      <w:bookmarkStart w:id="312" w:name="_Toc5063"/>
      <w:r/>
      <w:bookmarkStart w:id="313" w:name="_Toc259093692"/>
      <w:r/>
      <w:bookmarkStart w:id="314" w:name="_Toc27644"/>
      <w:r/>
      <w:bookmarkStart w:id="315" w:name="_Toc20808"/>
      <w:r/>
      <w:bookmarkStart w:id="316" w:name="_Toc279701263"/>
      <w:r/>
      <w:bookmarkStart w:id="317" w:name="_Toc28906"/>
      <w:r/>
      <w:bookmarkStart w:id="318" w:name="_Toc487900373"/>
      <w:r/>
      <w:bookmarkStart w:id="319" w:name="_Toc12254"/>
      <w:r>
        <w:rPr>
          <w:rFonts w:hint="eastAsia" w:ascii="黑体" w:hAnsi="黑体" w:eastAsia="黑体" w:cs="黑体"/>
          <w:b/>
          <w:bCs/>
          <w:color w:val="auto"/>
          <w:sz w:val="24"/>
          <w:highlight w:val="none"/>
        </w:rPr>
        <w:t xml:space="preserve">2.17 合同使用的文字和适用的法律</w:t>
      </w:r>
      <w:bookmarkEnd w:id="312"/>
      <w:r/>
      <w:bookmarkEnd w:id="313"/>
      <w:r/>
      <w:bookmarkEnd w:id="314"/>
      <w:r/>
      <w:bookmarkEnd w:id="315"/>
      <w:r/>
      <w:bookmarkEnd w:id="316"/>
      <w:r/>
      <w:bookmarkEnd w:id="317"/>
      <w:r/>
      <w:bookmarkEnd w:id="318"/>
      <w:r/>
      <w:bookmarkEnd w:id="319"/>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2.17.1 合同使用汉语书就、变更和解释；</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2.17.2 合同适用中华人民共和国法律。</w:t>
      </w:r>
      <w:r/>
    </w:p>
    <w:p>
      <w:pPr>
        <w:ind w:firstLine="482"/>
        <w:spacing w:line="560" w:lineRule="exact"/>
        <w:rPr>
          <w:rFonts w:hint="eastAsia" w:ascii="黑体" w:hAnsi="黑体" w:eastAsia="黑体" w:cs="黑体"/>
          <w:b/>
          <w:bCs/>
          <w:color w:val="auto"/>
          <w:sz w:val="24"/>
          <w:highlight w:val="none"/>
        </w:rPr>
        <w:outlineLvl w:val="0"/>
      </w:pPr>
      <w:r/>
      <w:bookmarkStart w:id="320" w:name="_Toc22266"/>
      <w:r/>
      <w:bookmarkStart w:id="321" w:name="_Toc30096"/>
      <w:r/>
      <w:bookmarkStart w:id="322" w:name="_Toc259093693"/>
      <w:r/>
      <w:bookmarkStart w:id="323" w:name="_Toc279701264"/>
      <w:r/>
      <w:bookmarkStart w:id="324" w:name="_Toc1492"/>
      <w:r/>
      <w:bookmarkStart w:id="325" w:name="_Toc27127"/>
      <w:r/>
      <w:bookmarkStart w:id="326" w:name="_Toc27403"/>
      <w:r/>
      <w:bookmarkStart w:id="327" w:name="_Toc487900374"/>
      <w:r>
        <w:rPr>
          <w:rFonts w:hint="eastAsia" w:ascii="黑体" w:hAnsi="黑体" w:eastAsia="黑体" w:cs="黑体"/>
          <w:b/>
          <w:bCs/>
          <w:color w:val="auto"/>
          <w:sz w:val="24"/>
          <w:highlight w:val="none"/>
        </w:rPr>
        <w:t xml:space="preserve">2.18 履约保证金</w:t>
      </w:r>
      <w:bookmarkEnd w:id="320"/>
      <w:r/>
      <w:bookmarkEnd w:id="321"/>
      <w:r/>
      <w:bookmarkEnd w:id="322"/>
      <w:r/>
      <w:bookmarkEnd w:id="323"/>
      <w:r/>
      <w:bookmarkEnd w:id="324"/>
      <w:r/>
      <w:bookmarkEnd w:id="325"/>
      <w:r/>
      <w:bookmarkEnd w:id="326"/>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2.18.1 采购文件要求乙方提交履约保证金的，乙方应按</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约定的方式，以支票、汇票、本票或者金融机构、担保机构出具的保函等非现金形式，提交不超过合同价</w:t>
      </w:r>
      <w:r>
        <w:rPr>
          <w:rFonts w:hint="eastAsia" w:ascii="黑体" w:hAnsi="黑体" w:eastAsia="黑体" w:cs="黑体"/>
          <w:b/>
          <w:bCs/>
          <w:color w:val="auto"/>
          <w:sz w:val="24"/>
          <w:highlight w:val="none"/>
          <w:u w:val="single"/>
        </w:rPr>
        <w:t xml:space="preserve"> 10%</w:t>
      </w:r>
      <w:r>
        <w:rPr>
          <w:rFonts w:hint="eastAsia" w:ascii="黑体" w:hAnsi="黑体" w:eastAsia="黑体" w:cs="黑体"/>
          <w:b/>
          <w:bCs/>
          <w:color w:val="auto"/>
          <w:sz w:val="24"/>
          <w:highlight w:val="none"/>
        </w:rPr>
        <w:t xml:space="preserve">的履约保证金；</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2.18.2 履约保证金在</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约定期间内不予退还或者应完全有效，前述约定期间届满之日起</w:t>
      </w:r>
      <w:r>
        <w:rPr>
          <w:rFonts w:hint="eastAsia" w:ascii="黑体" w:hAnsi="黑体" w:eastAsia="黑体" w:cs="黑体"/>
          <w:b/>
          <w:bCs/>
          <w:color w:val="auto"/>
          <w:sz w:val="24"/>
          <w:highlight w:val="none"/>
          <w:u w:val="single"/>
        </w:rPr>
        <w:t xml:space="preserve">   </w:t>
      </w:r>
      <w:r>
        <w:rPr>
          <w:rFonts w:hint="eastAsia" w:ascii="黑体" w:hAnsi="黑体" w:eastAsia="黑体" w:cs="黑体"/>
          <w:b/>
          <w:bCs/>
          <w:color w:val="auto"/>
          <w:sz w:val="24"/>
          <w:highlight w:val="none"/>
        </w:rPr>
        <w:t xml:space="preserve">个工作日内，甲方应将履约保证金退还乙方；</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327"/>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2.19 合同份数</w:t>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合同份数按</w:t>
      </w:r>
      <w:r>
        <w:rPr>
          <w:rFonts w:hint="eastAsia" w:ascii="黑体" w:hAnsi="黑体" w:eastAsia="黑体" w:cs="黑体"/>
          <w:b/>
          <w:bCs/>
          <w:i/>
          <w:color w:val="auto"/>
          <w:sz w:val="24"/>
          <w:highlight w:val="none"/>
          <w:u w:val="single"/>
        </w:rPr>
        <w:t xml:space="preserve">合同专用条款</w:t>
      </w:r>
      <w:r>
        <w:rPr>
          <w:rFonts w:hint="eastAsia" w:ascii="黑体" w:hAnsi="黑体" w:eastAsia="黑体" w:cs="黑体"/>
          <w:b/>
          <w:bCs/>
          <w:color w:val="auto"/>
          <w:sz w:val="24"/>
          <w:highlight w:val="none"/>
        </w:rPr>
        <w:t xml:space="preserve">规定，每份均具有同等法律效力。</w:t>
      </w:r>
      <w:r/>
    </w:p>
    <w:p>
      <w:pPr>
        <w:pStyle w:val="974"/>
        <w:ind w:firstLine="0"/>
        <w:jc w:val="center"/>
        <w:spacing w:line="560" w:lineRule="exact"/>
        <w:rPr>
          <w:rFonts w:hint="eastAsia" w:ascii="黑体" w:hAnsi="黑体" w:eastAsia="黑体" w:cs="黑体"/>
          <w:b/>
          <w:bCs/>
          <w:color w:val="auto"/>
          <w:highlight w:val="none"/>
        </w:rPr>
      </w:pPr>
      <w:r>
        <w:rPr>
          <w:rFonts w:hint="eastAsia" w:ascii="黑体" w:hAnsi="黑体" w:eastAsia="黑体" w:cs="黑体"/>
          <w:b/>
          <w:bCs/>
          <w:color w:val="auto"/>
          <w:highlight w:val="none"/>
        </w:rPr>
        <w:br w:type="page" w:clear="all"/>
      </w:r>
      <w:bookmarkStart w:id="328" w:name="_Toc331685784"/>
      <w:r>
        <w:rPr>
          <w:rFonts w:hint="eastAsia" w:ascii="黑体" w:hAnsi="黑体" w:eastAsia="黑体" w:cs="黑体"/>
          <w:b/>
          <w:bCs/>
          <w:color w:val="auto"/>
          <w:highlight w:val="none"/>
        </w:rPr>
        <w:t xml:space="preserve">第三部分  合同专用条款</w:t>
      </w:r>
      <w:bookmarkEnd w:id="328"/>
      <w:r/>
      <w:r/>
    </w:p>
    <w:p>
      <w:pPr>
        <w:ind w:firstLine="482"/>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772"/>
        <w:tblW w:w="0" w:type="auto"/>
        <w:tblInd w:w="-6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33"/>
      </w:tblGrid>
      <w:tr>
        <w:trPr>
          <w:trHeight w:val="391"/>
        </w:trPr>
        <w:tc>
          <w:tcPr>
            <w:tcBorders>
              <w:left w:val="single" w:color="auto" w:sz="4" w:space="0"/>
            </w:tcBorders>
            <w:tcW w:w="801" w:type="dxa"/>
            <w:vAlign w:val="center"/>
            <w:textDirection w:val="lrTb"/>
            <w:noWrap w:val="false"/>
          </w:tcPr>
          <w:p>
            <w:pPr>
              <w:jc w:val="cente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条款号</w:t>
            </w:r>
            <w:r/>
          </w:p>
        </w:tc>
        <w:tc>
          <w:tcPr>
            <w:tcW w:w="7633" w:type="dxa"/>
            <w:vAlign w:val="center"/>
            <w:textDirection w:val="lrTb"/>
            <w:noWrap w:val="false"/>
          </w:tcPr>
          <w:p>
            <w:pPr>
              <w:jc w:val="cente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约定内容</w:t>
            </w:r>
            <w:r/>
          </w:p>
        </w:tc>
      </w:tr>
      <w:tr>
        <w:trPr>
          <w:trHeight w:val="88"/>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u w:val="single"/>
              </w:rPr>
            </w:pPr>
            <w:r>
              <w:rPr>
                <w:rFonts w:hint="eastAsia" w:ascii="黑体" w:hAnsi="黑体" w:eastAsia="黑体" w:cs="黑体"/>
                <w:b/>
                <w:bCs/>
                <w:color w:val="auto"/>
                <w:sz w:val="24"/>
                <w:highlight w:val="none"/>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5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tc>
      </w:tr>
    </w:tbl>
    <w:p>
      <w:pPr>
        <w:ind w:firstLine="480"/>
        <w:spacing w:after="156" w:line="560" w:lineRule="exact"/>
        <w:rPr>
          <w:rFonts w:hint="eastAsia" w:ascii="黑体" w:hAnsi="黑体" w:eastAsia="黑体" w:cs="黑体"/>
          <w:b/>
          <w:bCs/>
          <w:color w:val="auto"/>
          <w:highlight w:val="none"/>
        </w:rPr>
      </w:pPr>
      <w:r>
        <w:rPr>
          <w:rFonts w:hint="eastAsia" w:ascii="黑体" w:hAnsi="黑体" w:eastAsia="黑体" w:cs="黑体"/>
          <w:b/>
          <w:bCs/>
          <w:color w:val="auto"/>
          <w:highlight w:val="none"/>
        </w:rPr>
      </w:r>
      <w:r/>
    </w:p>
    <w:p>
      <w:pPr>
        <w:ind w:firstLine="482"/>
        <w:spacing w:line="360" w:lineRule="auto"/>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jc w:val="left"/>
        <w:spacing w:line="440" w:lineRule="exact"/>
        <w:rPr>
          <w:rFonts w:hint="eastAsia" w:ascii="黑体" w:hAnsi="黑体" w:eastAsia="黑体" w:cs="黑体"/>
          <w:b/>
          <w:bCs/>
          <w:color w:val="auto"/>
          <w:sz w:val="32"/>
          <w:szCs w:val="32"/>
          <w:highlight w:val="none"/>
        </w:rPr>
      </w:pPr>
      <w:r>
        <w:rPr>
          <w:rFonts w:hint="eastAsia" w:ascii="黑体" w:hAnsi="黑体" w:eastAsia="黑体" w:cs="黑体"/>
          <w:b/>
          <w:bCs/>
          <w:color w:val="auto"/>
          <w:sz w:val="28"/>
          <w:szCs w:val="28"/>
          <w:highlight w:val="none"/>
        </w:rPr>
        <w:t xml:space="preserve">注明：甲方对合同保留修改和完善的权利，但不得与</w:t>
      </w:r>
      <w:r>
        <w:rPr>
          <w:rFonts w:hint="eastAsia" w:ascii="黑体" w:hAnsi="黑体" w:eastAsia="黑体" w:cs="黑体"/>
          <w:b/>
          <w:bCs/>
          <w:color w:val="auto"/>
          <w:sz w:val="28"/>
          <w:szCs w:val="28"/>
          <w:highlight w:val="none"/>
          <w:lang w:val="en-US" w:eastAsia="zh-CN"/>
        </w:rPr>
        <w:t xml:space="preserve">招标</w:t>
      </w:r>
      <w:r>
        <w:rPr>
          <w:rFonts w:hint="eastAsia" w:ascii="黑体" w:hAnsi="黑体" w:eastAsia="黑体" w:cs="黑体"/>
          <w:b/>
          <w:bCs/>
          <w:color w:val="auto"/>
          <w:sz w:val="28"/>
          <w:szCs w:val="28"/>
          <w:highlight w:val="none"/>
        </w:rPr>
        <w:t xml:space="preserve">文件、乙方投标文件的实质性内容相背离。</w:t>
      </w:r>
      <w:r/>
    </w:p>
    <w:p>
      <w:pPr>
        <w:pStyle w:val="804"/>
        <w:ind w:left="0" w:firstLine="0"/>
        <w:jc w:val="left"/>
        <w:spacing w:line="360" w:lineRule="auto"/>
        <w:rPr>
          <w:rFonts w:hint="eastAsia" w:ascii="黑体" w:hAnsi="黑体" w:eastAsia="黑体" w:cs="黑体"/>
          <w:b/>
          <w:bCs/>
          <w:color w:val="auto"/>
          <w:sz w:val="24"/>
          <w:highlight w:val="none"/>
          <w:u w:val="single"/>
          <w:lang w:bidi="ar"/>
        </w:rPr>
      </w:pPr>
      <w:r>
        <w:rPr>
          <w:rFonts w:hint="eastAsia" w:ascii="黑体" w:hAnsi="黑体" w:eastAsia="黑体" w:cs="黑体"/>
          <w:b/>
          <w:bCs/>
          <w:color w:val="auto"/>
          <w:sz w:val="24"/>
          <w:highlight w:val="none"/>
          <w:u w:val="single"/>
          <w:lang w:bidi="ar"/>
        </w:rPr>
      </w:r>
      <w:r/>
    </w:p>
    <w:p>
      <w:pPr>
        <w:ind w:firstLine="2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sectPr>
      <w:headerReference w:type="default" r:id="rId11"/>
      <w:footerReference w:type="default" r:id="rId14"/>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MS Gothic">
    <w:panose1 w:val="020B0609070205080204"/>
  </w:font>
  <w:font w:name="仿宋">
    <w:panose1 w:val="02010609060101010101"/>
  </w:font>
  <w:font w:name="等线">
    <w:panose1 w:val="02010600030101010101"/>
  </w:font>
  <w:font w:name="华文细黑">
    <w:panose1 w:val="02010600040101010101"/>
  </w:font>
  <w:font w:name="Berlin Sans FB">
    <w:panose1 w:val="020E0602020502020306"/>
  </w:font>
  <w:font w:name="Tahoma">
    <w:panose1 w:val="020B0604030504040204"/>
  </w:font>
  <w:font w:name="Symbol">
    <w:panose1 w:val="05050102010706020507"/>
  </w:font>
  <w:font w:name="新宋体">
    <w:panose1 w:val="02010609030101010101"/>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6"/>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p>
    <w:pPr>
      <w:pStyle w:val="790"/>
      <w:jc w:val="center"/>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left"/>
      <w:spacing w:line="360" w:lineRule="auto"/>
      <w:tabs>
        <w:tab w:val="left" w:pos="2445" w:leader="none"/>
        <w:tab w:val="center" w:pos="4959" w:leader="none"/>
      </w:tabs>
      <w:rPr>
        <w:rFonts w:hint="default" w:ascii="黑体" w:hAnsi="黑体" w:eastAsia="黑体" w:cs="黑体"/>
        <w:color w:val="auto"/>
        <w:sz w:val="21"/>
        <w:szCs w:val="21"/>
        <w:highlight w:val="none"/>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259715</wp:posOffset>
              </wp:positionV>
              <wp:extent cx="6151880" cy="0"/>
              <wp:effectExtent l="0" t="4445" r="0" b="5080"/>
              <wp:wrapNone/>
              <wp:docPr id="1" name="任意多边形 43"/>
              <wp:cNvGraphicFramePr/>
              <a:graphic xmlns:a="http://schemas.openxmlformats.org/drawingml/2006/main">
                <a:graphicData uri="http://schemas.microsoft.com/office/word/2010/wordprocessingShape">
                  <wps:wsp>
                    <wps:cNvPr id="0" name=""/>
                    <wps:cNvSpPr/>
                    <wps:spPr bwMode="auto">
                      <a:xfrm>
                        <a:off x="0" y="0"/>
                        <a:ext cx="6151880" cy="0"/>
                      </a:xfrm>
                      <a:custGeom>
                        <a:avLst/>
                        <a:gdLst>
                          <a:gd name="gd0" fmla="val 65536"/>
                          <a:gd name="gd1" fmla="val 0"/>
                          <a:gd name="gd2" fmla="val 0"/>
                          <a:gd name="gd3" fmla="val 21600"/>
                          <a:gd name="gd4" fmla="val 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4572">
                        <a:solidFill>
                          <a:srgbClr val="000000"/>
                        </a:solidFill>
                        <a:bevel/>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text;margin-left:0.0pt;mso-position-horizontal:absolute;mso-position-vertical-relative:text;margin-top:20.4pt;mso-position-vertical:absolute;width:484.4pt;height:0.0pt;mso-wrap-distance-left:9.0pt;mso-wrap-distance-top:0.0pt;mso-wrap-distance-right:9.0pt;mso-wrap-distance-bottom:0.0pt;visibility:visible;" path="m0,0l100000,0ee" coordsize="100000,100000" filled="f" strokecolor="#000000" strokeweight="0.36pt">
              <v:path textboxrect="0,0,100000,100000"/>
            </v:shape>
          </w:pict>
        </mc:Fallback>
      </mc:AlternateContent>
    </w:r>
    <w:r>
      <w:rPr>
        <w:rFonts w:hint="eastAsia" w:ascii="黑体" w:hAnsi="黑体" w:eastAsia="黑体" w:cs="黑体"/>
        <w:bCs/>
        <w:color w:val="auto"/>
        <w:sz w:val="21"/>
        <w:szCs w:val="21"/>
        <w:highlight w:val="none"/>
        <w:u w:val="none"/>
        <w:lang w:eastAsia="zh-CN"/>
      </w:rPr>
      <w:t xml:space="preserve">南通经济技术开发区“童声里的中国”视听工坊项目</w:t>
    </w:r>
    <w:r>
      <w:rPr>
        <w:rFonts w:hint="eastAsia" w:ascii="黑体" w:hAnsi="黑体" w:eastAsia="黑体" w:cs="黑体"/>
        <w:bCs/>
        <w:color w:val="auto"/>
        <w:sz w:val="21"/>
        <w:szCs w:val="21"/>
        <w:highlight w:val="none"/>
        <w:u w:val="none"/>
        <w:lang w:val="en-US" w:eastAsia="zh-CN"/>
      </w:rPr>
      <w:t xml:space="preserve">                                      招标文件</w:t>
    </w:r>
    <w:r/>
  </w:p>
  <w:p>
    <w:pPr>
      <w:spacing w:line="210" w:lineRule="auto"/>
      <w:rPr>
        <w:rFonts w:ascii="宋体" w:hAnsi="宋体" w:eastAsia="宋体" w:cs="宋体"/>
        <w:sz w:val="18"/>
        <w:szCs w:val="18"/>
        <w:lang w:eastAsia="zh-CN"/>
      </w:rPr>
      <w:pBdr>
        <w:bottom w:val="none" w:color="auto" w:sz="0" w:space="0"/>
      </w:pBdr>
    </w:pPr>
    <w:r>
      <w:rPr>
        <w:rFonts w:ascii="宋体" w:hAnsi="宋体" w:eastAsia="宋体" w:cs="宋体"/>
        <w:sz w:val="18"/>
        <w:szCs w:val="18"/>
        <w:lang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right"/>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0"/>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2"/>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1"/>
    <w:link w:val="762"/>
    <w:uiPriority w:val="9"/>
    <w:rPr>
      <w:rFonts w:ascii="Arial" w:hAnsi="Arial" w:eastAsia="Arial" w:cs="Arial"/>
      <w:sz w:val="40"/>
      <w:szCs w:val="40"/>
    </w:rPr>
  </w:style>
  <w:style w:type="character" w:styleId="15">
    <w:name w:val="Heading 2 Char"/>
    <w:basedOn w:val="771"/>
    <w:link w:val="763"/>
    <w:uiPriority w:val="9"/>
    <w:rPr>
      <w:rFonts w:ascii="Arial" w:hAnsi="Arial" w:eastAsia="Arial" w:cs="Arial"/>
      <w:sz w:val="34"/>
    </w:rPr>
  </w:style>
  <w:style w:type="character" w:styleId="17">
    <w:name w:val="Heading 3 Char"/>
    <w:basedOn w:val="771"/>
    <w:link w:val="764"/>
    <w:uiPriority w:val="9"/>
    <w:rPr>
      <w:rFonts w:ascii="Arial" w:hAnsi="Arial" w:eastAsia="Arial" w:cs="Arial"/>
      <w:sz w:val="30"/>
      <w:szCs w:val="30"/>
    </w:rPr>
  </w:style>
  <w:style w:type="character" w:styleId="19">
    <w:name w:val="Heading 4 Char"/>
    <w:basedOn w:val="771"/>
    <w:link w:val="765"/>
    <w:uiPriority w:val="9"/>
    <w:rPr>
      <w:rFonts w:ascii="Arial" w:hAnsi="Arial" w:eastAsia="Arial" w:cs="Arial"/>
      <w:b/>
      <w:bCs/>
      <w:sz w:val="26"/>
      <w:szCs w:val="26"/>
    </w:rPr>
  </w:style>
  <w:style w:type="character" w:styleId="21">
    <w:name w:val="Heading 5 Char"/>
    <w:basedOn w:val="771"/>
    <w:link w:val="766"/>
    <w:uiPriority w:val="9"/>
    <w:rPr>
      <w:rFonts w:ascii="Arial" w:hAnsi="Arial" w:eastAsia="Arial" w:cs="Arial"/>
      <w:b/>
      <w:bCs/>
      <w:sz w:val="24"/>
      <w:szCs w:val="24"/>
    </w:rPr>
  </w:style>
  <w:style w:type="character" w:styleId="23">
    <w:name w:val="Heading 6 Char"/>
    <w:basedOn w:val="771"/>
    <w:link w:val="767"/>
    <w:uiPriority w:val="9"/>
    <w:rPr>
      <w:rFonts w:ascii="Arial" w:hAnsi="Arial" w:eastAsia="Arial" w:cs="Arial"/>
      <w:b/>
      <w:bCs/>
      <w:sz w:val="22"/>
      <w:szCs w:val="22"/>
    </w:rPr>
  </w:style>
  <w:style w:type="character" w:styleId="25">
    <w:name w:val="Heading 7 Char"/>
    <w:basedOn w:val="771"/>
    <w:link w:val="768"/>
    <w:uiPriority w:val="9"/>
    <w:rPr>
      <w:rFonts w:ascii="Arial" w:hAnsi="Arial" w:eastAsia="Arial" w:cs="Arial"/>
      <w:b/>
      <w:bCs/>
      <w:i/>
      <w:iCs/>
      <w:sz w:val="22"/>
      <w:szCs w:val="22"/>
    </w:rPr>
  </w:style>
  <w:style w:type="character" w:styleId="27">
    <w:name w:val="Heading 8 Char"/>
    <w:basedOn w:val="771"/>
    <w:link w:val="769"/>
    <w:uiPriority w:val="9"/>
    <w:rPr>
      <w:rFonts w:ascii="Arial" w:hAnsi="Arial" w:eastAsia="Arial" w:cs="Arial"/>
      <w:i/>
      <w:iCs/>
      <w:sz w:val="22"/>
      <w:szCs w:val="22"/>
    </w:rPr>
  </w:style>
  <w:style w:type="character" w:styleId="29">
    <w:name w:val="Heading 9 Char"/>
    <w:basedOn w:val="771"/>
    <w:link w:val="770"/>
    <w:uiPriority w:val="9"/>
    <w:rPr>
      <w:rFonts w:ascii="Arial" w:hAnsi="Arial" w:eastAsia="Arial" w:cs="Arial"/>
      <w:i/>
      <w:iCs/>
      <w:sz w:val="21"/>
      <w:szCs w:val="21"/>
    </w:rPr>
  </w:style>
  <w:style w:type="character" w:styleId="34">
    <w:name w:val="Title Char"/>
    <w:basedOn w:val="771"/>
    <w:link w:val="801"/>
    <w:uiPriority w:val="10"/>
    <w:rPr>
      <w:sz w:val="48"/>
      <w:szCs w:val="48"/>
    </w:rPr>
  </w:style>
  <w:style w:type="character" w:styleId="36">
    <w:name w:val="Subtitle Char"/>
    <w:basedOn w:val="771"/>
    <w:link w:val="794"/>
    <w:uiPriority w:val="11"/>
    <w:rPr>
      <w:sz w:val="24"/>
      <w:szCs w:val="24"/>
    </w:rPr>
  </w:style>
  <w:style w:type="character" w:styleId="38">
    <w:name w:val="Quote Char"/>
    <w:link w:val="833"/>
    <w:uiPriority w:val="29"/>
    <w:rPr>
      <w:i/>
    </w:rPr>
  </w:style>
  <w:style w:type="character" w:styleId="40">
    <w:name w:val="Intense Quote Char"/>
    <w:link w:val="835"/>
    <w:uiPriority w:val="30"/>
    <w:rPr>
      <w:i/>
    </w:rPr>
  </w:style>
  <w:style w:type="character" w:styleId="42">
    <w:name w:val="Header Char"/>
    <w:basedOn w:val="771"/>
    <w:link w:val="791"/>
    <w:uiPriority w:val="99"/>
  </w:style>
  <w:style w:type="character" w:styleId="46">
    <w:name w:val="Caption Char"/>
    <w:basedOn w:val="776"/>
    <w:link w:val="790"/>
    <w:uiPriority w:val="99"/>
  </w:style>
  <w:style w:type="table" w:styleId="49">
    <w:name w:val="Plain Table 1"/>
    <w:basedOn w:val="7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5"/>
    <w:uiPriority w:val="99"/>
    <w:rPr>
      <w:sz w:val="18"/>
    </w:rPr>
  </w:style>
  <w:style w:type="character" w:styleId="178">
    <w:name w:val="Endnote Text Char"/>
    <w:link w:val="788"/>
    <w:uiPriority w:val="99"/>
    <w:rPr>
      <w:sz w:val="20"/>
    </w:rPr>
  </w:style>
  <w:style w:type="paragraph" w:styleId="189">
    <w:name w:val="TOC Heading"/>
    <w:uiPriority w:val="39"/>
    <w:unhideWhenUsed/>
  </w:style>
  <w:style w:type="paragraph" w:styleId="76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2">
    <w:name w:val="Heading 1"/>
    <w:basedOn w:val="761"/>
    <w:next w:val="761"/>
    <w:link w:val="820"/>
    <w:uiPriority w:val="9"/>
    <w:qFormat/>
    <w:pPr>
      <w:keepLines/>
      <w:keepNext/>
      <w:spacing w:before="480" w:after="200"/>
      <w:outlineLvl w:val="0"/>
    </w:pPr>
    <w:rPr>
      <w:rFonts w:ascii="Arial" w:hAnsi="Arial" w:eastAsia="Arial" w:cs="Arial"/>
      <w:sz w:val="40"/>
      <w:szCs w:val="40"/>
    </w:rPr>
  </w:style>
  <w:style w:type="paragraph" w:styleId="763">
    <w:name w:val="Heading 2"/>
    <w:basedOn w:val="761"/>
    <w:next w:val="761"/>
    <w:link w:val="821"/>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link w:val="822"/>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link w:val="823"/>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link w:val="824"/>
    <w:uiPriority w:val="9"/>
    <w:unhideWhenUsed/>
    <w:qFormat/>
    <w:pPr>
      <w:keepLines/>
      <w:keepNext/>
      <w:spacing w:before="320" w:after="200"/>
      <w:outlineLvl w:val="4"/>
    </w:pPr>
    <w:rPr>
      <w:rFonts w:ascii="Arial" w:hAnsi="Arial" w:eastAsia="Arial" w:cs="Arial"/>
      <w:b/>
      <w:bCs/>
      <w:sz w:val="24"/>
    </w:rPr>
  </w:style>
  <w:style w:type="paragraph" w:styleId="767">
    <w:name w:val="Heading 6"/>
    <w:basedOn w:val="761"/>
    <w:next w:val="761"/>
    <w:link w:val="825"/>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27"/>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28"/>
    <w:uiPriority w:val="9"/>
    <w:unhideWhenUsed/>
    <w:qFormat/>
    <w:pPr>
      <w:keepLines/>
      <w:keepNext/>
      <w:spacing w:before="320" w:after="200"/>
      <w:outlineLvl w:val="8"/>
    </w:pPr>
    <w:rPr>
      <w:rFonts w:ascii="Arial" w:hAnsi="Arial" w:eastAsia="Arial" w:cs="Arial"/>
      <w:i/>
      <w:iCs/>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toc 7"/>
    <w:basedOn w:val="761"/>
    <w:next w:val="761"/>
    <w:uiPriority w:val="39"/>
    <w:unhideWhenUsed/>
    <w:qFormat/>
    <w:pPr>
      <w:ind w:left="1701"/>
      <w:spacing w:after="57"/>
    </w:pPr>
  </w:style>
  <w:style w:type="paragraph" w:styleId="774">
    <w:name w:val="table of authorities"/>
    <w:basedOn w:val="761"/>
    <w:next w:val="761"/>
    <w:uiPriority w:val="0"/>
    <w:qFormat/>
    <w:pPr>
      <w:ind w:left="420"/>
      <w:spacing w:line="300" w:lineRule="auto"/>
    </w:pPr>
    <w:rPr>
      <w:rFonts w:ascii="Calibri" w:hAnsi="Calibri"/>
    </w:rPr>
  </w:style>
  <w:style w:type="paragraph" w:styleId="775">
    <w:name w:val="Normal Indent"/>
    <w:basedOn w:val="761"/>
    <w:uiPriority w:val="0"/>
    <w:qFormat/>
    <w:pPr>
      <w:ind w:firstLine="420"/>
      <w:jc w:val="left"/>
    </w:pPr>
    <w:rPr>
      <w:rFonts w:eastAsia="楷体_GB2312"/>
      <w:sz w:val="24"/>
    </w:rPr>
  </w:style>
  <w:style w:type="paragraph" w:styleId="776">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1"/>
    <w:link w:val="1100"/>
    <w:uiPriority w:val="0"/>
    <w:qFormat/>
    <w:pPr>
      <w:jc w:val="left"/>
    </w:pPr>
  </w:style>
  <w:style w:type="paragraph" w:styleId="778">
    <w:name w:val="Body Text"/>
    <w:basedOn w:val="761"/>
    <w:next w:val="761"/>
    <w:uiPriority w:val="0"/>
    <w:qFormat/>
    <w:pPr>
      <w:spacing w:after="120"/>
    </w:pPr>
  </w:style>
  <w:style w:type="paragraph" w:styleId="779">
    <w:name w:val="Body Text Indent"/>
    <w:basedOn w:val="761"/>
    <w:next w:val="780"/>
    <w:uiPriority w:val="0"/>
    <w:qFormat/>
    <w:pPr>
      <w:ind w:left="420"/>
      <w:spacing w:after="120"/>
    </w:pPr>
  </w:style>
  <w:style w:type="paragraph" w:styleId="780">
    <w:name w:val="envelope return"/>
    <w:basedOn w:val="761"/>
    <w:uiPriority w:val="99"/>
    <w:unhideWhenUsed/>
    <w:qFormat/>
    <w:rPr>
      <w:rFonts w:ascii="Arial" w:hAnsi="Arial"/>
    </w:rPr>
  </w:style>
  <w:style w:type="paragraph" w:styleId="781">
    <w:name w:val="Block Text"/>
    <w:basedOn w:val="761"/>
    <w:uiPriority w:val="99"/>
    <w:unhideWhenUsed/>
    <w:qFormat/>
    <w:pPr>
      <w:ind w:left="1440" w:right="700"/>
    </w:pPr>
    <w:rPr>
      <w:rFonts w:ascii="Verdana" w:hAnsi="Verdana"/>
      <w:szCs w:val="20"/>
    </w:rPr>
  </w:style>
  <w:style w:type="paragraph" w:styleId="782">
    <w:name w:val="index 4"/>
    <w:basedOn w:val="761"/>
    <w:next w:val="761"/>
    <w:uiPriority w:val="99"/>
    <w:unhideWhenUsed/>
    <w:qFormat/>
    <w:pPr>
      <w:ind w:left="600"/>
    </w:pPr>
  </w:style>
  <w:style w:type="paragraph" w:styleId="783">
    <w:name w:val="toc 5"/>
    <w:basedOn w:val="761"/>
    <w:next w:val="761"/>
    <w:uiPriority w:val="39"/>
    <w:unhideWhenUsed/>
    <w:qFormat/>
    <w:pPr>
      <w:ind w:left="1134"/>
      <w:spacing w:after="57"/>
    </w:pPr>
  </w:style>
  <w:style w:type="paragraph" w:styleId="784">
    <w:name w:val="toc 3"/>
    <w:basedOn w:val="761"/>
    <w:next w:val="761"/>
    <w:uiPriority w:val="39"/>
    <w:unhideWhenUsed/>
    <w:qFormat/>
    <w:pPr>
      <w:ind w:left="567"/>
      <w:spacing w:after="57"/>
    </w:pPr>
  </w:style>
  <w:style w:type="paragraph" w:styleId="785">
    <w:name w:val="Plain Text"/>
    <w:basedOn w:val="761"/>
    <w:uiPriority w:val="0"/>
    <w:qFormat/>
    <w:rPr>
      <w:rFonts w:ascii="宋体" w:hAnsi="Courier New" w:cs="Courier New"/>
      <w:szCs w:val="21"/>
    </w:rPr>
  </w:style>
  <w:style w:type="paragraph" w:styleId="786">
    <w:name w:val="toc 8"/>
    <w:basedOn w:val="761"/>
    <w:next w:val="761"/>
    <w:uiPriority w:val="39"/>
    <w:unhideWhenUsed/>
    <w:qFormat/>
    <w:pPr>
      <w:ind w:left="1984"/>
      <w:spacing w:after="57"/>
    </w:pPr>
  </w:style>
  <w:style w:type="paragraph" w:styleId="787">
    <w:name w:val="Body Text Indent 2"/>
    <w:basedOn w:val="761"/>
    <w:uiPriority w:val="0"/>
    <w:semiHidden/>
    <w:unhideWhenUsed/>
    <w:qFormat/>
    <w:pPr>
      <w:ind w:firstLine="560"/>
      <w:spacing w:line="500" w:lineRule="exact"/>
    </w:pPr>
    <w:rPr>
      <w:rFonts w:eastAsia="仿宋_GB2312"/>
      <w:sz w:val="28"/>
      <w:szCs w:val="20"/>
    </w:rPr>
  </w:style>
  <w:style w:type="paragraph" w:styleId="788">
    <w:name w:val="endnote text"/>
    <w:basedOn w:val="761"/>
    <w:link w:val="966"/>
    <w:uiPriority w:val="99"/>
    <w:semiHidden/>
    <w:unhideWhenUsed/>
    <w:qFormat/>
    <w:rPr>
      <w:sz w:val="20"/>
    </w:rPr>
  </w:style>
  <w:style w:type="paragraph" w:styleId="789">
    <w:name w:val="Balloon Text"/>
    <w:basedOn w:val="761"/>
    <w:link w:val="1099"/>
    <w:uiPriority w:val="99"/>
    <w:semiHidden/>
    <w:unhideWhenUsed/>
    <w:qFormat/>
    <w:rPr>
      <w:sz w:val="18"/>
      <w:szCs w:val="18"/>
    </w:rPr>
  </w:style>
  <w:style w:type="paragraph" w:styleId="790">
    <w:name w:val="Footer"/>
    <w:basedOn w:val="761"/>
    <w:link w:val="839"/>
    <w:uiPriority w:val="99"/>
    <w:unhideWhenUsed/>
    <w:qFormat/>
    <w:pPr>
      <w:tabs>
        <w:tab w:val="center" w:pos="7143" w:leader="none"/>
        <w:tab w:val="right" w:pos="14287" w:leader="none"/>
      </w:tabs>
    </w:pPr>
  </w:style>
  <w:style w:type="paragraph" w:styleId="791">
    <w:name w:val="Header"/>
    <w:basedOn w:val="761"/>
    <w:link w:val="837"/>
    <w:uiPriority w:val="99"/>
    <w:unhideWhenUsed/>
    <w:qFormat/>
    <w:pPr>
      <w:tabs>
        <w:tab w:val="center" w:pos="7143" w:leader="none"/>
        <w:tab w:val="right" w:pos="14287" w:leader="none"/>
      </w:tabs>
    </w:pPr>
  </w:style>
  <w:style w:type="paragraph" w:styleId="792">
    <w:name w:val="toc 1"/>
    <w:basedOn w:val="761"/>
    <w:next w:val="761"/>
    <w:uiPriority w:val="39"/>
    <w:unhideWhenUsed/>
    <w:qFormat/>
    <w:pPr>
      <w:spacing w:after="57"/>
    </w:pPr>
  </w:style>
  <w:style w:type="paragraph" w:styleId="793">
    <w:name w:val="toc 4"/>
    <w:basedOn w:val="761"/>
    <w:next w:val="761"/>
    <w:uiPriority w:val="39"/>
    <w:unhideWhenUsed/>
    <w:qFormat/>
    <w:pPr>
      <w:ind w:left="850"/>
      <w:spacing w:after="57"/>
    </w:pPr>
  </w:style>
  <w:style w:type="paragraph" w:styleId="794">
    <w:name w:val="Subtitle"/>
    <w:basedOn w:val="761"/>
    <w:next w:val="761"/>
    <w:link w:val="832"/>
    <w:uiPriority w:val="11"/>
    <w:qFormat/>
    <w:pPr>
      <w:spacing w:before="200" w:after="200"/>
    </w:pPr>
    <w:rPr>
      <w:sz w:val="24"/>
    </w:rPr>
  </w:style>
  <w:style w:type="paragraph" w:styleId="795">
    <w:name w:val="footnote text"/>
    <w:basedOn w:val="761"/>
    <w:link w:val="965"/>
    <w:uiPriority w:val="99"/>
    <w:semiHidden/>
    <w:unhideWhenUsed/>
    <w:qFormat/>
    <w:pPr>
      <w:spacing w:after="40"/>
    </w:pPr>
    <w:rPr>
      <w:sz w:val="18"/>
    </w:rPr>
  </w:style>
  <w:style w:type="paragraph" w:styleId="796">
    <w:name w:val="toc 6"/>
    <w:basedOn w:val="761"/>
    <w:next w:val="761"/>
    <w:uiPriority w:val="39"/>
    <w:unhideWhenUsed/>
    <w:qFormat/>
    <w:pPr>
      <w:ind w:left="1417"/>
      <w:spacing w:after="57"/>
    </w:pPr>
  </w:style>
  <w:style w:type="paragraph" w:styleId="797">
    <w:name w:val="table of figures"/>
    <w:basedOn w:val="761"/>
    <w:next w:val="761"/>
    <w:uiPriority w:val="99"/>
    <w:unhideWhenUsed/>
    <w:qFormat/>
  </w:style>
  <w:style w:type="paragraph" w:styleId="798">
    <w:name w:val="toc 2"/>
    <w:basedOn w:val="761"/>
    <w:next w:val="761"/>
    <w:uiPriority w:val="39"/>
    <w:unhideWhenUsed/>
    <w:qFormat/>
    <w:pPr>
      <w:ind w:left="283"/>
      <w:spacing w:after="57"/>
    </w:pPr>
  </w:style>
  <w:style w:type="paragraph" w:styleId="799">
    <w:name w:val="toc 9"/>
    <w:basedOn w:val="761"/>
    <w:next w:val="761"/>
    <w:uiPriority w:val="39"/>
    <w:unhideWhenUsed/>
    <w:qFormat/>
    <w:pPr>
      <w:ind w:left="2268"/>
      <w:spacing w:after="57"/>
    </w:pPr>
  </w:style>
  <w:style w:type="paragraph" w:styleId="800">
    <w:name w:val="Normal (Web)"/>
    <w:basedOn w:val="761"/>
    <w:uiPriority w:val="99"/>
    <w:unhideWhenUsed/>
    <w:qFormat/>
    <w:pPr>
      <w:jc w:val="left"/>
      <w:spacing w:before="100" w:beforeAutospacing="1" w:after="100" w:afterAutospacing="1"/>
      <w:widowControl/>
    </w:pPr>
    <w:rPr>
      <w:rFonts w:ascii="宋体" w:hAnsi="宋体" w:cs="宋体"/>
      <w:sz w:val="24"/>
    </w:rPr>
  </w:style>
  <w:style w:type="paragraph" w:styleId="801">
    <w:name w:val="Title"/>
    <w:basedOn w:val="761"/>
    <w:next w:val="761"/>
    <w:link w:val="831"/>
    <w:uiPriority w:val="10"/>
    <w:qFormat/>
    <w:pPr>
      <w:contextualSpacing/>
      <w:spacing w:before="300" w:after="200"/>
    </w:pPr>
    <w:rPr>
      <w:sz w:val="48"/>
      <w:szCs w:val="48"/>
    </w:rPr>
  </w:style>
  <w:style w:type="paragraph" w:styleId="802">
    <w:name w:val="annotation subject"/>
    <w:basedOn w:val="777"/>
    <w:next w:val="777"/>
    <w:link w:val="1101"/>
    <w:uiPriority w:val="99"/>
    <w:semiHidden/>
    <w:unhideWhenUsed/>
    <w:qFormat/>
    <w:rPr>
      <w:b/>
      <w:bCs/>
    </w:rPr>
  </w:style>
  <w:style w:type="paragraph" w:styleId="803">
    <w:name w:val="Body Text First Indent"/>
    <w:basedOn w:val="778"/>
    <w:next w:val="796"/>
    <w:uiPriority w:val="0"/>
    <w:qFormat/>
    <w:pPr>
      <w:ind w:firstLine="482"/>
      <w:spacing w:line="360" w:lineRule="auto"/>
    </w:pPr>
    <w:rPr>
      <w:b/>
      <w:sz w:val="24"/>
    </w:rPr>
  </w:style>
  <w:style w:type="paragraph" w:styleId="804">
    <w:name w:val="Body Text First Indent 2"/>
    <w:basedOn w:val="779"/>
    <w:next w:val="761"/>
    <w:uiPriority w:val="99"/>
    <w:unhideWhenUsed/>
    <w:qFormat/>
    <w:pPr>
      <w:ind w:firstLine="200"/>
    </w:pPr>
  </w:style>
  <w:style w:type="table" w:styleId="8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Strong"/>
    <w:basedOn w:val="771"/>
    <w:uiPriority w:val="22"/>
    <w:qFormat/>
    <w:rPr>
      <w:b/>
    </w:rPr>
  </w:style>
  <w:style w:type="character" w:styleId="807">
    <w:name w:val="endnote reference"/>
    <w:uiPriority w:val="99"/>
    <w:semiHidden/>
    <w:unhideWhenUsed/>
    <w:qFormat/>
    <w:rPr>
      <w:vertAlign w:val="superscript"/>
    </w:rPr>
  </w:style>
  <w:style w:type="character" w:styleId="808">
    <w:name w:val="Emphasis"/>
    <w:basedOn w:val="771"/>
    <w:uiPriority w:val="0"/>
    <w:qFormat/>
    <w:rPr>
      <w:color w:val="f73131"/>
    </w:rPr>
  </w:style>
  <w:style w:type="character" w:styleId="809">
    <w:name w:val="Hyperlink"/>
    <w:uiPriority w:val="99"/>
    <w:unhideWhenUsed/>
    <w:qFormat/>
    <w:rPr>
      <w:color w:val="0000ff" w:themeColor="hyperlink"/>
      <w:u w:val="single"/>
      <w14:textFill>
        <w14:solidFill>
          <w14:schemeClr w14:val="hlink"/>
        </w14:solidFill>
      </w14:textFill>
    </w:rPr>
  </w:style>
  <w:style w:type="character" w:styleId="810">
    <w:name w:val="annotation reference"/>
    <w:basedOn w:val="771"/>
    <w:uiPriority w:val="99"/>
    <w:semiHidden/>
    <w:unhideWhenUsed/>
    <w:qFormat/>
    <w:rPr>
      <w:sz w:val="21"/>
      <w:szCs w:val="21"/>
    </w:rPr>
  </w:style>
  <w:style w:type="character" w:styleId="811">
    <w:name w:val="footnote reference"/>
    <w:uiPriority w:val="99"/>
    <w:unhideWhenUsed/>
    <w:qFormat/>
    <w:rPr>
      <w:vertAlign w:val="superscript"/>
    </w:rPr>
  </w:style>
  <w:style w:type="paragraph" w:styleId="812" w:customStyle="1">
    <w:name w:val="正文文本1"/>
    <w:basedOn w:val="813"/>
    <w:next w:val="813"/>
    <w:link w:val="997"/>
    <w:uiPriority w:val="0"/>
    <w:qFormat/>
    <w:rPr>
      <w:rFonts w:ascii="仿宋_GB2312" w:eastAsia="仿宋_GB2312"/>
      <w:sz w:val="24"/>
      <w:szCs w:val="20"/>
    </w:rPr>
  </w:style>
  <w:style w:type="paragraph" w:styleId="813" w:customStyle="1">
    <w:name w:val="正文11"/>
    <w:next w:val="812"/>
    <w:uiPriority w:val="99"/>
    <w:qFormat/>
    <w:pPr>
      <w:jc w:val="both"/>
      <w:widowControl w:val="off"/>
    </w:pPr>
    <w:rPr>
      <w:rFonts w:ascii="Calibri" w:hAnsi="Calibri" w:eastAsia="宋体" w:cs="Times New Roman"/>
      <w:sz w:val="21"/>
      <w:szCs w:val="21"/>
      <w:lang w:val="en-US" w:eastAsia="zh-CN" w:bidi="ar-SA"/>
    </w:rPr>
  </w:style>
  <w:style w:type="paragraph" w:styleId="814" w:customStyle="1">
    <w:name w:val="一级条标题"/>
    <w:basedOn w:val="815"/>
    <w:next w:val="816"/>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815" w:customStyle="1">
    <w:name w:val="章标题"/>
    <w:next w:val="761"/>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816" w:customStyle="1">
    <w:name w:val="段"/>
    <w:next w:val="81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17" w:customStyle="1">
    <w:name w:val="正文 A"/>
    <w:next w:val="816"/>
    <w:uiPriority w:val="99"/>
    <w:qFormat/>
    <w:pPr>
      <w:jc w:val="both"/>
      <w:widowControl w:val="off"/>
    </w:pPr>
    <w:rPr>
      <w:rFonts w:ascii="Times New Roman" w:hAnsi="Times New Roman" w:eastAsia="宋体" w:cs="Times New Roman"/>
      <w:color w:val="000000"/>
      <w:sz w:val="21"/>
      <w:szCs w:val="21"/>
      <w:lang w:val="en-US" w:eastAsia="zh-CN" w:bidi="ar-SA"/>
    </w:rPr>
  </w:style>
  <w:style w:type="paragraph" w:styleId="818" w:customStyle="1">
    <w:name w:val="正文首行缩进1"/>
    <w:basedOn w:val="812"/>
    <w:link w:val="1021"/>
    <w:uiPriority w:val="0"/>
    <w:qFormat/>
    <w:pPr>
      <w:ind w:firstLine="420"/>
      <w:spacing w:after="120"/>
    </w:pPr>
    <w:rPr>
      <w:rFonts w:ascii="Times New Roman" w:eastAsia="宋体"/>
      <w:szCs w:val="24"/>
    </w:rPr>
  </w:style>
  <w:style w:type="paragraph" w:styleId="819"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820" w:customStyle="1">
    <w:name w:val="标题 1 字符1"/>
    <w:link w:val="762"/>
    <w:uiPriority w:val="9"/>
    <w:qFormat/>
    <w:rPr>
      <w:rFonts w:ascii="Arial" w:hAnsi="Arial" w:eastAsia="Arial" w:cs="Arial"/>
      <w:sz w:val="40"/>
      <w:szCs w:val="40"/>
    </w:rPr>
  </w:style>
  <w:style w:type="character" w:styleId="821" w:customStyle="1">
    <w:name w:val="标题 2 字符1"/>
    <w:link w:val="763"/>
    <w:uiPriority w:val="9"/>
    <w:qFormat/>
    <w:rPr>
      <w:rFonts w:ascii="Arial" w:hAnsi="Arial" w:eastAsia="Arial" w:cs="Arial"/>
      <w:sz w:val="34"/>
    </w:rPr>
  </w:style>
  <w:style w:type="character" w:styleId="822" w:customStyle="1">
    <w:name w:val="标题 3 字符1"/>
    <w:link w:val="764"/>
    <w:uiPriority w:val="9"/>
    <w:qFormat/>
    <w:rPr>
      <w:rFonts w:ascii="Arial" w:hAnsi="Arial" w:eastAsia="Arial" w:cs="Arial"/>
      <w:sz w:val="30"/>
      <w:szCs w:val="30"/>
    </w:rPr>
  </w:style>
  <w:style w:type="character" w:styleId="823" w:customStyle="1">
    <w:name w:val="标题 4 字符1"/>
    <w:link w:val="765"/>
    <w:uiPriority w:val="9"/>
    <w:qFormat/>
    <w:rPr>
      <w:rFonts w:ascii="Arial" w:hAnsi="Arial" w:eastAsia="Arial" w:cs="Arial"/>
      <w:b/>
      <w:bCs/>
      <w:sz w:val="26"/>
      <w:szCs w:val="26"/>
    </w:rPr>
  </w:style>
  <w:style w:type="character" w:styleId="824" w:customStyle="1">
    <w:name w:val="标题 5 字符1"/>
    <w:link w:val="766"/>
    <w:uiPriority w:val="9"/>
    <w:qFormat/>
    <w:rPr>
      <w:rFonts w:ascii="Arial" w:hAnsi="Arial" w:eastAsia="Arial" w:cs="Arial"/>
      <w:b/>
      <w:bCs/>
      <w:sz w:val="24"/>
      <w:szCs w:val="24"/>
    </w:rPr>
  </w:style>
  <w:style w:type="character" w:styleId="825" w:customStyle="1">
    <w:name w:val="标题 6 字符1"/>
    <w:link w:val="767"/>
    <w:uiPriority w:val="9"/>
    <w:qFormat/>
    <w:rPr>
      <w:rFonts w:ascii="Arial" w:hAnsi="Arial" w:eastAsia="Arial" w:cs="Arial"/>
      <w:b/>
      <w:bCs/>
      <w:sz w:val="22"/>
      <w:szCs w:val="22"/>
    </w:rPr>
  </w:style>
  <w:style w:type="character" w:styleId="826" w:customStyle="1">
    <w:name w:val="标题 7 字符1"/>
    <w:link w:val="768"/>
    <w:uiPriority w:val="9"/>
    <w:qFormat/>
    <w:rPr>
      <w:rFonts w:ascii="Arial" w:hAnsi="Arial" w:eastAsia="Arial" w:cs="Arial"/>
      <w:b/>
      <w:bCs/>
      <w:i/>
      <w:iCs/>
      <w:sz w:val="22"/>
      <w:szCs w:val="22"/>
    </w:rPr>
  </w:style>
  <w:style w:type="character" w:styleId="827" w:customStyle="1">
    <w:name w:val="标题 8 字符1"/>
    <w:link w:val="769"/>
    <w:uiPriority w:val="9"/>
    <w:qFormat/>
    <w:rPr>
      <w:rFonts w:ascii="Arial" w:hAnsi="Arial" w:eastAsia="Arial" w:cs="Arial"/>
      <w:i/>
      <w:iCs/>
      <w:sz w:val="22"/>
      <w:szCs w:val="22"/>
    </w:rPr>
  </w:style>
  <w:style w:type="character" w:styleId="828" w:customStyle="1">
    <w:name w:val="标题 9 字符1"/>
    <w:link w:val="770"/>
    <w:uiPriority w:val="9"/>
    <w:qFormat/>
    <w:rPr>
      <w:rFonts w:ascii="Arial" w:hAnsi="Arial" w:eastAsia="Arial" w:cs="Arial"/>
      <w:i/>
      <w:iCs/>
      <w:sz w:val="21"/>
      <w:szCs w:val="21"/>
    </w:rPr>
  </w:style>
  <w:style w:type="paragraph" w:styleId="829">
    <w:name w:val="List Paragraph"/>
    <w:basedOn w:val="761"/>
    <w:uiPriority w:val="34"/>
    <w:qFormat/>
    <w:pPr>
      <w:contextualSpacing/>
      <w:ind w:left="720"/>
    </w:pPr>
  </w:style>
  <w:style w:type="paragraph" w:styleId="830">
    <w:name w:val="No Spacing"/>
    <w:uiPriority w:val="1"/>
    <w:qFormat/>
    <w:rPr>
      <w:rFonts w:ascii="Times New Roman" w:hAnsi="Times New Roman" w:eastAsia="宋体" w:cs="Times New Roman"/>
      <w:lang w:val="en-US" w:eastAsia="zh-CN" w:bidi="ar-SA"/>
    </w:rPr>
  </w:style>
  <w:style w:type="character" w:styleId="831" w:customStyle="1">
    <w:name w:val="标题 字符"/>
    <w:link w:val="801"/>
    <w:uiPriority w:val="10"/>
    <w:qFormat/>
    <w:rPr>
      <w:sz w:val="48"/>
      <w:szCs w:val="48"/>
    </w:rPr>
  </w:style>
  <w:style w:type="character" w:styleId="832" w:customStyle="1">
    <w:name w:val="副标题 字符"/>
    <w:link w:val="794"/>
    <w:uiPriority w:val="11"/>
    <w:qFormat/>
    <w:rPr>
      <w:sz w:val="24"/>
      <w:szCs w:val="24"/>
    </w:rPr>
  </w:style>
  <w:style w:type="paragraph" w:styleId="833">
    <w:name w:val="Quote"/>
    <w:basedOn w:val="761"/>
    <w:next w:val="761"/>
    <w:link w:val="834"/>
    <w:uiPriority w:val="29"/>
    <w:qFormat/>
    <w:pPr>
      <w:ind w:left="720" w:right="720"/>
    </w:pPr>
    <w:rPr>
      <w:i/>
    </w:rPr>
  </w:style>
  <w:style w:type="character" w:styleId="834" w:customStyle="1">
    <w:name w:val="引用 字符"/>
    <w:link w:val="833"/>
    <w:uiPriority w:val="29"/>
    <w:qFormat/>
    <w:rPr>
      <w:i/>
    </w:rPr>
  </w:style>
  <w:style w:type="paragraph" w:styleId="835">
    <w:name w:val="Intense Quote"/>
    <w:basedOn w:val="761"/>
    <w:next w:val="761"/>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字符"/>
    <w:link w:val="835"/>
    <w:uiPriority w:val="30"/>
    <w:qFormat/>
    <w:rPr>
      <w:i/>
    </w:rPr>
  </w:style>
  <w:style w:type="character" w:styleId="837" w:customStyle="1">
    <w:name w:val="页眉 字符1"/>
    <w:link w:val="791"/>
    <w:uiPriority w:val="99"/>
    <w:qFormat/>
  </w:style>
  <w:style w:type="character" w:styleId="838" w:customStyle="1">
    <w:name w:val="Footer Char"/>
    <w:uiPriority w:val="99"/>
    <w:qFormat/>
  </w:style>
  <w:style w:type="character" w:styleId="839" w:customStyle="1">
    <w:name w:val="页脚 字符1"/>
    <w:link w:val="790"/>
    <w:uiPriority w:val="99"/>
    <w:qFormat/>
  </w:style>
  <w:style w:type="table" w:styleId="8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脚注文本 字符"/>
    <w:link w:val="795"/>
    <w:uiPriority w:val="99"/>
    <w:qFormat/>
    <w:rPr>
      <w:sz w:val="18"/>
    </w:rPr>
  </w:style>
  <w:style w:type="character" w:styleId="966" w:customStyle="1">
    <w:name w:val="尾注文本 字符"/>
    <w:link w:val="788"/>
    <w:uiPriority w:val="99"/>
    <w:qFormat/>
    <w:rPr>
      <w:sz w:val="20"/>
    </w:rPr>
  </w:style>
  <w:style w:type="paragraph" w:styleId="967" w:customStyle="1">
    <w:name w:val="TOC 标题1"/>
    <w:uiPriority w:val="39"/>
    <w:unhideWhenUsed/>
    <w:qFormat/>
    <w:rPr>
      <w:rFonts w:ascii="Times New Roman" w:hAnsi="Times New Roman" w:eastAsia="宋体" w:cs="Times New Roman"/>
      <w:lang w:val="en-US" w:eastAsia="zh-CN" w:bidi="ar-SA"/>
    </w:rPr>
  </w:style>
  <w:style w:type="paragraph" w:styleId="968" w:customStyle="1">
    <w:name w:val="标题 11"/>
    <w:basedOn w:val="761"/>
    <w:next w:val="761"/>
    <w:link w:val="982"/>
    <w:uiPriority w:val="0"/>
    <w:qFormat/>
    <w:pPr>
      <w:keepLines/>
      <w:keepNext/>
      <w:spacing w:before="340" w:after="330" w:line="578" w:lineRule="auto"/>
      <w:outlineLvl w:val="0"/>
    </w:pPr>
    <w:rPr>
      <w:b/>
      <w:bCs/>
      <w:sz w:val="44"/>
      <w:szCs w:val="44"/>
    </w:rPr>
  </w:style>
  <w:style w:type="paragraph" w:styleId="969" w:customStyle="1">
    <w:name w:val="标题 21"/>
    <w:basedOn w:val="761"/>
    <w:next w:val="761"/>
    <w:link w:val="983"/>
    <w:uiPriority w:val="0"/>
    <w:qFormat/>
    <w:pPr>
      <w:keepLines/>
      <w:keepNext/>
      <w:spacing w:before="260" w:after="260" w:line="416" w:lineRule="auto"/>
      <w:outlineLvl w:val="1"/>
    </w:pPr>
    <w:rPr>
      <w:rFonts w:ascii="Arial" w:hAnsi="Arial" w:eastAsia="黑体"/>
      <w:b/>
      <w:bCs/>
      <w:sz w:val="32"/>
      <w:szCs w:val="32"/>
    </w:rPr>
  </w:style>
  <w:style w:type="paragraph" w:styleId="970" w:customStyle="1">
    <w:name w:val="标题 31"/>
    <w:basedOn w:val="761"/>
    <w:next w:val="761"/>
    <w:link w:val="984"/>
    <w:uiPriority w:val="0"/>
    <w:qFormat/>
    <w:pPr>
      <w:keepLines/>
      <w:keepNext/>
      <w:spacing w:before="260" w:after="260" w:line="416" w:lineRule="auto"/>
      <w:outlineLvl w:val="2"/>
    </w:pPr>
    <w:rPr>
      <w:b/>
      <w:bCs/>
      <w:sz w:val="32"/>
      <w:szCs w:val="32"/>
    </w:rPr>
  </w:style>
  <w:style w:type="paragraph" w:styleId="971" w:customStyle="1">
    <w:name w:val="标题 41"/>
    <w:basedOn w:val="761"/>
    <w:next w:val="761"/>
    <w:link w:val="985"/>
    <w:uiPriority w:val="0"/>
    <w:qFormat/>
    <w:pPr>
      <w:jc w:val="center"/>
      <w:keepNext/>
      <w:outlineLvl w:val="3"/>
    </w:pPr>
    <w:rPr>
      <w:rFonts w:eastAsia="新宋体"/>
      <w:sz w:val="30"/>
      <w:szCs w:val="21"/>
    </w:rPr>
  </w:style>
  <w:style w:type="paragraph" w:styleId="972" w:customStyle="1">
    <w:name w:val="标题 51"/>
    <w:basedOn w:val="761"/>
    <w:next w:val="761"/>
    <w:link w:val="986"/>
    <w:uiPriority w:val="0"/>
    <w:qFormat/>
    <w:pPr>
      <w:keepLines/>
      <w:keepNext/>
      <w:spacing w:before="280" w:after="290" w:line="376" w:lineRule="auto"/>
      <w:outlineLvl w:val="4"/>
    </w:pPr>
    <w:rPr>
      <w:b/>
      <w:bCs/>
      <w:sz w:val="28"/>
      <w:szCs w:val="28"/>
    </w:rPr>
  </w:style>
  <w:style w:type="paragraph" w:styleId="973" w:customStyle="1">
    <w:name w:val="标题 61"/>
    <w:basedOn w:val="761"/>
    <w:next w:val="974"/>
    <w:link w:val="987"/>
    <w:uiPriority w:val="0"/>
    <w:qFormat/>
    <w:pPr>
      <w:jc w:val="center"/>
      <w:keepNext/>
      <w:outlineLvl w:val="5"/>
    </w:pPr>
    <w:rPr>
      <w:b/>
      <w:sz w:val="44"/>
      <w:szCs w:val="20"/>
    </w:rPr>
  </w:style>
  <w:style w:type="paragraph" w:styleId="974" w:customStyle="1">
    <w:name w:val="正文缩进1"/>
    <w:basedOn w:val="761"/>
    <w:link w:val="988"/>
    <w:uiPriority w:val="0"/>
    <w:qFormat/>
    <w:pPr>
      <w:ind w:firstLine="420"/>
    </w:pPr>
    <w:rPr>
      <w:sz w:val="20"/>
      <w:szCs w:val="20"/>
    </w:rPr>
  </w:style>
  <w:style w:type="paragraph" w:styleId="975" w:customStyle="1">
    <w:name w:val="List Paragraph1"/>
    <w:basedOn w:val="761"/>
    <w:next w:val="976"/>
    <w:uiPriority w:val="0"/>
    <w:qFormat/>
    <w:pPr>
      <w:ind w:firstLine="420"/>
    </w:pPr>
    <w:rPr>
      <w:rFonts w:hAnsi="宋体" w:cs="宋体"/>
      <w:szCs w:val="20"/>
    </w:rPr>
  </w:style>
  <w:style w:type="paragraph" w:styleId="976" w:customStyle="1">
    <w:name w:val="Char Char Char Char"/>
    <w:basedOn w:val="761"/>
    <w:uiPriority w:val="0"/>
    <w:qFormat/>
    <w:rPr>
      <w:rFonts w:ascii="Tahoma" w:hAnsi="Tahoma"/>
      <w:sz w:val="24"/>
      <w:szCs w:val="20"/>
    </w:rPr>
  </w:style>
  <w:style w:type="paragraph" w:styleId="977" w:customStyle="1">
    <w:name w:val="标题 71"/>
    <w:basedOn w:val="761"/>
    <w:next w:val="761"/>
    <w:link w:val="989"/>
    <w:uiPriority w:val="0"/>
    <w:qFormat/>
    <w:pPr>
      <w:keepLines/>
      <w:keepNext/>
      <w:spacing w:before="240" w:after="64" w:line="320" w:lineRule="auto"/>
      <w:outlineLvl w:val="6"/>
    </w:pPr>
    <w:rPr>
      <w:b/>
      <w:bCs/>
      <w:sz w:val="24"/>
    </w:rPr>
  </w:style>
  <w:style w:type="paragraph" w:styleId="978" w:customStyle="1">
    <w:name w:val="标题 81"/>
    <w:basedOn w:val="761"/>
    <w:next w:val="761"/>
    <w:link w:val="990"/>
    <w:uiPriority w:val="0"/>
    <w:qFormat/>
    <w:pPr>
      <w:keepLines/>
      <w:keepNext/>
      <w:spacing w:before="240" w:after="64" w:line="320" w:lineRule="auto"/>
      <w:outlineLvl w:val="7"/>
    </w:pPr>
    <w:rPr>
      <w:rFonts w:ascii="Arial" w:hAnsi="Arial" w:eastAsia="黑体"/>
      <w:sz w:val="24"/>
    </w:rPr>
  </w:style>
  <w:style w:type="paragraph" w:styleId="979" w:customStyle="1">
    <w:name w:val="标题 91"/>
    <w:basedOn w:val="761"/>
    <w:next w:val="761"/>
    <w:link w:val="991"/>
    <w:uiPriority w:val="0"/>
    <w:qFormat/>
    <w:pPr>
      <w:keepLines/>
      <w:keepNext/>
      <w:spacing w:before="240" w:after="64" w:line="320" w:lineRule="auto"/>
      <w:outlineLvl w:val="8"/>
    </w:pPr>
    <w:rPr>
      <w:rFonts w:ascii="Arial" w:hAnsi="Arial" w:eastAsia="黑体"/>
      <w:sz w:val="24"/>
      <w:szCs w:val="21"/>
    </w:rPr>
  </w:style>
  <w:style w:type="character" w:styleId="980" w:customStyle="1">
    <w:name w:val="默认段落字体1"/>
    <w:uiPriority w:val="1"/>
    <w:unhideWhenUsed/>
    <w:qFormat/>
  </w:style>
  <w:style w:type="table" w:styleId="981" w:customStyle="1">
    <w:name w:val="普通表格1"/>
    <w:uiPriority w:val="99"/>
    <w:unhideWhenUsed/>
    <w:qFormat/>
    <w:tblPr>
      <w:tblCellMar>
        <w:left w:w="0" w:type="dxa"/>
        <w:top w:w="0" w:type="dxa"/>
        <w:right w:w="0" w:type="dxa"/>
        <w:bottom w:w="0" w:type="dxa"/>
      </w:tblCellMar>
    </w:tblPr>
  </w:style>
  <w:style w:type="character" w:styleId="982" w:customStyle="1">
    <w:name w:val="标题 1 字符"/>
    <w:link w:val="968"/>
    <w:uiPriority w:val="0"/>
    <w:qFormat/>
    <w:rPr>
      <w:rFonts w:ascii="Times New Roman" w:hAnsi="Times New Roman" w:eastAsia="宋体" w:cs="Times New Roman"/>
      <w:b/>
      <w:bCs/>
      <w:sz w:val="44"/>
      <w:szCs w:val="44"/>
    </w:rPr>
  </w:style>
  <w:style w:type="character" w:styleId="983" w:customStyle="1">
    <w:name w:val="标题 2 字符"/>
    <w:link w:val="969"/>
    <w:uiPriority w:val="0"/>
    <w:qFormat/>
    <w:rPr>
      <w:rFonts w:ascii="Arial" w:hAnsi="Arial" w:eastAsia="黑体" w:cs="Times New Roman"/>
      <w:b/>
      <w:bCs/>
      <w:sz w:val="32"/>
      <w:szCs w:val="32"/>
    </w:rPr>
  </w:style>
  <w:style w:type="character" w:styleId="984" w:customStyle="1">
    <w:name w:val="标题 3 字符"/>
    <w:link w:val="970"/>
    <w:uiPriority w:val="0"/>
    <w:qFormat/>
    <w:rPr>
      <w:rFonts w:ascii="Times New Roman" w:hAnsi="Times New Roman" w:eastAsia="宋体" w:cs="Times New Roman"/>
      <w:b/>
      <w:bCs/>
      <w:sz w:val="32"/>
      <w:szCs w:val="32"/>
    </w:rPr>
  </w:style>
  <w:style w:type="character" w:styleId="985" w:customStyle="1">
    <w:name w:val="标题 4 字符"/>
    <w:link w:val="971"/>
    <w:uiPriority w:val="0"/>
    <w:qFormat/>
    <w:rPr>
      <w:rFonts w:ascii="Times New Roman" w:hAnsi="Times New Roman" w:eastAsia="新宋体" w:cs="Times New Roman"/>
      <w:sz w:val="30"/>
      <w:szCs w:val="21"/>
    </w:rPr>
  </w:style>
  <w:style w:type="character" w:styleId="986" w:customStyle="1">
    <w:name w:val="标题 5 字符"/>
    <w:link w:val="972"/>
    <w:uiPriority w:val="0"/>
    <w:qFormat/>
    <w:rPr>
      <w:rFonts w:ascii="Times New Roman" w:hAnsi="Times New Roman" w:eastAsia="宋体" w:cs="Times New Roman"/>
      <w:b/>
      <w:bCs/>
      <w:sz w:val="28"/>
      <w:szCs w:val="28"/>
    </w:rPr>
  </w:style>
  <w:style w:type="character" w:styleId="987" w:customStyle="1">
    <w:name w:val="标题 6 字符"/>
    <w:link w:val="973"/>
    <w:uiPriority w:val="0"/>
    <w:qFormat/>
    <w:rPr>
      <w:rFonts w:ascii="Times New Roman" w:hAnsi="Times New Roman" w:eastAsia="宋体" w:cs="Times New Roman"/>
      <w:b/>
      <w:sz w:val="44"/>
      <w:szCs w:val="20"/>
    </w:rPr>
  </w:style>
  <w:style w:type="character" w:styleId="988" w:customStyle="1">
    <w:name w:val="正文缩进 字符"/>
    <w:link w:val="974"/>
    <w:uiPriority w:val="0"/>
    <w:qFormat/>
    <w:rPr>
      <w:rFonts w:ascii="Times New Roman" w:hAnsi="Times New Roman" w:eastAsia="宋体" w:cs="Times New Roman"/>
      <w:sz w:val="20"/>
      <w:szCs w:val="20"/>
    </w:rPr>
  </w:style>
  <w:style w:type="character" w:styleId="989" w:customStyle="1">
    <w:name w:val="标题 7 字符"/>
    <w:link w:val="977"/>
    <w:uiPriority w:val="0"/>
    <w:qFormat/>
    <w:rPr>
      <w:rFonts w:ascii="Times New Roman" w:hAnsi="Times New Roman" w:eastAsia="宋体" w:cs="Times New Roman"/>
      <w:b/>
      <w:bCs/>
      <w:sz w:val="24"/>
      <w:szCs w:val="24"/>
    </w:rPr>
  </w:style>
  <w:style w:type="character" w:styleId="990" w:customStyle="1">
    <w:name w:val="标题 8 字符"/>
    <w:link w:val="978"/>
    <w:uiPriority w:val="0"/>
    <w:qFormat/>
    <w:rPr>
      <w:rFonts w:ascii="Arial" w:hAnsi="Arial" w:eastAsia="黑体" w:cs="Times New Roman"/>
      <w:sz w:val="24"/>
      <w:szCs w:val="24"/>
    </w:rPr>
  </w:style>
  <w:style w:type="character" w:styleId="991" w:customStyle="1">
    <w:name w:val="标题 9 字符"/>
    <w:link w:val="979"/>
    <w:uiPriority w:val="0"/>
    <w:qFormat/>
    <w:rPr>
      <w:rFonts w:ascii="Arial" w:hAnsi="Arial" w:eastAsia="黑体" w:cs="Times New Roman"/>
      <w:sz w:val="24"/>
      <w:szCs w:val="21"/>
    </w:rPr>
  </w:style>
  <w:style w:type="paragraph" w:styleId="992" w:customStyle="1">
    <w:name w:val="文档结构图1"/>
    <w:basedOn w:val="761"/>
    <w:link w:val="993"/>
    <w:uiPriority w:val="0"/>
    <w:semiHidden/>
    <w:qFormat/>
    <w:pPr>
      <w:shd w:val="clear" w:color="auto" w:fill="000080"/>
    </w:pPr>
    <w:rPr>
      <w:sz w:val="20"/>
    </w:rPr>
  </w:style>
  <w:style w:type="character" w:styleId="993" w:customStyle="1">
    <w:name w:val="文档结构图 字符"/>
    <w:link w:val="992"/>
    <w:uiPriority w:val="0"/>
    <w:semiHidden/>
    <w:qFormat/>
    <w:rPr>
      <w:szCs w:val="24"/>
      <w:shd w:val="clear" w:color="auto" w:fill="000080"/>
    </w:rPr>
  </w:style>
  <w:style w:type="paragraph" w:styleId="994" w:customStyle="1">
    <w:name w:val="正文文本 31"/>
    <w:basedOn w:val="761"/>
    <w:link w:val="995"/>
    <w:uiPriority w:val="0"/>
    <w:qFormat/>
    <w:pPr>
      <w:spacing w:after="120"/>
    </w:pPr>
    <w:rPr>
      <w:sz w:val="16"/>
      <w:szCs w:val="16"/>
    </w:rPr>
  </w:style>
  <w:style w:type="character" w:styleId="995" w:customStyle="1">
    <w:name w:val="正文文本 3 字符"/>
    <w:link w:val="994"/>
    <w:uiPriority w:val="0"/>
    <w:qFormat/>
    <w:rPr>
      <w:rFonts w:ascii="Times New Roman" w:hAnsi="Times New Roman" w:eastAsia="宋体" w:cs="Times New Roman"/>
      <w:sz w:val="16"/>
      <w:szCs w:val="16"/>
    </w:rPr>
  </w:style>
  <w:style w:type="paragraph" w:styleId="996" w:customStyle="1">
    <w:name w:val="正文文本 21"/>
    <w:basedOn w:val="761"/>
    <w:next w:val="812"/>
    <w:link w:val="998"/>
    <w:uiPriority w:val="0"/>
    <w:qFormat/>
    <w:rPr>
      <w:b/>
      <w:bCs/>
      <w:sz w:val="18"/>
    </w:rPr>
  </w:style>
  <w:style w:type="character" w:styleId="997" w:customStyle="1">
    <w:name w:val="正文文本 字符"/>
    <w:link w:val="812"/>
    <w:uiPriority w:val="0"/>
    <w:qFormat/>
    <w:rPr>
      <w:rFonts w:ascii="仿宋_GB2312" w:hAnsi="Times New Roman" w:eastAsia="仿宋_GB2312" w:cs="Times New Roman"/>
      <w:sz w:val="24"/>
      <w:szCs w:val="20"/>
    </w:rPr>
  </w:style>
  <w:style w:type="character" w:styleId="998" w:customStyle="1">
    <w:name w:val="正文文本 2 字符"/>
    <w:link w:val="996"/>
    <w:uiPriority w:val="0"/>
    <w:qFormat/>
    <w:rPr>
      <w:rFonts w:ascii="Times New Roman" w:hAnsi="Times New Roman" w:eastAsia="宋体" w:cs="Times New Roman"/>
      <w:b/>
      <w:bCs/>
      <w:sz w:val="18"/>
      <w:szCs w:val="24"/>
    </w:rPr>
  </w:style>
  <w:style w:type="paragraph" w:styleId="999" w:customStyle="1">
    <w:name w:val="正文文本缩进1"/>
    <w:basedOn w:val="761"/>
    <w:next w:val="1000"/>
    <w:link w:val="1001"/>
    <w:uiPriority w:val="0"/>
    <w:qFormat/>
    <w:pPr>
      <w:ind w:left="765"/>
    </w:pPr>
    <w:rPr>
      <w:rFonts w:ascii="仿宋_GB2312" w:eastAsia="仿宋_GB2312"/>
      <w:sz w:val="28"/>
      <w:szCs w:val="20"/>
    </w:rPr>
  </w:style>
  <w:style w:type="paragraph" w:styleId="1000" w:customStyle="1">
    <w:name w:val="寄信人地址1"/>
    <w:basedOn w:val="761"/>
    <w:uiPriority w:val="99"/>
    <w:unhideWhenUsed/>
    <w:qFormat/>
    <w:rPr>
      <w:rFonts w:ascii="Arial" w:hAnsi="Arial"/>
    </w:rPr>
  </w:style>
  <w:style w:type="character" w:styleId="1001" w:customStyle="1">
    <w:name w:val="正文文本缩进 字符"/>
    <w:link w:val="999"/>
    <w:uiPriority w:val="0"/>
    <w:qFormat/>
    <w:rPr>
      <w:rFonts w:ascii="仿宋_GB2312" w:hAnsi="Times New Roman" w:eastAsia="仿宋_GB2312" w:cs="Times New Roman"/>
      <w:sz w:val="28"/>
      <w:szCs w:val="20"/>
    </w:rPr>
  </w:style>
  <w:style w:type="paragraph" w:styleId="1002" w:customStyle="1">
    <w:name w:val="纯文本1"/>
    <w:basedOn w:val="761"/>
    <w:link w:val="1003"/>
    <w:uiPriority w:val="0"/>
    <w:qFormat/>
    <w:rPr>
      <w:rFonts w:ascii="宋体" w:hAnsi="Courier New"/>
      <w:sz w:val="20"/>
      <w:szCs w:val="21"/>
    </w:rPr>
  </w:style>
  <w:style w:type="character" w:styleId="1003" w:customStyle="1">
    <w:name w:val="纯文本 字符"/>
    <w:link w:val="1002"/>
    <w:uiPriority w:val="0"/>
    <w:qFormat/>
    <w:rPr>
      <w:rFonts w:ascii="宋体" w:hAnsi="Courier New" w:eastAsia="宋体" w:cs="Courier New"/>
      <w:szCs w:val="21"/>
    </w:rPr>
  </w:style>
  <w:style w:type="paragraph" w:styleId="1004" w:customStyle="1">
    <w:name w:val="日期1"/>
    <w:basedOn w:val="761"/>
    <w:next w:val="761"/>
    <w:link w:val="1005"/>
    <w:uiPriority w:val="0"/>
    <w:qFormat/>
    <w:rPr>
      <w:sz w:val="24"/>
      <w:szCs w:val="20"/>
    </w:rPr>
  </w:style>
  <w:style w:type="character" w:styleId="1005" w:customStyle="1">
    <w:name w:val="日期 字符"/>
    <w:link w:val="1004"/>
    <w:uiPriority w:val="0"/>
    <w:qFormat/>
    <w:rPr>
      <w:rFonts w:ascii="Times New Roman" w:hAnsi="Times New Roman" w:eastAsia="宋体" w:cs="Times New Roman"/>
      <w:sz w:val="24"/>
      <w:szCs w:val="20"/>
    </w:rPr>
  </w:style>
  <w:style w:type="paragraph" w:styleId="1006" w:customStyle="1">
    <w:name w:val="正文文本缩进 21"/>
    <w:basedOn w:val="761"/>
    <w:link w:val="1007"/>
    <w:uiPriority w:val="0"/>
    <w:qFormat/>
    <w:pPr>
      <w:ind w:firstLine="560"/>
      <w:spacing w:line="500" w:lineRule="exact"/>
    </w:pPr>
    <w:rPr>
      <w:rFonts w:eastAsia="仿宋_GB2312"/>
      <w:sz w:val="28"/>
      <w:szCs w:val="20"/>
    </w:rPr>
  </w:style>
  <w:style w:type="character" w:styleId="1007" w:customStyle="1">
    <w:name w:val="正文文本缩进 2 字符"/>
    <w:link w:val="1006"/>
    <w:uiPriority w:val="0"/>
    <w:qFormat/>
    <w:rPr>
      <w:rFonts w:ascii="Times New Roman" w:hAnsi="Times New Roman" w:eastAsia="仿宋_GB2312" w:cs="Times New Roman"/>
      <w:sz w:val="28"/>
      <w:szCs w:val="20"/>
    </w:rPr>
  </w:style>
  <w:style w:type="paragraph" w:styleId="1008" w:customStyle="1">
    <w:name w:val="批注框文本1"/>
    <w:basedOn w:val="761"/>
    <w:link w:val="1009"/>
    <w:uiPriority w:val="0"/>
    <w:semiHidden/>
    <w:qFormat/>
    <w:rPr>
      <w:sz w:val="18"/>
      <w:szCs w:val="18"/>
    </w:rPr>
  </w:style>
  <w:style w:type="character" w:styleId="1009" w:customStyle="1">
    <w:name w:val="批注框文本 字符"/>
    <w:link w:val="1008"/>
    <w:uiPriority w:val="0"/>
    <w:semiHidden/>
    <w:qFormat/>
    <w:rPr>
      <w:sz w:val="18"/>
      <w:szCs w:val="18"/>
    </w:rPr>
  </w:style>
  <w:style w:type="paragraph" w:styleId="1010" w:customStyle="1">
    <w:name w:val="页脚1"/>
    <w:basedOn w:val="761"/>
    <w:link w:val="1011"/>
    <w:uiPriority w:val="99"/>
    <w:qFormat/>
    <w:pPr>
      <w:jc w:val="left"/>
      <w:tabs>
        <w:tab w:val="center" w:pos="4153" w:leader="none"/>
        <w:tab w:val="right" w:pos="8306" w:leader="none"/>
      </w:tabs>
    </w:pPr>
    <w:rPr>
      <w:sz w:val="18"/>
      <w:szCs w:val="20"/>
    </w:rPr>
  </w:style>
  <w:style w:type="character" w:styleId="1011" w:customStyle="1">
    <w:name w:val="页脚 字符"/>
    <w:link w:val="1010"/>
    <w:uiPriority w:val="99"/>
    <w:qFormat/>
    <w:rPr>
      <w:rFonts w:ascii="Times New Roman" w:hAnsi="Times New Roman" w:eastAsia="宋体" w:cs="Times New Roman"/>
      <w:sz w:val="18"/>
      <w:szCs w:val="20"/>
    </w:rPr>
  </w:style>
  <w:style w:type="paragraph" w:styleId="1012" w:customStyle="1">
    <w:name w:val="页眉1"/>
    <w:basedOn w:val="761"/>
    <w:link w:val="1013"/>
    <w:uiPriority w:val="0"/>
    <w:qFormat/>
    <w:pPr>
      <w:jc w:val="center"/>
      <w:tabs>
        <w:tab w:val="center" w:pos="4153" w:leader="none"/>
        <w:tab w:val="right" w:pos="8306" w:leader="none"/>
      </w:tabs>
      <w:pBdr>
        <w:bottom w:val="single" w:color="000000" w:sz="6" w:space="1"/>
      </w:pBdr>
    </w:pPr>
    <w:rPr>
      <w:sz w:val="18"/>
      <w:szCs w:val="18"/>
    </w:rPr>
  </w:style>
  <w:style w:type="character" w:styleId="1013" w:customStyle="1">
    <w:name w:val="页眉 字符"/>
    <w:link w:val="1012"/>
    <w:uiPriority w:val="0"/>
    <w:qFormat/>
    <w:rPr>
      <w:rFonts w:ascii="Times New Roman" w:hAnsi="Times New Roman" w:eastAsia="宋体" w:cs="Times New Roman"/>
      <w:sz w:val="18"/>
      <w:szCs w:val="18"/>
    </w:rPr>
  </w:style>
  <w:style w:type="paragraph" w:styleId="1014" w:customStyle="1">
    <w:name w:val="目录 11"/>
    <w:basedOn w:val="761"/>
    <w:next w:val="761"/>
    <w:uiPriority w:val="0"/>
    <w:semiHidden/>
    <w:qFormat/>
    <w:rPr>
      <w:sz w:val="24"/>
    </w:rPr>
  </w:style>
  <w:style w:type="paragraph" w:styleId="1015" w:customStyle="1">
    <w:name w:val="列表1"/>
    <w:basedOn w:val="761"/>
    <w:uiPriority w:val="0"/>
    <w:qFormat/>
    <w:pPr>
      <w:ind w:left="200" w:hanging="200"/>
    </w:pPr>
  </w:style>
  <w:style w:type="paragraph" w:styleId="1016" w:customStyle="1">
    <w:name w:val="脚注文本1"/>
    <w:basedOn w:val="761"/>
    <w:uiPriority w:val="99"/>
    <w:unhideWhenUsed/>
    <w:qFormat/>
    <w:pPr>
      <w:jc w:val="left"/>
    </w:pPr>
    <w:rPr>
      <w:sz w:val="18"/>
      <w:szCs w:val="18"/>
    </w:rPr>
  </w:style>
  <w:style w:type="paragraph" w:styleId="1017" w:customStyle="1">
    <w:name w:val="正文文本缩进 31"/>
    <w:basedOn w:val="761"/>
    <w:link w:val="1018"/>
    <w:uiPriority w:val="0"/>
    <w:qFormat/>
    <w:pPr>
      <w:ind w:left="420"/>
      <w:spacing w:after="120"/>
    </w:pPr>
    <w:rPr>
      <w:sz w:val="16"/>
      <w:szCs w:val="16"/>
    </w:rPr>
  </w:style>
  <w:style w:type="character" w:styleId="1018" w:customStyle="1">
    <w:name w:val="正文文本缩进 3 字符"/>
    <w:link w:val="1017"/>
    <w:uiPriority w:val="0"/>
    <w:qFormat/>
    <w:rPr>
      <w:rFonts w:ascii="Times New Roman" w:hAnsi="Times New Roman" w:eastAsia="宋体" w:cs="Times New Roman"/>
      <w:sz w:val="16"/>
      <w:szCs w:val="16"/>
    </w:rPr>
  </w:style>
  <w:style w:type="paragraph" w:styleId="1019" w:customStyle="1">
    <w:name w:val="普通(网站)1"/>
    <w:basedOn w:val="761"/>
    <w:uiPriority w:val="0"/>
    <w:qFormat/>
    <w:pPr>
      <w:jc w:val="left"/>
      <w:spacing w:before="100" w:beforeAutospacing="1" w:after="100" w:afterAutospacing="1"/>
      <w:widowControl/>
    </w:pPr>
    <w:rPr>
      <w:rFonts w:ascii="宋体" w:hAnsi="宋体"/>
      <w:color w:val="000000"/>
      <w:sz w:val="24"/>
    </w:rPr>
  </w:style>
  <w:style w:type="paragraph" w:styleId="1020" w:customStyle="1">
    <w:name w:val="正文文本11"/>
    <w:basedOn w:val="761"/>
    <w:uiPriority w:val="99"/>
    <w:qFormat/>
    <w:rPr>
      <w:rFonts w:ascii="楷体_GB2312" w:hAnsi="Arial" w:eastAsia="楷体_GB2312"/>
      <w:sz w:val="28"/>
      <w:szCs w:val="20"/>
    </w:rPr>
  </w:style>
  <w:style w:type="character" w:styleId="1021" w:customStyle="1">
    <w:name w:val="正文首行缩进 字符"/>
    <w:link w:val="818"/>
    <w:uiPriority w:val="0"/>
    <w:qFormat/>
    <w:rPr>
      <w:rFonts w:ascii="Times New Roman" w:hAnsi="Times New Roman" w:eastAsia="宋体" w:cs="Times New Roman"/>
      <w:sz w:val="24"/>
      <w:szCs w:val="24"/>
    </w:rPr>
  </w:style>
  <w:style w:type="table" w:styleId="1022" w:customStyle="1">
    <w:name w:val="网格型11"/>
    <w:basedOn w:val="981"/>
    <w:uiPriority w:val="59"/>
    <w:qFormat/>
    <w:tblPr/>
  </w:style>
  <w:style w:type="character" w:styleId="1023" w:customStyle="1">
    <w:name w:val="要点1"/>
    <w:uiPriority w:val="0"/>
    <w:qFormat/>
    <w:rPr>
      <w:b/>
      <w:bCs/>
    </w:rPr>
  </w:style>
  <w:style w:type="character" w:styleId="1024" w:customStyle="1">
    <w:name w:val="页码1"/>
    <w:uiPriority w:val="0"/>
    <w:qFormat/>
  </w:style>
  <w:style w:type="character" w:styleId="1025" w:customStyle="1">
    <w:name w:val="已访问的超链接1"/>
    <w:uiPriority w:val="0"/>
    <w:qFormat/>
    <w:rPr>
      <w:color w:val="800080"/>
      <w:u w:val="none"/>
    </w:rPr>
  </w:style>
  <w:style w:type="character" w:styleId="1026" w:customStyle="1">
    <w:name w:val="强调1"/>
    <w:uiPriority w:val="20"/>
    <w:qFormat/>
    <w:rPr>
      <w:b/>
      <w:bCs/>
    </w:rPr>
  </w:style>
  <w:style w:type="character" w:styleId="1027" w:customStyle="1">
    <w:name w:val="HTML 定义1"/>
    <w:uiPriority w:val="99"/>
    <w:unhideWhenUsed/>
    <w:qFormat/>
  </w:style>
  <w:style w:type="character" w:styleId="1028" w:customStyle="1">
    <w:name w:val="HTML 打字机1"/>
    <w:uiPriority w:val="99"/>
    <w:unhideWhenUsed/>
    <w:qFormat/>
    <w:rPr>
      <w:rFonts w:ascii="monospace" w:hAnsi="monospace" w:eastAsia="monospace" w:cs="monospace"/>
      <w:sz w:val="20"/>
    </w:rPr>
  </w:style>
  <w:style w:type="character" w:styleId="1029" w:customStyle="1">
    <w:name w:val="HTML 缩写1"/>
    <w:uiPriority w:val="99"/>
    <w:unhideWhenUsed/>
    <w:qFormat/>
  </w:style>
  <w:style w:type="character" w:styleId="1030" w:customStyle="1">
    <w:name w:val="HTML 变量1"/>
    <w:uiPriority w:val="99"/>
    <w:unhideWhenUsed/>
    <w:qFormat/>
  </w:style>
  <w:style w:type="character" w:styleId="1031" w:customStyle="1">
    <w:name w:val="超链接1"/>
    <w:uiPriority w:val="0"/>
    <w:qFormat/>
    <w:rPr>
      <w:color w:val="0000ff"/>
      <w:u w:val="none"/>
    </w:rPr>
  </w:style>
  <w:style w:type="character" w:styleId="1032" w:customStyle="1">
    <w:name w:val="HTML 代码1"/>
    <w:uiPriority w:val="99"/>
    <w:unhideWhenUsed/>
    <w:qFormat/>
    <w:rPr>
      <w:rFonts w:ascii="monospace" w:hAnsi="monospace" w:eastAsia="monospace" w:cs="monospace"/>
      <w:sz w:val="20"/>
    </w:rPr>
  </w:style>
  <w:style w:type="character" w:styleId="1033" w:customStyle="1">
    <w:name w:val="HTML 引文1"/>
    <w:uiPriority w:val="99"/>
    <w:unhideWhenUsed/>
    <w:qFormat/>
  </w:style>
  <w:style w:type="character" w:styleId="1034" w:customStyle="1">
    <w:name w:val="HTML 键盘1"/>
    <w:uiPriority w:val="99"/>
    <w:unhideWhenUsed/>
    <w:qFormat/>
    <w:rPr>
      <w:rFonts w:ascii="monospace" w:hAnsi="monospace" w:eastAsia="monospace" w:cs="monospace"/>
      <w:sz w:val="20"/>
    </w:rPr>
  </w:style>
  <w:style w:type="character" w:styleId="1035" w:customStyle="1">
    <w:name w:val="HTML 样本1"/>
    <w:uiPriority w:val="99"/>
    <w:unhideWhenUsed/>
    <w:qFormat/>
    <w:rPr>
      <w:rFonts w:ascii="monospace" w:hAnsi="monospace" w:eastAsia="monospace" w:cs="monospace"/>
    </w:rPr>
  </w:style>
  <w:style w:type="character" w:styleId="1036" w:customStyle="1">
    <w:name w:val="列出段落 字符"/>
    <w:link w:val="1037"/>
    <w:uiPriority w:val="99"/>
    <w:qFormat/>
  </w:style>
  <w:style w:type="paragraph" w:styleId="1037" w:customStyle="1">
    <w:name w:val="列出段落1"/>
    <w:basedOn w:val="761"/>
    <w:link w:val="1036"/>
    <w:uiPriority w:val="99"/>
    <w:qFormat/>
    <w:pPr>
      <w:ind w:firstLine="420"/>
    </w:pPr>
    <w:rPr>
      <w:sz w:val="20"/>
      <w:szCs w:val="20"/>
    </w:rPr>
  </w:style>
  <w:style w:type="character" w:styleId="1038" w:customStyle="1">
    <w:name w:val="文档结构图 Char1"/>
    <w:uiPriority w:val="99"/>
    <w:semiHidden/>
    <w:qFormat/>
    <w:rPr>
      <w:rFonts w:ascii="宋体" w:hAnsi="Times New Roman" w:eastAsia="宋体" w:cs="Times New Roman"/>
      <w:sz w:val="18"/>
      <w:szCs w:val="18"/>
    </w:rPr>
  </w:style>
  <w:style w:type="character" w:styleId="1039" w:customStyle="1">
    <w:name w:val="普通正文 Char"/>
    <w:link w:val="1040"/>
    <w:uiPriority w:val="0"/>
    <w:qFormat/>
    <w:rPr>
      <w:rFonts w:ascii="Arial" w:hAnsi="Arial"/>
      <w:sz w:val="24"/>
      <w:szCs w:val="24"/>
    </w:rPr>
  </w:style>
  <w:style w:type="paragraph" w:styleId="1040" w:customStyle="1">
    <w:name w:val="普通正文"/>
    <w:basedOn w:val="761"/>
    <w:link w:val="1039"/>
    <w:uiPriority w:val="0"/>
    <w:qFormat/>
    <w:pPr>
      <w:ind w:left="-2" w:right="120" w:firstLine="480"/>
      <w:jc w:val="center"/>
      <w:spacing w:before="120" w:after="120" w:line="360" w:lineRule="auto"/>
    </w:pPr>
    <w:rPr>
      <w:rFonts w:ascii="Arial" w:hAnsi="Arial"/>
      <w:sz w:val="24"/>
    </w:rPr>
  </w:style>
  <w:style w:type="character" w:styleId="1041" w:customStyle="1">
    <w:name w:val="FA正文 Char"/>
    <w:link w:val="1042"/>
    <w:uiPriority w:val="0"/>
    <w:qFormat/>
    <w:rPr>
      <w:rFonts w:ascii="宋体" w:hAnsi="宋体" w:eastAsia="宋体" w:cs="Times New Roman"/>
      <w:sz w:val="28"/>
      <w:szCs w:val="28"/>
    </w:rPr>
  </w:style>
  <w:style w:type="paragraph" w:styleId="1042" w:customStyle="1">
    <w:name w:val="FA正文"/>
    <w:basedOn w:val="761"/>
    <w:link w:val="1041"/>
    <w:uiPriority w:val="0"/>
    <w:qFormat/>
    <w:pPr>
      <w:ind w:firstLine="538"/>
      <w:spacing w:line="440" w:lineRule="atLeast"/>
      <w:tabs>
        <w:tab w:val="left" w:pos="3375" w:leader="none"/>
      </w:tabs>
    </w:pPr>
    <w:rPr>
      <w:rFonts w:ascii="宋体" w:hAnsi="宋体"/>
      <w:sz w:val="28"/>
      <w:szCs w:val="28"/>
    </w:rPr>
  </w:style>
  <w:style w:type="character" w:styleId="1043" w:customStyle="1">
    <w:name w:val="正文缩进2格 Char"/>
    <w:link w:val="1044"/>
    <w:uiPriority w:val="0"/>
    <w:qFormat/>
    <w:rPr>
      <w:rFonts w:ascii="仿宋_GB2312" w:hAnsi="宋体" w:eastAsia="仿宋_GB2312" w:cs="Times New Roman"/>
      <w:sz w:val="31"/>
      <w:szCs w:val="28"/>
    </w:rPr>
  </w:style>
  <w:style w:type="paragraph" w:styleId="1044" w:customStyle="1">
    <w:name w:val="正文缩进2格"/>
    <w:basedOn w:val="761"/>
    <w:link w:val="1043"/>
    <w:uiPriority w:val="0"/>
    <w:qFormat/>
    <w:pPr>
      <w:ind w:firstLine="639"/>
      <w:spacing w:line="600" w:lineRule="exact"/>
    </w:pPr>
    <w:rPr>
      <w:rFonts w:ascii="仿宋_GB2312" w:hAnsi="宋体" w:eastAsia="仿宋_GB2312"/>
      <w:sz w:val="31"/>
      <w:szCs w:val="28"/>
    </w:rPr>
  </w:style>
  <w:style w:type="character" w:styleId="1045" w:customStyle="1">
    <w:name w:val="cn_text1"/>
    <w:uiPriority w:val="0"/>
    <w:qFormat/>
    <w:rPr>
      <w:rFonts w:ascii="ˎ̥" w:hAnsi="ˎ̥"/>
      <w:color w:val="003399"/>
      <w:spacing w:val="15"/>
      <w:sz w:val="18"/>
      <w:szCs w:val="18"/>
    </w:rPr>
  </w:style>
  <w:style w:type="character" w:styleId="1046" w:customStyle="1">
    <w:name w:val="ssss Char"/>
    <w:uiPriority w:val="0"/>
    <w:qFormat/>
    <w:rPr>
      <w:rFonts w:eastAsia="宋体"/>
      <w:sz w:val="24"/>
      <w:szCs w:val="24"/>
      <w:lang w:val="en-US" w:eastAsia="zh-CN" w:bidi="ar-SA"/>
    </w:rPr>
  </w:style>
  <w:style w:type="character" w:styleId="1047" w:customStyle="1">
    <w:name w:val="ssss Char1"/>
    <w:link w:val="1048"/>
    <w:uiPriority w:val="0"/>
    <w:qFormat/>
    <w:rPr>
      <w:rFonts w:ascii="Times New Roman" w:hAnsi="Times New Roman" w:eastAsia="宋体" w:cs="Times New Roman"/>
      <w:sz w:val="24"/>
      <w:szCs w:val="24"/>
    </w:rPr>
  </w:style>
  <w:style w:type="paragraph" w:styleId="1048" w:customStyle="1">
    <w:name w:val="ssss"/>
    <w:basedOn w:val="761"/>
    <w:link w:val="1047"/>
    <w:uiPriority w:val="0"/>
    <w:qFormat/>
    <w:pPr>
      <w:ind w:firstLine="480"/>
      <w:spacing w:line="360" w:lineRule="auto"/>
    </w:pPr>
    <w:rPr>
      <w:sz w:val="24"/>
    </w:rPr>
  </w:style>
  <w:style w:type="character" w:styleId="1049" w:customStyle="1">
    <w:name w:val="标题 4 Char1"/>
    <w:uiPriority w:val="0"/>
    <w:qFormat/>
    <w:rPr>
      <w:rFonts w:ascii="Arial" w:hAnsi="Arial" w:eastAsia="黑体"/>
      <w:b/>
      <w:bCs/>
      <w:sz w:val="28"/>
      <w:szCs w:val="28"/>
      <w:lang w:val="en-US" w:eastAsia="zh-CN" w:bidi="ar-SA"/>
    </w:rPr>
  </w:style>
  <w:style w:type="character" w:styleId="1050" w:customStyle="1">
    <w:name w:val="列表段落 字符"/>
    <w:uiPriority w:val="34"/>
    <w:qFormat/>
    <w:rPr>
      <w:rFonts w:ascii="Calibri" w:hAnsi="Calibri"/>
      <w:sz w:val="21"/>
      <w:szCs w:val="22"/>
    </w:rPr>
  </w:style>
  <w:style w:type="character" w:styleId="1051" w:customStyle="1">
    <w:name w:val="批注框文本 Char1"/>
    <w:uiPriority w:val="99"/>
    <w:semiHidden/>
    <w:qFormat/>
    <w:rPr>
      <w:rFonts w:ascii="Times New Roman" w:hAnsi="Times New Roman" w:eastAsia="宋体" w:cs="Times New Roman"/>
      <w:sz w:val="18"/>
      <w:szCs w:val="18"/>
    </w:rPr>
  </w:style>
  <w:style w:type="character" w:styleId="1052" w:customStyle="1">
    <w:name w:val="样式 ssss + 宋体 五号1 Char"/>
    <w:link w:val="1053"/>
    <w:uiPriority w:val="0"/>
    <w:qFormat/>
    <w:rPr>
      <w:rFonts w:ascii="宋体" w:hAnsi="宋体" w:eastAsia="宋体" w:cs="Times New Roman"/>
      <w:sz w:val="24"/>
      <w:szCs w:val="24"/>
    </w:rPr>
  </w:style>
  <w:style w:type="paragraph" w:styleId="1053" w:customStyle="1">
    <w:name w:val="样式 ssss + 宋体 五号1"/>
    <w:basedOn w:val="1048"/>
    <w:link w:val="1052"/>
    <w:uiPriority w:val="0"/>
    <w:qFormat/>
    <w:rPr>
      <w:rFonts w:ascii="宋体" w:hAnsi="宋体"/>
    </w:rPr>
  </w:style>
  <w:style w:type="character" w:styleId="1054" w:customStyle="1">
    <w:name w:val="point_normal1"/>
    <w:uiPriority w:val="0"/>
    <w:qFormat/>
    <w:rPr>
      <w:rFonts w:ascii="Arial" w:hAnsi="Arial" w:cs="Arial"/>
      <w:sz w:val="16"/>
      <w:szCs w:val="16"/>
    </w:rPr>
  </w:style>
  <w:style w:type="paragraph" w:styleId="1055" w:customStyle="1">
    <w:name w:val="样式 正文文本缩进 3 + 四号"/>
    <w:basedOn w:val="1017"/>
    <w:uiPriority w:val="0"/>
    <w:qFormat/>
    <w:pPr>
      <w:ind w:left="0" w:firstLine="437"/>
      <w:spacing w:after="0" w:line="360" w:lineRule="auto"/>
    </w:pPr>
    <w:rPr>
      <w:sz w:val="24"/>
      <w:szCs w:val="21"/>
    </w:rPr>
  </w:style>
  <w:style w:type="paragraph" w:styleId="1056" w:customStyle="1">
    <w:name w:val="2cxsplast"/>
    <w:basedOn w:val="761"/>
    <w:uiPriority w:val="0"/>
    <w:qFormat/>
    <w:pPr>
      <w:jc w:val="left"/>
      <w:spacing w:before="100" w:beforeAutospacing="1" w:after="100" w:afterAutospacing="1"/>
      <w:widowControl/>
    </w:pPr>
    <w:rPr>
      <w:rFonts w:ascii="宋体" w:hAnsi="宋体" w:cs="宋体"/>
      <w:sz w:val="24"/>
    </w:rPr>
  </w:style>
  <w:style w:type="paragraph" w:styleId="1057" w:customStyle="1">
    <w:name w:val="ec_msonormal"/>
    <w:basedOn w:val="761"/>
    <w:uiPriority w:val="0"/>
    <w:qFormat/>
    <w:pPr>
      <w:jc w:val="left"/>
      <w:spacing w:before="100" w:beforeAutospacing="1" w:after="100" w:afterAutospacing="1"/>
      <w:widowControl/>
    </w:pPr>
    <w:rPr>
      <w:rFonts w:ascii="宋体" w:hAnsi="宋体"/>
      <w:sz w:val="24"/>
    </w:rPr>
  </w:style>
  <w:style w:type="paragraph" w:styleId="1058" w:customStyle="1">
    <w:name w:val="Char Char Char Char Char Char Char Char Char Char Char Char Char"/>
    <w:basedOn w:val="761"/>
    <w:uiPriority w:val="0"/>
    <w:qFormat/>
  </w:style>
  <w:style w:type="paragraph" w:styleId="1059" w:customStyle="1">
    <w:name w:val="表格正文"/>
    <w:basedOn w:val="761"/>
    <w:uiPriority w:val="0"/>
    <w:qFormat/>
    <w:pPr>
      <w:jc w:val="left"/>
      <w:spacing w:line="360" w:lineRule="auto"/>
    </w:pPr>
    <w:rPr>
      <w:rFonts w:ascii="Calibri" w:hAnsi="Calibri"/>
      <w:color w:val="000000"/>
      <w:szCs w:val="28"/>
    </w:rPr>
  </w:style>
  <w:style w:type="paragraph" w:styleId="1060"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061" w:customStyle="1">
    <w:name w:val="Char Char Char Char1"/>
    <w:basedOn w:val="761"/>
    <w:uiPriority w:val="0"/>
    <w:qFormat/>
    <w:rPr>
      <w:rFonts w:ascii="Tahoma" w:hAnsi="Tahoma"/>
      <w:sz w:val="24"/>
      <w:szCs w:val="20"/>
    </w:rPr>
  </w:style>
  <w:style w:type="paragraph" w:styleId="1062" w:customStyle="1">
    <w:name w:val="Char Char Char"/>
    <w:basedOn w:val="761"/>
    <w:uiPriority w:val="0"/>
    <w:qFormat/>
    <w:rPr>
      <w:rFonts w:ascii="Tahoma" w:hAnsi="Tahoma"/>
      <w:sz w:val="24"/>
      <w:szCs w:val="20"/>
    </w:rPr>
  </w:style>
  <w:style w:type="paragraph" w:styleId="1063" w:customStyle="1">
    <w:name w:val="标题-----3"/>
    <w:basedOn w:val="970"/>
    <w:uiPriority w:val="0"/>
    <w:qFormat/>
    <w:pPr>
      <w:spacing w:before="0" w:after="0" w:line="240" w:lineRule="auto"/>
      <w:outlineLvl w:val="0"/>
    </w:pPr>
    <w:rPr>
      <w:rFonts w:ascii="宋体" w:hAnsi="宋体"/>
      <w:b w:val="0"/>
      <w:bCs w:val="0"/>
      <w:sz w:val="28"/>
      <w:szCs w:val="28"/>
    </w:rPr>
  </w:style>
  <w:style w:type="paragraph" w:styleId="1064" w:customStyle="1">
    <w:name w:val="样式 ssss + 居中"/>
    <w:basedOn w:val="1048"/>
    <w:uiPriority w:val="0"/>
    <w:qFormat/>
    <w:pPr>
      <w:jc w:val="center"/>
    </w:pPr>
    <w:rPr>
      <w:rFonts w:cs="宋体"/>
      <w:szCs w:val="20"/>
    </w:rPr>
  </w:style>
  <w:style w:type="paragraph" w:styleId="1065" w:customStyle="1">
    <w:name w:val="样式 宋体 四号 黑色 左侧:  0.74 厘米 首行缩进:  0.74 厘米 行距: 1.5 倍行距"/>
    <w:basedOn w:val="761"/>
    <w:uiPriority w:val="0"/>
    <w:qFormat/>
    <w:pPr>
      <w:ind w:firstLine="420"/>
      <w:spacing w:line="360" w:lineRule="auto"/>
    </w:pPr>
    <w:rPr>
      <w:rFonts w:ascii="宋体"/>
      <w:color w:val="000000"/>
      <w:sz w:val="24"/>
      <w:szCs w:val="21"/>
    </w:rPr>
  </w:style>
  <w:style w:type="paragraph" w:styleId="1066" w:customStyle="1">
    <w:name w:val="样式 样式 ssss + 宋体 五号 + 首行缩进:  2 字符"/>
    <w:basedOn w:val="1067"/>
    <w:uiPriority w:val="0"/>
    <w:qFormat/>
    <w:pPr>
      <w:ind w:firstLine="480"/>
    </w:pPr>
  </w:style>
  <w:style w:type="paragraph" w:styleId="1067" w:customStyle="1">
    <w:name w:val="样式 ssss + 宋体 五号"/>
    <w:basedOn w:val="1048"/>
    <w:uiPriority w:val="0"/>
    <w:qFormat/>
    <w:pPr>
      <w:ind w:firstLine="420"/>
    </w:pPr>
    <w:rPr>
      <w:rFonts w:ascii="宋体" w:hAnsi="宋体" w:cs="宋体"/>
      <w:szCs w:val="20"/>
    </w:rPr>
  </w:style>
  <w:style w:type="paragraph" w:styleId="1068" w:customStyle="1">
    <w:name w:val="msonormalcxsplast"/>
    <w:basedOn w:val="761"/>
    <w:uiPriority w:val="0"/>
    <w:qFormat/>
    <w:pPr>
      <w:jc w:val="left"/>
      <w:spacing w:before="100" w:beforeAutospacing="1" w:after="100" w:afterAutospacing="1"/>
      <w:widowControl/>
    </w:pPr>
    <w:rPr>
      <w:rFonts w:ascii="宋体" w:hAnsi="宋体" w:cs="宋体"/>
      <w:sz w:val="24"/>
    </w:rPr>
  </w:style>
  <w:style w:type="paragraph" w:styleId="1069" w:customStyle="1">
    <w:name w:val="Char"/>
    <w:basedOn w:val="761"/>
    <w:uiPriority w:val="0"/>
    <w:qFormat/>
    <w:rPr>
      <w:rFonts w:ascii="Tahoma" w:hAnsi="Tahoma"/>
      <w:sz w:val="24"/>
      <w:szCs w:val="20"/>
    </w:rPr>
  </w:style>
  <w:style w:type="paragraph" w:styleId="1070" w:customStyle="1">
    <w:name w:val="xl25"/>
    <w:basedOn w:val="761"/>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71" w:customStyle="1">
    <w:name w:val="标题------4"/>
    <w:basedOn w:val="971"/>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72" w:customStyle="1">
    <w:name w:val="msonormalcxspmiddle"/>
    <w:basedOn w:val="761"/>
    <w:uiPriority w:val="0"/>
    <w:qFormat/>
    <w:pPr>
      <w:jc w:val="left"/>
      <w:spacing w:before="100" w:beforeAutospacing="1" w:after="100" w:afterAutospacing="1"/>
      <w:widowControl/>
    </w:pPr>
    <w:rPr>
      <w:rFonts w:ascii="宋体" w:hAnsi="宋体" w:cs="宋体"/>
      <w:sz w:val="24"/>
    </w:rPr>
  </w:style>
  <w:style w:type="paragraph" w:styleId="1073" w:customStyle="1">
    <w:name w:val="Char Char Char Char Char Char Char Char Char Char Char Char Char1"/>
    <w:basedOn w:val="761"/>
    <w:uiPriority w:val="0"/>
    <w:qFormat/>
    <w:rPr>
      <w:sz w:val="24"/>
    </w:rPr>
  </w:style>
  <w:style w:type="paragraph" w:styleId="1074" w:customStyle="1">
    <w:name w:val="表格"/>
    <w:basedOn w:val="761"/>
    <w:uiPriority w:val="0"/>
    <w:qFormat/>
    <w:rPr>
      <w:rFonts w:ascii="Arial" w:hAnsi="Arial"/>
      <w:sz w:val="24"/>
    </w:rPr>
  </w:style>
  <w:style w:type="paragraph" w:styleId="1075" w:customStyle="1">
    <w:name w:val="正文样式1"/>
    <w:basedOn w:val="761"/>
    <w:uiPriority w:val="0"/>
    <w:qFormat/>
    <w:pPr>
      <w:ind w:firstLine="480"/>
      <w:spacing w:before="120" w:after="120" w:line="360" w:lineRule="auto"/>
    </w:pPr>
    <w:rPr>
      <w:sz w:val="24"/>
      <w:szCs w:val="20"/>
    </w:rPr>
  </w:style>
  <w:style w:type="paragraph" w:styleId="1076" w:customStyle="1">
    <w:name w:val="Char Char1 Char Char Char Char Char Char"/>
    <w:basedOn w:val="761"/>
    <w:uiPriority w:val="0"/>
    <w:qFormat/>
    <w:pPr>
      <w:jc w:val="left"/>
      <w:spacing w:after="160" w:line="240" w:lineRule="exact"/>
      <w:widowControl/>
    </w:pPr>
    <w:rPr>
      <w:rFonts w:ascii="Verdana" w:hAnsi="Verdana" w:eastAsia="仿宋_GB2312"/>
      <w:sz w:val="24"/>
      <w:szCs w:val="20"/>
      <w:lang w:eastAsia="en-US"/>
    </w:rPr>
  </w:style>
  <w:style w:type="paragraph" w:styleId="1077" w:customStyle="1">
    <w:name w:val="Char Char Char Char Char Char Char Char Char Char"/>
    <w:basedOn w:val="761"/>
    <w:uiPriority w:val="0"/>
    <w:qFormat/>
    <w:rPr>
      <w:rFonts w:ascii="Tahoma" w:hAnsi="Tahoma"/>
      <w:sz w:val="24"/>
      <w:szCs w:val="20"/>
    </w:rPr>
  </w:style>
  <w:style w:type="paragraph" w:styleId="1078" w:customStyle="1">
    <w:name w:val="Char1"/>
    <w:basedOn w:val="761"/>
    <w:uiPriority w:val="0"/>
    <w:qFormat/>
    <w:pPr>
      <w:tabs>
        <w:tab w:val="left" w:pos="360" w:leader="none"/>
      </w:tabs>
    </w:pPr>
    <w:rPr>
      <w:sz w:val="24"/>
    </w:rPr>
  </w:style>
  <w:style w:type="paragraph" w:styleId="1079" w:customStyle="1">
    <w:name w:val="标题1"/>
    <w:basedOn w:val="761"/>
    <w:next w:val="7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0" w:customStyle="1">
    <w:name w:val="Header2"/>
    <w:basedOn w:val="761"/>
    <w:uiPriority w:val="0"/>
    <w:qFormat/>
    <w:pPr>
      <w:numPr>
        <w:ilvl w:val="0"/>
        <w:numId w:val="1"/>
      </w:numPr>
    </w:pPr>
  </w:style>
  <w:style w:type="paragraph" w:styleId="1081" w:customStyle="1">
    <w:name w:val="Char Char 字元 字元 字元 Char Char Char Char"/>
    <w:basedOn w:val="761"/>
    <w:uiPriority w:val="0"/>
    <w:qFormat/>
    <w:pPr>
      <w:spacing w:line="360" w:lineRule="auto"/>
    </w:pPr>
    <w:rPr>
      <w:sz w:val="24"/>
      <w:szCs w:val="20"/>
    </w:rPr>
  </w:style>
  <w:style w:type="paragraph" w:styleId="1082" w:customStyle="1">
    <w:name w:val="2cxspmiddle"/>
    <w:basedOn w:val="761"/>
    <w:uiPriority w:val="0"/>
    <w:qFormat/>
    <w:pPr>
      <w:jc w:val="left"/>
      <w:spacing w:before="100" w:beforeAutospacing="1" w:after="100" w:afterAutospacing="1"/>
      <w:widowControl/>
    </w:pPr>
    <w:rPr>
      <w:rFonts w:ascii="宋体" w:hAnsi="宋体" w:cs="宋体"/>
      <w:sz w:val="24"/>
    </w:rPr>
  </w:style>
  <w:style w:type="paragraph" w:styleId="108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8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85" w:customStyle="1">
    <w:name w:val="网格型1"/>
    <w:basedOn w:val="981"/>
    <w:uiPriority w:val="39"/>
    <w:qFormat/>
    <w:rPr>
      <w:rFonts w:ascii="等线" w:hAnsi="等线" w:eastAsia="等线"/>
      <w:sz w:val="21"/>
      <w:szCs w:val="22"/>
    </w:rPr>
    <w:tblPr/>
  </w:style>
  <w:style w:type="paragraph" w:styleId="1086"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1087" w:customStyle="1">
    <w:name w:val="mini-tree-nodetext3"/>
    <w:uiPriority w:val="0"/>
    <w:qFormat/>
  </w:style>
  <w:style w:type="paragraph" w:styleId="1088" w:customStyle="1">
    <w:name w:val="正文首行缩进 211"/>
    <w:basedOn w:val="999"/>
    <w:next w:val="761"/>
    <w:uiPriority w:val="0"/>
    <w:qFormat/>
    <w:pPr>
      <w:ind w:left="0" w:firstLine="420"/>
      <w:spacing w:line="360" w:lineRule="auto"/>
    </w:pPr>
    <w:rPr>
      <w:rFonts w:ascii="宋体" w:hAnsi="宋体"/>
      <w:sz w:val="20"/>
    </w:rPr>
  </w:style>
  <w:style w:type="paragraph" w:styleId="1089" w:customStyle="1">
    <w:name w:val="列出段落11"/>
    <w:basedOn w:val="761"/>
    <w:uiPriority w:val="99"/>
    <w:qFormat/>
    <w:pPr>
      <w:jc w:val="left"/>
      <w:spacing w:before="100" w:beforeAutospacing="1" w:after="100" w:afterAutospacing="1"/>
      <w:widowControl/>
    </w:pPr>
    <w:rPr>
      <w:rFonts w:ascii="Arial" w:hAnsi="Arial" w:cs="Arial"/>
      <w:color w:val="000000"/>
      <w:sz w:val="18"/>
      <w:szCs w:val="18"/>
    </w:rPr>
  </w:style>
  <w:style w:type="paragraph" w:styleId="1090" w:customStyle="1">
    <w:name w:val="正文缩进11"/>
    <w:basedOn w:val="761"/>
    <w:next w:val="1091"/>
    <w:uiPriority w:val="0"/>
    <w:qFormat/>
    <w:pPr>
      <w:ind w:firstLine="420"/>
    </w:pPr>
    <w:rPr>
      <w:szCs w:val="20"/>
    </w:rPr>
  </w:style>
  <w:style w:type="paragraph" w:styleId="1091" w:customStyle="1">
    <w:name w:val="正文首行缩进 21"/>
    <w:basedOn w:val="1092"/>
    <w:uiPriority w:val="99"/>
    <w:unhideWhenUsed/>
    <w:qFormat/>
    <w:pPr>
      <w:ind w:firstLine="200"/>
    </w:pPr>
  </w:style>
  <w:style w:type="paragraph" w:styleId="1092" w:customStyle="1">
    <w:name w:val="正文文本缩进11"/>
    <w:basedOn w:val="761"/>
    <w:next w:val="1093"/>
    <w:uiPriority w:val="0"/>
    <w:qFormat/>
    <w:pPr>
      <w:ind w:left="420" w:right="0"/>
      <w:jc w:val="both"/>
      <w:keepLines w:val="0"/>
      <w:keepNext w:val="0"/>
      <w:spacing w:before="0" w:beforeAutospacing="0" w:after="120" w:afterAutospacing="0"/>
      <w:widowControl w:val="off"/>
      <w:suppressLineNumbers w:val="0"/>
    </w:pPr>
    <w:rPr>
      <w:rFonts w:ascii="Times New Roman" w:hAnsi="Times New Roman" w:eastAsia="宋体" w:cs="Times New Roman"/>
      <w:color w:val="000000"/>
      <w:sz w:val="21"/>
      <w:szCs w:val="24"/>
      <w:lang w:val="en-US" w:eastAsia="zh-CN" w:bidi="ar"/>
    </w:rPr>
  </w:style>
  <w:style w:type="paragraph" w:styleId="1093" w:customStyle="1">
    <w:name w:val="寄信人地址11"/>
    <w:basedOn w:val="761"/>
    <w:uiPriority w:val="99"/>
    <w:unhideWhenUsed/>
    <w:qFormat/>
    <w:rPr>
      <w:rFonts w:ascii="Arial" w:hAnsi="Arial"/>
    </w:rPr>
  </w:style>
  <w:style w:type="character" w:styleId="1094" w:customStyle="1">
    <w:name w:val="font71"/>
    <w:basedOn w:val="771"/>
    <w:uiPriority w:val="0"/>
    <w:qFormat/>
    <w:rPr>
      <w:rFonts w:hint="eastAsia" w:ascii="仿宋" w:hAnsi="仿宋" w:eastAsia="仿宋" w:cs="仿宋"/>
      <w:color w:val="000000"/>
      <w:sz w:val="24"/>
      <w:szCs w:val="24"/>
      <w:u w:val="none"/>
    </w:rPr>
  </w:style>
  <w:style w:type="character" w:styleId="1095" w:customStyle="1">
    <w:name w:val="font31"/>
    <w:basedOn w:val="771"/>
    <w:uiPriority w:val="0"/>
    <w:qFormat/>
    <w:rPr>
      <w:rFonts w:hint="eastAsia" w:ascii="仿宋" w:hAnsi="仿宋" w:eastAsia="仿宋" w:cs="仿宋"/>
      <w:color w:val="000000"/>
      <w:sz w:val="24"/>
      <w:szCs w:val="24"/>
      <w:u w:val="none"/>
    </w:rPr>
  </w:style>
  <w:style w:type="character" w:styleId="1096" w:customStyle="1">
    <w:name w:val="font01"/>
    <w:basedOn w:val="771"/>
    <w:uiPriority w:val="0"/>
    <w:qFormat/>
    <w:rPr>
      <w:rFonts w:hint="eastAsia" w:ascii="宋体" w:hAnsi="宋体" w:eastAsia="宋体" w:cs="宋体"/>
      <w:color w:val="000000"/>
      <w:sz w:val="24"/>
      <w:szCs w:val="24"/>
      <w:u w:val="none"/>
    </w:rPr>
  </w:style>
  <w:style w:type="character" w:styleId="1097" w:customStyle="1">
    <w:name w:val="font11"/>
    <w:basedOn w:val="771"/>
    <w:uiPriority w:val="0"/>
    <w:qFormat/>
    <w:rPr>
      <w:rFonts w:hint="eastAsia" w:ascii="仿宋" w:hAnsi="仿宋" w:eastAsia="仿宋" w:cs="仿宋"/>
      <w:color w:val="000000"/>
      <w:sz w:val="24"/>
      <w:szCs w:val="24"/>
      <w:u w:val="none"/>
    </w:rPr>
  </w:style>
  <w:style w:type="character" w:styleId="1098" w:customStyle="1">
    <w:name w:val="font61"/>
    <w:basedOn w:val="771"/>
    <w:uiPriority w:val="0"/>
    <w:qFormat/>
    <w:rPr>
      <w:rFonts w:hint="eastAsia" w:ascii="MS Gothic" w:hAnsi="MS Gothic" w:eastAsia="MS Gothic" w:cs="MS Gothic"/>
      <w:color w:val="000000"/>
      <w:sz w:val="24"/>
      <w:szCs w:val="24"/>
      <w:u w:val="none"/>
    </w:rPr>
  </w:style>
  <w:style w:type="character" w:styleId="1099" w:customStyle="1">
    <w:name w:val="批注框文本 字符1"/>
    <w:basedOn w:val="771"/>
    <w:link w:val="789"/>
    <w:uiPriority w:val="99"/>
    <w:semiHidden/>
    <w:qFormat/>
    <w:rPr>
      <w:sz w:val="18"/>
      <w:szCs w:val="18"/>
    </w:rPr>
  </w:style>
  <w:style w:type="character" w:styleId="1100" w:customStyle="1">
    <w:name w:val="批注文字 字符"/>
    <w:basedOn w:val="771"/>
    <w:link w:val="777"/>
    <w:uiPriority w:val="0"/>
    <w:qFormat/>
    <w:rPr>
      <w:sz w:val="21"/>
      <w:szCs w:val="24"/>
    </w:rPr>
  </w:style>
  <w:style w:type="character" w:styleId="1101" w:customStyle="1">
    <w:name w:val="批注主题 字符"/>
    <w:basedOn w:val="1100"/>
    <w:link w:val="802"/>
    <w:uiPriority w:val="99"/>
    <w:semiHidden/>
    <w:qFormat/>
    <w:rPr>
      <w:b/>
      <w:bCs/>
      <w:sz w:val="21"/>
      <w:szCs w:val="24"/>
    </w:rPr>
  </w:style>
  <w:style w:type="paragraph" w:styleId="1102" w:customStyle="1">
    <w:name w:val="批注文字1"/>
    <w:basedOn w:val="761"/>
    <w:uiPriority w:val="0"/>
    <w:unhideWhenUsed/>
    <w:qFormat/>
    <w:pPr>
      <w:jc w:val="left"/>
    </w:pPr>
  </w:style>
  <w:style w:type="paragraph" w:styleId="1103" w:customStyle="1">
    <w:name w:val="纯文本2"/>
    <w:basedOn w:val="761"/>
    <w:uiPriority w:val="0"/>
    <w:qFormat/>
    <w:rPr>
      <w:rFonts w:ascii="宋体" w:hAnsi="Courier New"/>
      <w:sz w:val="28"/>
    </w:rPr>
  </w:style>
  <w:style w:type="paragraph" w:styleId="110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5" w:customStyle="1">
    <w:name w:val="Table Text"/>
    <w:basedOn w:val="761"/>
    <w:uiPriority w:val="0"/>
    <w:semiHidden/>
    <w:qFormat/>
  </w:style>
  <w:style w:type="table" w:styleId="1106" w:customStyle="1">
    <w:name w:val="Table Normal"/>
    <w:uiPriority w:val="0"/>
    <w:semiHidden/>
    <w:unhideWhenUsed/>
    <w:qFormat/>
    <w:tblPr>
      <w:tblCellMar>
        <w:left w:w="0" w:type="dxa"/>
        <w:top w:w="0" w:type="dxa"/>
        <w:right w:w="0" w:type="dxa"/>
        <w:bottom w:w="0" w:type="dxa"/>
      </w:tblCellMar>
    </w:tblPr>
  </w:style>
  <w:style w:type="paragraph" w:styleId="1107" w:customStyle="1">
    <w:name w:val="索引 11"/>
    <w:basedOn w:val="761"/>
    <w:next w:val="761"/>
    <w:uiPriority w:val="0"/>
    <w:qFormat/>
    <w:pPr>
      <w:spacing w:line="360" w:lineRule="auto"/>
    </w:pPr>
    <w:rPr>
      <w:rFonts w:ascii="仿宋_GB2312" w:eastAsia="仿宋_GB2312"/>
      <w:sz w:val="24"/>
      <w:szCs w:val="20"/>
    </w:rPr>
  </w:style>
  <w:style w:type="paragraph" w:styleId="1108" w:customStyle="1">
    <w:name w:val="_正文段落"/>
    <w:basedOn w:val="761"/>
    <w:uiPriority w:val="0"/>
    <w:qFormat/>
    <w:pPr>
      <w:ind w:firstLine="200"/>
      <w:spacing w:line="560" w:lineRule="exact"/>
    </w:pPr>
    <w:rPr>
      <w:rFonts w:ascii="Calibri" w:hAnsi="Calibri" w:eastAsia="仿宋_GB2312"/>
      <w:color w:val="000000"/>
      <w:sz w:val="32"/>
    </w:rPr>
  </w:style>
  <w:style w:type="paragraph" w:styleId="1109" w:customStyle="1">
    <w:name w:val="DAS正文"/>
    <w:basedOn w:val="761"/>
    <w:uiPriority w:val="0"/>
    <w:qFormat/>
    <w:pPr>
      <w:ind w:right="181" w:firstLine="480"/>
      <w:spacing w:line="360" w:lineRule="auto"/>
    </w:pPr>
    <w:rPr>
      <w:rFonts w:ascii="Verdana" w:hAnsi="Verdana"/>
    </w:rPr>
  </w:style>
  <w:style w:type="paragraph" w:styleId="1110" w:customStyle="1">
    <w:name w:val="sh4"/>
    <w:basedOn w:val="761"/>
    <w:uiPriority w:val="0"/>
    <w:qFormat/>
    <w:pPr>
      <w:ind w:firstLine="420"/>
      <w:spacing w:line="460" w:lineRule="exact"/>
    </w:pPr>
    <w:rPr>
      <w:rFonts w:ascii="宋体" w:hAnsi="宋体"/>
      <w:color w:val="0d0d0d"/>
      <w:szCs w:val="21"/>
      <w:lang w:val="zh-CN"/>
    </w:rPr>
  </w:style>
  <w:style w:type="paragraph" w:styleId="1111" w:customStyle="1">
    <w:name w:val="Table Paragraph"/>
    <w:basedOn w:val="761"/>
    <w:uiPriority w:val="1"/>
    <w:qFormat/>
    <w:pPr>
      <w:ind w:left="107"/>
      <w:spacing w:before="31"/>
    </w:pPr>
    <w:rPr>
      <w:rFonts w:ascii="微软雅黑" w:hAnsi="微软雅黑" w:eastAsia="微软雅黑" w:cs="微软雅黑"/>
    </w:rPr>
  </w:style>
  <w:style w:type="paragraph" w:styleId="1112"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1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14"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15"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16" w:customStyle="1">
    <w:name w:val="页眉11"/>
    <w:basedOn w:val="761"/>
    <w:uiPriority w:val="99"/>
    <w:qFormat/>
    <w:pPr>
      <w:jc w:val="center"/>
      <w:tabs>
        <w:tab w:val="center" w:pos="4153" w:leader="none"/>
        <w:tab w:val="right" w:pos="8306" w:leader="none"/>
      </w:tabs>
      <w:pBdr>
        <w:bottom w:val="single" w:color="000000" w:sz="6" w:space="1"/>
      </w:pBdr>
    </w:pPr>
    <w:rPr>
      <w:sz w:val="18"/>
    </w:rPr>
  </w:style>
  <w:style w:type="paragraph" w:styleId="1117" w:customStyle="1">
    <w:name w:val="页脚11"/>
    <w:basedOn w:val="761"/>
    <w:uiPriority w:val="99"/>
    <w:qFormat/>
    <w:pPr>
      <w:jc w:val="left"/>
      <w:tabs>
        <w:tab w:val="center" w:pos="4153" w:leader="none"/>
        <w:tab w:val="right" w:pos="8306" w:leader="none"/>
      </w:tabs>
    </w:pPr>
    <w:rPr>
      <w:sz w:val="18"/>
    </w:rPr>
  </w:style>
  <w:style w:type="character" w:styleId="1118" w:customStyle="1">
    <w:name w:val="font21"/>
    <w:basedOn w:val="771"/>
    <w:uiPriority w:val="0"/>
    <w:qFormat/>
    <w:rPr>
      <w:rFonts w:hint="default" w:ascii="Berlin Sans FB" w:hAnsi="Berlin Sans FB"/>
      <w:color w:val="000000"/>
      <w:sz w:val="20"/>
      <w:szCs w:val="20"/>
      <w:u w:val="none"/>
    </w:rPr>
  </w:style>
  <w:style w:type="paragraph" w:styleId="1119" w:customStyle="1">
    <w:name w:val="索引 51"/>
    <w:basedOn w:val="761"/>
    <w:next w:val="761"/>
    <w:uiPriority w:val="0"/>
    <w:qFormat/>
    <w:pPr>
      <w:ind w:left="800" w:right="0"/>
      <w:jc w:val="both"/>
      <w:keepLines w:val="0"/>
      <w:keepNext w:val="0"/>
      <w:spacing w:before="0" w:beforeAutospacing="0" w:after="0" w:afterAutospacing="0"/>
      <w:widowControl/>
      <w:suppressLineNumbers w:val="0"/>
    </w:pPr>
    <w:rPr>
      <w:rFonts w:ascii="Calibri" w:hAnsi="Calibri" w:eastAsia="宋体" w:cs="Times New Roman"/>
      <w:sz w:val="21"/>
      <w:szCs w:val="20"/>
      <w:lang w:val="en-US" w:eastAsia="zh-CN" w:bidi="ar"/>
    </w:rPr>
  </w:style>
  <w:style w:type="paragraph" w:styleId="1120" w:customStyle="1">
    <w:name w:val="首行缩进"/>
    <w:basedOn w:val="761"/>
    <w:uiPriority w:val="0"/>
    <w:qFormat/>
    <w:pPr>
      <w:ind w:firstLine="480"/>
      <w:spacing w:line="360" w:lineRule="auto"/>
    </w:pPr>
    <w:rPr>
      <w:rFonts w:ascii="宋体"/>
      <w:sz w:val="24"/>
    </w:rPr>
  </w:style>
  <w:style w:type="numbering" w:styleId="265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wmf"/><Relationship Id="rId17" Type="http://schemas.openxmlformats.org/officeDocument/2006/relationships/oleObject" Target="embeddings/oleObject1.bin"/><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赵斌</cp:lastModifiedBy>
  <cp:revision>24</cp:revision>
  <dcterms:created xsi:type="dcterms:W3CDTF">2025-09-24T06:08:00Z</dcterms:created>
  <dcterms:modified xsi:type="dcterms:W3CDTF">2026-09-23T07:46:09Z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2D397AB2364746D8BAF51978E36A5881_13</vt:lpwstr>
  </property>
  <property fmtid="{D5CDD505-2E9C-101B-9397-08002B2CF9AE}" pid="4" name="KSOTemplateDocerSaveRecord">
    <vt:lpwstr>eyJoZGlkIjoiYjZjYTE1YzMzZTBmMTVlZmFmNTZmMTBiMjRmMjBkYmEiLCJ1c2VySWQiOiI3MDQ3MzgyNDIifQ==</vt:lpwstr>
  </property>
</Properties>
</file>