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5A98A2">
      <w:pPr>
        <w:ind w:left="660"/>
        <w:rPr>
          <w:rFonts w:ascii="楷体_GB2312" w:eastAsia="楷体_GB2312"/>
          <w:bCs/>
          <w:color w:val="auto"/>
          <w:sz w:val="30"/>
          <w:highlight w:val="none"/>
        </w:rPr>
      </w:pPr>
    </w:p>
    <w:p w14:paraId="0AE73EDC">
      <w:pPr>
        <w:ind w:left="660"/>
        <w:rPr>
          <w:rFonts w:ascii="楷体_GB2312" w:eastAsia="楷体_GB2312"/>
          <w:bCs/>
          <w:color w:val="auto"/>
          <w:sz w:val="30"/>
          <w:highlight w:val="none"/>
        </w:rPr>
      </w:pPr>
    </w:p>
    <w:p w14:paraId="4ED17E82">
      <w:pPr>
        <w:jc w:val="center"/>
        <w:rPr>
          <w:rFonts w:hint="eastAsia" w:ascii="仿宋" w:hAnsi="仿宋" w:eastAsia="仿宋" w:cs="仿宋"/>
          <w:bCs/>
          <w:color w:val="auto"/>
          <w:spacing w:val="20"/>
          <w:sz w:val="72"/>
          <w:szCs w:val="72"/>
          <w:highlight w:val="none"/>
        </w:rPr>
      </w:pPr>
      <w:r>
        <w:rPr>
          <w:rFonts w:hint="eastAsia" w:ascii="仿宋" w:hAnsi="仿宋" w:eastAsia="仿宋" w:cs="仿宋"/>
          <w:bCs/>
          <w:color w:val="auto"/>
          <w:spacing w:val="20"/>
          <w:sz w:val="72"/>
          <w:szCs w:val="72"/>
          <w:highlight w:val="none"/>
        </w:rPr>
        <w:t>无锡市政府采购</w:t>
      </w:r>
    </w:p>
    <w:p w14:paraId="5467F792">
      <w:pPr>
        <w:rPr>
          <w:rFonts w:hint="eastAsia" w:ascii="仿宋" w:hAnsi="仿宋" w:eastAsia="仿宋" w:cs="仿宋"/>
          <w:bCs/>
          <w:color w:val="auto"/>
          <w:sz w:val="30"/>
          <w:highlight w:val="none"/>
        </w:rPr>
      </w:pPr>
    </w:p>
    <w:p w14:paraId="612A1918">
      <w:pPr>
        <w:tabs>
          <w:tab w:val="left" w:pos="9921"/>
        </w:tabs>
        <w:jc w:val="center"/>
        <w:rPr>
          <w:rFonts w:hint="eastAsia" w:ascii="仿宋" w:hAnsi="仿宋" w:eastAsia="仿宋" w:cs="仿宋"/>
          <w:bCs/>
          <w:color w:val="auto"/>
          <w:sz w:val="30"/>
          <w:highlight w:val="none"/>
        </w:rPr>
      </w:pPr>
      <w:r>
        <w:rPr>
          <w:rFonts w:hint="eastAsia" w:ascii="仿宋" w:hAnsi="仿宋" w:eastAsia="仿宋" w:cs="仿宋"/>
          <w:bCs/>
          <w:color w:val="auto"/>
          <w:sz w:val="30"/>
          <w:highlight w:val="none"/>
        </w:rPr>
        <w:t>（全流程电子化）</w:t>
      </w:r>
    </w:p>
    <w:p w14:paraId="69026A56">
      <w:pPr>
        <w:rPr>
          <w:rFonts w:hint="eastAsia" w:ascii="仿宋" w:hAnsi="仿宋" w:eastAsia="仿宋" w:cs="仿宋"/>
          <w:bCs/>
          <w:color w:val="auto"/>
          <w:sz w:val="30"/>
          <w:highlight w:val="none"/>
        </w:rPr>
      </w:pPr>
    </w:p>
    <w:p w14:paraId="0F037248">
      <w:pPr>
        <w:rPr>
          <w:rFonts w:hint="eastAsia" w:ascii="仿宋" w:hAnsi="仿宋" w:eastAsia="仿宋" w:cs="仿宋"/>
          <w:bCs/>
          <w:color w:val="auto"/>
          <w:sz w:val="30"/>
          <w:highlight w:val="none"/>
        </w:rPr>
      </w:pPr>
    </w:p>
    <w:p w14:paraId="1EAEABCA">
      <w:pPr>
        <w:jc w:val="center"/>
        <w:rPr>
          <w:rFonts w:hint="eastAsia" w:ascii="仿宋" w:hAnsi="仿宋" w:eastAsia="仿宋" w:cs="仿宋"/>
          <w:bCs/>
          <w:color w:val="auto"/>
          <w:spacing w:val="20"/>
          <w:sz w:val="48"/>
          <w:szCs w:val="48"/>
          <w:highlight w:val="none"/>
        </w:rPr>
      </w:pPr>
    </w:p>
    <w:p w14:paraId="40220CB8">
      <w:pPr>
        <w:jc w:val="center"/>
        <w:rPr>
          <w:rFonts w:hint="eastAsia" w:ascii="仿宋" w:hAnsi="仿宋" w:eastAsia="仿宋" w:cs="仿宋"/>
          <w:bCs/>
          <w:color w:val="auto"/>
          <w:spacing w:val="20"/>
          <w:sz w:val="48"/>
          <w:szCs w:val="48"/>
          <w:highlight w:val="none"/>
        </w:rPr>
      </w:pPr>
    </w:p>
    <w:p w14:paraId="20589A32">
      <w:pPr>
        <w:jc w:val="center"/>
        <w:rPr>
          <w:rFonts w:hint="eastAsia" w:ascii="仿宋" w:hAnsi="仿宋" w:eastAsia="仿宋" w:cs="仿宋"/>
          <w:bCs/>
          <w:color w:val="auto"/>
          <w:spacing w:val="20"/>
          <w:sz w:val="48"/>
          <w:szCs w:val="48"/>
          <w:highlight w:val="none"/>
        </w:rPr>
      </w:pPr>
      <w:r>
        <w:rPr>
          <w:rFonts w:hint="eastAsia" w:ascii="仿宋" w:hAnsi="仿宋" w:eastAsia="仿宋" w:cs="仿宋"/>
          <w:bCs/>
          <w:color w:val="auto"/>
          <w:spacing w:val="20"/>
          <w:sz w:val="48"/>
          <w:szCs w:val="48"/>
          <w:highlight w:val="none"/>
        </w:rPr>
        <w:t>公开</w:t>
      </w:r>
    </w:p>
    <w:p w14:paraId="4903DEFF">
      <w:pPr>
        <w:jc w:val="center"/>
        <w:rPr>
          <w:rFonts w:hint="eastAsia" w:ascii="仿宋" w:hAnsi="仿宋" w:eastAsia="仿宋" w:cs="仿宋"/>
          <w:bCs/>
          <w:color w:val="auto"/>
          <w:spacing w:val="20"/>
          <w:sz w:val="52"/>
          <w:szCs w:val="52"/>
          <w:highlight w:val="none"/>
        </w:rPr>
      </w:pPr>
      <w:r>
        <w:rPr>
          <w:rFonts w:hint="eastAsia" w:ascii="仿宋" w:hAnsi="仿宋" w:eastAsia="仿宋" w:cs="仿宋"/>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-113030</wp:posOffset>
                </wp:positionH>
                <wp:positionV relativeFrom="paragraph">
                  <wp:posOffset>198120</wp:posOffset>
                </wp:positionV>
                <wp:extent cx="1270"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1270"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pt;margin-top:15.6pt;height:0pt;width:0.1pt;z-index:251659264;mso-width-relative:page;mso-height-relative:page;" fillcolor="#FFFFFF" filled="t" stroked="t" coordsize="21600,21600" o:gfxdata="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BP5eoNUAAAAJAQAADwAAAAAAAAABACAAAAAiAAAAZHJzL2Rv&#10;d25yZXYueG1sUEsBAhQAFAAAAAgAh07iQJcEggDLAQAArQMAAA4AAAAAAAAAAQAgAAAAJAEAAGRy&#10;cy9lMm9Eb2MueG1sUEsFBgAAAAAGAAYAWQEAAGEFAAAAAA==&#10;">
                <v:fill on="t" focussize="0,0"/>
                <v:stroke color="#000000" joinstyle="round"/>
                <v:imagedata o:title=""/>
                <o:lock v:ext="edit" aspectratio="f"/>
              </v:line>
            </w:pict>
          </mc:Fallback>
        </mc:AlternateContent>
      </w:r>
      <w:r>
        <w:rPr>
          <w:rFonts w:hint="eastAsia" w:ascii="仿宋" w:hAnsi="仿宋" w:eastAsia="仿宋" w:cs="仿宋"/>
          <w:bCs/>
          <w:color w:val="auto"/>
          <w:spacing w:val="20"/>
          <w:sz w:val="52"/>
          <w:szCs w:val="52"/>
          <w:highlight w:val="none"/>
        </w:rPr>
        <w:t>招标文件</w:t>
      </w:r>
    </w:p>
    <w:p w14:paraId="030D23FB">
      <w:pPr>
        <w:jc w:val="center"/>
        <w:rPr>
          <w:rFonts w:hint="eastAsia" w:ascii="仿宋" w:hAnsi="仿宋" w:eastAsia="仿宋" w:cs="仿宋"/>
          <w:bCs/>
          <w:color w:val="auto"/>
          <w:spacing w:val="20"/>
          <w:sz w:val="52"/>
          <w:szCs w:val="52"/>
          <w:highlight w:val="none"/>
          <w:lang w:eastAsia="zh-CN"/>
        </w:rPr>
      </w:pPr>
    </w:p>
    <w:p w14:paraId="14DCC870">
      <w:pPr>
        <w:rPr>
          <w:rFonts w:hint="eastAsia" w:ascii="仿宋" w:hAnsi="仿宋" w:eastAsia="仿宋" w:cs="仿宋"/>
          <w:bCs/>
          <w:color w:val="auto"/>
          <w:sz w:val="30"/>
          <w:highlight w:val="none"/>
        </w:rPr>
      </w:pPr>
    </w:p>
    <w:p w14:paraId="349B2B35">
      <w:pPr>
        <w:jc w:val="left"/>
        <w:rPr>
          <w:rFonts w:hint="eastAsia" w:ascii="仿宋" w:hAnsi="仿宋" w:eastAsia="仿宋" w:cs="仿宋"/>
          <w:bCs/>
          <w:color w:val="auto"/>
          <w:sz w:val="30"/>
          <w:highlight w:val="none"/>
        </w:rPr>
      </w:pPr>
    </w:p>
    <w:p w14:paraId="188C8B69">
      <w:pPr>
        <w:ind w:firstLine="900"/>
        <w:rPr>
          <w:rFonts w:hint="eastAsia" w:ascii="仿宋" w:hAnsi="仿宋" w:eastAsia="仿宋" w:cs="仿宋"/>
          <w:bCs/>
          <w:color w:val="auto"/>
          <w:sz w:val="30"/>
          <w:szCs w:val="30"/>
          <w:highlight w:val="none"/>
        </w:rPr>
      </w:pPr>
    </w:p>
    <w:p w14:paraId="0F8435BD">
      <w:pPr>
        <w:ind w:firstLine="900"/>
        <w:rPr>
          <w:rFonts w:hint="eastAsia" w:ascii="仿宋" w:hAnsi="仿宋" w:eastAsia="仿宋" w:cs="仿宋"/>
          <w:bCs/>
          <w:color w:val="auto"/>
          <w:sz w:val="30"/>
          <w:szCs w:val="30"/>
          <w:highlight w:val="none"/>
        </w:rPr>
      </w:pPr>
    </w:p>
    <w:p w14:paraId="3D48988E">
      <w:pPr>
        <w:ind w:firstLine="900"/>
        <w:rPr>
          <w:rFonts w:hint="eastAsia" w:ascii="宋体" w:hAnsi="宋体" w:eastAsia="宋体" w:cs="宋体"/>
          <w:bCs/>
          <w:color w:val="auto"/>
          <w:sz w:val="30"/>
          <w:szCs w:val="30"/>
          <w:highlight w:val="none"/>
        </w:rPr>
      </w:pPr>
    </w:p>
    <w:p w14:paraId="5C626A5F">
      <w:pPr>
        <w:ind w:firstLine="900"/>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采购项目编号：</w:t>
      </w:r>
      <w:r>
        <w:rPr>
          <w:rFonts w:hint="eastAsia" w:ascii="宋体" w:hAnsi="宋体" w:cs="宋体"/>
          <w:bCs/>
          <w:color w:val="auto"/>
          <w:sz w:val="30"/>
          <w:szCs w:val="30"/>
          <w:highlight w:val="none"/>
          <w:lang w:eastAsia="zh-CN"/>
        </w:rPr>
        <w:t>JSZC-320211-BJZC-G2026-0015</w:t>
      </w:r>
      <w:r>
        <w:rPr>
          <w:rFonts w:hint="eastAsia" w:ascii="宋体" w:hAnsi="宋体" w:eastAsia="宋体" w:cs="宋体"/>
          <w:bCs/>
          <w:color w:val="auto"/>
          <w:sz w:val="30"/>
          <w:szCs w:val="30"/>
          <w:highlight w:val="none"/>
          <w:lang w:val="en-US" w:eastAsia="zh-CN"/>
        </w:rPr>
        <w:t xml:space="preserve"> </w:t>
      </w:r>
    </w:p>
    <w:p w14:paraId="62F5FAFD">
      <w:pPr>
        <w:ind w:firstLine="900"/>
        <w:jc w:val="left"/>
        <w:rPr>
          <w:rFonts w:hint="eastAsia" w:ascii="宋体" w:hAnsi="宋体" w:eastAsia="宋体" w:cs="宋体"/>
          <w:bCs/>
          <w:color w:val="auto"/>
          <w:sz w:val="30"/>
          <w:szCs w:val="30"/>
          <w:highlight w:val="none"/>
        </w:rPr>
      </w:pPr>
    </w:p>
    <w:p w14:paraId="14A6C5D9">
      <w:pPr>
        <w:ind w:firstLine="900"/>
        <w:jc w:val="left"/>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采购项目名称：</w:t>
      </w:r>
      <w:r>
        <w:rPr>
          <w:rFonts w:hint="eastAsia" w:ascii="宋体" w:hAnsi="宋体" w:cs="宋体"/>
          <w:bCs/>
          <w:color w:val="auto"/>
          <w:sz w:val="30"/>
          <w:szCs w:val="30"/>
          <w:highlight w:val="none"/>
          <w:lang w:eastAsia="zh-CN"/>
        </w:rPr>
        <w:t>吴大成浜、蒋巷浜等11条河道生态修复养护</w:t>
      </w:r>
    </w:p>
    <w:p w14:paraId="00057629">
      <w:pPr>
        <w:ind w:firstLine="900"/>
        <w:jc w:val="left"/>
        <w:rPr>
          <w:rFonts w:hint="eastAsia" w:ascii="宋体" w:hAnsi="宋体" w:eastAsia="宋体" w:cs="宋体"/>
          <w:bCs/>
          <w:color w:val="auto"/>
          <w:sz w:val="30"/>
          <w:szCs w:val="30"/>
          <w:highlight w:val="none"/>
        </w:rPr>
      </w:pPr>
    </w:p>
    <w:p w14:paraId="63EC58AF">
      <w:pPr>
        <w:spacing w:line="360" w:lineRule="auto"/>
        <w:ind w:firstLine="900"/>
        <w:rPr>
          <w:rFonts w:hint="eastAsia" w:ascii="宋体" w:hAnsi="宋体" w:eastAsia="宋体" w:cs="宋体"/>
          <w:bCs/>
          <w:color w:val="auto"/>
          <w:sz w:val="32"/>
          <w:highlight w:val="none"/>
        </w:rPr>
      </w:pPr>
      <w:r>
        <w:rPr>
          <w:rFonts w:hint="eastAsia" w:ascii="宋体" w:hAnsi="宋体" w:eastAsia="宋体" w:cs="宋体"/>
          <w:bCs/>
          <w:color w:val="auto"/>
          <w:sz w:val="30"/>
          <w:szCs w:val="30"/>
          <w:highlight w:val="none"/>
        </w:rPr>
        <w:t>采购代理机构：</w:t>
      </w:r>
      <w:r>
        <w:rPr>
          <w:rFonts w:hint="eastAsia" w:ascii="宋体" w:hAnsi="宋体" w:cs="宋体"/>
          <w:bCs/>
          <w:color w:val="auto"/>
          <w:sz w:val="30"/>
          <w:szCs w:val="30"/>
          <w:highlight w:val="none"/>
          <w:lang w:eastAsia="zh-CN"/>
        </w:rPr>
        <w:t>北京中昌工程咨询有限公司</w:t>
      </w:r>
    </w:p>
    <w:p w14:paraId="0FF24FC3">
      <w:pPr>
        <w:spacing w:line="360" w:lineRule="auto"/>
        <w:jc w:val="center"/>
        <w:rPr>
          <w:rFonts w:hint="eastAsia" w:ascii="宋体" w:hAnsi="宋体" w:cs="宋体"/>
          <w:bCs/>
          <w:color w:val="auto"/>
          <w:sz w:val="30"/>
          <w:szCs w:val="30"/>
          <w:highlight w:val="none"/>
          <w:lang w:eastAsia="zh-CN"/>
        </w:rPr>
      </w:pPr>
    </w:p>
    <w:p w14:paraId="75FE65C5">
      <w:pPr>
        <w:spacing w:line="360" w:lineRule="auto"/>
        <w:jc w:val="center"/>
        <w:rPr>
          <w:rFonts w:hint="eastAsia" w:ascii="宋体" w:hAnsi="宋体" w:cs="宋体"/>
          <w:bCs/>
          <w:color w:val="auto"/>
          <w:sz w:val="30"/>
          <w:szCs w:val="30"/>
          <w:highlight w:val="none"/>
          <w:lang w:eastAsia="zh-CN"/>
        </w:rPr>
      </w:pPr>
    </w:p>
    <w:p w14:paraId="2AF7D15F">
      <w:pPr>
        <w:spacing w:line="360" w:lineRule="auto"/>
        <w:jc w:val="center"/>
        <w:rPr>
          <w:rFonts w:hint="eastAsia" w:ascii="宋体" w:hAnsi="宋体" w:cs="宋体"/>
          <w:bCs/>
          <w:color w:val="auto"/>
          <w:sz w:val="30"/>
          <w:szCs w:val="30"/>
          <w:highlight w:val="none"/>
          <w:lang w:eastAsia="zh-CN"/>
        </w:rPr>
      </w:pPr>
    </w:p>
    <w:p w14:paraId="1F8582DB">
      <w:pPr>
        <w:spacing w:line="360" w:lineRule="auto"/>
        <w:jc w:val="center"/>
        <w:rPr>
          <w:rFonts w:hint="eastAsia" w:ascii="宋体" w:hAnsi="宋体" w:eastAsia="宋体" w:cs="宋体"/>
          <w:bCs/>
          <w:color w:val="auto"/>
          <w:sz w:val="30"/>
          <w:szCs w:val="30"/>
          <w:highlight w:val="none"/>
        </w:rPr>
      </w:pPr>
      <w:r>
        <w:rPr>
          <w:rFonts w:hint="eastAsia" w:ascii="宋体" w:hAnsi="宋体" w:cs="宋体"/>
          <w:bCs/>
          <w:color w:val="auto"/>
          <w:sz w:val="30"/>
          <w:szCs w:val="30"/>
          <w:highlight w:val="none"/>
          <w:lang w:eastAsia="zh-CN"/>
        </w:rPr>
        <w:t>二〇二六</w:t>
      </w:r>
      <w:r>
        <w:rPr>
          <w:rFonts w:hint="eastAsia" w:ascii="宋体" w:hAnsi="宋体" w:eastAsia="宋体" w:cs="宋体"/>
          <w:bCs/>
          <w:color w:val="auto"/>
          <w:sz w:val="30"/>
          <w:szCs w:val="30"/>
          <w:highlight w:val="none"/>
        </w:rPr>
        <w:t>年</w:t>
      </w:r>
      <w:r>
        <w:rPr>
          <w:rFonts w:hint="eastAsia" w:ascii="宋体" w:hAnsi="宋体" w:cs="宋体"/>
          <w:bCs/>
          <w:color w:val="auto"/>
          <w:sz w:val="30"/>
          <w:szCs w:val="30"/>
          <w:highlight w:val="none"/>
          <w:lang w:val="en-US" w:eastAsia="zh-CN"/>
        </w:rPr>
        <w:t>九</w:t>
      </w:r>
      <w:r>
        <w:rPr>
          <w:rFonts w:hint="eastAsia" w:ascii="宋体" w:hAnsi="宋体" w:eastAsia="宋体" w:cs="宋体"/>
          <w:bCs/>
          <w:color w:val="auto"/>
          <w:sz w:val="30"/>
          <w:szCs w:val="30"/>
          <w:highlight w:val="none"/>
        </w:rPr>
        <w:t>月</w:t>
      </w:r>
    </w:p>
    <w:p w14:paraId="62CE89D2">
      <w:pPr>
        <w:jc w:val="center"/>
        <w:rPr>
          <w:rStyle w:val="114"/>
          <w:rFonts w:hint="eastAsia" w:ascii="宋体" w:hAnsi="宋体" w:eastAsia="宋体" w:cs="宋体"/>
          <w:bCs/>
          <w:color w:val="auto"/>
          <w:sz w:val="48"/>
          <w:highlight w:val="none"/>
        </w:rPr>
      </w:pPr>
      <w:r>
        <w:rPr>
          <w:rStyle w:val="114"/>
          <w:rFonts w:hint="eastAsia" w:ascii="宋体" w:hAnsi="宋体" w:eastAsia="宋体" w:cs="宋体"/>
          <w:bCs/>
          <w:color w:val="auto"/>
          <w:sz w:val="48"/>
          <w:highlight w:val="none"/>
        </w:rPr>
        <w:br w:type="page" w:clear="all"/>
      </w:r>
    </w:p>
    <w:p w14:paraId="6F722B5C">
      <w:pPr>
        <w:spacing w:line="360" w:lineRule="auto"/>
        <w:ind w:left="1440" w:hanging="600"/>
        <w:outlineLvl w:val="0"/>
        <w:rPr>
          <w:rFonts w:hint="eastAsia" w:ascii="宋体" w:hAnsi="宋体" w:eastAsia="宋体" w:cs="宋体"/>
          <w:color w:val="auto"/>
          <w:sz w:val="28"/>
          <w:szCs w:val="28"/>
          <w:highlight w:val="none"/>
        </w:rPr>
      </w:pPr>
    </w:p>
    <w:sdt>
      <w:sdtPr>
        <w:rPr>
          <w:rFonts w:hint="default" w:ascii="宋体" w:hAnsi="宋体" w:eastAsia="宋体" w:cs="Times New Roman"/>
          <w:sz w:val="21"/>
          <w:lang w:val="en-US" w:eastAsia="zh-CN" w:bidi="ar-SA"/>
        </w:rPr>
        <w:id w:val="147474716"/>
        <w15:color w:val="DBDBDB"/>
        <w:docPartObj>
          <w:docPartGallery w:val="Table of Contents"/>
          <w:docPartUnique/>
        </w:docPartObj>
      </w:sdtPr>
      <w:sdtEndPr>
        <w:rPr>
          <w:rFonts w:hint="eastAsia" w:ascii="宋体" w:hAnsi="宋体" w:eastAsia="宋体" w:cs="宋体"/>
          <w:sz w:val="21"/>
          <w:szCs w:val="28"/>
          <w:highlight w:val="none"/>
          <w:lang w:val="en-GB" w:eastAsia="zh-CN" w:bidi="ar-SA"/>
        </w:rPr>
      </w:sdtEndPr>
      <w:sdtContent>
        <w:p w14:paraId="6C007CC5">
          <w:pPr>
            <w:spacing w:before="0" w:beforeLines="0" w:after="0" w:afterLines="0" w:line="240" w:lineRule="auto"/>
            <w:ind w:left="0" w:leftChars="0" w:right="0" w:rightChars="0" w:firstLine="0" w:firstLineChars="0"/>
            <w:jc w:val="center"/>
            <w:rPr>
              <w:rFonts w:hint="eastAsia" w:ascii="宋体" w:hAnsi="宋体" w:eastAsia="宋体" w:cs="宋体"/>
              <w:sz w:val="36"/>
              <w:szCs w:val="36"/>
            </w:rPr>
          </w:pPr>
          <w:r>
            <w:rPr>
              <w:rFonts w:hint="eastAsia" w:ascii="宋体" w:hAnsi="宋体" w:eastAsia="宋体" w:cs="宋体"/>
              <w:sz w:val="36"/>
              <w:szCs w:val="36"/>
            </w:rPr>
            <w:t>目录</w:t>
          </w:r>
        </w:p>
        <w:p w14:paraId="0F51468F">
          <w:pPr>
            <w:pStyle w:val="26"/>
            <w:tabs>
              <w:tab w:val="right" w:leader="dot" w:pos="9746"/>
            </w:tabs>
            <w:spacing w:line="360" w:lineRule="auto"/>
            <w:rPr>
              <w:rFonts w:hint="eastAsia" w:ascii="宋体" w:hAnsi="宋体" w:eastAsia="宋体" w:cs="宋体"/>
              <w:sz w:val="36"/>
              <w:szCs w:val="36"/>
            </w:rPr>
          </w:pPr>
          <w:r>
            <w:rPr>
              <w:rFonts w:hint="eastAsia" w:ascii="宋体" w:hAnsi="宋体" w:eastAsia="宋体" w:cs="宋体"/>
              <w:sz w:val="36"/>
              <w:szCs w:val="36"/>
              <w:highlight w:val="none"/>
              <w:lang w:val="en-GB" w:eastAsia="zh-CN" w:bidi="ar-SA"/>
            </w:rPr>
            <w:fldChar w:fldCharType="begin"/>
          </w:r>
          <w:r>
            <w:rPr>
              <w:rFonts w:hint="eastAsia" w:ascii="宋体" w:hAnsi="宋体" w:eastAsia="宋体" w:cs="宋体"/>
              <w:sz w:val="36"/>
              <w:szCs w:val="36"/>
              <w:highlight w:val="none"/>
              <w:lang w:val="en-GB" w:eastAsia="zh-CN" w:bidi="ar-SA"/>
            </w:rPr>
            <w:instrText xml:space="preserve">TOC \o "1-1" \h \u </w:instrText>
          </w:r>
          <w:r>
            <w:rPr>
              <w:rFonts w:hint="eastAsia" w:ascii="宋体" w:hAnsi="宋体" w:eastAsia="宋体" w:cs="宋体"/>
              <w:sz w:val="36"/>
              <w:szCs w:val="36"/>
              <w:highlight w:val="none"/>
              <w:lang w:val="en-GB" w:eastAsia="zh-CN" w:bidi="ar-SA"/>
            </w:rPr>
            <w:fldChar w:fldCharType="separate"/>
          </w:r>
          <w:r>
            <w:rPr>
              <w:rFonts w:hint="eastAsia" w:ascii="宋体" w:hAnsi="宋体" w:eastAsia="宋体" w:cs="宋体"/>
              <w:sz w:val="36"/>
              <w:szCs w:val="36"/>
              <w:highlight w:val="none"/>
              <w:lang w:val="en-GB" w:eastAsia="zh-CN" w:bidi="ar-SA"/>
            </w:rPr>
            <w:fldChar w:fldCharType="begin"/>
          </w:r>
          <w:r>
            <w:rPr>
              <w:rFonts w:hint="eastAsia" w:ascii="宋体" w:hAnsi="宋体" w:eastAsia="宋体" w:cs="宋体"/>
              <w:sz w:val="36"/>
              <w:szCs w:val="36"/>
              <w:highlight w:val="none"/>
              <w:lang w:val="en-GB" w:eastAsia="zh-CN" w:bidi="ar-SA"/>
            </w:rPr>
            <w:instrText xml:space="preserve"> HYPERLINK \l _Toc22902 </w:instrText>
          </w:r>
          <w:r>
            <w:rPr>
              <w:rFonts w:hint="eastAsia" w:ascii="宋体" w:hAnsi="宋体" w:eastAsia="宋体" w:cs="宋体"/>
              <w:sz w:val="36"/>
              <w:szCs w:val="36"/>
              <w:highlight w:val="none"/>
              <w:lang w:val="en-GB" w:eastAsia="zh-CN" w:bidi="ar-SA"/>
            </w:rPr>
            <w:fldChar w:fldCharType="separate"/>
          </w:r>
          <w:r>
            <w:rPr>
              <w:rFonts w:hint="eastAsia" w:ascii="宋体" w:hAnsi="宋体" w:eastAsia="宋体" w:cs="宋体"/>
              <w:bCs/>
              <w:sz w:val="36"/>
              <w:szCs w:val="36"/>
              <w:highlight w:val="none"/>
              <w:lang w:val="en-US" w:eastAsia="zh-CN"/>
            </w:rPr>
            <w:t xml:space="preserve">第一章 </w:t>
          </w:r>
          <w:r>
            <w:rPr>
              <w:rFonts w:hint="eastAsia" w:ascii="宋体" w:hAnsi="宋体" w:eastAsia="宋体" w:cs="宋体"/>
              <w:bCs/>
              <w:sz w:val="36"/>
              <w:szCs w:val="36"/>
              <w:highlight w:val="none"/>
            </w:rPr>
            <w:t>投标邀请</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_Toc22902 \h </w:instrText>
          </w:r>
          <w:r>
            <w:rPr>
              <w:rFonts w:hint="eastAsia" w:ascii="宋体" w:hAnsi="宋体" w:eastAsia="宋体" w:cs="宋体"/>
              <w:sz w:val="36"/>
              <w:szCs w:val="36"/>
            </w:rPr>
            <w:fldChar w:fldCharType="separate"/>
          </w:r>
          <w:r>
            <w:rPr>
              <w:rFonts w:hint="eastAsia" w:ascii="宋体" w:hAnsi="宋体" w:eastAsia="宋体" w:cs="宋体"/>
              <w:sz w:val="36"/>
              <w:szCs w:val="36"/>
            </w:rPr>
            <w:t>3</w:t>
          </w:r>
          <w:r>
            <w:rPr>
              <w:rFonts w:hint="eastAsia" w:ascii="宋体" w:hAnsi="宋体" w:eastAsia="宋体" w:cs="宋体"/>
              <w:sz w:val="36"/>
              <w:szCs w:val="36"/>
            </w:rPr>
            <w:fldChar w:fldCharType="end"/>
          </w:r>
          <w:r>
            <w:rPr>
              <w:rFonts w:hint="eastAsia" w:ascii="宋体" w:hAnsi="宋体" w:eastAsia="宋体" w:cs="宋体"/>
              <w:sz w:val="36"/>
              <w:szCs w:val="36"/>
              <w:highlight w:val="none"/>
              <w:lang w:val="en-GB" w:eastAsia="zh-CN" w:bidi="ar-SA"/>
            </w:rPr>
            <w:fldChar w:fldCharType="end"/>
          </w:r>
        </w:p>
        <w:p w14:paraId="4DB69AAD">
          <w:pPr>
            <w:pStyle w:val="26"/>
            <w:tabs>
              <w:tab w:val="right" w:leader="dot" w:pos="9746"/>
            </w:tabs>
            <w:spacing w:line="360" w:lineRule="auto"/>
            <w:rPr>
              <w:rFonts w:hint="eastAsia" w:ascii="宋体" w:hAnsi="宋体" w:eastAsia="宋体" w:cs="宋体"/>
              <w:sz w:val="36"/>
              <w:szCs w:val="36"/>
            </w:rPr>
          </w:pPr>
          <w:r>
            <w:rPr>
              <w:rFonts w:hint="eastAsia" w:ascii="宋体" w:hAnsi="宋体" w:eastAsia="宋体" w:cs="宋体"/>
              <w:sz w:val="36"/>
              <w:szCs w:val="36"/>
              <w:highlight w:val="none"/>
              <w:lang w:val="en-GB" w:eastAsia="zh-CN" w:bidi="ar-SA"/>
            </w:rPr>
            <w:fldChar w:fldCharType="begin"/>
          </w:r>
          <w:r>
            <w:rPr>
              <w:rFonts w:hint="eastAsia" w:ascii="宋体" w:hAnsi="宋体" w:eastAsia="宋体" w:cs="宋体"/>
              <w:sz w:val="36"/>
              <w:szCs w:val="36"/>
              <w:highlight w:val="none"/>
              <w:lang w:val="en-GB" w:eastAsia="zh-CN" w:bidi="ar-SA"/>
            </w:rPr>
            <w:instrText xml:space="preserve"> HYPERLINK \l _Toc3629 </w:instrText>
          </w:r>
          <w:r>
            <w:rPr>
              <w:rFonts w:hint="eastAsia" w:ascii="宋体" w:hAnsi="宋体" w:eastAsia="宋体" w:cs="宋体"/>
              <w:sz w:val="36"/>
              <w:szCs w:val="36"/>
              <w:highlight w:val="none"/>
              <w:lang w:val="en-GB" w:eastAsia="zh-CN" w:bidi="ar-SA"/>
            </w:rPr>
            <w:fldChar w:fldCharType="separate"/>
          </w:r>
          <w:r>
            <w:rPr>
              <w:rFonts w:hint="eastAsia" w:ascii="宋体" w:hAnsi="宋体" w:eastAsia="宋体" w:cs="宋体"/>
              <w:sz w:val="36"/>
              <w:szCs w:val="36"/>
              <w:highlight w:val="none"/>
              <w:lang w:val="en-US" w:eastAsia="zh-CN"/>
            </w:rPr>
            <w:t>第二章 投标供应商须知</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_Toc3629 \h </w:instrText>
          </w:r>
          <w:r>
            <w:rPr>
              <w:rFonts w:hint="eastAsia" w:ascii="宋体" w:hAnsi="宋体" w:eastAsia="宋体" w:cs="宋体"/>
              <w:sz w:val="36"/>
              <w:szCs w:val="36"/>
            </w:rPr>
            <w:fldChar w:fldCharType="separate"/>
          </w:r>
          <w:r>
            <w:rPr>
              <w:rFonts w:hint="eastAsia" w:ascii="宋体" w:hAnsi="宋体" w:eastAsia="宋体" w:cs="宋体"/>
              <w:sz w:val="36"/>
              <w:szCs w:val="36"/>
            </w:rPr>
            <w:t>9</w:t>
          </w:r>
          <w:r>
            <w:rPr>
              <w:rFonts w:hint="eastAsia" w:ascii="宋体" w:hAnsi="宋体" w:eastAsia="宋体" w:cs="宋体"/>
              <w:sz w:val="36"/>
              <w:szCs w:val="36"/>
            </w:rPr>
            <w:fldChar w:fldCharType="end"/>
          </w:r>
          <w:r>
            <w:rPr>
              <w:rFonts w:hint="eastAsia" w:ascii="宋体" w:hAnsi="宋体" w:eastAsia="宋体" w:cs="宋体"/>
              <w:sz w:val="36"/>
              <w:szCs w:val="36"/>
              <w:highlight w:val="none"/>
              <w:lang w:val="en-GB" w:eastAsia="zh-CN" w:bidi="ar-SA"/>
            </w:rPr>
            <w:fldChar w:fldCharType="end"/>
          </w:r>
        </w:p>
        <w:p w14:paraId="2B287FA3">
          <w:pPr>
            <w:pStyle w:val="26"/>
            <w:tabs>
              <w:tab w:val="right" w:leader="dot" w:pos="9746"/>
            </w:tabs>
            <w:spacing w:line="360" w:lineRule="auto"/>
            <w:rPr>
              <w:rFonts w:hint="eastAsia" w:ascii="宋体" w:hAnsi="宋体" w:eastAsia="宋体" w:cs="宋体"/>
              <w:sz w:val="36"/>
              <w:szCs w:val="36"/>
            </w:rPr>
          </w:pPr>
          <w:r>
            <w:rPr>
              <w:rFonts w:hint="eastAsia" w:ascii="宋体" w:hAnsi="宋体" w:eastAsia="宋体" w:cs="宋体"/>
              <w:sz w:val="36"/>
              <w:szCs w:val="36"/>
              <w:highlight w:val="none"/>
              <w:lang w:val="en-GB" w:eastAsia="zh-CN" w:bidi="ar-SA"/>
            </w:rPr>
            <w:fldChar w:fldCharType="begin"/>
          </w:r>
          <w:r>
            <w:rPr>
              <w:rFonts w:hint="eastAsia" w:ascii="宋体" w:hAnsi="宋体" w:eastAsia="宋体" w:cs="宋体"/>
              <w:sz w:val="36"/>
              <w:szCs w:val="36"/>
              <w:highlight w:val="none"/>
              <w:lang w:val="en-GB" w:eastAsia="zh-CN" w:bidi="ar-SA"/>
            </w:rPr>
            <w:instrText xml:space="preserve"> HYPERLINK \l _Toc1593 </w:instrText>
          </w:r>
          <w:r>
            <w:rPr>
              <w:rFonts w:hint="eastAsia" w:ascii="宋体" w:hAnsi="宋体" w:eastAsia="宋体" w:cs="宋体"/>
              <w:sz w:val="36"/>
              <w:szCs w:val="36"/>
              <w:highlight w:val="none"/>
              <w:lang w:val="en-GB" w:eastAsia="zh-CN" w:bidi="ar-SA"/>
            </w:rPr>
            <w:fldChar w:fldCharType="separate"/>
          </w:r>
          <w:r>
            <w:rPr>
              <w:rFonts w:hint="eastAsia" w:ascii="宋体" w:hAnsi="宋体" w:eastAsia="宋体" w:cs="宋体"/>
              <w:bCs w:val="0"/>
              <w:sz w:val="36"/>
              <w:szCs w:val="36"/>
              <w:highlight w:val="none"/>
              <w:lang w:val="en-US" w:eastAsia="zh-CN"/>
            </w:rPr>
            <w:t xml:space="preserve">第三章 </w:t>
          </w:r>
          <w:r>
            <w:rPr>
              <w:rFonts w:hint="eastAsia" w:ascii="宋体" w:hAnsi="宋体" w:eastAsia="宋体" w:cs="宋体"/>
              <w:bCs w:val="0"/>
              <w:sz w:val="36"/>
              <w:szCs w:val="36"/>
              <w:highlight w:val="none"/>
            </w:rPr>
            <w:t>采购需求</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_Toc1593 \h </w:instrText>
          </w:r>
          <w:r>
            <w:rPr>
              <w:rFonts w:hint="eastAsia" w:ascii="宋体" w:hAnsi="宋体" w:eastAsia="宋体" w:cs="宋体"/>
              <w:sz w:val="36"/>
              <w:szCs w:val="36"/>
            </w:rPr>
            <w:fldChar w:fldCharType="separate"/>
          </w:r>
          <w:r>
            <w:rPr>
              <w:rFonts w:hint="eastAsia" w:ascii="宋体" w:hAnsi="宋体" w:eastAsia="宋体" w:cs="宋体"/>
              <w:sz w:val="36"/>
              <w:szCs w:val="36"/>
            </w:rPr>
            <w:t>30</w:t>
          </w:r>
          <w:r>
            <w:rPr>
              <w:rFonts w:hint="eastAsia" w:ascii="宋体" w:hAnsi="宋体" w:eastAsia="宋体" w:cs="宋体"/>
              <w:sz w:val="36"/>
              <w:szCs w:val="36"/>
            </w:rPr>
            <w:fldChar w:fldCharType="end"/>
          </w:r>
          <w:r>
            <w:rPr>
              <w:rFonts w:hint="eastAsia" w:ascii="宋体" w:hAnsi="宋体" w:eastAsia="宋体" w:cs="宋体"/>
              <w:sz w:val="36"/>
              <w:szCs w:val="36"/>
              <w:highlight w:val="none"/>
              <w:lang w:val="en-GB" w:eastAsia="zh-CN" w:bidi="ar-SA"/>
            </w:rPr>
            <w:fldChar w:fldCharType="end"/>
          </w:r>
        </w:p>
        <w:p w14:paraId="73202AD4">
          <w:pPr>
            <w:pStyle w:val="26"/>
            <w:tabs>
              <w:tab w:val="right" w:leader="dot" w:pos="9746"/>
            </w:tabs>
            <w:spacing w:line="360" w:lineRule="auto"/>
            <w:rPr>
              <w:rFonts w:hint="eastAsia" w:ascii="宋体" w:hAnsi="宋体" w:eastAsia="宋体" w:cs="宋体"/>
              <w:sz w:val="36"/>
              <w:szCs w:val="36"/>
            </w:rPr>
          </w:pPr>
          <w:r>
            <w:rPr>
              <w:rFonts w:hint="eastAsia" w:ascii="宋体" w:hAnsi="宋体" w:eastAsia="宋体" w:cs="宋体"/>
              <w:sz w:val="36"/>
              <w:szCs w:val="36"/>
              <w:highlight w:val="none"/>
              <w:lang w:val="en-GB" w:eastAsia="zh-CN" w:bidi="ar-SA"/>
            </w:rPr>
            <w:fldChar w:fldCharType="begin"/>
          </w:r>
          <w:r>
            <w:rPr>
              <w:rFonts w:hint="eastAsia" w:ascii="宋体" w:hAnsi="宋体" w:eastAsia="宋体" w:cs="宋体"/>
              <w:sz w:val="36"/>
              <w:szCs w:val="36"/>
              <w:highlight w:val="none"/>
              <w:lang w:val="en-GB" w:eastAsia="zh-CN" w:bidi="ar-SA"/>
            </w:rPr>
            <w:instrText xml:space="preserve"> HYPERLINK \l _Toc16432 </w:instrText>
          </w:r>
          <w:r>
            <w:rPr>
              <w:rFonts w:hint="eastAsia" w:ascii="宋体" w:hAnsi="宋体" w:eastAsia="宋体" w:cs="宋体"/>
              <w:sz w:val="36"/>
              <w:szCs w:val="36"/>
              <w:highlight w:val="none"/>
              <w:lang w:val="en-GB" w:eastAsia="zh-CN" w:bidi="ar-SA"/>
            </w:rPr>
            <w:fldChar w:fldCharType="separate"/>
          </w:r>
          <w:r>
            <w:rPr>
              <w:rFonts w:hint="eastAsia" w:ascii="宋体" w:hAnsi="宋体" w:eastAsia="宋体" w:cs="宋体"/>
              <w:bCs w:val="0"/>
              <w:sz w:val="36"/>
              <w:szCs w:val="36"/>
              <w:highlight w:val="none"/>
              <w:lang w:val="en-US" w:eastAsia="zh-CN"/>
            </w:rPr>
            <w:t xml:space="preserve">第四章 </w:t>
          </w:r>
          <w:r>
            <w:rPr>
              <w:rFonts w:hint="eastAsia" w:ascii="宋体" w:hAnsi="宋体" w:eastAsia="宋体" w:cs="宋体"/>
              <w:bCs w:val="0"/>
              <w:sz w:val="36"/>
              <w:szCs w:val="36"/>
              <w:highlight w:val="none"/>
            </w:rPr>
            <w:t>合同</w:t>
          </w:r>
          <w:r>
            <w:rPr>
              <w:rFonts w:hint="eastAsia" w:ascii="宋体" w:hAnsi="宋体" w:eastAsia="宋体" w:cs="宋体"/>
              <w:bCs w:val="0"/>
              <w:sz w:val="36"/>
              <w:szCs w:val="36"/>
              <w:highlight w:val="none"/>
              <w:lang w:val="en-US" w:eastAsia="zh-CN"/>
            </w:rPr>
            <w:t>书</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_Toc16432 \h </w:instrText>
          </w:r>
          <w:r>
            <w:rPr>
              <w:rFonts w:hint="eastAsia" w:ascii="宋体" w:hAnsi="宋体" w:eastAsia="宋体" w:cs="宋体"/>
              <w:sz w:val="36"/>
              <w:szCs w:val="36"/>
            </w:rPr>
            <w:fldChar w:fldCharType="separate"/>
          </w:r>
          <w:r>
            <w:rPr>
              <w:rFonts w:hint="eastAsia" w:ascii="宋体" w:hAnsi="宋体" w:eastAsia="宋体" w:cs="宋体"/>
              <w:sz w:val="36"/>
              <w:szCs w:val="36"/>
            </w:rPr>
            <w:t>48</w:t>
          </w:r>
          <w:r>
            <w:rPr>
              <w:rFonts w:hint="eastAsia" w:ascii="宋体" w:hAnsi="宋体" w:eastAsia="宋体" w:cs="宋体"/>
              <w:sz w:val="36"/>
              <w:szCs w:val="36"/>
            </w:rPr>
            <w:fldChar w:fldCharType="end"/>
          </w:r>
          <w:r>
            <w:rPr>
              <w:rFonts w:hint="eastAsia" w:ascii="宋体" w:hAnsi="宋体" w:eastAsia="宋体" w:cs="宋体"/>
              <w:sz w:val="36"/>
              <w:szCs w:val="36"/>
              <w:highlight w:val="none"/>
              <w:lang w:val="en-GB" w:eastAsia="zh-CN" w:bidi="ar-SA"/>
            </w:rPr>
            <w:fldChar w:fldCharType="end"/>
          </w:r>
        </w:p>
        <w:p w14:paraId="21926E84">
          <w:pPr>
            <w:pStyle w:val="26"/>
            <w:tabs>
              <w:tab w:val="right" w:leader="dot" w:pos="9746"/>
            </w:tabs>
            <w:spacing w:line="360" w:lineRule="auto"/>
            <w:rPr>
              <w:rFonts w:hint="eastAsia" w:ascii="宋体" w:hAnsi="宋体" w:eastAsia="宋体" w:cs="宋体"/>
              <w:sz w:val="36"/>
              <w:szCs w:val="36"/>
            </w:rPr>
          </w:pPr>
          <w:r>
            <w:rPr>
              <w:rFonts w:hint="eastAsia" w:ascii="宋体" w:hAnsi="宋体" w:eastAsia="宋体" w:cs="宋体"/>
              <w:sz w:val="36"/>
              <w:szCs w:val="36"/>
              <w:highlight w:val="none"/>
              <w:lang w:val="en-GB" w:eastAsia="zh-CN" w:bidi="ar-SA"/>
            </w:rPr>
            <w:fldChar w:fldCharType="begin"/>
          </w:r>
          <w:r>
            <w:rPr>
              <w:rFonts w:hint="eastAsia" w:ascii="宋体" w:hAnsi="宋体" w:eastAsia="宋体" w:cs="宋体"/>
              <w:sz w:val="36"/>
              <w:szCs w:val="36"/>
              <w:highlight w:val="none"/>
              <w:lang w:val="en-GB" w:eastAsia="zh-CN" w:bidi="ar-SA"/>
            </w:rPr>
            <w:instrText xml:space="preserve"> HYPERLINK \l _Toc9471 </w:instrText>
          </w:r>
          <w:r>
            <w:rPr>
              <w:rFonts w:hint="eastAsia" w:ascii="宋体" w:hAnsi="宋体" w:eastAsia="宋体" w:cs="宋体"/>
              <w:sz w:val="36"/>
              <w:szCs w:val="36"/>
              <w:highlight w:val="none"/>
              <w:lang w:val="en-GB" w:eastAsia="zh-CN" w:bidi="ar-SA"/>
            </w:rPr>
            <w:fldChar w:fldCharType="separate"/>
          </w:r>
          <w:r>
            <w:rPr>
              <w:rFonts w:hint="eastAsia" w:ascii="宋体" w:hAnsi="宋体" w:eastAsia="宋体" w:cs="宋体"/>
              <w:bCs w:val="0"/>
              <w:sz w:val="36"/>
              <w:szCs w:val="36"/>
              <w:highlight w:val="none"/>
              <w:lang w:val="en-US" w:eastAsia="zh-CN"/>
            </w:rPr>
            <w:t xml:space="preserve">第五章 </w:t>
          </w:r>
          <w:r>
            <w:rPr>
              <w:rFonts w:hint="eastAsia" w:ascii="宋体" w:hAnsi="宋体" w:eastAsia="宋体" w:cs="宋体"/>
              <w:bCs w:val="0"/>
              <w:sz w:val="36"/>
              <w:szCs w:val="36"/>
              <w:highlight w:val="none"/>
            </w:rPr>
            <w:t>投标文件格式</w:t>
          </w:r>
          <w:r>
            <w:rPr>
              <w:rFonts w:hint="eastAsia" w:ascii="宋体" w:hAnsi="宋体" w:eastAsia="宋体" w:cs="宋体"/>
              <w:sz w:val="36"/>
              <w:szCs w:val="36"/>
            </w:rPr>
            <w:tab/>
          </w:r>
          <w:r>
            <w:rPr>
              <w:rFonts w:hint="eastAsia" w:ascii="宋体" w:hAnsi="宋体" w:eastAsia="宋体" w:cs="宋体"/>
              <w:sz w:val="36"/>
              <w:szCs w:val="36"/>
            </w:rPr>
            <w:fldChar w:fldCharType="begin"/>
          </w:r>
          <w:r>
            <w:rPr>
              <w:rFonts w:hint="eastAsia" w:ascii="宋体" w:hAnsi="宋体" w:eastAsia="宋体" w:cs="宋体"/>
              <w:sz w:val="36"/>
              <w:szCs w:val="36"/>
            </w:rPr>
            <w:instrText xml:space="preserve"> PAGEREF _Toc9471 \h </w:instrText>
          </w:r>
          <w:r>
            <w:rPr>
              <w:rFonts w:hint="eastAsia" w:ascii="宋体" w:hAnsi="宋体" w:eastAsia="宋体" w:cs="宋体"/>
              <w:sz w:val="36"/>
              <w:szCs w:val="36"/>
            </w:rPr>
            <w:fldChar w:fldCharType="separate"/>
          </w:r>
          <w:r>
            <w:rPr>
              <w:rFonts w:hint="eastAsia" w:ascii="宋体" w:hAnsi="宋体" w:eastAsia="宋体" w:cs="宋体"/>
              <w:sz w:val="36"/>
              <w:szCs w:val="36"/>
            </w:rPr>
            <w:t>55</w:t>
          </w:r>
          <w:r>
            <w:rPr>
              <w:rFonts w:hint="eastAsia" w:ascii="宋体" w:hAnsi="宋体" w:eastAsia="宋体" w:cs="宋体"/>
              <w:sz w:val="36"/>
              <w:szCs w:val="36"/>
            </w:rPr>
            <w:fldChar w:fldCharType="end"/>
          </w:r>
          <w:r>
            <w:rPr>
              <w:rFonts w:hint="eastAsia" w:ascii="宋体" w:hAnsi="宋体" w:eastAsia="宋体" w:cs="宋体"/>
              <w:sz w:val="36"/>
              <w:szCs w:val="36"/>
              <w:highlight w:val="none"/>
              <w:lang w:val="en-GB" w:eastAsia="zh-CN" w:bidi="ar-SA"/>
            </w:rPr>
            <w:fldChar w:fldCharType="end"/>
          </w:r>
        </w:p>
        <w:p w14:paraId="367BA133">
          <w:pPr>
            <w:pStyle w:val="29"/>
            <w:spacing w:line="360" w:lineRule="auto"/>
            <w:rPr>
              <w:rFonts w:hint="eastAsia" w:ascii="宋体" w:hAnsi="宋体" w:eastAsia="宋体" w:cs="宋体"/>
              <w:sz w:val="21"/>
              <w:szCs w:val="28"/>
              <w:highlight w:val="none"/>
              <w:lang w:val="en-GB" w:eastAsia="zh-CN" w:bidi="ar-SA"/>
            </w:rPr>
          </w:pPr>
          <w:r>
            <w:rPr>
              <w:rFonts w:hint="eastAsia" w:ascii="宋体" w:hAnsi="宋体" w:eastAsia="宋体" w:cs="宋体"/>
              <w:sz w:val="36"/>
              <w:szCs w:val="36"/>
              <w:highlight w:val="none"/>
              <w:lang w:val="en-GB" w:eastAsia="zh-CN" w:bidi="ar-SA"/>
            </w:rPr>
            <w:fldChar w:fldCharType="end"/>
          </w:r>
        </w:p>
      </w:sdtContent>
    </w:sdt>
    <w:p w14:paraId="5D92CC73">
      <w:pPr>
        <w:pStyle w:val="29"/>
        <w:spacing w:line="360" w:lineRule="auto"/>
        <w:rPr>
          <w:rFonts w:hint="eastAsia" w:ascii="宋体" w:hAnsi="宋体" w:eastAsia="宋体" w:cs="宋体"/>
          <w:sz w:val="21"/>
          <w:szCs w:val="28"/>
          <w:highlight w:val="none"/>
          <w:lang w:val="en-GB" w:eastAsia="zh-CN" w:bidi="ar-SA"/>
        </w:rPr>
      </w:pPr>
    </w:p>
    <w:p w14:paraId="75FF05FF">
      <w:pPr>
        <w:spacing w:line="360" w:lineRule="auto"/>
        <w:rPr>
          <w:rFonts w:hint="eastAsia" w:ascii="宋体" w:hAnsi="宋体" w:eastAsia="宋体" w:cs="宋体"/>
          <w:bCs/>
          <w:color w:val="auto"/>
          <w:sz w:val="28"/>
          <w:szCs w:val="28"/>
          <w:highlight w:val="none"/>
        </w:rPr>
      </w:pPr>
    </w:p>
    <w:p w14:paraId="691265C8">
      <w:pPr>
        <w:spacing w:line="360" w:lineRule="auto"/>
        <w:rPr>
          <w:rFonts w:hint="eastAsia" w:ascii="宋体" w:hAnsi="宋体" w:eastAsia="宋体" w:cs="宋体"/>
          <w:bCs/>
          <w:color w:val="auto"/>
          <w:sz w:val="28"/>
          <w:szCs w:val="28"/>
          <w:highlight w:val="none"/>
        </w:rPr>
      </w:pPr>
    </w:p>
    <w:p w14:paraId="55C94C69">
      <w:pPr>
        <w:spacing w:line="360" w:lineRule="auto"/>
        <w:rPr>
          <w:rFonts w:hint="eastAsia" w:ascii="宋体" w:hAnsi="宋体" w:eastAsia="宋体" w:cs="宋体"/>
          <w:bCs/>
          <w:color w:val="auto"/>
          <w:sz w:val="28"/>
          <w:szCs w:val="28"/>
          <w:highlight w:val="none"/>
        </w:rPr>
      </w:pPr>
    </w:p>
    <w:p w14:paraId="6064AA5C">
      <w:pPr>
        <w:rPr>
          <w:rFonts w:ascii="宋体"/>
          <w:bCs/>
          <w:color w:val="auto"/>
          <w:sz w:val="32"/>
          <w:highlight w:val="none"/>
        </w:rPr>
      </w:pPr>
    </w:p>
    <w:p w14:paraId="1F93EE1A">
      <w:pPr>
        <w:rPr>
          <w:rFonts w:ascii="宋体"/>
          <w:bCs/>
          <w:color w:val="auto"/>
          <w:sz w:val="32"/>
          <w:highlight w:val="none"/>
        </w:rPr>
      </w:pPr>
    </w:p>
    <w:p w14:paraId="3EA6D6C4">
      <w:pPr>
        <w:spacing w:line="360" w:lineRule="auto"/>
        <w:jc w:val="center"/>
        <w:outlineLvl w:val="0"/>
        <w:rPr>
          <w:rFonts w:ascii="黑体" w:eastAsia="黑体"/>
          <w:bCs/>
          <w:color w:val="auto"/>
          <w:sz w:val="28"/>
          <w:szCs w:val="28"/>
          <w:highlight w:val="none"/>
        </w:rPr>
      </w:pPr>
      <w:bookmarkStart w:id="0" w:name="报价方须知前附表"/>
      <w:bookmarkEnd w:id="0"/>
      <w:r>
        <w:rPr>
          <w:rFonts w:ascii="黑体" w:eastAsia="黑体"/>
          <w:bCs/>
          <w:color w:val="auto"/>
          <w:sz w:val="28"/>
          <w:szCs w:val="28"/>
          <w:highlight w:val="none"/>
        </w:rPr>
        <w:br w:type="page" w:clear="all"/>
      </w:r>
      <w:bookmarkStart w:id="1" w:name="_Toc22902"/>
      <w:r>
        <w:rPr>
          <w:rFonts w:hint="eastAsia" w:ascii="宋体" w:hAnsi="宋体" w:eastAsia="宋体" w:cs="宋体"/>
          <w:b/>
          <w:bCs/>
          <w:color w:val="auto"/>
          <w:sz w:val="40"/>
          <w:szCs w:val="40"/>
          <w:highlight w:val="none"/>
          <w:lang w:val="en-US" w:eastAsia="zh-CN"/>
        </w:rPr>
        <w:t xml:space="preserve">第一章 </w:t>
      </w:r>
      <w:r>
        <w:rPr>
          <w:rFonts w:hint="eastAsia" w:ascii="宋体" w:hAnsi="宋体" w:eastAsia="宋体" w:cs="宋体"/>
          <w:b/>
          <w:bCs/>
          <w:color w:val="auto"/>
          <w:sz w:val="40"/>
          <w:szCs w:val="40"/>
          <w:highlight w:val="none"/>
        </w:rPr>
        <w:t>投标邀请</w:t>
      </w:r>
      <w:bookmarkEnd w:id="1"/>
    </w:p>
    <w:p w14:paraId="7CAFC702">
      <w:pPr>
        <w:spacing w:line="276" w:lineRule="auto"/>
        <w:ind w:firstLine="480"/>
        <w:rPr>
          <w:rFonts w:hint="eastAsia"/>
          <w:color w:val="auto"/>
          <w:highlight w:val="none"/>
        </w:rPr>
      </w:pPr>
      <w:r>
        <w:rPr>
          <w:rFonts w:hint="eastAsia" w:ascii="宋体" w:hAnsi="宋体" w:cs="宋体"/>
          <w:color w:val="auto"/>
          <w:sz w:val="24"/>
          <w:szCs w:val="24"/>
          <w:highlight w:val="none"/>
          <w:lang w:eastAsia="zh-CN"/>
        </w:rPr>
        <w:t>北京中昌工程咨询有限公司</w:t>
      </w:r>
      <w:r>
        <w:rPr>
          <w:rFonts w:hint="eastAsia" w:ascii="宋体" w:hAnsi="宋体"/>
          <w:bCs/>
          <w:color w:val="auto"/>
          <w:sz w:val="24"/>
          <w:szCs w:val="24"/>
          <w:highlight w:val="none"/>
        </w:rPr>
        <w:t>受</w:t>
      </w:r>
      <w:r>
        <w:rPr>
          <w:rFonts w:hint="eastAsia" w:ascii="宋体" w:hAnsi="宋体"/>
          <w:bCs/>
          <w:color w:val="auto"/>
          <w:sz w:val="24"/>
          <w:szCs w:val="24"/>
          <w:highlight w:val="none"/>
          <w:lang w:eastAsia="zh-CN"/>
        </w:rPr>
        <w:t>无锡市滨湖区河埒街道办事处</w:t>
      </w:r>
      <w:r>
        <w:rPr>
          <w:rFonts w:hint="eastAsia" w:ascii="宋体" w:hAnsi="宋体"/>
          <w:bCs/>
          <w:color w:val="auto"/>
          <w:sz w:val="24"/>
          <w:szCs w:val="24"/>
          <w:highlight w:val="none"/>
        </w:rPr>
        <w:t>的委托，对</w:t>
      </w:r>
      <w:r>
        <w:rPr>
          <w:rFonts w:hint="eastAsia" w:ascii="宋体" w:hAnsi="宋体" w:cs="宋体"/>
          <w:color w:val="auto"/>
          <w:sz w:val="24"/>
          <w:szCs w:val="24"/>
          <w:highlight w:val="none"/>
          <w:lang w:eastAsia="zh-CN"/>
        </w:rPr>
        <w:t>吴大成浜、蒋巷浜等11条河道生态修复养护</w:t>
      </w:r>
      <w:r>
        <w:rPr>
          <w:rFonts w:hint="eastAsia" w:ascii="宋体" w:hAnsi="宋体"/>
          <w:bCs/>
          <w:color w:val="auto"/>
          <w:sz w:val="24"/>
          <w:szCs w:val="24"/>
          <w:highlight w:val="none"/>
        </w:rPr>
        <w:t>进行</w:t>
      </w:r>
      <w:r>
        <w:rPr>
          <w:rFonts w:hint="eastAsia" w:ascii="宋体" w:hAnsi="宋体"/>
          <w:bCs/>
          <w:color w:val="auto"/>
          <w:sz w:val="24"/>
          <w:szCs w:val="24"/>
          <w:highlight w:val="none"/>
          <w:lang w:val="en-US" w:eastAsia="zh-CN"/>
        </w:rPr>
        <w:t>公开招标采购</w:t>
      </w:r>
      <w:r>
        <w:rPr>
          <w:rFonts w:hint="eastAsia" w:ascii="宋体" w:hAnsi="宋体"/>
          <w:bCs/>
          <w:color w:val="auto"/>
          <w:sz w:val="24"/>
          <w:szCs w:val="24"/>
          <w:highlight w:val="none"/>
        </w:rPr>
        <w:t>，欢迎你单位参加</w:t>
      </w:r>
      <w:r>
        <w:rPr>
          <w:rFonts w:hint="eastAsia" w:ascii="宋体" w:hAnsi="宋体"/>
          <w:bCs/>
          <w:color w:val="auto"/>
          <w:sz w:val="24"/>
          <w:szCs w:val="24"/>
          <w:highlight w:val="none"/>
          <w:lang w:val="en-US" w:eastAsia="zh-CN"/>
        </w:rPr>
        <w:t>投标</w:t>
      </w:r>
      <w:r>
        <w:rPr>
          <w:rFonts w:hint="eastAsia" w:ascii="宋体" w:hAnsi="宋体"/>
          <w:bCs/>
          <w:color w:val="auto"/>
          <w:sz w:val="24"/>
          <w:szCs w:val="24"/>
          <w:highlight w:val="none"/>
        </w:rPr>
        <w:t>并提请注意下列附表中的相关事项：</w:t>
      </w:r>
    </w:p>
    <w:tbl>
      <w:tblPr>
        <w:tblStyle w:val="36"/>
        <w:tblW w:w="96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2"/>
        <w:gridCol w:w="8662"/>
      </w:tblGrid>
      <w:tr w14:paraId="06B6F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0" w:hRule="atLeast"/>
        </w:trPr>
        <w:tc>
          <w:tcPr>
            <w:tcW w:w="962" w:type="dxa"/>
            <w:noWrap w:val="0"/>
            <w:vAlign w:val="top"/>
          </w:tcPr>
          <w:p w14:paraId="315F3E0D">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序号</w:t>
            </w:r>
          </w:p>
        </w:tc>
        <w:tc>
          <w:tcPr>
            <w:tcW w:w="8662" w:type="dxa"/>
            <w:noWrap w:val="0"/>
            <w:vAlign w:val="top"/>
          </w:tcPr>
          <w:p w14:paraId="131935AA">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内    容</w:t>
            </w:r>
          </w:p>
        </w:tc>
      </w:tr>
      <w:tr w14:paraId="63F819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trPr>
        <w:tc>
          <w:tcPr>
            <w:tcW w:w="962" w:type="dxa"/>
            <w:noWrap w:val="0"/>
            <w:vAlign w:val="center"/>
          </w:tcPr>
          <w:p w14:paraId="470E8FDA">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p>
        </w:tc>
        <w:tc>
          <w:tcPr>
            <w:tcW w:w="8662" w:type="dxa"/>
            <w:noWrap w:val="0"/>
            <w:vAlign w:val="top"/>
          </w:tcPr>
          <w:p w14:paraId="72E7483C">
            <w:pPr>
              <w:spacing w:line="400" w:lineRule="exact"/>
              <w:jc w:val="lef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项目名称：</w:t>
            </w:r>
            <w:r>
              <w:rPr>
                <w:rFonts w:hint="eastAsia" w:ascii="宋体" w:hAnsi="宋体" w:cs="宋体"/>
                <w:bCs/>
                <w:color w:val="auto"/>
                <w:sz w:val="24"/>
                <w:szCs w:val="24"/>
                <w:highlight w:val="none"/>
                <w:lang w:val="en-US" w:eastAsia="zh-CN"/>
              </w:rPr>
              <w:t>吴大成浜、蒋巷浜等11条河道生态修复养护</w:t>
            </w:r>
          </w:p>
          <w:p w14:paraId="056002D8">
            <w:pPr>
              <w:spacing w:line="400" w:lineRule="exact"/>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政府采购编号：</w:t>
            </w:r>
            <w:r>
              <w:rPr>
                <w:rFonts w:hint="eastAsia" w:ascii="宋体" w:hAnsi="宋体" w:cs="宋体"/>
                <w:bCs/>
                <w:color w:val="auto"/>
                <w:sz w:val="24"/>
                <w:szCs w:val="24"/>
                <w:highlight w:val="none"/>
                <w:lang w:val="en-US" w:eastAsia="zh-CN"/>
              </w:rPr>
              <w:t xml:space="preserve">JSZC-320211-BJZC-G2026-0015 </w:t>
            </w:r>
          </w:p>
          <w:p w14:paraId="5215EDFE">
            <w:pPr>
              <w:spacing w:line="400" w:lineRule="exact"/>
              <w:jc w:val="lef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采购方式：公开招标</w:t>
            </w:r>
          </w:p>
          <w:p w14:paraId="395726A4">
            <w:pPr>
              <w:spacing w:line="400" w:lineRule="exact"/>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采购预算金额：</w:t>
            </w:r>
            <w:r>
              <w:rPr>
                <w:rFonts w:hint="eastAsia" w:ascii="宋体" w:hAnsi="宋体" w:cs="宋体"/>
                <w:bCs/>
                <w:color w:val="auto"/>
                <w:sz w:val="24"/>
                <w:szCs w:val="24"/>
                <w:highlight w:val="none"/>
                <w:lang w:val="en-US" w:eastAsia="zh-CN"/>
              </w:rPr>
              <w:t>220</w:t>
            </w:r>
            <w:r>
              <w:rPr>
                <w:rFonts w:hint="eastAsia" w:ascii="宋体" w:hAnsi="宋体" w:eastAsia="宋体" w:cs="宋体"/>
                <w:bCs/>
                <w:color w:val="auto"/>
                <w:sz w:val="24"/>
                <w:szCs w:val="24"/>
                <w:highlight w:val="none"/>
                <w:lang w:val="en-US" w:eastAsia="zh-CN"/>
              </w:rPr>
              <w:t>万元</w:t>
            </w:r>
          </w:p>
          <w:p w14:paraId="00C90C05">
            <w:pPr>
              <w:spacing w:line="400" w:lineRule="exact"/>
              <w:jc w:val="left"/>
              <w:rPr>
                <w:rFonts w:hint="default" w:eastAsia="宋体"/>
                <w:color w:val="auto"/>
                <w:highlight w:val="none"/>
                <w:lang w:val="en-US" w:eastAsia="zh-CN"/>
              </w:rPr>
            </w:pPr>
            <w:r>
              <w:rPr>
                <w:rFonts w:hint="eastAsia" w:ascii="宋体" w:hAnsi="宋体" w:cs="宋体"/>
                <w:bCs/>
                <w:color w:val="auto"/>
                <w:sz w:val="24"/>
                <w:szCs w:val="24"/>
                <w:highlight w:val="none"/>
                <w:lang w:val="en-US" w:eastAsia="zh-CN"/>
              </w:rPr>
              <w:t>最高</w:t>
            </w:r>
            <w:r>
              <w:rPr>
                <w:rFonts w:hint="eastAsia" w:ascii="宋体" w:hAnsi="宋体" w:eastAsia="宋体" w:cs="宋体"/>
                <w:bCs/>
                <w:color w:val="auto"/>
                <w:sz w:val="24"/>
                <w:szCs w:val="24"/>
                <w:highlight w:val="none"/>
                <w:lang w:val="en-US" w:eastAsia="zh-CN"/>
              </w:rPr>
              <w:t>限价：</w:t>
            </w:r>
            <w:r>
              <w:rPr>
                <w:rFonts w:hint="eastAsia" w:ascii="宋体" w:hAnsi="宋体" w:cs="宋体"/>
                <w:bCs/>
                <w:color w:val="auto"/>
                <w:sz w:val="24"/>
                <w:szCs w:val="24"/>
                <w:highlight w:val="none"/>
                <w:lang w:val="en-US" w:eastAsia="zh-CN"/>
              </w:rPr>
              <w:t>208.5759</w:t>
            </w:r>
            <w:r>
              <w:rPr>
                <w:rFonts w:hint="eastAsia" w:ascii="宋体" w:hAnsi="宋体" w:eastAsia="宋体" w:cs="宋体"/>
                <w:bCs/>
                <w:color w:val="auto"/>
                <w:sz w:val="24"/>
                <w:szCs w:val="24"/>
                <w:highlight w:val="none"/>
                <w:lang w:val="en-US" w:eastAsia="zh-CN"/>
              </w:rPr>
              <w:t>万元</w:t>
            </w:r>
          </w:p>
        </w:tc>
      </w:tr>
      <w:tr w14:paraId="60D5AC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62" w:type="dxa"/>
            <w:noWrap w:val="0"/>
            <w:vAlign w:val="center"/>
          </w:tcPr>
          <w:p w14:paraId="7E315340">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p>
        </w:tc>
        <w:tc>
          <w:tcPr>
            <w:tcW w:w="8662" w:type="dxa"/>
            <w:noWrap w:val="0"/>
            <w:vAlign w:val="top"/>
          </w:tcPr>
          <w:p w14:paraId="7AB435E9">
            <w:pPr>
              <w:spacing w:line="400" w:lineRule="exact"/>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招 标 人：</w:t>
            </w:r>
            <w:r>
              <w:rPr>
                <w:rFonts w:hint="eastAsia" w:ascii="宋体" w:hAnsi="宋体" w:cs="宋体"/>
                <w:bCs/>
                <w:color w:val="auto"/>
                <w:sz w:val="24"/>
                <w:szCs w:val="24"/>
                <w:highlight w:val="none"/>
                <w:lang w:val="en-US" w:eastAsia="zh-CN"/>
              </w:rPr>
              <w:t>无锡市滨湖区河埒街道办事处</w:t>
            </w:r>
          </w:p>
          <w:p w14:paraId="01F5983F">
            <w:pPr>
              <w:spacing w:line="400" w:lineRule="exact"/>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招标人地址：</w:t>
            </w:r>
            <w:r>
              <w:rPr>
                <w:rFonts w:hint="eastAsia" w:ascii="宋体" w:hAnsi="宋体" w:cs="宋体"/>
                <w:bCs/>
                <w:color w:val="auto"/>
                <w:sz w:val="24"/>
                <w:szCs w:val="24"/>
                <w:highlight w:val="none"/>
                <w:lang w:val="en-US" w:eastAsia="zh-CN"/>
              </w:rPr>
              <w:t>江苏省无锡市滨湖区梁溪路38号</w:t>
            </w:r>
          </w:p>
          <w:p w14:paraId="0E337558">
            <w:pPr>
              <w:spacing w:line="400" w:lineRule="exact"/>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招标代理机构：</w:t>
            </w:r>
            <w:r>
              <w:rPr>
                <w:rFonts w:hint="eastAsia" w:ascii="宋体" w:hAnsi="宋体" w:cs="宋体"/>
                <w:bCs/>
                <w:color w:val="auto"/>
                <w:sz w:val="24"/>
                <w:szCs w:val="24"/>
                <w:highlight w:val="none"/>
                <w:lang w:val="en-US" w:eastAsia="zh-CN"/>
              </w:rPr>
              <w:t>北京中昌工程咨询有限公司</w:t>
            </w:r>
          </w:p>
          <w:p w14:paraId="4595AE49">
            <w:pPr>
              <w:spacing w:line="400" w:lineRule="exact"/>
              <w:jc w:val="lef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代理机构地址：</w:t>
            </w:r>
            <w:r>
              <w:rPr>
                <w:rFonts w:hint="eastAsia" w:ascii="宋体" w:hAnsi="宋体" w:cs="宋体"/>
                <w:bCs/>
                <w:color w:val="auto"/>
                <w:sz w:val="24"/>
                <w:szCs w:val="24"/>
                <w:highlight w:val="none"/>
                <w:lang w:val="zh-CN" w:eastAsia="zh-CN"/>
              </w:rPr>
              <w:t>南湖大道501号扬名创智园H座3楼</w:t>
            </w:r>
          </w:p>
        </w:tc>
      </w:tr>
      <w:tr w14:paraId="01B16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62" w:type="dxa"/>
            <w:noWrap w:val="0"/>
            <w:vAlign w:val="center"/>
          </w:tcPr>
          <w:p w14:paraId="4356753A">
            <w:pPr>
              <w:widowControl/>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8662" w:type="dxa"/>
            <w:noWrap w:val="0"/>
            <w:vAlign w:val="top"/>
          </w:tcPr>
          <w:p w14:paraId="0058877A">
            <w:pPr>
              <w:spacing w:line="44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采</w:t>
            </w:r>
            <w:r>
              <w:rPr>
                <w:rFonts w:hint="eastAsia" w:ascii="宋体" w:hAnsi="宋体" w:eastAsia="宋体" w:cs="宋体"/>
                <w:b/>
                <w:bCs/>
                <w:color w:val="auto"/>
                <w:sz w:val="24"/>
                <w:szCs w:val="24"/>
                <w:highlight w:val="none"/>
                <w:lang w:val="zh-CN"/>
              </w:rPr>
              <w:t xml:space="preserve">购项目概况、要求： </w:t>
            </w:r>
          </w:p>
          <w:p w14:paraId="671DB849">
            <w:pPr>
              <w:spacing w:line="400" w:lineRule="exact"/>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1.项目概况：</w:t>
            </w:r>
            <w:bookmarkStart w:id="2" w:name="_Hlk75862779"/>
            <w:r>
              <w:rPr>
                <w:rFonts w:hint="eastAsia" w:ascii="宋体" w:hAnsi="宋体" w:cs="宋体"/>
                <w:bCs/>
                <w:sz w:val="24"/>
              </w:rPr>
              <w:t>拟对河埒街道辖区内吴大成浜、蒋巷浜、钱家桥浜、唐巷浜、庙东浜、北庄河、老乌浜、河埒浜、东新河、大成浜</w:t>
            </w:r>
            <w:r>
              <w:rPr>
                <w:rFonts w:hint="eastAsia" w:ascii="宋体" w:hAnsi="宋体" w:cs="宋体"/>
                <w:bCs/>
                <w:sz w:val="24"/>
                <w:lang w:eastAsia="zh-CN"/>
              </w:rPr>
              <w:t>、</w:t>
            </w:r>
            <w:r>
              <w:rPr>
                <w:rFonts w:hint="eastAsia" w:ascii="宋体" w:hAnsi="宋体" w:cs="宋体"/>
                <w:bCs/>
                <w:sz w:val="24"/>
                <w:lang w:val="en-US" w:eastAsia="zh-CN"/>
              </w:rPr>
              <w:t>华巷浜</w:t>
            </w:r>
            <w:r>
              <w:rPr>
                <w:rFonts w:hint="eastAsia" w:ascii="宋体" w:hAnsi="宋体" w:cs="宋体"/>
                <w:bCs/>
                <w:sz w:val="24"/>
              </w:rPr>
              <w:t>等1</w:t>
            </w:r>
            <w:r>
              <w:rPr>
                <w:rFonts w:hint="eastAsia" w:ascii="宋体" w:hAnsi="宋体" w:cs="宋体"/>
                <w:bCs/>
                <w:sz w:val="24"/>
                <w:lang w:val="en-US" w:eastAsia="zh-CN"/>
              </w:rPr>
              <w:t>1</w:t>
            </w:r>
            <w:r>
              <w:rPr>
                <w:rFonts w:hint="eastAsia" w:ascii="宋体" w:hAnsi="宋体" w:cs="宋体"/>
                <w:bCs/>
                <w:sz w:val="24"/>
              </w:rPr>
              <w:t>条河道现有水生态实施养护修复及突发性污染应急处置等，包含河道实施水面、岸脚、岸坡垃圾清理，设备养护、水质维护、河道日常巡查</w:t>
            </w:r>
            <w:r>
              <w:rPr>
                <w:rFonts w:hint="eastAsia" w:ascii="宋体" w:hAnsi="宋体" w:cs="宋体"/>
                <w:bCs/>
                <w:sz w:val="24"/>
                <w:highlight w:val="none"/>
                <w:lang w:eastAsia="zh-CN"/>
              </w:rPr>
              <w:t>、</w:t>
            </w:r>
            <w:r>
              <w:rPr>
                <w:rFonts w:hint="eastAsia" w:ascii="宋体" w:hAnsi="宋体" w:cs="宋体"/>
                <w:bCs/>
                <w:sz w:val="24"/>
                <w:highlight w:val="none"/>
                <w:lang w:val="en-US" w:eastAsia="zh-CN"/>
              </w:rPr>
              <w:t>蓝藻处置</w:t>
            </w:r>
            <w:r>
              <w:rPr>
                <w:rFonts w:hint="eastAsia" w:ascii="宋体" w:hAnsi="宋体" w:cs="宋体"/>
                <w:bCs/>
                <w:sz w:val="24"/>
              </w:rPr>
              <w:t>等工作，并使水体水质维</w:t>
            </w:r>
            <w:r>
              <w:rPr>
                <w:rFonts w:hint="eastAsia" w:ascii="宋体" w:hAnsi="宋体" w:eastAsia="宋体" w:cs="宋体"/>
                <w:bCs/>
                <w:color w:val="auto"/>
                <w:sz w:val="24"/>
                <w:szCs w:val="24"/>
                <w:highlight w:val="none"/>
                <w:lang w:val="en-US" w:eastAsia="zh-CN"/>
              </w:rPr>
              <w:t>持在地表Ⅲ类水标准。详见采购文件“第三部分采购需求说明”</w:t>
            </w:r>
            <w:bookmarkEnd w:id="2"/>
            <w:r>
              <w:rPr>
                <w:rFonts w:hint="eastAsia" w:ascii="宋体" w:hAnsi="宋体" w:eastAsia="宋体" w:cs="宋体"/>
                <w:bCs/>
                <w:color w:val="auto"/>
                <w:sz w:val="24"/>
                <w:szCs w:val="24"/>
                <w:highlight w:val="none"/>
                <w:lang w:val="en-US" w:eastAsia="zh-CN"/>
              </w:rPr>
              <w:t>；</w:t>
            </w:r>
          </w:p>
          <w:p w14:paraId="5359A03B">
            <w:pPr>
              <w:spacing w:line="400" w:lineRule="exact"/>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2.服务期：一年，具体日期以合同签订日期为准。</w:t>
            </w:r>
          </w:p>
          <w:p w14:paraId="4B9D4A08">
            <w:pPr>
              <w:spacing w:line="400" w:lineRule="exact"/>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3.服务标准：满足国家相关法律法规及国家标准、行业标准、地方标准，满足《地表水环境质量标准》</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GB3838-2002)Ⅲ类标准及采购人的要求。</w:t>
            </w:r>
          </w:p>
          <w:p w14:paraId="6E6C4C87">
            <w:pPr>
              <w:spacing w:line="400" w:lineRule="exact"/>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w:t>
            </w:r>
            <w:bookmarkStart w:id="3" w:name="_Hlk75862842"/>
            <w:r>
              <w:rPr>
                <w:rFonts w:hint="eastAsia" w:ascii="宋体" w:hAnsi="宋体" w:eastAsia="宋体" w:cs="宋体"/>
                <w:bCs/>
                <w:color w:val="auto"/>
                <w:sz w:val="24"/>
                <w:szCs w:val="24"/>
                <w:highlight w:val="none"/>
                <w:lang w:val="en-US" w:eastAsia="zh-CN"/>
              </w:rPr>
              <w:t>是否专门面向中小企业（含微型企业、残疾人福利单位、监狱型企业）</w:t>
            </w:r>
            <w:bookmarkEnd w:id="3"/>
            <w:r>
              <w:rPr>
                <w:rFonts w:hint="eastAsia" w:ascii="宋体" w:hAnsi="宋体" w:eastAsia="宋体" w:cs="宋体"/>
                <w:bCs/>
                <w:color w:val="auto"/>
                <w:sz w:val="24"/>
                <w:szCs w:val="24"/>
                <w:highlight w:val="none"/>
                <w:lang w:val="en-US" w:eastAsia="zh-CN"/>
              </w:rPr>
              <w:t>：是。</w:t>
            </w:r>
          </w:p>
          <w:p w14:paraId="166F9247">
            <w:pPr>
              <w:spacing w:line="400" w:lineRule="exact"/>
              <w:jc w:val="left"/>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lang w:val="en-US" w:eastAsia="zh-CN"/>
              </w:rPr>
              <w:t>5.本项目标的所属行业：其他未列明行业</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根据中小企业划型标准规定（工信部联企业〔2011〕300号）。从业人员300人以下的中小微型企业。其中，从业人员100人及以上的为中型企业；从业人员10人及以上的为小型企业；从业人员10人以下的为微型企业。</w:t>
            </w:r>
          </w:p>
        </w:tc>
      </w:tr>
      <w:tr w14:paraId="3ED88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0" w:hRule="atLeast"/>
        </w:trPr>
        <w:tc>
          <w:tcPr>
            <w:tcW w:w="962" w:type="dxa"/>
            <w:noWrap w:val="0"/>
            <w:vAlign w:val="center"/>
          </w:tcPr>
          <w:p w14:paraId="2916B5C8">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p>
        </w:tc>
        <w:tc>
          <w:tcPr>
            <w:tcW w:w="8662" w:type="dxa"/>
            <w:noWrap w:val="0"/>
            <w:vAlign w:val="top"/>
          </w:tcPr>
          <w:p w14:paraId="22014B1B">
            <w:pPr>
              <w:spacing w:line="44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rPr>
              <w:t>供应商</w:t>
            </w:r>
            <w:r>
              <w:rPr>
                <w:rFonts w:hint="eastAsia" w:ascii="宋体" w:hAnsi="宋体" w:eastAsia="宋体" w:cs="宋体"/>
                <w:b/>
                <w:bCs/>
                <w:color w:val="auto"/>
                <w:sz w:val="24"/>
                <w:szCs w:val="24"/>
                <w:highlight w:val="none"/>
                <w:lang w:val="en-US" w:eastAsia="zh-CN"/>
              </w:rPr>
              <w:t>的资格</w:t>
            </w:r>
            <w:r>
              <w:rPr>
                <w:rFonts w:hint="eastAsia" w:ascii="宋体" w:hAnsi="宋体" w:eastAsia="宋体" w:cs="宋体"/>
                <w:b/>
                <w:bCs/>
                <w:color w:val="auto"/>
                <w:sz w:val="24"/>
                <w:szCs w:val="24"/>
                <w:highlight w:val="none"/>
              </w:rPr>
              <w:t>条件：</w:t>
            </w:r>
          </w:p>
          <w:p w14:paraId="68D871AE">
            <w:pPr>
              <w:spacing w:line="400" w:lineRule="exact"/>
              <w:jc w:val="left"/>
              <w:rPr>
                <w:rFonts w:hint="eastAsia" w:ascii="宋体" w:hAnsi="宋体" w:eastAsia="宋体" w:cs="宋体"/>
                <w:bCs/>
                <w:color w:val="auto"/>
                <w:sz w:val="24"/>
                <w:szCs w:val="24"/>
                <w:highlight w:val="none"/>
                <w:lang w:val="en-US" w:eastAsia="zh-CN"/>
              </w:rPr>
            </w:pPr>
            <w:bookmarkStart w:id="4" w:name="_Hlk75862881"/>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US" w:eastAsia="zh-CN"/>
              </w:rPr>
              <w:t>.具备《中华人民共和国政府采购法》第二十二条规定的条件</w:t>
            </w:r>
            <w:bookmarkEnd w:id="4"/>
            <w:r>
              <w:rPr>
                <w:rFonts w:hint="eastAsia" w:ascii="宋体" w:hAnsi="宋体" w:cs="宋体"/>
                <w:bCs/>
                <w:color w:val="auto"/>
                <w:sz w:val="24"/>
                <w:szCs w:val="24"/>
                <w:highlight w:val="none"/>
                <w:lang w:val="en-US" w:eastAsia="zh-CN"/>
              </w:rPr>
              <w:t>：</w:t>
            </w:r>
          </w:p>
          <w:p w14:paraId="2EE2661F">
            <w:pPr>
              <w:spacing w:line="400" w:lineRule="exact"/>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（1）供应商应为中华人民共和国境内合法注册并具有独立承担民事责任能力的企（事）业单位、其他组织或自然人；</w:t>
            </w:r>
          </w:p>
          <w:p w14:paraId="04C67A0D">
            <w:pPr>
              <w:spacing w:line="400" w:lineRule="exact"/>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（2）供应商应具有良好的商业信誉和健全的财务会计制度；</w:t>
            </w:r>
          </w:p>
          <w:p w14:paraId="32D33CB1">
            <w:pPr>
              <w:spacing w:line="400" w:lineRule="exact"/>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（3）有依法缴纳税收和社会保障资金的良好记录；</w:t>
            </w:r>
          </w:p>
          <w:p w14:paraId="1216154D">
            <w:pPr>
              <w:spacing w:line="400" w:lineRule="exact"/>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（4）具备履行合同所必备的专业技术能力；</w:t>
            </w:r>
          </w:p>
          <w:p w14:paraId="0BCF48AC">
            <w:pPr>
              <w:spacing w:line="400" w:lineRule="exact"/>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（5）参加政府采购活动前三年内，在经营活动中没有重大违法记录；</w:t>
            </w:r>
          </w:p>
          <w:p w14:paraId="5DD47192">
            <w:pPr>
              <w:spacing w:line="400" w:lineRule="exact"/>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（6）法律、行政法规规定的其他条件</w:t>
            </w:r>
            <w:r>
              <w:rPr>
                <w:rFonts w:hint="eastAsia" w:ascii="宋体" w:hAnsi="宋体" w:cs="宋体"/>
                <w:bCs/>
                <w:color w:val="auto"/>
                <w:sz w:val="24"/>
                <w:szCs w:val="24"/>
                <w:highlight w:val="none"/>
                <w:lang w:val="en-US" w:eastAsia="zh-CN"/>
              </w:rPr>
              <w:t>。</w:t>
            </w:r>
          </w:p>
          <w:p w14:paraId="7BF32B69">
            <w:pPr>
              <w:spacing w:line="400" w:lineRule="exact"/>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w:t>
            </w:r>
            <w:bookmarkStart w:id="5" w:name="_Hlk75862889"/>
            <w:r>
              <w:rPr>
                <w:rFonts w:hint="eastAsia" w:ascii="宋体" w:hAnsi="宋体" w:eastAsia="宋体" w:cs="宋体"/>
                <w:bCs/>
                <w:color w:val="auto"/>
                <w:sz w:val="24"/>
                <w:szCs w:val="24"/>
                <w:highlight w:val="none"/>
                <w:lang w:val="en-US" w:eastAsia="zh-CN"/>
              </w:rPr>
              <w:t>落实政府采购政策需满足的资格要求：</w:t>
            </w:r>
            <w:bookmarkEnd w:id="5"/>
            <w:r>
              <w:rPr>
                <w:rFonts w:hint="eastAsia" w:ascii="宋体" w:hAnsi="宋体" w:eastAsia="宋体" w:cs="宋体"/>
                <w:bCs/>
                <w:color w:val="auto"/>
                <w:sz w:val="24"/>
                <w:szCs w:val="24"/>
                <w:highlight w:val="none"/>
                <w:lang w:val="en-US" w:eastAsia="zh-CN"/>
              </w:rPr>
              <w:t>本项目专门面向中小企业（含微型企业、残疾人福利单位、监狱型企业）；</w:t>
            </w:r>
          </w:p>
          <w:p w14:paraId="4807FE42">
            <w:pPr>
              <w:spacing w:line="400" w:lineRule="exact"/>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bookmarkStart w:id="6" w:name="_Hlk75862918"/>
            <w:r>
              <w:rPr>
                <w:rFonts w:hint="eastAsia" w:ascii="宋体" w:hAnsi="宋体" w:eastAsia="宋体" w:cs="宋体"/>
                <w:bCs/>
                <w:color w:val="auto"/>
                <w:sz w:val="24"/>
                <w:szCs w:val="24"/>
                <w:highlight w:val="none"/>
                <w:lang w:val="en-US" w:eastAsia="zh-CN"/>
              </w:rPr>
              <w:t>具备招标人根据本项目的特殊要求规定的以下特定条件</w:t>
            </w:r>
            <w:bookmarkEnd w:id="6"/>
            <w:r>
              <w:rPr>
                <w:rFonts w:hint="eastAsia" w:ascii="宋体" w:hAnsi="宋体" w:eastAsia="宋体" w:cs="宋体"/>
                <w:bCs/>
                <w:color w:val="auto"/>
                <w:sz w:val="24"/>
                <w:szCs w:val="24"/>
                <w:highlight w:val="none"/>
                <w:lang w:val="en-US" w:eastAsia="zh-CN"/>
              </w:rPr>
              <w:t>：</w:t>
            </w:r>
          </w:p>
          <w:p w14:paraId="0C799265">
            <w:pPr>
              <w:spacing w:line="400" w:lineRule="exact"/>
              <w:jc w:val="both"/>
              <w:rPr>
                <w:rFonts w:hint="eastAsia" w:ascii="宋体" w:hAnsi="宋体" w:eastAsia="宋体" w:cs="宋体"/>
                <w:bCs/>
                <w:color w:val="auto"/>
                <w:sz w:val="24"/>
                <w:szCs w:val="24"/>
                <w:highlight w:val="none"/>
                <w:lang w:val="zh-CN" w:eastAsia="zh-CN"/>
              </w:rPr>
            </w:pPr>
            <w:bookmarkStart w:id="7" w:name="_Hlk75862942"/>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zh-CN" w:eastAsia="zh-CN"/>
              </w:rPr>
              <w:t>）</w:t>
            </w:r>
            <w:bookmarkStart w:id="8" w:name="_Hlk75862898"/>
            <w:r>
              <w:rPr>
                <w:rFonts w:hint="eastAsia" w:ascii="宋体" w:hAnsi="宋体" w:eastAsia="宋体" w:cs="宋体"/>
                <w:bCs/>
                <w:color w:val="auto"/>
                <w:sz w:val="24"/>
                <w:szCs w:val="24"/>
                <w:highlight w:val="none"/>
                <w:lang w:val="en-US" w:eastAsia="zh-CN"/>
              </w:rPr>
              <w:t>未被“信用中国</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中国政府采购网”网站列入失信</w:t>
            </w:r>
            <w:r>
              <w:rPr>
                <w:rFonts w:hint="eastAsia" w:ascii="宋体" w:hAnsi="宋体" w:cs="宋体"/>
                <w:bCs/>
                <w:color w:val="auto"/>
                <w:sz w:val="24"/>
                <w:szCs w:val="24"/>
                <w:highlight w:val="none"/>
                <w:lang w:val="en-US" w:eastAsia="zh-CN"/>
              </w:rPr>
              <w:t>被</w:t>
            </w:r>
            <w:r>
              <w:rPr>
                <w:rFonts w:hint="eastAsia" w:ascii="宋体" w:hAnsi="宋体" w:eastAsia="宋体" w:cs="宋体"/>
                <w:bCs/>
                <w:color w:val="auto"/>
                <w:sz w:val="24"/>
                <w:szCs w:val="24"/>
                <w:highlight w:val="none"/>
                <w:lang w:val="en-US" w:eastAsia="zh-CN"/>
              </w:rPr>
              <w:t>执行人、重大税收违法案件当事人名单、政府采购严重违法失信行为记录名单</w:t>
            </w:r>
            <w:bookmarkEnd w:id="8"/>
            <w:r>
              <w:rPr>
                <w:rFonts w:hint="eastAsia" w:ascii="宋体" w:hAnsi="宋体" w:eastAsia="宋体" w:cs="宋体"/>
                <w:bCs/>
                <w:color w:val="auto"/>
                <w:sz w:val="24"/>
                <w:szCs w:val="24"/>
                <w:highlight w:val="none"/>
                <w:lang w:val="en-US" w:eastAsia="zh-CN"/>
              </w:rPr>
              <w:t>；</w:t>
            </w:r>
          </w:p>
          <w:p w14:paraId="0BB0E585">
            <w:pPr>
              <w:spacing w:line="400" w:lineRule="exact"/>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eastAsia="zh-CN"/>
              </w:rPr>
              <w:t>（</w:t>
            </w: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zh-CN" w:eastAsia="zh-CN"/>
              </w:rPr>
              <w:t>）</w:t>
            </w:r>
            <w:bookmarkEnd w:id="7"/>
            <w:r>
              <w:rPr>
                <w:rFonts w:hint="eastAsia" w:ascii="宋体" w:hAnsi="宋体" w:eastAsia="宋体" w:cs="宋体"/>
                <w:color w:val="auto"/>
                <w:sz w:val="24"/>
                <w:szCs w:val="24"/>
                <w:highlight w:val="none"/>
                <w:lang w:val="en-US" w:eastAsia="zh-CN"/>
              </w:rPr>
              <w:t>授权委托人必须为供应商企业在职职工，</w:t>
            </w:r>
            <w:r>
              <w:rPr>
                <w:rFonts w:hint="eastAsia" w:ascii="宋体" w:hAnsi="宋体" w:cs="宋体"/>
                <w:color w:val="auto"/>
                <w:sz w:val="24"/>
                <w:szCs w:val="24"/>
                <w:highlight w:val="none"/>
                <w:lang w:val="en-US" w:eastAsia="zh-CN"/>
              </w:rPr>
              <w:t>提供</w:t>
            </w:r>
            <w:r>
              <w:rPr>
                <w:rFonts w:hint="eastAsia" w:ascii="宋体" w:hAnsi="宋体" w:eastAsia="宋体" w:cs="宋体"/>
                <w:b w:val="0"/>
                <w:bCs w:val="0"/>
                <w:color w:val="auto"/>
                <w:sz w:val="24"/>
                <w:szCs w:val="24"/>
                <w:highlight w:val="none"/>
                <w:lang w:val="en-US" w:eastAsia="zh-CN"/>
              </w:rPr>
              <w:t>授权委托人与供应商企业签订的劳动合同和由社保机构出具本企业为其缴纳的</w:t>
            </w:r>
            <w:r>
              <w:rPr>
                <w:rFonts w:hint="eastAsia" w:ascii="宋体" w:hAnsi="宋体" w:cs="宋体"/>
                <w:b w:val="0"/>
                <w:bCs w:val="0"/>
                <w:color w:val="auto"/>
                <w:sz w:val="24"/>
                <w:szCs w:val="24"/>
                <w:highlight w:val="none"/>
                <w:lang w:val="en-US" w:eastAsia="zh-CN"/>
              </w:rPr>
              <w:t>近一年中</w:t>
            </w:r>
            <w:r>
              <w:rPr>
                <w:rFonts w:hint="eastAsia" w:ascii="宋体" w:hAnsi="宋体" w:eastAsia="宋体" w:cs="宋体"/>
                <w:b w:val="0"/>
                <w:bCs w:val="0"/>
                <w:color w:val="auto"/>
                <w:sz w:val="24"/>
                <w:szCs w:val="24"/>
                <w:highlight w:val="none"/>
                <w:lang w:val="en-US" w:eastAsia="zh-CN"/>
              </w:rPr>
              <w:t>任意一个月</w:t>
            </w:r>
            <w:r>
              <w:rPr>
                <w:rFonts w:hint="eastAsia" w:ascii="宋体" w:hAnsi="宋体" w:cs="宋体"/>
                <w:b w:val="0"/>
                <w:bCs w:val="0"/>
                <w:color w:val="auto"/>
                <w:sz w:val="24"/>
                <w:szCs w:val="24"/>
                <w:highlight w:val="none"/>
                <w:lang w:val="en-US" w:eastAsia="zh-CN"/>
              </w:rPr>
              <w:t>（不含开标当月）</w:t>
            </w:r>
            <w:r>
              <w:rPr>
                <w:rFonts w:hint="eastAsia" w:ascii="宋体" w:hAnsi="宋体" w:eastAsia="宋体" w:cs="宋体"/>
                <w:b w:val="0"/>
                <w:bCs w:val="0"/>
                <w:color w:val="auto"/>
                <w:sz w:val="24"/>
                <w:szCs w:val="24"/>
                <w:highlight w:val="none"/>
                <w:lang w:val="en-US" w:eastAsia="zh-CN"/>
              </w:rPr>
              <w:t>的缴费证明资料原件扫描件</w:t>
            </w:r>
            <w:r>
              <w:rPr>
                <w:rFonts w:hint="eastAsia" w:ascii="宋体" w:hAnsi="宋体" w:cs="宋体"/>
                <w:b w:val="0"/>
                <w:bCs w:val="0"/>
                <w:color w:val="auto"/>
                <w:sz w:val="24"/>
                <w:szCs w:val="24"/>
                <w:highlight w:val="none"/>
                <w:lang w:val="en-US" w:eastAsia="zh-CN"/>
              </w:rPr>
              <w:t>并加</w:t>
            </w:r>
            <w:r>
              <w:rPr>
                <w:rFonts w:hint="eastAsia" w:ascii="宋体" w:hAnsi="宋体" w:eastAsia="宋体" w:cs="宋体"/>
                <w:b w:val="0"/>
                <w:bCs w:val="0"/>
                <w:color w:val="auto"/>
                <w:sz w:val="24"/>
                <w:szCs w:val="24"/>
                <w:highlight w:val="none"/>
                <w:lang w:val="en-US" w:eastAsia="zh-CN"/>
              </w:rPr>
              <w:t>盖</w:t>
            </w:r>
            <w:r>
              <w:rPr>
                <w:rFonts w:hint="eastAsia" w:ascii="宋体" w:hAnsi="宋体" w:cs="宋体"/>
                <w:b w:val="0"/>
                <w:bCs w:val="0"/>
                <w:color w:val="auto"/>
                <w:sz w:val="24"/>
                <w:szCs w:val="24"/>
                <w:highlight w:val="none"/>
                <w:lang w:val="en-US" w:eastAsia="zh-CN"/>
              </w:rPr>
              <w:t>投标供应商</w:t>
            </w:r>
            <w:r>
              <w:rPr>
                <w:rFonts w:hint="eastAsia" w:ascii="宋体" w:hAnsi="宋体" w:eastAsia="宋体" w:cs="宋体"/>
                <w:b w:val="0"/>
                <w:bCs w:val="0"/>
                <w:color w:val="auto"/>
                <w:sz w:val="24"/>
                <w:szCs w:val="24"/>
                <w:highlight w:val="none"/>
                <w:lang w:val="en-US" w:eastAsia="zh-CN"/>
              </w:rPr>
              <w:t>电子公章（社保证明需带有县（区）级及以上社保部门电子签章或带二维码验证的扫描件，新成立公司除外、法定代表人亲自参加投标的除外）；</w:t>
            </w:r>
          </w:p>
          <w:p w14:paraId="34103628">
            <w:pPr>
              <w:spacing w:line="440" w:lineRule="exact"/>
              <w:rPr>
                <w:rFonts w:hint="eastAsia"/>
                <w:color w:val="auto"/>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w:t>
            </w:r>
            <w:bookmarkStart w:id="9" w:name="_Hlk75862962"/>
            <w:r>
              <w:rPr>
                <w:rFonts w:hint="eastAsia" w:ascii="宋体" w:hAnsi="宋体" w:cs="宋体"/>
                <w:color w:val="auto"/>
                <w:sz w:val="24"/>
                <w:szCs w:val="24"/>
                <w:highlight w:val="none"/>
                <w:lang w:val="en-US" w:eastAsia="zh-CN"/>
              </w:rPr>
              <w:t>本项目</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rPr>
              <w:t>接受联合体</w:t>
            </w:r>
            <w:bookmarkEnd w:id="9"/>
            <w:r>
              <w:rPr>
                <w:rFonts w:hint="eastAsia" w:ascii="宋体" w:hAnsi="宋体" w:cs="宋体"/>
                <w:color w:val="auto"/>
                <w:sz w:val="24"/>
                <w:szCs w:val="24"/>
                <w:highlight w:val="none"/>
                <w:lang w:eastAsia="zh-CN"/>
              </w:rPr>
              <w:t>投标</w:t>
            </w:r>
            <w:r>
              <w:rPr>
                <w:rFonts w:hint="eastAsia" w:ascii="宋体" w:hAnsi="宋体" w:eastAsia="宋体" w:cs="宋体"/>
                <w:color w:val="auto"/>
                <w:sz w:val="24"/>
                <w:szCs w:val="24"/>
                <w:highlight w:val="none"/>
              </w:rPr>
              <w:t>。</w:t>
            </w:r>
          </w:p>
          <w:p w14:paraId="0B66A95E">
            <w:pPr>
              <w:pStyle w:val="305"/>
              <w:ind w:left="0" w:firstLine="0"/>
              <w:rPr>
                <w:rFonts w:hint="eastAsia" w:ascii="宋体" w:hAnsi="宋体" w:eastAsia="宋体" w:cs="宋体"/>
                <w:b/>
                <w:bCs/>
                <w:i w:val="0"/>
                <w:iCs w:val="0"/>
                <w:color w:val="auto"/>
                <w:sz w:val="24"/>
                <w:szCs w:val="24"/>
                <w:highlight w:val="none"/>
                <w:u w:val="single"/>
              </w:rPr>
            </w:pPr>
            <w:r>
              <w:rPr>
                <w:rFonts w:hint="eastAsia" w:ascii="宋体" w:hAnsi="宋体" w:eastAsia="宋体" w:cs="宋体"/>
                <w:b/>
                <w:bCs/>
                <w:i w:val="0"/>
                <w:iCs w:val="0"/>
                <w:color w:val="auto"/>
                <w:sz w:val="24"/>
                <w:szCs w:val="24"/>
                <w:highlight w:val="none"/>
                <w:u w:val="single"/>
              </w:rPr>
              <w:t>注</w:t>
            </w:r>
            <w:r>
              <w:rPr>
                <w:rFonts w:hint="eastAsia" w:ascii="宋体" w:hAnsi="宋体" w:cs="宋体"/>
                <w:b/>
                <w:bCs/>
                <w:i w:val="0"/>
                <w:iCs w:val="0"/>
                <w:color w:val="auto"/>
                <w:sz w:val="24"/>
                <w:szCs w:val="24"/>
                <w:highlight w:val="none"/>
                <w:u w:val="single"/>
                <w:lang w:eastAsia="zh-CN"/>
              </w:rPr>
              <w:t>：</w:t>
            </w:r>
          </w:p>
          <w:p w14:paraId="7FF4A9C1">
            <w:pPr>
              <w:pStyle w:val="305"/>
              <w:rPr>
                <w:rFonts w:hint="eastAsia" w:ascii="宋体" w:hAnsi="宋体" w:eastAsia="宋体" w:cs="宋体"/>
                <w:b/>
                <w:bCs/>
                <w:i w:val="0"/>
                <w:iCs w:val="0"/>
                <w:color w:val="auto"/>
                <w:sz w:val="24"/>
                <w:szCs w:val="24"/>
                <w:highlight w:val="none"/>
                <w:u w:val="single"/>
              </w:rPr>
            </w:pPr>
            <w:r>
              <w:rPr>
                <w:rFonts w:hint="eastAsia" w:ascii="宋体" w:hAnsi="宋体" w:eastAsia="宋体" w:cs="宋体"/>
                <w:b/>
                <w:bCs/>
                <w:i w:val="0"/>
                <w:iCs w:val="0"/>
                <w:color w:val="auto"/>
                <w:sz w:val="24"/>
                <w:szCs w:val="24"/>
                <w:highlight w:val="none"/>
                <w:u w:val="single"/>
              </w:rPr>
              <w:t>单位负责人为同一人或者存在直接控股、管理关系的不同供应商，不得参加同一合同项下的政府采购活动，否则均作为无效投标处理。</w:t>
            </w:r>
          </w:p>
          <w:p w14:paraId="0C53C9EC">
            <w:pPr>
              <w:pStyle w:val="305"/>
              <w:rPr>
                <w:rFonts w:hint="eastAsia" w:ascii="宋体" w:hAnsi="宋体" w:eastAsia="宋体" w:cs="宋体"/>
                <w:b/>
                <w:bCs/>
                <w:i w:val="0"/>
                <w:iCs w:val="0"/>
                <w:color w:val="auto"/>
                <w:sz w:val="24"/>
                <w:szCs w:val="24"/>
                <w:highlight w:val="none"/>
                <w:u w:val="single"/>
              </w:rPr>
            </w:pPr>
            <w:r>
              <w:rPr>
                <w:rFonts w:hint="eastAsia" w:ascii="宋体" w:hAnsi="宋体" w:eastAsia="宋体" w:cs="宋体"/>
                <w:b/>
                <w:bCs/>
                <w:i w:val="0"/>
                <w:iCs w:val="0"/>
                <w:color w:val="auto"/>
                <w:sz w:val="24"/>
                <w:szCs w:val="24"/>
                <w:highlight w:val="none"/>
                <w:u w:val="single"/>
              </w:rPr>
              <w:t>按照《政府采购法实施条例释义》，法人的分支机构由于其不能独立承担民</w:t>
            </w:r>
            <w:r>
              <w:rPr>
                <w:rFonts w:hint="eastAsia" w:ascii="宋体" w:hAnsi="宋体" w:cs="宋体"/>
                <w:b/>
                <w:bCs/>
                <w:i w:val="0"/>
                <w:iCs w:val="0"/>
                <w:color w:val="auto"/>
                <w:sz w:val="24"/>
                <w:szCs w:val="24"/>
                <w:highlight w:val="none"/>
                <w:u w:val="single"/>
                <w:lang w:val="en-US" w:eastAsia="zh-CN"/>
              </w:rPr>
              <w:t>事</w:t>
            </w:r>
            <w:r>
              <w:rPr>
                <w:rFonts w:hint="eastAsia" w:ascii="宋体" w:hAnsi="宋体" w:eastAsia="宋体" w:cs="宋体"/>
                <w:b/>
                <w:bCs/>
                <w:i w:val="0"/>
                <w:iCs w:val="0"/>
                <w:color w:val="auto"/>
                <w:sz w:val="24"/>
                <w:szCs w:val="24"/>
                <w:highlight w:val="none"/>
                <w:u w:val="single"/>
              </w:rPr>
              <w:t>责任，不能以分支机构的身份参加政府采购，只能以法人身份参加。但银行、保险、石油石化、电力、电信等有行业特殊情况的，可</w:t>
            </w:r>
            <w:r>
              <w:rPr>
                <w:rFonts w:hint="eastAsia" w:ascii="宋体" w:hAnsi="宋体" w:cs="宋体"/>
                <w:b/>
                <w:bCs/>
                <w:i w:val="0"/>
                <w:iCs w:val="0"/>
                <w:color w:val="auto"/>
                <w:sz w:val="24"/>
                <w:szCs w:val="24"/>
                <w:highlight w:val="none"/>
                <w:u w:val="single"/>
                <w:lang w:eastAsia="zh-CN"/>
              </w:rPr>
              <w:t>以由</w:t>
            </w:r>
            <w:r>
              <w:rPr>
                <w:rFonts w:hint="eastAsia" w:ascii="宋体" w:hAnsi="宋体" w:eastAsia="宋体" w:cs="宋体"/>
                <w:b/>
                <w:bCs/>
                <w:i w:val="0"/>
                <w:iCs w:val="0"/>
                <w:color w:val="auto"/>
                <w:sz w:val="24"/>
                <w:szCs w:val="24"/>
                <w:highlight w:val="none"/>
                <w:u w:val="single"/>
              </w:rPr>
              <w:t>分支机构参加政府采购和签订合同。</w:t>
            </w:r>
          </w:p>
          <w:p w14:paraId="4F9CE228">
            <w:pPr>
              <w:pStyle w:val="305"/>
              <w:rPr>
                <w:rFonts w:hint="eastAsia" w:ascii="宋体" w:hAnsi="宋体" w:eastAsia="宋体" w:cs="宋体"/>
                <w:b/>
                <w:bCs/>
                <w:color w:val="auto"/>
                <w:sz w:val="24"/>
                <w:szCs w:val="24"/>
                <w:highlight w:val="none"/>
              </w:rPr>
            </w:pPr>
            <w:r>
              <w:rPr>
                <w:rFonts w:hint="eastAsia" w:ascii="宋体" w:hAnsi="宋体" w:eastAsia="宋体" w:cs="宋体"/>
                <w:b/>
                <w:bCs/>
                <w:i w:val="0"/>
                <w:iCs w:val="0"/>
                <w:color w:val="auto"/>
                <w:sz w:val="24"/>
                <w:szCs w:val="24"/>
                <w:highlight w:val="none"/>
                <w:u w:val="single"/>
                <w:lang w:val="zh-CN"/>
              </w:rPr>
              <w:t>条款中所称“重大违法记录”，是指供应商因违法经营受到刑事处罚或者责令停产停业、吊销许可证或者执照、较大数额罚款等行政处罚。</w:t>
            </w:r>
            <w:r>
              <w:rPr>
                <w:rFonts w:hint="eastAsia" w:ascii="宋体" w:hAnsi="宋体" w:cs="宋体"/>
                <w:b/>
                <w:bCs/>
                <w:i w:val="0"/>
                <w:iCs w:val="0"/>
                <w:color w:val="auto"/>
                <w:sz w:val="24"/>
                <w:szCs w:val="24"/>
                <w:highlight w:val="none"/>
                <w:u w:val="single"/>
                <w:lang w:val="zh-CN"/>
              </w:rPr>
              <w:t>（</w:t>
            </w:r>
            <w:r>
              <w:rPr>
                <w:rFonts w:hint="eastAsia" w:ascii="宋体" w:hAnsi="宋体" w:eastAsia="宋体" w:cs="宋体"/>
                <w:b/>
                <w:bCs/>
                <w:i w:val="0"/>
                <w:iCs w:val="0"/>
                <w:color w:val="auto"/>
                <w:sz w:val="24"/>
                <w:szCs w:val="24"/>
                <w:highlight w:val="none"/>
                <w:u w:val="single"/>
                <w:lang w:val="zh-CN"/>
              </w:rPr>
              <w:t>“较大数额罚款”的金额标准</w:t>
            </w:r>
            <w:r>
              <w:rPr>
                <w:rFonts w:hint="eastAsia" w:ascii="宋体" w:hAnsi="宋体" w:eastAsia="宋体" w:cs="宋体"/>
                <w:b/>
                <w:bCs/>
                <w:i w:val="0"/>
                <w:iCs w:val="0"/>
                <w:color w:val="auto"/>
                <w:sz w:val="24"/>
                <w:szCs w:val="24"/>
                <w:highlight w:val="none"/>
                <w:u w:val="single"/>
                <w:lang w:val="en-US" w:eastAsia="zh-CN"/>
              </w:rPr>
              <w:t>按照苏财购</w:t>
            </w:r>
            <w:r>
              <w:rPr>
                <w:rFonts w:hint="eastAsia" w:ascii="宋体" w:hAnsi="宋体" w:cs="宋体"/>
                <w:b/>
                <w:bCs/>
                <w:i w:val="0"/>
                <w:iCs w:val="0"/>
                <w:color w:val="auto"/>
                <w:sz w:val="24"/>
                <w:szCs w:val="24"/>
                <w:highlight w:val="none"/>
                <w:u w:val="single"/>
                <w:lang w:val="en-US" w:eastAsia="zh-CN"/>
              </w:rPr>
              <w:t>〔2022〕2号</w:t>
            </w:r>
            <w:r>
              <w:rPr>
                <w:rFonts w:hint="eastAsia" w:ascii="宋体" w:hAnsi="宋体" w:eastAsia="宋体" w:cs="宋体"/>
                <w:b/>
                <w:bCs/>
                <w:i w:val="0"/>
                <w:iCs w:val="0"/>
                <w:color w:val="auto"/>
                <w:sz w:val="24"/>
                <w:szCs w:val="24"/>
                <w:highlight w:val="none"/>
                <w:u w:val="single"/>
                <w:lang w:val="en-US" w:eastAsia="zh-CN"/>
              </w:rPr>
              <w:t>文“转发</w:t>
            </w:r>
            <w:r>
              <w:rPr>
                <w:rFonts w:hint="eastAsia" w:ascii="宋体" w:hAnsi="宋体" w:eastAsia="宋体" w:cs="宋体"/>
                <w:b/>
                <w:bCs/>
                <w:i w:val="0"/>
                <w:iCs w:val="0"/>
                <w:color w:val="auto"/>
                <w:sz w:val="24"/>
                <w:szCs w:val="24"/>
                <w:highlight w:val="none"/>
                <w:u w:val="single"/>
                <w:lang w:val="zh-CN"/>
              </w:rPr>
              <w:t>《财政部关于中华人民共和国政府采购法实施条例第十九条第一款“较大数额罚款”具体适用问题的意见》的通知</w:t>
            </w:r>
            <w:r>
              <w:rPr>
                <w:rFonts w:hint="eastAsia" w:ascii="宋体" w:hAnsi="宋体" w:eastAsia="宋体" w:cs="宋体"/>
                <w:b/>
                <w:bCs/>
                <w:i w:val="0"/>
                <w:iCs w:val="0"/>
                <w:color w:val="auto"/>
                <w:sz w:val="24"/>
                <w:szCs w:val="24"/>
                <w:highlight w:val="none"/>
                <w:u w:val="single"/>
                <w:lang w:val="en-US" w:eastAsia="zh-CN"/>
              </w:rPr>
              <w:t>”</w:t>
            </w:r>
            <w:r>
              <w:rPr>
                <w:rFonts w:hint="eastAsia" w:ascii="宋体" w:hAnsi="宋体" w:cs="宋体"/>
                <w:b/>
                <w:bCs/>
                <w:i w:val="0"/>
                <w:iCs w:val="0"/>
                <w:color w:val="auto"/>
                <w:sz w:val="24"/>
                <w:szCs w:val="24"/>
                <w:highlight w:val="none"/>
                <w:u w:val="single"/>
                <w:lang w:val="en-US" w:eastAsia="zh-CN"/>
              </w:rPr>
              <w:t>）</w:t>
            </w:r>
            <w:r>
              <w:rPr>
                <w:rFonts w:hint="eastAsia" w:ascii="宋体" w:hAnsi="宋体" w:eastAsia="宋体" w:cs="宋体"/>
                <w:b/>
                <w:bCs/>
                <w:i w:val="0"/>
                <w:iCs w:val="0"/>
                <w:color w:val="auto"/>
                <w:sz w:val="24"/>
                <w:szCs w:val="24"/>
                <w:highlight w:val="none"/>
                <w:u w:val="single"/>
              </w:rPr>
              <w:t>。</w:t>
            </w:r>
          </w:p>
        </w:tc>
      </w:tr>
      <w:tr w14:paraId="685B7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62" w:type="dxa"/>
            <w:noWrap w:val="0"/>
            <w:vAlign w:val="center"/>
          </w:tcPr>
          <w:p w14:paraId="41CC0BF1">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p>
        </w:tc>
        <w:tc>
          <w:tcPr>
            <w:tcW w:w="8662" w:type="dxa"/>
            <w:noWrap w:val="0"/>
            <w:vAlign w:val="top"/>
          </w:tcPr>
          <w:p w14:paraId="3D629934">
            <w:pPr>
              <w:widowControl/>
              <w:spacing w:line="440" w:lineRule="exact"/>
              <w:rPr>
                <w:rFonts w:hint="eastAsia" w:hAnsi="宋体" w:cs="宋体"/>
                <w:b/>
                <w:color w:val="auto"/>
                <w:sz w:val="24"/>
                <w:szCs w:val="24"/>
                <w:highlight w:val="none"/>
              </w:rPr>
            </w:pPr>
            <w:r>
              <w:rPr>
                <w:rFonts w:hint="eastAsia" w:hAnsi="宋体" w:cs="宋体"/>
                <w:b/>
                <w:color w:val="auto"/>
                <w:sz w:val="24"/>
                <w:szCs w:val="24"/>
                <w:highlight w:val="none"/>
                <w:lang w:val="en-US" w:eastAsia="zh-CN"/>
              </w:rPr>
              <w:t>招标</w:t>
            </w:r>
            <w:r>
              <w:rPr>
                <w:rFonts w:hint="eastAsia" w:hAnsi="宋体" w:cs="宋体"/>
                <w:b/>
                <w:color w:val="auto"/>
                <w:sz w:val="24"/>
                <w:szCs w:val="24"/>
                <w:highlight w:val="none"/>
              </w:rPr>
              <w:t>文件获取信息</w:t>
            </w:r>
          </w:p>
          <w:p w14:paraId="112BA2F5">
            <w:pPr>
              <w:spacing w:line="400" w:lineRule="exact"/>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1.招标文件提供期限：自公告发布之日起5个工作日（有效获取期内的）每天00:00至12:00，12:00至23:59（北京时间，法定节假日除外），之后仍可下载招标文件，但不作为供应商权益受到损害的证明材料和依据。</w:t>
            </w:r>
          </w:p>
          <w:p w14:paraId="1E729714">
            <w:pPr>
              <w:spacing w:line="400" w:lineRule="exact"/>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2.招标文件提供地点：“无锡政府采购网</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江苏省政府采购云平台”</w:t>
            </w:r>
            <w:r>
              <w:rPr>
                <w:rFonts w:hint="eastAsia" w:ascii="宋体" w:hAnsi="宋体" w:cs="宋体"/>
                <w:bCs/>
                <w:color w:val="auto"/>
                <w:sz w:val="24"/>
                <w:szCs w:val="24"/>
                <w:highlight w:val="none"/>
                <w:lang w:val="en-US" w:eastAsia="zh-CN"/>
              </w:rPr>
              <w:t>或“江苏政府采购网--苏采云”</w:t>
            </w:r>
            <w:r>
              <w:rPr>
                <w:rFonts w:hint="eastAsia" w:ascii="宋体" w:hAnsi="宋体" w:eastAsia="宋体" w:cs="宋体"/>
                <w:bCs/>
                <w:color w:val="auto"/>
                <w:sz w:val="24"/>
                <w:szCs w:val="24"/>
                <w:highlight w:val="none"/>
                <w:lang w:val="en-US" w:eastAsia="zh-CN"/>
              </w:rPr>
              <w:t>或“政府采购客户端（苏采云）”</w:t>
            </w:r>
            <w:r>
              <w:rPr>
                <w:rFonts w:hint="eastAsia" w:ascii="宋体" w:hAnsi="宋体" w:cs="宋体"/>
                <w:bCs/>
                <w:color w:val="auto"/>
                <w:sz w:val="24"/>
                <w:szCs w:val="24"/>
                <w:highlight w:val="none"/>
                <w:lang w:val="en-US" w:eastAsia="zh-CN"/>
              </w:rPr>
              <w:t>。</w:t>
            </w:r>
          </w:p>
          <w:p w14:paraId="113B3061">
            <w:pPr>
              <w:spacing w:line="400" w:lineRule="exact"/>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获取方式：请有投标意向的供应商在招标文件有效获取期内及时至“江苏省政府采购（苏采云）平台”获取。在招标文件有效获取期限内，从“江苏省政府采购（苏采云）平台”获取的招标文件，视为依法获取的招标文件。</w:t>
            </w:r>
          </w:p>
        </w:tc>
      </w:tr>
      <w:tr w14:paraId="5B47D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62" w:type="dxa"/>
            <w:noWrap w:val="0"/>
            <w:vAlign w:val="center"/>
          </w:tcPr>
          <w:p w14:paraId="0188240C">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w:t>
            </w:r>
          </w:p>
        </w:tc>
        <w:tc>
          <w:tcPr>
            <w:tcW w:w="8662" w:type="dxa"/>
            <w:noWrap w:val="0"/>
            <w:vAlign w:val="top"/>
          </w:tcPr>
          <w:p w14:paraId="2671A5A8">
            <w:pPr>
              <w:widowControl/>
              <w:spacing w:line="440" w:lineRule="exact"/>
              <w:rPr>
                <w:rFonts w:hint="eastAsia" w:hAnsi="宋体" w:eastAsia="宋体" w:cs="宋体"/>
                <w:bCs/>
                <w:color w:val="auto"/>
                <w:sz w:val="24"/>
                <w:szCs w:val="24"/>
                <w:highlight w:val="none"/>
                <w:lang w:eastAsia="zh-CN"/>
              </w:rPr>
            </w:pPr>
            <w:r>
              <w:rPr>
                <w:rFonts w:hint="eastAsia" w:ascii="宋体" w:hAnsi="宋体" w:cs="宋体"/>
                <w:b/>
                <w:color w:val="auto"/>
                <w:sz w:val="24"/>
                <w:highlight w:val="none"/>
              </w:rPr>
              <w:t>现场</w:t>
            </w:r>
            <w:r>
              <w:rPr>
                <w:rFonts w:hint="eastAsia" w:ascii="宋体" w:hAnsi="宋体" w:cs="宋体"/>
                <w:b/>
                <w:color w:val="auto"/>
                <w:sz w:val="24"/>
                <w:highlight w:val="none"/>
                <w:lang w:val="en-US" w:eastAsia="zh-CN"/>
              </w:rPr>
              <w:t>踏勘</w:t>
            </w:r>
            <w:r>
              <w:rPr>
                <w:rFonts w:hint="eastAsia" w:ascii="宋体" w:hAnsi="宋体" w:cs="宋体"/>
                <w:b/>
                <w:color w:val="auto"/>
                <w:sz w:val="24"/>
                <w:highlight w:val="none"/>
              </w:rPr>
              <w:t>时间、地点</w:t>
            </w:r>
            <w:r>
              <w:rPr>
                <w:rFonts w:hint="eastAsia" w:ascii="宋体" w:hAnsi="宋体" w:cs="宋体"/>
                <w:b/>
                <w:color w:val="auto"/>
                <w:sz w:val="24"/>
                <w:highlight w:val="none"/>
                <w:lang w:eastAsia="zh-CN"/>
              </w:rPr>
              <w:t>：</w:t>
            </w:r>
          </w:p>
          <w:p w14:paraId="485335EE">
            <w:pPr>
              <w:spacing w:line="400" w:lineRule="exact"/>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踏勘现场：由投标供应商自行组织踏勘现场。</w:t>
            </w:r>
          </w:p>
          <w:p w14:paraId="659F125F">
            <w:pPr>
              <w:spacing w:line="400" w:lineRule="exact"/>
              <w:jc w:val="both"/>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未踏勘现场或踏勘工作不详细的供应商中标（成交）后，不得以不完全了解现场情况为理由而向招标人提出任何索赔或其他要求，对此招标人不承担任何责任并将不作任何答复。</w:t>
            </w:r>
          </w:p>
        </w:tc>
      </w:tr>
      <w:tr w14:paraId="3B02F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62" w:type="dxa"/>
            <w:noWrap w:val="0"/>
            <w:vAlign w:val="center"/>
          </w:tcPr>
          <w:p w14:paraId="05C7A4E0">
            <w:pPr>
              <w:spacing w:line="400" w:lineRule="exact"/>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w:t>
            </w:r>
          </w:p>
        </w:tc>
        <w:tc>
          <w:tcPr>
            <w:tcW w:w="8662" w:type="dxa"/>
            <w:noWrap w:val="0"/>
            <w:vAlign w:val="top"/>
          </w:tcPr>
          <w:p w14:paraId="5F42988E">
            <w:pPr>
              <w:widowControl/>
              <w:spacing w:line="440" w:lineRule="exact"/>
              <w:rPr>
                <w:rFonts w:hint="eastAsia" w:hAnsi="宋体" w:eastAsia="宋体" w:cs="宋体"/>
                <w:bCs/>
                <w:color w:val="auto"/>
                <w:sz w:val="24"/>
                <w:szCs w:val="24"/>
                <w:highlight w:val="none"/>
                <w:lang w:eastAsia="zh-CN"/>
              </w:rPr>
            </w:pPr>
            <w:r>
              <w:rPr>
                <w:rFonts w:hint="eastAsia" w:ascii="宋体" w:hAnsi="宋体" w:cs="宋体"/>
                <w:b/>
                <w:color w:val="auto"/>
                <w:sz w:val="24"/>
                <w:highlight w:val="none"/>
                <w:lang w:val="en-US" w:eastAsia="zh-CN"/>
              </w:rPr>
              <w:t>招标</w:t>
            </w:r>
            <w:r>
              <w:rPr>
                <w:rFonts w:hint="eastAsia" w:ascii="宋体" w:hAnsi="宋体" w:cs="宋体"/>
                <w:b/>
                <w:color w:val="auto"/>
                <w:sz w:val="24"/>
                <w:highlight w:val="none"/>
              </w:rPr>
              <w:t>文件的答疑时间、</w:t>
            </w:r>
            <w:r>
              <w:rPr>
                <w:rFonts w:hint="eastAsia" w:ascii="宋体" w:hAnsi="宋体" w:cs="宋体"/>
                <w:b/>
                <w:color w:val="auto"/>
                <w:sz w:val="24"/>
                <w:highlight w:val="none"/>
                <w:lang w:val="en-US" w:eastAsia="zh-CN"/>
              </w:rPr>
              <w:t>方式：</w:t>
            </w:r>
          </w:p>
          <w:p w14:paraId="734B430C">
            <w:pPr>
              <w:spacing w:line="400" w:lineRule="exact"/>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提疑截止时间：202</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年</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en-US" w:eastAsia="zh-CN"/>
              </w:rPr>
              <w:t>月</w:t>
            </w:r>
            <w:r>
              <w:rPr>
                <w:rFonts w:hint="eastAsia" w:ascii="宋体" w:hAnsi="宋体" w:cs="宋体"/>
                <w:bCs/>
                <w:color w:val="auto"/>
                <w:sz w:val="24"/>
                <w:szCs w:val="24"/>
                <w:highlight w:val="none"/>
                <w:lang w:val="en-US" w:eastAsia="zh-CN"/>
              </w:rPr>
              <w:t>20</w:t>
            </w:r>
            <w:r>
              <w:rPr>
                <w:rFonts w:hint="eastAsia" w:ascii="宋体" w:hAnsi="宋体" w:eastAsia="宋体" w:cs="宋体"/>
                <w:bCs/>
                <w:color w:val="auto"/>
                <w:sz w:val="24"/>
                <w:szCs w:val="24"/>
                <w:highlight w:val="none"/>
                <w:lang w:val="en-US" w:eastAsia="zh-CN"/>
              </w:rPr>
              <w:t>日10时，以书面传真形式和电子邮件形式发送给采购代理机构。（邮箱</w:t>
            </w:r>
            <w:r>
              <w:rPr>
                <w:rFonts w:hint="eastAsia" w:ascii="宋体" w:hAnsi="宋体" w:cs="宋体"/>
                <w:bCs/>
                <w:color w:val="auto"/>
                <w:sz w:val="24"/>
                <w:szCs w:val="24"/>
                <w:highlight w:val="none"/>
                <w:lang w:val="en-US" w:eastAsia="zh-CN"/>
              </w:rPr>
              <w:t>1797585572@qq.com</w:t>
            </w:r>
            <w:r>
              <w:rPr>
                <w:rFonts w:hint="eastAsia" w:ascii="宋体" w:hAnsi="宋体" w:eastAsia="宋体" w:cs="宋体"/>
                <w:bCs/>
                <w:color w:val="auto"/>
                <w:sz w:val="24"/>
                <w:szCs w:val="24"/>
                <w:highlight w:val="none"/>
                <w:lang w:val="en-US" w:eastAsia="zh-CN"/>
              </w:rPr>
              <w:t>）</w:t>
            </w:r>
          </w:p>
          <w:p w14:paraId="3BC9F909">
            <w:pPr>
              <w:spacing w:line="400" w:lineRule="exact"/>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答疑时间：202</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年</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en-US" w:eastAsia="zh-CN"/>
              </w:rPr>
              <w:t>月</w:t>
            </w:r>
            <w:r>
              <w:rPr>
                <w:rFonts w:hint="eastAsia" w:ascii="宋体" w:hAnsi="宋体" w:cs="宋体"/>
                <w:bCs/>
                <w:color w:val="auto"/>
                <w:sz w:val="24"/>
                <w:szCs w:val="24"/>
                <w:highlight w:val="none"/>
                <w:lang w:val="en-US" w:eastAsia="zh-CN"/>
              </w:rPr>
              <w:t>20</w:t>
            </w:r>
            <w:r>
              <w:rPr>
                <w:rFonts w:hint="eastAsia" w:ascii="宋体" w:hAnsi="宋体" w:eastAsia="宋体" w:cs="宋体"/>
                <w:bCs/>
                <w:color w:val="auto"/>
                <w:sz w:val="24"/>
                <w:szCs w:val="24"/>
                <w:highlight w:val="none"/>
                <w:lang w:val="en-US" w:eastAsia="zh-CN"/>
              </w:rPr>
              <w:t>日17时前，以书面（或电子稿）形式发送给各报名投标供应商。</w:t>
            </w:r>
          </w:p>
        </w:tc>
      </w:tr>
      <w:tr w14:paraId="166CC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62" w:type="dxa"/>
            <w:noWrap w:val="0"/>
            <w:vAlign w:val="center"/>
          </w:tcPr>
          <w:p w14:paraId="13FF23EE">
            <w:pPr>
              <w:spacing w:line="400" w:lineRule="exact"/>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8</w:t>
            </w:r>
          </w:p>
        </w:tc>
        <w:tc>
          <w:tcPr>
            <w:tcW w:w="8662" w:type="dxa"/>
            <w:noWrap w:val="0"/>
            <w:vAlign w:val="top"/>
          </w:tcPr>
          <w:p w14:paraId="535A83FE">
            <w:pPr>
              <w:spacing w:line="400" w:lineRule="exact"/>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有效期：</w:t>
            </w:r>
            <w:r>
              <w:rPr>
                <w:rFonts w:hint="eastAsia" w:ascii="宋体" w:hAnsi="宋体" w:cs="宋体"/>
                <w:bCs/>
                <w:color w:val="auto"/>
                <w:sz w:val="24"/>
                <w:szCs w:val="24"/>
                <w:highlight w:val="none"/>
                <w:lang w:val="en-US" w:eastAsia="zh-CN"/>
              </w:rPr>
              <w:t>投标报价</w:t>
            </w:r>
            <w:r>
              <w:rPr>
                <w:rFonts w:hint="eastAsia" w:ascii="宋体" w:hAnsi="宋体" w:eastAsia="宋体" w:cs="宋体"/>
                <w:bCs/>
                <w:color w:val="auto"/>
                <w:sz w:val="24"/>
                <w:szCs w:val="24"/>
                <w:highlight w:val="none"/>
              </w:rPr>
              <w:t>截止之日起90天</w:t>
            </w:r>
            <w:r>
              <w:rPr>
                <w:rFonts w:hint="eastAsia" w:ascii="宋体" w:hAnsi="宋体" w:cs="宋体"/>
                <w:bCs/>
                <w:color w:val="auto"/>
                <w:sz w:val="24"/>
                <w:szCs w:val="24"/>
                <w:highlight w:val="none"/>
                <w:lang w:val="en-US" w:eastAsia="zh-CN"/>
              </w:rPr>
              <w:t>。</w:t>
            </w:r>
          </w:p>
        </w:tc>
      </w:tr>
      <w:tr w14:paraId="34FBA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62" w:type="dxa"/>
            <w:noWrap w:val="0"/>
            <w:vAlign w:val="center"/>
          </w:tcPr>
          <w:p w14:paraId="3B0F36D6">
            <w:pPr>
              <w:widowControl/>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w:t>
            </w:r>
          </w:p>
        </w:tc>
        <w:tc>
          <w:tcPr>
            <w:tcW w:w="8662" w:type="dxa"/>
            <w:noWrap w:val="0"/>
            <w:vAlign w:val="top"/>
          </w:tcPr>
          <w:p w14:paraId="100FA13F">
            <w:pPr>
              <w:widowControl/>
              <w:spacing w:line="400" w:lineRule="exact"/>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投标</w:t>
            </w:r>
            <w:r>
              <w:rPr>
                <w:rFonts w:hint="eastAsia" w:ascii="宋体" w:hAnsi="宋体" w:cs="宋体"/>
                <w:b/>
                <w:color w:val="auto"/>
                <w:sz w:val="24"/>
                <w:highlight w:val="none"/>
              </w:rPr>
              <w:t>文件的截止时间</w:t>
            </w:r>
            <w:r>
              <w:rPr>
                <w:rFonts w:hint="eastAsia" w:ascii="宋体" w:hAnsi="宋体" w:cs="宋体"/>
                <w:b/>
                <w:color w:val="auto"/>
                <w:sz w:val="24"/>
                <w:highlight w:val="none"/>
                <w:lang w:eastAsia="zh-CN"/>
              </w:rPr>
              <w:t>、</w:t>
            </w:r>
            <w:r>
              <w:rPr>
                <w:rFonts w:hint="eastAsia" w:ascii="宋体" w:hAnsi="宋体" w:cs="宋体"/>
                <w:b/>
                <w:color w:val="auto"/>
                <w:sz w:val="24"/>
                <w:highlight w:val="none"/>
                <w:lang w:val="en-US" w:eastAsia="zh-CN"/>
              </w:rPr>
              <w:t>提交方式和地点</w:t>
            </w:r>
          </w:p>
          <w:p w14:paraId="190A7473">
            <w:pPr>
              <w:spacing w:line="400" w:lineRule="exact"/>
              <w:jc w:val="both"/>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投标</w:t>
            </w:r>
            <w:r>
              <w:rPr>
                <w:rFonts w:hint="eastAsia" w:ascii="宋体" w:hAnsi="宋体" w:cs="宋体"/>
                <w:bCs/>
                <w:color w:val="auto"/>
                <w:sz w:val="24"/>
                <w:szCs w:val="24"/>
                <w:highlight w:val="none"/>
                <w:lang w:val="en-US" w:eastAsia="zh-CN"/>
              </w:rPr>
              <w:t>文件接收</w:t>
            </w:r>
            <w:r>
              <w:rPr>
                <w:rFonts w:hint="eastAsia" w:ascii="宋体" w:hAnsi="宋体" w:eastAsia="宋体" w:cs="宋体"/>
                <w:bCs/>
                <w:color w:val="auto"/>
                <w:sz w:val="24"/>
                <w:szCs w:val="24"/>
                <w:highlight w:val="none"/>
                <w:lang w:val="zh-CN" w:eastAsia="zh-CN"/>
              </w:rPr>
              <w:t>截止时间</w:t>
            </w:r>
            <w:r>
              <w:rPr>
                <w:rFonts w:hint="eastAsia" w:ascii="宋体" w:hAnsi="宋体" w:eastAsia="宋体" w:cs="宋体"/>
                <w:bCs/>
                <w:color w:val="auto"/>
                <w:sz w:val="24"/>
                <w:szCs w:val="24"/>
                <w:highlight w:val="none"/>
                <w:lang w:val="en-US" w:eastAsia="zh-CN"/>
              </w:rPr>
              <w:t>（网上投标截止时间）202</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年</w:t>
            </w:r>
            <w:r>
              <w:rPr>
                <w:rFonts w:hint="eastAsia" w:ascii="宋体" w:hAnsi="宋体" w:cs="宋体"/>
                <w:bCs/>
                <w:color w:val="auto"/>
                <w:sz w:val="24"/>
                <w:szCs w:val="24"/>
                <w:highlight w:val="none"/>
                <w:lang w:val="en-US" w:eastAsia="zh-CN"/>
              </w:rPr>
              <w:t>10</w:t>
            </w:r>
            <w:r>
              <w:rPr>
                <w:rFonts w:hint="eastAsia" w:ascii="宋体" w:hAnsi="宋体" w:eastAsia="宋体" w:cs="宋体"/>
                <w:bCs/>
                <w:color w:val="auto"/>
                <w:sz w:val="24"/>
                <w:szCs w:val="24"/>
                <w:highlight w:val="none"/>
                <w:lang w:val="en-US" w:eastAsia="zh-CN"/>
              </w:rPr>
              <w:t>月</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en-US" w:eastAsia="zh-CN"/>
              </w:rPr>
              <w:t>日</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0</w:t>
            </w:r>
            <w:r>
              <w:rPr>
                <w:rFonts w:hint="eastAsia" w:ascii="宋体" w:hAnsi="宋体" w:eastAsia="宋体" w:cs="宋体"/>
                <w:bCs/>
                <w:color w:val="auto"/>
                <w:sz w:val="24"/>
                <w:szCs w:val="24"/>
                <w:highlight w:val="none"/>
                <w:lang w:val="zh-CN" w:eastAsia="zh-CN"/>
              </w:rPr>
              <w:t>止</w:t>
            </w:r>
            <w:r>
              <w:rPr>
                <w:rFonts w:hint="eastAsia" w:ascii="宋体" w:hAnsi="宋体" w:eastAsia="宋体" w:cs="宋体"/>
                <w:bCs/>
                <w:color w:val="auto"/>
                <w:sz w:val="24"/>
                <w:szCs w:val="24"/>
                <w:highlight w:val="none"/>
                <w:lang w:val="en-US" w:eastAsia="zh-CN"/>
              </w:rPr>
              <w:t>，截止期后的投标文件恕不接受。</w:t>
            </w:r>
          </w:p>
          <w:p w14:paraId="35EDA115">
            <w:pPr>
              <w:spacing w:line="400" w:lineRule="exact"/>
              <w:jc w:val="both"/>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lang w:val="en-US" w:eastAsia="zh-CN"/>
              </w:rPr>
              <w:t>投标文件的提交方式和地点：供应商通过苏采云平台提交数据电文形式的投标文件。</w:t>
            </w:r>
          </w:p>
        </w:tc>
      </w:tr>
      <w:tr w14:paraId="336C3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62" w:type="dxa"/>
            <w:noWrap w:val="0"/>
            <w:vAlign w:val="center"/>
          </w:tcPr>
          <w:p w14:paraId="25505837">
            <w:pPr>
              <w:spacing w:line="400" w:lineRule="exact"/>
              <w:jc w:val="center"/>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w:t>
            </w:r>
          </w:p>
        </w:tc>
        <w:tc>
          <w:tcPr>
            <w:tcW w:w="8662" w:type="dxa"/>
            <w:noWrap w:val="0"/>
            <w:vAlign w:val="top"/>
          </w:tcPr>
          <w:p w14:paraId="3E32684C">
            <w:pPr>
              <w:widowControl/>
              <w:spacing w:line="400" w:lineRule="exact"/>
              <w:rPr>
                <w:rFonts w:hint="eastAsia" w:ascii="宋体" w:hAnsi="宋体" w:eastAsia="宋体" w:cs="宋体"/>
                <w:color w:val="auto"/>
                <w:sz w:val="24"/>
                <w:szCs w:val="24"/>
                <w:highlight w:val="none"/>
              </w:rPr>
            </w:pPr>
            <w:r>
              <w:rPr>
                <w:rFonts w:hint="eastAsia" w:ascii="宋体" w:hAnsi="宋体" w:cs="宋体"/>
                <w:b/>
                <w:color w:val="auto"/>
                <w:sz w:val="24"/>
                <w:highlight w:val="none"/>
                <w:lang w:val="en-US" w:eastAsia="zh-CN"/>
              </w:rPr>
              <w:t>投标</w:t>
            </w:r>
            <w:r>
              <w:rPr>
                <w:rFonts w:hint="eastAsia" w:ascii="宋体" w:hAnsi="宋体" w:cs="宋体"/>
                <w:b/>
                <w:color w:val="auto"/>
                <w:sz w:val="24"/>
                <w:highlight w:val="none"/>
              </w:rPr>
              <w:t>文件的</w:t>
            </w:r>
            <w:r>
              <w:rPr>
                <w:rFonts w:hint="eastAsia" w:ascii="宋体" w:hAnsi="宋体" w:cs="宋体"/>
                <w:b/>
                <w:color w:val="auto"/>
                <w:sz w:val="24"/>
                <w:highlight w:val="none"/>
                <w:lang w:val="en-US" w:eastAsia="zh-CN"/>
              </w:rPr>
              <w:t>开标时间</w:t>
            </w: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开标方式和</w:t>
            </w:r>
            <w:r>
              <w:rPr>
                <w:rFonts w:hint="eastAsia" w:ascii="宋体" w:hAnsi="宋体" w:cs="宋体"/>
                <w:b/>
                <w:color w:val="auto"/>
                <w:sz w:val="24"/>
                <w:highlight w:val="none"/>
              </w:rPr>
              <w:t>地点</w:t>
            </w:r>
          </w:p>
          <w:p w14:paraId="28C28994">
            <w:pPr>
              <w:widowControl/>
              <w:spacing w:line="40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投标文件网上开标时间：</w:t>
            </w:r>
            <w:r>
              <w:rPr>
                <w:rFonts w:hint="eastAsia" w:ascii="宋体" w:hAnsi="宋体" w:eastAsia="宋体" w:cs="宋体"/>
                <w:bCs/>
                <w:color w:val="auto"/>
                <w:sz w:val="24"/>
                <w:szCs w:val="24"/>
                <w:highlight w:val="none"/>
                <w:lang w:val="en-US" w:eastAsia="zh-CN"/>
              </w:rPr>
              <w:t>202</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年</w:t>
            </w:r>
            <w:r>
              <w:rPr>
                <w:rFonts w:hint="eastAsia" w:ascii="宋体" w:hAnsi="宋体" w:cs="宋体"/>
                <w:bCs/>
                <w:color w:val="auto"/>
                <w:sz w:val="24"/>
                <w:szCs w:val="24"/>
                <w:highlight w:val="none"/>
                <w:lang w:val="en-US" w:eastAsia="zh-CN"/>
              </w:rPr>
              <w:t>10</w:t>
            </w:r>
            <w:r>
              <w:rPr>
                <w:rFonts w:hint="eastAsia" w:ascii="宋体" w:hAnsi="宋体" w:eastAsia="宋体" w:cs="宋体"/>
                <w:bCs/>
                <w:color w:val="auto"/>
                <w:sz w:val="24"/>
                <w:szCs w:val="24"/>
                <w:highlight w:val="none"/>
                <w:lang w:val="en-US" w:eastAsia="zh-CN"/>
              </w:rPr>
              <w:t>月</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en-US" w:eastAsia="zh-CN"/>
              </w:rPr>
              <w:t>日</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0</w:t>
            </w:r>
          </w:p>
          <w:p w14:paraId="0BE550DA">
            <w:pPr>
              <w:widowControl/>
              <w:spacing w:line="40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网上解密时限：开启解密后30分钟</w:t>
            </w:r>
          </w:p>
          <w:p w14:paraId="3D385352">
            <w:pPr>
              <w:widowControl/>
              <w:spacing w:line="40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投标文件的开标地点：“江苏省政府采购（苏采云）平台”网上开标大厅</w:t>
            </w:r>
            <w:r>
              <w:rPr>
                <w:rFonts w:hint="eastAsia" w:ascii="宋体" w:hAnsi="宋体" w:cs="宋体"/>
                <w:bCs/>
                <w:color w:val="auto"/>
                <w:sz w:val="24"/>
                <w:szCs w:val="24"/>
                <w:highlight w:val="none"/>
                <w:lang w:val="en-US" w:eastAsia="zh-CN"/>
              </w:rPr>
              <w:t>。</w:t>
            </w:r>
          </w:p>
          <w:p w14:paraId="23418F10">
            <w:pPr>
              <w:widowControl/>
              <w:spacing w:line="40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投标文件的开标方式：供应商通过苏采云平台进入“开标大厅”开启（解密）投标文件。推荐使用谷歌浏览器，参与苏采云平台线上不见面开标。</w:t>
            </w:r>
          </w:p>
          <w:p w14:paraId="23104A07">
            <w:pPr>
              <w:pStyle w:val="126"/>
              <w:rPr>
                <w:rFonts w:ascii="宋体" w:hAnsi="宋体" w:eastAsia="宋体" w:cs="宋体"/>
                <w:i w:val="0"/>
                <w:iCs w:val="0"/>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single"/>
                <w:lang w:val="en-US" w:eastAsia="zh-CN" w:bidi="ar-SA"/>
              </w:rPr>
              <w:t>注：</w:t>
            </w:r>
          </w:p>
          <w:p w14:paraId="01401F11">
            <w:pPr>
              <w:pStyle w:val="126"/>
              <w:ind w:firstLine="480"/>
              <w:rPr>
                <w:rFonts w:hint="eastAsia"/>
                <w:color w:val="auto"/>
                <w:highlight w:val="none"/>
              </w:rPr>
            </w:pPr>
            <w:r>
              <w:rPr>
                <w:rFonts w:hint="eastAsia" w:ascii="宋体" w:hAnsi="宋体" w:eastAsia="宋体" w:cs="宋体"/>
                <w:i w:val="0"/>
                <w:iCs w:val="0"/>
                <w:color w:val="auto"/>
                <w:sz w:val="24"/>
                <w:szCs w:val="24"/>
                <w:highlight w:val="none"/>
                <w:u w:val="single"/>
                <w:lang w:val="en-US" w:eastAsia="zh-CN" w:bidi="ar-SA"/>
              </w:rPr>
              <w:t>本项目进行线上不见面采购活动，供应商准备好制作标书的笔记本电脑、CA锁（政务CA），登录苏采云网上开标大厅，等待开标流程进入“解锁环境”，点击“立即解密”进行标书解密，解锁完成后及时关注开标大厅，等待后续多次报价、答疑澄清等提示，请在规定时间内登录网上开标大厅参与采购活动（具体操作流程详见《“苏采云”系统供应商操作手册》）。</w:t>
            </w:r>
          </w:p>
        </w:tc>
      </w:tr>
      <w:tr w14:paraId="7DB8B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62" w:type="dxa"/>
            <w:noWrap w:val="0"/>
            <w:vAlign w:val="center"/>
          </w:tcPr>
          <w:p w14:paraId="28759C41">
            <w:pPr>
              <w:spacing w:line="400" w:lineRule="exact"/>
              <w:jc w:val="center"/>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11</w:t>
            </w:r>
          </w:p>
        </w:tc>
        <w:tc>
          <w:tcPr>
            <w:tcW w:w="8662" w:type="dxa"/>
            <w:noWrap w:val="0"/>
            <w:vAlign w:val="top"/>
          </w:tcPr>
          <w:p w14:paraId="6E65C672">
            <w:pPr>
              <w:widowControl/>
              <w:spacing w:line="400" w:lineRule="exact"/>
              <w:rPr>
                <w:rFonts w:hint="eastAsia" w:ascii="宋体" w:hAnsi="宋体" w:eastAsia="宋体" w:cs="宋体"/>
                <w:color w:val="auto"/>
                <w:sz w:val="24"/>
                <w:szCs w:val="24"/>
                <w:highlight w:val="none"/>
                <w:lang w:val="en-US" w:eastAsia="zh-CN"/>
              </w:rPr>
            </w:pPr>
            <w:r>
              <w:rPr>
                <w:rFonts w:hint="eastAsia" w:ascii="宋体" w:hAnsi="宋体"/>
                <w:b/>
                <w:bCs/>
                <w:color w:val="auto"/>
                <w:sz w:val="24"/>
                <w:highlight w:val="none"/>
                <w:lang w:eastAsia="zh-CN"/>
              </w:rPr>
              <w:t>投标</w:t>
            </w:r>
            <w:r>
              <w:rPr>
                <w:rFonts w:hint="eastAsia" w:ascii="宋体" w:hAnsi="宋体"/>
                <w:b/>
                <w:bCs/>
                <w:color w:val="auto"/>
                <w:sz w:val="24"/>
                <w:highlight w:val="none"/>
              </w:rPr>
              <w:t>评审</w:t>
            </w:r>
          </w:p>
          <w:p w14:paraId="24FA01E6">
            <w:pPr>
              <w:widowControl/>
              <w:spacing w:line="40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评审时间：</w:t>
            </w:r>
            <w:r>
              <w:rPr>
                <w:rFonts w:hint="eastAsia" w:ascii="宋体" w:hAnsi="宋体" w:eastAsia="宋体" w:cs="宋体"/>
                <w:bCs/>
                <w:color w:val="auto"/>
                <w:sz w:val="24"/>
                <w:szCs w:val="24"/>
                <w:highlight w:val="none"/>
                <w:lang w:val="en-US" w:eastAsia="zh-CN"/>
              </w:rPr>
              <w:t>202</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年</w:t>
            </w:r>
            <w:r>
              <w:rPr>
                <w:rFonts w:hint="eastAsia" w:ascii="宋体" w:hAnsi="宋体" w:cs="宋体"/>
                <w:bCs/>
                <w:color w:val="auto"/>
                <w:sz w:val="24"/>
                <w:szCs w:val="24"/>
                <w:highlight w:val="none"/>
                <w:lang w:val="en-US" w:eastAsia="zh-CN"/>
              </w:rPr>
              <w:t>10</w:t>
            </w:r>
            <w:r>
              <w:rPr>
                <w:rFonts w:hint="eastAsia" w:ascii="宋体" w:hAnsi="宋体" w:eastAsia="宋体" w:cs="宋体"/>
                <w:bCs/>
                <w:color w:val="auto"/>
                <w:sz w:val="24"/>
                <w:szCs w:val="24"/>
                <w:highlight w:val="none"/>
                <w:lang w:val="en-US" w:eastAsia="zh-CN"/>
              </w:rPr>
              <w:t>月</w:t>
            </w:r>
            <w:r>
              <w:rPr>
                <w:rFonts w:hint="eastAsia" w:ascii="宋体" w:hAnsi="宋体" w:cs="宋体"/>
                <w:bCs/>
                <w:color w:val="auto"/>
                <w:sz w:val="24"/>
                <w:szCs w:val="24"/>
                <w:highlight w:val="none"/>
                <w:lang w:val="en-US" w:eastAsia="zh-CN"/>
              </w:rPr>
              <w:t>9日9</w:t>
            </w: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0</w:t>
            </w:r>
          </w:p>
          <w:p w14:paraId="455DA564">
            <w:pPr>
              <w:widowControl/>
              <w:spacing w:line="40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评审地点：无锡市滨湖区公共资源交易中心三楼评标室（无锡市滨湖区隐秀路152号）</w:t>
            </w:r>
          </w:p>
          <w:p w14:paraId="233F89A1">
            <w:pPr>
              <w:widowControl/>
              <w:spacing w:line="40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确定</w:t>
            </w:r>
            <w:r>
              <w:rPr>
                <w:rFonts w:hint="eastAsia" w:ascii="宋体" w:hAnsi="宋体" w:cs="宋体"/>
                <w:color w:val="auto"/>
                <w:sz w:val="24"/>
                <w:szCs w:val="24"/>
                <w:highlight w:val="none"/>
                <w:lang w:val="en-US" w:eastAsia="zh-CN"/>
              </w:rPr>
              <w:t>中标</w:t>
            </w:r>
            <w:r>
              <w:rPr>
                <w:rFonts w:hint="eastAsia" w:ascii="宋体" w:hAnsi="宋体" w:eastAsia="宋体" w:cs="宋体"/>
                <w:color w:val="auto"/>
                <w:sz w:val="24"/>
                <w:szCs w:val="24"/>
                <w:highlight w:val="none"/>
                <w:lang w:val="en-US" w:eastAsia="zh-CN"/>
              </w:rPr>
              <w:t>单位时间：</w:t>
            </w:r>
            <w:r>
              <w:rPr>
                <w:rFonts w:hint="eastAsia" w:ascii="宋体" w:hAnsi="宋体" w:eastAsia="宋体" w:cs="宋体"/>
                <w:bCs/>
                <w:color w:val="auto"/>
                <w:sz w:val="24"/>
                <w:szCs w:val="24"/>
                <w:highlight w:val="none"/>
                <w:lang w:val="en-US" w:eastAsia="zh-CN"/>
              </w:rPr>
              <w:t>202</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年</w:t>
            </w:r>
            <w:r>
              <w:rPr>
                <w:rFonts w:hint="eastAsia" w:ascii="宋体" w:hAnsi="宋体" w:cs="宋体"/>
                <w:bCs/>
                <w:color w:val="auto"/>
                <w:sz w:val="24"/>
                <w:szCs w:val="24"/>
                <w:highlight w:val="none"/>
                <w:lang w:val="en-US" w:eastAsia="zh-CN"/>
              </w:rPr>
              <w:t>10</w:t>
            </w:r>
            <w:r>
              <w:rPr>
                <w:rFonts w:hint="eastAsia" w:ascii="宋体" w:hAnsi="宋体" w:eastAsia="宋体" w:cs="宋体"/>
                <w:bCs/>
                <w:color w:val="auto"/>
                <w:sz w:val="24"/>
                <w:szCs w:val="24"/>
                <w:highlight w:val="none"/>
                <w:lang w:val="en-US" w:eastAsia="zh-CN"/>
              </w:rPr>
              <w:t>月</w:t>
            </w:r>
            <w:r>
              <w:rPr>
                <w:rFonts w:hint="eastAsia" w:ascii="宋体" w:hAnsi="宋体" w:cs="宋体"/>
                <w:bCs/>
                <w:color w:val="auto"/>
                <w:sz w:val="24"/>
                <w:szCs w:val="24"/>
                <w:highlight w:val="none"/>
                <w:lang w:val="en-US" w:eastAsia="zh-CN"/>
              </w:rPr>
              <w:t>9日</w:t>
            </w:r>
            <w:r>
              <w:rPr>
                <w:rFonts w:hint="eastAsia" w:ascii="宋体" w:hAnsi="宋体" w:eastAsia="宋体" w:cs="宋体"/>
                <w:color w:val="auto"/>
                <w:sz w:val="24"/>
                <w:szCs w:val="24"/>
                <w:highlight w:val="none"/>
                <w:lang w:val="en-US" w:eastAsia="zh-CN"/>
              </w:rPr>
              <w:t>评审结束</w:t>
            </w:r>
          </w:p>
          <w:p w14:paraId="193BCE31">
            <w:pPr>
              <w:widowControl/>
              <w:spacing w:line="400" w:lineRule="exact"/>
              <w:jc w:val="both"/>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确定</w:t>
            </w:r>
            <w:r>
              <w:rPr>
                <w:rFonts w:hint="eastAsia" w:ascii="宋体" w:hAnsi="宋体" w:cs="宋体"/>
                <w:color w:val="auto"/>
                <w:sz w:val="24"/>
                <w:szCs w:val="24"/>
                <w:highlight w:val="none"/>
                <w:lang w:val="en-US" w:eastAsia="zh-CN"/>
              </w:rPr>
              <w:t>中标</w:t>
            </w:r>
            <w:r>
              <w:rPr>
                <w:rFonts w:hint="eastAsia" w:ascii="宋体" w:hAnsi="宋体" w:eastAsia="宋体" w:cs="宋体"/>
                <w:color w:val="auto"/>
                <w:sz w:val="24"/>
                <w:szCs w:val="24"/>
                <w:highlight w:val="none"/>
                <w:lang w:val="en-US" w:eastAsia="zh-CN"/>
              </w:rPr>
              <w:t>单位地点：无锡市滨湖区公共资源交易中心三楼评标室（无锡市滨湖区隐秀路152号）</w:t>
            </w:r>
          </w:p>
        </w:tc>
      </w:tr>
      <w:tr w14:paraId="13C3B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trPr>
        <w:tc>
          <w:tcPr>
            <w:tcW w:w="962" w:type="dxa"/>
            <w:noWrap w:val="0"/>
            <w:vAlign w:val="center"/>
          </w:tcPr>
          <w:p w14:paraId="1B72D90F">
            <w:pPr>
              <w:spacing w:line="40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2</w:t>
            </w:r>
          </w:p>
        </w:tc>
        <w:tc>
          <w:tcPr>
            <w:tcW w:w="8662" w:type="dxa"/>
            <w:noWrap w:val="0"/>
            <w:vAlign w:val="top"/>
          </w:tcPr>
          <w:p w14:paraId="53618C8F">
            <w:pPr>
              <w:widowControl/>
              <w:spacing w:line="400" w:lineRule="exact"/>
              <w:jc w:val="both"/>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本项目设最高限价：208.5759万元</w:t>
            </w:r>
          </w:p>
        </w:tc>
      </w:tr>
      <w:tr w14:paraId="013AC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62" w:type="dxa"/>
            <w:noWrap w:val="0"/>
            <w:vAlign w:val="center"/>
          </w:tcPr>
          <w:p w14:paraId="08BC33EA">
            <w:pPr>
              <w:spacing w:line="400" w:lineRule="exact"/>
              <w:jc w:val="center"/>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13</w:t>
            </w:r>
          </w:p>
        </w:tc>
        <w:tc>
          <w:tcPr>
            <w:tcW w:w="8662" w:type="dxa"/>
            <w:noWrap w:val="0"/>
            <w:vAlign w:val="top"/>
          </w:tcPr>
          <w:p w14:paraId="495C361B">
            <w:pPr>
              <w:widowControl/>
              <w:spacing w:line="400" w:lineRule="exact"/>
              <w:rPr>
                <w:rFonts w:hint="default" w:ascii="宋体" w:hAnsi="宋体" w:eastAsia="宋体" w:cs="宋体"/>
                <w:color w:val="auto"/>
                <w:sz w:val="24"/>
                <w:szCs w:val="24"/>
                <w:highlight w:val="none"/>
                <w:lang w:val="en-US"/>
              </w:rPr>
            </w:pPr>
            <w:r>
              <w:rPr>
                <w:rFonts w:hint="eastAsia" w:ascii="宋体" w:hAnsi="宋体" w:cs="宋体"/>
                <w:b/>
                <w:bCs/>
                <w:color w:val="auto"/>
                <w:sz w:val="24"/>
                <w:szCs w:val="20"/>
                <w:highlight w:val="none"/>
              </w:rPr>
              <w:t>投标保证金：</w:t>
            </w:r>
            <w:r>
              <w:rPr>
                <w:rFonts w:hint="eastAsia" w:ascii="宋体" w:hAnsi="宋体" w:cs="宋体"/>
                <w:color w:val="auto"/>
                <w:sz w:val="24"/>
                <w:szCs w:val="20"/>
                <w:highlight w:val="none"/>
              </w:rPr>
              <w:t>本项目不收取投标保证金。</w:t>
            </w:r>
          </w:p>
        </w:tc>
      </w:tr>
      <w:tr w14:paraId="61B9E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62" w:type="dxa"/>
            <w:noWrap w:val="0"/>
            <w:vAlign w:val="center"/>
          </w:tcPr>
          <w:p w14:paraId="0A0BE809">
            <w:pPr>
              <w:spacing w:line="400" w:lineRule="exact"/>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14</w:t>
            </w:r>
          </w:p>
        </w:tc>
        <w:tc>
          <w:tcPr>
            <w:tcW w:w="8662" w:type="dxa"/>
            <w:noWrap w:val="0"/>
            <w:vAlign w:val="top"/>
          </w:tcPr>
          <w:p w14:paraId="4DF65F81">
            <w:pPr>
              <w:widowControl/>
              <w:spacing w:line="400" w:lineRule="exact"/>
              <w:jc w:val="both"/>
              <w:rPr>
                <w:rFonts w:hint="eastAsia" w:ascii="宋体" w:hAnsi="宋体" w:cs="宋体"/>
                <w:b/>
                <w:bCs/>
                <w:color w:val="auto"/>
                <w:sz w:val="24"/>
                <w:szCs w:val="24"/>
                <w:highlight w:val="none"/>
                <w:lang w:eastAsia="zh-CN"/>
              </w:rPr>
            </w:pPr>
            <w:r>
              <w:rPr>
                <w:rFonts w:hint="eastAsia" w:ascii="宋体" w:hAnsi="宋体" w:eastAsia="宋体" w:cs="宋体"/>
                <w:b/>
                <w:bCs/>
                <w:color w:val="auto"/>
                <w:sz w:val="24"/>
                <w:szCs w:val="24"/>
                <w:highlight w:val="none"/>
              </w:rPr>
              <w:t>特别提醒</w:t>
            </w:r>
            <w:r>
              <w:rPr>
                <w:rFonts w:hint="eastAsia" w:ascii="宋体" w:hAnsi="宋体" w:cs="宋体"/>
                <w:b/>
                <w:bCs/>
                <w:color w:val="auto"/>
                <w:sz w:val="24"/>
                <w:szCs w:val="24"/>
                <w:highlight w:val="none"/>
                <w:lang w:eastAsia="zh-CN"/>
              </w:rPr>
              <w:t>：</w:t>
            </w:r>
          </w:p>
          <w:p w14:paraId="7E87EEB8">
            <w:pPr>
              <w:widowControl/>
              <w:spacing w:line="40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因供应商可能会存在操作不熟练、业务不熟悉等因素，为保证开评标流程顺利，供应商如有问题应及时反馈，供应商在</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文件递交截止时间前</w:t>
            </w:r>
            <w:r>
              <w:rPr>
                <w:rFonts w:hint="eastAsia" w:ascii="宋体" w:hAnsi="宋体" w:eastAsia="宋体" w:cs="宋体"/>
                <w:color w:val="auto"/>
                <w:sz w:val="24"/>
                <w:szCs w:val="24"/>
                <w:highlight w:val="none"/>
                <w:lang w:val="en-US" w:eastAsia="zh-CN"/>
              </w:rPr>
              <w:t>在</w:t>
            </w:r>
            <w:r>
              <w:rPr>
                <w:rFonts w:hint="eastAsia" w:ascii="宋体" w:hAnsi="宋体" w:eastAsia="宋体" w:cs="宋体"/>
                <w:color w:val="auto"/>
                <w:sz w:val="24"/>
                <w:szCs w:val="24"/>
                <w:highlight w:val="none"/>
              </w:rPr>
              <w:t>网上上传电子投标文件。</w:t>
            </w:r>
          </w:p>
          <w:p w14:paraId="0872E5AC">
            <w:pPr>
              <w:widowControl/>
              <w:spacing w:line="40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本项目采用线上电子开评标（网上不见面开标），仅需在任意地点登录苏采云平台参加开标会议，供应商无需到达开标现场。</w:t>
            </w:r>
          </w:p>
          <w:p w14:paraId="49C28CD7">
            <w:pPr>
              <w:widowControl/>
              <w:spacing w:line="400" w:lineRule="exact"/>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.供应商在苏采云系统规定的时间内对投标文件进行解密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开标当天请供应商联系人</w:t>
            </w:r>
            <w:r>
              <w:rPr>
                <w:rFonts w:hint="eastAsia" w:ascii="宋体" w:hAnsi="宋体" w:cs="宋体"/>
                <w:color w:val="auto"/>
                <w:sz w:val="24"/>
                <w:szCs w:val="24"/>
                <w:highlight w:val="none"/>
                <w:lang w:eastAsia="zh-CN"/>
              </w:rPr>
              <w:t>保持通信畅通</w:t>
            </w:r>
            <w:r>
              <w:rPr>
                <w:rFonts w:hint="eastAsia" w:ascii="宋体" w:hAnsi="宋体" w:eastAsia="宋体" w:cs="宋体"/>
                <w:color w:val="auto"/>
                <w:sz w:val="24"/>
                <w:szCs w:val="24"/>
                <w:highlight w:val="none"/>
              </w:rPr>
              <w:t>。</w:t>
            </w:r>
          </w:p>
          <w:p w14:paraId="6A28195F">
            <w:pPr>
              <w:widowControl/>
              <w:spacing w:line="400" w:lineRule="exact"/>
              <w:jc w:val="both"/>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.供应商请仔细阅读供应商注册流程和</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文件中关于电子开评标等相关事项，如有问题可发送邮件或电话咨询。</w:t>
            </w:r>
          </w:p>
          <w:p w14:paraId="1DAD738A">
            <w:pPr>
              <w:widowControl/>
              <w:spacing w:line="400" w:lineRule="exact"/>
              <w:jc w:val="both"/>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.本次采购采用《</w:t>
            </w:r>
            <w:r>
              <w:rPr>
                <w:rFonts w:hint="eastAsia" w:ascii="宋体" w:hAnsi="宋体" w:eastAsia="宋体" w:cs="宋体"/>
                <w:color w:val="auto"/>
                <w:sz w:val="24"/>
                <w:szCs w:val="24"/>
                <w:highlight w:val="none"/>
                <w:lang w:val="en-US" w:eastAsia="zh-CN"/>
              </w:rPr>
              <w:t>江苏省政府采购（苏采云）平台</w:t>
            </w:r>
            <w:r>
              <w:rPr>
                <w:rFonts w:hint="eastAsia" w:ascii="宋体" w:hAnsi="宋体" w:eastAsia="宋体" w:cs="宋体"/>
                <w:color w:val="auto"/>
                <w:sz w:val="24"/>
                <w:szCs w:val="24"/>
                <w:highlight w:val="none"/>
              </w:rPr>
              <w:t>》进行采购活动，</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文件发布、</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、评审和中标（成交）结果发布全程电子化。</w:t>
            </w:r>
          </w:p>
          <w:p w14:paraId="1F4053A0">
            <w:pPr>
              <w:widowControl/>
              <w:spacing w:line="400" w:lineRule="exact"/>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.纸质投标文件：本项目为不见面开标，</w:t>
            </w:r>
            <w:r>
              <w:rPr>
                <w:rFonts w:hint="eastAsia" w:ascii="宋体" w:hAnsi="宋体" w:cs="宋体"/>
                <w:color w:val="auto"/>
                <w:sz w:val="24"/>
                <w:szCs w:val="24"/>
                <w:highlight w:val="none"/>
                <w:lang w:val="en-US" w:eastAsia="zh-CN"/>
              </w:rPr>
              <w:t>投标供应商</w:t>
            </w:r>
            <w:r>
              <w:rPr>
                <w:rFonts w:hint="eastAsia" w:ascii="宋体" w:hAnsi="宋体" w:eastAsia="宋体" w:cs="宋体"/>
                <w:color w:val="auto"/>
                <w:sz w:val="24"/>
                <w:szCs w:val="24"/>
                <w:highlight w:val="none"/>
              </w:rPr>
              <w:t>无需递交纸质</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文件至现场，</w:t>
            </w:r>
            <w:r>
              <w:rPr>
                <w:rFonts w:hint="eastAsia" w:ascii="宋体" w:hAnsi="宋体" w:eastAsia="宋体" w:cs="宋体"/>
                <w:color w:val="auto"/>
                <w:sz w:val="24"/>
                <w:szCs w:val="24"/>
                <w:highlight w:val="none"/>
                <w:lang w:val="en-US" w:eastAsia="zh-CN"/>
              </w:rPr>
              <w:t>中标（成交）后中标（成交）</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在</w:t>
            </w: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val="en-US" w:eastAsia="zh-CN"/>
              </w:rPr>
              <w:t>招标人</w:t>
            </w:r>
            <w:r>
              <w:rPr>
                <w:rFonts w:hint="eastAsia" w:ascii="宋体" w:hAnsi="宋体" w:eastAsia="宋体" w:cs="宋体"/>
                <w:color w:val="auto"/>
                <w:sz w:val="24"/>
                <w:szCs w:val="24"/>
                <w:highlight w:val="none"/>
              </w:rPr>
              <w:t>签订合同之前，必须提供与系统中电子</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文件一致的纸质</w:t>
            </w:r>
            <w:r>
              <w:rPr>
                <w:rFonts w:hint="eastAsia" w:ascii="宋体" w:hAnsi="宋体" w:eastAsia="宋体" w:cs="宋体"/>
                <w:color w:val="auto"/>
                <w:sz w:val="24"/>
                <w:szCs w:val="24"/>
                <w:highlight w:val="none"/>
                <w:lang w:val="en-US" w:eastAsia="zh-CN"/>
              </w:rPr>
              <w:t>投标文件</w:t>
            </w:r>
            <w:r>
              <w:rPr>
                <w:rFonts w:hint="eastAsia" w:ascii="宋体" w:hAnsi="宋体" w:eastAsia="宋体" w:cs="宋体"/>
                <w:color w:val="auto"/>
                <w:sz w:val="24"/>
                <w:szCs w:val="24"/>
                <w:highlight w:val="none"/>
              </w:rPr>
              <w:t>一式三份。</w:t>
            </w:r>
          </w:p>
          <w:p w14:paraId="48F1AFDA">
            <w:pPr>
              <w:widowControl/>
              <w:spacing w:line="400" w:lineRule="exact"/>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若资格审查或评审过程中，</w:t>
            </w:r>
            <w:r>
              <w:rPr>
                <w:rFonts w:hint="eastAsia" w:ascii="宋体" w:hAnsi="宋体" w:cs="宋体"/>
                <w:color w:val="auto"/>
                <w:sz w:val="24"/>
                <w:szCs w:val="24"/>
                <w:highlight w:val="none"/>
                <w:lang w:val="en-US" w:eastAsia="zh-CN"/>
              </w:rPr>
              <w:t>招标人</w:t>
            </w:r>
            <w:r>
              <w:rPr>
                <w:rFonts w:hint="eastAsia" w:ascii="宋体" w:hAnsi="宋体" w:eastAsia="宋体" w:cs="宋体"/>
                <w:color w:val="auto"/>
                <w:sz w:val="24"/>
                <w:szCs w:val="24"/>
                <w:highlight w:val="none"/>
              </w:rPr>
              <w:t>、代理机构、评标</w:t>
            </w:r>
            <w:r>
              <w:rPr>
                <w:rFonts w:hint="eastAsia" w:ascii="宋体" w:hAnsi="宋体" w:cs="宋体"/>
                <w:color w:val="auto"/>
                <w:sz w:val="24"/>
                <w:szCs w:val="24"/>
                <w:highlight w:val="none"/>
                <w:lang w:val="en-US" w:eastAsia="zh-CN"/>
              </w:rPr>
              <w:t>委</w:t>
            </w:r>
            <w:r>
              <w:rPr>
                <w:rFonts w:hint="eastAsia" w:ascii="宋体" w:hAnsi="宋体" w:eastAsia="宋体" w:cs="宋体"/>
                <w:color w:val="auto"/>
                <w:sz w:val="24"/>
                <w:szCs w:val="24"/>
                <w:highlight w:val="none"/>
              </w:rPr>
              <w:t>员会对</w:t>
            </w:r>
            <w:r>
              <w:rPr>
                <w:rFonts w:hint="eastAsia" w:ascii="宋体" w:hAnsi="宋体" w:cs="宋体"/>
                <w:color w:val="auto"/>
                <w:sz w:val="24"/>
                <w:szCs w:val="24"/>
                <w:highlight w:val="none"/>
                <w:lang w:val="en-US" w:eastAsia="zh-CN"/>
              </w:rPr>
              <w:t>投标文件</w:t>
            </w:r>
            <w:r>
              <w:rPr>
                <w:rFonts w:hint="eastAsia" w:ascii="宋体" w:hAnsi="宋体" w:eastAsia="宋体" w:cs="宋体"/>
                <w:color w:val="auto"/>
                <w:sz w:val="24"/>
                <w:szCs w:val="24"/>
                <w:highlight w:val="none"/>
              </w:rPr>
              <w:t>存在疑问</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rPr>
              <w:t>供应商被授权代表须在接到在线询标函后15分钟内，在开标界面在线以澄清函回复并签章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若</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rPr>
              <w:t>供应商被授权代表未在规定时间内按上述要求</w:t>
            </w:r>
            <w:r>
              <w:rPr>
                <w:rFonts w:hint="eastAsia" w:ascii="宋体" w:hAnsi="宋体" w:cs="宋体"/>
                <w:color w:val="auto"/>
                <w:sz w:val="24"/>
                <w:szCs w:val="24"/>
                <w:highlight w:val="none"/>
                <w:lang w:eastAsia="zh-CN"/>
              </w:rPr>
              <w:t>作出</w:t>
            </w:r>
            <w:r>
              <w:rPr>
                <w:rFonts w:hint="eastAsia" w:ascii="宋体" w:hAnsi="宋体" w:eastAsia="宋体" w:cs="宋体"/>
                <w:color w:val="auto"/>
                <w:sz w:val="24"/>
                <w:szCs w:val="24"/>
                <w:highlight w:val="none"/>
              </w:rPr>
              <w:t>回复，则视为</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rPr>
              <w:t>供应商默认资审结果或评审结果。</w:t>
            </w:r>
          </w:p>
        </w:tc>
      </w:tr>
      <w:tr w14:paraId="13A22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62" w:type="dxa"/>
            <w:noWrap w:val="0"/>
            <w:vAlign w:val="center"/>
          </w:tcPr>
          <w:p w14:paraId="6A4444BC">
            <w:pPr>
              <w:spacing w:line="400" w:lineRule="exact"/>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15</w:t>
            </w:r>
          </w:p>
        </w:tc>
        <w:tc>
          <w:tcPr>
            <w:tcW w:w="8662" w:type="dxa"/>
            <w:noWrap w:val="0"/>
            <w:vAlign w:val="top"/>
          </w:tcPr>
          <w:p w14:paraId="324484FD">
            <w:pPr>
              <w:widowControl/>
              <w:spacing w:line="400" w:lineRule="exact"/>
              <w:rPr>
                <w:rFonts w:hint="eastAsia" w:ascii="宋体" w:hAnsi="宋体" w:eastAsia="宋体" w:cs="宋体"/>
                <w:bCs/>
                <w:color w:val="auto"/>
                <w:sz w:val="24"/>
                <w:szCs w:val="24"/>
                <w:highlight w:val="none"/>
              </w:rPr>
            </w:pPr>
            <w:r>
              <w:rPr>
                <w:rFonts w:hint="eastAsia" w:ascii="宋体" w:hAnsi="宋体"/>
                <w:b/>
                <w:bCs/>
                <w:color w:val="auto"/>
                <w:sz w:val="24"/>
                <w:highlight w:val="none"/>
              </w:rPr>
              <w:t>本次</w:t>
            </w:r>
            <w:r>
              <w:rPr>
                <w:rFonts w:hint="eastAsia" w:ascii="宋体" w:hAnsi="宋体"/>
                <w:b/>
                <w:bCs/>
                <w:color w:val="auto"/>
                <w:sz w:val="24"/>
                <w:highlight w:val="none"/>
                <w:lang w:eastAsia="zh-CN"/>
              </w:rPr>
              <w:t>投标</w:t>
            </w:r>
            <w:r>
              <w:rPr>
                <w:rFonts w:hint="eastAsia" w:ascii="宋体" w:hAnsi="宋体"/>
                <w:b/>
                <w:bCs/>
                <w:color w:val="auto"/>
                <w:sz w:val="24"/>
                <w:highlight w:val="none"/>
              </w:rPr>
              <w:t>联系方式</w:t>
            </w:r>
          </w:p>
          <w:p w14:paraId="1672E004">
            <w:pPr>
              <w:widowControl/>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采购人：</w:t>
            </w:r>
            <w:r>
              <w:rPr>
                <w:rFonts w:hint="eastAsia" w:ascii="宋体" w:hAnsi="宋体" w:cs="宋体"/>
                <w:bCs/>
                <w:color w:val="auto"/>
                <w:sz w:val="24"/>
                <w:szCs w:val="24"/>
                <w:highlight w:val="none"/>
                <w:lang w:eastAsia="zh-CN"/>
              </w:rPr>
              <w:t>无锡市滨湖区河埒街道办事处</w:t>
            </w:r>
          </w:p>
          <w:p w14:paraId="74A6EF57">
            <w:pPr>
              <w:widowControl/>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w:t>
            </w:r>
            <w:r>
              <w:rPr>
                <w:rFonts w:hint="eastAsia" w:ascii="宋体" w:hAnsi="宋体" w:eastAsia="宋体" w:cs="宋体"/>
                <w:bCs/>
                <w:color w:val="auto"/>
                <w:sz w:val="24"/>
                <w:szCs w:val="24"/>
                <w:highlight w:val="none"/>
                <w:lang w:val="en-US" w:eastAsia="zh-CN"/>
              </w:rPr>
              <w:t>人</w:t>
            </w:r>
            <w:r>
              <w:rPr>
                <w:rFonts w:hint="eastAsia" w:ascii="宋体" w:hAnsi="宋体" w:eastAsia="宋体" w:cs="宋体"/>
                <w:bCs/>
                <w:color w:val="auto"/>
                <w:sz w:val="24"/>
                <w:szCs w:val="24"/>
                <w:highlight w:val="none"/>
              </w:rPr>
              <w:t>统一</w:t>
            </w:r>
            <w:r>
              <w:rPr>
                <w:rFonts w:hint="eastAsia" w:ascii="宋体" w:hAnsi="宋体" w:cs="宋体"/>
                <w:bCs/>
                <w:color w:val="auto"/>
                <w:sz w:val="24"/>
                <w:szCs w:val="24"/>
                <w:highlight w:val="none"/>
                <w:lang w:val="en-US" w:eastAsia="zh-CN"/>
              </w:rPr>
              <w:t>社会</w:t>
            </w:r>
            <w:r>
              <w:rPr>
                <w:rFonts w:hint="eastAsia" w:ascii="宋体" w:hAnsi="宋体" w:eastAsia="宋体" w:cs="宋体"/>
                <w:bCs/>
                <w:color w:val="auto"/>
                <w:sz w:val="24"/>
                <w:szCs w:val="24"/>
                <w:highlight w:val="none"/>
              </w:rPr>
              <w:t>信用代码</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113202110140274582</w:t>
            </w:r>
          </w:p>
          <w:p w14:paraId="286F8991">
            <w:pPr>
              <w:widowControl/>
              <w:spacing w:line="400" w:lineRule="exact"/>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联系人：</w:t>
            </w:r>
            <w:r>
              <w:rPr>
                <w:rFonts w:hint="eastAsia" w:ascii="宋体" w:hAnsi="宋体" w:cs="宋体"/>
                <w:bCs/>
                <w:color w:val="auto"/>
                <w:sz w:val="24"/>
                <w:szCs w:val="24"/>
                <w:highlight w:val="none"/>
                <w:lang w:val="en-US" w:eastAsia="zh-CN"/>
              </w:rPr>
              <w:t xml:space="preserve">成工 </w:t>
            </w:r>
          </w:p>
          <w:p w14:paraId="7B1560D7">
            <w:pPr>
              <w:widowControl/>
              <w:spacing w:line="400" w:lineRule="exact"/>
              <w:rPr>
                <w:rFonts w:hint="eastAsia" w:ascii="宋体" w:hAnsi="宋体" w:cs="宋体"/>
                <w:color w:val="auto"/>
                <w:sz w:val="24"/>
                <w:szCs w:val="22"/>
                <w:highlight w:val="none"/>
                <w:lang w:val="en-US" w:eastAsia="zh-CN"/>
              </w:rPr>
            </w:pPr>
            <w:r>
              <w:rPr>
                <w:rFonts w:hint="eastAsia" w:ascii="宋体" w:hAnsi="宋体" w:cs="宋体"/>
                <w:bCs/>
                <w:color w:val="auto"/>
                <w:sz w:val="24"/>
                <w:szCs w:val="24"/>
                <w:highlight w:val="none"/>
                <w:lang w:eastAsia="zh-CN"/>
              </w:rPr>
              <w:t>联系电话</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13812266993</w:t>
            </w:r>
            <w:r>
              <w:rPr>
                <w:rFonts w:hint="eastAsia" w:ascii="宋体" w:hAnsi="宋体" w:eastAsia="宋体" w:cs="宋体"/>
                <w:bCs/>
                <w:color w:val="auto"/>
                <w:sz w:val="24"/>
                <w:szCs w:val="24"/>
                <w:highlight w:val="none"/>
                <w:lang w:val="en-US" w:eastAsia="zh-CN"/>
              </w:rPr>
              <w:t xml:space="preserve"> </w:t>
            </w:r>
          </w:p>
          <w:p w14:paraId="687CB46C">
            <w:pPr>
              <w:widowControl/>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采购代理机构：</w:t>
            </w:r>
            <w:r>
              <w:rPr>
                <w:rFonts w:hint="eastAsia" w:ascii="宋体" w:hAnsi="宋体" w:cs="宋体"/>
                <w:bCs/>
                <w:color w:val="auto"/>
                <w:sz w:val="24"/>
                <w:szCs w:val="24"/>
                <w:highlight w:val="none"/>
                <w:lang w:eastAsia="zh-CN"/>
              </w:rPr>
              <w:t>北京中昌工程咨询有限公司</w:t>
            </w:r>
          </w:p>
          <w:p w14:paraId="7EB42ADC">
            <w:pPr>
              <w:widowControl/>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采购代理统一</w:t>
            </w:r>
            <w:r>
              <w:rPr>
                <w:rFonts w:hint="eastAsia" w:ascii="宋体" w:hAnsi="宋体" w:cs="宋体"/>
                <w:bCs/>
                <w:color w:val="auto"/>
                <w:sz w:val="24"/>
                <w:szCs w:val="24"/>
                <w:highlight w:val="none"/>
                <w:lang w:val="en-US" w:eastAsia="zh-CN"/>
              </w:rPr>
              <w:t>社会</w:t>
            </w:r>
            <w:r>
              <w:rPr>
                <w:rFonts w:hint="eastAsia" w:ascii="宋体" w:hAnsi="宋体" w:eastAsia="宋体" w:cs="宋体"/>
                <w:bCs/>
                <w:color w:val="auto"/>
                <w:sz w:val="24"/>
                <w:szCs w:val="24"/>
                <w:highlight w:val="none"/>
              </w:rPr>
              <w:t>信用代码：91110105633731727Q</w:t>
            </w:r>
          </w:p>
          <w:p w14:paraId="23A3AB88">
            <w:pPr>
              <w:widowControl/>
              <w:spacing w:line="4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联系人：</w:t>
            </w:r>
            <w:r>
              <w:rPr>
                <w:rFonts w:hint="eastAsia" w:ascii="宋体" w:hAnsi="宋体" w:cs="宋体"/>
                <w:bCs/>
                <w:color w:val="auto"/>
                <w:sz w:val="24"/>
                <w:szCs w:val="24"/>
                <w:highlight w:val="none"/>
                <w:lang w:val="en-US" w:eastAsia="zh-CN"/>
              </w:rPr>
              <w:t>李敏涛</w:t>
            </w:r>
          </w:p>
          <w:p w14:paraId="44E4E52F">
            <w:pPr>
              <w:widowControl/>
              <w:spacing w:line="40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联系电话：</w:t>
            </w:r>
            <w:r>
              <w:rPr>
                <w:rFonts w:hint="eastAsia" w:ascii="宋体" w:hAnsi="宋体" w:cs="宋体"/>
                <w:bCs/>
                <w:color w:val="auto"/>
                <w:sz w:val="24"/>
                <w:szCs w:val="24"/>
                <w:highlight w:val="none"/>
                <w:lang w:val="en-US" w:eastAsia="zh-CN"/>
              </w:rPr>
              <w:t>13665139184</w:t>
            </w:r>
          </w:p>
          <w:p w14:paraId="47812583">
            <w:pPr>
              <w:widowControl/>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电子邮件：</w:t>
            </w:r>
            <w:r>
              <w:rPr>
                <w:rFonts w:hint="eastAsia" w:ascii="宋体" w:hAnsi="宋体" w:cs="宋体"/>
                <w:bCs/>
                <w:color w:val="auto"/>
                <w:sz w:val="24"/>
                <w:szCs w:val="24"/>
                <w:highlight w:val="none"/>
                <w:lang w:val="en-US" w:eastAsia="zh-CN"/>
              </w:rPr>
              <w:t>1797585572@qq.com</w:t>
            </w:r>
          </w:p>
          <w:p w14:paraId="7777D512">
            <w:pPr>
              <w:widowControl/>
              <w:spacing w:line="400" w:lineRule="exact"/>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联系地址：</w:t>
            </w:r>
            <w:r>
              <w:rPr>
                <w:rFonts w:hint="eastAsia" w:ascii="宋体" w:hAnsi="宋体" w:cs="宋体"/>
                <w:bCs/>
                <w:color w:val="auto"/>
                <w:sz w:val="24"/>
                <w:szCs w:val="24"/>
                <w:highlight w:val="none"/>
                <w:lang w:eastAsia="zh-CN"/>
              </w:rPr>
              <w:t>南湖大道501号扬名创智园H座3楼</w:t>
            </w:r>
          </w:p>
          <w:p w14:paraId="61BC1BAC">
            <w:pPr>
              <w:widowControl/>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邮政编码：214000</w:t>
            </w:r>
          </w:p>
          <w:p w14:paraId="1F4C6226">
            <w:pPr>
              <w:widowControl/>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有关本次采购活动程序方面的问题</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可来人、来函（传真）或电话联系。</w:t>
            </w:r>
          </w:p>
        </w:tc>
      </w:tr>
      <w:tr w14:paraId="5A8AF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62" w:type="dxa"/>
            <w:noWrap w:val="0"/>
            <w:vAlign w:val="center"/>
          </w:tcPr>
          <w:p w14:paraId="57D209C5">
            <w:pPr>
              <w:spacing w:line="400" w:lineRule="exact"/>
              <w:jc w:val="center"/>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w:t>
            </w:r>
            <w:r>
              <w:rPr>
                <w:rFonts w:hint="eastAsia" w:ascii="宋体" w:hAnsi="宋体" w:cs="宋体"/>
                <w:bCs/>
                <w:color w:val="auto"/>
                <w:sz w:val="24"/>
                <w:szCs w:val="24"/>
                <w:highlight w:val="none"/>
                <w:lang w:val="en-US" w:eastAsia="zh-CN"/>
              </w:rPr>
              <w:t>6</w:t>
            </w:r>
          </w:p>
        </w:tc>
        <w:tc>
          <w:tcPr>
            <w:tcW w:w="8662" w:type="dxa"/>
            <w:noWrap w:val="0"/>
            <w:vAlign w:val="top"/>
          </w:tcPr>
          <w:p w14:paraId="23E490F1">
            <w:pPr>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供应商“账号注册”及CA办理：</w:t>
            </w:r>
          </w:p>
          <w:p w14:paraId="2C66D9F3">
            <w:pPr>
              <w:widowControl/>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1.请有意参加本项目采购活动的供应商按以下流程进行操作：</w:t>
            </w:r>
          </w:p>
          <w:p w14:paraId="471922CE">
            <w:pPr>
              <w:widowControl/>
              <w:spacing w:line="400" w:lineRule="exact"/>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访问“无锡政府采购网”点击“江苏省政府采购云平台”（以下简称“苏采云”系统）选择供应商版块，点击“用户注册”按钮，进行账号注册，注册完成后需在系统中填写资质信息并提交。也可以直接通过http://jszfcg.jsczt.cn/进入界面。</w:t>
            </w:r>
          </w:p>
          <w:p w14:paraId="2B863C27">
            <w:pPr>
              <w:widowControl/>
              <w:spacing w:line="400" w:lineRule="exact"/>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（2）办理“意源”CA数字证书和“方正”电子签章（办理地址：无锡市滨湖区观山路199号12号楼二楼9号、10号窗口），办理指南链接：http://jsxcmm.com/help/help.html。</w:t>
            </w:r>
          </w:p>
          <w:p w14:paraId="44529F53">
            <w:pPr>
              <w:widowControl/>
              <w:spacing w:line="400" w:lineRule="exact"/>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（3）CA驱动下载：在“苏采云”系统账号登录页面，点击“驱动下载”链接中的“政务CA、方正签章控件驱动安装包及安装说明”可以直接下载驱动安装包，安装包中附有驱动安装手册。</w:t>
            </w:r>
          </w:p>
          <w:p w14:paraId="32DB6A57">
            <w:pPr>
              <w:widowControl/>
              <w:spacing w:line="400" w:lineRule="exact"/>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咨询电话：供应商注册：0519-86722801、0519-86722806，CA及电子加盖公章或签电子公章：0510-81827781，其他事项：0510-81827730。（服务时间：工作日 9:00-11:30,13:00-17:00）</w:t>
            </w:r>
          </w:p>
          <w:p w14:paraId="101E5E67">
            <w:pPr>
              <w:widowControl/>
              <w:spacing w:line="400" w:lineRule="exact"/>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2.完成“苏采云”系统账号注册的供应商方可在“苏采云”系统中进行CA绑定。登录“苏采云”系统，插入CA后，点击【账号设置】</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【绑定CA】。</w:t>
            </w:r>
          </w:p>
          <w:p w14:paraId="7D0117C4">
            <w:pPr>
              <w:widowControl/>
              <w:spacing w:line="400" w:lineRule="exact"/>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3.供应商应按上述要求提供相关材料信息，所提供的材料应均是真实的、准确的，若有违背，供应商自行承担由此而产生的一切后果。</w:t>
            </w:r>
          </w:p>
          <w:p w14:paraId="752F59E2">
            <w:pPr>
              <w:widowControl/>
              <w:spacing w:line="400" w:lineRule="exact"/>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4.如供应商未按上述要求操作，由此所产生的损失及风险由供应商自行承担。具体操作步骤详见《“苏采云”系统供应商操作手册》（以下简称《操作手册》），下载地址：无锡市政府采购网</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资料下载</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苏采云</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“苏采云”系统供应商操作手册。</w:t>
            </w:r>
          </w:p>
          <w:p w14:paraId="6565A357">
            <w:pPr>
              <w:widowControl/>
              <w:spacing w:line="400" w:lineRule="exact"/>
              <w:jc w:val="both"/>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技术支持QQ：孙先生：442456465；王先生：1476328133。</w:t>
            </w:r>
          </w:p>
          <w:p w14:paraId="7D0AEF7C">
            <w:pPr>
              <w:widowControl/>
              <w:numPr>
                <w:ilvl w:val="0"/>
                <w:numId w:val="0"/>
              </w:num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完成项目参与，获取招标文件</w:t>
            </w:r>
          </w:p>
          <w:p w14:paraId="6E037F07">
            <w:pPr>
              <w:widowControl/>
              <w:spacing w:line="40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供应商可在项目招标公告附件中查看公开招标文件，如确定参加本次采购活动，必须在招标文件提供期限内可在</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无锡政府采购网</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江苏省政府采购平台</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或“政府采购客户端（苏采云）”中免费下载文件（“项目参与”</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“采购项目参与”找到需要获取招标文件的项目，点击“我要参与”</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“参与投标”</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rPr>
              <w:t>“下载文件”），完成项目参与，将“苏采云”系统中下载的招标文件（后缀名为</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kedt”）导入到“政府采购客户端”，离线按要求编制并加密投标文件（使用“CA数字证书”），导出加密的投标文件（后缀名为zip，不得超过150M）并在“苏采云”系统上传该加密的投标文件，对招标文件各项内容做出实质性响应，否则其投标文件无效。</w:t>
            </w:r>
          </w:p>
          <w:p w14:paraId="547E6F18">
            <w:pPr>
              <w:spacing w:line="400" w:lineRule="exact"/>
              <w:jc w:val="lef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en-US" w:eastAsia="zh-CN"/>
              </w:rPr>
              <w:t>招标文件（后缀名为</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kedt”）、“苏采云”系统供应商操作手册及政府采购客户端工具也可通过“苏采云”系统</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已参与项目</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报名详情页面内相应链接进行下载。</w:t>
            </w:r>
          </w:p>
          <w:p w14:paraId="3648C866">
            <w:pPr>
              <w:widowControl/>
              <w:spacing w:line="40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政府采购客户端工具及“苏采云”系统供应商操作手册可访问江苏政府采购网-</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办事指南--“资料下载”进行下载《“苏采云”系统供应商操作手册及政府采购客户端工具》或可至无锡政府采购网-</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下载专区--“苏采云”栏目下载《“苏采云”系统供应商操作手册》。</w:t>
            </w:r>
          </w:p>
        </w:tc>
      </w:tr>
    </w:tbl>
    <w:p w14:paraId="51B26A98">
      <w:pPr>
        <w:rPr>
          <w:rFonts w:hint="eastAsia"/>
          <w:color w:val="auto"/>
          <w:sz w:val="28"/>
          <w:szCs w:val="28"/>
          <w:highlight w:val="none"/>
          <w:lang w:val="en-US" w:eastAsia="zh-CN"/>
        </w:rPr>
      </w:pPr>
      <w:r>
        <w:rPr>
          <w:rFonts w:hint="eastAsia"/>
          <w:color w:val="auto"/>
          <w:sz w:val="28"/>
          <w:szCs w:val="28"/>
          <w:highlight w:val="none"/>
          <w:lang w:val="en-US" w:eastAsia="zh-CN"/>
        </w:rPr>
        <w:br w:type="page" w:clear="all"/>
      </w:r>
    </w:p>
    <w:p w14:paraId="24048697">
      <w:pPr>
        <w:pStyle w:val="103"/>
        <w:jc w:val="center"/>
        <w:outlineLvl w:val="0"/>
        <w:rPr>
          <w:rFonts w:hint="eastAsia"/>
          <w:color w:val="auto"/>
          <w:sz w:val="32"/>
          <w:szCs w:val="32"/>
          <w:highlight w:val="none"/>
          <w:lang w:val="en-US" w:eastAsia="zh-CN"/>
        </w:rPr>
      </w:pPr>
      <w:bookmarkStart w:id="10" w:name="_Toc3629"/>
      <w:bookmarkStart w:id="11" w:name="_Toc479757207"/>
      <w:bookmarkStart w:id="12" w:name="_Toc16938558"/>
      <w:bookmarkStart w:id="13" w:name="_Toc513029242"/>
      <w:bookmarkStart w:id="14" w:name="_Toc20823314"/>
      <w:bookmarkStart w:id="15" w:name="_Toc120614221"/>
      <w:r>
        <w:rPr>
          <w:rFonts w:hint="eastAsia"/>
          <w:color w:val="auto"/>
          <w:sz w:val="32"/>
          <w:szCs w:val="32"/>
          <w:highlight w:val="none"/>
          <w:lang w:val="en-US" w:eastAsia="zh-CN"/>
        </w:rPr>
        <w:t>第二章 投标供应商须知</w:t>
      </w:r>
      <w:bookmarkEnd w:id="10"/>
    </w:p>
    <w:p w14:paraId="1ECAA4D3">
      <w:pPr>
        <w:keepNext w:val="0"/>
        <w:keepLines w:val="0"/>
        <w:pageBreakBefore w:val="0"/>
        <w:numPr>
          <w:ilvl w:val="0"/>
          <w:numId w:val="0"/>
        </w:numPr>
        <w:spacing w:line="360" w:lineRule="auto"/>
        <w:ind w:firstLine="240"/>
        <w:outlineLvl w:val="9"/>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t>（一）</w:t>
      </w:r>
      <w:r>
        <w:rPr>
          <w:rFonts w:hint="eastAsia" w:ascii="宋体" w:hAnsi="宋体" w:eastAsia="宋体" w:cs="宋体"/>
          <w:color w:val="auto"/>
          <w:sz w:val="24"/>
          <w:szCs w:val="22"/>
          <w:highlight w:val="none"/>
        </w:rPr>
        <w:t>遵循原则：</w:t>
      </w:r>
    </w:p>
    <w:p w14:paraId="5BDD7919">
      <w:pPr>
        <w:keepNext w:val="0"/>
        <w:keepLines w:val="0"/>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公开透明原则、公平竞争原则、公正原则和诚实信用原则。</w:t>
      </w:r>
    </w:p>
    <w:p w14:paraId="3A251B54">
      <w:pPr>
        <w:keepNext w:val="0"/>
        <w:keepLines w:val="0"/>
        <w:pageBreakBefore w:val="0"/>
        <w:numPr>
          <w:ilvl w:val="0"/>
          <w:numId w:val="0"/>
        </w:numPr>
        <w:spacing w:line="360" w:lineRule="auto"/>
        <w:ind w:firstLine="240"/>
        <w:outlineLvl w:val="9"/>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t>（二）</w:t>
      </w:r>
      <w:r>
        <w:rPr>
          <w:rFonts w:hint="eastAsia" w:ascii="宋体" w:hAnsi="宋体" w:cs="宋体"/>
          <w:color w:val="auto"/>
          <w:sz w:val="24"/>
          <w:szCs w:val="22"/>
          <w:highlight w:val="none"/>
          <w:lang w:eastAsia="zh-CN"/>
        </w:rPr>
        <w:t>招标文件</w:t>
      </w:r>
      <w:r>
        <w:rPr>
          <w:rFonts w:hint="eastAsia" w:ascii="宋体" w:hAnsi="宋体" w:eastAsia="宋体" w:cs="宋体"/>
          <w:color w:val="auto"/>
          <w:sz w:val="24"/>
          <w:szCs w:val="22"/>
          <w:highlight w:val="none"/>
        </w:rPr>
        <w:t>：</w:t>
      </w:r>
    </w:p>
    <w:p w14:paraId="79EE40DE">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rPr>
        <w:t>包括本文件目录所列全部内容，</w:t>
      </w:r>
      <w:r>
        <w:rPr>
          <w:rFonts w:hint="eastAsia" w:ascii="宋体" w:hAnsi="宋体" w:eastAsia="宋体" w:cs="宋体"/>
          <w:color w:val="auto"/>
          <w:sz w:val="24"/>
          <w:highlight w:val="none"/>
          <w:lang w:eastAsia="zh-CN"/>
        </w:rPr>
        <w:t>投标供应商</w:t>
      </w:r>
      <w:r>
        <w:rPr>
          <w:rFonts w:hint="eastAsia" w:ascii="宋体" w:hAnsi="宋体" w:eastAsia="宋体" w:cs="宋体"/>
          <w:color w:val="auto"/>
          <w:sz w:val="24"/>
          <w:highlight w:val="none"/>
        </w:rPr>
        <w:t>应仔细阅读，并在</w:t>
      </w:r>
      <w:r>
        <w:rPr>
          <w:rFonts w:hint="eastAsia" w:ascii="宋体" w:hAnsi="宋体" w:eastAsia="宋体" w:cs="宋体"/>
          <w:color w:val="auto"/>
          <w:sz w:val="24"/>
          <w:highlight w:val="none"/>
          <w:lang w:eastAsia="zh-CN"/>
        </w:rPr>
        <w:t>投标文件</w:t>
      </w:r>
      <w:r>
        <w:rPr>
          <w:rFonts w:hint="eastAsia" w:ascii="宋体" w:hAnsi="宋体" w:eastAsia="宋体" w:cs="宋体"/>
          <w:color w:val="auto"/>
          <w:sz w:val="24"/>
          <w:highlight w:val="none"/>
        </w:rPr>
        <w:t>中充分响应</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rPr>
        <w:t>的所有要求。</w:t>
      </w:r>
    </w:p>
    <w:p w14:paraId="76D4D398">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rPr>
        <w:t>中的“营业执照”是指供应商的营业执照或相关部门的登记证明文件</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“法定代表人”是指供应商的营业执照或相关部门的登记证明文件中的“法定代表人”或“负责人”。</w:t>
      </w:r>
    </w:p>
    <w:p w14:paraId="52BA041A">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供应商应</w:t>
      </w:r>
      <w:r>
        <w:rPr>
          <w:rFonts w:hint="eastAsia" w:ascii="宋体" w:hAnsi="宋体" w:eastAsia="宋体" w:cs="宋体"/>
          <w:b/>
          <w:bCs/>
          <w:color w:val="auto"/>
          <w:sz w:val="24"/>
          <w:highlight w:val="none"/>
        </w:rPr>
        <w:t>在网上登录“苏采云”系统下载</w:t>
      </w:r>
      <w:r>
        <w:rPr>
          <w:rFonts w:hint="eastAsia" w:ascii="宋体" w:hAnsi="宋体" w:eastAsia="宋体" w:cs="宋体"/>
          <w:b/>
          <w:bCs/>
          <w:color w:val="auto"/>
          <w:sz w:val="24"/>
          <w:highlight w:val="none"/>
          <w:lang w:eastAsia="zh-CN"/>
        </w:rPr>
        <w:t>招标文件</w:t>
      </w:r>
      <w:r>
        <w:rPr>
          <w:rFonts w:hint="eastAsia" w:ascii="宋体" w:hAnsi="宋体" w:eastAsia="宋体" w:cs="宋体"/>
          <w:b/>
          <w:bCs/>
          <w:color w:val="auto"/>
          <w:sz w:val="24"/>
          <w:highlight w:val="none"/>
        </w:rPr>
        <w:t>及有关资料</w:t>
      </w:r>
      <w:r>
        <w:rPr>
          <w:rFonts w:hint="eastAsia" w:ascii="宋体" w:hAnsi="宋体" w:eastAsia="宋体" w:cs="宋体"/>
          <w:color w:val="auto"/>
          <w:sz w:val="24"/>
          <w:highlight w:val="none"/>
        </w:rPr>
        <w:t>，按</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rPr>
        <w:t>要求提交全部资料并对</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rPr>
        <w:t>各项内容做出实质性响应，否则报价无效。</w:t>
      </w:r>
    </w:p>
    <w:p w14:paraId="74453603">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供应商一旦参加本项目报价，即表明承诺接受了本</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rPr>
        <w:t>中的所有条件和规定。</w:t>
      </w:r>
    </w:p>
    <w:p w14:paraId="75C22C35">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招标文件</w:t>
      </w:r>
      <w:r>
        <w:rPr>
          <w:rFonts w:hint="eastAsia" w:ascii="宋体" w:hAnsi="宋体" w:eastAsia="宋体" w:cs="宋体"/>
          <w:color w:val="auto"/>
          <w:sz w:val="24"/>
          <w:highlight w:val="none"/>
        </w:rPr>
        <w:t>仅作为本次采购使用。</w:t>
      </w:r>
    </w:p>
    <w:p w14:paraId="405ADD05">
      <w:pPr>
        <w:keepNext w:val="0"/>
        <w:keepLines w:val="0"/>
        <w:pageBreakBefore w:val="0"/>
        <w:numPr>
          <w:ilvl w:val="0"/>
          <w:numId w:val="0"/>
        </w:numPr>
        <w:spacing w:line="360" w:lineRule="auto"/>
        <w:ind w:firstLine="240"/>
        <w:outlineLvl w:val="9"/>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t>（三）</w:t>
      </w:r>
      <w:r>
        <w:rPr>
          <w:rFonts w:hint="eastAsia" w:ascii="宋体" w:hAnsi="宋体" w:cs="宋体"/>
          <w:color w:val="auto"/>
          <w:sz w:val="24"/>
          <w:szCs w:val="22"/>
          <w:highlight w:val="none"/>
          <w:lang w:eastAsia="zh-CN"/>
        </w:rPr>
        <w:t>招标文件</w:t>
      </w:r>
      <w:r>
        <w:rPr>
          <w:rFonts w:hint="eastAsia" w:ascii="宋体" w:hAnsi="宋体" w:eastAsia="宋体" w:cs="宋体"/>
          <w:color w:val="auto"/>
          <w:sz w:val="24"/>
          <w:szCs w:val="22"/>
          <w:highlight w:val="none"/>
        </w:rPr>
        <w:t>的解释：</w:t>
      </w:r>
    </w:p>
    <w:p w14:paraId="754BA6EF">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eastAsia="zh-CN"/>
        </w:rPr>
        <w:t>1.投标供应商</w:t>
      </w:r>
      <w:r>
        <w:rPr>
          <w:rFonts w:hint="eastAsia" w:ascii="宋体" w:hAnsi="宋体" w:eastAsia="宋体" w:cs="宋体"/>
          <w:color w:val="auto"/>
          <w:sz w:val="24"/>
          <w:highlight w:val="none"/>
        </w:rPr>
        <w:t>如有需要对</w:t>
      </w:r>
      <w:r>
        <w:rPr>
          <w:rFonts w:hint="eastAsia" w:ascii="宋体" w:hAnsi="宋体" w:cs="宋体"/>
          <w:color w:val="auto"/>
          <w:sz w:val="24"/>
          <w:highlight w:val="none"/>
          <w:lang w:eastAsia="zh-CN"/>
        </w:rPr>
        <w:t>招标文件</w:t>
      </w:r>
      <w:r>
        <w:rPr>
          <w:rFonts w:hint="eastAsia" w:ascii="宋体" w:hAnsi="宋体" w:eastAsia="宋体" w:cs="宋体"/>
          <w:color w:val="auto"/>
          <w:sz w:val="24"/>
          <w:highlight w:val="none"/>
        </w:rPr>
        <w:t>要求澄清的问题，请以书面方式提出，并</w:t>
      </w:r>
      <w:r>
        <w:rPr>
          <w:rFonts w:hint="eastAsia" w:ascii="宋体" w:hAnsi="宋体" w:cs="宋体"/>
          <w:color w:val="auto"/>
          <w:sz w:val="24"/>
          <w:highlight w:val="none"/>
          <w:lang w:eastAsia="zh-CN"/>
        </w:rPr>
        <w:t>按照</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投标邀请</w:t>
      </w:r>
      <w:r>
        <w:rPr>
          <w:rFonts w:hint="eastAsia" w:ascii="宋体" w:hAnsi="宋体" w:eastAsia="宋体" w:cs="宋体"/>
          <w:color w:val="auto"/>
          <w:sz w:val="24"/>
          <w:highlight w:val="none"/>
        </w:rPr>
        <w:t>”第</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项规定的时间前将电子邮件及书面传真（两种形式均须发送）至</w:t>
      </w:r>
      <w:r>
        <w:rPr>
          <w:rFonts w:hint="eastAsia" w:ascii="宋体" w:hAnsi="宋体" w:cs="宋体"/>
          <w:color w:val="auto"/>
          <w:sz w:val="24"/>
          <w:highlight w:val="none"/>
          <w:lang w:eastAsia="zh-CN"/>
        </w:rPr>
        <w:t>北京中昌工程咨询有限公司</w:t>
      </w:r>
      <w:r>
        <w:rPr>
          <w:rFonts w:hint="eastAsia" w:ascii="宋体" w:hAnsi="宋体" w:eastAsia="宋体" w:cs="宋体"/>
          <w:color w:val="auto"/>
          <w:sz w:val="24"/>
          <w:highlight w:val="none"/>
        </w:rPr>
        <w:t>，联系方式详见</w:t>
      </w:r>
      <w:r>
        <w:rPr>
          <w:rFonts w:hint="eastAsia" w:ascii="宋体" w:hAnsi="宋体" w:cs="宋体"/>
          <w:color w:val="auto"/>
          <w:sz w:val="24"/>
          <w:highlight w:val="none"/>
          <w:lang w:val="en-US" w:eastAsia="zh-CN"/>
        </w:rPr>
        <w:t>“投标邀请”</w:t>
      </w:r>
      <w:r>
        <w:rPr>
          <w:rFonts w:hint="eastAsia" w:ascii="宋体" w:hAnsi="宋体" w:eastAsia="宋体" w:cs="宋体"/>
          <w:color w:val="auto"/>
          <w:sz w:val="24"/>
          <w:highlight w:val="none"/>
        </w:rPr>
        <w:t>第</w:t>
      </w: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项。</w:t>
      </w:r>
    </w:p>
    <w:p w14:paraId="266C0038">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cs="宋体"/>
          <w:color w:val="auto"/>
          <w:sz w:val="24"/>
          <w:highlight w:val="none"/>
          <w:lang w:eastAsia="zh-CN"/>
        </w:rPr>
        <w:t>2.</w:t>
      </w:r>
      <w:r>
        <w:rPr>
          <w:rFonts w:hint="eastAsia" w:ascii="宋体" w:hAnsi="宋体" w:eastAsia="宋体" w:cs="宋体"/>
          <w:color w:val="auto"/>
          <w:sz w:val="24"/>
          <w:highlight w:val="none"/>
        </w:rPr>
        <w:t>采购人、</w:t>
      </w:r>
      <w:r>
        <w:rPr>
          <w:rFonts w:hint="eastAsia" w:ascii="宋体" w:hAnsi="宋体" w:cs="宋体"/>
          <w:color w:val="auto"/>
          <w:sz w:val="24"/>
          <w:highlight w:val="none"/>
          <w:lang w:eastAsia="zh-CN"/>
        </w:rPr>
        <w:t>北京中昌工程咨询有限公司</w:t>
      </w:r>
      <w:r>
        <w:rPr>
          <w:rFonts w:hint="eastAsia" w:ascii="宋体" w:hAnsi="宋体" w:eastAsia="宋体" w:cs="宋体"/>
          <w:color w:val="auto"/>
          <w:sz w:val="24"/>
          <w:highlight w:val="none"/>
        </w:rPr>
        <w:t>将按“</w:t>
      </w:r>
      <w:r>
        <w:rPr>
          <w:rFonts w:hint="eastAsia" w:ascii="宋体" w:hAnsi="宋体" w:cs="宋体"/>
          <w:color w:val="auto"/>
          <w:sz w:val="24"/>
          <w:highlight w:val="none"/>
          <w:lang w:val="en-US" w:eastAsia="zh-CN"/>
        </w:rPr>
        <w:t>投标邀请</w:t>
      </w:r>
      <w:r>
        <w:rPr>
          <w:rFonts w:hint="eastAsia" w:ascii="宋体" w:hAnsi="宋体" w:eastAsia="宋体" w:cs="宋体"/>
          <w:color w:val="auto"/>
          <w:sz w:val="24"/>
          <w:highlight w:val="none"/>
        </w:rPr>
        <w:t>”第</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项规定的时间对</w:t>
      </w:r>
      <w:r>
        <w:rPr>
          <w:rFonts w:hint="eastAsia" w:ascii="宋体" w:hAnsi="宋体" w:cs="宋体"/>
          <w:color w:val="auto"/>
          <w:sz w:val="24"/>
          <w:highlight w:val="none"/>
          <w:lang w:eastAsia="zh-CN"/>
        </w:rPr>
        <w:t>投标供应商</w:t>
      </w:r>
      <w:r>
        <w:rPr>
          <w:rFonts w:hint="eastAsia" w:ascii="宋体" w:hAnsi="宋体" w:eastAsia="宋体" w:cs="宋体"/>
          <w:color w:val="auto"/>
          <w:sz w:val="24"/>
          <w:highlight w:val="none"/>
        </w:rPr>
        <w:t>针对</w:t>
      </w:r>
      <w:r>
        <w:rPr>
          <w:rFonts w:hint="eastAsia" w:ascii="宋体" w:hAnsi="宋体" w:cs="宋体"/>
          <w:color w:val="auto"/>
          <w:sz w:val="24"/>
          <w:highlight w:val="none"/>
          <w:lang w:eastAsia="zh-CN"/>
        </w:rPr>
        <w:t>招标文件</w:t>
      </w:r>
      <w:r>
        <w:rPr>
          <w:rFonts w:hint="eastAsia" w:ascii="宋体" w:hAnsi="宋体" w:eastAsia="宋体" w:cs="宋体"/>
          <w:color w:val="auto"/>
          <w:sz w:val="24"/>
          <w:highlight w:val="none"/>
        </w:rPr>
        <w:t>书面提出的要求澄清的问题进行答疑。</w:t>
      </w:r>
    </w:p>
    <w:p w14:paraId="4B2B44E1">
      <w:pPr>
        <w:keepNext w:val="0"/>
        <w:keepLines w:val="0"/>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cs="宋体"/>
          <w:color w:val="auto"/>
          <w:sz w:val="24"/>
          <w:highlight w:val="none"/>
          <w:lang w:eastAsia="zh-CN"/>
        </w:rPr>
        <w:t>3.</w:t>
      </w:r>
      <w:r>
        <w:rPr>
          <w:rFonts w:hint="eastAsia" w:ascii="宋体" w:hAnsi="宋体" w:eastAsia="宋体" w:cs="宋体"/>
          <w:color w:val="auto"/>
          <w:sz w:val="24"/>
          <w:highlight w:val="none"/>
        </w:rPr>
        <w:t>本文件的最终解释权归采购人。</w:t>
      </w:r>
    </w:p>
    <w:p w14:paraId="35A47C31">
      <w:pPr>
        <w:keepNext w:val="0"/>
        <w:keepLines w:val="0"/>
        <w:pageBreakBefore w:val="0"/>
        <w:numPr>
          <w:ilvl w:val="0"/>
          <w:numId w:val="0"/>
        </w:numPr>
        <w:spacing w:line="360" w:lineRule="auto"/>
        <w:ind w:firstLine="240"/>
        <w:outlineLvl w:val="9"/>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t>（四）</w:t>
      </w:r>
      <w:r>
        <w:rPr>
          <w:rFonts w:hint="eastAsia" w:ascii="宋体" w:hAnsi="宋体" w:cs="宋体"/>
          <w:color w:val="auto"/>
          <w:sz w:val="24"/>
          <w:szCs w:val="22"/>
          <w:highlight w:val="none"/>
          <w:lang w:eastAsia="zh-CN"/>
        </w:rPr>
        <w:t>招标文件</w:t>
      </w:r>
      <w:r>
        <w:rPr>
          <w:rFonts w:hint="eastAsia" w:ascii="宋体" w:hAnsi="宋体" w:eastAsia="宋体" w:cs="宋体"/>
          <w:color w:val="auto"/>
          <w:sz w:val="24"/>
          <w:szCs w:val="22"/>
          <w:highlight w:val="none"/>
        </w:rPr>
        <w:t>的补充或修正：</w:t>
      </w:r>
    </w:p>
    <w:p w14:paraId="6D3B6E55">
      <w:pPr>
        <w:keepNext w:val="0"/>
        <w:keepLines w:val="0"/>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采购人或者采购代理机构可以对已发出的</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进行必要的澄清或者修改，</w:t>
      </w:r>
      <w:r>
        <w:rPr>
          <w:rFonts w:hint="eastAsia" w:ascii="宋体" w:hAnsi="宋体" w:cs="宋体"/>
          <w:color w:val="auto"/>
          <w:sz w:val="24"/>
          <w:highlight w:val="none"/>
          <w:lang w:eastAsia="zh-CN"/>
        </w:rPr>
        <w:t>北京中昌工程咨询有限公司</w:t>
      </w:r>
      <w:r>
        <w:rPr>
          <w:rFonts w:hint="eastAsia" w:ascii="宋体" w:hAnsi="宋体" w:eastAsia="宋体" w:cs="宋体"/>
          <w:color w:val="auto"/>
          <w:sz w:val="24"/>
          <w:szCs w:val="24"/>
          <w:highlight w:val="none"/>
        </w:rPr>
        <w:t>在</w:t>
      </w:r>
      <w:r>
        <w:rPr>
          <w:rFonts w:hint="eastAsia" w:ascii="宋体" w:hAnsi="宋体" w:cs="宋体"/>
          <w:b/>
          <w:bCs/>
          <w:color w:val="auto"/>
          <w:sz w:val="24"/>
          <w:szCs w:val="24"/>
          <w:highlight w:val="none"/>
          <w:lang w:val="en-US" w:eastAsia="zh-CN"/>
        </w:rPr>
        <w:t>江苏政府采购网</w:t>
      </w:r>
      <w:r>
        <w:rPr>
          <w:rFonts w:hint="eastAsia" w:ascii="宋体" w:hAnsi="宋体" w:eastAsia="宋体" w:cs="宋体"/>
          <w:color w:val="auto"/>
          <w:sz w:val="24"/>
          <w:szCs w:val="24"/>
          <w:highlight w:val="none"/>
        </w:rPr>
        <w:t>上发布澄清公告。澄清或者修改的内容为</w:t>
      </w:r>
      <w:r>
        <w:rPr>
          <w:rFonts w:hint="eastAsia" w:ascii="宋体" w:hAnsi="宋体" w:cs="宋体"/>
          <w:color w:val="auto"/>
          <w:sz w:val="24"/>
          <w:szCs w:val="24"/>
          <w:highlight w:val="none"/>
          <w:lang w:eastAsia="zh-CN"/>
        </w:rPr>
        <w:t>招标文件的</w:t>
      </w:r>
      <w:r>
        <w:rPr>
          <w:rFonts w:hint="eastAsia" w:ascii="宋体" w:hAnsi="宋体" w:eastAsia="宋体" w:cs="宋体"/>
          <w:color w:val="auto"/>
          <w:sz w:val="24"/>
          <w:szCs w:val="24"/>
          <w:highlight w:val="none"/>
        </w:rPr>
        <w:t>组成部分，与</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具有同等约束力。</w:t>
      </w:r>
    </w:p>
    <w:p w14:paraId="43F4CB69">
      <w:pPr>
        <w:keepNext w:val="0"/>
        <w:keepLines w:val="0"/>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澄清或者修改的内容可能影响</w:t>
      </w:r>
      <w:r>
        <w:rPr>
          <w:rFonts w:hint="eastAsia" w:ascii="宋体" w:hAnsi="宋体" w:cs="宋体"/>
          <w:color w:val="auto"/>
          <w:sz w:val="24"/>
          <w:szCs w:val="24"/>
          <w:highlight w:val="none"/>
          <w:lang w:eastAsia="zh-CN"/>
        </w:rPr>
        <w:t>投标文件</w:t>
      </w:r>
      <w:r>
        <w:rPr>
          <w:rFonts w:hint="eastAsia" w:ascii="宋体" w:hAnsi="宋体" w:eastAsia="宋体" w:cs="宋体"/>
          <w:color w:val="auto"/>
          <w:sz w:val="24"/>
          <w:szCs w:val="24"/>
          <w:highlight w:val="none"/>
        </w:rPr>
        <w:t>编制的，采购人或者采购代理机构将在报价截止时间至少</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5日</w:t>
      </w:r>
      <w:r>
        <w:rPr>
          <w:rFonts w:hint="eastAsia" w:ascii="宋体" w:hAnsi="宋体" w:cs="宋体"/>
          <w:color w:val="auto"/>
          <w:sz w:val="24"/>
          <w:szCs w:val="24"/>
          <w:highlight w:val="none"/>
          <w:lang w:eastAsia="zh-CN"/>
        </w:rPr>
        <w:t>前在</w:t>
      </w:r>
      <w:r>
        <w:rPr>
          <w:rFonts w:hint="eastAsia" w:hAnsi="宋体" w:cs="宋体"/>
          <w:b/>
          <w:bCs/>
          <w:color w:val="auto"/>
          <w:sz w:val="24"/>
          <w:szCs w:val="24"/>
          <w:highlight w:val="none"/>
          <w:lang w:val="en-US" w:eastAsia="zh-CN"/>
        </w:rPr>
        <w:t>江苏政府采购网</w:t>
      </w:r>
      <w:r>
        <w:rPr>
          <w:rFonts w:hint="eastAsia" w:ascii="宋体" w:hAnsi="宋体" w:eastAsia="宋体" w:cs="宋体"/>
          <w:color w:val="auto"/>
          <w:sz w:val="24"/>
          <w:szCs w:val="24"/>
          <w:highlight w:val="none"/>
        </w:rPr>
        <w:t>上发布更正公告；不足</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5日的，采购人或者采购代理机构将顺延提交</w:t>
      </w:r>
      <w:r>
        <w:rPr>
          <w:rFonts w:hint="eastAsia" w:ascii="宋体" w:hAnsi="宋体" w:cs="宋体"/>
          <w:color w:val="auto"/>
          <w:sz w:val="24"/>
          <w:szCs w:val="24"/>
          <w:highlight w:val="none"/>
          <w:lang w:eastAsia="zh-CN"/>
        </w:rPr>
        <w:t>投标文件</w:t>
      </w:r>
      <w:r>
        <w:rPr>
          <w:rFonts w:hint="eastAsia" w:ascii="宋体" w:hAnsi="宋体" w:eastAsia="宋体" w:cs="宋体"/>
          <w:color w:val="auto"/>
          <w:sz w:val="24"/>
          <w:szCs w:val="24"/>
          <w:highlight w:val="none"/>
        </w:rPr>
        <w:t>的截止时间。</w:t>
      </w:r>
    </w:p>
    <w:p w14:paraId="34BEF44E">
      <w:pPr>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rPr>
        <w:t>供应商应在</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rPr>
        <w:t>截止时间前关注原采购公告媒体上发布的相关更正公告</w:t>
      </w:r>
      <w:r>
        <w:rPr>
          <w:rFonts w:hint="eastAsia" w:ascii="宋体" w:hAnsi="宋体"/>
          <w:bCs/>
          <w:color w:val="auto"/>
          <w:sz w:val="24"/>
          <w:szCs w:val="24"/>
          <w:highlight w:val="none"/>
        </w:rPr>
        <w:t>。</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bCs/>
          <w:color w:val="auto"/>
          <w:sz w:val="24"/>
          <w:szCs w:val="24"/>
          <w:highlight w:val="none"/>
          <w:lang w:eastAsia="zh-CN"/>
        </w:rPr>
        <w:t>，</w:t>
      </w:r>
      <w:r>
        <w:rPr>
          <w:rFonts w:hint="eastAsia" w:ascii="宋体" w:hAnsi="宋体" w:eastAsia="宋体" w:cs="宋体"/>
          <w:color w:val="auto"/>
          <w:sz w:val="24"/>
          <w:szCs w:val="24"/>
          <w:highlight w:val="none"/>
        </w:rPr>
        <w:t>并通过苏采云平台重新下载更正后的</w:t>
      </w:r>
      <w:r>
        <w:rPr>
          <w:rFonts w:hint="eastAsia" w:ascii="宋体" w:hAnsi="宋体" w:cs="宋体"/>
          <w:color w:val="auto"/>
          <w:sz w:val="24"/>
          <w:szCs w:val="24"/>
          <w:highlight w:val="none"/>
          <w:lang w:eastAsia="zh-CN"/>
        </w:rPr>
        <w:t>招标文件</w:t>
      </w:r>
      <w:r>
        <w:rPr>
          <w:rFonts w:hint="eastAsia" w:ascii="宋体" w:hAnsi="宋体" w:eastAsia="宋体" w:cs="宋体"/>
          <w:color w:val="auto"/>
          <w:sz w:val="24"/>
          <w:szCs w:val="24"/>
          <w:highlight w:val="none"/>
        </w:rPr>
        <w:t>（后缀名为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kedt”），离线编制</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文件，因供应商未尽注意义务，</w:t>
      </w:r>
      <w:r>
        <w:rPr>
          <w:rFonts w:hint="eastAsia" w:ascii="宋体" w:hAnsi="宋体"/>
          <w:bCs/>
          <w:color w:val="auto"/>
          <w:sz w:val="24"/>
          <w:szCs w:val="24"/>
          <w:highlight w:val="none"/>
        </w:rPr>
        <w:t>未及时更新上传投标文件</w:t>
      </w:r>
      <w:r>
        <w:rPr>
          <w:rFonts w:hint="eastAsia" w:ascii="宋体" w:hAnsi="宋体"/>
          <w:color w:val="auto"/>
          <w:sz w:val="24"/>
          <w:szCs w:val="24"/>
          <w:highlight w:val="none"/>
        </w:rPr>
        <w:t>或未</w:t>
      </w:r>
      <w:r>
        <w:rPr>
          <w:rFonts w:hint="eastAsia" w:ascii="宋体" w:hAnsi="宋体"/>
          <w:color w:val="auto"/>
          <w:sz w:val="24"/>
          <w:szCs w:val="24"/>
          <w:highlight w:val="none"/>
          <w:lang w:eastAsia="zh-CN"/>
        </w:rPr>
        <w:t>全面</w:t>
      </w:r>
      <w:r>
        <w:rPr>
          <w:rFonts w:hint="eastAsia" w:ascii="宋体" w:hAnsi="宋体"/>
          <w:bCs/>
          <w:color w:val="auto"/>
          <w:sz w:val="24"/>
          <w:szCs w:val="24"/>
          <w:highlight w:val="none"/>
        </w:rPr>
        <w:t>关注更正公告导致其提交的投标材料不符合本项目相关招标要求</w:t>
      </w:r>
      <w:r>
        <w:rPr>
          <w:rFonts w:hint="eastAsia" w:ascii="宋体" w:hAnsi="宋体" w:eastAsia="宋体" w:cs="宋体"/>
          <w:color w:val="auto"/>
          <w:sz w:val="24"/>
          <w:szCs w:val="24"/>
          <w:highlight w:val="none"/>
        </w:rPr>
        <w:t>，而造成的损失及风险（包括但不限于未</w:t>
      </w:r>
      <w:r>
        <w:rPr>
          <w:rFonts w:hint="eastAsia" w:ascii="宋体" w:hAnsi="宋体" w:cs="宋体"/>
          <w:color w:val="auto"/>
          <w:sz w:val="24"/>
          <w:szCs w:val="24"/>
          <w:highlight w:val="none"/>
          <w:lang w:val="en-US" w:eastAsia="zh-CN"/>
        </w:rPr>
        <w:t>中标</w:t>
      </w:r>
      <w:r>
        <w:rPr>
          <w:rFonts w:hint="eastAsia" w:ascii="宋体" w:hAnsi="宋体" w:eastAsia="宋体" w:cs="宋体"/>
          <w:color w:val="auto"/>
          <w:sz w:val="24"/>
          <w:szCs w:val="24"/>
          <w:highlight w:val="none"/>
        </w:rPr>
        <w:t>）由</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rPr>
        <w:t>供应商自行承担。</w:t>
      </w:r>
    </w:p>
    <w:p w14:paraId="6F31097F">
      <w:pPr>
        <w:keepNext w:val="0"/>
        <w:keepLines w:val="0"/>
        <w:pageBreakBefore w:val="0"/>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提出质疑的供应商应当是参与所质疑项目采购活动的供应商。潜在供应商已依法获取其可质疑的</w:t>
      </w:r>
      <w:r>
        <w:rPr>
          <w:rFonts w:hint="eastAsia" w:ascii="宋体"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rPr>
        <w:t>的，可以对</w:t>
      </w:r>
      <w:r>
        <w:rPr>
          <w:rFonts w:hint="eastAsia" w:ascii="宋体"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rPr>
        <w:t>提出质疑。供应商认为</w:t>
      </w:r>
      <w:r>
        <w:rPr>
          <w:rFonts w:hint="eastAsia" w:ascii="宋体"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rPr>
        <w:t>使自己的权益受到损害的，可以自获取</w:t>
      </w:r>
      <w:r>
        <w:rPr>
          <w:rFonts w:hint="eastAsia" w:ascii="宋体"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rPr>
        <w:t>之日或者</w:t>
      </w:r>
      <w:r>
        <w:rPr>
          <w:rFonts w:hint="eastAsia" w:ascii="宋体" w:hAnsi="宋体" w:cs="宋体"/>
          <w:color w:val="auto"/>
          <w:sz w:val="24"/>
          <w:szCs w:val="24"/>
          <w:highlight w:val="none"/>
          <w:lang w:val="en-US" w:eastAsia="zh-CN"/>
        </w:rPr>
        <w:t>招标文件</w:t>
      </w:r>
      <w:r>
        <w:rPr>
          <w:rFonts w:hint="eastAsia" w:ascii="宋体" w:hAnsi="宋体" w:eastAsia="宋体" w:cs="宋体"/>
          <w:color w:val="auto"/>
          <w:sz w:val="24"/>
          <w:szCs w:val="24"/>
          <w:highlight w:val="none"/>
        </w:rPr>
        <w:t>公告期限届满之日起7个工作日内，以书面形式（原件）向</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提出质疑。针对同一采购程序环节的质疑，须在法定质疑期内一次性提出。供应商在法定质疑期限外送达的质疑函或法定质疑期限内送达的质疑函不符合上述要求的均为无效质疑，</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对无效质疑不予受理。</w:t>
      </w:r>
    </w:p>
    <w:p w14:paraId="724AB7CE">
      <w:pPr>
        <w:keepNext w:val="0"/>
        <w:keepLines w:val="0"/>
        <w:pageBreakBefore w:val="0"/>
        <w:spacing w:line="360" w:lineRule="auto"/>
        <w:ind w:firstLine="240"/>
        <w:outlineLvl w:val="9"/>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（五）投标文件的组成：</w:t>
      </w:r>
    </w:p>
    <w:p w14:paraId="6E4B552E">
      <w:pPr>
        <w:keepNext w:val="0"/>
        <w:keepLines w:val="0"/>
        <w:pageBreakBefore w:val="0"/>
        <w:spacing w:line="360" w:lineRule="auto"/>
        <w:ind w:firstLine="240"/>
        <w:outlineLvl w:val="9"/>
        <w:rPr>
          <w:rStyle w:val="306"/>
          <w:rFonts w:hint="eastAsia" w:ascii="宋体" w:hAnsi="宋体" w:eastAsia="宋体" w:cs="宋体"/>
          <w:b w:val="0"/>
          <w:bCs w:val="0"/>
          <w:i/>
          <w:iCs/>
          <w:color w:val="auto"/>
          <w:sz w:val="24"/>
          <w:szCs w:val="24"/>
          <w:highlight w:val="none"/>
          <w:u w:val="single"/>
          <w:lang w:val="en-US" w:eastAsia="zh-CN"/>
        </w:rPr>
      </w:pPr>
      <w:r>
        <w:rPr>
          <w:rStyle w:val="306"/>
          <w:rFonts w:hint="eastAsia" w:ascii="宋体" w:hAnsi="宋体" w:eastAsia="宋体" w:cs="宋体"/>
          <w:b w:val="0"/>
          <w:bCs w:val="0"/>
          <w:i w:val="0"/>
          <w:iCs w:val="0"/>
          <w:color w:val="auto"/>
          <w:sz w:val="24"/>
          <w:szCs w:val="24"/>
          <w:highlight w:val="none"/>
          <w:u w:val="single"/>
          <w:lang w:val="en-US" w:eastAsia="zh-CN"/>
        </w:rPr>
        <w:t>（</w:t>
      </w:r>
      <w:r>
        <w:rPr>
          <w:rStyle w:val="306"/>
          <w:rFonts w:hint="eastAsia" w:ascii="宋体" w:hAnsi="宋体" w:cs="宋体"/>
          <w:b w:val="0"/>
          <w:bCs w:val="0"/>
          <w:i w:val="0"/>
          <w:iCs w:val="0"/>
          <w:color w:val="auto"/>
          <w:sz w:val="24"/>
          <w:szCs w:val="24"/>
          <w:highlight w:val="none"/>
          <w:u w:val="single"/>
          <w:lang w:val="en-US" w:eastAsia="zh-CN"/>
        </w:rPr>
        <w:t>投标</w:t>
      </w:r>
      <w:r>
        <w:rPr>
          <w:rStyle w:val="306"/>
          <w:rFonts w:hint="eastAsia" w:ascii="宋体" w:hAnsi="宋体" w:eastAsia="宋体" w:cs="宋体"/>
          <w:b w:val="0"/>
          <w:bCs w:val="0"/>
          <w:i w:val="0"/>
          <w:iCs w:val="0"/>
          <w:color w:val="auto"/>
          <w:sz w:val="24"/>
          <w:szCs w:val="24"/>
          <w:highlight w:val="none"/>
          <w:u w:val="single"/>
          <w:lang w:val="en-US" w:eastAsia="zh-CN"/>
        </w:rPr>
        <w:t>供应商按下列要求及附件中规定的格式规范进行编制，提供的资料必须按规定签章）</w:t>
      </w:r>
    </w:p>
    <w:p w14:paraId="580E66E7">
      <w:pPr>
        <w:pStyle w:val="126"/>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投标供应商编写的投标文件应包括资格证明文件、符合性证明文件、技术方案、其他等内容。</w:t>
      </w:r>
    </w:p>
    <w:p w14:paraId="3E44BDF4">
      <w:pPr>
        <w:pStyle w:val="126"/>
        <w:numPr>
          <w:ilvl w:val="0"/>
          <w:numId w:val="0"/>
        </w:numPr>
        <w:spacing w:line="360" w:lineRule="auto"/>
        <w:ind w:firstLine="482"/>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1.资格证明文件</w:t>
      </w:r>
    </w:p>
    <w:p w14:paraId="2B775662">
      <w:pPr>
        <w:pStyle w:val="126"/>
        <w:spacing w:line="360" w:lineRule="auto"/>
        <w:ind w:firstLine="480"/>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1.1基本条件</w:t>
      </w:r>
    </w:p>
    <w:p w14:paraId="1B94547C">
      <w:pPr>
        <w:pStyle w:val="66"/>
        <w:keepNext w:val="0"/>
        <w:keepLines w:val="0"/>
        <w:pageBreakBefore w:val="0"/>
        <w:widowControl w:val="0"/>
        <w:numPr>
          <w:ilvl w:val="0"/>
          <w:numId w:val="0"/>
        </w:numPr>
        <w:tabs>
          <w:tab w:val="clear" w:pos="420"/>
        </w:tabs>
        <w:spacing w:after="0" w:line="360" w:lineRule="auto"/>
        <w:ind w:firstLine="480"/>
        <w:rPr>
          <w:rFonts w:hint="eastAsia" w:eastAsia="宋体"/>
          <w:b w:val="0"/>
          <w:bCs/>
          <w:highlight w:val="none"/>
          <w:lang w:val="en-US" w:eastAsia="zh-CN"/>
        </w:rPr>
      </w:pPr>
      <w:r>
        <w:rPr>
          <w:rFonts w:hint="eastAsia" w:ascii="宋体" w:hAnsi="宋体" w:cs="宋体"/>
          <w:b w:val="0"/>
          <w:bCs/>
          <w:color w:val="auto"/>
          <w:sz w:val="24"/>
          <w:szCs w:val="24"/>
          <w:highlight w:val="none"/>
          <w:lang w:val="en-US" w:eastAsia="zh-CN" w:bidi="ar-SA"/>
        </w:rPr>
        <w:t>（1）</w:t>
      </w:r>
      <w:r>
        <w:rPr>
          <w:rFonts w:hint="eastAsia" w:ascii="宋体" w:hAnsi="宋体" w:cs="宋体"/>
          <w:b w:val="0"/>
          <w:bCs/>
          <w:color w:val="auto"/>
          <w:sz w:val="24"/>
          <w:szCs w:val="24"/>
          <w:highlight w:val="none"/>
          <w:lang w:val="en-US" w:eastAsia="zh-CN"/>
        </w:rPr>
        <w:t>关于资格的声明函</w:t>
      </w:r>
      <w:r>
        <w:rPr>
          <w:rFonts w:hint="eastAsia" w:ascii="宋体" w:hAnsi="宋体" w:eastAsia="宋体" w:cs="宋体"/>
          <w:b w:val="0"/>
          <w:bCs/>
          <w:i w:val="0"/>
          <w:iCs w:val="0"/>
          <w:color w:val="auto"/>
          <w:sz w:val="24"/>
          <w:szCs w:val="24"/>
          <w:highlight w:val="none"/>
        </w:rPr>
        <w:t>（格式见附件）</w:t>
      </w:r>
      <w:r>
        <w:rPr>
          <w:rFonts w:hint="eastAsia" w:ascii="宋体" w:hAnsi="宋体" w:cs="宋体"/>
          <w:b w:val="0"/>
          <w:bCs/>
          <w:i w:val="0"/>
          <w:iCs w:val="0"/>
          <w:color w:val="auto"/>
          <w:sz w:val="24"/>
          <w:szCs w:val="24"/>
          <w:highlight w:val="none"/>
          <w:lang w:eastAsia="zh-CN"/>
        </w:rPr>
        <w:t>；</w:t>
      </w:r>
    </w:p>
    <w:p w14:paraId="3A34EEC1">
      <w:pPr>
        <w:pStyle w:val="66"/>
        <w:keepNext w:val="0"/>
        <w:keepLines w:val="0"/>
        <w:pageBreakBefore w:val="0"/>
        <w:widowControl w:val="0"/>
        <w:numPr>
          <w:ilvl w:val="0"/>
          <w:numId w:val="0"/>
        </w:numPr>
        <w:tabs>
          <w:tab w:val="clear" w:pos="420"/>
        </w:tabs>
        <w:spacing w:after="0" w:line="360" w:lineRule="auto"/>
        <w:ind w:firstLine="480"/>
        <w:rPr>
          <w:rFonts w:hint="eastAsia" w:ascii="宋体" w:hAnsi="宋体" w:cs="宋体"/>
          <w:b w:val="0"/>
          <w:bCs/>
          <w:i w:val="0"/>
          <w:iCs w:val="0"/>
          <w:color w:val="auto"/>
          <w:sz w:val="24"/>
          <w:szCs w:val="24"/>
          <w:highlight w:val="none"/>
          <w:lang w:eastAsia="zh-CN"/>
        </w:rPr>
      </w:pPr>
      <w:r>
        <w:rPr>
          <w:rFonts w:hint="eastAsia" w:ascii="宋体" w:hAnsi="宋体" w:cs="宋体"/>
          <w:b w:val="0"/>
          <w:bCs/>
          <w:i w:val="0"/>
          <w:iCs w:val="0"/>
          <w:color w:val="auto"/>
          <w:sz w:val="24"/>
          <w:szCs w:val="24"/>
          <w:highlight w:val="none"/>
          <w:lang w:eastAsia="zh-CN"/>
        </w:rPr>
        <w:t>（</w:t>
      </w:r>
      <w:r>
        <w:rPr>
          <w:rFonts w:hint="eastAsia" w:ascii="宋体" w:hAnsi="宋体" w:cs="宋体"/>
          <w:b w:val="0"/>
          <w:bCs/>
          <w:i w:val="0"/>
          <w:iCs w:val="0"/>
          <w:color w:val="auto"/>
          <w:sz w:val="24"/>
          <w:szCs w:val="24"/>
          <w:highlight w:val="none"/>
          <w:lang w:val="en-US" w:eastAsia="zh-CN"/>
        </w:rPr>
        <w:t>2</w:t>
      </w:r>
      <w:r>
        <w:rPr>
          <w:rFonts w:hint="eastAsia" w:ascii="宋体" w:hAnsi="宋体" w:cs="宋体"/>
          <w:b w:val="0"/>
          <w:bCs/>
          <w:i w:val="0"/>
          <w:iCs w:val="0"/>
          <w:color w:val="auto"/>
          <w:sz w:val="24"/>
          <w:szCs w:val="24"/>
          <w:highlight w:val="none"/>
          <w:lang w:eastAsia="zh-CN"/>
        </w:rPr>
        <w:t>）投标人法定代表人授权委托书（格式见附件，法定代表人亲自参与投标需提供法定代表人身份证明书）；</w:t>
      </w:r>
    </w:p>
    <w:p w14:paraId="1D363414">
      <w:pPr>
        <w:pStyle w:val="66"/>
        <w:keepNext w:val="0"/>
        <w:keepLines w:val="0"/>
        <w:pageBreakBefore w:val="0"/>
        <w:widowControl w:val="0"/>
        <w:numPr>
          <w:ilvl w:val="0"/>
          <w:numId w:val="0"/>
        </w:numPr>
        <w:tabs>
          <w:tab w:val="clear" w:pos="420"/>
        </w:tabs>
        <w:spacing w:after="0" w:line="360" w:lineRule="auto"/>
        <w:ind w:firstLine="480"/>
        <w:rPr>
          <w:rFonts w:hint="default" w:ascii="宋体" w:hAnsi="宋体" w:cs="宋体"/>
          <w:b w:val="0"/>
          <w:bCs/>
          <w:i w:val="0"/>
          <w:iCs w:val="0"/>
          <w:color w:val="auto"/>
          <w:sz w:val="24"/>
          <w:szCs w:val="24"/>
          <w:highlight w:val="none"/>
          <w:lang w:val="en-US" w:eastAsia="zh-CN"/>
        </w:rPr>
      </w:pPr>
      <w:r>
        <w:rPr>
          <w:rFonts w:hint="eastAsia" w:ascii="宋体" w:hAnsi="宋体"/>
          <w:b w:val="0"/>
          <w:bCs/>
          <w:color w:val="auto"/>
          <w:sz w:val="24"/>
          <w:highlight w:val="none"/>
          <w:lang w:eastAsia="zh-CN"/>
        </w:rPr>
        <w:t>（</w:t>
      </w:r>
      <w:r>
        <w:rPr>
          <w:rFonts w:hint="eastAsia" w:ascii="宋体" w:hAnsi="宋体"/>
          <w:b w:val="0"/>
          <w:bCs/>
          <w:color w:val="auto"/>
          <w:sz w:val="24"/>
          <w:highlight w:val="none"/>
          <w:lang w:val="en-US" w:eastAsia="zh-CN"/>
        </w:rPr>
        <w:t>3</w:t>
      </w:r>
      <w:r>
        <w:rPr>
          <w:rFonts w:hint="eastAsia" w:ascii="宋体" w:hAnsi="宋体"/>
          <w:b w:val="0"/>
          <w:bCs/>
          <w:color w:val="auto"/>
          <w:sz w:val="24"/>
          <w:highlight w:val="none"/>
          <w:lang w:eastAsia="zh-CN"/>
        </w:rPr>
        <w:t>）</w:t>
      </w:r>
      <w:r>
        <w:rPr>
          <w:rFonts w:hint="eastAsia" w:ascii="宋体" w:hAnsi="宋体"/>
          <w:b w:val="0"/>
          <w:bCs/>
          <w:color w:val="auto"/>
          <w:sz w:val="24"/>
          <w:highlight w:val="none"/>
        </w:rPr>
        <w:t>投标人的法定代表人身份证及被授权委托人的身份证原件扫描件</w:t>
      </w:r>
      <w:r>
        <w:rPr>
          <w:rFonts w:hint="eastAsia" w:ascii="宋体" w:hAnsi="宋体"/>
          <w:b w:val="0"/>
          <w:bCs/>
          <w:color w:val="auto"/>
          <w:sz w:val="24"/>
          <w:highlight w:val="none"/>
          <w:lang w:eastAsia="zh-CN"/>
        </w:rPr>
        <w:t>；</w:t>
      </w:r>
      <w:r>
        <w:rPr>
          <w:rFonts w:hint="eastAsia" w:ascii="宋体" w:hAnsi="宋体"/>
          <w:b w:val="0"/>
          <w:bCs/>
          <w:color w:val="auto"/>
          <w:sz w:val="24"/>
          <w:highlight w:val="none"/>
        </w:rPr>
        <w:t>（身份证应为正、反面）</w:t>
      </w:r>
    </w:p>
    <w:p w14:paraId="70884117">
      <w:pPr>
        <w:keepNext w:val="0"/>
        <w:keepLines w:val="0"/>
        <w:pageBreakBefore w:val="0"/>
        <w:widowControl w:val="0"/>
        <w:numPr>
          <w:ilvl w:val="0"/>
          <w:numId w:val="0"/>
        </w:numPr>
        <w:spacing w:line="360" w:lineRule="auto"/>
        <w:ind w:firstLine="480"/>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（4）投标供应商</w:t>
      </w:r>
      <w:r>
        <w:rPr>
          <w:rFonts w:hint="eastAsia" w:ascii="宋体" w:hAnsi="宋体" w:eastAsia="宋体" w:cs="宋体"/>
          <w:b w:val="0"/>
          <w:bCs/>
          <w:color w:val="auto"/>
          <w:sz w:val="24"/>
          <w:szCs w:val="24"/>
          <w:highlight w:val="none"/>
          <w:lang w:val="en-US" w:eastAsia="zh-CN"/>
        </w:rPr>
        <w:t>法人营业执照副本或相关部门登记的法人证书副本或自然人身份证原件扫描件并电子签章</w:t>
      </w:r>
      <w:r>
        <w:rPr>
          <w:rFonts w:hint="eastAsia" w:ascii="宋体" w:hAnsi="宋体" w:cs="宋体"/>
          <w:b w:val="0"/>
          <w:bCs/>
          <w:color w:val="auto"/>
          <w:sz w:val="24"/>
          <w:szCs w:val="24"/>
          <w:highlight w:val="none"/>
          <w:lang w:val="en-US" w:eastAsia="zh-CN"/>
        </w:rPr>
        <w:t>（</w:t>
      </w:r>
      <w:r>
        <w:rPr>
          <w:rFonts w:hint="eastAsia" w:ascii="宋体" w:hAnsi="宋体" w:cs="宋体"/>
          <w:b w:val="0"/>
          <w:bCs/>
          <w:i w:val="0"/>
          <w:iCs w:val="0"/>
          <w:color w:val="auto"/>
          <w:sz w:val="24"/>
          <w:szCs w:val="24"/>
          <w:highlight w:val="none"/>
          <w:lang w:val="en-US" w:eastAsia="zh-CN" w:bidi="ar-SA"/>
        </w:rPr>
        <w:t>投标供应商如</w:t>
      </w:r>
      <w:r>
        <w:rPr>
          <w:rFonts w:hint="eastAsia" w:ascii="宋体" w:hAnsi="宋体" w:eastAsia="宋体" w:cs="宋体"/>
          <w:b w:val="0"/>
          <w:bCs/>
          <w:i w:val="0"/>
          <w:iCs w:val="0"/>
          <w:color w:val="auto"/>
          <w:sz w:val="24"/>
          <w:szCs w:val="24"/>
          <w:highlight w:val="none"/>
          <w:lang w:val="en-US" w:eastAsia="zh-CN" w:bidi="ar-SA"/>
        </w:rPr>
        <w:t>允许以分支机构身份参加</w:t>
      </w:r>
      <w:r>
        <w:rPr>
          <w:rFonts w:hint="eastAsia" w:ascii="宋体" w:hAnsi="宋体" w:cs="宋体"/>
          <w:b w:val="0"/>
          <w:bCs/>
          <w:i w:val="0"/>
          <w:iCs w:val="0"/>
          <w:color w:val="auto"/>
          <w:sz w:val="24"/>
          <w:szCs w:val="24"/>
          <w:highlight w:val="none"/>
          <w:lang w:val="en-US" w:eastAsia="zh-CN" w:bidi="ar-SA"/>
        </w:rPr>
        <w:t>投标</w:t>
      </w:r>
      <w:r>
        <w:rPr>
          <w:rFonts w:hint="eastAsia" w:ascii="宋体" w:hAnsi="宋体" w:eastAsia="宋体" w:cs="宋体"/>
          <w:b w:val="0"/>
          <w:bCs/>
          <w:i w:val="0"/>
          <w:iCs w:val="0"/>
          <w:color w:val="auto"/>
          <w:sz w:val="24"/>
          <w:szCs w:val="24"/>
          <w:highlight w:val="none"/>
          <w:lang w:val="en-US" w:eastAsia="zh-CN" w:bidi="ar-SA"/>
        </w:rPr>
        <w:t>的，提供</w:t>
      </w:r>
      <w:r>
        <w:rPr>
          <w:rFonts w:hint="eastAsia" w:ascii="宋体" w:hAnsi="宋体" w:cs="宋体"/>
          <w:b w:val="0"/>
          <w:bCs/>
          <w:i w:val="0"/>
          <w:iCs w:val="0"/>
          <w:color w:val="auto"/>
          <w:sz w:val="24"/>
          <w:szCs w:val="24"/>
          <w:highlight w:val="none"/>
          <w:lang w:val="en-US" w:eastAsia="zh-CN" w:bidi="ar-SA"/>
        </w:rPr>
        <w:t>投标供应商</w:t>
      </w:r>
      <w:r>
        <w:rPr>
          <w:rFonts w:hint="eastAsia" w:ascii="宋体" w:hAnsi="宋体" w:eastAsia="宋体" w:cs="宋体"/>
          <w:b w:val="0"/>
          <w:bCs/>
          <w:i w:val="0"/>
          <w:iCs w:val="0"/>
          <w:color w:val="auto"/>
          <w:sz w:val="24"/>
          <w:szCs w:val="24"/>
          <w:highlight w:val="none"/>
          <w:lang w:val="en-US" w:eastAsia="zh-CN" w:bidi="ar-SA"/>
        </w:rPr>
        <w:t>分支机构的营业执照</w:t>
      </w:r>
      <w:r>
        <w:rPr>
          <w:rFonts w:hint="eastAsia" w:ascii="宋体" w:hAnsi="宋体" w:cs="宋体"/>
          <w:b w:val="0"/>
          <w:bCs/>
          <w:i w:val="0"/>
          <w:iCs w:val="0"/>
          <w:color w:val="auto"/>
          <w:sz w:val="24"/>
          <w:szCs w:val="24"/>
          <w:highlight w:val="none"/>
          <w:lang w:val="en-US" w:eastAsia="zh-CN" w:bidi="ar-SA"/>
        </w:rPr>
        <w:t>副本</w:t>
      </w:r>
      <w:r>
        <w:rPr>
          <w:rFonts w:hint="eastAsia" w:ascii="宋体" w:hAnsi="宋体" w:eastAsia="宋体" w:cs="宋体"/>
          <w:b w:val="0"/>
          <w:bCs/>
          <w:i w:val="0"/>
          <w:iCs w:val="0"/>
          <w:color w:val="auto"/>
          <w:sz w:val="24"/>
          <w:szCs w:val="24"/>
          <w:highlight w:val="none"/>
          <w:lang w:val="en-US" w:eastAsia="zh-CN" w:bidi="ar-SA"/>
        </w:rPr>
        <w:t>复印件</w:t>
      </w:r>
      <w:r>
        <w:rPr>
          <w:rFonts w:hint="eastAsia" w:ascii="宋体" w:hAnsi="宋体" w:cs="宋体"/>
          <w:b w:val="0"/>
          <w:bCs/>
          <w:i w:val="0"/>
          <w:iCs w:val="0"/>
          <w:color w:val="auto"/>
          <w:sz w:val="24"/>
          <w:szCs w:val="24"/>
          <w:highlight w:val="none"/>
          <w:lang w:val="en-US" w:eastAsia="zh-CN" w:bidi="ar-SA"/>
        </w:rPr>
        <w:t>）</w:t>
      </w:r>
      <w:r>
        <w:rPr>
          <w:rFonts w:hint="eastAsia" w:ascii="宋体" w:hAnsi="宋体" w:eastAsia="宋体" w:cs="宋体"/>
          <w:b w:val="0"/>
          <w:bCs/>
          <w:i w:val="0"/>
          <w:iCs w:val="0"/>
          <w:color w:val="auto"/>
          <w:sz w:val="24"/>
          <w:szCs w:val="24"/>
          <w:highlight w:val="none"/>
          <w:lang w:val="en-US" w:eastAsia="zh-CN"/>
        </w:rPr>
        <w:t>；</w:t>
      </w:r>
    </w:p>
    <w:p w14:paraId="02013D05">
      <w:pPr>
        <w:keepNext w:val="0"/>
        <w:keepLines w:val="0"/>
        <w:pageBreakBefore w:val="0"/>
        <w:widowControl w:val="0"/>
        <w:numPr>
          <w:ilvl w:val="0"/>
          <w:numId w:val="0"/>
        </w:numPr>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w:t>
      </w:r>
      <w:r>
        <w:rPr>
          <w:rFonts w:hint="eastAsia" w:ascii="宋体" w:hAnsi="宋体" w:cs="宋体"/>
          <w:b w:val="0"/>
          <w:bCs/>
          <w:color w:val="auto"/>
          <w:sz w:val="24"/>
          <w:szCs w:val="24"/>
          <w:highlight w:val="none"/>
          <w:lang w:val="en-US" w:eastAsia="zh-CN" w:bidi="ar-SA"/>
        </w:rPr>
        <w:t>5</w:t>
      </w:r>
      <w:r>
        <w:rPr>
          <w:rFonts w:hint="eastAsia" w:ascii="宋体" w:hAnsi="宋体" w:eastAsia="宋体" w:cs="宋体"/>
          <w:b w:val="0"/>
          <w:bCs/>
          <w:color w:val="auto"/>
          <w:sz w:val="24"/>
          <w:szCs w:val="24"/>
          <w:highlight w:val="none"/>
          <w:lang w:val="en-US" w:eastAsia="zh-CN" w:bidi="ar-SA"/>
        </w:rPr>
        <w:t>）</w:t>
      </w:r>
      <w:r>
        <w:rPr>
          <w:rFonts w:hint="eastAsia" w:ascii="宋体" w:hAnsi="宋体" w:cs="宋体"/>
          <w:b w:val="0"/>
          <w:bCs/>
          <w:color w:val="auto"/>
          <w:sz w:val="24"/>
          <w:szCs w:val="24"/>
          <w:highlight w:val="none"/>
          <w:lang w:val="en-US" w:eastAsia="zh-CN"/>
        </w:rPr>
        <w:t>投标供应商近一年中任意一个月（不含开标当月）</w:t>
      </w:r>
      <w:r>
        <w:rPr>
          <w:rFonts w:hint="eastAsia" w:ascii="宋体" w:hAnsi="宋体" w:eastAsia="宋体" w:cs="宋体"/>
          <w:b w:val="0"/>
          <w:bCs/>
          <w:color w:val="auto"/>
          <w:sz w:val="24"/>
          <w:szCs w:val="24"/>
          <w:highlight w:val="none"/>
        </w:rPr>
        <w:t>的财务状况报告（资产负债表和利润表）</w:t>
      </w:r>
      <w:r>
        <w:rPr>
          <w:rFonts w:hint="eastAsia" w:ascii="宋体" w:hAnsi="宋体" w:cs="宋体"/>
          <w:b w:val="0"/>
          <w:bCs/>
          <w:color w:val="auto"/>
          <w:sz w:val="24"/>
          <w:szCs w:val="24"/>
          <w:highlight w:val="none"/>
          <w:lang w:val="en-US" w:eastAsia="zh-CN"/>
        </w:rPr>
        <w:t>或由会计师事务所出具的（2024年度或2025年度）审计报告</w:t>
      </w:r>
      <w:r>
        <w:rPr>
          <w:rFonts w:hint="eastAsia" w:ascii="宋体" w:hAnsi="宋体" w:eastAsia="宋体" w:cs="宋体"/>
          <w:b w:val="0"/>
          <w:bCs/>
          <w:color w:val="auto"/>
          <w:sz w:val="24"/>
          <w:szCs w:val="24"/>
          <w:highlight w:val="none"/>
        </w:rPr>
        <w:t>和所附已审财务报告</w:t>
      </w:r>
      <w:r>
        <w:rPr>
          <w:rFonts w:hint="eastAsia" w:ascii="宋体" w:hAnsi="宋体" w:eastAsia="宋体" w:cs="宋体"/>
          <w:b w:val="0"/>
          <w:bCs/>
          <w:color w:val="auto"/>
          <w:sz w:val="24"/>
          <w:szCs w:val="24"/>
          <w:highlight w:val="none"/>
          <w:lang w:val="en-US" w:eastAsia="zh-CN"/>
        </w:rPr>
        <w:t>扫描件并电子签章</w:t>
      </w:r>
      <w:r>
        <w:rPr>
          <w:rFonts w:hint="eastAsia" w:ascii="宋体" w:hAnsi="宋体" w:eastAsia="宋体" w:cs="宋体"/>
          <w:b w:val="0"/>
          <w:bCs/>
          <w:color w:val="auto"/>
          <w:sz w:val="24"/>
          <w:szCs w:val="24"/>
          <w:highlight w:val="none"/>
        </w:rPr>
        <w:t>；</w:t>
      </w:r>
    </w:p>
    <w:p w14:paraId="14B11476">
      <w:pPr>
        <w:keepNext w:val="0"/>
        <w:keepLines w:val="0"/>
        <w:pageBreakBefore w:val="0"/>
        <w:widowControl w:val="0"/>
        <w:numPr>
          <w:ilvl w:val="0"/>
          <w:numId w:val="0"/>
        </w:numPr>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w:t>
      </w:r>
      <w:r>
        <w:rPr>
          <w:rFonts w:hint="eastAsia" w:ascii="宋体" w:hAnsi="宋体" w:cs="宋体"/>
          <w:b w:val="0"/>
          <w:bCs/>
          <w:color w:val="auto"/>
          <w:sz w:val="24"/>
          <w:szCs w:val="24"/>
          <w:highlight w:val="none"/>
          <w:lang w:val="en-US" w:eastAsia="zh-CN" w:bidi="ar-SA"/>
        </w:rPr>
        <w:t>6</w:t>
      </w:r>
      <w:r>
        <w:rPr>
          <w:rFonts w:hint="eastAsia" w:ascii="宋体" w:hAnsi="宋体" w:eastAsia="宋体" w:cs="宋体"/>
          <w:b w:val="0"/>
          <w:bCs/>
          <w:color w:val="auto"/>
          <w:sz w:val="24"/>
          <w:szCs w:val="24"/>
          <w:highlight w:val="none"/>
          <w:lang w:val="en-US" w:eastAsia="zh-CN" w:bidi="ar-SA"/>
        </w:rPr>
        <w:t>）</w:t>
      </w:r>
      <w:r>
        <w:rPr>
          <w:rFonts w:hint="eastAsia" w:ascii="宋体" w:hAnsi="宋体" w:cs="宋体"/>
          <w:b w:val="0"/>
          <w:bCs/>
          <w:color w:val="auto"/>
          <w:sz w:val="24"/>
          <w:szCs w:val="24"/>
          <w:highlight w:val="none"/>
          <w:lang w:val="en-US" w:eastAsia="zh-CN"/>
        </w:rPr>
        <w:t>投标供应商近一年中任意一个月（不含开标当月）</w:t>
      </w:r>
      <w:r>
        <w:rPr>
          <w:rFonts w:hint="eastAsia" w:ascii="宋体" w:hAnsi="宋体" w:eastAsia="宋体" w:cs="宋体"/>
          <w:b w:val="0"/>
          <w:bCs/>
          <w:color w:val="auto"/>
          <w:sz w:val="24"/>
          <w:szCs w:val="24"/>
          <w:highlight w:val="none"/>
        </w:rPr>
        <w:t>的依法缴纳税收的相关材料（提供相关主管部门证明或银行代扣证明）</w:t>
      </w:r>
      <w:r>
        <w:rPr>
          <w:rFonts w:hint="eastAsia" w:ascii="宋体" w:hAnsi="宋体" w:eastAsia="宋体" w:cs="宋体"/>
          <w:b w:val="0"/>
          <w:bCs/>
          <w:color w:val="auto"/>
          <w:sz w:val="24"/>
          <w:szCs w:val="24"/>
          <w:highlight w:val="none"/>
          <w:lang w:val="en-US" w:eastAsia="zh-CN"/>
        </w:rPr>
        <w:t>扫描件并电子签章</w:t>
      </w:r>
      <w:r>
        <w:rPr>
          <w:rFonts w:hint="eastAsia" w:ascii="宋体" w:hAnsi="宋体" w:eastAsia="宋体" w:cs="宋体"/>
          <w:b w:val="0"/>
          <w:bCs/>
          <w:color w:val="auto"/>
          <w:sz w:val="24"/>
          <w:szCs w:val="24"/>
          <w:highlight w:val="none"/>
        </w:rPr>
        <w:t>；</w:t>
      </w:r>
    </w:p>
    <w:p w14:paraId="677E5940">
      <w:pPr>
        <w:keepNext w:val="0"/>
        <w:keepLines w:val="0"/>
        <w:pageBreakBefore w:val="0"/>
        <w:widowControl w:val="0"/>
        <w:numPr>
          <w:ilvl w:val="0"/>
          <w:numId w:val="0"/>
        </w:numPr>
        <w:spacing w:line="360" w:lineRule="auto"/>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w:t>
      </w:r>
      <w:r>
        <w:rPr>
          <w:rFonts w:hint="eastAsia" w:ascii="宋体" w:hAnsi="宋体" w:cs="宋体"/>
          <w:b w:val="0"/>
          <w:bCs/>
          <w:color w:val="auto"/>
          <w:sz w:val="24"/>
          <w:szCs w:val="24"/>
          <w:highlight w:val="none"/>
          <w:lang w:val="en-US" w:eastAsia="zh-CN" w:bidi="ar-SA"/>
        </w:rPr>
        <w:t>7</w:t>
      </w:r>
      <w:r>
        <w:rPr>
          <w:rFonts w:hint="eastAsia" w:ascii="宋体" w:hAnsi="宋体" w:eastAsia="宋体" w:cs="宋体"/>
          <w:b w:val="0"/>
          <w:bCs/>
          <w:color w:val="auto"/>
          <w:sz w:val="24"/>
          <w:szCs w:val="24"/>
          <w:highlight w:val="none"/>
          <w:lang w:val="en-US" w:eastAsia="zh-CN" w:bidi="ar-SA"/>
        </w:rPr>
        <w:t>）</w:t>
      </w:r>
      <w:r>
        <w:rPr>
          <w:rFonts w:hint="eastAsia" w:ascii="宋体" w:hAnsi="宋体" w:cs="宋体"/>
          <w:b w:val="0"/>
          <w:bCs/>
          <w:color w:val="auto"/>
          <w:sz w:val="24"/>
          <w:szCs w:val="24"/>
          <w:highlight w:val="none"/>
          <w:lang w:val="en-US" w:eastAsia="zh-CN"/>
        </w:rPr>
        <w:t>投标供应商近一年中任意一个月（不含开标当月）</w:t>
      </w:r>
      <w:r>
        <w:rPr>
          <w:rFonts w:hint="eastAsia" w:ascii="宋体" w:hAnsi="宋体" w:eastAsia="宋体" w:cs="宋体"/>
          <w:b w:val="0"/>
          <w:bCs/>
          <w:color w:val="auto"/>
          <w:sz w:val="24"/>
          <w:szCs w:val="24"/>
          <w:highlight w:val="none"/>
        </w:rPr>
        <w:t>的依法缴纳社会保障资金的相关材料（提供相关主管部门证明或银行代扣证明）</w:t>
      </w:r>
      <w:r>
        <w:rPr>
          <w:rFonts w:hint="eastAsia" w:ascii="宋体" w:hAnsi="宋体" w:eastAsia="宋体" w:cs="宋体"/>
          <w:b w:val="0"/>
          <w:bCs/>
          <w:color w:val="auto"/>
          <w:sz w:val="24"/>
          <w:szCs w:val="24"/>
          <w:highlight w:val="none"/>
          <w:lang w:val="en-US" w:eastAsia="zh-CN"/>
        </w:rPr>
        <w:t>扫描件并电子签章；</w:t>
      </w:r>
    </w:p>
    <w:p w14:paraId="74A9530B">
      <w:pPr>
        <w:keepNext w:val="0"/>
        <w:keepLines w:val="0"/>
        <w:pageBreakBefore w:val="0"/>
        <w:widowControl w:val="0"/>
        <w:numPr>
          <w:ilvl w:val="0"/>
          <w:numId w:val="0"/>
        </w:numPr>
        <w:spacing w:line="360" w:lineRule="auto"/>
        <w:ind w:firstLine="480"/>
        <w:rPr>
          <w:rFonts w:hint="default"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bidi="ar-SA"/>
        </w:rPr>
        <w:t>（</w:t>
      </w:r>
      <w:r>
        <w:rPr>
          <w:rFonts w:hint="eastAsia" w:ascii="宋体" w:hAnsi="宋体" w:cs="宋体"/>
          <w:bCs/>
          <w:color w:val="auto"/>
          <w:sz w:val="24"/>
          <w:szCs w:val="24"/>
          <w:highlight w:val="none"/>
          <w:lang w:val="en-US" w:eastAsia="zh-CN" w:bidi="ar-SA"/>
        </w:rPr>
        <w:t>8</w:t>
      </w:r>
      <w:r>
        <w:rPr>
          <w:rFonts w:hint="eastAsia" w:ascii="宋体" w:hAnsi="宋体" w:eastAsia="宋体" w:cs="宋体"/>
          <w:bCs/>
          <w:color w:val="auto"/>
          <w:sz w:val="24"/>
          <w:szCs w:val="24"/>
          <w:highlight w:val="none"/>
          <w:lang w:val="en-US" w:eastAsia="zh-CN" w:bidi="ar-SA"/>
        </w:rPr>
        <w:t>）</w:t>
      </w:r>
      <w:r>
        <w:rPr>
          <w:rFonts w:hint="eastAsia" w:ascii="宋体" w:hAnsi="宋体" w:cs="宋体"/>
          <w:bCs/>
          <w:color w:val="auto"/>
          <w:sz w:val="24"/>
          <w:szCs w:val="24"/>
          <w:highlight w:val="none"/>
          <w:lang w:val="en-US" w:eastAsia="zh-CN" w:bidi="ar-SA"/>
        </w:rPr>
        <w:t>承诺书（格式见附件）；</w:t>
      </w:r>
    </w:p>
    <w:p w14:paraId="6133B85A">
      <w:pPr>
        <w:pStyle w:val="126"/>
        <w:spacing w:line="360" w:lineRule="auto"/>
        <w:ind w:firstLine="480"/>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1.2落实政府采购政策需满足的资格要求：</w:t>
      </w:r>
    </w:p>
    <w:p w14:paraId="67071E0A">
      <w:pPr>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本项目专门面向中小企业（含微型企业、残疾人福利单位、监狱型企业）；</w:t>
      </w:r>
    </w:p>
    <w:p w14:paraId="38A67EE4">
      <w:pPr>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应为中型企业/小型企业/微型企业/监狱企业/残疾人福利企业，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加盖投标供应商电子公章；如为残疾人福利性单位的提供《残疾人福利性单位声明函》（格式见附件）</w:t>
      </w:r>
      <w:r>
        <w:rPr>
          <w:rFonts w:hint="eastAsia" w:ascii="宋体" w:hAnsi="宋体" w:cs="宋体"/>
          <w:color w:val="auto"/>
          <w:sz w:val="24"/>
          <w:szCs w:val="24"/>
          <w:highlight w:val="none"/>
          <w:lang w:val="en-US" w:eastAsia="zh-CN"/>
        </w:rPr>
        <w:t>。</w:t>
      </w:r>
    </w:p>
    <w:p w14:paraId="4C251E4E">
      <w:pPr>
        <w:pStyle w:val="126"/>
        <w:spacing w:line="360" w:lineRule="auto"/>
        <w:ind w:firstLine="480"/>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1.3特定条件</w:t>
      </w:r>
    </w:p>
    <w:p w14:paraId="49EE9BA3">
      <w:pPr>
        <w:keepNext w:val="0"/>
        <w:keepLines w:val="0"/>
        <w:pageBreakBefore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（1）未被“信用中国”“中国政府采购网”网站列入失信被执行人、重大税收违法案件当事人名单、政府采购严重违法失信行为记录名单；</w:t>
      </w: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投标供应商</w:t>
      </w:r>
      <w:r>
        <w:rPr>
          <w:rFonts w:hint="eastAsia" w:ascii="宋体" w:hAnsi="宋体" w:eastAsia="宋体" w:cs="宋体"/>
          <w:b/>
          <w:bCs/>
          <w:color w:val="auto"/>
          <w:sz w:val="24"/>
          <w:szCs w:val="24"/>
          <w:highlight w:val="none"/>
          <w:lang w:val="en-US" w:eastAsia="zh-CN"/>
        </w:rPr>
        <w:t>未被“信用中国”网站、中国政府采购网被列入失信被执行人、重大税收违法案件当事人名单、政府采购严重失信行为记录名单及其他不符合《中华人民共和国政府采购法》第二十二条规定条件的信用记录]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Cs/>
          <w:color w:val="auto"/>
          <w:sz w:val="24"/>
          <w:szCs w:val="24"/>
          <w:highlight w:val="none"/>
        </w:rPr>
        <w:t>；</w:t>
      </w:r>
    </w:p>
    <w:p w14:paraId="1AC4B7AC">
      <w:pPr>
        <w:keepNext w:val="0"/>
        <w:keepLines w:val="0"/>
        <w:pageBreakBefore w:val="0"/>
        <w:spacing w:line="360" w:lineRule="auto"/>
        <w:ind w:firstLine="480"/>
        <w:rPr>
          <w:rFonts w:hint="default"/>
          <w:b w:val="0"/>
          <w:bCs w:val="0"/>
          <w:color w:val="auto"/>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）授权委托人必须为供应商企业在职职工，</w:t>
      </w:r>
      <w:r>
        <w:rPr>
          <w:rFonts w:hint="eastAsia" w:ascii="宋体" w:hAnsi="宋体" w:cs="宋体"/>
          <w:color w:val="auto"/>
          <w:sz w:val="24"/>
          <w:szCs w:val="24"/>
          <w:highlight w:val="none"/>
          <w:lang w:val="en-US" w:eastAsia="zh-CN"/>
        </w:rPr>
        <w:t>提供</w:t>
      </w:r>
      <w:r>
        <w:rPr>
          <w:rFonts w:hint="eastAsia" w:ascii="宋体" w:hAnsi="宋体" w:eastAsia="宋体" w:cs="宋体"/>
          <w:b w:val="0"/>
          <w:bCs w:val="0"/>
          <w:color w:val="auto"/>
          <w:sz w:val="24"/>
          <w:szCs w:val="24"/>
          <w:highlight w:val="none"/>
          <w:lang w:val="en-US" w:eastAsia="zh-CN"/>
        </w:rPr>
        <w:t>授权委托人与供应商企业签订的劳动合同和由社保机构出具本企业为其缴纳的</w:t>
      </w:r>
      <w:r>
        <w:rPr>
          <w:rFonts w:hint="eastAsia" w:ascii="宋体" w:hAnsi="宋体" w:cs="宋体"/>
          <w:b w:val="0"/>
          <w:bCs w:val="0"/>
          <w:color w:val="auto"/>
          <w:sz w:val="24"/>
          <w:szCs w:val="24"/>
          <w:highlight w:val="none"/>
          <w:lang w:val="en-US" w:eastAsia="zh-CN"/>
        </w:rPr>
        <w:t>近一年中</w:t>
      </w:r>
      <w:r>
        <w:rPr>
          <w:rFonts w:hint="eastAsia" w:ascii="宋体" w:hAnsi="宋体" w:eastAsia="宋体" w:cs="宋体"/>
          <w:b w:val="0"/>
          <w:bCs w:val="0"/>
          <w:color w:val="auto"/>
          <w:sz w:val="24"/>
          <w:szCs w:val="24"/>
          <w:highlight w:val="none"/>
          <w:lang w:val="en-US" w:eastAsia="zh-CN"/>
        </w:rPr>
        <w:t>任意一个月</w:t>
      </w:r>
      <w:r>
        <w:rPr>
          <w:rFonts w:hint="eastAsia" w:ascii="宋体" w:hAnsi="宋体" w:cs="宋体"/>
          <w:b w:val="0"/>
          <w:bCs w:val="0"/>
          <w:color w:val="auto"/>
          <w:sz w:val="24"/>
          <w:szCs w:val="24"/>
          <w:highlight w:val="none"/>
          <w:lang w:val="en-US" w:eastAsia="zh-CN"/>
        </w:rPr>
        <w:t>（不含开标当月）</w:t>
      </w:r>
      <w:r>
        <w:rPr>
          <w:rFonts w:hint="eastAsia" w:ascii="宋体" w:hAnsi="宋体" w:eastAsia="宋体" w:cs="宋体"/>
          <w:b w:val="0"/>
          <w:bCs w:val="0"/>
          <w:color w:val="auto"/>
          <w:sz w:val="24"/>
          <w:szCs w:val="24"/>
          <w:highlight w:val="none"/>
          <w:lang w:val="en-US" w:eastAsia="zh-CN"/>
        </w:rPr>
        <w:t>的缴费证明资料原件扫描件</w:t>
      </w:r>
      <w:r>
        <w:rPr>
          <w:rFonts w:hint="eastAsia" w:ascii="宋体" w:hAnsi="宋体" w:cs="宋体"/>
          <w:b w:val="0"/>
          <w:bCs w:val="0"/>
          <w:color w:val="auto"/>
          <w:sz w:val="24"/>
          <w:szCs w:val="24"/>
          <w:highlight w:val="none"/>
          <w:lang w:val="en-US" w:eastAsia="zh-CN"/>
        </w:rPr>
        <w:t>并加</w:t>
      </w:r>
      <w:r>
        <w:rPr>
          <w:rFonts w:hint="eastAsia" w:ascii="宋体" w:hAnsi="宋体" w:eastAsia="宋体" w:cs="宋体"/>
          <w:b w:val="0"/>
          <w:bCs w:val="0"/>
          <w:color w:val="auto"/>
          <w:sz w:val="24"/>
          <w:szCs w:val="24"/>
          <w:highlight w:val="none"/>
          <w:lang w:val="en-US" w:eastAsia="zh-CN"/>
        </w:rPr>
        <w:t>盖</w:t>
      </w:r>
      <w:r>
        <w:rPr>
          <w:rFonts w:hint="eastAsia" w:ascii="宋体" w:hAnsi="宋体" w:cs="宋体"/>
          <w:b w:val="0"/>
          <w:bCs w:val="0"/>
          <w:color w:val="auto"/>
          <w:sz w:val="24"/>
          <w:szCs w:val="24"/>
          <w:highlight w:val="none"/>
          <w:lang w:val="en-US" w:eastAsia="zh-CN"/>
        </w:rPr>
        <w:t>投标供应商</w:t>
      </w:r>
      <w:r>
        <w:rPr>
          <w:rFonts w:hint="eastAsia" w:ascii="宋体" w:hAnsi="宋体" w:eastAsia="宋体" w:cs="宋体"/>
          <w:b w:val="0"/>
          <w:bCs w:val="0"/>
          <w:color w:val="auto"/>
          <w:sz w:val="24"/>
          <w:szCs w:val="24"/>
          <w:highlight w:val="none"/>
          <w:lang w:val="en-US" w:eastAsia="zh-CN"/>
        </w:rPr>
        <w:t>电子公章（社保证明需带有县（区）级及以上社保部门电子签章或带二维码验证的扫描件，新成立公司除外、法定代表人亲自参加投标的除外）；</w:t>
      </w:r>
    </w:p>
    <w:p w14:paraId="1E440082">
      <w:pPr>
        <w:keepNext w:val="0"/>
        <w:keepLines w:val="0"/>
        <w:pageBreakBefore w:val="0"/>
        <w:spacing w:line="360" w:lineRule="auto"/>
        <w:ind w:firstLine="482"/>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注：</w:t>
      </w:r>
    </w:p>
    <w:p w14:paraId="019A79EA">
      <w:pPr>
        <w:keepNext w:val="0"/>
        <w:keepLines w:val="0"/>
        <w:pageBreakBefore w:val="0"/>
        <w:spacing w:line="360" w:lineRule="auto"/>
        <w:ind w:firstLine="482"/>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单位负责人为同一人或者存在直接控股、管理关系的不同</w:t>
      </w:r>
      <w:r>
        <w:rPr>
          <w:rFonts w:hint="eastAsia" w:ascii="宋体" w:hAnsi="宋体" w:cs="宋体"/>
          <w:b/>
          <w:bCs/>
          <w:color w:val="auto"/>
          <w:sz w:val="24"/>
          <w:szCs w:val="24"/>
          <w:highlight w:val="none"/>
          <w:lang w:val="zh-CN"/>
        </w:rPr>
        <w:t>投标供应商</w:t>
      </w:r>
      <w:r>
        <w:rPr>
          <w:rFonts w:hint="eastAsia" w:ascii="宋体" w:hAnsi="宋体" w:eastAsia="宋体" w:cs="宋体"/>
          <w:b/>
          <w:bCs/>
          <w:color w:val="auto"/>
          <w:sz w:val="24"/>
          <w:szCs w:val="24"/>
          <w:highlight w:val="none"/>
          <w:lang w:val="zh-CN"/>
        </w:rPr>
        <w:t>，不得参加同一合同项下的政府采购活动，否则均作为无效报价处理。</w:t>
      </w:r>
    </w:p>
    <w:p w14:paraId="6666C7ED">
      <w:pPr>
        <w:keepNext w:val="0"/>
        <w:keepLines w:val="0"/>
        <w:pageBreakBefore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cs="宋体"/>
          <w:b/>
          <w:bCs/>
          <w:color w:val="auto"/>
          <w:sz w:val="24"/>
          <w:szCs w:val="24"/>
          <w:highlight w:val="none"/>
          <w:lang w:val="zh-CN"/>
        </w:rPr>
        <w:t>以由</w:t>
      </w:r>
      <w:r>
        <w:rPr>
          <w:rFonts w:hint="eastAsia" w:ascii="宋体" w:hAnsi="宋体" w:eastAsia="宋体" w:cs="宋体"/>
          <w:b/>
          <w:bCs/>
          <w:color w:val="auto"/>
          <w:sz w:val="24"/>
          <w:szCs w:val="24"/>
          <w:highlight w:val="none"/>
          <w:lang w:val="zh-CN"/>
        </w:rPr>
        <w:t>分支机构参加政府采购和签订合同。</w:t>
      </w:r>
    </w:p>
    <w:p w14:paraId="43DDF17A">
      <w:pPr>
        <w:keepNext w:val="0"/>
        <w:keepLines w:val="0"/>
        <w:pageBreakBefore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资格证明文件所述</w:t>
      </w:r>
      <w:r>
        <w:rPr>
          <w:rFonts w:hint="eastAsia" w:ascii="宋体" w:hAnsi="宋体" w:eastAsia="宋体" w:cs="宋体"/>
          <w:b/>
          <w:bCs/>
          <w:color w:val="auto"/>
          <w:sz w:val="24"/>
          <w:szCs w:val="24"/>
          <w:highlight w:val="none"/>
          <w:lang w:val="zh-CN"/>
        </w:rPr>
        <w:t>“重大违法记录”，是指</w:t>
      </w:r>
      <w:r>
        <w:rPr>
          <w:rFonts w:hint="eastAsia" w:ascii="宋体" w:hAnsi="宋体" w:cs="宋体"/>
          <w:b/>
          <w:bCs/>
          <w:color w:val="auto"/>
          <w:sz w:val="24"/>
          <w:szCs w:val="24"/>
          <w:highlight w:val="none"/>
          <w:lang w:val="zh-CN"/>
        </w:rPr>
        <w:t>投标供应商</w:t>
      </w:r>
      <w:r>
        <w:rPr>
          <w:rFonts w:hint="eastAsia" w:ascii="宋体" w:hAnsi="宋体" w:eastAsia="宋体" w:cs="宋体"/>
          <w:b/>
          <w:bCs/>
          <w:color w:val="auto"/>
          <w:sz w:val="24"/>
          <w:szCs w:val="24"/>
          <w:highlight w:val="none"/>
          <w:lang w:val="zh-CN"/>
        </w:rPr>
        <w:t>因违法经营受到刑事处罚或者责令停产停业、吊销许可证或者执照、较大数额罚款等行政处罚。（“较大数额罚款”的金额标准</w:t>
      </w:r>
      <w:r>
        <w:rPr>
          <w:rFonts w:hint="eastAsia" w:ascii="宋体" w:hAnsi="宋体" w:eastAsia="宋体" w:cs="宋体"/>
          <w:b/>
          <w:bCs/>
          <w:color w:val="auto"/>
          <w:sz w:val="24"/>
          <w:szCs w:val="24"/>
          <w:highlight w:val="none"/>
        </w:rPr>
        <w:t>按照苏财购</w:t>
      </w:r>
      <w:r>
        <w:rPr>
          <w:rFonts w:hint="eastAsia" w:ascii="宋体" w:hAnsi="宋体" w:eastAsia="宋体" w:cs="宋体"/>
          <w:b/>
          <w:bCs/>
          <w:color w:val="auto"/>
          <w:sz w:val="24"/>
          <w:szCs w:val="24"/>
          <w:highlight w:val="none"/>
          <w:lang w:eastAsia="zh-CN"/>
        </w:rPr>
        <w:t>〔2022〕2号</w:t>
      </w:r>
      <w:r>
        <w:rPr>
          <w:rFonts w:hint="eastAsia" w:ascii="宋体" w:hAnsi="宋体" w:eastAsia="宋体" w:cs="宋体"/>
          <w:b/>
          <w:bCs/>
          <w:color w:val="auto"/>
          <w:sz w:val="24"/>
          <w:szCs w:val="24"/>
          <w:highlight w:val="none"/>
        </w:rPr>
        <w:t>文“转发</w:t>
      </w:r>
      <w:r>
        <w:rPr>
          <w:rFonts w:hint="eastAsia" w:ascii="宋体" w:hAnsi="宋体" w:eastAsia="宋体" w:cs="宋体"/>
          <w:b/>
          <w:bCs/>
          <w:color w:val="auto"/>
          <w:sz w:val="24"/>
          <w:szCs w:val="24"/>
          <w:highlight w:val="none"/>
          <w:lang w:val="zh-CN"/>
        </w:rPr>
        <w:t>《财政部关于中华人民共和国政府采购法实施条例第十九条第一款“较大数额罚款”具体适用问题的意见》的通知</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w:t>
      </w:r>
    </w:p>
    <w:p w14:paraId="302DD798">
      <w:pPr>
        <w:keepNext w:val="0"/>
        <w:keepLines w:val="0"/>
        <w:pageBreakBefore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eastAsia="zh-CN"/>
        </w:rPr>
        <w:t>投标供应商</w:t>
      </w:r>
      <w:r>
        <w:rPr>
          <w:rFonts w:hint="eastAsia" w:ascii="宋体" w:hAnsi="宋体" w:eastAsia="宋体" w:cs="宋体"/>
          <w:b/>
          <w:bCs/>
          <w:color w:val="auto"/>
          <w:sz w:val="24"/>
          <w:szCs w:val="24"/>
          <w:highlight w:val="none"/>
          <w:lang w:eastAsia="zh-CN"/>
        </w:rPr>
        <w:t>如被允许以分支机构身份参加投标的，请自行将“法定代表人”更改为“负责人”，分支机构投标时涉及招标文件“法定代表人”要求的部分其具体要求视同本条规定。</w:t>
      </w:r>
    </w:p>
    <w:p w14:paraId="6F879D6E">
      <w:pPr>
        <w:keepNext w:val="0"/>
        <w:keepLines w:val="0"/>
        <w:pageBreakBefore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资格证明文件</w:t>
      </w:r>
      <w:r>
        <w:rPr>
          <w:rFonts w:hint="eastAsia" w:ascii="宋体" w:hAnsi="宋体" w:eastAsia="宋体" w:cs="宋体"/>
          <w:b/>
          <w:bCs/>
          <w:color w:val="auto"/>
          <w:sz w:val="24"/>
          <w:szCs w:val="24"/>
          <w:highlight w:val="none"/>
          <w:lang w:val="en-US" w:eastAsia="zh-CN"/>
        </w:rPr>
        <w:t>中</w:t>
      </w:r>
      <w:r>
        <w:rPr>
          <w:rFonts w:hint="eastAsia" w:ascii="宋体" w:hAnsi="宋体" w:eastAsia="宋体" w:cs="宋体"/>
          <w:b/>
          <w:bCs/>
          <w:color w:val="auto"/>
          <w:sz w:val="24"/>
          <w:szCs w:val="24"/>
          <w:highlight w:val="none"/>
          <w:lang w:val="zh-CN"/>
        </w:rPr>
        <w:t>如果</w:t>
      </w:r>
      <w:r>
        <w:rPr>
          <w:rFonts w:hint="eastAsia" w:ascii="宋体" w:hAnsi="宋体" w:eastAsia="宋体" w:cs="宋体"/>
          <w:b/>
          <w:bCs/>
          <w:color w:val="auto"/>
          <w:sz w:val="24"/>
          <w:szCs w:val="24"/>
          <w:highlight w:val="none"/>
          <w:lang w:val="en-US" w:eastAsia="zh-CN"/>
        </w:rPr>
        <w:t>有</w:t>
      </w:r>
      <w:r>
        <w:rPr>
          <w:rFonts w:hint="eastAsia" w:ascii="宋体" w:hAnsi="宋体" w:eastAsia="宋体" w:cs="宋体"/>
          <w:b/>
          <w:bCs/>
          <w:color w:val="auto"/>
          <w:sz w:val="24"/>
          <w:szCs w:val="24"/>
          <w:highlight w:val="none"/>
          <w:lang w:val="zh-CN"/>
        </w:rPr>
        <w:t>原件正在年检（或换证），则必须提供法定年检（或换证）单位出具的有效证明原件</w:t>
      </w:r>
      <w:r>
        <w:rPr>
          <w:rFonts w:hint="eastAsia" w:ascii="宋体" w:hAnsi="宋体" w:eastAsia="宋体" w:cs="宋体"/>
          <w:b/>
          <w:bCs/>
          <w:color w:val="auto"/>
          <w:sz w:val="24"/>
          <w:szCs w:val="24"/>
          <w:highlight w:val="none"/>
          <w:lang w:val="en-US" w:eastAsia="zh-CN"/>
        </w:rPr>
        <w:t>扫描件</w:t>
      </w:r>
      <w:r>
        <w:rPr>
          <w:rFonts w:hint="eastAsia" w:ascii="宋体" w:hAnsi="宋体" w:eastAsia="宋体" w:cs="宋体"/>
          <w:b/>
          <w:bCs/>
          <w:color w:val="auto"/>
          <w:sz w:val="24"/>
          <w:szCs w:val="24"/>
          <w:highlight w:val="none"/>
          <w:lang w:val="zh-CN"/>
        </w:rPr>
        <w:t>。</w:t>
      </w:r>
      <w:r>
        <w:rPr>
          <w:rFonts w:hint="eastAsia" w:ascii="宋体" w:hAnsi="宋体" w:cs="宋体"/>
          <w:b/>
          <w:bCs/>
          <w:color w:val="auto"/>
          <w:sz w:val="24"/>
          <w:szCs w:val="24"/>
          <w:highlight w:val="none"/>
          <w:lang w:val="zh-CN"/>
        </w:rPr>
        <w:t>投标供应商</w:t>
      </w:r>
      <w:r>
        <w:rPr>
          <w:rFonts w:hint="eastAsia" w:ascii="宋体" w:hAnsi="宋体" w:eastAsia="宋体" w:cs="宋体"/>
          <w:b/>
          <w:bCs/>
          <w:color w:val="auto"/>
          <w:sz w:val="24"/>
          <w:szCs w:val="24"/>
          <w:highlight w:val="none"/>
          <w:lang w:val="zh-CN"/>
        </w:rPr>
        <w:t>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eastAsia="宋体" w:cs="宋体"/>
          <w:b/>
          <w:bCs/>
          <w:color w:val="auto"/>
          <w:sz w:val="24"/>
          <w:szCs w:val="24"/>
          <w:highlight w:val="none"/>
          <w:lang w:val="en-US" w:eastAsia="zh-CN"/>
        </w:rPr>
        <w:t>原件扫描件</w:t>
      </w:r>
      <w:r>
        <w:rPr>
          <w:rFonts w:hint="eastAsia" w:ascii="宋体" w:hAnsi="宋体" w:eastAsia="宋体" w:cs="宋体"/>
          <w:b/>
          <w:bCs/>
          <w:color w:val="auto"/>
          <w:sz w:val="24"/>
          <w:szCs w:val="24"/>
          <w:highlight w:val="none"/>
          <w:lang w:val="zh-CN"/>
        </w:rPr>
        <w:t>。</w:t>
      </w:r>
      <w:r>
        <w:rPr>
          <w:rFonts w:hint="eastAsia" w:ascii="宋体" w:hAnsi="宋体" w:cs="宋体"/>
          <w:b/>
          <w:bCs/>
          <w:color w:val="auto"/>
          <w:sz w:val="24"/>
          <w:szCs w:val="24"/>
          <w:highlight w:val="none"/>
          <w:lang w:eastAsia="zh-CN"/>
        </w:rPr>
        <w:t>投标供应商</w:t>
      </w:r>
      <w:r>
        <w:rPr>
          <w:rFonts w:hint="eastAsia" w:ascii="宋体" w:hAnsi="宋体" w:eastAsia="宋体" w:cs="宋体"/>
          <w:b/>
          <w:bCs/>
          <w:color w:val="auto"/>
          <w:sz w:val="24"/>
          <w:szCs w:val="24"/>
          <w:highlight w:val="none"/>
        </w:rPr>
        <w:t>所提交的证明文件的完整与否，将直接影响其</w:t>
      </w:r>
      <w:r>
        <w:rPr>
          <w:rFonts w:hint="eastAsia" w:ascii="宋体" w:hAnsi="宋体" w:cs="宋体"/>
          <w:b/>
          <w:bCs/>
          <w:color w:val="auto"/>
          <w:sz w:val="24"/>
          <w:szCs w:val="24"/>
          <w:highlight w:val="none"/>
          <w:lang w:eastAsia="zh-CN"/>
        </w:rPr>
        <w:t>投标文件</w:t>
      </w:r>
      <w:r>
        <w:rPr>
          <w:rFonts w:hint="eastAsia" w:ascii="宋体" w:hAnsi="宋体" w:eastAsia="宋体" w:cs="宋体"/>
          <w:b/>
          <w:bCs/>
          <w:color w:val="auto"/>
          <w:sz w:val="24"/>
          <w:szCs w:val="24"/>
          <w:highlight w:val="none"/>
        </w:rPr>
        <w:t>的审核结果。</w:t>
      </w:r>
    </w:p>
    <w:p w14:paraId="6778C55D">
      <w:pPr>
        <w:pStyle w:val="126"/>
        <w:numPr>
          <w:ilvl w:val="0"/>
          <w:numId w:val="0"/>
        </w:numPr>
        <w:spacing w:line="360" w:lineRule="auto"/>
        <w:ind w:firstLine="482"/>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2.符合性证明文件</w:t>
      </w:r>
    </w:p>
    <w:p w14:paraId="53070093">
      <w:pPr>
        <w:keepNext w:val="0"/>
        <w:keepLines w:val="0"/>
        <w:pageBreakBefore w:val="0"/>
        <w:numPr>
          <w:ilvl w:val="0"/>
          <w:numId w:val="0"/>
        </w:numPr>
        <w:tabs>
          <w:tab w:val="left" w:pos="945"/>
        </w:tabs>
        <w:spacing w:line="360" w:lineRule="auto"/>
        <w:ind w:firstLine="482"/>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2.1报价要求</w:t>
      </w:r>
    </w:p>
    <w:p w14:paraId="0C865D0B">
      <w:pPr>
        <w:keepNext w:val="0"/>
        <w:keepLines w:val="0"/>
        <w:pageBreakBefore w:val="0"/>
        <w:tabs>
          <w:tab w:val="left" w:pos="94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（1）开标一览表（格式见附件）；</w:t>
      </w:r>
    </w:p>
    <w:p w14:paraId="71B3E747">
      <w:pPr>
        <w:keepNext w:val="0"/>
        <w:keepLines w:val="0"/>
        <w:pageBreakBefore w:val="0"/>
        <w:tabs>
          <w:tab w:val="left" w:pos="94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w:t>
      </w:r>
      <w:r>
        <w:rPr>
          <w:rFonts w:hint="eastAsia" w:ascii="宋体" w:hAnsi="宋体" w:cs="宋体"/>
          <w:bCs/>
          <w:color w:val="auto"/>
          <w:sz w:val="24"/>
          <w:szCs w:val="24"/>
          <w:highlight w:val="none"/>
          <w:lang w:val="en-US" w:eastAsia="zh-CN"/>
        </w:rPr>
        <w:t>分项</w:t>
      </w:r>
      <w:r>
        <w:rPr>
          <w:rFonts w:hint="eastAsia" w:ascii="宋体" w:hAnsi="宋体" w:eastAsia="宋体" w:cs="宋体"/>
          <w:bCs/>
          <w:color w:val="auto"/>
          <w:sz w:val="24"/>
          <w:szCs w:val="24"/>
          <w:highlight w:val="none"/>
          <w:lang w:val="en-US" w:eastAsia="zh-CN"/>
        </w:rPr>
        <w:t>报价表（格式见附件）；</w:t>
      </w:r>
    </w:p>
    <w:p w14:paraId="1DB9192B">
      <w:pPr>
        <w:keepNext w:val="0"/>
        <w:keepLines w:val="0"/>
        <w:pageBreakBefore w:val="0"/>
        <w:numPr>
          <w:ilvl w:val="0"/>
          <w:numId w:val="0"/>
        </w:numPr>
        <w:tabs>
          <w:tab w:val="left" w:pos="945"/>
        </w:tabs>
        <w:spacing w:line="360" w:lineRule="auto"/>
        <w:ind w:firstLine="482"/>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2.2商务要求</w:t>
      </w:r>
    </w:p>
    <w:p w14:paraId="0817EF1F">
      <w:pPr>
        <w:keepNext w:val="0"/>
        <w:keepLines w:val="0"/>
        <w:pageBreakBefore w:val="0"/>
        <w:numPr>
          <w:ilvl w:val="0"/>
          <w:numId w:val="3"/>
        </w:numPr>
        <w:tabs>
          <w:tab w:val="left" w:pos="94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函（格式见附件）；</w:t>
      </w:r>
    </w:p>
    <w:p w14:paraId="25D8B595">
      <w:pPr>
        <w:keepNext w:val="0"/>
        <w:keepLines w:val="0"/>
        <w:pageBreakBefore w:val="0"/>
        <w:numPr>
          <w:ilvl w:val="0"/>
          <w:numId w:val="0"/>
        </w:numPr>
        <w:tabs>
          <w:tab w:val="left" w:pos="945"/>
        </w:tabs>
        <w:spacing w:line="360" w:lineRule="auto"/>
        <w:ind w:firstLine="482"/>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2.3技术要求</w:t>
      </w:r>
    </w:p>
    <w:p w14:paraId="4E446F4D">
      <w:pPr>
        <w:keepNext w:val="0"/>
        <w:keepLines w:val="0"/>
        <w:pageBreakBefore w:val="0"/>
        <w:numPr>
          <w:ilvl w:val="0"/>
          <w:numId w:val="0"/>
        </w:numPr>
        <w:tabs>
          <w:tab w:val="left" w:pos="945"/>
        </w:tabs>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w:t>
      </w:r>
      <w:r>
        <w:rPr>
          <w:rFonts w:hint="eastAsia" w:ascii="宋体" w:hAnsi="宋体" w:cs="宋体"/>
          <w:bCs/>
          <w:color w:val="auto"/>
          <w:sz w:val="24"/>
          <w:szCs w:val="24"/>
          <w:highlight w:val="none"/>
          <w:lang w:val="en-US" w:eastAsia="zh-CN" w:bidi="ar-SA"/>
        </w:rPr>
        <w:t>服务</w:t>
      </w:r>
      <w:r>
        <w:rPr>
          <w:rFonts w:hint="eastAsia" w:ascii="宋体" w:hAnsi="宋体" w:eastAsia="宋体" w:cs="宋体"/>
          <w:bCs/>
          <w:color w:val="auto"/>
          <w:sz w:val="24"/>
          <w:szCs w:val="24"/>
          <w:highlight w:val="none"/>
          <w:lang w:val="en-US" w:eastAsia="zh-CN" w:bidi="ar-SA"/>
        </w:rPr>
        <w:t>偏离表（格式见附件）</w:t>
      </w:r>
      <w:r>
        <w:rPr>
          <w:rFonts w:hint="eastAsia" w:ascii="宋体" w:hAnsi="宋体" w:cs="宋体"/>
          <w:bCs/>
          <w:color w:val="auto"/>
          <w:sz w:val="24"/>
          <w:szCs w:val="24"/>
          <w:highlight w:val="none"/>
          <w:lang w:val="en-US" w:eastAsia="zh-CN" w:bidi="ar-SA"/>
        </w:rPr>
        <w:t>；</w:t>
      </w:r>
    </w:p>
    <w:p w14:paraId="4C0C57BF">
      <w:pPr>
        <w:keepNext w:val="0"/>
        <w:keepLines w:val="0"/>
        <w:pageBreakBefore w:val="0"/>
        <w:numPr>
          <w:ilvl w:val="0"/>
          <w:numId w:val="0"/>
        </w:numPr>
        <w:tabs>
          <w:tab w:val="left" w:pos="94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（2）《采购需求》中要求提供的证明材料（如有）</w:t>
      </w:r>
      <w:r>
        <w:rPr>
          <w:rFonts w:hint="eastAsia" w:ascii="宋体" w:hAnsi="宋体" w:cs="宋体"/>
          <w:bCs/>
          <w:color w:val="auto"/>
          <w:sz w:val="24"/>
          <w:szCs w:val="24"/>
          <w:highlight w:val="none"/>
          <w:lang w:val="en-US" w:eastAsia="zh-CN" w:bidi="ar-SA"/>
        </w:rPr>
        <w:t>；</w:t>
      </w:r>
    </w:p>
    <w:p w14:paraId="7028298B">
      <w:pPr>
        <w:pStyle w:val="126"/>
        <w:spacing w:line="360" w:lineRule="auto"/>
        <w:ind w:firstLine="482"/>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3.技术方案</w:t>
      </w:r>
    </w:p>
    <w:p w14:paraId="45D41D48">
      <w:pPr>
        <w:keepNext w:val="0"/>
        <w:keepLines w:val="0"/>
        <w:pageBreakBefore w:val="0"/>
        <w:numPr>
          <w:ilvl w:val="0"/>
          <w:numId w:val="0"/>
        </w:numPr>
        <w:tabs>
          <w:tab w:val="left" w:pos="94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（1）项目水体现状、目标及存在问题分析</w:t>
      </w:r>
      <w:r>
        <w:rPr>
          <w:rFonts w:hint="eastAsia" w:ascii="宋体" w:hAnsi="宋体" w:cs="宋体"/>
          <w:bCs/>
          <w:color w:val="auto"/>
          <w:sz w:val="24"/>
          <w:szCs w:val="24"/>
          <w:highlight w:val="none"/>
          <w:lang w:val="en-US" w:eastAsia="zh-CN"/>
        </w:rPr>
        <w:t xml:space="preserve"> </w:t>
      </w:r>
    </w:p>
    <w:p w14:paraId="29057473">
      <w:pPr>
        <w:keepNext w:val="0"/>
        <w:keepLines w:val="0"/>
        <w:pageBreakBefore w:val="0"/>
        <w:numPr>
          <w:ilvl w:val="0"/>
          <w:numId w:val="0"/>
        </w:numPr>
        <w:tabs>
          <w:tab w:val="left" w:pos="94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（2）项目维护方案及技术分析</w:t>
      </w:r>
    </w:p>
    <w:p w14:paraId="1791EEF2">
      <w:pPr>
        <w:keepNext w:val="0"/>
        <w:keepLines w:val="0"/>
        <w:pageBreakBefore w:val="0"/>
        <w:numPr>
          <w:ilvl w:val="0"/>
          <w:numId w:val="0"/>
        </w:numPr>
        <w:tabs>
          <w:tab w:val="left" w:pos="94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（3）项目日常维护质量保证体系及措施</w:t>
      </w:r>
    </w:p>
    <w:p w14:paraId="223508B0">
      <w:pPr>
        <w:keepNext w:val="0"/>
        <w:keepLines w:val="0"/>
        <w:pageBreakBefore w:val="0"/>
        <w:numPr>
          <w:ilvl w:val="0"/>
          <w:numId w:val="0"/>
        </w:numPr>
        <w:tabs>
          <w:tab w:val="left" w:pos="94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（4）应急措施方案</w:t>
      </w:r>
    </w:p>
    <w:p w14:paraId="1348E7D3">
      <w:pPr>
        <w:keepNext w:val="0"/>
        <w:keepLines w:val="0"/>
        <w:pageBreakBefore w:val="0"/>
        <w:numPr>
          <w:ilvl w:val="0"/>
          <w:numId w:val="0"/>
        </w:numPr>
        <w:tabs>
          <w:tab w:val="left" w:pos="94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（5）养护服务工作进度安排及措施</w:t>
      </w:r>
    </w:p>
    <w:p w14:paraId="58A37EB7">
      <w:pPr>
        <w:pStyle w:val="126"/>
        <w:spacing w:line="360" w:lineRule="auto"/>
        <w:ind w:firstLine="482"/>
        <w:rPr>
          <w:rFonts w:hint="default"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4.其他文件</w:t>
      </w:r>
    </w:p>
    <w:p w14:paraId="6FA25641">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US" w:eastAsia="zh-CN"/>
        </w:rPr>
        <w:t>供应商认为必须提供的其他证明材料（参考评分标准）</w:t>
      </w:r>
    </w:p>
    <w:p w14:paraId="5895586E">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en-US" w:eastAsia="zh-CN"/>
        </w:rPr>
        <w:t>）项目管理机构配备情况表（格式见附件）</w:t>
      </w:r>
    </w:p>
    <w:p w14:paraId="3B1A2BE8">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项目负责人简历表</w:t>
      </w:r>
      <w:r>
        <w:rPr>
          <w:rFonts w:hint="eastAsia" w:ascii="宋体" w:hAnsi="宋体" w:eastAsia="宋体" w:cs="宋体"/>
          <w:bCs/>
          <w:color w:val="auto"/>
          <w:sz w:val="24"/>
          <w:szCs w:val="24"/>
          <w:highlight w:val="none"/>
          <w:lang w:val="en-US" w:eastAsia="zh-CN"/>
        </w:rPr>
        <w:t>（格式见附件）</w:t>
      </w:r>
    </w:p>
    <w:p w14:paraId="6CB38274">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）主要器具设备表（格式见附件）</w:t>
      </w:r>
    </w:p>
    <w:p w14:paraId="088B0158">
      <w:pPr>
        <w:keepNext w:val="0"/>
        <w:keepLines w:val="0"/>
        <w:pageBreakBefore w:val="0"/>
        <w:spacing w:line="360" w:lineRule="auto"/>
        <w:ind w:firstLine="480"/>
        <w:rPr>
          <w:rFonts w:hint="eastAsia"/>
          <w:highlight w:val="none"/>
          <w:lang w:val="en-US" w:eastAsia="zh-CN"/>
        </w:rPr>
      </w:pP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zh-CN"/>
        </w:rPr>
        <w:t>投标人基本情况声明（格式见附件）</w:t>
      </w:r>
    </w:p>
    <w:p w14:paraId="0DE27989">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）《市场监管总局关于发布参与实施政府采购节能产品、环境标志产品认证机构名录的公告》（2019年第16号）中确认发布的《参与实施政府采购节能产品认证机构名录</w:t>
      </w:r>
      <w:r>
        <w:rPr>
          <w:rFonts w:hint="eastAsia" w:ascii="宋体" w:hAnsi="宋体" w:cs="宋体"/>
          <w:bCs/>
          <w:color w:val="auto"/>
          <w:sz w:val="24"/>
          <w:szCs w:val="24"/>
          <w:highlight w:val="none"/>
          <w:lang w:val="en-US" w:eastAsia="zh-CN"/>
        </w:rPr>
        <w:t>》和</w:t>
      </w:r>
      <w:r>
        <w:rPr>
          <w:rFonts w:hint="eastAsia" w:ascii="宋体" w:hAnsi="宋体" w:eastAsia="宋体" w:cs="宋体"/>
          <w:bCs/>
          <w:color w:val="auto"/>
          <w:sz w:val="24"/>
          <w:szCs w:val="24"/>
          <w:highlight w:val="none"/>
          <w:lang w:val="en-US" w:eastAsia="zh-CN"/>
        </w:rPr>
        <w:t>《参与实施政府采购环境标志产品认证机构名录》中的认证机构出具的有效的节能产品认证证书、环境标志产品认证证书</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（如有）</w:t>
      </w:r>
    </w:p>
    <w:p w14:paraId="1AF064F5">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lang w:val="en-US" w:eastAsia="zh-CN"/>
        </w:rPr>
        <w:t>）其他（供应商认为有必要提供的声明和文件）。</w:t>
      </w:r>
    </w:p>
    <w:p w14:paraId="55D7664D">
      <w:pPr>
        <w:keepNext w:val="0"/>
        <w:keepLines w:val="0"/>
        <w:pageBreakBefore w:val="0"/>
        <w:spacing w:line="360" w:lineRule="auto"/>
        <w:ind w:firstLine="240"/>
        <w:outlineLvl w:val="9"/>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（六）报价要求：</w:t>
      </w:r>
    </w:p>
    <w:p w14:paraId="250D5007">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1.报价总价是投标供应商在投标文件中提出的各项支付金额的总和，</w:t>
      </w:r>
      <w:r>
        <w:rPr>
          <w:rFonts w:hint="eastAsia" w:ascii="宋体" w:hAnsi="宋体" w:cs="宋体"/>
          <w:bCs/>
          <w:color w:val="auto"/>
          <w:sz w:val="24"/>
          <w:szCs w:val="24"/>
          <w:highlight w:val="none"/>
          <w:lang w:val="en-US" w:eastAsia="zh-CN"/>
        </w:rPr>
        <w:t>也</w:t>
      </w:r>
      <w:r>
        <w:rPr>
          <w:rFonts w:hint="eastAsia" w:ascii="宋体" w:hAnsi="宋体" w:eastAsia="宋体" w:cs="宋体"/>
          <w:bCs/>
          <w:color w:val="auto"/>
          <w:sz w:val="24"/>
          <w:szCs w:val="24"/>
          <w:highlight w:val="none"/>
          <w:lang w:val="en-US" w:eastAsia="zh-CN"/>
        </w:rPr>
        <w:t>是完成本次采购所列项目的全部费用。</w:t>
      </w:r>
    </w:p>
    <w:p w14:paraId="5FFD9E56">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供应商应结合本企业的技术水平，管理水平和拟定的技术方案自主报价。</w:t>
      </w:r>
    </w:p>
    <w:p w14:paraId="585C44FC">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3.有关费用处理</w:t>
      </w:r>
    </w:p>
    <w:p w14:paraId="6B225F53">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（1）投标供应商报价应根据招标文件采购需求，结合本企业的技术水平、管理水平和拟定的技术方案以及有关规定并结合市场因素采取</w:t>
      </w:r>
      <w:r>
        <w:rPr>
          <w:rFonts w:hint="eastAsia" w:ascii="宋体" w:hAnsi="宋体" w:cs="宋体"/>
          <w:bCs/>
          <w:color w:val="auto"/>
          <w:sz w:val="24"/>
          <w:szCs w:val="24"/>
          <w:highlight w:val="none"/>
          <w:lang w:val="en-US" w:eastAsia="zh-CN"/>
        </w:rPr>
        <w:t>总报价</w:t>
      </w:r>
      <w:r>
        <w:rPr>
          <w:rFonts w:hint="eastAsia" w:ascii="宋体" w:hAnsi="宋体" w:eastAsia="宋体" w:cs="宋体"/>
          <w:bCs/>
          <w:color w:val="auto"/>
          <w:sz w:val="24"/>
          <w:szCs w:val="24"/>
          <w:highlight w:val="none"/>
          <w:lang w:val="en-US" w:eastAsia="zh-CN"/>
        </w:rPr>
        <w:t>的形式自主报价。供应商的投标报价必须是唯一的，任何有选择的报价将不予接受。</w:t>
      </w:r>
    </w:p>
    <w:p w14:paraId="3C9EE8CE">
      <w:pPr>
        <w:keepNext w:val="0"/>
        <w:keepLines w:val="0"/>
        <w:pageBreakBefore w:val="0"/>
        <w:spacing w:line="360" w:lineRule="auto"/>
        <w:ind w:firstLine="480"/>
        <w:rPr>
          <w:color w:val="auto"/>
          <w:highlight w:val="none"/>
        </w:rPr>
      </w:pPr>
      <w:r>
        <w:rPr>
          <w:rFonts w:hint="eastAsia" w:ascii="宋体" w:hAnsi="宋体" w:eastAsia="宋体" w:cs="宋体"/>
          <w:bCs/>
          <w:color w:val="auto"/>
          <w:sz w:val="24"/>
          <w:szCs w:val="24"/>
          <w:highlight w:val="none"/>
          <w:lang w:val="en-US" w:eastAsia="zh-CN"/>
        </w:rPr>
        <w:t>（2）</w:t>
      </w:r>
      <w:r>
        <w:rPr>
          <w:rFonts w:hint="eastAsia" w:ascii="宋体" w:hAnsi="宋体" w:cs="宋体"/>
          <w:bCs/>
          <w:color w:val="auto"/>
          <w:sz w:val="24"/>
          <w:szCs w:val="24"/>
          <w:highlight w:val="none"/>
          <w:lang w:val="en-US" w:eastAsia="zh-CN"/>
        </w:rPr>
        <w:t>报价应包括完成本次采购项目所需的设备、劳务、管理、材料、维护、利润、税金、政策性文件规定，以及合同包含的所有风险、责任等各项应有费用。</w:t>
      </w:r>
    </w:p>
    <w:p w14:paraId="29CECA17">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总价是</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供应商在</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文件中提出的各项支付金额的总和，</w:t>
      </w:r>
      <w:r>
        <w:rPr>
          <w:rFonts w:hint="eastAsia" w:ascii="宋体" w:hAnsi="宋体" w:cs="宋体"/>
          <w:bCs/>
          <w:color w:val="auto"/>
          <w:sz w:val="24"/>
          <w:szCs w:val="24"/>
          <w:highlight w:val="none"/>
          <w:lang w:val="en-US" w:eastAsia="zh-CN"/>
        </w:rPr>
        <w:t>也</w:t>
      </w:r>
      <w:r>
        <w:rPr>
          <w:rFonts w:hint="eastAsia" w:ascii="宋体" w:hAnsi="宋体" w:eastAsia="宋体" w:cs="宋体"/>
          <w:bCs/>
          <w:color w:val="auto"/>
          <w:sz w:val="24"/>
          <w:szCs w:val="24"/>
          <w:highlight w:val="none"/>
          <w:lang w:val="en-US" w:eastAsia="zh-CN"/>
        </w:rPr>
        <w:t>是完成本次采购所列项目的全部费用。</w:t>
      </w:r>
    </w:p>
    <w:p w14:paraId="5ED054CB">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其他</w:t>
      </w:r>
      <w:r>
        <w:rPr>
          <w:rFonts w:hint="eastAsia" w:ascii="宋体" w:hAnsi="宋体" w:eastAsia="宋体" w:cs="宋体"/>
          <w:bCs/>
          <w:color w:val="auto"/>
          <w:sz w:val="24"/>
          <w:szCs w:val="24"/>
          <w:highlight w:val="none"/>
          <w:lang w:val="en-US" w:eastAsia="zh-CN"/>
        </w:rPr>
        <w:t>费用处理</w:t>
      </w:r>
    </w:p>
    <w:p w14:paraId="0B4A69CF">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招标文件未列明，而投标供应商认为必需的费用也需列入报价。</w:t>
      </w:r>
    </w:p>
    <w:p w14:paraId="6D87A462">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zh-CN"/>
        </w:rPr>
        <w:t>.评标委</w:t>
      </w:r>
      <w:r>
        <w:rPr>
          <w:rFonts w:hint="eastAsia" w:ascii="宋体" w:hAnsi="宋体" w:cs="宋体"/>
          <w:bCs/>
          <w:color w:val="auto"/>
          <w:sz w:val="24"/>
          <w:szCs w:val="24"/>
          <w:highlight w:val="none"/>
          <w:lang w:val="en-US" w:eastAsia="zh-CN"/>
        </w:rPr>
        <w:t>员</w:t>
      </w:r>
      <w:r>
        <w:rPr>
          <w:rFonts w:hint="eastAsia" w:ascii="宋体" w:hAnsi="宋体" w:eastAsia="宋体" w:cs="宋体"/>
          <w:bCs/>
          <w:color w:val="auto"/>
          <w:sz w:val="24"/>
          <w:szCs w:val="24"/>
          <w:highlight w:val="none"/>
          <w:lang w:val="en-US" w:eastAsia="zh-CN"/>
        </w:rPr>
        <w:t>会认为供应商的投标报价明显低于其他通过符合性审</w:t>
      </w:r>
      <w:r>
        <w:rPr>
          <w:rFonts w:hint="eastAsia" w:ascii="宋体" w:hAnsi="宋体" w:cs="宋体"/>
          <w:bCs/>
          <w:color w:val="auto"/>
          <w:sz w:val="24"/>
          <w:szCs w:val="24"/>
          <w:highlight w:val="none"/>
          <w:lang w:val="en-US" w:eastAsia="zh-CN"/>
        </w:rPr>
        <w:t>查的</w:t>
      </w:r>
      <w:r>
        <w:rPr>
          <w:rFonts w:hint="eastAsia" w:ascii="宋体" w:hAnsi="宋体" w:eastAsia="宋体" w:cs="宋体"/>
          <w:bCs/>
          <w:color w:val="auto"/>
          <w:sz w:val="24"/>
          <w:szCs w:val="24"/>
          <w:highlight w:val="none"/>
          <w:lang w:val="en-US" w:eastAsia="zh-CN"/>
        </w:rPr>
        <w:t>投标供应商的报价，有可能影响产品质量或者不能诚信履约的，其在合理的时间（半小时）内通过苏采云平台（使用“CA数字证书”</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加盖电子签章）提供书面说明，必要时提交相关证明材料，供应商不能证明其报价合理性的，评标委员会应当将其作为无效投标处理。</w:t>
      </w:r>
    </w:p>
    <w:p w14:paraId="0CF641A9">
      <w:pPr>
        <w:keepNext w:val="0"/>
        <w:keepLines w:val="0"/>
        <w:pageBreakBefore w:val="0"/>
        <w:spacing w:line="360" w:lineRule="auto"/>
        <w:ind w:firstLine="240"/>
        <w:outlineLvl w:val="9"/>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（七）投标文件的要求：</w:t>
      </w:r>
    </w:p>
    <w:p w14:paraId="766CF566">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1.所有文件、往来函件均应使用简体中文（规格、型号辅助符号除外）。</w:t>
      </w:r>
    </w:p>
    <w:p w14:paraId="2F229824">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w:t>
      </w:r>
      <w:r>
        <w:rPr>
          <w:rFonts w:hint="eastAsia" w:ascii="宋体" w:hAnsi="宋体" w:cs="宋体"/>
          <w:bCs/>
          <w:color w:val="auto"/>
          <w:sz w:val="24"/>
          <w:szCs w:val="24"/>
          <w:highlight w:val="none"/>
          <w:lang w:val="en-US" w:eastAsia="zh-CN"/>
        </w:rPr>
        <w:t>投标文件</w:t>
      </w:r>
      <w:r>
        <w:rPr>
          <w:rFonts w:hint="eastAsia" w:ascii="宋体" w:hAnsi="宋体" w:eastAsia="宋体" w:cs="宋体"/>
          <w:bCs/>
          <w:color w:val="auto"/>
          <w:sz w:val="24"/>
          <w:szCs w:val="24"/>
          <w:highlight w:val="none"/>
          <w:lang w:val="en-US" w:eastAsia="zh-CN"/>
        </w:rPr>
        <w:t>由供应商按给定格式如实填写（编写），须有法人（盖章）、法定代表人或法定代表人授权代表签字或盖章，方为有效，供应商须通过苏采云平台提供的政府采购客户端工具（使用“CA数字证书”）加盖电子签章。供应商应对CA数字证书妥善保管，如被他人盗用投标，后果自负。</w:t>
      </w:r>
    </w:p>
    <w:p w14:paraId="615AD9C3">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3.供应商报价一律以人民币为报价结算货币，结算单位为“元”。</w:t>
      </w:r>
    </w:p>
    <w:p w14:paraId="28B8C314">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文件格式部分，应由供应商按给定格式提供，不得更改。如标书制作工具中格式和内容与</w:t>
      </w:r>
      <w:r>
        <w:rPr>
          <w:rFonts w:hint="eastAsia" w:ascii="宋体" w:hAnsi="宋体" w:cs="宋体"/>
          <w:bCs/>
          <w:color w:val="auto"/>
          <w:sz w:val="24"/>
          <w:szCs w:val="24"/>
          <w:highlight w:val="none"/>
          <w:lang w:val="en-US" w:eastAsia="zh-CN"/>
        </w:rPr>
        <w:t>江苏政府采购网</w:t>
      </w:r>
      <w:r>
        <w:rPr>
          <w:rFonts w:hint="eastAsia" w:ascii="宋体" w:hAnsi="宋体" w:eastAsia="宋体" w:cs="宋体"/>
          <w:bCs/>
          <w:color w:val="auto"/>
          <w:sz w:val="24"/>
          <w:szCs w:val="24"/>
          <w:highlight w:val="none"/>
          <w:lang w:val="en-US" w:eastAsia="zh-CN"/>
        </w:rPr>
        <w:t>发布的招标文件不一致，请以</w:t>
      </w:r>
      <w:r>
        <w:rPr>
          <w:rFonts w:hint="eastAsia" w:ascii="宋体" w:hAnsi="宋体" w:cs="宋体"/>
          <w:bCs/>
          <w:color w:val="auto"/>
          <w:sz w:val="24"/>
          <w:szCs w:val="24"/>
          <w:highlight w:val="none"/>
          <w:lang w:val="en-US" w:eastAsia="zh-CN"/>
        </w:rPr>
        <w:t>江苏政府采购网</w:t>
      </w:r>
      <w:r>
        <w:rPr>
          <w:rFonts w:hint="eastAsia" w:ascii="宋体" w:hAnsi="宋体" w:eastAsia="宋体" w:cs="宋体"/>
          <w:bCs/>
          <w:color w:val="auto"/>
          <w:sz w:val="24"/>
          <w:szCs w:val="24"/>
          <w:highlight w:val="none"/>
          <w:lang w:val="en-US" w:eastAsia="zh-CN"/>
        </w:rPr>
        <w:t>发布的招标文件为准。供应商应当对</w:t>
      </w:r>
      <w:r>
        <w:rPr>
          <w:rFonts w:hint="eastAsia" w:ascii="宋体" w:hAnsi="宋体" w:cs="宋体"/>
          <w:bCs/>
          <w:color w:val="auto"/>
          <w:sz w:val="24"/>
          <w:szCs w:val="24"/>
          <w:highlight w:val="none"/>
          <w:lang w:val="en-US" w:eastAsia="zh-CN"/>
        </w:rPr>
        <w:t>招标文件</w:t>
      </w:r>
      <w:r>
        <w:rPr>
          <w:rFonts w:hint="eastAsia" w:ascii="宋体" w:hAnsi="宋体" w:eastAsia="宋体" w:cs="宋体"/>
          <w:bCs/>
          <w:color w:val="auto"/>
          <w:sz w:val="24"/>
          <w:szCs w:val="24"/>
          <w:highlight w:val="none"/>
          <w:lang w:val="en-US" w:eastAsia="zh-CN"/>
        </w:rPr>
        <w:t>提出的要求和条件，在</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文件中作出实质性响应，并在电子投标系统逐条应答。</w:t>
      </w:r>
    </w:p>
    <w:p w14:paraId="51CAE9E1">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5.供应商应对要求提供的资格证明文件（如资质证书、资格证书）、技术资料（如白皮书、彩页、手册、检测报告等）扫描上传至投标系统。</w:t>
      </w:r>
    </w:p>
    <w:p w14:paraId="221DB9F2">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6.供应商进行网上投标请参照《“苏采云”系统供应商操作手册》。</w:t>
      </w:r>
    </w:p>
    <w:p w14:paraId="190E9DCC">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7.供应商上传电子</w:t>
      </w:r>
      <w:r>
        <w:rPr>
          <w:rFonts w:hint="eastAsia" w:ascii="宋体" w:hAnsi="宋体" w:cs="宋体"/>
          <w:bCs/>
          <w:color w:val="auto"/>
          <w:sz w:val="24"/>
          <w:szCs w:val="24"/>
          <w:highlight w:val="none"/>
          <w:lang w:val="en-US" w:eastAsia="zh-CN"/>
        </w:rPr>
        <w:t>投标文件</w:t>
      </w:r>
      <w:r>
        <w:rPr>
          <w:rFonts w:hint="eastAsia" w:ascii="宋体" w:hAnsi="宋体" w:eastAsia="宋体" w:cs="宋体"/>
          <w:bCs/>
          <w:color w:val="auto"/>
          <w:sz w:val="24"/>
          <w:szCs w:val="24"/>
          <w:highlight w:val="none"/>
          <w:lang w:val="en-US" w:eastAsia="zh-CN"/>
        </w:rPr>
        <w:t>的时间不得迟于</w:t>
      </w:r>
      <w:r>
        <w:rPr>
          <w:rFonts w:hint="eastAsia" w:ascii="宋体" w:hAnsi="宋体" w:cs="宋体"/>
          <w:bCs/>
          <w:color w:val="auto"/>
          <w:sz w:val="24"/>
          <w:szCs w:val="24"/>
          <w:highlight w:val="none"/>
          <w:lang w:val="en-US" w:eastAsia="zh-CN"/>
        </w:rPr>
        <w:t>招标</w:t>
      </w:r>
      <w:r>
        <w:rPr>
          <w:rFonts w:hint="eastAsia" w:ascii="宋体" w:hAnsi="宋体" w:eastAsia="宋体" w:cs="宋体"/>
          <w:bCs/>
          <w:color w:val="auto"/>
          <w:sz w:val="24"/>
          <w:szCs w:val="24"/>
          <w:highlight w:val="none"/>
          <w:lang w:val="en-US" w:eastAsia="zh-CN"/>
        </w:rPr>
        <w:t>公告中规定的提交</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文件截止时间。</w:t>
      </w:r>
    </w:p>
    <w:p w14:paraId="035D3D90">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8.供应商应</w:t>
      </w:r>
      <w:r>
        <w:rPr>
          <w:rFonts w:hint="eastAsia" w:ascii="宋体" w:hAnsi="宋体" w:cs="宋体"/>
          <w:bCs/>
          <w:color w:val="auto"/>
          <w:sz w:val="24"/>
          <w:szCs w:val="24"/>
          <w:highlight w:val="none"/>
          <w:lang w:val="en-US" w:eastAsia="zh-CN"/>
        </w:rPr>
        <w:t>充分考虑</w:t>
      </w:r>
      <w:r>
        <w:rPr>
          <w:rFonts w:hint="eastAsia" w:ascii="宋体" w:hAnsi="宋体" w:eastAsia="宋体" w:cs="宋体"/>
          <w:bCs/>
          <w:color w:val="auto"/>
          <w:sz w:val="24"/>
          <w:szCs w:val="24"/>
          <w:highlight w:val="none"/>
          <w:lang w:val="en-US" w:eastAsia="zh-CN"/>
        </w:rPr>
        <w:t>网络环境、网络带宽等风险因素，如因供应商自身原因造成的电子</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文件上传不成功的按无效</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处理。</w:t>
      </w:r>
    </w:p>
    <w:p w14:paraId="0C12D19A">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9.</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文件中承诺的</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文件有效期应当不少于</w:t>
      </w:r>
      <w:r>
        <w:rPr>
          <w:rFonts w:hint="eastAsia" w:ascii="宋体" w:hAnsi="宋体" w:cs="宋体"/>
          <w:bCs/>
          <w:color w:val="auto"/>
          <w:sz w:val="24"/>
          <w:szCs w:val="24"/>
          <w:highlight w:val="none"/>
          <w:lang w:val="en-US" w:eastAsia="zh-CN"/>
        </w:rPr>
        <w:t>招标文件</w:t>
      </w:r>
      <w:r>
        <w:rPr>
          <w:rFonts w:hint="eastAsia" w:ascii="宋体" w:hAnsi="宋体" w:eastAsia="宋体" w:cs="宋体"/>
          <w:bCs/>
          <w:color w:val="auto"/>
          <w:sz w:val="24"/>
          <w:szCs w:val="24"/>
          <w:highlight w:val="none"/>
          <w:lang w:val="en-US" w:eastAsia="zh-CN"/>
        </w:rPr>
        <w:t>中载明的</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文件有效期。在</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文件提交截止时间至</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文件有效期届满之间的这段时间内，供应商不得撤回其</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w:t>
      </w:r>
    </w:p>
    <w:p w14:paraId="25504F98">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10.供应商应当在提交</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截止时间前完成</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文件的传输提交，并可以补充、修改或者撤回</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文件。补充、修改</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文件的，须先撤回</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文件，重新编制（即补充、修改）</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文件，在</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截止时间前完成</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文件的传输提交。</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截止时间前未完成</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文件传输的，视为撤回</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截止时间后送达的</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文件，苏采云平台予以拒收。</w:t>
      </w:r>
    </w:p>
    <w:p w14:paraId="2612AF81">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11.苏采云平台收到供应商送达的</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w:t>
      </w:r>
      <w:r>
        <w:rPr>
          <w:rFonts w:hint="eastAsia" w:ascii="宋体" w:hAnsi="宋体" w:cs="宋体"/>
          <w:bCs/>
          <w:color w:val="auto"/>
          <w:sz w:val="24"/>
          <w:szCs w:val="24"/>
          <w:highlight w:val="none"/>
          <w:lang w:val="en-US" w:eastAsia="zh-CN"/>
        </w:rPr>
        <w:t>及时</w:t>
      </w:r>
      <w:r>
        <w:rPr>
          <w:rFonts w:hint="eastAsia" w:ascii="宋体" w:hAnsi="宋体" w:eastAsia="宋体" w:cs="宋体"/>
          <w:bCs/>
          <w:color w:val="auto"/>
          <w:sz w:val="24"/>
          <w:szCs w:val="24"/>
          <w:highlight w:val="none"/>
          <w:lang w:val="en-US" w:eastAsia="zh-CN"/>
        </w:rPr>
        <w:t>向供应商发出确认通知（提示），并妥善保存</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文件。在</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截止时</w:t>
      </w:r>
      <w:r>
        <w:rPr>
          <w:rFonts w:hint="eastAsia" w:ascii="宋体" w:hAnsi="宋体" w:cs="宋体"/>
          <w:bCs/>
          <w:color w:val="auto"/>
          <w:sz w:val="24"/>
          <w:szCs w:val="24"/>
          <w:highlight w:val="none"/>
          <w:lang w:val="en-US" w:eastAsia="zh-CN"/>
        </w:rPr>
        <w:t>间之</w:t>
      </w:r>
      <w:r>
        <w:rPr>
          <w:rFonts w:hint="eastAsia" w:ascii="宋体" w:hAnsi="宋体" w:eastAsia="宋体" w:cs="宋体"/>
          <w:bCs/>
          <w:color w:val="auto"/>
          <w:sz w:val="24"/>
          <w:szCs w:val="24"/>
          <w:highlight w:val="none"/>
          <w:lang w:val="en-US" w:eastAsia="zh-CN"/>
        </w:rPr>
        <w:t>前，除供应商补充、修改或者撤回</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文件外，任何单位和个人不得解密、提取</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w:t>
      </w:r>
    </w:p>
    <w:p w14:paraId="3AA03714">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12.供应商自行承担所有参与采购活动的有关费用，无论采购活动过程中的做法和结果如何，采购人或采购代理机构在任何情况下均无义务和责任承担这些费用。</w:t>
      </w:r>
    </w:p>
    <w:p w14:paraId="3B8D5ADB">
      <w:pPr>
        <w:keepNext w:val="0"/>
        <w:keepLines w:val="0"/>
        <w:pageBreakBefore w:val="0"/>
        <w:spacing w:line="360" w:lineRule="auto"/>
        <w:ind w:firstLine="240"/>
        <w:outlineLvl w:val="9"/>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（八）网上投标报价：</w:t>
      </w:r>
    </w:p>
    <w:p w14:paraId="6BACC5DB">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1.供应商应通过苏采云平台，在</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截止时间前制作并上传电子</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文件。供应商上传电子</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文件的时间不得迟于</w:t>
      </w:r>
      <w:r>
        <w:rPr>
          <w:rFonts w:hint="eastAsia" w:ascii="宋体" w:hAnsi="宋体" w:cs="宋体"/>
          <w:bCs/>
          <w:color w:val="auto"/>
          <w:sz w:val="24"/>
          <w:szCs w:val="24"/>
          <w:highlight w:val="none"/>
          <w:lang w:val="en-US" w:eastAsia="zh-CN"/>
        </w:rPr>
        <w:t>招标</w:t>
      </w:r>
      <w:r>
        <w:rPr>
          <w:rFonts w:hint="eastAsia" w:ascii="宋体" w:hAnsi="宋体" w:eastAsia="宋体" w:cs="宋体"/>
          <w:bCs/>
          <w:color w:val="auto"/>
          <w:sz w:val="24"/>
          <w:szCs w:val="24"/>
          <w:highlight w:val="none"/>
          <w:lang w:val="en-US" w:eastAsia="zh-CN"/>
        </w:rPr>
        <w:t>公告中规定的截止时间。供应商应</w:t>
      </w:r>
      <w:r>
        <w:rPr>
          <w:rFonts w:hint="eastAsia" w:ascii="宋体" w:hAnsi="宋体" w:cs="宋体"/>
          <w:bCs/>
          <w:color w:val="auto"/>
          <w:sz w:val="24"/>
          <w:szCs w:val="24"/>
          <w:highlight w:val="none"/>
          <w:lang w:val="en-US" w:eastAsia="zh-CN"/>
        </w:rPr>
        <w:t>充分考虑</w:t>
      </w:r>
      <w:r>
        <w:rPr>
          <w:rFonts w:hint="eastAsia" w:ascii="宋体" w:hAnsi="宋体" w:eastAsia="宋体" w:cs="宋体"/>
          <w:bCs/>
          <w:color w:val="auto"/>
          <w:sz w:val="24"/>
          <w:szCs w:val="24"/>
          <w:highlight w:val="none"/>
          <w:lang w:val="en-US" w:eastAsia="zh-CN"/>
        </w:rPr>
        <w:t>网络环境、网络带宽等风险因素，如因供应商自身原因造成的电子</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文件上传不</w:t>
      </w:r>
      <w:r>
        <w:rPr>
          <w:rFonts w:hint="eastAsia" w:ascii="宋体" w:hAnsi="宋体" w:cs="宋体"/>
          <w:bCs/>
          <w:color w:val="auto"/>
          <w:sz w:val="24"/>
          <w:szCs w:val="24"/>
          <w:highlight w:val="none"/>
          <w:lang w:val="en-US" w:eastAsia="zh-CN"/>
        </w:rPr>
        <w:t>成功作无效投标</w:t>
      </w:r>
      <w:r>
        <w:rPr>
          <w:rFonts w:hint="eastAsia" w:ascii="宋体" w:hAnsi="宋体" w:eastAsia="宋体" w:cs="宋体"/>
          <w:bCs/>
          <w:color w:val="auto"/>
          <w:sz w:val="24"/>
          <w:szCs w:val="24"/>
          <w:highlight w:val="none"/>
          <w:lang w:val="en-US" w:eastAsia="zh-CN"/>
        </w:rPr>
        <w:t>处理。采购代理机构可以按照规定，通过修改</w:t>
      </w:r>
      <w:r>
        <w:rPr>
          <w:rFonts w:hint="eastAsia" w:ascii="宋体" w:hAnsi="宋体" w:cs="宋体"/>
          <w:bCs/>
          <w:color w:val="auto"/>
          <w:sz w:val="24"/>
          <w:szCs w:val="24"/>
          <w:highlight w:val="none"/>
          <w:lang w:val="en-US" w:eastAsia="zh-CN"/>
        </w:rPr>
        <w:t>招标文件</w:t>
      </w:r>
      <w:r>
        <w:rPr>
          <w:rFonts w:hint="eastAsia" w:ascii="宋体" w:hAnsi="宋体" w:eastAsia="宋体" w:cs="宋体"/>
          <w:bCs/>
          <w:color w:val="auto"/>
          <w:sz w:val="24"/>
          <w:szCs w:val="24"/>
          <w:highlight w:val="none"/>
          <w:lang w:val="en-US" w:eastAsia="zh-CN"/>
        </w:rPr>
        <w:t>酌情延长截止日期，在此情况下，供应商的所有权利和义务以及供应商受制的截止日期均应以延长后新的截止日期为准。</w:t>
      </w:r>
    </w:p>
    <w:p w14:paraId="10293363">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w:t>
      </w:r>
      <w:r>
        <w:rPr>
          <w:rFonts w:hint="eastAsia" w:ascii="宋体" w:hAnsi="宋体" w:cs="宋体"/>
          <w:bCs/>
          <w:color w:val="auto"/>
          <w:sz w:val="24"/>
          <w:szCs w:val="24"/>
          <w:highlight w:val="none"/>
          <w:lang w:val="en-US" w:eastAsia="zh-CN"/>
        </w:rPr>
        <w:t>开标活动</w:t>
      </w:r>
      <w:r>
        <w:rPr>
          <w:rFonts w:hint="eastAsia" w:ascii="宋体" w:hAnsi="宋体" w:eastAsia="宋体" w:cs="宋体"/>
          <w:bCs/>
          <w:color w:val="auto"/>
          <w:sz w:val="24"/>
          <w:szCs w:val="24"/>
          <w:highlight w:val="none"/>
          <w:lang w:val="en-US" w:eastAsia="zh-CN"/>
        </w:rPr>
        <w:t>由</w:t>
      </w:r>
      <w:r>
        <w:rPr>
          <w:rFonts w:hint="eastAsia" w:ascii="宋体" w:hAnsi="宋体" w:cs="宋体"/>
          <w:bCs/>
          <w:color w:val="auto"/>
          <w:sz w:val="24"/>
          <w:szCs w:val="24"/>
          <w:highlight w:val="none"/>
          <w:lang w:val="en-US" w:eastAsia="zh-CN"/>
        </w:rPr>
        <w:t>代理机构</w:t>
      </w:r>
      <w:r>
        <w:rPr>
          <w:rFonts w:hint="eastAsia" w:ascii="宋体" w:hAnsi="宋体" w:eastAsia="宋体" w:cs="宋体"/>
          <w:bCs/>
          <w:color w:val="auto"/>
          <w:sz w:val="24"/>
          <w:szCs w:val="24"/>
          <w:highlight w:val="none"/>
          <w:lang w:val="en-US" w:eastAsia="zh-CN"/>
        </w:rPr>
        <w:t>主持，</w:t>
      </w:r>
      <w:r>
        <w:rPr>
          <w:rFonts w:hint="eastAsia" w:ascii="宋体" w:hAnsi="宋体" w:cs="宋体"/>
          <w:bCs/>
          <w:color w:val="auto"/>
          <w:sz w:val="24"/>
          <w:szCs w:val="24"/>
          <w:highlight w:val="none"/>
          <w:lang w:val="en-US" w:eastAsia="zh-CN"/>
        </w:rPr>
        <w:t>“苏采云”系统</w:t>
      </w:r>
      <w:r>
        <w:rPr>
          <w:rFonts w:hint="eastAsia" w:ascii="宋体" w:hAnsi="宋体" w:eastAsia="宋体" w:cs="宋体"/>
          <w:bCs/>
          <w:color w:val="auto"/>
          <w:sz w:val="24"/>
          <w:szCs w:val="24"/>
          <w:highlight w:val="none"/>
          <w:lang w:val="en-US" w:eastAsia="zh-CN"/>
        </w:rPr>
        <w:t>将自动对项目进行开标，并宣布各</w:t>
      </w:r>
      <w:r>
        <w:rPr>
          <w:rFonts w:hint="eastAsia" w:ascii="宋体" w:hAnsi="宋体" w:cs="宋体"/>
          <w:bCs/>
          <w:color w:val="auto"/>
          <w:sz w:val="24"/>
          <w:szCs w:val="24"/>
          <w:highlight w:val="none"/>
          <w:lang w:val="en-US" w:eastAsia="zh-CN"/>
        </w:rPr>
        <w:t>投标供应商</w:t>
      </w:r>
      <w:r>
        <w:rPr>
          <w:rFonts w:hint="eastAsia" w:ascii="宋体" w:hAnsi="宋体" w:eastAsia="宋体" w:cs="宋体"/>
          <w:bCs/>
          <w:color w:val="auto"/>
          <w:sz w:val="24"/>
          <w:szCs w:val="24"/>
          <w:highlight w:val="none"/>
          <w:lang w:val="en-US" w:eastAsia="zh-CN"/>
        </w:rPr>
        <w:t>名称和投标价格。苏采云平台自动提取所有</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文件开启解密之后30分钟内，供应商通过苏采云平台（使用“CA数字证书”）按时在线解密。</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文件解密失败的补救方案</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无。</w:t>
      </w:r>
    </w:p>
    <w:p w14:paraId="789DB145">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3.供应商应当参加</w:t>
      </w:r>
      <w:r>
        <w:rPr>
          <w:rFonts w:hint="eastAsia" w:ascii="宋体" w:hAnsi="宋体" w:cs="宋体"/>
          <w:bCs/>
          <w:color w:val="auto"/>
          <w:sz w:val="24"/>
          <w:szCs w:val="24"/>
          <w:highlight w:val="none"/>
          <w:lang w:val="en-US" w:eastAsia="zh-CN"/>
        </w:rPr>
        <w:t>开标活动</w:t>
      </w:r>
      <w:r>
        <w:rPr>
          <w:rFonts w:hint="eastAsia" w:ascii="宋体" w:hAnsi="宋体" w:eastAsia="宋体" w:cs="宋体"/>
          <w:bCs/>
          <w:color w:val="auto"/>
          <w:sz w:val="24"/>
          <w:szCs w:val="24"/>
          <w:highlight w:val="none"/>
          <w:lang w:val="en-US" w:eastAsia="zh-CN"/>
        </w:rPr>
        <w:t>和在苏采云平台规定的时间内对电子</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文件进行解密。供应商在</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过程中</w:t>
      </w:r>
      <w:r>
        <w:rPr>
          <w:rFonts w:hint="eastAsia" w:ascii="宋体" w:hAnsi="宋体" w:cs="宋体"/>
          <w:bCs/>
          <w:color w:val="auto"/>
          <w:sz w:val="24"/>
          <w:szCs w:val="24"/>
          <w:highlight w:val="none"/>
          <w:lang w:val="en-US" w:eastAsia="zh-CN"/>
        </w:rPr>
        <w:t>涉及的投标</w:t>
      </w:r>
      <w:r>
        <w:rPr>
          <w:rFonts w:hint="eastAsia" w:ascii="宋体" w:hAnsi="宋体" w:eastAsia="宋体" w:cs="宋体"/>
          <w:bCs/>
          <w:color w:val="auto"/>
          <w:sz w:val="24"/>
          <w:szCs w:val="24"/>
          <w:highlight w:val="none"/>
          <w:lang w:val="en-US" w:eastAsia="zh-CN"/>
        </w:rPr>
        <w:t>文件解密、结果确认等工作，应按照《操作手册》规定执行。供应商如果对</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过程和</w:t>
      </w:r>
      <w:r>
        <w:rPr>
          <w:rFonts w:hint="eastAsia" w:ascii="宋体" w:hAnsi="宋体" w:cs="宋体"/>
          <w:bCs/>
          <w:color w:val="auto"/>
          <w:sz w:val="24"/>
          <w:szCs w:val="24"/>
          <w:highlight w:val="none"/>
          <w:lang w:val="en-US" w:eastAsia="zh-CN"/>
        </w:rPr>
        <w:t>开标</w:t>
      </w:r>
      <w:r>
        <w:rPr>
          <w:rFonts w:hint="eastAsia" w:ascii="宋体" w:hAnsi="宋体" w:eastAsia="宋体" w:cs="宋体"/>
          <w:bCs/>
          <w:color w:val="auto"/>
          <w:sz w:val="24"/>
          <w:szCs w:val="24"/>
          <w:highlight w:val="none"/>
          <w:lang w:val="en-US" w:eastAsia="zh-CN"/>
        </w:rPr>
        <w:t>记录有疑义，应当根据《操作手册》规定提出，如苏采云平台中《报价记录表》宣布后5分钟内未提出的，视同认可</w:t>
      </w:r>
      <w:r>
        <w:rPr>
          <w:rFonts w:hint="eastAsia" w:ascii="宋体" w:hAnsi="宋体" w:cs="宋体"/>
          <w:bCs/>
          <w:color w:val="auto"/>
          <w:sz w:val="24"/>
          <w:szCs w:val="24"/>
          <w:highlight w:val="none"/>
          <w:lang w:val="en-US" w:eastAsia="zh-CN"/>
        </w:rPr>
        <w:t>开标</w:t>
      </w:r>
      <w:r>
        <w:rPr>
          <w:rFonts w:hint="eastAsia" w:ascii="宋体" w:hAnsi="宋体" w:eastAsia="宋体" w:cs="宋体"/>
          <w:bCs/>
          <w:color w:val="auto"/>
          <w:sz w:val="24"/>
          <w:szCs w:val="24"/>
          <w:highlight w:val="none"/>
          <w:lang w:val="en-US" w:eastAsia="zh-CN"/>
        </w:rPr>
        <w:t>结果。</w:t>
      </w:r>
    </w:p>
    <w:p w14:paraId="27EB1F8B">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4.因供应商原因造成</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文件未解密的，视为撤销其</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文件；因供应商之外的原因造成</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文件未解密的，视为撤回其</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文件，供应商有权要求责任方（如责任方为电子招标投标交易平台，电子招标投标交易平台免责）赔偿因此遭受的直接损失。部分</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文件未解密的，其他</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文件的开标可以继续进行。</w:t>
      </w:r>
    </w:p>
    <w:p w14:paraId="760E934C">
      <w:pPr>
        <w:keepNext w:val="0"/>
        <w:keepLines w:val="0"/>
        <w:pageBreakBefore w:val="0"/>
        <w:spacing w:line="360" w:lineRule="auto"/>
        <w:ind w:firstLine="240"/>
        <w:outlineLvl w:val="9"/>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（九）无效投标文件的确认：</w:t>
      </w:r>
    </w:p>
    <w:p w14:paraId="01D3725B">
      <w:pPr>
        <w:keepNext w:val="0"/>
        <w:keepLines w:val="0"/>
        <w:pageBreakBefore w:val="0"/>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投标供应商</w:t>
      </w:r>
      <w:r>
        <w:rPr>
          <w:rFonts w:hint="eastAsia" w:ascii="宋体" w:hAnsi="宋体" w:eastAsia="宋体" w:cs="宋体"/>
          <w:bCs/>
          <w:color w:val="auto"/>
          <w:sz w:val="24"/>
          <w:szCs w:val="24"/>
          <w:highlight w:val="none"/>
        </w:rPr>
        <w:t>有下列情况之一者，</w:t>
      </w:r>
      <w:r>
        <w:rPr>
          <w:rFonts w:hint="eastAsia" w:ascii="宋体" w:hAnsi="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无效：</w:t>
      </w:r>
    </w:p>
    <w:p w14:paraId="1C1D0C18">
      <w:pPr>
        <w:keepNext w:val="0"/>
        <w:keepLines w:val="0"/>
        <w:pageBreakBefore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未按规定</w:t>
      </w:r>
      <w:r>
        <w:rPr>
          <w:rFonts w:hint="eastAsia" w:ascii="宋体" w:hAnsi="宋体" w:cs="宋体"/>
          <w:bCs/>
          <w:color w:val="auto"/>
          <w:sz w:val="24"/>
          <w:szCs w:val="24"/>
          <w:highlight w:val="none"/>
          <w:lang w:eastAsia="zh-CN"/>
        </w:rPr>
        <w:t>缴纳</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rPr>
        <w:t>保证金的；（本项目无需保证金）</w:t>
      </w:r>
    </w:p>
    <w:p w14:paraId="5F2E9D88">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2.电子</w:t>
      </w:r>
      <w:r>
        <w:rPr>
          <w:rFonts w:hint="eastAsia" w:ascii="宋体" w:hAnsi="宋体" w:cs="宋体"/>
          <w:bCs/>
          <w:color w:val="auto"/>
          <w:sz w:val="24"/>
          <w:szCs w:val="24"/>
          <w:highlight w:val="none"/>
          <w:lang w:val="en-US" w:eastAsia="zh-CN"/>
        </w:rPr>
        <w:t>投标文件</w:t>
      </w:r>
      <w:r>
        <w:rPr>
          <w:rFonts w:hint="eastAsia" w:ascii="宋体" w:hAnsi="宋体" w:eastAsia="宋体" w:cs="宋体"/>
          <w:bCs/>
          <w:color w:val="auto"/>
          <w:sz w:val="24"/>
          <w:szCs w:val="24"/>
          <w:highlight w:val="none"/>
          <w:lang w:val="en-US" w:eastAsia="zh-CN"/>
        </w:rPr>
        <w:t>未按规定的期限上传（递交）的；</w:t>
      </w:r>
    </w:p>
    <w:p w14:paraId="02305F77">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供应商在“苏采云”系统规定的时间内未成功解密电子投标文件的；</w:t>
      </w:r>
    </w:p>
    <w:p w14:paraId="4744D880">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供应商未按照招标文件要求上传电子投标文件、电子投标文件未按规定期限投标的，纸质投标文件（如有）未按规定的期限、地点送达的；</w:t>
      </w:r>
    </w:p>
    <w:p w14:paraId="1E780E0B">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供应商</w:t>
      </w:r>
      <w:r>
        <w:rPr>
          <w:rFonts w:hint="eastAsia" w:ascii="宋体" w:hAnsi="宋体" w:cs="宋体"/>
          <w:bCs/>
          <w:color w:val="auto"/>
          <w:sz w:val="24"/>
          <w:szCs w:val="24"/>
          <w:highlight w:val="none"/>
          <w:lang w:val="en-US" w:eastAsia="zh-CN"/>
        </w:rPr>
        <w:t>的</w:t>
      </w:r>
      <w:r>
        <w:rPr>
          <w:rFonts w:hint="eastAsia" w:ascii="宋体" w:hAnsi="宋体" w:eastAsia="宋体" w:cs="宋体"/>
          <w:bCs/>
          <w:color w:val="auto"/>
          <w:sz w:val="24"/>
          <w:szCs w:val="24"/>
          <w:highlight w:val="none"/>
          <w:lang w:val="en-US" w:eastAsia="zh-CN"/>
        </w:rPr>
        <w:t>电子</w:t>
      </w:r>
      <w:r>
        <w:rPr>
          <w:rFonts w:hint="eastAsia" w:ascii="宋体" w:hAnsi="宋体" w:cs="宋体"/>
          <w:bCs/>
          <w:color w:val="auto"/>
          <w:sz w:val="24"/>
          <w:szCs w:val="24"/>
          <w:highlight w:val="none"/>
          <w:lang w:val="en-US" w:eastAsia="zh-CN"/>
        </w:rPr>
        <w:t>投标文件</w:t>
      </w:r>
      <w:r>
        <w:rPr>
          <w:rFonts w:hint="eastAsia" w:ascii="宋体" w:hAnsi="宋体" w:eastAsia="宋体" w:cs="宋体"/>
          <w:bCs/>
          <w:color w:val="auto"/>
          <w:sz w:val="24"/>
          <w:szCs w:val="24"/>
          <w:highlight w:val="none"/>
          <w:lang w:val="en-US" w:eastAsia="zh-CN"/>
        </w:rPr>
        <w:t>未按</w:t>
      </w:r>
      <w:r>
        <w:rPr>
          <w:rFonts w:hint="eastAsia" w:ascii="宋体" w:hAnsi="宋体" w:cs="宋体"/>
          <w:bCs/>
          <w:color w:val="auto"/>
          <w:sz w:val="24"/>
          <w:szCs w:val="24"/>
          <w:highlight w:val="none"/>
          <w:lang w:val="en-US" w:eastAsia="zh-CN"/>
        </w:rPr>
        <w:t>招标文件</w:t>
      </w:r>
      <w:r>
        <w:rPr>
          <w:rFonts w:hint="eastAsia" w:ascii="宋体" w:hAnsi="宋体" w:eastAsia="宋体" w:cs="宋体"/>
          <w:bCs/>
          <w:color w:val="auto"/>
          <w:sz w:val="24"/>
          <w:szCs w:val="24"/>
          <w:highlight w:val="none"/>
          <w:lang w:val="en-US" w:eastAsia="zh-CN"/>
        </w:rPr>
        <w:t>要求签署、签章的；</w:t>
      </w:r>
    </w:p>
    <w:p w14:paraId="5FD4CDB4">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供应商</w:t>
      </w:r>
      <w:r>
        <w:rPr>
          <w:rFonts w:hint="eastAsia" w:ascii="宋体" w:hAnsi="宋体" w:cs="宋体"/>
          <w:bCs/>
          <w:color w:val="auto"/>
          <w:sz w:val="24"/>
          <w:szCs w:val="24"/>
          <w:highlight w:val="none"/>
          <w:lang w:val="en-US" w:eastAsia="zh-CN"/>
        </w:rPr>
        <w:t>的</w:t>
      </w:r>
      <w:r>
        <w:rPr>
          <w:rFonts w:hint="eastAsia" w:ascii="宋体" w:hAnsi="宋体" w:eastAsia="宋体" w:cs="宋体"/>
          <w:bCs/>
          <w:color w:val="auto"/>
          <w:sz w:val="24"/>
          <w:szCs w:val="24"/>
          <w:highlight w:val="none"/>
          <w:lang w:val="en-US" w:eastAsia="zh-CN"/>
        </w:rPr>
        <w:t>被授权代表无授权委托书或授权委托日期晚于投标截止日期的；</w:t>
      </w:r>
    </w:p>
    <w:p w14:paraId="7B6FB4BF">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7.供应商不具备</w:t>
      </w:r>
      <w:r>
        <w:rPr>
          <w:rFonts w:hint="eastAsia" w:ascii="宋体" w:hAnsi="宋体" w:cs="宋体"/>
          <w:bCs/>
          <w:color w:val="auto"/>
          <w:sz w:val="24"/>
          <w:szCs w:val="24"/>
          <w:highlight w:val="none"/>
          <w:lang w:val="en-US" w:eastAsia="zh-CN"/>
        </w:rPr>
        <w:t>招标文件</w:t>
      </w:r>
      <w:r>
        <w:rPr>
          <w:rFonts w:hint="eastAsia" w:ascii="宋体" w:hAnsi="宋体" w:eastAsia="宋体" w:cs="宋体"/>
          <w:bCs/>
          <w:color w:val="auto"/>
          <w:sz w:val="24"/>
          <w:szCs w:val="24"/>
          <w:highlight w:val="none"/>
          <w:lang w:val="en-US" w:eastAsia="zh-CN"/>
        </w:rPr>
        <w:t>中规定的资格要求或未按</w:t>
      </w:r>
      <w:r>
        <w:rPr>
          <w:rFonts w:hint="eastAsia" w:ascii="宋体" w:hAnsi="宋体" w:cs="宋体"/>
          <w:bCs/>
          <w:color w:val="auto"/>
          <w:sz w:val="24"/>
          <w:szCs w:val="24"/>
          <w:highlight w:val="none"/>
          <w:lang w:val="en-US" w:eastAsia="zh-CN"/>
        </w:rPr>
        <w:t>招标文件</w:t>
      </w:r>
      <w:r>
        <w:rPr>
          <w:rFonts w:hint="eastAsia" w:ascii="宋体" w:hAnsi="宋体" w:eastAsia="宋体" w:cs="宋体"/>
          <w:bCs/>
          <w:color w:val="auto"/>
          <w:sz w:val="24"/>
          <w:szCs w:val="24"/>
          <w:highlight w:val="none"/>
          <w:lang w:val="en-US" w:eastAsia="zh-CN"/>
        </w:rPr>
        <w:t>规定的要求提供资格、资信证明文件的；</w:t>
      </w:r>
    </w:p>
    <w:p w14:paraId="029244C4">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8.投标文件内容不全或不符合招标文件中规定的实质性要求和条件的；</w:t>
      </w:r>
    </w:p>
    <w:p w14:paraId="61DEB38C">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供应商同一标段提交两个（含两个）以上不同的报价的；供应商同一标段用两个</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含两个</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以上规格型号产品进行响应的；</w:t>
      </w:r>
    </w:p>
    <w:p w14:paraId="21093856">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w:t>
      </w:r>
      <w:r>
        <w:rPr>
          <w:rFonts w:hint="eastAsia" w:ascii="宋体" w:hAnsi="宋体" w:cs="宋体"/>
          <w:bCs/>
          <w:color w:val="auto"/>
          <w:sz w:val="24"/>
          <w:szCs w:val="24"/>
          <w:highlight w:val="none"/>
          <w:lang w:val="en-US" w:eastAsia="zh-CN"/>
        </w:rPr>
        <w:t>0</w:t>
      </w: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投标</w:t>
      </w:r>
      <w:r>
        <w:rPr>
          <w:rFonts w:hint="eastAsia" w:ascii="宋体" w:hAnsi="宋体" w:eastAsia="宋体" w:cs="宋体"/>
          <w:bCs/>
          <w:color w:val="auto"/>
          <w:sz w:val="24"/>
          <w:szCs w:val="24"/>
          <w:highlight w:val="none"/>
          <w:lang w:val="en-US" w:eastAsia="zh-CN"/>
        </w:rPr>
        <w:t>供应商被</w:t>
      </w:r>
      <w:r>
        <w:rPr>
          <w:rFonts w:hint="eastAsia" w:hAnsi="宋体"/>
          <w:color w:val="auto"/>
          <w:sz w:val="24"/>
          <w:szCs w:val="24"/>
          <w:highlight w:val="none"/>
        </w:rPr>
        <w:t>“信用中国</w:t>
      </w:r>
      <w:r>
        <w:rPr>
          <w:rFonts w:hint="eastAsia" w:hAnsi="宋体"/>
          <w:color w:val="auto"/>
          <w:sz w:val="24"/>
          <w:szCs w:val="24"/>
          <w:highlight w:val="none"/>
          <w:lang w:eastAsia="zh-CN"/>
        </w:rPr>
        <w:t>”“</w:t>
      </w:r>
      <w:r>
        <w:rPr>
          <w:rFonts w:hint="eastAsia" w:hAnsi="宋体"/>
          <w:color w:val="auto"/>
          <w:sz w:val="24"/>
          <w:szCs w:val="24"/>
          <w:highlight w:val="none"/>
        </w:rPr>
        <w:t>中国政府采购网”</w:t>
      </w:r>
      <w:r>
        <w:rPr>
          <w:rFonts w:hint="eastAsia" w:ascii="宋体" w:hAnsi="宋体" w:eastAsia="宋体" w:cs="宋体"/>
          <w:bCs/>
          <w:color w:val="auto"/>
          <w:sz w:val="24"/>
          <w:szCs w:val="24"/>
          <w:highlight w:val="none"/>
          <w:lang w:val="en-US" w:eastAsia="zh-CN"/>
        </w:rPr>
        <w:t>列入失信被执行人、重大税收违法案件当事人名单、政府采购严重违法失信行为记录名单</w:t>
      </w:r>
      <w:r>
        <w:rPr>
          <w:rFonts w:hint="eastAsia" w:ascii="宋体" w:hAnsi="宋体" w:cs="宋体"/>
          <w:bCs/>
          <w:color w:val="auto"/>
          <w:sz w:val="24"/>
          <w:szCs w:val="24"/>
          <w:highlight w:val="none"/>
          <w:lang w:val="en-US" w:eastAsia="zh-CN"/>
        </w:rPr>
        <w:t>。</w:t>
      </w:r>
      <w:r>
        <w:rPr>
          <w:rFonts w:hint="eastAsia" w:ascii="宋体" w:hAnsi="宋体"/>
          <w:bCs/>
          <w:color w:val="auto"/>
          <w:sz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highlight w:val="none"/>
        </w:rPr>
        <w:t>后发现</w:t>
      </w:r>
      <w:r>
        <w:rPr>
          <w:rFonts w:hint="eastAsia" w:ascii="宋体" w:hAnsi="宋体"/>
          <w:bCs/>
          <w:color w:val="auto"/>
          <w:sz w:val="24"/>
          <w:highlight w:val="none"/>
          <w:lang w:eastAsia="zh-CN"/>
        </w:rPr>
        <w:t>投标供应商</w:t>
      </w:r>
      <w:r>
        <w:rPr>
          <w:rFonts w:hint="eastAsia" w:ascii="宋体" w:hAnsi="宋体"/>
          <w:bCs/>
          <w:color w:val="auto"/>
          <w:sz w:val="24"/>
          <w:highlight w:val="none"/>
        </w:rPr>
        <w:t>存在其他不符合《中华人民共和国政府采购法》第二十二条规定条件的信用记录</w:t>
      </w:r>
      <w:r>
        <w:rPr>
          <w:rFonts w:hint="eastAsia" w:ascii="宋体" w:hAnsi="宋体" w:eastAsia="宋体" w:cs="宋体"/>
          <w:bCs/>
          <w:color w:val="auto"/>
          <w:sz w:val="24"/>
          <w:szCs w:val="24"/>
          <w:highlight w:val="none"/>
          <w:lang w:val="en-US" w:eastAsia="zh-CN"/>
        </w:rPr>
        <w:t>；</w:t>
      </w:r>
    </w:p>
    <w:p w14:paraId="2DD9C948">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US" w:eastAsia="zh-CN"/>
        </w:rPr>
        <w:t>.</w:t>
      </w:r>
      <w:r>
        <w:rPr>
          <w:rFonts w:hint="eastAsia" w:ascii="宋体" w:hAnsi="宋体" w:cs="宋体"/>
          <w:bCs/>
          <w:color w:val="auto"/>
          <w:sz w:val="24"/>
          <w:szCs w:val="24"/>
          <w:highlight w:val="none"/>
          <w:lang w:val="en-US" w:eastAsia="zh-CN"/>
        </w:rPr>
        <w:t>投标文件</w:t>
      </w:r>
      <w:r>
        <w:rPr>
          <w:rFonts w:hint="eastAsia" w:ascii="宋体" w:hAnsi="宋体" w:eastAsia="宋体" w:cs="宋体"/>
          <w:bCs/>
          <w:color w:val="auto"/>
          <w:sz w:val="24"/>
          <w:szCs w:val="24"/>
          <w:highlight w:val="none"/>
          <w:lang w:val="en-US" w:eastAsia="zh-CN"/>
        </w:rPr>
        <w:t>未按</w:t>
      </w:r>
      <w:r>
        <w:rPr>
          <w:rFonts w:hint="eastAsia" w:ascii="宋体" w:hAnsi="宋体" w:cs="宋体"/>
          <w:bCs/>
          <w:color w:val="auto"/>
          <w:sz w:val="24"/>
          <w:szCs w:val="24"/>
          <w:highlight w:val="none"/>
          <w:lang w:val="en-US" w:eastAsia="zh-CN"/>
        </w:rPr>
        <w:t>招标文件</w:t>
      </w:r>
      <w:r>
        <w:rPr>
          <w:rFonts w:hint="eastAsia" w:ascii="宋体" w:hAnsi="宋体" w:eastAsia="宋体" w:cs="宋体"/>
          <w:bCs/>
          <w:color w:val="auto"/>
          <w:sz w:val="24"/>
          <w:szCs w:val="24"/>
          <w:highlight w:val="none"/>
          <w:lang w:val="en-US" w:eastAsia="zh-CN"/>
        </w:rPr>
        <w:t>规定的格式、内容和要求填写、制作的；</w:t>
      </w:r>
    </w:p>
    <w:p w14:paraId="6DE89B10">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w:t>
      </w: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en-US" w:eastAsia="zh-CN"/>
        </w:rPr>
        <w:t>.电子投标文件图片、字迹模糊不清、无法辨认导致无法评审的；</w:t>
      </w:r>
    </w:p>
    <w:p w14:paraId="240B818E">
      <w:pPr>
        <w:keepNext w:val="0"/>
        <w:keepLines w:val="0"/>
        <w:pageBreakBefore w:val="0"/>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.投标文件含有招标文件未允许提供的选择性内容的；</w:t>
      </w:r>
    </w:p>
    <w:p w14:paraId="127BCA52">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14.投标文件含有采购人不能接受的附加条件的；</w:t>
      </w:r>
    </w:p>
    <w:p w14:paraId="5030A6F3">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15.提供虚假材料的（包括工商营业执照、财务报表、资格、资信证明文件等）；</w:t>
      </w:r>
    </w:p>
    <w:p w14:paraId="4C3B0BDB">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16.供应商未遵循公平竞争的原则，恶意串通，妨碍其他供应商的竞争行为，损害采购人或者其他供应商的合法权益的；</w:t>
      </w:r>
    </w:p>
    <w:p w14:paraId="56D007FC">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17.不同投标供应商的投标文件的目录序号、排版格式、文字风格等存在明显的相似性或一致性，特征显示由同一单位或者同一个人编制的；</w:t>
      </w:r>
    </w:p>
    <w:p w14:paraId="71B7184E">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18.不同供应商委托同一单位或者个人办理投标事宜的；</w:t>
      </w:r>
    </w:p>
    <w:p w14:paraId="58E8BC19">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19.不同供应商投标文件载明的项目管理成员或者联系人员为同一人的；</w:t>
      </w:r>
    </w:p>
    <w:p w14:paraId="2B0FD8EA">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20.不同供应商的投标文件内容存在非正常一致、项目组成员出现同一人、投标文件中错误（或异常）一致或雷同、电子文档信息一致或雷同的；</w:t>
      </w:r>
    </w:p>
    <w:p w14:paraId="4203F0D4">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21.不同供应商报价细目呈明显规律性变化，或恶意串通其他供应商，故意哄抬价格或压价的；</w:t>
      </w:r>
    </w:p>
    <w:p w14:paraId="08699764">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22.不同供应商聘请同一人为其投标提供技术或经济咨询服务的；</w:t>
      </w:r>
    </w:p>
    <w:p w14:paraId="76A8F9E3">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23.不同供应商的单位负责人为同一人或者存在直接控股、管理关系的；</w:t>
      </w:r>
    </w:p>
    <w:p w14:paraId="79AA0A32">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24.不同供应商的委托代理人、项目负责人以及其他相关人员有在同一个单位缴纳社会保险的、同一投标文件中单位名称落款与公章不是同一单位的；</w:t>
      </w:r>
    </w:p>
    <w:p w14:paraId="69B0EB79">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25.除单一来源外，供应商为本项目提供整体设计、规范编制或者项目管理、监理、检测等服务的； </w:t>
      </w:r>
    </w:p>
    <w:p w14:paraId="165CD5D8">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26.投标供应商的项目（标项、标段、分包）投标总价超过本项目（本采购包、本标项、本标段）预算或最高限价的；</w:t>
      </w:r>
    </w:p>
    <w:p w14:paraId="246BF36B">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27.报价畸高或畸低，但总报价与各分项报价不能相互对应，在询标时没有合理的解释或者不能提供计算依据和报价依据的；</w:t>
      </w:r>
    </w:p>
    <w:p w14:paraId="1D21CCBA">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28.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项目中标（成交）价格、类似产品市场价格水平、行业人工费用标准、国家有关部门指导行业协会发布的行业平均成本等情况，依据专业经验对供应商报价合理性进行判断。投标（响应）供应商不提供书面说明、证明材料，或者提供的书面说明、证明材料不能证明其报价合理性的，评标委员会应当将其作为无效投标（响应）处理；</w:t>
      </w:r>
    </w:p>
    <w:p w14:paraId="31758102">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29.投标文件报价出现前后不一致且供应商对修正后的报价不确认的；</w:t>
      </w:r>
    </w:p>
    <w:p w14:paraId="1FB7DE1D">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30.本项目采购产品被财政部、国家发展改革委、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p>
    <w:p w14:paraId="7D02E46E">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31.未通过投标文件资格性检查、投标文件符合性检查的；</w:t>
      </w:r>
    </w:p>
    <w:p w14:paraId="3BB0E788">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32.投标文件同一方案有选择性报价且未声明以哪一个为准的；</w:t>
      </w:r>
    </w:p>
    <w:p w14:paraId="3859EBE2">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33.投标文件被本项目评委确认为无效投标文件的；</w:t>
      </w:r>
    </w:p>
    <w:p w14:paraId="4FA0270E">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34.改变招标文件规定的暂定价格或不可竞争费用的；改变招标文件规定的服务期限、误期违约金 、质量标准及质量违约金的；</w:t>
      </w:r>
    </w:p>
    <w:p w14:paraId="185A53AD">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35.未按要求提供技术文件的；</w:t>
      </w:r>
    </w:p>
    <w:p w14:paraId="6916EE6E">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36.不同投标供应商的投标保证金从同一单位或者个人的账户转出；（本项目无需投标保证金）；</w:t>
      </w:r>
    </w:p>
    <w:p w14:paraId="283BA16E">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37.不同投标供应商投标文件中的项目相关人员出现同一人的（设备生产厂人员和特邀设备维修保养人员除外）；</w:t>
      </w:r>
    </w:p>
    <w:p w14:paraId="1F6C0F5C">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38.技术文件编制粗糙、缺漏项较多、格式混乱、条理不清；</w:t>
      </w:r>
    </w:p>
    <w:p w14:paraId="138C94AC">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39.不同投标供应商的投标文件由同一台电脑编制或者同一把数字证书加密锁加密或者同一台附属设备打印的；</w:t>
      </w:r>
    </w:p>
    <w:p w14:paraId="47B750DE">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40.各投标供应商的投标文件上传使用的MAC地址和IP地址一致的，各投标供应商从同一个供应商单位或者同一个自然人的互联网协议地址下载招标文件或上传投标文件、不同投标文件留有相同标记标识或存在两处以上一致性错误或雷同等情况，视为投标供应商相互围标、串标，其报价无效；</w:t>
      </w:r>
    </w:p>
    <w:p w14:paraId="51E71BB9">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41.电子投标文件与招标文件要求格式不一致而无法导入计算机评标系统；</w:t>
      </w:r>
    </w:p>
    <w:p w14:paraId="02579724">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42.启用投标文件电子文本的项目，投标供应商因自身原因造成投标文件电子文本无法导入应急评标系统的，视为放弃其投标报价；</w:t>
      </w:r>
    </w:p>
    <w:p w14:paraId="26598A62">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43.投标文件内容不全或不符合法律法规和招标文件中规定的其他实质性要求的；</w:t>
      </w:r>
    </w:p>
    <w:p w14:paraId="7FBE55BE">
      <w:pPr>
        <w:keepNext w:val="0"/>
        <w:keepLines w:val="0"/>
        <w:pageBreakBefore w:val="0"/>
        <w:spacing w:line="360" w:lineRule="auto"/>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44.法律法规和招标文件规定的其他无效情形。</w:t>
      </w:r>
    </w:p>
    <w:p w14:paraId="11FEC7D4">
      <w:pPr>
        <w:keepNext w:val="0"/>
        <w:keepLines w:val="0"/>
        <w:pageBreakBefore w:val="0"/>
        <w:spacing w:line="360" w:lineRule="auto"/>
        <w:ind w:firstLine="240"/>
        <w:outlineLvl w:val="9"/>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（十）开标、评标：</w:t>
      </w:r>
    </w:p>
    <w:p w14:paraId="00CDBD69">
      <w:pPr>
        <w:keepNext w:val="0"/>
        <w:keepLines w:val="0"/>
        <w:pageBreakBefore w:val="0"/>
        <w:spacing w:line="360" w:lineRule="auto"/>
        <w:ind w:firstLine="480"/>
        <w:rPr>
          <w:rFonts w:hint="eastAsia" w:ascii="宋体" w:hAnsi="宋体" w:eastAsia="宋体" w:cs="宋体"/>
          <w:color w:val="auto"/>
          <w:sz w:val="24"/>
          <w:szCs w:val="22"/>
          <w:highlight w:val="none"/>
        </w:rPr>
      </w:pPr>
      <w:r>
        <w:rPr>
          <w:rFonts w:hint="eastAsia" w:ascii="宋体" w:hAnsi="宋体" w:eastAsia="宋体" w:cs="宋体"/>
          <w:b w:val="0"/>
          <w:bCs/>
          <w:color w:val="auto"/>
          <w:sz w:val="24"/>
          <w:szCs w:val="24"/>
          <w:highlight w:val="none"/>
          <w:lang w:val="en-US" w:eastAsia="zh-CN"/>
        </w:rPr>
        <w:t>开标、评审工作由代理机构负责组织。</w:t>
      </w:r>
    </w:p>
    <w:p w14:paraId="0D98EFAD">
      <w:pPr>
        <w:keepNext w:val="0"/>
        <w:keepLines w:val="0"/>
        <w:pageBreakBefore w:val="0"/>
        <w:spacing w:line="360" w:lineRule="auto"/>
        <w:ind w:firstLine="480"/>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1.开标</w:t>
      </w:r>
      <w:r>
        <w:rPr>
          <w:rFonts w:hint="eastAsia" w:ascii="宋体" w:hAnsi="宋体" w:cs="宋体"/>
          <w:b w:val="0"/>
          <w:bCs/>
          <w:color w:val="auto"/>
          <w:sz w:val="24"/>
          <w:szCs w:val="24"/>
          <w:highlight w:val="none"/>
          <w:lang w:val="en-US" w:eastAsia="zh-CN"/>
        </w:rPr>
        <w:t>工作</w:t>
      </w:r>
      <w:r>
        <w:rPr>
          <w:rFonts w:hint="eastAsia" w:ascii="宋体" w:hAnsi="宋体" w:eastAsia="宋体" w:cs="宋体"/>
          <w:b w:val="0"/>
          <w:bCs/>
          <w:color w:val="auto"/>
          <w:sz w:val="24"/>
          <w:szCs w:val="24"/>
          <w:highlight w:val="none"/>
          <w:lang w:val="en-US" w:eastAsia="zh-CN"/>
        </w:rPr>
        <w:t>程序</w:t>
      </w:r>
    </w:p>
    <w:p w14:paraId="6F7481A3">
      <w:pPr>
        <w:keepNext w:val="0"/>
        <w:keepLines w:val="0"/>
        <w:pageBreakBefore w:val="0"/>
        <w:spacing w:line="360" w:lineRule="auto"/>
        <w:ind w:firstLine="480"/>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1.1代理机构将在招标公告中规定的时间和地点组织公开开标。投标供应商应当按照《操作手册》规定，参加开标活动和在“苏采云”系统规定的时间内对投标文件进行解密。</w:t>
      </w:r>
    </w:p>
    <w:p w14:paraId="38BF7936">
      <w:pPr>
        <w:keepNext w:val="0"/>
        <w:keepLines w:val="0"/>
        <w:pageBreakBefore w:val="0"/>
        <w:spacing w:line="360" w:lineRule="auto"/>
        <w:ind w:firstLine="480"/>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1.2</w:t>
      </w:r>
      <w:r>
        <w:rPr>
          <w:rFonts w:hint="eastAsia" w:ascii="宋体" w:hAnsi="宋体"/>
          <w:color w:val="auto"/>
          <w:sz w:val="24"/>
          <w:highlight w:val="none"/>
        </w:rPr>
        <w:t>开标仪式由</w:t>
      </w:r>
      <w:r>
        <w:rPr>
          <w:rFonts w:hint="eastAsia" w:ascii="宋体" w:hAnsi="宋体"/>
          <w:color w:val="auto"/>
          <w:sz w:val="24"/>
          <w:highlight w:val="none"/>
          <w:lang w:val="en-US" w:eastAsia="zh-CN"/>
        </w:rPr>
        <w:t>代理机构</w:t>
      </w:r>
      <w:r>
        <w:rPr>
          <w:rFonts w:hint="eastAsia" w:ascii="宋体" w:hAnsi="宋体"/>
          <w:color w:val="auto"/>
          <w:sz w:val="24"/>
          <w:highlight w:val="none"/>
        </w:rPr>
        <w:t>组织。</w:t>
      </w:r>
      <w:r>
        <w:rPr>
          <w:rFonts w:hint="eastAsia" w:ascii="宋体" w:hAnsi="宋体" w:cs="宋体"/>
          <w:b w:val="0"/>
          <w:bCs/>
          <w:color w:val="auto"/>
          <w:sz w:val="24"/>
          <w:szCs w:val="24"/>
          <w:highlight w:val="none"/>
          <w:lang w:val="en-US" w:eastAsia="zh-CN"/>
        </w:rPr>
        <w:t>“苏采云”系统将自动对项目进行开标，并宣布各投标供应商名称和投标价格。</w:t>
      </w:r>
    </w:p>
    <w:p w14:paraId="7BFAB821">
      <w:pPr>
        <w:keepNext w:val="0"/>
        <w:keepLines w:val="0"/>
        <w:pageBreakBefore w:val="0"/>
        <w:spacing w:line="360" w:lineRule="auto"/>
        <w:ind w:firstLine="480"/>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1.3投标供应商在开标过程中涉及的投标文件解密、开标结果确认等工作，应按照《操作手册》规定执行。</w:t>
      </w:r>
    </w:p>
    <w:p w14:paraId="63FAFF36">
      <w:pPr>
        <w:keepNext w:val="0"/>
        <w:keepLines w:val="0"/>
        <w:pageBreakBefore w:val="0"/>
        <w:spacing w:line="360" w:lineRule="auto"/>
        <w:ind w:firstLine="480"/>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1.4投标供应商如果对开标过程和开标记录有疑义，应当根据《操作手册》规定提出，如“苏采云”系统中《开标记录表》宣布后5分钟内未提出的，视同认可开标结果。</w:t>
      </w:r>
    </w:p>
    <w:p w14:paraId="05D2BEF5">
      <w:pPr>
        <w:keepNext w:val="0"/>
        <w:keepLines w:val="0"/>
        <w:pageBreakBefore w:val="0"/>
        <w:spacing w:line="360" w:lineRule="auto"/>
        <w:ind w:firstLine="480"/>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1.5按招标文件规定时间解密后，在评审过程中保持在线，等待评标委员会的询问，并等待评审结果，中途不得离开。如未按要求应答，由此所产生的损失及风险由供应商自行承担。</w:t>
      </w:r>
    </w:p>
    <w:p w14:paraId="048CD6DA">
      <w:pPr>
        <w:keepNext w:val="0"/>
        <w:keepLines w:val="0"/>
        <w:pageBreakBefore w:val="0"/>
        <w:spacing w:line="360" w:lineRule="auto"/>
        <w:ind w:firstLine="480"/>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1.6开标结束后，代理机构将立即组织评标委员会（以下简称评委会）进行评标。</w:t>
      </w:r>
    </w:p>
    <w:p w14:paraId="3C46EDF1">
      <w:pPr>
        <w:keepNext w:val="0"/>
        <w:keepLines w:val="0"/>
        <w:pageBreakBefore w:val="0"/>
        <w:spacing w:line="360" w:lineRule="auto"/>
        <w:ind w:firstLine="48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2.评标工作程序</w:t>
      </w:r>
    </w:p>
    <w:p w14:paraId="0151DEDC">
      <w:pPr>
        <w:keepNext w:val="0"/>
        <w:keepLines w:val="0"/>
        <w:pageBreakBefore w:val="0"/>
        <w:spacing w:line="360" w:lineRule="auto"/>
        <w:ind w:firstLine="48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由专家及采购人代表组成评标委员会，并实行回避制度。</w:t>
      </w:r>
    </w:p>
    <w:p w14:paraId="0CBB2C3D">
      <w:pPr>
        <w:keepNext w:val="0"/>
        <w:keepLines w:val="0"/>
        <w:pageBreakBefore w:val="0"/>
        <w:spacing w:line="360" w:lineRule="auto"/>
        <w:ind w:firstLine="480"/>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2.1</w:t>
      </w:r>
      <w:r>
        <w:rPr>
          <w:rFonts w:hint="eastAsia" w:ascii="宋体" w:hAnsi="宋体" w:eastAsia="宋体" w:cs="宋体"/>
          <w:b w:val="0"/>
          <w:bCs/>
          <w:color w:val="auto"/>
          <w:sz w:val="24"/>
          <w:szCs w:val="24"/>
          <w:highlight w:val="none"/>
          <w:lang w:val="en-US" w:eastAsia="zh-CN"/>
        </w:rPr>
        <w:t>投标文件资格审查</w:t>
      </w:r>
    </w:p>
    <w:p w14:paraId="0E273F5E">
      <w:pPr>
        <w:keepNext w:val="0"/>
        <w:keepLines w:val="0"/>
        <w:pageBreakBefore w:val="0"/>
        <w:spacing w:line="360" w:lineRule="auto"/>
        <w:ind w:firstLine="48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2.1</w:t>
      </w:r>
      <w:r>
        <w:rPr>
          <w:rFonts w:hint="eastAsia" w:ascii="宋体" w:hAnsi="宋体" w:cs="宋体"/>
          <w:b w:val="0"/>
          <w:bCs/>
          <w:color w:val="auto"/>
          <w:sz w:val="24"/>
          <w:szCs w:val="24"/>
          <w:highlight w:val="none"/>
          <w:lang w:val="en-US" w:eastAsia="zh-CN"/>
        </w:rPr>
        <w:t>.1开标</w:t>
      </w:r>
      <w:r>
        <w:rPr>
          <w:rFonts w:hint="default" w:ascii="宋体" w:hAnsi="宋体" w:eastAsia="宋体" w:cs="宋体"/>
          <w:b w:val="0"/>
          <w:bCs/>
          <w:color w:val="auto"/>
          <w:sz w:val="24"/>
          <w:szCs w:val="24"/>
          <w:highlight w:val="none"/>
          <w:lang w:val="en-US" w:eastAsia="zh-CN"/>
        </w:rPr>
        <w:t>结束后，采购人或采购代理机构对投标文件进行资格性检查</w:t>
      </w:r>
      <w:r>
        <w:rPr>
          <w:rFonts w:hint="eastAsia" w:ascii="宋体" w:hAnsi="宋体" w:eastAsia="宋体" w:cs="宋体"/>
          <w:b w:val="0"/>
          <w:bCs/>
          <w:color w:val="auto"/>
          <w:sz w:val="24"/>
          <w:szCs w:val="24"/>
          <w:highlight w:val="none"/>
          <w:lang w:val="en-US" w:eastAsia="zh-CN"/>
        </w:rPr>
        <w:t>。</w:t>
      </w:r>
    </w:p>
    <w:p w14:paraId="4D3B4C8F">
      <w:pPr>
        <w:keepNext w:val="0"/>
        <w:keepLines w:val="0"/>
        <w:pageBreakBefore w:val="0"/>
        <w:spacing w:line="360" w:lineRule="auto"/>
        <w:ind w:firstLine="48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w:t>
      </w:r>
      <w:r>
        <w:rPr>
          <w:rFonts w:hint="eastAsia" w:ascii="宋体" w:hAnsi="宋体" w:cs="宋体"/>
          <w:b w:val="0"/>
          <w:bCs/>
          <w:color w:val="auto"/>
          <w:sz w:val="24"/>
          <w:szCs w:val="24"/>
          <w:highlight w:val="none"/>
          <w:lang w:val="en-US" w:eastAsia="zh-CN"/>
        </w:rPr>
        <w:t>1.2</w:t>
      </w:r>
      <w:r>
        <w:rPr>
          <w:rFonts w:hint="eastAsia" w:ascii="宋体" w:hAnsi="宋体" w:eastAsia="宋体" w:cs="宋体"/>
          <w:b w:val="0"/>
          <w:bCs/>
          <w:color w:val="auto"/>
          <w:sz w:val="24"/>
          <w:szCs w:val="24"/>
          <w:highlight w:val="none"/>
          <w:lang w:val="en-US" w:eastAsia="zh-CN"/>
        </w:rPr>
        <w:t>依据法律法规和招标文件的规定，对投标文件中的资格、资信证明等进行审查，以确定投标供应商提供资格、资信证明的合法性、真实性，是否具备投标资格。</w:t>
      </w:r>
      <w:r>
        <w:rPr>
          <w:rFonts w:hint="default" w:ascii="宋体" w:hAnsi="宋体" w:eastAsia="宋体" w:cs="宋体"/>
          <w:b w:val="0"/>
          <w:bCs/>
          <w:color w:val="auto"/>
          <w:sz w:val="24"/>
          <w:szCs w:val="24"/>
          <w:highlight w:val="none"/>
          <w:lang w:val="en-US" w:eastAsia="zh-CN"/>
        </w:rPr>
        <w:t>资格审查的结论，采购人以书面形式向评委会进行反馈</w:t>
      </w:r>
      <w:r>
        <w:rPr>
          <w:rFonts w:hint="eastAsia" w:ascii="宋体" w:hAnsi="宋体" w:eastAsia="宋体" w:cs="宋体"/>
          <w:b w:val="0"/>
          <w:bCs/>
          <w:color w:val="auto"/>
          <w:sz w:val="24"/>
          <w:szCs w:val="24"/>
          <w:highlight w:val="none"/>
          <w:lang w:val="en-US" w:eastAsia="zh-CN"/>
        </w:rPr>
        <w:t>。</w:t>
      </w:r>
    </w:p>
    <w:p w14:paraId="4454E9C5">
      <w:pPr>
        <w:keepNext w:val="0"/>
        <w:keepLines w:val="0"/>
        <w:pageBreakBefore w:val="0"/>
        <w:spacing w:line="360" w:lineRule="auto"/>
        <w:ind w:firstLine="480"/>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2.1.3</w:t>
      </w:r>
      <w:r>
        <w:rPr>
          <w:rFonts w:hint="default" w:ascii="宋体" w:hAnsi="宋体" w:eastAsia="宋体" w:cs="宋体"/>
          <w:b w:val="0"/>
          <w:bCs/>
          <w:color w:val="auto"/>
          <w:sz w:val="24"/>
          <w:szCs w:val="24"/>
          <w:highlight w:val="none"/>
          <w:lang w:val="en-US" w:eastAsia="zh-CN"/>
        </w:rPr>
        <w:t>同时</w:t>
      </w:r>
      <w:r>
        <w:rPr>
          <w:rFonts w:hint="eastAsia" w:ascii="宋体" w:hAnsi="宋体" w:eastAsia="宋体" w:cs="宋体"/>
          <w:b w:val="0"/>
          <w:bCs/>
          <w:color w:val="auto"/>
          <w:sz w:val="24"/>
          <w:szCs w:val="24"/>
          <w:highlight w:val="none"/>
          <w:lang w:val="en-US" w:eastAsia="zh-CN"/>
        </w:rPr>
        <w:t>审查</w:t>
      </w:r>
      <w:r>
        <w:rPr>
          <w:rFonts w:hint="eastAsia" w:ascii="宋体" w:hAnsi="宋体" w:cs="宋体"/>
          <w:b w:val="0"/>
          <w:bCs/>
          <w:color w:val="auto"/>
          <w:sz w:val="24"/>
          <w:szCs w:val="24"/>
          <w:highlight w:val="none"/>
          <w:lang w:val="en-US" w:eastAsia="zh-CN"/>
        </w:rPr>
        <w:t>投标供应商</w:t>
      </w:r>
      <w:r>
        <w:rPr>
          <w:rFonts w:hint="eastAsia" w:ascii="宋体" w:hAnsi="宋体" w:eastAsia="宋体" w:cs="宋体"/>
          <w:b w:val="0"/>
          <w:bCs/>
          <w:color w:val="auto"/>
          <w:sz w:val="24"/>
          <w:szCs w:val="24"/>
          <w:highlight w:val="none"/>
          <w:lang w:val="en-US" w:eastAsia="zh-CN"/>
        </w:rPr>
        <w:t>的信用记录</w:t>
      </w:r>
    </w:p>
    <w:p w14:paraId="04196F43">
      <w:pPr>
        <w:keepNext w:val="0"/>
        <w:keepLines w:val="0"/>
        <w:pageBreakBefore w:val="0"/>
        <w:spacing w:line="360" w:lineRule="auto"/>
        <w:ind w:firstLine="480"/>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w:t>
      </w:r>
      <w:r>
        <w:rPr>
          <w:rFonts w:hint="default" w:ascii="宋体" w:hAnsi="宋体" w:eastAsia="宋体" w:cs="宋体"/>
          <w:b w:val="0"/>
          <w:bCs/>
          <w:color w:val="auto"/>
          <w:sz w:val="24"/>
          <w:szCs w:val="24"/>
          <w:highlight w:val="none"/>
          <w:lang w:val="en-US" w:eastAsia="zh-CN"/>
        </w:rPr>
        <w:t>在信用中国</w:t>
      </w:r>
      <w:r>
        <w:rPr>
          <w:rFonts w:hint="eastAsia" w:ascii="宋体" w:hAnsi="宋体" w:cs="宋体"/>
          <w:b w:val="0"/>
          <w:bCs/>
          <w:color w:val="auto"/>
          <w:sz w:val="24"/>
          <w:szCs w:val="24"/>
          <w:highlight w:val="none"/>
          <w:lang w:val="en-US" w:eastAsia="zh-CN"/>
        </w:rPr>
        <w:t>（</w:t>
      </w:r>
      <w:r>
        <w:rPr>
          <w:rFonts w:hint="default" w:ascii="宋体" w:hAnsi="宋体" w:eastAsia="宋体" w:cs="宋体"/>
          <w:b w:val="0"/>
          <w:bCs/>
          <w:color w:val="auto"/>
          <w:sz w:val="24"/>
          <w:szCs w:val="24"/>
          <w:highlight w:val="none"/>
          <w:lang w:val="en-US" w:eastAsia="zh-CN"/>
        </w:rPr>
        <w:t>www.creditchina.gov.cn</w:t>
      </w:r>
      <w:r>
        <w:rPr>
          <w:rFonts w:hint="eastAsia" w:ascii="宋体" w:hAnsi="宋体" w:cs="宋体"/>
          <w:b w:val="0"/>
          <w:bCs/>
          <w:color w:val="auto"/>
          <w:sz w:val="24"/>
          <w:szCs w:val="24"/>
          <w:highlight w:val="none"/>
          <w:lang w:val="en-US" w:eastAsia="zh-CN"/>
        </w:rPr>
        <w:t>）</w:t>
      </w:r>
      <w:r>
        <w:rPr>
          <w:rFonts w:hint="default" w:ascii="宋体" w:hAnsi="宋体" w:eastAsia="宋体" w:cs="宋体"/>
          <w:b w:val="0"/>
          <w:bCs/>
          <w:color w:val="auto"/>
          <w:sz w:val="24"/>
          <w:szCs w:val="24"/>
          <w:highlight w:val="none"/>
          <w:lang w:val="en-US" w:eastAsia="zh-CN"/>
        </w:rPr>
        <w:t>、中国政府采购网</w:t>
      </w:r>
      <w:r>
        <w:rPr>
          <w:rFonts w:hint="eastAsia" w:ascii="宋体" w:hAnsi="宋体" w:cs="宋体"/>
          <w:b w:val="0"/>
          <w:bCs/>
          <w:color w:val="auto"/>
          <w:sz w:val="24"/>
          <w:szCs w:val="24"/>
          <w:highlight w:val="none"/>
          <w:lang w:val="en-US" w:eastAsia="zh-CN"/>
        </w:rPr>
        <w:t>（</w:t>
      </w:r>
      <w:r>
        <w:rPr>
          <w:rFonts w:hint="default" w:ascii="宋体" w:hAnsi="宋体" w:eastAsia="宋体" w:cs="宋体"/>
          <w:b w:val="0"/>
          <w:bCs/>
          <w:color w:val="auto"/>
          <w:sz w:val="24"/>
          <w:szCs w:val="24"/>
          <w:highlight w:val="none"/>
          <w:lang w:val="en-US" w:eastAsia="zh-CN"/>
        </w:rPr>
        <w:t>www.ccgp.gov.cn</w:t>
      </w:r>
      <w:r>
        <w:rPr>
          <w:rFonts w:hint="eastAsia" w:ascii="宋体" w:hAnsi="宋体" w:cs="宋体"/>
          <w:b w:val="0"/>
          <w:bCs/>
          <w:color w:val="auto"/>
          <w:sz w:val="24"/>
          <w:szCs w:val="24"/>
          <w:highlight w:val="none"/>
          <w:lang w:val="en-US" w:eastAsia="zh-CN"/>
        </w:rPr>
        <w:t>）</w:t>
      </w:r>
      <w:r>
        <w:rPr>
          <w:rFonts w:hint="default" w:ascii="宋体" w:hAnsi="宋体" w:eastAsia="宋体" w:cs="宋体"/>
          <w:b w:val="0"/>
          <w:bCs/>
          <w:color w:val="auto"/>
          <w:sz w:val="24"/>
          <w:szCs w:val="24"/>
          <w:highlight w:val="none"/>
          <w:lang w:val="en-US" w:eastAsia="zh-CN"/>
        </w:rPr>
        <w:t>网站输入供应商全称或统一社会信用代码查询信用记录</w:t>
      </w:r>
      <w:r>
        <w:rPr>
          <w:rFonts w:hint="eastAsia" w:ascii="宋体" w:hAnsi="宋体" w:eastAsia="宋体" w:cs="宋体"/>
          <w:b w:val="0"/>
          <w:bCs/>
          <w:color w:val="auto"/>
          <w:sz w:val="24"/>
          <w:szCs w:val="24"/>
          <w:highlight w:val="none"/>
          <w:lang w:val="en-US" w:eastAsia="zh-CN"/>
        </w:rPr>
        <w:t>，</w:t>
      </w:r>
      <w:r>
        <w:rPr>
          <w:rFonts w:hint="default" w:ascii="宋体" w:hAnsi="宋体" w:eastAsia="宋体" w:cs="宋体"/>
          <w:b w:val="0"/>
          <w:bCs/>
          <w:color w:val="auto"/>
          <w:sz w:val="24"/>
          <w:szCs w:val="24"/>
          <w:highlight w:val="none"/>
          <w:lang w:val="en-US" w:eastAsia="zh-CN"/>
        </w:rPr>
        <w:t>查询结果留存并归档。</w:t>
      </w:r>
    </w:p>
    <w:p w14:paraId="20FD34C6">
      <w:pPr>
        <w:keepNext w:val="0"/>
        <w:keepLines w:val="0"/>
        <w:pageBreakBefore w:val="0"/>
        <w:spacing w:line="360" w:lineRule="auto"/>
        <w:ind w:firstLine="480"/>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w:t>
      </w:r>
      <w:r>
        <w:rPr>
          <w:rFonts w:hint="default" w:ascii="宋体" w:hAnsi="宋体" w:eastAsia="宋体" w:cs="宋体"/>
          <w:b w:val="0"/>
          <w:bCs/>
          <w:color w:val="auto"/>
          <w:sz w:val="24"/>
          <w:szCs w:val="24"/>
          <w:highlight w:val="none"/>
          <w:lang w:val="en-US" w:eastAsia="zh-CN"/>
        </w:rPr>
        <w:t>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cs="宋体"/>
          <w:b w:val="0"/>
          <w:bCs/>
          <w:color w:val="auto"/>
          <w:sz w:val="24"/>
          <w:szCs w:val="24"/>
          <w:highlight w:val="none"/>
          <w:lang w:val="en-US" w:eastAsia="zh-CN"/>
        </w:rPr>
        <w:t>：</w:t>
      </w:r>
    </w:p>
    <w:p w14:paraId="7A83E80A">
      <w:pPr>
        <w:keepNext w:val="0"/>
        <w:keepLines w:val="0"/>
        <w:pageBreakBefore w:val="0"/>
        <w:spacing w:line="360" w:lineRule="auto"/>
        <w:ind w:firstLine="720"/>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w:t>
      </w:r>
      <w:r>
        <w:rPr>
          <w:rFonts w:hint="default" w:ascii="宋体" w:hAnsi="宋体" w:eastAsia="宋体" w:cs="宋体"/>
          <w:b w:val="0"/>
          <w:bCs/>
          <w:color w:val="auto"/>
          <w:sz w:val="24"/>
          <w:szCs w:val="24"/>
          <w:highlight w:val="none"/>
          <w:lang w:val="en-US" w:eastAsia="zh-CN"/>
        </w:rPr>
        <w:t>政府采购严重违法记录，即供应商被全国各级财政部门列入“政府采购严重违法失信行为记录名单”，且在处罚有效期内的。</w:t>
      </w:r>
    </w:p>
    <w:p w14:paraId="40B4002E">
      <w:pPr>
        <w:keepNext w:val="0"/>
        <w:keepLines w:val="0"/>
        <w:pageBreakBefore w:val="0"/>
        <w:spacing w:line="360" w:lineRule="auto"/>
        <w:ind w:firstLine="720"/>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w:t>
      </w:r>
      <w:r>
        <w:rPr>
          <w:rFonts w:hint="default" w:ascii="宋体" w:hAnsi="宋体" w:eastAsia="宋体" w:cs="宋体"/>
          <w:b w:val="0"/>
          <w:bCs/>
          <w:color w:val="auto"/>
          <w:sz w:val="24"/>
          <w:szCs w:val="24"/>
          <w:highlight w:val="none"/>
          <w:lang w:val="en-US" w:eastAsia="zh-CN"/>
        </w:rPr>
        <w:t>财政部门与法院、工商、税务等部门联合惩戒的失信信息，包括</w:t>
      </w:r>
      <w:r>
        <w:rPr>
          <w:rFonts w:hint="eastAsia" w:ascii="宋体" w:hAnsi="宋体" w:cs="宋体"/>
          <w:b w:val="0"/>
          <w:bCs/>
          <w:color w:val="auto"/>
          <w:sz w:val="24"/>
          <w:szCs w:val="24"/>
          <w:highlight w:val="none"/>
          <w:lang w:val="en-US" w:eastAsia="zh-CN"/>
        </w:rPr>
        <w:t>：</w:t>
      </w:r>
    </w:p>
    <w:p w14:paraId="115B1817">
      <w:pPr>
        <w:keepNext w:val="0"/>
        <w:keepLines w:val="0"/>
        <w:pageBreakBefore w:val="0"/>
        <w:spacing w:line="360" w:lineRule="auto"/>
        <w:ind w:firstLine="787"/>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①</w:t>
      </w:r>
      <w:r>
        <w:rPr>
          <w:rFonts w:hint="default" w:ascii="宋体" w:hAnsi="宋体" w:eastAsia="宋体" w:cs="宋体"/>
          <w:b w:val="0"/>
          <w:bCs/>
          <w:color w:val="auto"/>
          <w:sz w:val="24"/>
          <w:szCs w:val="24"/>
          <w:highlight w:val="none"/>
          <w:lang w:val="en-US" w:eastAsia="zh-CN"/>
        </w:rPr>
        <w:t>被列入失信被执行人名单</w:t>
      </w:r>
      <w:r>
        <w:rPr>
          <w:rFonts w:hint="eastAsia" w:ascii="宋体" w:hAnsi="宋体" w:cs="宋体"/>
          <w:b w:val="0"/>
          <w:bCs/>
          <w:color w:val="auto"/>
          <w:sz w:val="24"/>
          <w:szCs w:val="24"/>
          <w:highlight w:val="none"/>
          <w:lang w:val="en-US" w:eastAsia="zh-CN"/>
        </w:rPr>
        <w:t>；</w:t>
      </w:r>
    </w:p>
    <w:p w14:paraId="52496B4E">
      <w:pPr>
        <w:keepNext w:val="0"/>
        <w:keepLines w:val="0"/>
        <w:pageBreakBefore w:val="0"/>
        <w:spacing w:line="360" w:lineRule="auto"/>
        <w:ind w:firstLine="787"/>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②</w:t>
      </w:r>
      <w:r>
        <w:rPr>
          <w:rFonts w:hint="default" w:ascii="宋体" w:hAnsi="宋体" w:eastAsia="宋体" w:cs="宋体"/>
          <w:b w:val="0"/>
          <w:bCs/>
          <w:color w:val="auto"/>
          <w:sz w:val="24"/>
          <w:szCs w:val="24"/>
          <w:highlight w:val="none"/>
          <w:lang w:val="en-US" w:eastAsia="zh-CN"/>
        </w:rPr>
        <w:t>被列入重大税收违法案件当事人名单</w:t>
      </w:r>
      <w:r>
        <w:rPr>
          <w:rFonts w:hint="eastAsia" w:ascii="宋体" w:hAnsi="宋体" w:cs="宋体"/>
          <w:b w:val="0"/>
          <w:bCs/>
          <w:color w:val="auto"/>
          <w:sz w:val="24"/>
          <w:szCs w:val="24"/>
          <w:highlight w:val="none"/>
          <w:lang w:val="en-US" w:eastAsia="zh-CN"/>
        </w:rPr>
        <w:t>；</w:t>
      </w:r>
    </w:p>
    <w:p w14:paraId="6E2B5662">
      <w:pPr>
        <w:keepNext w:val="0"/>
        <w:keepLines w:val="0"/>
        <w:pageBreakBefore w:val="0"/>
        <w:spacing w:line="360" w:lineRule="auto"/>
        <w:ind w:firstLine="787"/>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③</w:t>
      </w:r>
      <w:r>
        <w:rPr>
          <w:rFonts w:hint="default" w:ascii="宋体" w:hAnsi="宋体" w:eastAsia="宋体" w:cs="宋体"/>
          <w:b w:val="0"/>
          <w:bCs/>
          <w:color w:val="auto"/>
          <w:sz w:val="24"/>
          <w:szCs w:val="24"/>
          <w:highlight w:val="none"/>
          <w:lang w:val="en-US" w:eastAsia="zh-CN"/>
        </w:rPr>
        <w:t>企业经营异常名录中被责令停产停业、暂扣或者吊销许可证或者执照，或者对经营活动中的违法行为处以200万元</w:t>
      </w:r>
      <w:r>
        <w:rPr>
          <w:rFonts w:hint="eastAsia" w:ascii="宋体" w:hAnsi="宋体" w:cs="宋体"/>
          <w:b w:val="0"/>
          <w:bCs/>
          <w:color w:val="auto"/>
          <w:sz w:val="24"/>
          <w:szCs w:val="24"/>
          <w:highlight w:val="none"/>
          <w:lang w:val="en-US" w:eastAsia="zh-CN"/>
        </w:rPr>
        <w:t>（</w:t>
      </w:r>
      <w:r>
        <w:rPr>
          <w:rFonts w:hint="default" w:ascii="宋体" w:hAnsi="宋体" w:eastAsia="宋体" w:cs="宋体"/>
          <w:b w:val="0"/>
          <w:bCs/>
          <w:color w:val="auto"/>
          <w:sz w:val="24"/>
          <w:szCs w:val="24"/>
          <w:highlight w:val="none"/>
          <w:lang w:val="en-US" w:eastAsia="zh-CN"/>
        </w:rPr>
        <w:t>含）以上数额罚款的信用记录。处罚生效日至递交（投标）文件日未满三年的。如有行业主管部门另行标准的按其标准认定。</w:t>
      </w:r>
    </w:p>
    <w:p w14:paraId="03BD29C1">
      <w:pPr>
        <w:keepNext w:val="0"/>
        <w:keepLines w:val="0"/>
        <w:pageBreakBefore w:val="0"/>
        <w:spacing w:line="360" w:lineRule="auto"/>
        <w:ind w:firstLine="787"/>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w:t>
      </w:r>
      <w:r>
        <w:rPr>
          <w:rFonts w:hint="default" w:ascii="宋体" w:hAnsi="宋体" w:eastAsia="宋体" w:cs="宋体"/>
          <w:b w:val="0"/>
          <w:bCs/>
          <w:color w:val="auto"/>
          <w:sz w:val="24"/>
          <w:szCs w:val="24"/>
          <w:highlight w:val="none"/>
          <w:lang w:val="en-US" w:eastAsia="zh-CN"/>
        </w:rPr>
        <w:t>经采购人及采购代理机构审查供应商存在上述失信行为的，资格审查不予通过，其投标无效。</w:t>
      </w:r>
    </w:p>
    <w:p w14:paraId="3B6EADD8">
      <w:pPr>
        <w:keepNext w:val="0"/>
        <w:keepLines w:val="0"/>
        <w:pageBreakBefore w:val="0"/>
        <w:spacing w:line="360" w:lineRule="auto"/>
        <w:ind w:firstLine="787"/>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w:t>
      </w:r>
      <w:r>
        <w:rPr>
          <w:rFonts w:hint="default" w:ascii="宋体" w:hAnsi="宋体" w:eastAsia="宋体" w:cs="宋体"/>
          <w:b w:val="0"/>
          <w:bCs/>
          <w:color w:val="auto"/>
          <w:sz w:val="24"/>
          <w:szCs w:val="24"/>
          <w:highlight w:val="none"/>
          <w:lang w:val="en-US" w:eastAsia="zh-CN"/>
        </w:rPr>
        <w:t>接受联合体的项目，两个以上的自然人、法人或者其他组织组成一个联合体，以一个供应商的身份共同参加政府采购活动的</w:t>
      </w:r>
      <w:r>
        <w:rPr>
          <w:rFonts w:hint="eastAsia" w:ascii="宋体" w:hAnsi="宋体" w:cs="宋体"/>
          <w:b w:val="0"/>
          <w:bCs/>
          <w:color w:val="auto"/>
          <w:sz w:val="24"/>
          <w:szCs w:val="24"/>
          <w:highlight w:val="none"/>
          <w:lang w:val="en-US" w:eastAsia="zh-CN"/>
        </w:rPr>
        <w:t>，</w:t>
      </w:r>
      <w:r>
        <w:rPr>
          <w:rFonts w:hint="default" w:ascii="宋体" w:hAnsi="宋体" w:eastAsia="宋体" w:cs="宋体"/>
          <w:b w:val="0"/>
          <w:bCs/>
          <w:color w:val="auto"/>
          <w:sz w:val="24"/>
          <w:szCs w:val="24"/>
          <w:highlight w:val="none"/>
          <w:lang w:val="en-US" w:eastAsia="zh-CN"/>
        </w:rPr>
        <w:t>联合体成员中任何一方存在不良信用记录的，视同联合体存在不良应用记录。</w:t>
      </w:r>
    </w:p>
    <w:p w14:paraId="6F5A0AFF">
      <w:pPr>
        <w:keepNext w:val="0"/>
        <w:keepLines w:val="0"/>
        <w:pageBreakBefore w:val="0"/>
        <w:spacing w:line="360" w:lineRule="auto"/>
        <w:ind w:firstLine="480"/>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2.2投标文件符合性检查</w:t>
      </w:r>
    </w:p>
    <w:p w14:paraId="5B848F65">
      <w:pPr>
        <w:keepNext w:val="0"/>
        <w:keepLines w:val="0"/>
        <w:pageBreakBefore w:val="0"/>
        <w:numPr>
          <w:ilvl w:val="0"/>
          <w:numId w:val="0"/>
        </w:numPr>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投标文件的符合性检查由评标委员会负责。</w:t>
      </w:r>
    </w:p>
    <w:p w14:paraId="1A8D5562">
      <w:pPr>
        <w:keepNext w:val="0"/>
        <w:keepLines w:val="0"/>
        <w:pageBreakBefore w:val="0"/>
        <w:numPr>
          <w:ilvl w:val="0"/>
          <w:numId w:val="0"/>
        </w:numPr>
        <w:spacing w:line="360" w:lineRule="auto"/>
        <w:ind w:firstLine="480"/>
        <w:rPr>
          <w:rFonts w:hint="eastAsia"/>
          <w:highlight w:val="none"/>
          <w:lang w:val="en-US" w:eastAsia="zh-CN"/>
        </w:rPr>
      </w:pPr>
      <w:r>
        <w:rPr>
          <w:rFonts w:hint="eastAsia" w:ascii="宋体" w:hAnsi="宋体"/>
          <w:color w:val="auto"/>
          <w:sz w:val="24"/>
          <w:szCs w:val="24"/>
          <w:highlight w:val="none"/>
          <w:lang w:val="en-US" w:eastAsia="zh-CN"/>
        </w:rPr>
        <w:t>2.2.1评标委员会对投标文件的有效性、完整性和对招标文件的响应程度进行审查，以确定是否对招标文件的实质性要求作出响应。</w:t>
      </w:r>
    </w:p>
    <w:p w14:paraId="16F34723">
      <w:pPr>
        <w:keepNext w:val="0"/>
        <w:keepLines w:val="0"/>
        <w:pageBreakBefore w:val="0"/>
        <w:numPr>
          <w:ilvl w:val="0"/>
          <w:numId w:val="0"/>
        </w:numPr>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实质性响应的投标应该是与招标文件要求的标的数量、质量、价款或报酬、履行期限、地点和方式、违约责任和解决争议方法等条款相符。不得限制合同中招标人的权利或投标供应商的义务，也不得对其他实质性响应的投标供应商的竞争地位产生不公正影响。</w:t>
      </w:r>
    </w:p>
    <w:p w14:paraId="316803C0">
      <w:pPr>
        <w:keepNext w:val="0"/>
        <w:keepLines w:val="0"/>
        <w:pageBreakBefore w:val="0"/>
        <w:numPr>
          <w:ilvl w:val="0"/>
          <w:numId w:val="0"/>
        </w:numPr>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（2）招标文件提供的工艺、材料、设备或服务要求等仅作为说明并没有限制性，投标供应商在投标中可以选用替代标准，但这些标准要优于或相当于要求中的标准，以满足采购人的需求。</w:t>
      </w:r>
    </w:p>
    <w:p w14:paraId="553A4696">
      <w:pPr>
        <w:keepNext w:val="0"/>
        <w:keepLines w:val="0"/>
        <w:pageBreakBefore w:val="0"/>
        <w:numPr>
          <w:ilvl w:val="0"/>
          <w:numId w:val="0"/>
        </w:numPr>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（3）实质性响应的投标应该是与招标文件要求的全部条款、条件和规格相符，没有重大偏离或保留的投标。</w:t>
      </w:r>
    </w:p>
    <w:p w14:paraId="7AF7E695">
      <w:pPr>
        <w:keepNext w:val="0"/>
        <w:keepLines w:val="0"/>
        <w:pageBreakBefore w:val="0"/>
        <w:numPr>
          <w:ilvl w:val="0"/>
          <w:numId w:val="0"/>
        </w:numPr>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所谓重大偏离或保留是指与招标文件规定的实质性要求存在负偏离，或者在实质上与招标文件不一致，而且限制了合同中买方和代理机构的权利或投标供应商的义务，纠正这些偏离或保留将会对其他实质性响应要求的投标供应商的竞争地位产生不公正的影响。重大偏离的认定需经过评委会以少数服从多数的原则作出结论。评委决定投标文件的响应性只根据投标文件本身的内容，而不寻求外部的证据。</w:t>
      </w:r>
    </w:p>
    <w:p w14:paraId="6C182559">
      <w:pPr>
        <w:keepNext w:val="0"/>
        <w:keepLines w:val="0"/>
        <w:pageBreakBefore w:val="0"/>
        <w:numPr>
          <w:ilvl w:val="0"/>
          <w:numId w:val="0"/>
        </w:numPr>
        <w:spacing w:line="360" w:lineRule="auto"/>
        <w:ind w:firstLine="48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2.2.2强化政府采购异常低价审查</w:t>
      </w:r>
    </w:p>
    <w:p w14:paraId="13BE32CA">
      <w:pPr>
        <w:keepNext w:val="0"/>
        <w:keepLines w:val="0"/>
        <w:pageBreakBefore w:val="0"/>
        <w:numPr>
          <w:ilvl w:val="0"/>
          <w:numId w:val="0"/>
        </w:numPr>
        <w:spacing w:line="360" w:lineRule="auto"/>
        <w:ind w:firstLine="48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（1）根据《财政部关于推动解决政府采购异常低价问题的通知》（财库〔2026〕2号）文件规定，政府采购评审中出现下列情形之一的，评审委员会应当启动异常低价投标（响应）审查程序：</w:t>
      </w:r>
    </w:p>
    <w:p w14:paraId="70E3A026">
      <w:pPr>
        <w:keepNext w:val="0"/>
        <w:keepLines w:val="0"/>
        <w:pageBreakBefore w:val="0"/>
        <w:numPr>
          <w:ilvl w:val="0"/>
          <w:numId w:val="0"/>
        </w:numPr>
        <w:spacing w:line="360" w:lineRule="auto"/>
        <w:ind w:firstLine="480"/>
        <w:rPr>
          <w:rFonts w:hint="eastAsia" w:ascii="宋体" w:hAnsi="宋体"/>
          <w:b/>
          <w:bCs/>
          <w:color w:val="auto"/>
          <w:sz w:val="24"/>
          <w:szCs w:val="24"/>
          <w:highlight w:val="none"/>
          <w:lang w:val="en-US" w:eastAsia="zh-CN"/>
        </w:rPr>
      </w:pPr>
      <w:r>
        <w:rPr>
          <w:rFonts w:hint="default" w:ascii="宋体" w:hAnsi="宋体"/>
          <w:b/>
          <w:bCs/>
          <w:color w:val="auto"/>
          <w:sz w:val="24"/>
          <w:szCs w:val="24"/>
          <w:highlight w:val="none"/>
          <w:lang w:val="en-US" w:eastAsia="zh-CN"/>
        </w:rPr>
        <w:t>①</w:t>
      </w:r>
      <w:r>
        <w:rPr>
          <w:rFonts w:hint="eastAsia" w:ascii="宋体" w:hAnsi="宋体"/>
          <w:b/>
          <w:bCs/>
          <w:color w:val="auto"/>
          <w:sz w:val="24"/>
          <w:szCs w:val="24"/>
          <w:highlight w:val="none"/>
          <w:lang w:val="en-US" w:eastAsia="zh-CN"/>
        </w:rPr>
        <w:t>投标（响应）报价低于全部通过符合性审查供应商投标（响应）报价平均值50%的，即投标（响应）报价＜全部通过符合性审查供应商投标（响应）报价平均值×50%；</w:t>
      </w:r>
    </w:p>
    <w:p w14:paraId="6881A026">
      <w:pPr>
        <w:keepNext w:val="0"/>
        <w:keepLines w:val="0"/>
        <w:pageBreakBefore w:val="0"/>
        <w:numPr>
          <w:ilvl w:val="0"/>
          <w:numId w:val="0"/>
        </w:numPr>
        <w:spacing w:line="360" w:lineRule="auto"/>
        <w:ind w:firstLine="480"/>
        <w:rPr>
          <w:rFonts w:hint="eastAsia" w:ascii="宋体" w:hAnsi="宋体"/>
          <w:b/>
          <w:bCs/>
          <w:color w:val="auto"/>
          <w:sz w:val="24"/>
          <w:szCs w:val="24"/>
          <w:highlight w:val="none"/>
          <w:lang w:val="en-US" w:eastAsia="zh-CN"/>
        </w:rPr>
      </w:pPr>
      <w:r>
        <w:rPr>
          <w:rFonts w:hint="default" w:ascii="宋体" w:hAnsi="宋体"/>
          <w:b/>
          <w:bCs/>
          <w:color w:val="auto"/>
          <w:sz w:val="24"/>
          <w:szCs w:val="24"/>
          <w:highlight w:val="none"/>
          <w:lang w:val="en-US" w:eastAsia="zh-CN"/>
        </w:rPr>
        <w:t>②</w:t>
      </w:r>
      <w:r>
        <w:rPr>
          <w:rFonts w:hint="eastAsia" w:ascii="宋体" w:hAnsi="宋体"/>
          <w:b/>
          <w:bCs/>
          <w:color w:val="auto"/>
          <w:sz w:val="24"/>
          <w:szCs w:val="24"/>
          <w:highlight w:val="none"/>
          <w:lang w:val="en-US" w:eastAsia="zh-CN"/>
        </w:rPr>
        <w:t>投标（响应）报价低于通过符合性审查的次低报价供应商投标（响应）报价50%的，即投标（响应）报价＜通过符合性审查的次低报价供应商投标（响应）报价×50%；</w:t>
      </w:r>
    </w:p>
    <w:p w14:paraId="28278F8B">
      <w:pPr>
        <w:keepNext w:val="0"/>
        <w:keepLines w:val="0"/>
        <w:pageBreakBefore w:val="0"/>
        <w:numPr>
          <w:ilvl w:val="0"/>
          <w:numId w:val="0"/>
        </w:numPr>
        <w:spacing w:line="360" w:lineRule="auto"/>
        <w:ind w:firstLine="480"/>
        <w:rPr>
          <w:rFonts w:hint="eastAsia" w:ascii="宋体" w:hAnsi="宋体"/>
          <w:b/>
          <w:bCs/>
          <w:color w:val="auto"/>
          <w:sz w:val="24"/>
          <w:szCs w:val="24"/>
          <w:highlight w:val="none"/>
          <w:lang w:val="en-US" w:eastAsia="zh-CN"/>
        </w:rPr>
      </w:pPr>
      <w:r>
        <w:rPr>
          <w:rFonts w:hint="default" w:ascii="宋体" w:hAnsi="宋体"/>
          <w:b/>
          <w:bCs/>
          <w:color w:val="auto"/>
          <w:sz w:val="24"/>
          <w:szCs w:val="24"/>
          <w:highlight w:val="none"/>
          <w:lang w:val="en-US" w:eastAsia="zh-CN"/>
        </w:rPr>
        <w:t>③</w:t>
      </w:r>
      <w:r>
        <w:rPr>
          <w:rFonts w:hint="eastAsia" w:ascii="宋体" w:hAnsi="宋体"/>
          <w:b/>
          <w:bCs/>
          <w:color w:val="auto"/>
          <w:sz w:val="24"/>
          <w:szCs w:val="24"/>
          <w:highlight w:val="none"/>
          <w:lang w:val="en-US" w:eastAsia="zh-CN"/>
        </w:rPr>
        <w:t>投标（响应）报价低于采购项目最高限价65%的，即投标（响应）报价＜采购项目最高限价×65%；</w:t>
      </w:r>
    </w:p>
    <w:p w14:paraId="7137A0EF">
      <w:pPr>
        <w:keepNext w:val="0"/>
        <w:keepLines w:val="0"/>
        <w:pageBreakBefore w:val="0"/>
        <w:numPr>
          <w:ilvl w:val="0"/>
          <w:numId w:val="0"/>
        </w:numPr>
        <w:spacing w:line="360" w:lineRule="auto"/>
        <w:ind w:firstLine="48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④评审委员会基于专业判断，认为供应商报价过低，有可能影响产品质量或者不能诚信履约的其他情形。</w:t>
      </w:r>
    </w:p>
    <w:p w14:paraId="1E6B585D">
      <w:pPr>
        <w:keepNext w:val="0"/>
        <w:keepLines w:val="0"/>
        <w:pageBreakBefore w:val="0"/>
        <w:numPr>
          <w:ilvl w:val="0"/>
          <w:numId w:val="0"/>
        </w:numPr>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评审委员会应当要求相关投标供应商在评标现场合理的时间（30分钟）内，提供项目具体成本测算等与报价合理性相关的书面说明及必要的证明材料，包括但不限于原材料成本、人工成本、制造费用等，对投标价格作出解释，其中，属于上述第</w:t>
      </w:r>
      <w:r>
        <w:rPr>
          <w:rFonts w:hint="default" w:ascii="宋体" w:hAnsi="宋体"/>
          <w:color w:val="auto"/>
          <w:sz w:val="24"/>
          <w:szCs w:val="24"/>
          <w:highlight w:val="none"/>
          <w:lang w:val="en-US" w:eastAsia="zh-CN"/>
        </w:rPr>
        <w:t>③</w:t>
      </w:r>
      <w:r>
        <w:rPr>
          <w:rFonts w:hint="eastAsia" w:ascii="宋体" w:hAnsi="宋体"/>
          <w:color w:val="auto"/>
          <w:sz w:val="24"/>
          <w:szCs w:val="24"/>
          <w:highlight w:val="none"/>
          <w:lang w:val="en-US" w:eastAsia="zh-CN"/>
        </w:rPr>
        <w:t>项情形，供应商已随投标（响应）文件一并提交相关书面说明及必要的证明材料的，在评审时可不再重复提交。由评审委员会结合同类项目中标（成交）价格、类似产品市场价格水平、行业人工费用标准、国家有关部门指导行业协会发布的行业平均成本等情况，依据专业经验对投标供应商报价合理性进行判断。投标供应商不提供书面说明、证明材料，或者提供的书面说明、证明材料不能证明其报价合理性的，评审委员会应当将其作为无效投标处理。审查相关情况应当在评审报告中进行记录。</w:t>
      </w:r>
    </w:p>
    <w:p w14:paraId="14C0D279">
      <w:pPr>
        <w:keepNext w:val="0"/>
        <w:keepLines w:val="0"/>
        <w:pageBreakBefore w:val="0"/>
        <w:numPr>
          <w:ilvl w:val="0"/>
          <w:numId w:val="0"/>
        </w:numPr>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2.2.3如果投标文件实质上没有响应招标文件的要求，评委会将予以拒绝，投标供应商不得通过修改或撤销不符合要求的偏离或保留而使其投标成为实质性响应的投标。</w:t>
      </w:r>
    </w:p>
    <w:p w14:paraId="4E4CEBE6">
      <w:pPr>
        <w:keepNext w:val="0"/>
        <w:keepLines w:val="0"/>
        <w:pageBreakBefore w:val="0"/>
        <w:numPr>
          <w:ilvl w:val="0"/>
          <w:numId w:val="0"/>
        </w:numPr>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2.3评委会将对确定为实质性响应的投标进行进一步审核，看其是否有计算上或累加上的算术错误，修正错误的原则如下：</w:t>
      </w:r>
    </w:p>
    <w:p w14:paraId="199FB204">
      <w:pPr>
        <w:keepNext w:val="0"/>
        <w:keepLines w:val="0"/>
        <w:pageBreakBefore w:val="0"/>
        <w:numPr>
          <w:ilvl w:val="0"/>
          <w:numId w:val="0"/>
        </w:numPr>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（1）投标文件中开标一览表内容与投标文件中相应内容不一致的，以开标一览表为准。</w:t>
      </w:r>
    </w:p>
    <w:p w14:paraId="5A45FB6C">
      <w:pPr>
        <w:keepNext w:val="0"/>
        <w:keepLines w:val="0"/>
        <w:pageBreakBefore w:val="0"/>
        <w:numPr>
          <w:ilvl w:val="0"/>
          <w:numId w:val="0"/>
        </w:numPr>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（2）大写金额和小写金额不一致的，以大写金额为准。</w:t>
      </w:r>
    </w:p>
    <w:p w14:paraId="3A0DA55E">
      <w:pPr>
        <w:keepNext w:val="0"/>
        <w:keepLines w:val="0"/>
        <w:pageBreakBefore w:val="0"/>
        <w:numPr>
          <w:ilvl w:val="0"/>
          <w:numId w:val="0"/>
        </w:numPr>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（3）单价金额小数点或者百分比有明显错位的，以开标一览表的总价为准，并修改单价。</w:t>
      </w:r>
    </w:p>
    <w:p w14:paraId="71366ED6">
      <w:pPr>
        <w:keepNext w:val="0"/>
        <w:keepLines w:val="0"/>
        <w:pageBreakBefore w:val="0"/>
        <w:numPr>
          <w:ilvl w:val="0"/>
          <w:numId w:val="0"/>
        </w:numPr>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（4）总价金额与按单价汇总金额不一致的，以单价金额计算结果为准。</w:t>
      </w:r>
    </w:p>
    <w:p w14:paraId="36AE6110">
      <w:pPr>
        <w:keepNext w:val="0"/>
        <w:keepLines w:val="0"/>
        <w:pageBreakBefore w:val="0"/>
        <w:numPr>
          <w:ilvl w:val="0"/>
          <w:numId w:val="0"/>
        </w:numPr>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同时出现两种以上错误的，按照前款规定的顺序修正。</w:t>
      </w:r>
    </w:p>
    <w:p w14:paraId="7D8AB1CB">
      <w:pPr>
        <w:keepNext w:val="0"/>
        <w:keepLines w:val="0"/>
        <w:pageBreakBefore w:val="0"/>
        <w:numPr>
          <w:ilvl w:val="0"/>
          <w:numId w:val="0"/>
        </w:numPr>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评委会将按上述修正错误的方法调整投标文件中的投标报价，并通过“苏采云”系统告知投标供应商，调整后的价格对投标供应商具有约束力。如果投标供应商不接受修正后的价格，则其投标将被拒绝。</w:t>
      </w:r>
    </w:p>
    <w:p w14:paraId="56956740">
      <w:pPr>
        <w:keepNext w:val="0"/>
        <w:keepLines w:val="0"/>
        <w:pageBreakBefore w:val="0"/>
        <w:numPr>
          <w:ilvl w:val="0"/>
          <w:numId w:val="0"/>
        </w:numPr>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2.4评标期间，评委会对投标文件中含义不明确、同类问题表述不一致或者有明显文字和计算错误的内容，有权要求投标供应商作出必要的澄清、说明或者补正。投标供应商的澄清、说明或者补正不得超出投标文件的范围或者改变投标文件的实质性内容。</w:t>
      </w:r>
    </w:p>
    <w:p w14:paraId="63888067">
      <w:pPr>
        <w:keepNext w:val="0"/>
        <w:keepLines w:val="0"/>
        <w:pageBreakBefore w:val="0"/>
        <w:numPr>
          <w:ilvl w:val="0"/>
          <w:numId w:val="0"/>
        </w:numPr>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评标委员会并非对每个投标供应商都做澄清要求。需要供应商进行澄清、说明和补正的，评委会将通过“苏采云”系统向供应商发出“澄清要求函”，接到“澄清要求函”的投标供应商应当按照要求在“苏采云”系统中提交“澄清响应函”并加盖CA电子公章。澄清、说明和补正的内容作为投标文件的补充部分，具体操作方式见《操作手册》。</w:t>
      </w:r>
    </w:p>
    <w:p w14:paraId="6B6CABAB">
      <w:pPr>
        <w:keepNext w:val="0"/>
        <w:keepLines w:val="0"/>
        <w:pageBreakBefore w:val="0"/>
        <w:numPr>
          <w:ilvl w:val="0"/>
          <w:numId w:val="0"/>
        </w:numPr>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接到评委会澄清、说明和补正要求的投标供应商如未按规定作出澄清、说明和补正，其风险由投标供应商自行承担。</w:t>
      </w:r>
    </w:p>
    <w:p w14:paraId="09F11B5E">
      <w:pPr>
        <w:keepNext w:val="0"/>
        <w:keepLines w:val="0"/>
        <w:pageBreakBefore w:val="0"/>
        <w:numPr>
          <w:ilvl w:val="0"/>
          <w:numId w:val="0"/>
        </w:numPr>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评标委员会认为投标供应商的报价明显低于其他通过符合性审查的投标供应商的报价，有可能影响产品质量或者不能诚信履约的或者低于成本价的，要求其在合理的时间（45分钟）内通过苏采云平台（使用“CA数字证书”，加盖电子签章）提供书面说明，必要时提交相关证明材料；投标供应商不能证明其报价合理性的，评标委员会将其作为无效投标处理。</w:t>
      </w:r>
    </w:p>
    <w:p w14:paraId="0A8D63BA">
      <w:pPr>
        <w:keepNext w:val="0"/>
        <w:keepLines w:val="0"/>
        <w:pageBreakBefore w:val="0"/>
        <w:numPr>
          <w:ilvl w:val="0"/>
          <w:numId w:val="0"/>
        </w:numPr>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除上述情形外，对投标文件的判定，只依据投标文件本身，不依靠开标后的任何外来证明。</w:t>
      </w:r>
    </w:p>
    <w:p w14:paraId="0BD28858">
      <w:pPr>
        <w:keepNext w:val="0"/>
        <w:keepLines w:val="0"/>
        <w:pageBreakBefore w:val="0"/>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2.5投标供应商在开、评标全过程中应保持通信畅通，及时登录“苏采云”系统查阅、答复相关信息，并安排专人与代理机构及评标委员会联系。</w:t>
      </w:r>
    </w:p>
    <w:p w14:paraId="06F3D3D2">
      <w:pPr>
        <w:keepNext w:val="0"/>
        <w:keepLines w:val="0"/>
        <w:pageBreakBefore w:val="0"/>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2.6未通过资格审查或符合性审查的投标供应商，将在“苏采云”系统中告知未通过资格审查或符合性审查的原因，评审结束后，将不再告知未通过资格审查或符合性审查的原因。</w:t>
      </w:r>
    </w:p>
    <w:p w14:paraId="7696E52B">
      <w:pPr>
        <w:keepNext w:val="0"/>
        <w:keepLines w:val="0"/>
        <w:pageBreakBefore w:val="0"/>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2.7比较与评价</w:t>
      </w:r>
    </w:p>
    <w:p w14:paraId="6124AC62">
      <w:pPr>
        <w:keepNext w:val="0"/>
        <w:keepLines w:val="0"/>
        <w:pageBreakBefore w:val="0"/>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2.7.1投标文件资格性检查和符合性检查结束后，凡属于“（九）无效投标文件的确认”的投标文件不进入比较与评价程序。</w:t>
      </w:r>
    </w:p>
    <w:p w14:paraId="7370E812">
      <w:pPr>
        <w:keepNext w:val="0"/>
        <w:keepLines w:val="0"/>
        <w:pageBreakBefore w:val="0"/>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2.7.2投标供应商通过资格性检查和符合性检查的，方可进入比较与评价程序。</w:t>
      </w:r>
    </w:p>
    <w:p w14:paraId="7E254E38">
      <w:pPr>
        <w:keepNext w:val="0"/>
        <w:keepLines w:val="0"/>
        <w:pageBreakBefore w:val="0"/>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2.7.3经评审有效的投标文件按招标文件中规定的评标方法和标准，由评标委员会进行比较与评价。</w:t>
      </w:r>
      <w:r>
        <w:rPr>
          <w:rFonts w:hint="eastAsia" w:ascii="宋体" w:hAnsi="宋体"/>
          <w:color w:val="auto"/>
          <w:sz w:val="24"/>
          <w:szCs w:val="24"/>
          <w:highlight w:val="none"/>
        </w:rPr>
        <w:t>评委会独立工作，负责评审所有投标文件并确定中标</w:t>
      </w:r>
      <w:r>
        <w:rPr>
          <w:rFonts w:hint="eastAsia" w:ascii="宋体" w:hAnsi="宋体"/>
          <w:color w:val="auto"/>
          <w:sz w:val="24"/>
          <w:szCs w:val="24"/>
          <w:highlight w:val="none"/>
          <w:lang w:val="en-US" w:eastAsia="zh-CN"/>
        </w:rPr>
        <w:t>候</w:t>
      </w:r>
      <w:r>
        <w:rPr>
          <w:rFonts w:hint="eastAsia" w:ascii="宋体" w:hAnsi="宋体"/>
          <w:color w:val="auto"/>
          <w:sz w:val="24"/>
          <w:szCs w:val="24"/>
          <w:highlight w:val="none"/>
        </w:rPr>
        <w:t>选人</w:t>
      </w:r>
      <w:r>
        <w:rPr>
          <w:rFonts w:hint="eastAsia" w:ascii="宋体" w:hAnsi="宋体"/>
          <w:color w:val="auto"/>
          <w:sz w:val="24"/>
          <w:szCs w:val="24"/>
          <w:highlight w:val="none"/>
          <w:lang w:eastAsia="zh-CN"/>
        </w:rPr>
        <w:t>。</w:t>
      </w:r>
    </w:p>
    <w:p w14:paraId="1BD35819">
      <w:pPr>
        <w:keepNext w:val="0"/>
        <w:keepLines w:val="0"/>
        <w:pageBreakBefore w:val="0"/>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2.7.4评审全部结束后，由工作人员在公证或监督下（如有），在评标室当场核对、汇总各投标供应商得分，确定各投标供应商总分和最终排序。</w:t>
      </w:r>
    </w:p>
    <w:p w14:paraId="6BAD3747">
      <w:pPr>
        <w:keepNext w:val="0"/>
        <w:keepLines w:val="0"/>
        <w:pageBreakBefore w:val="0"/>
        <w:spacing w:line="360" w:lineRule="auto"/>
        <w:ind w:firstLine="480"/>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采用最低评标价法的采购项目，提供相同品牌产品的不同</w:t>
      </w:r>
      <w:r>
        <w:rPr>
          <w:rFonts w:hint="eastAsia" w:ascii="宋体" w:hAnsi="宋体"/>
          <w:color w:val="auto"/>
          <w:sz w:val="24"/>
          <w:szCs w:val="24"/>
          <w:highlight w:val="none"/>
          <w:lang w:val="en-US" w:eastAsia="zh-CN"/>
        </w:rPr>
        <w:t>投标供应商</w:t>
      </w:r>
      <w:r>
        <w:rPr>
          <w:rFonts w:hint="default" w:ascii="宋体" w:hAnsi="宋体"/>
          <w:color w:val="auto"/>
          <w:sz w:val="24"/>
          <w:szCs w:val="24"/>
          <w:highlight w:val="none"/>
          <w:lang w:val="en-US" w:eastAsia="zh-CN"/>
        </w:rPr>
        <w:t>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color w:val="auto"/>
          <w:sz w:val="24"/>
          <w:szCs w:val="24"/>
          <w:highlight w:val="none"/>
          <w:lang w:val="en-US" w:eastAsia="zh-CN"/>
        </w:rPr>
        <w:t>投标供应商</w:t>
      </w:r>
      <w:r>
        <w:rPr>
          <w:rFonts w:hint="default" w:ascii="宋体" w:hAnsi="宋体"/>
          <w:color w:val="auto"/>
          <w:sz w:val="24"/>
          <w:szCs w:val="24"/>
          <w:highlight w:val="none"/>
          <w:lang w:val="en-US" w:eastAsia="zh-CN"/>
        </w:rPr>
        <w:t>，其他投标无效。</w:t>
      </w:r>
    </w:p>
    <w:p w14:paraId="4E716774">
      <w:pPr>
        <w:keepNext w:val="0"/>
        <w:keepLines w:val="0"/>
        <w:pageBreakBefore w:val="0"/>
        <w:spacing w:line="360" w:lineRule="auto"/>
        <w:ind w:firstLine="480"/>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提供相同品牌产品且通过资格审查、符合性审查的不同投标供应商参加同</w:t>
      </w:r>
      <w:r>
        <w:rPr>
          <w:rFonts w:hint="eastAsia" w:ascii="宋体" w:hAnsi="宋体"/>
          <w:color w:val="auto"/>
          <w:sz w:val="24"/>
          <w:szCs w:val="24"/>
          <w:highlight w:val="none"/>
          <w:lang w:val="en-US" w:eastAsia="zh-CN"/>
        </w:rPr>
        <w:t>一</w:t>
      </w:r>
      <w:r>
        <w:rPr>
          <w:rFonts w:hint="default" w:ascii="宋体" w:hAnsi="宋体"/>
          <w:color w:val="auto"/>
          <w:sz w:val="24"/>
          <w:szCs w:val="24"/>
          <w:highlight w:val="none"/>
          <w:lang w:val="en-US" w:eastAsia="zh-CN"/>
        </w:rPr>
        <w:t>合同项下投标的，按一家投标供应商计算，评审后得分最高的同品牌投标供应商获得中标供应商推荐资格；评审得分相同的，由评标委员会按照招标文件规定的方式确定一个投标供应商获得中标供应商推荐资格，招标文件未规定的采取随机抽取方式确定，其他同品牌投标供应商不作为中标候选人。</w:t>
      </w:r>
    </w:p>
    <w:p w14:paraId="42841695">
      <w:pPr>
        <w:keepNext w:val="0"/>
        <w:keepLines w:val="0"/>
        <w:pageBreakBefore w:val="0"/>
        <w:spacing w:line="360" w:lineRule="auto"/>
        <w:ind w:firstLine="480"/>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非单一产品采购项目，招标人应当根据采购项</w:t>
      </w:r>
      <w:r>
        <w:rPr>
          <w:rFonts w:hint="eastAsia" w:ascii="宋体" w:hAnsi="宋体"/>
          <w:color w:val="auto"/>
          <w:sz w:val="24"/>
          <w:szCs w:val="24"/>
          <w:highlight w:val="none"/>
          <w:lang w:val="en-US" w:eastAsia="zh-CN"/>
        </w:rPr>
        <w:t>目的</w:t>
      </w:r>
      <w:r>
        <w:rPr>
          <w:rFonts w:hint="default" w:ascii="宋体" w:hAnsi="宋体"/>
          <w:color w:val="auto"/>
          <w:sz w:val="24"/>
          <w:szCs w:val="24"/>
          <w:highlight w:val="none"/>
          <w:lang w:val="en-US" w:eastAsia="zh-CN"/>
        </w:rPr>
        <w:t>技术构成、产品价格比重等合理确定核心产品，并在招标文件中载明。多家投标供应商提供的核心产品品牌相同的，按前两款规定</w:t>
      </w:r>
      <w:r>
        <w:rPr>
          <w:rFonts w:hint="eastAsia" w:ascii="宋体" w:hAnsi="宋体"/>
          <w:color w:val="auto"/>
          <w:sz w:val="24"/>
          <w:szCs w:val="24"/>
          <w:highlight w:val="none"/>
          <w:lang w:val="en-US" w:eastAsia="zh-CN"/>
        </w:rPr>
        <w:t>处理</w:t>
      </w:r>
      <w:r>
        <w:rPr>
          <w:rFonts w:hint="default" w:ascii="宋体" w:hAnsi="宋体"/>
          <w:color w:val="auto"/>
          <w:sz w:val="24"/>
          <w:szCs w:val="24"/>
          <w:highlight w:val="none"/>
          <w:lang w:val="en-US" w:eastAsia="zh-CN"/>
        </w:rPr>
        <w:t>。</w:t>
      </w:r>
    </w:p>
    <w:p w14:paraId="699B5EA6">
      <w:pPr>
        <w:keepNext w:val="0"/>
        <w:keepLines w:val="0"/>
        <w:pageBreakBefore w:val="0"/>
        <w:spacing w:line="360" w:lineRule="auto"/>
        <w:ind w:firstLine="480"/>
        <w:rPr>
          <w:rFonts w:hint="eastAsia" w:ascii="宋体" w:hAnsi="宋体"/>
          <w:color w:val="auto"/>
          <w:sz w:val="24"/>
          <w:szCs w:val="24"/>
          <w:highlight w:val="none"/>
        </w:rPr>
      </w:pPr>
      <w:r>
        <w:rPr>
          <w:rFonts w:hint="eastAsia" w:ascii="宋体" w:hAnsi="宋体" w:cs="宋体"/>
          <w:b w:val="0"/>
          <w:bCs/>
          <w:color w:val="auto"/>
          <w:sz w:val="24"/>
          <w:szCs w:val="24"/>
          <w:highlight w:val="none"/>
          <w:lang w:val="en-US" w:eastAsia="zh-CN"/>
        </w:rPr>
        <w:t>2.8</w:t>
      </w:r>
      <w:r>
        <w:rPr>
          <w:rFonts w:hint="eastAsia" w:ascii="宋体" w:hAnsi="宋体" w:eastAsia="宋体" w:cs="宋体"/>
          <w:b w:val="0"/>
          <w:bCs/>
          <w:color w:val="auto"/>
          <w:sz w:val="24"/>
          <w:szCs w:val="24"/>
          <w:highlight w:val="none"/>
          <w:lang w:val="en-US" w:eastAsia="zh-CN"/>
        </w:rPr>
        <w:t>代理机构</w:t>
      </w:r>
      <w:r>
        <w:rPr>
          <w:rFonts w:hint="eastAsia" w:ascii="宋体" w:hAnsi="宋体"/>
          <w:color w:val="auto"/>
          <w:sz w:val="24"/>
          <w:szCs w:val="24"/>
          <w:highlight w:val="none"/>
        </w:rPr>
        <w:t>和评标委员会不向未中标的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解释未中标原因，也不公布评标过程中的相关细节</w:t>
      </w:r>
      <w:r>
        <w:rPr>
          <w:rFonts w:hint="eastAsia" w:ascii="宋体" w:hAnsi="宋体"/>
          <w:color w:val="auto"/>
          <w:sz w:val="24"/>
          <w:szCs w:val="24"/>
          <w:highlight w:val="none"/>
          <w:lang w:eastAsia="zh-CN"/>
        </w:rPr>
        <w:t>。</w:t>
      </w:r>
      <w:r>
        <w:rPr>
          <w:rFonts w:hint="eastAsia" w:ascii="宋体" w:hAnsi="宋体"/>
          <w:color w:val="auto"/>
          <w:sz w:val="24"/>
          <w:szCs w:val="24"/>
          <w:highlight w:val="none"/>
        </w:rPr>
        <w:t>未中标的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可于中标结果公告期限届满之日起通过</w:t>
      </w:r>
      <w:r>
        <w:rPr>
          <w:rFonts w:hint="eastAsia" w:ascii="宋体" w:hAnsi="宋体"/>
          <w:color w:val="auto"/>
          <w:sz w:val="24"/>
          <w:szCs w:val="24"/>
          <w:highlight w:val="none"/>
          <w:lang w:eastAsia="zh-CN"/>
        </w:rPr>
        <w:t>“苏采云”系统</w:t>
      </w:r>
      <w:r>
        <w:rPr>
          <w:rFonts w:hint="eastAsia" w:ascii="宋体" w:hAnsi="宋体"/>
          <w:color w:val="auto"/>
          <w:sz w:val="24"/>
          <w:szCs w:val="24"/>
          <w:highlight w:val="none"/>
        </w:rPr>
        <w:t>查看自己的评审得分及排序情况。</w:t>
      </w:r>
    </w:p>
    <w:p w14:paraId="43A2ECFE">
      <w:pPr>
        <w:keepNext w:val="0"/>
        <w:keepLines w:val="0"/>
        <w:pageBreakBefore w:val="0"/>
        <w:tabs>
          <w:tab w:val="left" w:pos="945"/>
          <w:tab w:val="left" w:pos="1155"/>
        </w:tabs>
        <w:spacing w:line="360" w:lineRule="auto"/>
        <w:ind w:firstLine="480"/>
        <w:rPr>
          <w:rFonts w:hint="eastAsia"/>
          <w:b/>
          <w:bCs/>
          <w:color w:val="auto"/>
          <w:highlight w:val="none"/>
          <w:lang w:val="en-US" w:eastAsia="zh-CN"/>
        </w:rPr>
      </w:pPr>
      <w:r>
        <w:rPr>
          <w:rFonts w:hint="eastAsia" w:ascii="宋体" w:hAnsi="宋体" w:cs="宋体"/>
          <w:b/>
          <w:bCs/>
          <w:color w:val="auto"/>
          <w:sz w:val="24"/>
          <w:szCs w:val="22"/>
          <w:highlight w:val="none"/>
          <w:lang w:val="en-US" w:eastAsia="zh-CN"/>
        </w:rPr>
        <w:t>3</w:t>
      </w:r>
      <w:r>
        <w:rPr>
          <w:rFonts w:hint="eastAsia" w:ascii="宋体" w:hAnsi="宋体" w:eastAsia="宋体" w:cs="宋体"/>
          <w:b/>
          <w:bCs/>
          <w:color w:val="auto"/>
          <w:sz w:val="24"/>
          <w:szCs w:val="22"/>
          <w:highlight w:val="none"/>
          <w:lang w:val="en-US" w:eastAsia="zh-CN"/>
        </w:rPr>
        <w:t>.评审方法和评审标准</w:t>
      </w:r>
    </w:p>
    <w:p w14:paraId="12881C25">
      <w:pPr>
        <w:keepNext w:val="0"/>
        <w:keepLines w:val="0"/>
        <w:pageBreakBefore w:val="0"/>
        <w:tabs>
          <w:tab w:val="left" w:pos="945"/>
          <w:tab w:val="left" w:pos="1155"/>
        </w:tabs>
        <w:spacing w:line="360" w:lineRule="auto"/>
        <w:ind w:firstLine="513"/>
        <w:rPr>
          <w:rFonts w:hint="eastAsia" w:ascii="宋体" w:hAnsi="宋体" w:eastAsia="宋体" w:cs="宋体"/>
          <w:color w:val="auto"/>
          <w:sz w:val="24"/>
          <w:szCs w:val="22"/>
          <w:highlight w:val="none"/>
          <w:lang w:val="en-US" w:eastAsia="zh-CN"/>
        </w:rPr>
      </w:pPr>
      <w:r>
        <w:rPr>
          <w:rFonts w:hint="eastAsia" w:ascii="宋体" w:hAnsi="宋体" w:cs="宋体"/>
          <w:b/>
          <w:bCs/>
          <w:color w:val="auto"/>
          <w:sz w:val="24"/>
          <w:szCs w:val="22"/>
          <w:highlight w:val="none"/>
          <w:lang w:val="en-US" w:eastAsia="zh-CN"/>
        </w:rPr>
        <w:t>3.1</w:t>
      </w:r>
      <w:r>
        <w:rPr>
          <w:rFonts w:hint="eastAsia" w:ascii="宋体" w:hAnsi="宋体" w:eastAsia="宋体" w:cs="宋体"/>
          <w:b/>
          <w:bCs/>
          <w:color w:val="auto"/>
          <w:sz w:val="24"/>
          <w:szCs w:val="22"/>
          <w:highlight w:val="none"/>
          <w:lang w:val="en-US" w:eastAsia="zh-CN"/>
        </w:rPr>
        <w:t>评审方法。</w:t>
      </w:r>
      <w:r>
        <w:rPr>
          <w:rFonts w:hint="eastAsia" w:ascii="宋体" w:hAnsi="宋体" w:eastAsia="宋体" w:cs="宋体"/>
          <w:color w:val="auto"/>
          <w:sz w:val="24"/>
          <w:szCs w:val="22"/>
          <w:highlight w:val="none"/>
          <w:lang w:val="en-US" w:eastAsia="zh-CN"/>
        </w:rPr>
        <w:t>由</w:t>
      </w:r>
      <w:r>
        <w:rPr>
          <w:rFonts w:hint="eastAsia" w:ascii="宋体" w:hAnsi="宋体" w:cs="宋体"/>
          <w:color w:val="auto"/>
          <w:sz w:val="24"/>
          <w:szCs w:val="22"/>
          <w:highlight w:val="none"/>
          <w:lang w:val="en-US" w:eastAsia="zh-CN"/>
        </w:rPr>
        <w:t>评标委员会</w:t>
      </w:r>
      <w:r>
        <w:rPr>
          <w:rFonts w:hint="eastAsia" w:ascii="宋体" w:hAnsi="宋体" w:eastAsia="宋体" w:cs="宋体"/>
          <w:color w:val="auto"/>
          <w:sz w:val="24"/>
          <w:szCs w:val="22"/>
          <w:highlight w:val="none"/>
          <w:lang w:val="en-US" w:eastAsia="zh-CN"/>
        </w:rPr>
        <w:t>采用综合评分法对</w:t>
      </w:r>
      <w:r>
        <w:rPr>
          <w:rFonts w:hint="eastAsia" w:ascii="宋体" w:hAnsi="宋体" w:cs="宋体"/>
          <w:color w:val="auto"/>
          <w:sz w:val="24"/>
          <w:szCs w:val="22"/>
          <w:highlight w:val="none"/>
          <w:lang w:val="en-US" w:eastAsia="zh-CN"/>
        </w:rPr>
        <w:t>各有效投标</w:t>
      </w:r>
      <w:r>
        <w:rPr>
          <w:rFonts w:hint="eastAsia" w:ascii="宋体" w:hAnsi="宋体" w:eastAsia="宋体" w:cs="宋体"/>
          <w:color w:val="auto"/>
          <w:sz w:val="24"/>
          <w:szCs w:val="22"/>
          <w:highlight w:val="none"/>
          <w:lang w:val="en-US" w:eastAsia="zh-CN"/>
        </w:rPr>
        <w:t>供应商的</w:t>
      </w:r>
      <w:r>
        <w:rPr>
          <w:rFonts w:hint="eastAsia" w:ascii="宋体" w:hAnsi="宋体" w:cs="宋体"/>
          <w:color w:val="auto"/>
          <w:sz w:val="24"/>
          <w:szCs w:val="22"/>
          <w:highlight w:val="none"/>
          <w:lang w:val="en-US" w:eastAsia="zh-CN"/>
        </w:rPr>
        <w:t>投标文件</w:t>
      </w:r>
      <w:r>
        <w:rPr>
          <w:rFonts w:hint="eastAsia" w:ascii="宋体" w:hAnsi="宋体" w:eastAsia="宋体" w:cs="宋体"/>
          <w:color w:val="auto"/>
          <w:sz w:val="24"/>
          <w:szCs w:val="22"/>
          <w:highlight w:val="none"/>
          <w:lang w:val="en-US" w:eastAsia="zh-CN"/>
        </w:rPr>
        <w:t>进行综合评分。</w:t>
      </w:r>
    </w:p>
    <w:p w14:paraId="18F7BA94">
      <w:pPr>
        <w:keepNext w:val="0"/>
        <w:keepLines w:val="0"/>
        <w:pageBreakBefore w:val="0"/>
        <w:tabs>
          <w:tab w:val="left" w:pos="945"/>
          <w:tab w:val="left" w:pos="1155"/>
        </w:tabs>
        <w:spacing w:line="360" w:lineRule="auto"/>
        <w:ind w:firstLine="480"/>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本</w:t>
      </w:r>
      <w:r>
        <w:rPr>
          <w:rFonts w:hint="eastAsia" w:ascii="宋体" w:hAnsi="宋体" w:cs="宋体"/>
          <w:color w:val="auto"/>
          <w:sz w:val="24"/>
          <w:szCs w:val="22"/>
          <w:highlight w:val="none"/>
          <w:lang w:val="en-US" w:eastAsia="zh-CN"/>
        </w:rPr>
        <w:t>招标文件</w:t>
      </w:r>
      <w:r>
        <w:rPr>
          <w:rFonts w:hint="eastAsia" w:ascii="宋体" w:hAnsi="宋体" w:eastAsia="宋体" w:cs="宋体"/>
          <w:color w:val="auto"/>
          <w:sz w:val="24"/>
          <w:szCs w:val="22"/>
          <w:highlight w:val="none"/>
          <w:lang w:val="en-US" w:eastAsia="zh-CN"/>
        </w:rPr>
        <w:t>所述综合评分法，是指</w:t>
      </w:r>
      <w:r>
        <w:rPr>
          <w:rFonts w:hint="eastAsia" w:ascii="宋体" w:hAnsi="宋体" w:cs="宋体"/>
          <w:color w:val="auto"/>
          <w:sz w:val="24"/>
          <w:szCs w:val="22"/>
          <w:highlight w:val="none"/>
          <w:lang w:val="en-US" w:eastAsia="zh-CN"/>
        </w:rPr>
        <w:t>投标文件</w:t>
      </w:r>
      <w:r>
        <w:rPr>
          <w:rFonts w:hint="eastAsia" w:ascii="宋体" w:hAnsi="宋体" w:eastAsia="宋体" w:cs="宋体"/>
          <w:color w:val="auto"/>
          <w:sz w:val="24"/>
          <w:szCs w:val="22"/>
          <w:highlight w:val="none"/>
          <w:lang w:val="en-US" w:eastAsia="zh-CN"/>
        </w:rPr>
        <w:t>满足</w:t>
      </w:r>
      <w:r>
        <w:rPr>
          <w:rFonts w:hint="eastAsia" w:ascii="宋体" w:hAnsi="宋体" w:cs="宋体"/>
          <w:color w:val="auto"/>
          <w:sz w:val="24"/>
          <w:szCs w:val="22"/>
          <w:highlight w:val="none"/>
          <w:lang w:val="en-US" w:eastAsia="zh-CN"/>
        </w:rPr>
        <w:t>招标文件</w:t>
      </w:r>
      <w:r>
        <w:rPr>
          <w:rFonts w:hint="eastAsia" w:ascii="宋体" w:hAnsi="宋体" w:eastAsia="宋体" w:cs="宋体"/>
          <w:color w:val="auto"/>
          <w:sz w:val="24"/>
          <w:szCs w:val="22"/>
          <w:highlight w:val="none"/>
          <w:lang w:val="en-US" w:eastAsia="zh-CN"/>
        </w:rPr>
        <w:t>全部实质性要求且按评审因素的量化指标评审得分最高的供应商为</w:t>
      </w:r>
      <w:r>
        <w:rPr>
          <w:rFonts w:hint="eastAsia" w:ascii="宋体" w:hAnsi="宋体" w:cs="宋体"/>
          <w:color w:val="auto"/>
          <w:sz w:val="24"/>
          <w:szCs w:val="22"/>
          <w:highlight w:val="none"/>
          <w:lang w:val="en-US" w:eastAsia="zh-CN"/>
        </w:rPr>
        <w:t>中标</w:t>
      </w:r>
      <w:r>
        <w:rPr>
          <w:rFonts w:hint="eastAsia" w:ascii="宋体" w:hAnsi="宋体" w:eastAsia="宋体" w:cs="宋体"/>
          <w:color w:val="auto"/>
          <w:sz w:val="24"/>
          <w:szCs w:val="22"/>
          <w:highlight w:val="none"/>
          <w:lang w:val="en-US" w:eastAsia="zh-CN"/>
        </w:rPr>
        <w:t>候选</w:t>
      </w:r>
      <w:r>
        <w:rPr>
          <w:rFonts w:hint="eastAsia" w:ascii="宋体" w:hAnsi="宋体" w:cs="宋体"/>
          <w:color w:val="auto"/>
          <w:sz w:val="24"/>
          <w:szCs w:val="22"/>
          <w:highlight w:val="none"/>
          <w:lang w:val="en-US" w:eastAsia="zh-CN"/>
        </w:rPr>
        <w:t>人</w:t>
      </w:r>
      <w:r>
        <w:rPr>
          <w:rFonts w:hint="eastAsia" w:ascii="宋体" w:hAnsi="宋体" w:eastAsia="宋体" w:cs="宋体"/>
          <w:color w:val="auto"/>
          <w:sz w:val="24"/>
          <w:szCs w:val="22"/>
          <w:highlight w:val="none"/>
          <w:lang w:val="en-US" w:eastAsia="zh-CN"/>
        </w:rPr>
        <w:t>的评审方法。评审时，</w:t>
      </w:r>
      <w:r>
        <w:rPr>
          <w:rFonts w:hint="eastAsia" w:ascii="宋体" w:hAnsi="宋体" w:cs="宋体"/>
          <w:color w:val="auto"/>
          <w:sz w:val="24"/>
          <w:szCs w:val="22"/>
          <w:highlight w:val="none"/>
          <w:lang w:val="en-US" w:eastAsia="zh-CN"/>
        </w:rPr>
        <w:t>评标委员会</w:t>
      </w:r>
      <w:r>
        <w:rPr>
          <w:rFonts w:hint="eastAsia" w:ascii="宋体" w:hAnsi="宋体" w:eastAsia="宋体" w:cs="宋体"/>
          <w:color w:val="auto"/>
          <w:sz w:val="24"/>
          <w:szCs w:val="22"/>
          <w:highlight w:val="none"/>
          <w:lang w:val="en-US" w:eastAsia="zh-CN"/>
        </w:rPr>
        <w:t>各成员独立对每个有效</w:t>
      </w:r>
      <w:r>
        <w:rPr>
          <w:rFonts w:hint="eastAsia" w:ascii="宋体" w:hAnsi="宋体" w:cs="宋体"/>
          <w:color w:val="auto"/>
          <w:sz w:val="24"/>
          <w:szCs w:val="22"/>
          <w:highlight w:val="none"/>
          <w:lang w:val="en-US" w:eastAsia="zh-CN"/>
        </w:rPr>
        <w:t>投标</w:t>
      </w:r>
      <w:r>
        <w:rPr>
          <w:rFonts w:hint="eastAsia" w:ascii="宋体" w:hAnsi="宋体" w:eastAsia="宋体" w:cs="宋体"/>
          <w:color w:val="auto"/>
          <w:sz w:val="24"/>
          <w:szCs w:val="22"/>
          <w:highlight w:val="none"/>
          <w:lang w:val="en-US" w:eastAsia="zh-CN"/>
        </w:rPr>
        <w:t>的文件进行评价、打分，然后汇总每个供应商每项评分因素的得分。</w:t>
      </w:r>
    </w:p>
    <w:p w14:paraId="7FFB168D">
      <w:pPr>
        <w:keepNext w:val="0"/>
        <w:keepLines w:val="0"/>
        <w:pageBreakBefore w:val="0"/>
        <w:tabs>
          <w:tab w:val="left" w:pos="945"/>
          <w:tab w:val="left" w:pos="1155"/>
        </w:tabs>
        <w:spacing w:line="360" w:lineRule="auto"/>
        <w:ind w:firstLine="480"/>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评标委员会</w:t>
      </w:r>
      <w:r>
        <w:rPr>
          <w:rFonts w:hint="eastAsia" w:ascii="宋体" w:hAnsi="宋体" w:eastAsia="宋体" w:cs="宋体"/>
          <w:color w:val="auto"/>
          <w:sz w:val="24"/>
          <w:szCs w:val="22"/>
          <w:highlight w:val="none"/>
          <w:lang w:val="en-US" w:eastAsia="zh-CN"/>
        </w:rPr>
        <w:t>应当根据综合评分情况，按照评审得分，由高到低顺序推荐</w:t>
      </w:r>
      <w:r>
        <w:rPr>
          <w:rFonts w:hint="eastAsia" w:ascii="宋体" w:hAnsi="宋体" w:cs="宋体"/>
          <w:color w:val="auto"/>
          <w:sz w:val="24"/>
          <w:szCs w:val="22"/>
          <w:highlight w:val="none"/>
          <w:lang w:val="en-US" w:eastAsia="zh-CN"/>
        </w:rPr>
        <w:t>一</w:t>
      </w:r>
      <w:r>
        <w:rPr>
          <w:rFonts w:hint="eastAsia" w:ascii="宋体" w:hAnsi="宋体" w:eastAsia="宋体" w:cs="宋体"/>
          <w:color w:val="auto"/>
          <w:sz w:val="24"/>
          <w:szCs w:val="22"/>
          <w:highlight w:val="none"/>
          <w:lang w:val="en-US" w:eastAsia="zh-CN"/>
        </w:rPr>
        <w:t>名</w:t>
      </w:r>
      <w:r>
        <w:rPr>
          <w:rFonts w:hint="eastAsia" w:ascii="宋体" w:hAnsi="宋体" w:cs="宋体"/>
          <w:color w:val="auto"/>
          <w:sz w:val="24"/>
          <w:szCs w:val="22"/>
          <w:highlight w:val="none"/>
          <w:lang w:val="en-US" w:eastAsia="zh-CN"/>
        </w:rPr>
        <w:t>中标候选人</w:t>
      </w:r>
      <w:r>
        <w:rPr>
          <w:rFonts w:hint="eastAsia" w:ascii="宋体" w:hAnsi="宋体" w:eastAsia="宋体" w:cs="宋体"/>
          <w:color w:val="auto"/>
          <w:sz w:val="24"/>
          <w:szCs w:val="22"/>
          <w:highlight w:val="none"/>
          <w:lang w:val="en-US" w:eastAsia="zh-CN"/>
        </w:rPr>
        <w:t>，并编写评审报告，评审得分相同的，按照最后报价由低到高的顺序推荐。评审得分且最后报价相同的，按照技术指标优劣顺序推荐。</w:t>
      </w:r>
    </w:p>
    <w:p w14:paraId="50925452">
      <w:pPr>
        <w:keepNext w:val="0"/>
        <w:keepLines w:val="0"/>
        <w:pageBreakBefore w:val="0"/>
        <w:tabs>
          <w:tab w:val="left" w:pos="945"/>
          <w:tab w:val="left" w:pos="1155"/>
        </w:tabs>
        <w:spacing w:line="360" w:lineRule="auto"/>
        <w:ind w:firstLine="513"/>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t>3.2评审标准</w:t>
      </w:r>
    </w:p>
    <w:p w14:paraId="0127A045">
      <w:pPr>
        <w:keepNext w:val="0"/>
        <w:keepLines w:val="0"/>
        <w:pageBreakBefore w:val="0"/>
        <w:tabs>
          <w:tab w:val="left" w:pos="945"/>
          <w:tab w:val="left" w:pos="1155"/>
        </w:tabs>
        <w:spacing w:line="360" w:lineRule="auto"/>
        <w:ind w:firstLine="513"/>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t>3.2.1落实政府采购政策的价格调整</w:t>
      </w:r>
    </w:p>
    <w:p w14:paraId="1C79555F">
      <w:pPr>
        <w:keepNext w:val="0"/>
        <w:keepLines w:val="0"/>
        <w:pageBreakBefore w:val="0"/>
        <w:widowControl w:val="0"/>
        <w:spacing w:line="360" w:lineRule="auto"/>
        <w:ind w:firstLine="360"/>
        <w:rPr>
          <w:rFonts w:hint="eastAsia" w:ascii="宋体" w:hAnsi="宋体" w:cs="宋体"/>
          <w:b/>
          <w:bCs/>
          <w:color w:val="auto"/>
          <w:sz w:val="24"/>
          <w:szCs w:val="22"/>
          <w:highlight w:val="none"/>
          <w:lang w:val="en-US" w:eastAsia="zh-CN"/>
        </w:rPr>
      </w:pPr>
      <w:r>
        <w:rPr>
          <w:rFonts w:hint="eastAsia" w:ascii="宋体" w:hAnsi="宋体" w:cs="宋体"/>
          <w:b/>
          <w:bCs/>
          <w:color w:val="auto"/>
          <w:sz w:val="24"/>
          <w:szCs w:val="22"/>
          <w:highlight w:val="none"/>
          <w:lang w:val="en-US" w:eastAsia="zh-CN"/>
        </w:rPr>
        <w:t>本项目专门面向中小企业（含微型企业、残疾人福利单位、监狱型企业），不做价格扣除。</w:t>
      </w:r>
    </w:p>
    <w:p w14:paraId="6B7FFB71">
      <w:pPr>
        <w:keepNext w:val="0"/>
        <w:keepLines w:val="0"/>
        <w:pageBreakBefore w:val="0"/>
        <w:tabs>
          <w:tab w:val="left" w:pos="945"/>
          <w:tab w:val="left" w:pos="1155"/>
        </w:tabs>
        <w:spacing w:line="360" w:lineRule="auto"/>
        <w:ind w:firstLine="513"/>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3.2.2评分标准</w:t>
      </w:r>
    </w:p>
    <w:p w14:paraId="032F6A53">
      <w:pPr>
        <w:keepNext w:val="0"/>
        <w:keepLines w:val="0"/>
        <w:pageBreakBefore w:val="0"/>
        <w:tabs>
          <w:tab w:val="left" w:pos="945"/>
          <w:tab w:val="left" w:pos="1155"/>
        </w:tabs>
        <w:spacing w:line="360" w:lineRule="auto"/>
        <w:ind w:firstLine="241"/>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A.评分项目及总分（总分100分）</w:t>
      </w:r>
    </w:p>
    <w:p w14:paraId="39C2DD93">
      <w:pPr>
        <w:keepNext w:val="0"/>
        <w:keepLines w:val="0"/>
        <w:pageBreakBefore w:val="0"/>
        <w:widowControl w:val="0"/>
        <w:spacing w:line="360" w:lineRule="auto"/>
        <w:ind w:firstLine="360"/>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1</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价格分</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25</w:t>
      </w:r>
      <w:r>
        <w:rPr>
          <w:rFonts w:hint="eastAsia" w:ascii="宋体" w:hAnsi="宋体" w:eastAsia="宋体" w:cs="宋体"/>
          <w:b w:val="0"/>
          <w:bCs/>
          <w:color w:val="auto"/>
          <w:sz w:val="24"/>
          <w:szCs w:val="24"/>
          <w:highlight w:val="none"/>
        </w:rPr>
        <w:t>分</w:t>
      </w:r>
    </w:p>
    <w:p w14:paraId="2616A517">
      <w:pPr>
        <w:keepNext w:val="0"/>
        <w:keepLines w:val="0"/>
        <w:pageBreakBefore w:val="0"/>
        <w:widowControl w:val="0"/>
        <w:spacing w:line="360" w:lineRule="auto"/>
        <w:ind w:firstLine="360"/>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2）供应商评价</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20</w:t>
      </w:r>
      <w:r>
        <w:rPr>
          <w:rFonts w:hint="eastAsia" w:ascii="宋体" w:hAnsi="宋体" w:eastAsia="宋体" w:cs="宋体"/>
          <w:b w:val="0"/>
          <w:bCs/>
          <w:color w:val="auto"/>
          <w:sz w:val="24"/>
          <w:szCs w:val="24"/>
          <w:highlight w:val="none"/>
        </w:rPr>
        <w:t>分</w:t>
      </w:r>
    </w:p>
    <w:p w14:paraId="7D82DB4A">
      <w:pPr>
        <w:keepNext w:val="0"/>
        <w:keepLines w:val="0"/>
        <w:pageBreakBefore w:val="0"/>
        <w:widowControl w:val="0"/>
        <w:spacing w:line="360" w:lineRule="auto"/>
        <w:ind w:firstLine="360"/>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 xml:space="preserve">3）技术分        </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55</w:t>
      </w:r>
      <w:r>
        <w:rPr>
          <w:rFonts w:hint="eastAsia" w:ascii="宋体" w:hAnsi="宋体" w:eastAsia="宋体" w:cs="宋体"/>
          <w:b w:val="0"/>
          <w:bCs/>
          <w:color w:val="auto"/>
          <w:sz w:val="24"/>
          <w:szCs w:val="24"/>
          <w:highlight w:val="none"/>
        </w:rPr>
        <w:t>分</w:t>
      </w:r>
    </w:p>
    <w:p w14:paraId="0D38FE44">
      <w:pPr>
        <w:keepNext w:val="0"/>
        <w:keepLines w:val="0"/>
        <w:pageBreakBefore w:val="0"/>
        <w:widowControl w:val="0"/>
        <w:numPr>
          <w:ilvl w:val="0"/>
          <w:numId w:val="0"/>
        </w:numPr>
        <w:spacing w:line="360" w:lineRule="auto"/>
        <w:ind w:firstLine="36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B.</w:t>
      </w:r>
      <w:r>
        <w:rPr>
          <w:rFonts w:hint="eastAsia" w:ascii="宋体" w:hAnsi="宋体" w:eastAsia="宋体" w:cs="宋体"/>
          <w:b/>
          <w:bCs/>
          <w:color w:val="auto"/>
          <w:sz w:val="24"/>
          <w:szCs w:val="24"/>
          <w:highlight w:val="none"/>
          <w:lang w:val="en-US" w:eastAsia="zh-CN"/>
        </w:rPr>
        <w:t>各项目评分标准</w:t>
      </w:r>
    </w:p>
    <w:p w14:paraId="5991C453">
      <w:pPr>
        <w:keepNext w:val="0"/>
        <w:keepLines w:val="0"/>
        <w:pageBreakBefore w:val="0"/>
        <w:widowControl w:val="0"/>
        <w:numPr>
          <w:ilvl w:val="0"/>
          <w:numId w:val="0"/>
        </w:numPr>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  1.价格分（25分）</w:t>
      </w:r>
    </w:p>
    <w:p w14:paraId="53CC55A9">
      <w:pPr>
        <w:spacing w:line="360" w:lineRule="auto"/>
        <w:ind w:left="0"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投标总报价低于或等于采购最高限价的，为有效投标报价。超采购最高限价的投标报价为无效投标报价。无效投标报价的投标文件不进行评审，也不得中标。</w:t>
      </w:r>
    </w:p>
    <w:p w14:paraId="77A53C05">
      <w:pPr>
        <w:spacing w:line="360" w:lineRule="auto"/>
        <w:ind w:left="0"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价格分统一采用低价优先法计算，即满足采购文件要求且报价最低的供应商的价格为评标基准价，其价格分为满分。其他供应商的价格分统一按照下列公式计算：</w:t>
      </w:r>
    </w:p>
    <w:p w14:paraId="18CE2FF7">
      <w:pPr>
        <w:spacing w:line="360" w:lineRule="auto"/>
        <w:ind w:left="0"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投标报价得分=（评标基准价/投标报价）×价格权值×100</w:t>
      </w:r>
    </w:p>
    <w:p w14:paraId="568EF942">
      <w:pPr>
        <w:pStyle w:val="16"/>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项目评审过程中，不得去掉最后报价中的最高报价和最低报价。</w:t>
      </w:r>
    </w:p>
    <w:p w14:paraId="1CC488F8">
      <w:pPr>
        <w:pStyle w:val="16"/>
        <w:spacing w:line="360" w:lineRule="auto"/>
        <w:ind w:firstLine="240"/>
        <w:rPr>
          <w:rFonts w:hint="eastAsia" w:ascii="宋体" w:hAnsi="宋体" w:eastAsia="宋体" w:cs="宋体"/>
          <w:b/>
          <w:bCs/>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落实政府采购政策的价格调整：</w:t>
      </w:r>
      <w:r>
        <w:rPr>
          <w:rFonts w:hint="eastAsia" w:ascii="宋体" w:hAnsi="宋体" w:eastAsia="宋体" w:cs="宋体"/>
          <w:b/>
          <w:bCs/>
          <w:sz w:val="24"/>
          <w:szCs w:val="24"/>
          <w:highlight w:val="none"/>
        </w:rPr>
        <w:t>专门面向中小企业，无需做价格扣除评审。</w:t>
      </w:r>
    </w:p>
    <w:p w14:paraId="7FCFB1F4">
      <w:pPr>
        <w:keepNext w:val="0"/>
        <w:keepLines w:val="0"/>
        <w:pageBreakBefore w:val="0"/>
        <w:widowControl w:val="0"/>
        <w:numPr>
          <w:ilvl w:val="0"/>
          <w:numId w:val="0"/>
        </w:numPr>
        <w:spacing w:line="360" w:lineRule="auto"/>
        <w:ind w:firstLine="241"/>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2.投标供应商综合实力（20分）</w:t>
      </w:r>
    </w:p>
    <w:p w14:paraId="4EC67B67">
      <w:pPr>
        <w:tabs>
          <w:tab w:val="left" w:pos="1365"/>
        </w:tabs>
        <w:spacing w:line="47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1）类似业绩（6分）</w:t>
      </w:r>
    </w:p>
    <w:p w14:paraId="22ADC629">
      <w:pPr>
        <w:tabs>
          <w:tab w:val="left" w:pos="1365"/>
        </w:tabs>
        <w:spacing w:line="470" w:lineRule="exact"/>
        <w:ind w:firstLine="480"/>
        <w:rPr>
          <w:rFonts w:hint="eastAsia" w:ascii="宋体" w:hAnsi="宋体" w:eastAsia="宋体" w:cs="Times New Roman"/>
          <w:sz w:val="24"/>
          <w:szCs w:val="24"/>
        </w:rPr>
      </w:pPr>
      <w:r>
        <w:rPr>
          <w:rFonts w:hint="eastAsia" w:ascii="宋体" w:hAnsi="宋体" w:eastAsia="宋体" w:cs="宋体"/>
          <w:color w:val="auto"/>
          <w:sz w:val="24"/>
          <w:szCs w:val="24"/>
          <w:highlight w:val="none"/>
          <w:lang w:eastAsia="zh-CN"/>
        </w:rPr>
        <w:t>投标</w:t>
      </w:r>
      <w:r>
        <w:rPr>
          <w:rFonts w:hint="eastAsia" w:ascii="宋体" w:hAnsi="宋体" w:eastAsia="宋体" w:cs="宋体"/>
          <w:color w:val="auto"/>
          <w:sz w:val="24"/>
          <w:szCs w:val="24"/>
          <w:highlight w:val="none"/>
        </w:rPr>
        <w:t>供应商提供自</w:t>
      </w:r>
      <w:r>
        <w:rPr>
          <w:rFonts w:hint="eastAsia" w:ascii="宋体" w:hAnsi="宋体" w:cs="宋体"/>
          <w:color w:val="auto"/>
          <w:sz w:val="24"/>
          <w:szCs w:val="24"/>
          <w:highlight w:val="none"/>
          <w:lang w:eastAsia="zh-CN"/>
        </w:rPr>
        <w:t>2023年1月1日</w:t>
      </w:r>
      <w:r>
        <w:rPr>
          <w:rFonts w:hint="eastAsia" w:ascii="宋体" w:hAnsi="宋体" w:eastAsia="宋体" w:cs="宋体"/>
          <w:color w:val="auto"/>
          <w:sz w:val="24"/>
          <w:szCs w:val="24"/>
          <w:highlight w:val="none"/>
          <w:lang w:bidi="ar"/>
        </w:rPr>
        <w:t>以来承担过类似项目的</w:t>
      </w:r>
      <w:r>
        <w:rPr>
          <w:rFonts w:hint="eastAsia" w:ascii="宋体" w:hAnsi="宋体" w:eastAsia="宋体" w:cs="宋体"/>
          <w:color w:val="auto"/>
          <w:sz w:val="24"/>
          <w:szCs w:val="24"/>
          <w:highlight w:val="none"/>
        </w:rPr>
        <w:t>（日期以合同签订日期为准），有一个得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本项</w:t>
      </w:r>
      <w:r>
        <w:rPr>
          <w:rFonts w:hint="eastAsia" w:ascii="宋体" w:hAnsi="宋体" w:eastAsia="宋体" w:cs="宋体"/>
          <w:color w:val="auto"/>
          <w:sz w:val="24"/>
          <w:szCs w:val="24"/>
          <w:highlight w:val="none"/>
        </w:rPr>
        <w:t>最高得</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r>
        <w:rPr>
          <w:rFonts w:hint="eastAsia" w:ascii="宋体" w:hAnsi="宋体" w:eastAsia="宋体" w:cs="宋体"/>
          <w:b/>
          <w:bCs/>
          <w:color w:val="auto"/>
          <w:sz w:val="24"/>
          <w:szCs w:val="24"/>
          <w:highlight w:val="none"/>
        </w:rPr>
        <w:t>提供合同</w:t>
      </w:r>
      <w:r>
        <w:rPr>
          <w:rFonts w:hint="eastAsia" w:ascii="宋体" w:hAnsi="宋体" w:eastAsia="宋体" w:cs="宋体"/>
          <w:b/>
          <w:bCs/>
          <w:color w:val="auto"/>
          <w:sz w:val="24"/>
          <w:szCs w:val="24"/>
          <w:highlight w:val="none"/>
          <w:lang w:eastAsia="zh-CN"/>
        </w:rPr>
        <w:t>原件</w:t>
      </w:r>
      <w:r>
        <w:rPr>
          <w:rFonts w:hint="eastAsia" w:ascii="宋体" w:hAnsi="宋体" w:eastAsia="宋体" w:cs="宋体"/>
          <w:b/>
          <w:bCs/>
          <w:color w:val="auto"/>
          <w:sz w:val="24"/>
          <w:szCs w:val="24"/>
          <w:highlight w:val="none"/>
        </w:rPr>
        <w:t>扫描件</w:t>
      </w:r>
      <w:r>
        <w:rPr>
          <w:rFonts w:hint="eastAsia" w:ascii="宋体" w:hAnsi="宋体" w:eastAsia="宋体" w:cs="宋体"/>
          <w:b/>
          <w:bCs/>
          <w:color w:val="auto"/>
          <w:sz w:val="24"/>
          <w:szCs w:val="24"/>
          <w:highlight w:val="none"/>
          <w:lang w:val="en-US" w:eastAsia="zh-CN"/>
        </w:rPr>
        <w:t>盖公章或电子公章并</w:t>
      </w:r>
      <w:r>
        <w:rPr>
          <w:rFonts w:hint="eastAsia" w:ascii="宋体" w:hAnsi="宋体" w:eastAsia="宋体" w:cs="宋体"/>
          <w:b/>
          <w:bCs/>
          <w:color w:val="auto"/>
          <w:sz w:val="24"/>
          <w:szCs w:val="24"/>
          <w:highlight w:val="none"/>
        </w:rPr>
        <w:t>上传至电子投标文件，</w:t>
      </w:r>
      <w:r>
        <w:rPr>
          <w:rFonts w:hint="eastAsia" w:ascii="宋体" w:hAnsi="宋体" w:eastAsia="宋体" w:cs="宋体"/>
          <w:b/>
          <w:bCs/>
          <w:color w:val="auto"/>
          <w:sz w:val="24"/>
          <w:szCs w:val="24"/>
          <w:highlight w:val="none"/>
          <w:lang w:val="en-US" w:eastAsia="zh-CN"/>
        </w:rPr>
        <w:t>不提供或</w:t>
      </w:r>
      <w:r>
        <w:rPr>
          <w:rFonts w:hint="eastAsia" w:ascii="宋体" w:hAnsi="宋体" w:eastAsia="宋体" w:cs="宋体"/>
          <w:b/>
          <w:bCs/>
          <w:color w:val="auto"/>
          <w:sz w:val="24"/>
          <w:szCs w:val="24"/>
          <w:highlight w:val="none"/>
        </w:rPr>
        <w:t>未按要求提供</w:t>
      </w:r>
      <w:r>
        <w:rPr>
          <w:rFonts w:hint="eastAsia" w:ascii="宋体" w:hAnsi="宋体" w:eastAsia="宋体" w:cs="宋体"/>
          <w:b/>
          <w:bCs/>
          <w:color w:val="auto"/>
          <w:sz w:val="24"/>
          <w:szCs w:val="24"/>
          <w:highlight w:val="none"/>
          <w:lang w:val="en-US" w:eastAsia="zh-CN"/>
        </w:rPr>
        <w:t>的</w:t>
      </w:r>
      <w:r>
        <w:rPr>
          <w:rFonts w:hint="eastAsia" w:ascii="宋体" w:hAnsi="宋体" w:eastAsia="宋体" w:cs="宋体"/>
          <w:b/>
          <w:bCs/>
          <w:color w:val="auto"/>
          <w:sz w:val="24"/>
          <w:szCs w:val="24"/>
          <w:highlight w:val="none"/>
        </w:rPr>
        <w:t>不得分</w:t>
      </w:r>
      <w:r>
        <w:rPr>
          <w:rFonts w:hint="eastAsia" w:ascii="宋体" w:hAnsi="宋体" w:eastAsia="宋体" w:cs="宋体"/>
          <w:color w:val="auto"/>
          <w:sz w:val="24"/>
          <w:szCs w:val="24"/>
          <w:highlight w:val="none"/>
        </w:rPr>
        <w:t>】</w:t>
      </w:r>
    </w:p>
    <w:p w14:paraId="18E79669">
      <w:pPr>
        <w:tabs>
          <w:tab w:val="left" w:pos="1365"/>
        </w:tabs>
        <w:spacing w:line="47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2）体系认证（</w:t>
      </w:r>
      <w:r>
        <w:rPr>
          <w:rFonts w:hint="eastAsia" w:ascii="宋体" w:hAnsi="宋体" w:eastAsia="宋体" w:cs="Times New Roman"/>
          <w:sz w:val="24"/>
          <w:szCs w:val="24"/>
          <w:lang w:val="en-US" w:eastAsia="zh-CN"/>
        </w:rPr>
        <w:t>3</w:t>
      </w:r>
      <w:r>
        <w:rPr>
          <w:rFonts w:hint="eastAsia" w:ascii="宋体" w:hAnsi="宋体" w:eastAsia="宋体" w:cs="Times New Roman"/>
          <w:sz w:val="24"/>
          <w:szCs w:val="24"/>
        </w:rPr>
        <w:t>分）</w:t>
      </w:r>
    </w:p>
    <w:p w14:paraId="4C526C3F">
      <w:pPr>
        <w:tabs>
          <w:tab w:val="left" w:pos="1365"/>
        </w:tabs>
        <w:spacing w:line="470" w:lineRule="exact"/>
        <w:ind w:firstLine="480"/>
        <w:rPr>
          <w:rFonts w:hint="eastAsia" w:ascii="宋体" w:hAnsi="宋体" w:eastAsia="宋体" w:cs="Times New Roman"/>
          <w:sz w:val="24"/>
          <w:szCs w:val="24"/>
        </w:rPr>
      </w:pPr>
      <w:r>
        <w:rPr>
          <w:rFonts w:hint="eastAsia" w:ascii="宋体" w:hAnsi="宋体" w:eastAsia="宋体" w:cs="Times New Roman"/>
          <w:sz w:val="24"/>
          <w:szCs w:val="24"/>
          <w:lang w:eastAsia="zh-CN"/>
        </w:rPr>
        <w:t>投标供应商</w:t>
      </w:r>
      <w:r>
        <w:rPr>
          <w:rFonts w:hint="eastAsia" w:ascii="宋体" w:hAnsi="宋体" w:eastAsia="宋体" w:cs="Times New Roman"/>
          <w:sz w:val="24"/>
          <w:szCs w:val="24"/>
        </w:rPr>
        <w:t>具有有效期内的质量管理体系认证证书、环境管理体系认证证书、职业健康安全管理体系认证证书，</w:t>
      </w:r>
      <w:r>
        <w:rPr>
          <w:rFonts w:hint="eastAsia" w:ascii="宋体" w:hAnsi="宋体" w:eastAsia="宋体" w:cs="Times New Roman"/>
          <w:sz w:val="24"/>
          <w:szCs w:val="24"/>
          <w:lang w:val="en-US" w:eastAsia="zh-CN"/>
        </w:rPr>
        <w:t>有一个</w:t>
      </w:r>
      <w:r>
        <w:rPr>
          <w:rFonts w:hint="eastAsia" w:ascii="宋体" w:hAnsi="宋体" w:eastAsia="宋体" w:cs="Times New Roman"/>
          <w:sz w:val="24"/>
          <w:szCs w:val="24"/>
        </w:rPr>
        <w:t>得</w:t>
      </w:r>
      <w:r>
        <w:rPr>
          <w:rFonts w:hint="eastAsia" w:ascii="宋体" w:hAnsi="宋体" w:eastAsia="宋体" w:cs="Times New Roman"/>
          <w:sz w:val="24"/>
          <w:szCs w:val="24"/>
          <w:lang w:val="en-US" w:eastAsia="zh-CN"/>
        </w:rPr>
        <w:t>1</w:t>
      </w:r>
      <w:r>
        <w:rPr>
          <w:rFonts w:hint="eastAsia" w:ascii="宋体" w:hAnsi="宋体" w:eastAsia="宋体" w:cs="Times New Roman"/>
          <w:sz w:val="24"/>
          <w:szCs w:val="24"/>
        </w:rPr>
        <w:t>分，</w:t>
      </w:r>
      <w:r>
        <w:rPr>
          <w:rFonts w:hint="eastAsia" w:ascii="宋体" w:hAnsi="宋体" w:eastAsia="宋体" w:cs="Times New Roman"/>
          <w:sz w:val="24"/>
          <w:szCs w:val="24"/>
          <w:lang w:val="en-US" w:eastAsia="zh-CN"/>
        </w:rPr>
        <w:t>本项</w:t>
      </w:r>
      <w:r>
        <w:rPr>
          <w:rFonts w:hint="eastAsia" w:ascii="宋体" w:hAnsi="宋体" w:eastAsia="宋体" w:cs="Times New Roman"/>
          <w:sz w:val="24"/>
          <w:szCs w:val="24"/>
        </w:rPr>
        <w:t>最高得</w:t>
      </w:r>
      <w:r>
        <w:rPr>
          <w:rFonts w:hint="eastAsia" w:ascii="宋体" w:hAnsi="宋体" w:eastAsia="宋体" w:cs="Times New Roman"/>
          <w:sz w:val="24"/>
          <w:szCs w:val="24"/>
          <w:lang w:val="en-US" w:eastAsia="zh-CN"/>
        </w:rPr>
        <w:t>3</w:t>
      </w:r>
      <w:r>
        <w:rPr>
          <w:rFonts w:hint="eastAsia" w:ascii="宋体" w:hAnsi="宋体" w:eastAsia="宋体" w:cs="Times New Roman"/>
          <w:sz w:val="24"/>
          <w:szCs w:val="24"/>
        </w:rPr>
        <w:t>分</w:t>
      </w:r>
      <w:r>
        <w:rPr>
          <w:rFonts w:hint="eastAsia" w:ascii="宋体" w:hAnsi="宋体" w:eastAsia="宋体" w:cs="宋体"/>
          <w:b/>
          <w:bCs/>
          <w:color w:val="auto"/>
          <w:sz w:val="24"/>
          <w:szCs w:val="24"/>
          <w:highlight w:val="none"/>
          <w:lang w:bidi="ar"/>
        </w:rPr>
        <w:t>（提供证书原件扫描件</w:t>
      </w:r>
      <w:r>
        <w:rPr>
          <w:rFonts w:hint="eastAsia" w:ascii="宋体" w:hAnsi="宋体" w:eastAsia="宋体" w:cs="宋体"/>
          <w:b/>
          <w:bCs/>
          <w:color w:val="auto"/>
          <w:sz w:val="24"/>
          <w:szCs w:val="24"/>
          <w:highlight w:val="none"/>
          <w:lang w:val="en-US" w:eastAsia="zh-CN"/>
        </w:rPr>
        <w:t>盖公章或电子公章并</w:t>
      </w:r>
      <w:r>
        <w:rPr>
          <w:rFonts w:hint="eastAsia" w:ascii="宋体" w:hAnsi="宋体" w:eastAsia="宋体" w:cs="宋体"/>
          <w:b/>
          <w:bCs/>
          <w:color w:val="auto"/>
          <w:sz w:val="24"/>
          <w:szCs w:val="24"/>
          <w:highlight w:val="none"/>
          <w:lang w:bidi="ar"/>
        </w:rPr>
        <w:t>上传至系统中（证书具有二维码的须保证二维码查询状态正常或提供查询网址及查询结果），不提供不得分）</w:t>
      </w:r>
    </w:p>
    <w:p w14:paraId="15673E29">
      <w:pPr>
        <w:tabs>
          <w:tab w:val="left" w:pos="1365"/>
        </w:tabs>
        <w:spacing w:line="470" w:lineRule="exact"/>
        <w:ind w:firstLine="480"/>
        <w:rPr>
          <w:rFonts w:hint="eastAsia" w:ascii="宋体" w:hAnsi="宋体" w:eastAsia="宋体" w:cs="Times New Roman"/>
          <w:sz w:val="24"/>
          <w:szCs w:val="24"/>
        </w:rPr>
      </w:pPr>
      <w:r>
        <w:rPr>
          <w:rFonts w:hint="eastAsia" w:ascii="宋体" w:hAnsi="宋体" w:eastAsia="宋体" w:cs="Times New Roman"/>
          <w:sz w:val="24"/>
          <w:szCs w:val="24"/>
        </w:rPr>
        <w:t>3）人员配备（</w:t>
      </w:r>
      <w:r>
        <w:rPr>
          <w:rFonts w:hint="eastAsia" w:ascii="宋体" w:hAnsi="宋体" w:eastAsia="宋体" w:cs="Times New Roman"/>
          <w:sz w:val="24"/>
          <w:szCs w:val="24"/>
          <w:lang w:val="en-US" w:eastAsia="zh-CN"/>
        </w:rPr>
        <w:t>7</w:t>
      </w:r>
      <w:r>
        <w:rPr>
          <w:rFonts w:hint="eastAsia" w:ascii="宋体" w:hAnsi="宋体" w:eastAsia="宋体" w:cs="Times New Roman"/>
          <w:sz w:val="24"/>
          <w:szCs w:val="24"/>
        </w:rPr>
        <w:t>分）</w:t>
      </w:r>
    </w:p>
    <w:p w14:paraId="4E54226F">
      <w:pPr>
        <w:tabs>
          <w:tab w:val="left" w:pos="1365"/>
        </w:tabs>
        <w:spacing w:line="470" w:lineRule="exact"/>
        <w:ind w:firstLine="480"/>
        <w:rPr>
          <w:rFonts w:hint="eastAsia" w:ascii="宋体" w:hAnsi="宋体" w:eastAsia="宋体" w:cs="Times New Roman"/>
          <w:sz w:val="24"/>
          <w:szCs w:val="24"/>
        </w:rPr>
      </w:pPr>
      <w:r>
        <w:rPr>
          <w:rFonts w:hint="default" w:ascii="宋体" w:hAnsi="宋体"/>
          <w:sz w:val="24"/>
        </w:rPr>
        <w:t>①</w:t>
      </w:r>
      <w:r>
        <w:rPr>
          <w:rFonts w:hint="eastAsia" w:ascii="宋体" w:hAnsi="宋体" w:eastAsia="宋体" w:cs="Times New Roman"/>
          <w:sz w:val="24"/>
          <w:szCs w:val="24"/>
        </w:rPr>
        <w:t>拟派项目负责人：</w:t>
      </w:r>
      <w:r>
        <w:rPr>
          <w:rFonts w:hint="eastAsia" w:ascii="宋体" w:hAnsi="宋体" w:eastAsia="宋体" w:cs="Times New Roman"/>
          <w:sz w:val="24"/>
          <w:szCs w:val="24"/>
          <w:lang w:eastAsia="zh-CN"/>
        </w:rPr>
        <w:t>投标供应商</w:t>
      </w:r>
      <w:r>
        <w:rPr>
          <w:rFonts w:hint="eastAsia" w:ascii="宋体" w:hAnsi="宋体" w:eastAsia="宋体" w:cs="Times New Roman"/>
          <w:sz w:val="24"/>
          <w:szCs w:val="24"/>
        </w:rPr>
        <w:t>拟派项目负责人具备环境保护或环保工程类相关专业</w:t>
      </w:r>
      <w:r>
        <w:rPr>
          <w:rFonts w:hint="eastAsia" w:ascii="宋体" w:hAnsi="宋体" w:eastAsia="宋体" w:cs="Times New Roman"/>
          <w:sz w:val="24"/>
          <w:szCs w:val="24"/>
          <w:lang w:val="en-US" w:eastAsia="zh-CN"/>
        </w:rPr>
        <w:t>高</w:t>
      </w:r>
      <w:r>
        <w:rPr>
          <w:rFonts w:hint="eastAsia" w:ascii="宋体" w:hAnsi="宋体" w:eastAsia="宋体" w:cs="Times New Roman"/>
          <w:sz w:val="24"/>
          <w:szCs w:val="24"/>
        </w:rPr>
        <w:t>级（含）以上职称的得3分</w:t>
      </w:r>
      <w:r>
        <w:rPr>
          <w:rFonts w:hint="eastAsia" w:ascii="宋体" w:hAnsi="宋体" w:eastAsia="宋体" w:cs="Times New Roman"/>
          <w:sz w:val="24"/>
          <w:szCs w:val="24"/>
          <w:lang w:eastAsia="zh-CN"/>
        </w:rPr>
        <w:t>，</w:t>
      </w:r>
      <w:r>
        <w:rPr>
          <w:rFonts w:hint="eastAsia" w:ascii="宋体" w:hAnsi="宋体" w:eastAsia="宋体" w:cs="Times New Roman"/>
          <w:sz w:val="24"/>
          <w:szCs w:val="24"/>
        </w:rPr>
        <w:t>中级职称的得</w:t>
      </w:r>
      <w:r>
        <w:rPr>
          <w:rFonts w:hint="eastAsia" w:ascii="宋体" w:hAnsi="宋体" w:eastAsia="宋体" w:cs="Times New Roman"/>
          <w:sz w:val="24"/>
          <w:szCs w:val="24"/>
          <w:lang w:val="en-US" w:eastAsia="zh-CN"/>
        </w:rPr>
        <w:t>1</w:t>
      </w:r>
      <w:r>
        <w:rPr>
          <w:rFonts w:hint="eastAsia" w:ascii="宋体" w:hAnsi="宋体" w:eastAsia="宋体" w:cs="Times New Roman"/>
          <w:sz w:val="24"/>
          <w:szCs w:val="24"/>
        </w:rPr>
        <w:t>分，本项最高得3分。</w:t>
      </w:r>
      <w:r>
        <w:rPr>
          <w:rFonts w:hint="eastAsia" w:ascii="宋体" w:hAnsi="宋体" w:eastAsia="宋体" w:cs="Times New Roman"/>
          <w:b/>
          <w:bCs/>
          <w:sz w:val="24"/>
          <w:szCs w:val="24"/>
        </w:rPr>
        <w:t>（提供职称证书原件</w:t>
      </w:r>
      <w:r>
        <w:rPr>
          <w:rFonts w:hint="eastAsia" w:ascii="宋体" w:hAnsi="宋体" w:eastAsia="宋体" w:cs="Times New Roman"/>
          <w:b/>
          <w:bCs/>
          <w:sz w:val="24"/>
          <w:szCs w:val="24"/>
          <w:lang w:val="en-US" w:eastAsia="zh-CN"/>
        </w:rPr>
        <w:t>扫描件</w:t>
      </w:r>
      <w:r>
        <w:rPr>
          <w:rFonts w:hint="eastAsia" w:ascii="宋体" w:hAnsi="宋体" w:eastAsia="宋体" w:cs="Times New Roman"/>
          <w:b/>
          <w:bCs/>
          <w:sz w:val="24"/>
          <w:szCs w:val="24"/>
        </w:rPr>
        <w:t>及社保部门出具的连续近3个月（不含投标当月）</w:t>
      </w:r>
      <w:r>
        <w:rPr>
          <w:rFonts w:hint="eastAsia" w:ascii="宋体" w:hAnsi="宋体" w:eastAsia="宋体" w:cs="Times New Roman"/>
          <w:b/>
          <w:bCs/>
          <w:sz w:val="24"/>
          <w:szCs w:val="24"/>
          <w:lang w:val="en-US" w:eastAsia="zh-CN"/>
        </w:rPr>
        <w:t>投标供应商</w:t>
      </w:r>
      <w:r>
        <w:rPr>
          <w:rFonts w:hint="eastAsia" w:ascii="宋体" w:hAnsi="宋体" w:eastAsia="宋体" w:cs="Times New Roman"/>
          <w:b/>
          <w:bCs/>
          <w:sz w:val="24"/>
          <w:szCs w:val="24"/>
        </w:rPr>
        <w:t>为其缴纳的社会保险证明的扫描件</w:t>
      </w:r>
      <w:r>
        <w:rPr>
          <w:rFonts w:hint="eastAsia" w:ascii="宋体" w:hAnsi="宋体" w:eastAsia="宋体" w:cs="宋体"/>
          <w:b/>
          <w:bCs/>
          <w:color w:val="auto"/>
          <w:sz w:val="24"/>
          <w:szCs w:val="24"/>
          <w:highlight w:val="none"/>
          <w:lang w:val="en-US" w:eastAsia="zh-CN"/>
        </w:rPr>
        <w:t>盖公章或电子公章并</w:t>
      </w:r>
      <w:r>
        <w:rPr>
          <w:rFonts w:hint="eastAsia" w:ascii="宋体" w:hAnsi="宋体" w:eastAsia="宋体" w:cs="Times New Roman"/>
          <w:b/>
          <w:bCs/>
          <w:sz w:val="24"/>
          <w:szCs w:val="24"/>
        </w:rPr>
        <w:t>上传至</w:t>
      </w:r>
      <w:r>
        <w:rPr>
          <w:rFonts w:hint="eastAsia" w:ascii="宋体" w:hAnsi="宋体" w:eastAsia="宋体" w:cs="Times New Roman"/>
          <w:b/>
          <w:bCs/>
          <w:sz w:val="24"/>
          <w:szCs w:val="24"/>
          <w:lang w:val="en-US" w:eastAsia="zh-CN"/>
        </w:rPr>
        <w:t>投标</w:t>
      </w:r>
      <w:r>
        <w:rPr>
          <w:rFonts w:hint="eastAsia" w:ascii="宋体" w:hAnsi="宋体" w:eastAsia="宋体" w:cs="Times New Roman"/>
          <w:b/>
          <w:bCs/>
          <w:sz w:val="24"/>
          <w:szCs w:val="24"/>
        </w:rPr>
        <w:t>文件中，如职称证书不显示专业，则提供毕业证书或专业技术职称评审表等证明材料的扫描件</w:t>
      </w:r>
      <w:r>
        <w:rPr>
          <w:rFonts w:hint="eastAsia" w:ascii="宋体" w:hAnsi="宋体" w:eastAsia="宋体" w:cs="宋体"/>
          <w:b/>
          <w:bCs/>
          <w:color w:val="auto"/>
          <w:sz w:val="24"/>
          <w:szCs w:val="24"/>
          <w:highlight w:val="none"/>
          <w:lang w:val="en-US" w:eastAsia="zh-CN"/>
        </w:rPr>
        <w:t>盖公章或电子公章并</w:t>
      </w:r>
      <w:r>
        <w:rPr>
          <w:rFonts w:hint="eastAsia" w:ascii="宋体" w:hAnsi="宋体" w:eastAsia="宋体" w:cs="Times New Roman"/>
          <w:b/>
          <w:bCs/>
          <w:sz w:val="24"/>
          <w:szCs w:val="24"/>
        </w:rPr>
        <w:t>上传至</w:t>
      </w:r>
      <w:r>
        <w:rPr>
          <w:rFonts w:hint="eastAsia" w:ascii="宋体" w:hAnsi="宋体" w:eastAsia="宋体" w:cs="宋体"/>
          <w:b/>
          <w:bCs/>
          <w:color w:val="auto"/>
          <w:sz w:val="24"/>
          <w:szCs w:val="24"/>
          <w:highlight w:val="none"/>
        </w:rPr>
        <w:t>投标文件</w:t>
      </w:r>
      <w:r>
        <w:rPr>
          <w:rFonts w:hint="eastAsia" w:ascii="宋体" w:hAnsi="宋体" w:eastAsia="宋体" w:cs="Times New Roman"/>
          <w:b/>
          <w:bCs/>
          <w:sz w:val="24"/>
          <w:szCs w:val="24"/>
        </w:rPr>
        <w:t>中；如</w:t>
      </w:r>
      <w:r>
        <w:rPr>
          <w:rFonts w:hint="eastAsia" w:ascii="宋体" w:hAnsi="宋体" w:eastAsia="宋体" w:cs="Times New Roman"/>
          <w:b/>
          <w:bCs/>
          <w:sz w:val="24"/>
          <w:szCs w:val="24"/>
          <w:lang w:eastAsia="zh-CN"/>
        </w:rPr>
        <w:t>投标供应商</w:t>
      </w:r>
      <w:r>
        <w:rPr>
          <w:rFonts w:hint="eastAsia" w:ascii="宋体" w:hAnsi="宋体" w:eastAsia="宋体" w:cs="Times New Roman"/>
          <w:b/>
          <w:bCs/>
          <w:sz w:val="24"/>
          <w:szCs w:val="24"/>
        </w:rPr>
        <w:t>成立时间迟于要求开始的时间，则提供成立时间至招标文件中社保要求的截止时间内的社保缴费证明的扫描件</w:t>
      </w:r>
      <w:r>
        <w:rPr>
          <w:rFonts w:hint="eastAsia" w:ascii="宋体" w:hAnsi="宋体" w:eastAsia="宋体" w:cs="宋体"/>
          <w:b/>
          <w:bCs/>
          <w:color w:val="auto"/>
          <w:sz w:val="24"/>
          <w:szCs w:val="24"/>
          <w:highlight w:val="none"/>
          <w:lang w:val="en-US" w:eastAsia="zh-CN"/>
        </w:rPr>
        <w:t>盖公章或电子公章并</w:t>
      </w:r>
      <w:r>
        <w:rPr>
          <w:rFonts w:hint="eastAsia" w:ascii="宋体" w:hAnsi="宋体" w:eastAsia="宋体" w:cs="Times New Roman"/>
          <w:b/>
          <w:bCs/>
          <w:sz w:val="24"/>
          <w:szCs w:val="24"/>
        </w:rPr>
        <w:t>上传至</w:t>
      </w:r>
      <w:r>
        <w:rPr>
          <w:rFonts w:hint="eastAsia" w:ascii="宋体" w:hAnsi="宋体" w:eastAsia="宋体" w:cs="宋体"/>
          <w:b/>
          <w:bCs/>
          <w:color w:val="auto"/>
          <w:sz w:val="24"/>
          <w:szCs w:val="24"/>
          <w:highlight w:val="none"/>
        </w:rPr>
        <w:t>投标文件</w:t>
      </w:r>
      <w:r>
        <w:rPr>
          <w:rFonts w:hint="eastAsia" w:ascii="宋体" w:hAnsi="宋体" w:eastAsia="宋体" w:cs="Times New Roman"/>
          <w:b/>
          <w:bCs/>
          <w:sz w:val="24"/>
          <w:szCs w:val="24"/>
        </w:rPr>
        <w:t>中，</w:t>
      </w:r>
      <w:r>
        <w:rPr>
          <w:rFonts w:hint="eastAsia" w:ascii="宋体" w:hAnsi="宋体" w:eastAsia="宋体" w:cs="宋体"/>
          <w:b/>
          <w:bCs/>
          <w:color w:val="auto"/>
          <w:sz w:val="24"/>
          <w:szCs w:val="24"/>
          <w:highlight w:val="none"/>
          <w:lang w:val="en-US" w:eastAsia="zh-CN"/>
        </w:rPr>
        <w:t>不提供或</w:t>
      </w:r>
      <w:r>
        <w:rPr>
          <w:rFonts w:hint="eastAsia" w:ascii="宋体" w:hAnsi="宋体" w:eastAsia="宋体" w:cs="宋体"/>
          <w:b/>
          <w:bCs/>
          <w:color w:val="auto"/>
          <w:sz w:val="24"/>
          <w:szCs w:val="24"/>
          <w:highlight w:val="none"/>
        </w:rPr>
        <w:t>未按要求提供</w:t>
      </w:r>
      <w:r>
        <w:rPr>
          <w:rFonts w:hint="eastAsia" w:ascii="宋体" w:hAnsi="宋体" w:eastAsia="宋体" w:cs="宋体"/>
          <w:b/>
          <w:bCs/>
          <w:color w:val="auto"/>
          <w:sz w:val="24"/>
          <w:szCs w:val="24"/>
          <w:highlight w:val="none"/>
          <w:lang w:val="en-US" w:eastAsia="zh-CN"/>
        </w:rPr>
        <w:t>的</w:t>
      </w:r>
      <w:r>
        <w:rPr>
          <w:rFonts w:hint="eastAsia" w:ascii="宋体" w:hAnsi="宋体" w:eastAsia="宋体" w:cs="宋体"/>
          <w:b/>
          <w:bCs/>
          <w:color w:val="auto"/>
          <w:sz w:val="24"/>
          <w:szCs w:val="24"/>
          <w:highlight w:val="none"/>
        </w:rPr>
        <w:t>不得分</w:t>
      </w:r>
      <w:r>
        <w:rPr>
          <w:rFonts w:hint="eastAsia" w:ascii="宋体" w:hAnsi="宋体" w:eastAsia="宋体" w:cs="Times New Roman"/>
          <w:b/>
          <w:bCs/>
          <w:sz w:val="24"/>
          <w:szCs w:val="24"/>
        </w:rPr>
        <w:t>）</w:t>
      </w:r>
    </w:p>
    <w:p w14:paraId="37BD1A22">
      <w:pPr>
        <w:tabs>
          <w:tab w:val="left" w:pos="1365"/>
        </w:tabs>
        <w:spacing w:line="470" w:lineRule="exact"/>
        <w:ind w:firstLine="480"/>
        <w:rPr>
          <w:rFonts w:hint="eastAsia" w:ascii="宋体" w:hAnsi="宋体" w:eastAsia="宋体" w:cs="Times New Roman"/>
          <w:b/>
          <w:bCs/>
          <w:sz w:val="24"/>
          <w:szCs w:val="24"/>
        </w:rPr>
      </w:pPr>
      <w:r>
        <w:rPr>
          <w:rFonts w:hint="default" w:ascii="宋体" w:hAnsi="宋体"/>
          <w:sz w:val="24"/>
        </w:rPr>
        <w:t>②</w:t>
      </w:r>
      <w:r>
        <w:rPr>
          <w:rFonts w:hint="eastAsia" w:ascii="宋体" w:hAnsi="宋体" w:eastAsia="宋体" w:cs="Times New Roman"/>
          <w:sz w:val="24"/>
          <w:szCs w:val="24"/>
        </w:rPr>
        <w:t>技术负责人：</w:t>
      </w:r>
      <w:r>
        <w:rPr>
          <w:rFonts w:hint="eastAsia" w:ascii="宋体" w:hAnsi="宋体" w:eastAsia="宋体" w:cs="Times New Roman"/>
          <w:sz w:val="24"/>
          <w:szCs w:val="24"/>
          <w:lang w:eastAsia="zh-CN"/>
        </w:rPr>
        <w:t>投标供应商</w:t>
      </w:r>
      <w:r>
        <w:rPr>
          <w:rFonts w:hint="eastAsia" w:ascii="宋体" w:hAnsi="宋体" w:eastAsia="宋体" w:cs="Times New Roman"/>
          <w:sz w:val="24"/>
          <w:szCs w:val="24"/>
        </w:rPr>
        <w:t>拟派项目技术负责人具备环境保护或环保工程类相关专业高级（含）以上职称的得</w:t>
      </w:r>
      <w:r>
        <w:rPr>
          <w:rFonts w:hint="eastAsia" w:ascii="宋体" w:hAnsi="宋体" w:eastAsia="宋体" w:cs="Times New Roman"/>
          <w:sz w:val="24"/>
          <w:szCs w:val="24"/>
          <w:lang w:val="en-US" w:eastAsia="zh-CN"/>
        </w:rPr>
        <w:t>2</w:t>
      </w:r>
      <w:r>
        <w:rPr>
          <w:rFonts w:hint="eastAsia" w:ascii="宋体" w:hAnsi="宋体" w:eastAsia="宋体" w:cs="Times New Roman"/>
          <w:sz w:val="24"/>
          <w:szCs w:val="24"/>
        </w:rPr>
        <w:t>分，本项最高得</w:t>
      </w:r>
      <w:r>
        <w:rPr>
          <w:rFonts w:hint="eastAsia" w:ascii="宋体" w:hAnsi="宋体" w:eastAsia="宋体" w:cs="Times New Roman"/>
          <w:sz w:val="24"/>
          <w:szCs w:val="24"/>
          <w:lang w:val="en-US" w:eastAsia="zh-CN"/>
        </w:rPr>
        <w:t>2</w:t>
      </w:r>
      <w:r>
        <w:rPr>
          <w:rFonts w:hint="eastAsia" w:ascii="宋体" w:hAnsi="宋体" w:eastAsia="宋体" w:cs="Times New Roman"/>
          <w:sz w:val="24"/>
          <w:szCs w:val="24"/>
        </w:rPr>
        <w:t>分。</w:t>
      </w:r>
      <w:r>
        <w:rPr>
          <w:rFonts w:hint="eastAsia" w:ascii="宋体" w:hAnsi="宋体" w:eastAsia="宋体" w:cs="Times New Roman"/>
          <w:b/>
          <w:bCs/>
          <w:sz w:val="24"/>
          <w:szCs w:val="24"/>
        </w:rPr>
        <w:t>（提供职称证书原件</w:t>
      </w:r>
      <w:r>
        <w:rPr>
          <w:rFonts w:hint="eastAsia" w:ascii="宋体" w:hAnsi="宋体" w:eastAsia="宋体" w:cs="Times New Roman"/>
          <w:b/>
          <w:bCs/>
          <w:sz w:val="24"/>
          <w:szCs w:val="24"/>
          <w:lang w:val="en-US" w:eastAsia="zh-CN"/>
        </w:rPr>
        <w:t>扫描件</w:t>
      </w:r>
      <w:r>
        <w:rPr>
          <w:rFonts w:hint="eastAsia" w:ascii="宋体" w:hAnsi="宋体" w:eastAsia="宋体" w:cs="Times New Roman"/>
          <w:b/>
          <w:bCs/>
          <w:sz w:val="24"/>
          <w:szCs w:val="24"/>
        </w:rPr>
        <w:t>及社保部门出具的连续近3个月（不含投标当月）报价企业为其缴纳的社会保险证明的扫描件</w:t>
      </w:r>
      <w:r>
        <w:rPr>
          <w:rFonts w:hint="eastAsia" w:ascii="宋体" w:hAnsi="宋体" w:eastAsia="宋体" w:cs="宋体"/>
          <w:b/>
          <w:bCs/>
          <w:color w:val="auto"/>
          <w:sz w:val="24"/>
          <w:szCs w:val="24"/>
          <w:highlight w:val="none"/>
          <w:lang w:val="en-US" w:eastAsia="zh-CN"/>
        </w:rPr>
        <w:t>盖公章或电子公章并</w:t>
      </w:r>
      <w:r>
        <w:rPr>
          <w:rFonts w:hint="eastAsia" w:ascii="宋体" w:hAnsi="宋体" w:eastAsia="宋体" w:cs="Times New Roman"/>
          <w:b/>
          <w:bCs/>
          <w:sz w:val="24"/>
          <w:szCs w:val="24"/>
        </w:rPr>
        <w:t>上传至</w:t>
      </w:r>
      <w:r>
        <w:rPr>
          <w:rFonts w:hint="eastAsia" w:ascii="宋体" w:hAnsi="宋体" w:eastAsia="宋体" w:cs="宋体"/>
          <w:b/>
          <w:bCs/>
          <w:color w:val="auto"/>
          <w:sz w:val="24"/>
          <w:szCs w:val="24"/>
          <w:highlight w:val="none"/>
        </w:rPr>
        <w:t>投标文件</w:t>
      </w:r>
      <w:r>
        <w:rPr>
          <w:rFonts w:hint="eastAsia" w:ascii="宋体" w:hAnsi="宋体" w:eastAsia="宋体" w:cs="Times New Roman"/>
          <w:b/>
          <w:bCs/>
          <w:sz w:val="24"/>
          <w:szCs w:val="24"/>
        </w:rPr>
        <w:t>中，如职称证书不显示专业，则提供毕业证书或专业技术职称评审表等证明材料的扫描件</w:t>
      </w:r>
      <w:r>
        <w:rPr>
          <w:rFonts w:hint="eastAsia" w:ascii="宋体" w:hAnsi="宋体" w:eastAsia="宋体" w:cs="宋体"/>
          <w:b/>
          <w:bCs/>
          <w:color w:val="auto"/>
          <w:sz w:val="24"/>
          <w:szCs w:val="24"/>
          <w:highlight w:val="none"/>
          <w:lang w:val="en-US" w:eastAsia="zh-CN"/>
        </w:rPr>
        <w:t>盖公章或电子公章并</w:t>
      </w:r>
      <w:r>
        <w:rPr>
          <w:rFonts w:hint="eastAsia" w:ascii="宋体" w:hAnsi="宋体" w:eastAsia="宋体" w:cs="Times New Roman"/>
          <w:b/>
          <w:bCs/>
          <w:sz w:val="24"/>
          <w:szCs w:val="24"/>
        </w:rPr>
        <w:t>上传至</w:t>
      </w:r>
      <w:r>
        <w:rPr>
          <w:rFonts w:hint="eastAsia" w:ascii="宋体" w:hAnsi="宋体" w:eastAsia="宋体" w:cs="宋体"/>
          <w:b/>
          <w:bCs/>
          <w:color w:val="auto"/>
          <w:sz w:val="24"/>
          <w:szCs w:val="24"/>
          <w:highlight w:val="none"/>
        </w:rPr>
        <w:t>投标文件</w:t>
      </w:r>
      <w:r>
        <w:rPr>
          <w:rFonts w:hint="eastAsia" w:ascii="宋体" w:hAnsi="宋体" w:eastAsia="宋体" w:cs="Times New Roman"/>
          <w:b/>
          <w:bCs/>
          <w:sz w:val="24"/>
          <w:szCs w:val="24"/>
        </w:rPr>
        <w:t>中；如</w:t>
      </w:r>
      <w:r>
        <w:rPr>
          <w:rFonts w:hint="eastAsia" w:ascii="宋体" w:hAnsi="宋体" w:eastAsia="宋体" w:cs="Times New Roman"/>
          <w:b/>
          <w:bCs/>
          <w:sz w:val="24"/>
          <w:szCs w:val="24"/>
          <w:lang w:eastAsia="zh-CN"/>
        </w:rPr>
        <w:t>投标供应商</w:t>
      </w:r>
      <w:r>
        <w:rPr>
          <w:rFonts w:hint="eastAsia" w:ascii="宋体" w:hAnsi="宋体" w:eastAsia="宋体" w:cs="Times New Roman"/>
          <w:b/>
          <w:bCs/>
          <w:sz w:val="24"/>
          <w:szCs w:val="24"/>
        </w:rPr>
        <w:t>成立时间迟于要求开始的时间，则提供成立时间至招标文件中社保要求的截止时间内的社保缴费证明的扫描件</w:t>
      </w:r>
      <w:r>
        <w:rPr>
          <w:rFonts w:hint="eastAsia" w:ascii="宋体" w:hAnsi="宋体" w:eastAsia="宋体" w:cs="宋体"/>
          <w:b/>
          <w:bCs/>
          <w:color w:val="auto"/>
          <w:sz w:val="24"/>
          <w:szCs w:val="24"/>
          <w:highlight w:val="none"/>
          <w:lang w:val="en-US" w:eastAsia="zh-CN"/>
        </w:rPr>
        <w:t>盖公章或电子公章并</w:t>
      </w:r>
      <w:r>
        <w:rPr>
          <w:rFonts w:hint="eastAsia" w:ascii="宋体" w:hAnsi="宋体" w:eastAsia="宋体" w:cs="Times New Roman"/>
          <w:b/>
          <w:bCs/>
          <w:sz w:val="24"/>
          <w:szCs w:val="24"/>
        </w:rPr>
        <w:t>上传至</w:t>
      </w:r>
      <w:r>
        <w:rPr>
          <w:rFonts w:hint="eastAsia" w:ascii="宋体" w:hAnsi="宋体" w:eastAsia="宋体" w:cs="宋体"/>
          <w:b/>
          <w:bCs/>
          <w:color w:val="auto"/>
          <w:sz w:val="24"/>
          <w:szCs w:val="24"/>
          <w:highlight w:val="none"/>
        </w:rPr>
        <w:t>投标文件</w:t>
      </w:r>
      <w:r>
        <w:rPr>
          <w:rFonts w:hint="eastAsia" w:ascii="宋体" w:hAnsi="宋体" w:eastAsia="宋体" w:cs="Times New Roman"/>
          <w:b/>
          <w:bCs/>
          <w:sz w:val="24"/>
          <w:szCs w:val="24"/>
        </w:rPr>
        <w:t>中，</w:t>
      </w:r>
      <w:r>
        <w:rPr>
          <w:rFonts w:hint="eastAsia" w:ascii="宋体" w:hAnsi="宋体" w:eastAsia="宋体" w:cs="宋体"/>
          <w:b/>
          <w:bCs/>
          <w:color w:val="auto"/>
          <w:sz w:val="24"/>
          <w:szCs w:val="24"/>
          <w:highlight w:val="none"/>
          <w:lang w:val="en-US" w:eastAsia="zh-CN"/>
        </w:rPr>
        <w:t>不提供或</w:t>
      </w:r>
      <w:r>
        <w:rPr>
          <w:rFonts w:hint="eastAsia" w:ascii="宋体" w:hAnsi="宋体" w:eastAsia="宋体" w:cs="宋体"/>
          <w:b/>
          <w:bCs/>
          <w:color w:val="auto"/>
          <w:sz w:val="24"/>
          <w:szCs w:val="24"/>
          <w:highlight w:val="none"/>
        </w:rPr>
        <w:t>未按要求提供</w:t>
      </w:r>
      <w:r>
        <w:rPr>
          <w:rFonts w:hint="eastAsia" w:ascii="宋体" w:hAnsi="宋体" w:eastAsia="宋体" w:cs="宋体"/>
          <w:b/>
          <w:bCs/>
          <w:color w:val="auto"/>
          <w:sz w:val="24"/>
          <w:szCs w:val="24"/>
          <w:highlight w:val="none"/>
          <w:lang w:val="en-US" w:eastAsia="zh-CN"/>
        </w:rPr>
        <w:t>的</w:t>
      </w:r>
      <w:r>
        <w:rPr>
          <w:rFonts w:hint="eastAsia" w:ascii="宋体" w:hAnsi="宋体" w:eastAsia="宋体" w:cs="宋体"/>
          <w:b/>
          <w:bCs/>
          <w:color w:val="auto"/>
          <w:sz w:val="24"/>
          <w:szCs w:val="24"/>
          <w:highlight w:val="none"/>
        </w:rPr>
        <w:t>不得分</w:t>
      </w:r>
      <w:r>
        <w:rPr>
          <w:rFonts w:hint="eastAsia" w:ascii="宋体" w:hAnsi="宋体" w:eastAsia="宋体" w:cs="Times New Roman"/>
          <w:b/>
          <w:bCs/>
          <w:sz w:val="24"/>
          <w:szCs w:val="24"/>
        </w:rPr>
        <w:t>）</w:t>
      </w:r>
    </w:p>
    <w:p w14:paraId="5D782265">
      <w:pPr>
        <w:tabs>
          <w:tab w:val="left" w:pos="1365"/>
        </w:tabs>
        <w:spacing w:line="470" w:lineRule="exact"/>
        <w:ind w:firstLine="480"/>
        <w:rPr>
          <w:rFonts w:hint="eastAsia" w:ascii="Times New Roman" w:hAnsi="Times New Roman" w:eastAsia="宋体" w:cs="Times New Roman"/>
          <w:szCs w:val="24"/>
        </w:rPr>
      </w:pPr>
      <w:r>
        <w:rPr>
          <w:rFonts w:hint="default" w:ascii="宋体" w:hAnsi="宋体"/>
          <w:sz w:val="24"/>
          <w:lang w:eastAsia="zh-CN"/>
        </w:rPr>
        <w:t>③</w:t>
      </w:r>
      <w:r>
        <w:rPr>
          <w:rFonts w:hint="eastAsia" w:ascii="宋体" w:hAnsi="宋体" w:eastAsia="宋体" w:cs="Times New Roman"/>
          <w:color w:val="auto"/>
          <w:sz w:val="24"/>
          <w:szCs w:val="20"/>
          <w:highlight w:val="none"/>
          <w:lang w:eastAsia="zh-CN"/>
        </w:rPr>
        <w:t>项目组人员（除项目负责人、</w:t>
      </w:r>
      <w:r>
        <w:rPr>
          <w:rFonts w:hint="eastAsia" w:ascii="宋体" w:hAnsi="宋体" w:eastAsia="宋体" w:cs="Times New Roman"/>
          <w:color w:val="auto"/>
          <w:sz w:val="24"/>
          <w:szCs w:val="20"/>
          <w:highlight w:val="none"/>
          <w:lang w:val="en-US" w:eastAsia="zh-CN"/>
        </w:rPr>
        <w:t>技术负责人</w:t>
      </w:r>
      <w:r>
        <w:rPr>
          <w:rFonts w:hint="eastAsia" w:ascii="宋体" w:hAnsi="宋体" w:eastAsia="宋体" w:cs="Times New Roman"/>
          <w:color w:val="auto"/>
          <w:sz w:val="24"/>
          <w:szCs w:val="20"/>
          <w:highlight w:val="none"/>
          <w:lang w:eastAsia="zh-CN"/>
        </w:rPr>
        <w:t>以外）：</w:t>
      </w:r>
      <w:r>
        <w:rPr>
          <w:rFonts w:hint="eastAsia" w:ascii="宋体" w:hAnsi="宋体" w:eastAsia="宋体" w:cs="Times New Roman"/>
          <w:sz w:val="24"/>
          <w:szCs w:val="24"/>
          <w:lang w:eastAsia="zh-CN"/>
        </w:rPr>
        <w:t>投标供应商</w:t>
      </w:r>
      <w:r>
        <w:rPr>
          <w:rFonts w:hint="eastAsia" w:ascii="宋体" w:hAnsi="宋体" w:eastAsia="宋体" w:cs="Times New Roman"/>
          <w:sz w:val="24"/>
          <w:szCs w:val="24"/>
        </w:rPr>
        <w:t>拟派</w:t>
      </w:r>
      <w:r>
        <w:rPr>
          <w:rFonts w:hint="eastAsia" w:ascii="宋体" w:hAnsi="宋体" w:eastAsia="宋体" w:cs="Times New Roman"/>
          <w:color w:val="auto"/>
          <w:sz w:val="24"/>
          <w:szCs w:val="20"/>
          <w:highlight w:val="none"/>
          <w:lang w:eastAsia="zh-CN"/>
        </w:rPr>
        <w:t>项目组人员中</w:t>
      </w:r>
      <w:r>
        <w:rPr>
          <w:rFonts w:hint="eastAsia" w:ascii="宋体" w:hAnsi="宋体" w:eastAsia="宋体" w:cs="Times New Roman"/>
          <w:color w:val="auto"/>
          <w:sz w:val="24"/>
          <w:szCs w:val="20"/>
          <w:highlight w:val="none"/>
          <w:lang w:val="en-US" w:eastAsia="zh-CN"/>
        </w:rPr>
        <w:t>具备中华人民共和国内河船舶船员适任证书（三类驾驶员</w:t>
      </w:r>
      <w:r>
        <w:rPr>
          <w:rFonts w:hint="eastAsia" w:ascii="宋体" w:hAnsi="宋体" w:cs="Times New Roman"/>
          <w:color w:val="auto"/>
          <w:sz w:val="24"/>
          <w:szCs w:val="20"/>
          <w:highlight w:val="none"/>
          <w:lang w:val="en-US" w:eastAsia="zh-CN"/>
        </w:rPr>
        <w:t>及以上</w:t>
      </w:r>
      <w:r>
        <w:rPr>
          <w:rFonts w:hint="eastAsia" w:ascii="宋体" w:hAnsi="宋体" w:eastAsia="宋体" w:cs="Times New Roman"/>
          <w:color w:val="auto"/>
          <w:sz w:val="24"/>
          <w:szCs w:val="20"/>
          <w:highlight w:val="none"/>
          <w:lang w:val="en-US" w:eastAsia="zh-CN"/>
        </w:rPr>
        <w:t>）</w:t>
      </w:r>
      <w:r>
        <w:rPr>
          <w:rFonts w:hint="eastAsia" w:ascii="宋体" w:hAnsi="宋体" w:eastAsia="宋体" w:cs="Times New Roman"/>
          <w:color w:val="auto"/>
          <w:sz w:val="24"/>
          <w:szCs w:val="20"/>
          <w:highlight w:val="none"/>
          <w:lang w:eastAsia="zh-CN"/>
        </w:rPr>
        <w:t>并在有效期内的，有1个得</w:t>
      </w:r>
      <w:r>
        <w:rPr>
          <w:rFonts w:hint="eastAsia" w:ascii="宋体" w:hAnsi="宋体" w:eastAsia="宋体" w:cs="Times New Roman"/>
          <w:color w:val="auto"/>
          <w:sz w:val="24"/>
          <w:szCs w:val="20"/>
          <w:highlight w:val="none"/>
          <w:lang w:val="en-US" w:eastAsia="zh-CN"/>
        </w:rPr>
        <w:t>1</w:t>
      </w:r>
      <w:r>
        <w:rPr>
          <w:rFonts w:hint="eastAsia" w:ascii="宋体" w:hAnsi="宋体" w:eastAsia="宋体" w:cs="Times New Roman"/>
          <w:color w:val="auto"/>
          <w:sz w:val="24"/>
          <w:szCs w:val="20"/>
          <w:highlight w:val="none"/>
          <w:lang w:eastAsia="zh-CN"/>
        </w:rPr>
        <w:t>分，</w:t>
      </w:r>
      <w:r>
        <w:rPr>
          <w:rFonts w:hint="eastAsia" w:ascii="宋体" w:hAnsi="宋体" w:cs="Times New Roman"/>
          <w:color w:val="auto"/>
          <w:sz w:val="24"/>
          <w:szCs w:val="20"/>
          <w:highlight w:val="none"/>
          <w:lang w:val="en-US" w:eastAsia="zh-CN"/>
        </w:rPr>
        <w:t>本项</w:t>
      </w:r>
      <w:r>
        <w:rPr>
          <w:rFonts w:hint="eastAsia" w:ascii="宋体" w:hAnsi="宋体" w:eastAsia="宋体" w:cs="Times New Roman"/>
          <w:color w:val="auto"/>
          <w:sz w:val="24"/>
          <w:szCs w:val="20"/>
          <w:highlight w:val="none"/>
          <w:lang w:eastAsia="zh-CN"/>
        </w:rPr>
        <w:t>最高得</w:t>
      </w:r>
      <w:r>
        <w:rPr>
          <w:rFonts w:hint="eastAsia" w:ascii="宋体" w:hAnsi="宋体" w:eastAsia="宋体" w:cs="Times New Roman"/>
          <w:color w:val="auto"/>
          <w:sz w:val="24"/>
          <w:szCs w:val="20"/>
          <w:highlight w:val="none"/>
          <w:lang w:val="en-US" w:eastAsia="zh-CN"/>
        </w:rPr>
        <w:t>2</w:t>
      </w:r>
      <w:r>
        <w:rPr>
          <w:rFonts w:hint="eastAsia" w:ascii="宋体" w:hAnsi="宋体" w:eastAsia="宋体" w:cs="Times New Roman"/>
          <w:color w:val="auto"/>
          <w:sz w:val="24"/>
          <w:szCs w:val="20"/>
          <w:highlight w:val="none"/>
          <w:lang w:eastAsia="zh-CN"/>
        </w:rPr>
        <w:t>分。</w:t>
      </w:r>
      <w:r>
        <w:rPr>
          <w:rFonts w:hint="eastAsia" w:ascii="宋体" w:hAnsi="宋体" w:eastAsia="宋体" w:cs="Times New Roman"/>
          <w:b/>
          <w:bCs/>
          <w:sz w:val="24"/>
          <w:szCs w:val="24"/>
        </w:rPr>
        <w:t>（提供证书原件</w:t>
      </w:r>
      <w:r>
        <w:rPr>
          <w:rFonts w:hint="eastAsia" w:ascii="宋体" w:hAnsi="宋体" w:eastAsia="宋体" w:cs="Times New Roman"/>
          <w:b/>
          <w:bCs/>
          <w:sz w:val="24"/>
          <w:szCs w:val="24"/>
          <w:lang w:val="en-US" w:eastAsia="zh-CN"/>
        </w:rPr>
        <w:t>扫描件</w:t>
      </w:r>
      <w:r>
        <w:rPr>
          <w:rFonts w:hint="eastAsia" w:ascii="宋体" w:hAnsi="宋体" w:eastAsia="宋体" w:cs="Times New Roman"/>
          <w:b/>
          <w:bCs/>
          <w:sz w:val="24"/>
          <w:szCs w:val="24"/>
        </w:rPr>
        <w:t>及社保部门出具的连续近3个月（不含投标当月）报价企业为其缴纳的社会保险证明的扫描件</w:t>
      </w:r>
      <w:r>
        <w:rPr>
          <w:rFonts w:hint="eastAsia" w:ascii="宋体" w:hAnsi="宋体" w:eastAsia="宋体" w:cs="宋体"/>
          <w:b/>
          <w:bCs/>
          <w:color w:val="auto"/>
          <w:sz w:val="24"/>
          <w:szCs w:val="24"/>
          <w:highlight w:val="none"/>
          <w:lang w:val="en-US" w:eastAsia="zh-CN"/>
        </w:rPr>
        <w:t>盖公章或电子公章并</w:t>
      </w:r>
      <w:r>
        <w:rPr>
          <w:rFonts w:hint="eastAsia" w:ascii="宋体" w:hAnsi="宋体" w:eastAsia="宋体" w:cs="Times New Roman"/>
          <w:b/>
          <w:bCs/>
          <w:sz w:val="24"/>
          <w:szCs w:val="24"/>
        </w:rPr>
        <w:t>上传至</w:t>
      </w:r>
      <w:r>
        <w:rPr>
          <w:rFonts w:hint="eastAsia" w:ascii="宋体" w:hAnsi="宋体" w:eastAsia="宋体" w:cs="宋体"/>
          <w:b/>
          <w:bCs/>
          <w:color w:val="auto"/>
          <w:sz w:val="24"/>
          <w:szCs w:val="24"/>
          <w:highlight w:val="none"/>
        </w:rPr>
        <w:t>投标文件</w:t>
      </w:r>
      <w:r>
        <w:rPr>
          <w:rFonts w:hint="eastAsia" w:ascii="宋体" w:hAnsi="宋体" w:eastAsia="宋体" w:cs="Times New Roman"/>
          <w:b/>
          <w:bCs/>
          <w:sz w:val="24"/>
          <w:szCs w:val="24"/>
        </w:rPr>
        <w:t>中，如</w:t>
      </w:r>
      <w:r>
        <w:rPr>
          <w:rFonts w:hint="eastAsia" w:ascii="宋体" w:hAnsi="宋体" w:eastAsia="宋体" w:cs="Times New Roman"/>
          <w:b/>
          <w:bCs/>
          <w:sz w:val="24"/>
          <w:szCs w:val="24"/>
          <w:lang w:eastAsia="zh-CN"/>
        </w:rPr>
        <w:t>投标供应商</w:t>
      </w:r>
      <w:r>
        <w:rPr>
          <w:rFonts w:hint="eastAsia" w:ascii="宋体" w:hAnsi="宋体" w:eastAsia="宋体" w:cs="Times New Roman"/>
          <w:b/>
          <w:bCs/>
          <w:sz w:val="24"/>
          <w:szCs w:val="24"/>
        </w:rPr>
        <w:t>成立时间迟于要求开始的时间，则提供成立时间至招标文件中社保要求的截止时间内的社保缴费证明的扫描件</w:t>
      </w:r>
      <w:r>
        <w:rPr>
          <w:rFonts w:hint="eastAsia" w:ascii="宋体" w:hAnsi="宋体" w:eastAsia="宋体" w:cs="宋体"/>
          <w:b/>
          <w:bCs/>
          <w:color w:val="auto"/>
          <w:sz w:val="24"/>
          <w:szCs w:val="24"/>
          <w:highlight w:val="none"/>
          <w:lang w:val="en-US" w:eastAsia="zh-CN"/>
        </w:rPr>
        <w:t>盖公章或电子公章并</w:t>
      </w:r>
      <w:r>
        <w:rPr>
          <w:rFonts w:hint="eastAsia" w:ascii="宋体" w:hAnsi="宋体" w:eastAsia="宋体" w:cs="Times New Roman"/>
          <w:b/>
          <w:bCs/>
          <w:sz w:val="24"/>
          <w:szCs w:val="24"/>
        </w:rPr>
        <w:t>上传至</w:t>
      </w:r>
      <w:r>
        <w:rPr>
          <w:rFonts w:hint="eastAsia" w:ascii="宋体" w:hAnsi="宋体" w:eastAsia="宋体" w:cs="宋体"/>
          <w:b/>
          <w:bCs/>
          <w:color w:val="auto"/>
          <w:sz w:val="24"/>
          <w:szCs w:val="24"/>
          <w:highlight w:val="none"/>
        </w:rPr>
        <w:t>投标文件</w:t>
      </w:r>
      <w:r>
        <w:rPr>
          <w:rFonts w:hint="eastAsia" w:ascii="宋体" w:hAnsi="宋体" w:eastAsia="宋体" w:cs="Times New Roman"/>
          <w:b/>
          <w:bCs/>
          <w:sz w:val="24"/>
          <w:szCs w:val="24"/>
        </w:rPr>
        <w:t>中，</w:t>
      </w:r>
      <w:r>
        <w:rPr>
          <w:rFonts w:hint="eastAsia" w:ascii="宋体" w:hAnsi="宋体" w:eastAsia="宋体" w:cs="宋体"/>
          <w:b/>
          <w:bCs/>
          <w:color w:val="auto"/>
          <w:sz w:val="24"/>
          <w:szCs w:val="24"/>
          <w:highlight w:val="none"/>
          <w:lang w:val="en-US" w:eastAsia="zh-CN"/>
        </w:rPr>
        <w:t>不提供或</w:t>
      </w:r>
      <w:r>
        <w:rPr>
          <w:rFonts w:hint="eastAsia" w:ascii="宋体" w:hAnsi="宋体" w:eastAsia="宋体" w:cs="宋体"/>
          <w:b/>
          <w:bCs/>
          <w:color w:val="auto"/>
          <w:sz w:val="24"/>
          <w:szCs w:val="24"/>
          <w:highlight w:val="none"/>
        </w:rPr>
        <w:t>未按要求提供</w:t>
      </w:r>
      <w:r>
        <w:rPr>
          <w:rFonts w:hint="eastAsia" w:ascii="宋体" w:hAnsi="宋体" w:eastAsia="宋体" w:cs="宋体"/>
          <w:b/>
          <w:bCs/>
          <w:color w:val="auto"/>
          <w:sz w:val="24"/>
          <w:szCs w:val="24"/>
          <w:highlight w:val="none"/>
          <w:lang w:val="en-US" w:eastAsia="zh-CN"/>
        </w:rPr>
        <w:t>的</w:t>
      </w:r>
      <w:r>
        <w:rPr>
          <w:rFonts w:hint="eastAsia" w:ascii="宋体" w:hAnsi="宋体" w:eastAsia="宋体" w:cs="宋体"/>
          <w:b/>
          <w:bCs/>
          <w:color w:val="auto"/>
          <w:sz w:val="24"/>
          <w:szCs w:val="24"/>
          <w:highlight w:val="none"/>
        </w:rPr>
        <w:t>不得分</w:t>
      </w:r>
      <w:r>
        <w:rPr>
          <w:rFonts w:hint="eastAsia" w:ascii="宋体" w:hAnsi="宋体" w:eastAsia="宋体" w:cs="Times New Roman"/>
          <w:b/>
          <w:bCs/>
          <w:sz w:val="24"/>
          <w:szCs w:val="24"/>
        </w:rPr>
        <w:t>）</w:t>
      </w:r>
    </w:p>
    <w:p w14:paraId="298EE88C">
      <w:pPr>
        <w:tabs>
          <w:tab w:val="left" w:pos="1365"/>
        </w:tabs>
        <w:spacing w:line="470" w:lineRule="exact"/>
        <w:ind w:firstLine="480"/>
        <w:rPr>
          <w:rFonts w:hint="eastAsia" w:ascii="宋体" w:hAnsi="宋体" w:eastAsia="宋体" w:cs="Times New Roman"/>
          <w:sz w:val="24"/>
          <w:szCs w:val="24"/>
        </w:rPr>
      </w:pPr>
      <w:r>
        <w:rPr>
          <w:rFonts w:hint="eastAsia" w:ascii="宋体" w:hAnsi="宋体" w:eastAsia="宋体" w:cs="Times New Roman"/>
          <w:sz w:val="24"/>
          <w:szCs w:val="24"/>
          <w:lang w:val="en-US" w:eastAsia="zh-CN"/>
        </w:rPr>
        <w:t>4</w:t>
      </w:r>
      <w:r>
        <w:rPr>
          <w:rFonts w:hint="eastAsia" w:ascii="宋体" w:hAnsi="宋体" w:eastAsia="宋体" w:cs="Times New Roman"/>
          <w:sz w:val="24"/>
          <w:szCs w:val="24"/>
        </w:rPr>
        <w:t>）设备配备（</w:t>
      </w:r>
      <w:r>
        <w:rPr>
          <w:rFonts w:hint="eastAsia" w:ascii="宋体" w:hAnsi="宋体" w:eastAsia="宋体" w:cs="Times New Roman"/>
          <w:sz w:val="24"/>
          <w:szCs w:val="24"/>
          <w:lang w:val="en-US" w:eastAsia="zh-CN"/>
        </w:rPr>
        <w:t>4</w:t>
      </w:r>
      <w:r>
        <w:rPr>
          <w:rFonts w:hint="eastAsia" w:ascii="宋体" w:hAnsi="宋体" w:eastAsia="宋体" w:cs="Times New Roman"/>
          <w:sz w:val="24"/>
          <w:szCs w:val="24"/>
        </w:rPr>
        <w:t>分）</w:t>
      </w:r>
    </w:p>
    <w:p w14:paraId="4FC304AF">
      <w:pPr>
        <w:spacing w:line="360" w:lineRule="auto"/>
        <w:ind w:left="0" w:firstLine="360"/>
        <w:rPr>
          <w:rFonts w:hint="eastAsia" w:ascii="宋体" w:hAnsi="宋体" w:eastAsia="宋体" w:cs="宋体"/>
          <w:color w:val="auto"/>
          <w:sz w:val="24"/>
          <w:szCs w:val="28"/>
          <w:highlight w:val="none"/>
        </w:rPr>
      </w:pPr>
      <w:r>
        <w:rPr>
          <w:rFonts w:hint="eastAsia" w:ascii="宋体" w:hAnsi="宋体" w:eastAsia="宋体" w:cs="Times New Roman"/>
          <w:sz w:val="24"/>
          <w:szCs w:val="24"/>
          <w:lang w:eastAsia="zh-CN"/>
        </w:rPr>
        <w:t>投标供应商具有多参数水质监测仪（</w:t>
      </w:r>
      <w:r>
        <w:rPr>
          <w:rFonts w:hint="eastAsia" w:ascii="宋体" w:hAnsi="宋体" w:eastAsia="宋体" w:cs="宋体"/>
          <w:bCs/>
          <w:color w:val="auto"/>
          <w:sz w:val="24"/>
          <w:szCs w:val="24"/>
          <w:highlight w:val="none"/>
          <w:lang w:val="en-US" w:eastAsia="zh-CN"/>
        </w:rPr>
        <w:t>检测指标包括氨氮、溶解氧</w:t>
      </w:r>
      <w:r>
        <w:rPr>
          <w:rFonts w:hint="eastAsia" w:ascii="宋体" w:hAnsi="宋体" w:eastAsia="宋体" w:cs="Times New Roman"/>
          <w:sz w:val="24"/>
          <w:szCs w:val="24"/>
          <w:lang w:eastAsia="zh-CN"/>
        </w:rPr>
        <w:t>）的，有一台得</w:t>
      </w:r>
      <w:r>
        <w:rPr>
          <w:rFonts w:hint="eastAsia" w:ascii="宋体" w:hAnsi="宋体" w:eastAsia="宋体" w:cs="Times New Roman"/>
          <w:sz w:val="24"/>
          <w:szCs w:val="24"/>
          <w:lang w:val="en-US" w:eastAsia="zh-CN"/>
        </w:rPr>
        <w:t>2</w:t>
      </w:r>
      <w:r>
        <w:rPr>
          <w:rFonts w:hint="eastAsia" w:ascii="宋体" w:hAnsi="宋体" w:eastAsia="宋体" w:cs="Times New Roman"/>
          <w:sz w:val="24"/>
          <w:szCs w:val="24"/>
          <w:lang w:eastAsia="zh-CN"/>
        </w:rPr>
        <w:t>分，具有流速检测仪的，有一台得2分，本项最高得</w:t>
      </w:r>
      <w:r>
        <w:rPr>
          <w:rFonts w:hint="eastAsia" w:ascii="宋体" w:hAnsi="宋体" w:eastAsia="宋体" w:cs="Times New Roman"/>
          <w:sz w:val="24"/>
          <w:szCs w:val="24"/>
          <w:lang w:val="en-US" w:eastAsia="zh-CN"/>
        </w:rPr>
        <w:t>4</w:t>
      </w:r>
      <w:r>
        <w:rPr>
          <w:rFonts w:hint="eastAsia" w:ascii="宋体" w:hAnsi="宋体" w:eastAsia="宋体" w:cs="Times New Roman"/>
          <w:sz w:val="24"/>
          <w:szCs w:val="24"/>
          <w:lang w:eastAsia="zh-CN"/>
        </w:rPr>
        <w:t>分。</w:t>
      </w:r>
      <w:r>
        <w:rPr>
          <w:rFonts w:hint="eastAsia" w:ascii="宋体" w:hAnsi="宋体" w:eastAsia="宋体" w:cs="Times New Roman"/>
          <w:b/>
          <w:bCs/>
          <w:sz w:val="24"/>
          <w:szCs w:val="24"/>
          <w:lang w:eastAsia="zh-CN"/>
        </w:rPr>
        <w:t>（自有设备提供设备图片、购置发票原件的扫描件</w:t>
      </w:r>
      <w:r>
        <w:rPr>
          <w:rFonts w:hint="eastAsia" w:ascii="宋体" w:hAnsi="宋体" w:eastAsia="宋体" w:cs="宋体"/>
          <w:b/>
          <w:bCs/>
          <w:color w:val="auto"/>
          <w:sz w:val="24"/>
          <w:szCs w:val="24"/>
          <w:highlight w:val="none"/>
          <w:lang w:val="en-US" w:eastAsia="zh-CN"/>
        </w:rPr>
        <w:t>盖公章或电子公章并</w:t>
      </w:r>
      <w:r>
        <w:rPr>
          <w:rFonts w:hint="eastAsia" w:ascii="宋体" w:hAnsi="宋体" w:eastAsia="宋体" w:cs="Times New Roman"/>
          <w:b/>
          <w:bCs/>
          <w:sz w:val="24"/>
          <w:szCs w:val="24"/>
          <w:lang w:eastAsia="zh-CN"/>
        </w:rPr>
        <w:t>上传至</w:t>
      </w:r>
      <w:r>
        <w:rPr>
          <w:rFonts w:hint="eastAsia" w:ascii="宋体" w:hAnsi="宋体" w:eastAsia="宋体" w:cs="宋体"/>
          <w:b/>
          <w:bCs/>
          <w:color w:val="auto"/>
          <w:sz w:val="24"/>
          <w:szCs w:val="24"/>
          <w:highlight w:val="none"/>
        </w:rPr>
        <w:t>投标文件</w:t>
      </w:r>
      <w:r>
        <w:rPr>
          <w:rFonts w:hint="eastAsia" w:ascii="宋体" w:hAnsi="宋体" w:eastAsia="宋体" w:cs="Times New Roman"/>
          <w:b/>
          <w:bCs/>
          <w:sz w:val="24"/>
          <w:szCs w:val="24"/>
          <w:lang w:eastAsia="zh-CN"/>
        </w:rPr>
        <w:t>中；租赁设备提供设备图片、租赁协议、购置发票原件的扫描件</w:t>
      </w:r>
      <w:r>
        <w:rPr>
          <w:rFonts w:hint="eastAsia" w:ascii="宋体" w:hAnsi="宋体" w:eastAsia="宋体" w:cs="宋体"/>
          <w:b/>
          <w:bCs/>
          <w:color w:val="auto"/>
          <w:sz w:val="24"/>
          <w:szCs w:val="24"/>
          <w:highlight w:val="none"/>
          <w:lang w:val="en-US" w:eastAsia="zh-CN"/>
        </w:rPr>
        <w:t>盖公章或电子公章并</w:t>
      </w:r>
      <w:r>
        <w:rPr>
          <w:rFonts w:hint="eastAsia" w:ascii="宋体" w:hAnsi="宋体" w:eastAsia="宋体" w:cs="Times New Roman"/>
          <w:b/>
          <w:bCs/>
          <w:sz w:val="24"/>
          <w:szCs w:val="24"/>
          <w:lang w:eastAsia="zh-CN"/>
        </w:rPr>
        <w:t>上传至</w:t>
      </w:r>
      <w:r>
        <w:rPr>
          <w:rFonts w:hint="eastAsia" w:ascii="宋体" w:hAnsi="宋体" w:eastAsia="宋体" w:cs="宋体"/>
          <w:b/>
          <w:bCs/>
          <w:color w:val="auto"/>
          <w:sz w:val="24"/>
          <w:szCs w:val="24"/>
          <w:highlight w:val="none"/>
        </w:rPr>
        <w:t>投标文件</w:t>
      </w:r>
      <w:r>
        <w:rPr>
          <w:rFonts w:hint="eastAsia" w:ascii="宋体" w:hAnsi="宋体" w:eastAsia="宋体" w:cs="Times New Roman"/>
          <w:b/>
          <w:bCs/>
          <w:sz w:val="24"/>
          <w:szCs w:val="24"/>
          <w:lang w:eastAsia="zh-CN"/>
        </w:rPr>
        <w:t>中</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不提供或</w:t>
      </w:r>
      <w:r>
        <w:rPr>
          <w:rFonts w:hint="eastAsia" w:ascii="宋体" w:hAnsi="宋体" w:eastAsia="宋体" w:cs="宋体"/>
          <w:b/>
          <w:bCs/>
          <w:color w:val="auto"/>
          <w:sz w:val="24"/>
          <w:szCs w:val="24"/>
          <w:highlight w:val="none"/>
        </w:rPr>
        <w:t>未按要求提供</w:t>
      </w:r>
      <w:r>
        <w:rPr>
          <w:rFonts w:hint="eastAsia" w:ascii="宋体" w:hAnsi="宋体" w:eastAsia="宋体" w:cs="宋体"/>
          <w:b/>
          <w:bCs/>
          <w:color w:val="auto"/>
          <w:sz w:val="24"/>
          <w:szCs w:val="24"/>
          <w:highlight w:val="none"/>
          <w:lang w:val="en-US" w:eastAsia="zh-CN"/>
        </w:rPr>
        <w:t>的</w:t>
      </w:r>
      <w:r>
        <w:rPr>
          <w:rFonts w:hint="eastAsia" w:ascii="宋体" w:hAnsi="宋体" w:eastAsia="宋体" w:cs="宋体"/>
          <w:b/>
          <w:bCs/>
          <w:color w:val="auto"/>
          <w:sz w:val="24"/>
          <w:szCs w:val="24"/>
          <w:highlight w:val="none"/>
        </w:rPr>
        <w:t>不得分</w:t>
      </w:r>
      <w:r>
        <w:rPr>
          <w:rFonts w:hint="eastAsia" w:ascii="宋体" w:hAnsi="宋体" w:eastAsia="宋体" w:cs="Times New Roman"/>
          <w:b/>
          <w:bCs/>
          <w:sz w:val="24"/>
          <w:szCs w:val="24"/>
          <w:lang w:eastAsia="zh-CN"/>
        </w:rPr>
        <w:t>）</w:t>
      </w:r>
    </w:p>
    <w:p w14:paraId="1AB5DB0C">
      <w:pPr>
        <w:keepNext w:val="0"/>
        <w:keepLines w:val="0"/>
        <w:pageBreakBefore w:val="0"/>
        <w:widowControl w:val="0"/>
        <w:spacing w:line="360" w:lineRule="auto"/>
        <w:ind w:left="0"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3.技术文件（</w:t>
      </w:r>
      <w:r>
        <w:rPr>
          <w:rFonts w:hint="eastAsia" w:ascii="宋体" w:hAnsi="宋体" w:eastAsia="宋体" w:cs="宋体"/>
          <w:b/>
          <w:bCs/>
          <w:color w:val="auto"/>
          <w:sz w:val="24"/>
          <w:szCs w:val="24"/>
          <w:highlight w:val="none"/>
          <w:lang w:val="en-US" w:eastAsia="zh-CN"/>
        </w:rPr>
        <w:t>5</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分）</w:t>
      </w:r>
    </w:p>
    <w:p w14:paraId="4BEFF6BA">
      <w:pPr>
        <w:pStyle w:val="16"/>
        <w:spacing w:line="360" w:lineRule="auto"/>
        <w:ind w:firstLine="482"/>
        <w:rPr>
          <w:rFonts w:hint="eastAsia" w:ascii="宋体" w:hAnsi="宋体" w:eastAsia="宋体"/>
          <w:b/>
          <w:sz w:val="24"/>
          <w:szCs w:val="24"/>
        </w:rPr>
      </w:pPr>
      <w:r>
        <w:rPr>
          <w:rFonts w:hint="eastAsia" w:ascii="宋体" w:hAnsi="宋体" w:eastAsia="宋体"/>
          <w:b/>
          <w:sz w:val="24"/>
          <w:szCs w:val="24"/>
        </w:rPr>
        <w:t>1）项目水体现状、目标及存在问题分析（12分）</w:t>
      </w:r>
    </w:p>
    <w:p w14:paraId="0920EE34">
      <w:pPr>
        <w:tabs>
          <w:tab w:val="left" w:pos="1365"/>
        </w:tabs>
        <w:spacing w:line="470" w:lineRule="exact"/>
        <w:ind w:firstLine="480"/>
        <w:rPr>
          <w:rFonts w:hint="eastAsia" w:ascii="宋体" w:hAnsi="宋体"/>
          <w:sz w:val="24"/>
        </w:rPr>
      </w:pPr>
      <w:r>
        <w:rPr>
          <w:rFonts w:hint="eastAsia" w:ascii="宋体" w:hAnsi="宋体"/>
          <w:sz w:val="24"/>
        </w:rPr>
        <w:t>①项目现状调研分析（4分）</w:t>
      </w:r>
    </w:p>
    <w:p w14:paraId="6051D2BF">
      <w:pPr>
        <w:tabs>
          <w:tab w:val="left" w:pos="1365"/>
        </w:tabs>
        <w:spacing w:line="470" w:lineRule="exact"/>
        <w:ind w:firstLine="480"/>
        <w:rPr>
          <w:rFonts w:hint="eastAsia" w:ascii="宋体" w:hAnsi="宋体"/>
          <w:sz w:val="24"/>
        </w:rPr>
      </w:pPr>
      <w:r>
        <w:rPr>
          <w:rFonts w:hint="eastAsia" w:ascii="宋体" w:hAnsi="宋体"/>
          <w:sz w:val="24"/>
        </w:rPr>
        <w:t>②投标人对项目目标的整体理解（4分）</w:t>
      </w:r>
    </w:p>
    <w:p w14:paraId="1A541F91">
      <w:pPr>
        <w:tabs>
          <w:tab w:val="left" w:pos="1365"/>
        </w:tabs>
        <w:spacing w:line="470" w:lineRule="exact"/>
        <w:ind w:firstLine="480"/>
        <w:rPr>
          <w:rFonts w:hint="eastAsia" w:ascii="宋体" w:hAnsi="宋体"/>
          <w:sz w:val="24"/>
        </w:rPr>
      </w:pPr>
      <w:r>
        <w:rPr>
          <w:rFonts w:hint="eastAsia" w:ascii="宋体" w:hAnsi="宋体"/>
          <w:sz w:val="24"/>
        </w:rPr>
        <w:t>③项目水体存在问题、维护难点分析及措施（4分）</w:t>
      </w:r>
    </w:p>
    <w:p w14:paraId="18D28991">
      <w:pPr>
        <w:tabs>
          <w:tab w:val="left" w:pos="1365"/>
        </w:tabs>
        <w:spacing w:line="470" w:lineRule="exact"/>
        <w:ind w:firstLine="480"/>
        <w:rPr>
          <w:rFonts w:hint="eastAsia" w:ascii="宋体" w:hAnsi="宋体"/>
          <w:sz w:val="24"/>
        </w:rPr>
      </w:pPr>
      <w:r>
        <w:rPr>
          <w:rFonts w:hint="eastAsia" w:ascii="宋体" w:hAnsi="宋体"/>
          <w:sz w:val="24"/>
        </w:rPr>
        <w:t>上述内容每有一项分析透彻</w:t>
      </w:r>
      <w:r>
        <w:rPr>
          <w:rFonts w:hint="eastAsia" w:ascii="宋体" w:hAnsi="宋体" w:cs="宋体"/>
          <w:spacing w:val="1"/>
          <w:sz w:val="24"/>
          <w:szCs w:val="24"/>
          <w:lang w:eastAsia="zh-CN"/>
        </w:rPr>
        <w:t>内容翔实</w:t>
      </w:r>
      <w:r>
        <w:rPr>
          <w:rFonts w:ascii="宋体" w:hAnsi="宋体" w:eastAsia="宋体" w:cs="宋体"/>
          <w:spacing w:val="1"/>
          <w:sz w:val="24"/>
          <w:szCs w:val="24"/>
        </w:rPr>
        <w:t>、需求贴合度高且条理清晰</w:t>
      </w:r>
      <w:r>
        <w:rPr>
          <w:rFonts w:hint="eastAsia" w:ascii="宋体" w:hAnsi="宋体" w:eastAsia="宋体" w:cs="宋体"/>
          <w:spacing w:val="1"/>
          <w:sz w:val="24"/>
          <w:szCs w:val="24"/>
          <w:lang w:eastAsia="zh-CN"/>
        </w:rPr>
        <w:t>、</w:t>
      </w:r>
      <w:r>
        <w:rPr>
          <w:rFonts w:hint="eastAsia" w:ascii="宋体" w:hAnsi="宋体"/>
          <w:sz w:val="24"/>
        </w:rPr>
        <w:t>满足采购需求的得</w:t>
      </w:r>
      <w:r>
        <w:rPr>
          <w:rFonts w:hint="eastAsia" w:ascii="宋体" w:hAnsi="宋体"/>
          <w:sz w:val="24"/>
          <w:lang w:val="en-US" w:eastAsia="zh-CN"/>
        </w:rPr>
        <w:t>4</w:t>
      </w:r>
      <w:r>
        <w:rPr>
          <w:rFonts w:hint="eastAsia" w:ascii="宋体" w:hAnsi="宋体"/>
          <w:sz w:val="24"/>
        </w:rPr>
        <w:t>分；</w:t>
      </w:r>
      <w:r>
        <w:rPr>
          <w:rFonts w:ascii="宋体" w:hAnsi="宋体" w:eastAsia="宋体" w:cs="宋体"/>
          <w:spacing w:val="-4"/>
          <w:sz w:val="24"/>
          <w:szCs w:val="24"/>
        </w:rPr>
        <w:t>内容较为简单、可行</w:t>
      </w:r>
      <w:r>
        <w:rPr>
          <w:rFonts w:hint="eastAsia" w:ascii="宋体" w:hAnsi="宋体" w:eastAsia="宋体" w:cs="宋体"/>
          <w:spacing w:val="-4"/>
          <w:sz w:val="24"/>
          <w:szCs w:val="24"/>
          <w:lang w:val="en-US" w:eastAsia="zh-CN"/>
        </w:rPr>
        <w:t>性及</w:t>
      </w:r>
      <w:r>
        <w:rPr>
          <w:rFonts w:ascii="宋体" w:hAnsi="宋体" w:eastAsia="宋体" w:cs="宋体"/>
          <w:spacing w:val="-4"/>
          <w:sz w:val="24"/>
          <w:szCs w:val="24"/>
        </w:rPr>
        <w:t>细节</w:t>
      </w:r>
      <w:r>
        <w:rPr>
          <w:rFonts w:hint="eastAsia" w:ascii="宋体" w:hAnsi="宋体" w:cs="宋体"/>
          <w:spacing w:val="-4"/>
          <w:sz w:val="24"/>
          <w:szCs w:val="24"/>
          <w:lang w:eastAsia="zh-CN"/>
        </w:rPr>
        <w:t>有待</w:t>
      </w:r>
      <w:r>
        <w:rPr>
          <w:rFonts w:ascii="宋体" w:hAnsi="宋体" w:eastAsia="宋体" w:cs="宋体"/>
          <w:spacing w:val="-4"/>
          <w:sz w:val="24"/>
          <w:szCs w:val="24"/>
        </w:rPr>
        <w:t>完善</w:t>
      </w:r>
      <w:r>
        <w:rPr>
          <w:rFonts w:hint="eastAsia" w:ascii="宋体" w:hAnsi="宋体"/>
          <w:sz w:val="24"/>
        </w:rPr>
        <w:t>的得2分；</w:t>
      </w:r>
      <w:r>
        <w:rPr>
          <w:rFonts w:ascii="宋体" w:hAnsi="宋体" w:eastAsia="宋体" w:cs="宋体"/>
          <w:spacing w:val="-4"/>
          <w:sz w:val="24"/>
          <w:szCs w:val="24"/>
        </w:rPr>
        <w:t>内容</w:t>
      </w:r>
      <w:r>
        <w:rPr>
          <w:rFonts w:hint="eastAsia" w:ascii="宋体" w:hAnsi="宋体"/>
          <w:sz w:val="24"/>
        </w:rPr>
        <w:t>一般</w:t>
      </w:r>
      <w:r>
        <w:rPr>
          <w:rFonts w:hint="eastAsia" w:ascii="宋体" w:hAnsi="宋体"/>
          <w:sz w:val="24"/>
          <w:lang w:eastAsia="zh-CN"/>
        </w:rPr>
        <w:t>、</w:t>
      </w:r>
      <w:r>
        <w:rPr>
          <w:rFonts w:ascii="宋体" w:hAnsi="宋体" w:eastAsia="宋体" w:cs="宋体"/>
          <w:spacing w:val="-4"/>
          <w:sz w:val="24"/>
          <w:szCs w:val="24"/>
        </w:rPr>
        <w:t>可行</w:t>
      </w:r>
      <w:r>
        <w:rPr>
          <w:rFonts w:hint="eastAsia" w:ascii="宋体" w:hAnsi="宋体" w:eastAsia="宋体" w:cs="宋体"/>
          <w:spacing w:val="-4"/>
          <w:sz w:val="24"/>
          <w:szCs w:val="24"/>
          <w:lang w:val="en-US" w:eastAsia="zh-CN"/>
        </w:rPr>
        <w:t>性及</w:t>
      </w:r>
      <w:r>
        <w:rPr>
          <w:rFonts w:ascii="宋体" w:hAnsi="宋体" w:eastAsia="宋体" w:cs="宋体"/>
          <w:spacing w:val="-4"/>
          <w:sz w:val="24"/>
          <w:szCs w:val="24"/>
        </w:rPr>
        <w:t>细节</w:t>
      </w:r>
      <w:r>
        <w:rPr>
          <w:rFonts w:hint="eastAsia" w:ascii="宋体" w:hAnsi="宋体" w:cs="宋体"/>
          <w:spacing w:val="-4"/>
          <w:sz w:val="24"/>
          <w:szCs w:val="24"/>
          <w:lang w:val="en-US" w:eastAsia="zh-CN"/>
        </w:rPr>
        <w:t>一般</w:t>
      </w:r>
      <w:r>
        <w:rPr>
          <w:rFonts w:hint="eastAsia" w:ascii="宋体" w:hAnsi="宋体"/>
          <w:sz w:val="24"/>
        </w:rPr>
        <w:t>的得1分。每有一项内容未进行阐述或不满足采购需求的，该项不得分；本大项最高得</w:t>
      </w:r>
      <w:r>
        <w:rPr>
          <w:rFonts w:hint="eastAsia" w:ascii="宋体" w:hAnsi="宋体"/>
          <w:sz w:val="24"/>
          <w:lang w:val="en-US" w:eastAsia="zh-CN"/>
        </w:rPr>
        <w:t>12</w:t>
      </w:r>
      <w:r>
        <w:rPr>
          <w:rFonts w:hint="eastAsia" w:ascii="宋体" w:hAnsi="宋体"/>
          <w:sz w:val="24"/>
        </w:rPr>
        <w:t>分。</w:t>
      </w:r>
    </w:p>
    <w:p w14:paraId="6533E2A3">
      <w:pPr>
        <w:pStyle w:val="16"/>
        <w:spacing w:line="360" w:lineRule="auto"/>
        <w:ind w:firstLine="482"/>
        <w:rPr>
          <w:rFonts w:hint="eastAsia" w:ascii="宋体" w:hAnsi="宋体" w:eastAsia="宋体"/>
          <w:b/>
          <w:sz w:val="24"/>
          <w:szCs w:val="24"/>
        </w:rPr>
      </w:pPr>
      <w:r>
        <w:rPr>
          <w:rFonts w:hint="eastAsia" w:ascii="宋体" w:hAnsi="宋体" w:eastAsia="宋体"/>
          <w:b/>
          <w:sz w:val="24"/>
          <w:szCs w:val="24"/>
        </w:rPr>
        <w:t>2）项目维护方案及技术分析（15分）</w:t>
      </w:r>
    </w:p>
    <w:p w14:paraId="6CB9DB04">
      <w:pPr>
        <w:tabs>
          <w:tab w:val="left" w:pos="1365"/>
        </w:tabs>
        <w:spacing w:line="470" w:lineRule="exact"/>
        <w:ind w:firstLine="480"/>
        <w:rPr>
          <w:rFonts w:hint="eastAsia" w:ascii="宋体" w:hAnsi="宋体"/>
          <w:sz w:val="24"/>
        </w:rPr>
      </w:pPr>
      <w:r>
        <w:rPr>
          <w:rFonts w:hint="eastAsia" w:ascii="宋体" w:hAnsi="宋体"/>
          <w:sz w:val="24"/>
        </w:rPr>
        <w:t>①投标供应商对项目的整体方案分析（5分）</w:t>
      </w:r>
    </w:p>
    <w:p w14:paraId="7AB4E009">
      <w:pPr>
        <w:tabs>
          <w:tab w:val="left" w:pos="1365"/>
        </w:tabs>
        <w:spacing w:line="470" w:lineRule="exact"/>
        <w:ind w:firstLine="480"/>
        <w:rPr>
          <w:rFonts w:hint="eastAsia" w:ascii="宋体" w:hAnsi="宋体"/>
          <w:sz w:val="24"/>
        </w:rPr>
      </w:pPr>
      <w:r>
        <w:rPr>
          <w:rFonts w:hint="eastAsia" w:ascii="宋体" w:hAnsi="宋体"/>
          <w:sz w:val="24"/>
        </w:rPr>
        <w:t>②项目维护思路与技术分析（5分）</w:t>
      </w:r>
    </w:p>
    <w:p w14:paraId="2D76EEBB">
      <w:pPr>
        <w:tabs>
          <w:tab w:val="left" w:pos="1365"/>
        </w:tabs>
        <w:spacing w:line="470" w:lineRule="exact"/>
        <w:ind w:firstLine="480"/>
        <w:rPr>
          <w:rFonts w:hint="eastAsia" w:ascii="宋体" w:hAnsi="宋体"/>
          <w:sz w:val="24"/>
        </w:rPr>
      </w:pPr>
      <w:r>
        <w:rPr>
          <w:rFonts w:hint="eastAsia" w:ascii="宋体" w:hAnsi="宋体"/>
          <w:sz w:val="24"/>
        </w:rPr>
        <w:t>③项目实施方案满足相关技术规范、标准（5分</w:t>
      </w:r>
      <w:r>
        <w:rPr>
          <w:rFonts w:hint="eastAsia" w:ascii="宋体" w:hAnsi="宋体"/>
          <w:sz w:val="24"/>
          <w:lang w:eastAsia="zh-CN"/>
        </w:rPr>
        <w:t>）</w:t>
      </w:r>
    </w:p>
    <w:p w14:paraId="1A85239B">
      <w:pPr>
        <w:tabs>
          <w:tab w:val="left" w:pos="1365"/>
        </w:tabs>
        <w:spacing w:line="470" w:lineRule="exact"/>
        <w:ind w:firstLine="480"/>
        <w:rPr>
          <w:rFonts w:hint="eastAsia" w:ascii="宋体" w:hAnsi="宋体"/>
          <w:sz w:val="24"/>
        </w:rPr>
      </w:pPr>
      <w:r>
        <w:rPr>
          <w:rFonts w:hint="eastAsia" w:ascii="宋体" w:hAnsi="宋体"/>
          <w:sz w:val="24"/>
        </w:rPr>
        <w:t>上述内容每有一项分析透彻</w:t>
      </w:r>
      <w:r>
        <w:rPr>
          <w:rFonts w:hint="eastAsia" w:ascii="宋体" w:hAnsi="宋体" w:cs="宋体"/>
          <w:spacing w:val="1"/>
          <w:sz w:val="24"/>
          <w:szCs w:val="24"/>
          <w:lang w:eastAsia="zh-CN"/>
        </w:rPr>
        <w:t>内容翔实</w:t>
      </w:r>
      <w:r>
        <w:rPr>
          <w:rFonts w:ascii="宋体" w:hAnsi="宋体" w:eastAsia="宋体" w:cs="宋体"/>
          <w:spacing w:val="1"/>
          <w:sz w:val="24"/>
          <w:szCs w:val="24"/>
        </w:rPr>
        <w:t>、需求贴合度高且条理清晰</w:t>
      </w:r>
      <w:r>
        <w:rPr>
          <w:rFonts w:hint="eastAsia" w:ascii="宋体" w:hAnsi="宋体" w:eastAsia="宋体" w:cs="宋体"/>
          <w:spacing w:val="1"/>
          <w:sz w:val="24"/>
          <w:szCs w:val="24"/>
          <w:lang w:eastAsia="zh-CN"/>
        </w:rPr>
        <w:t>、</w:t>
      </w:r>
      <w:r>
        <w:rPr>
          <w:rFonts w:hint="eastAsia" w:ascii="宋体" w:hAnsi="宋体"/>
          <w:sz w:val="24"/>
        </w:rPr>
        <w:t>满足采购需求的得</w:t>
      </w:r>
      <w:r>
        <w:rPr>
          <w:rFonts w:hint="eastAsia" w:ascii="宋体" w:hAnsi="宋体"/>
          <w:sz w:val="24"/>
          <w:lang w:val="en-US" w:eastAsia="zh-CN"/>
        </w:rPr>
        <w:t>5</w:t>
      </w:r>
      <w:r>
        <w:rPr>
          <w:rFonts w:hint="eastAsia" w:ascii="宋体" w:hAnsi="宋体"/>
          <w:sz w:val="24"/>
        </w:rPr>
        <w:t>分；</w:t>
      </w:r>
      <w:r>
        <w:rPr>
          <w:rFonts w:ascii="宋体" w:hAnsi="宋体" w:eastAsia="宋体" w:cs="宋体"/>
          <w:spacing w:val="-4"/>
          <w:sz w:val="24"/>
          <w:szCs w:val="24"/>
        </w:rPr>
        <w:t>内容较为简单、可行</w:t>
      </w:r>
      <w:r>
        <w:rPr>
          <w:rFonts w:hint="eastAsia" w:ascii="宋体" w:hAnsi="宋体" w:eastAsia="宋体" w:cs="宋体"/>
          <w:spacing w:val="-4"/>
          <w:sz w:val="24"/>
          <w:szCs w:val="24"/>
          <w:lang w:val="en-US" w:eastAsia="zh-CN"/>
        </w:rPr>
        <w:t>性及</w:t>
      </w:r>
      <w:r>
        <w:rPr>
          <w:rFonts w:ascii="宋体" w:hAnsi="宋体" w:eastAsia="宋体" w:cs="宋体"/>
          <w:spacing w:val="-4"/>
          <w:sz w:val="24"/>
          <w:szCs w:val="24"/>
        </w:rPr>
        <w:t>细节</w:t>
      </w:r>
      <w:r>
        <w:rPr>
          <w:rFonts w:hint="eastAsia" w:ascii="宋体" w:hAnsi="宋体" w:cs="宋体"/>
          <w:spacing w:val="-4"/>
          <w:sz w:val="24"/>
          <w:szCs w:val="24"/>
          <w:lang w:eastAsia="zh-CN"/>
        </w:rPr>
        <w:t>有待</w:t>
      </w:r>
      <w:r>
        <w:rPr>
          <w:rFonts w:ascii="宋体" w:hAnsi="宋体" w:eastAsia="宋体" w:cs="宋体"/>
          <w:spacing w:val="-4"/>
          <w:sz w:val="24"/>
          <w:szCs w:val="24"/>
        </w:rPr>
        <w:t>完善</w:t>
      </w:r>
      <w:r>
        <w:rPr>
          <w:rFonts w:hint="eastAsia" w:ascii="宋体" w:hAnsi="宋体"/>
          <w:sz w:val="24"/>
        </w:rPr>
        <w:t>的得</w:t>
      </w:r>
      <w:r>
        <w:rPr>
          <w:rFonts w:hint="eastAsia" w:ascii="宋体" w:hAnsi="宋体"/>
          <w:sz w:val="24"/>
          <w:lang w:val="en-US" w:eastAsia="zh-CN"/>
        </w:rPr>
        <w:t>3</w:t>
      </w:r>
      <w:r>
        <w:rPr>
          <w:rFonts w:hint="eastAsia" w:ascii="宋体" w:hAnsi="宋体"/>
          <w:sz w:val="24"/>
        </w:rPr>
        <w:t>分；</w:t>
      </w:r>
      <w:r>
        <w:rPr>
          <w:rFonts w:ascii="宋体" w:hAnsi="宋体" w:eastAsia="宋体" w:cs="宋体"/>
          <w:spacing w:val="-4"/>
          <w:sz w:val="24"/>
          <w:szCs w:val="24"/>
        </w:rPr>
        <w:t>内容</w:t>
      </w:r>
      <w:r>
        <w:rPr>
          <w:rFonts w:hint="eastAsia" w:ascii="宋体" w:hAnsi="宋体"/>
          <w:sz w:val="24"/>
        </w:rPr>
        <w:t>一般</w:t>
      </w:r>
      <w:r>
        <w:rPr>
          <w:rFonts w:hint="eastAsia" w:ascii="宋体" w:hAnsi="宋体"/>
          <w:sz w:val="24"/>
          <w:lang w:eastAsia="zh-CN"/>
        </w:rPr>
        <w:t>、</w:t>
      </w:r>
      <w:r>
        <w:rPr>
          <w:rFonts w:ascii="宋体" w:hAnsi="宋体" w:eastAsia="宋体" w:cs="宋体"/>
          <w:spacing w:val="-4"/>
          <w:sz w:val="24"/>
          <w:szCs w:val="24"/>
        </w:rPr>
        <w:t>可行</w:t>
      </w:r>
      <w:r>
        <w:rPr>
          <w:rFonts w:hint="eastAsia" w:ascii="宋体" w:hAnsi="宋体" w:eastAsia="宋体" w:cs="宋体"/>
          <w:spacing w:val="-4"/>
          <w:sz w:val="24"/>
          <w:szCs w:val="24"/>
          <w:lang w:val="en-US" w:eastAsia="zh-CN"/>
        </w:rPr>
        <w:t>性及</w:t>
      </w:r>
      <w:r>
        <w:rPr>
          <w:rFonts w:ascii="宋体" w:hAnsi="宋体" w:eastAsia="宋体" w:cs="宋体"/>
          <w:spacing w:val="-4"/>
          <w:sz w:val="24"/>
          <w:szCs w:val="24"/>
        </w:rPr>
        <w:t>细节</w:t>
      </w:r>
      <w:r>
        <w:rPr>
          <w:rFonts w:hint="eastAsia" w:ascii="宋体" w:hAnsi="宋体" w:cs="宋体"/>
          <w:spacing w:val="-4"/>
          <w:sz w:val="24"/>
          <w:szCs w:val="24"/>
          <w:lang w:val="en-US" w:eastAsia="zh-CN"/>
        </w:rPr>
        <w:t>一般</w:t>
      </w:r>
      <w:r>
        <w:rPr>
          <w:rFonts w:hint="eastAsia" w:ascii="宋体" w:hAnsi="宋体"/>
          <w:sz w:val="24"/>
        </w:rPr>
        <w:t>的得1分。每有一项内容未进行阐述或不满足采购需求的，该项不得分；本大项最高得</w:t>
      </w:r>
      <w:r>
        <w:rPr>
          <w:rFonts w:hint="eastAsia" w:ascii="宋体" w:hAnsi="宋体"/>
          <w:sz w:val="24"/>
          <w:lang w:val="en-US" w:eastAsia="zh-CN"/>
        </w:rPr>
        <w:t>15</w:t>
      </w:r>
      <w:r>
        <w:rPr>
          <w:rFonts w:hint="eastAsia" w:ascii="宋体" w:hAnsi="宋体"/>
          <w:sz w:val="24"/>
        </w:rPr>
        <w:t>分。</w:t>
      </w:r>
    </w:p>
    <w:p w14:paraId="644BB391">
      <w:pPr>
        <w:pStyle w:val="16"/>
        <w:spacing w:line="360" w:lineRule="auto"/>
        <w:ind w:firstLine="482"/>
        <w:rPr>
          <w:rFonts w:hint="eastAsia" w:ascii="宋体" w:hAnsi="宋体" w:eastAsia="宋体"/>
          <w:b/>
          <w:sz w:val="24"/>
          <w:szCs w:val="24"/>
        </w:rPr>
      </w:pPr>
      <w:r>
        <w:rPr>
          <w:rFonts w:hint="eastAsia" w:ascii="宋体" w:hAnsi="宋体" w:eastAsia="宋体"/>
          <w:b/>
          <w:sz w:val="24"/>
          <w:szCs w:val="24"/>
        </w:rPr>
        <w:t>3）项目日常维护质量保证体系及措施（10分）</w:t>
      </w:r>
    </w:p>
    <w:p w14:paraId="0768D2BB">
      <w:pPr>
        <w:tabs>
          <w:tab w:val="left" w:pos="1365"/>
        </w:tabs>
        <w:spacing w:line="470" w:lineRule="exact"/>
        <w:ind w:firstLine="480"/>
        <w:rPr>
          <w:rFonts w:hint="eastAsia" w:ascii="宋体" w:hAnsi="宋体"/>
          <w:sz w:val="24"/>
        </w:rPr>
      </w:pPr>
      <w:r>
        <w:rPr>
          <w:rFonts w:hint="eastAsia" w:ascii="宋体" w:hAnsi="宋体"/>
          <w:sz w:val="24"/>
        </w:rPr>
        <w:t>①日常维护质量保证体系（5分）</w:t>
      </w:r>
    </w:p>
    <w:p w14:paraId="2B1C9CA3">
      <w:pPr>
        <w:tabs>
          <w:tab w:val="left" w:pos="1365"/>
        </w:tabs>
        <w:spacing w:line="470" w:lineRule="exact"/>
        <w:ind w:firstLine="480"/>
        <w:rPr>
          <w:rFonts w:hint="eastAsia" w:ascii="宋体" w:hAnsi="宋体"/>
          <w:sz w:val="24"/>
        </w:rPr>
      </w:pPr>
      <w:r>
        <w:rPr>
          <w:rFonts w:hint="eastAsia" w:ascii="宋体" w:hAnsi="宋体"/>
          <w:sz w:val="24"/>
        </w:rPr>
        <w:t>②日常维护的措施（5分）</w:t>
      </w:r>
    </w:p>
    <w:p w14:paraId="140D942E">
      <w:pPr>
        <w:tabs>
          <w:tab w:val="left" w:pos="1365"/>
        </w:tabs>
        <w:spacing w:line="470" w:lineRule="exact"/>
        <w:ind w:firstLine="480"/>
        <w:rPr>
          <w:rFonts w:hint="eastAsia" w:ascii="宋体" w:hAnsi="宋体"/>
          <w:sz w:val="24"/>
        </w:rPr>
      </w:pPr>
      <w:r>
        <w:rPr>
          <w:rFonts w:hint="eastAsia" w:ascii="宋体" w:hAnsi="宋体"/>
          <w:sz w:val="24"/>
        </w:rPr>
        <w:t>上述内容每有一项分析透彻</w:t>
      </w:r>
      <w:r>
        <w:rPr>
          <w:rFonts w:hint="eastAsia" w:ascii="宋体" w:hAnsi="宋体" w:cs="宋体"/>
          <w:spacing w:val="1"/>
          <w:sz w:val="24"/>
          <w:szCs w:val="24"/>
          <w:lang w:eastAsia="zh-CN"/>
        </w:rPr>
        <w:t>内容翔实</w:t>
      </w:r>
      <w:r>
        <w:rPr>
          <w:rFonts w:ascii="宋体" w:hAnsi="宋体" w:eastAsia="宋体" w:cs="宋体"/>
          <w:spacing w:val="1"/>
          <w:sz w:val="24"/>
          <w:szCs w:val="24"/>
        </w:rPr>
        <w:t>、需求贴合度高且条理清晰</w:t>
      </w:r>
      <w:r>
        <w:rPr>
          <w:rFonts w:hint="eastAsia" w:ascii="宋体" w:hAnsi="宋体" w:eastAsia="宋体" w:cs="宋体"/>
          <w:spacing w:val="1"/>
          <w:sz w:val="24"/>
          <w:szCs w:val="24"/>
          <w:lang w:eastAsia="zh-CN"/>
        </w:rPr>
        <w:t>、</w:t>
      </w:r>
      <w:r>
        <w:rPr>
          <w:rFonts w:hint="eastAsia" w:ascii="宋体" w:hAnsi="宋体"/>
          <w:sz w:val="24"/>
        </w:rPr>
        <w:t>满足采购需求的得</w:t>
      </w:r>
      <w:r>
        <w:rPr>
          <w:rFonts w:hint="eastAsia" w:ascii="宋体" w:hAnsi="宋体"/>
          <w:sz w:val="24"/>
          <w:lang w:val="en-US" w:eastAsia="zh-CN"/>
        </w:rPr>
        <w:t>5</w:t>
      </w:r>
      <w:r>
        <w:rPr>
          <w:rFonts w:hint="eastAsia" w:ascii="宋体" w:hAnsi="宋体"/>
          <w:sz w:val="24"/>
        </w:rPr>
        <w:t>分；</w:t>
      </w:r>
      <w:r>
        <w:rPr>
          <w:rFonts w:ascii="宋体" w:hAnsi="宋体" w:eastAsia="宋体" w:cs="宋体"/>
          <w:spacing w:val="-4"/>
          <w:sz w:val="24"/>
          <w:szCs w:val="24"/>
        </w:rPr>
        <w:t>内容较为简单、可行</w:t>
      </w:r>
      <w:r>
        <w:rPr>
          <w:rFonts w:hint="eastAsia" w:ascii="宋体" w:hAnsi="宋体" w:eastAsia="宋体" w:cs="宋体"/>
          <w:spacing w:val="-4"/>
          <w:sz w:val="24"/>
          <w:szCs w:val="24"/>
          <w:lang w:val="en-US" w:eastAsia="zh-CN"/>
        </w:rPr>
        <w:t>性及</w:t>
      </w:r>
      <w:r>
        <w:rPr>
          <w:rFonts w:ascii="宋体" w:hAnsi="宋体" w:eastAsia="宋体" w:cs="宋体"/>
          <w:spacing w:val="-4"/>
          <w:sz w:val="24"/>
          <w:szCs w:val="24"/>
        </w:rPr>
        <w:t>细节</w:t>
      </w:r>
      <w:r>
        <w:rPr>
          <w:rFonts w:hint="eastAsia" w:ascii="宋体" w:hAnsi="宋体" w:cs="宋体"/>
          <w:spacing w:val="-4"/>
          <w:sz w:val="24"/>
          <w:szCs w:val="24"/>
          <w:lang w:eastAsia="zh-CN"/>
        </w:rPr>
        <w:t>有待</w:t>
      </w:r>
      <w:r>
        <w:rPr>
          <w:rFonts w:ascii="宋体" w:hAnsi="宋体" w:eastAsia="宋体" w:cs="宋体"/>
          <w:spacing w:val="-4"/>
          <w:sz w:val="24"/>
          <w:szCs w:val="24"/>
        </w:rPr>
        <w:t>完善</w:t>
      </w:r>
      <w:r>
        <w:rPr>
          <w:rFonts w:hint="eastAsia" w:ascii="宋体" w:hAnsi="宋体"/>
          <w:sz w:val="24"/>
        </w:rPr>
        <w:t>的得</w:t>
      </w:r>
      <w:r>
        <w:rPr>
          <w:rFonts w:hint="eastAsia" w:ascii="宋体" w:hAnsi="宋体"/>
          <w:sz w:val="24"/>
          <w:lang w:val="en-US" w:eastAsia="zh-CN"/>
        </w:rPr>
        <w:t>3</w:t>
      </w:r>
      <w:r>
        <w:rPr>
          <w:rFonts w:hint="eastAsia" w:ascii="宋体" w:hAnsi="宋体"/>
          <w:sz w:val="24"/>
        </w:rPr>
        <w:t>分；</w:t>
      </w:r>
      <w:r>
        <w:rPr>
          <w:rFonts w:ascii="宋体" w:hAnsi="宋体" w:eastAsia="宋体" w:cs="宋体"/>
          <w:spacing w:val="-4"/>
          <w:sz w:val="24"/>
          <w:szCs w:val="24"/>
        </w:rPr>
        <w:t>内容</w:t>
      </w:r>
      <w:r>
        <w:rPr>
          <w:rFonts w:hint="eastAsia" w:ascii="宋体" w:hAnsi="宋体"/>
          <w:sz w:val="24"/>
        </w:rPr>
        <w:t>一般</w:t>
      </w:r>
      <w:r>
        <w:rPr>
          <w:rFonts w:hint="eastAsia" w:ascii="宋体" w:hAnsi="宋体"/>
          <w:sz w:val="24"/>
          <w:lang w:eastAsia="zh-CN"/>
        </w:rPr>
        <w:t>、</w:t>
      </w:r>
      <w:r>
        <w:rPr>
          <w:rFonts w:ascii="宋体" w:hAnsi="宋体" w:eastAsia="宋体" w:cs="宋体"/>
          <w:spacing w:val="-4"/>
          <w:sz w:val="24"/>
          <w:szCs w:val="24"/>
        </w:rPr>
        <w:t>可行</w:t>
      </w:r>
      <w:r>
        <w:rPr>
          <w:rFonts w:hint="eastAsia" w:ascii="宋体" w:hAnsi="宋体" w:eastAsia="宋体" w:cs="宋体"/>
          <w:spacing w:val="-4"/>
          <w:sz w:val="24"/>
          <w:szCs w:val="24"/>
          <w:lang w:val="en-US" w:eastAsia="zh-CN"/>
        </w:rPr>
        <w:t>性及</w:t>
      </w:r>
      <w:r>
        <w:rPr>
          <w:rFonts w:ascii="宋体" w:hAnsi="宋体" w:eastAsia="宋体" w:cs="宋体"/>
          <w:spacing w:val="-4"/>
          <w:sz w:val="24"/>
          <w:szCs w:val="24"/>
        </w:rPr>
        <w:t>细节</w:t>
      </w:r>
      <w:r>
        <w:rPr>
          <w:rFonts w:hint="eastAsia" w:ascii="宋体" w:hAnsi="宋体" w:cs="宋体"/>
          <w:spacing w:val="-4"/>
          <w:sz w:val="24"/>
          <w:szCs w:val="24"/>
          <w:lang w:val="en-US" w:eastAsia="zh-CN"/>
        </w:rPr>
        <w:t>一般</w:t>
      </w:r>
      <w:r>
        <w:rPr>
          <w:rFonts w:hint="eastAsia" w:ascii="宋体" w:hAnsi="宋体"/>
          <w:sz w:val="24"/>
        </w:rPr>
        <w:t>的得1分。每有一项内容未进行阐述或不满足采购需求的，该项不得分；本大项最高得</w:t>
      </w:r>
      <w:r>
        <w:rPr>
          <w:rFonts w:hint="eastAsia" w:ascii="宋体" w:hAnsi="宋体"/>
          <w:sz w:val="24"/>
          <w:lang w:val="en-US" w:eastAsia="zh-CN"/>
        </w:rPr>
        <w:t>10</w:t>
      </w:r>
      <w:r>
        <w:rPr>
          <w:rFonts w:hint="eastAsia" w:ascii="宋体" w:hAnsi="宋体"/>
          <w:sz w:val="24"/>
        </w:rPr>
        <w:t>分。</w:t>
      </w:r>
    </w:p>
    <w:p w14:paraId="5E6A3F7F">
      <w:pPr>
        <w:pStyle w:val="16"/>
        <w:spacing w:line="360" w:lineRule="auto"/>
        <w:ind w:firstLine="482"/>
        <w:rPr>
          <w:rFonts w:hint="eastAsia" w:ascii="宋体" w:hAnsi="宋体" w:eastAsia="宋体"/>
          <w:b/>
          <w:sz w:val="24"/>
          <w:szCs w:val="24"/>
        </w:rPr>
      </w:pPr>
      <w:r>
        <w:rPr>
          <w:rFonts w:hint="eastAsia" w:ascii="宋体" w:hAnsi="宋体" w:eastAsia="宋体"/>
          <w:b/>
          <w:sz w:val="24"/>
          <w:szCs w:val="24"/>
        </w:rPr>
        <w:t>4）应急措施方案（10分）</w:t>
      </w:r>
    </w:p>
    <w:p w14:paraId="2A8017EF">
      <w:pPr>
        <w:tabs>
          <w:tab w:val="left" w:pos="1365"/>
        </w:tabs>
        <w:spacing w:line="470" w:lineRule="exact"/>
        <w:ind w:firstLine="480"/>
        <w:rPr>
          <w:rFonts w:hint="eastAsia" w:ascii="宋体" w:hAnsi="宋体"/>
          <w:sz w:val="24"/>
        </w:rPr>
      </w:pPr>
      <w:r>
        <w:rPr>
          <w:rFonts w:hint="eastAsia" w:ascii="宋体" w:hAnsi="宋体"/>
          <w:sz w:val="24"/>
        </w:rPr>
        <w:t>①突发污染情况应对方案（5分）</w:t>
      </w:r>
    </w:p>
    <w:p w14:paraId="23E1C06C">
      <w:pPr>
        <w:tabs>
          <w:tab w:val="left" w:pos="1365"/>
        </w:tabs>
        <w:spacing w:line="470" w:lineRule="exact"/>
        <w:ind w:firstLine="480"/>
        <w:rPr>
          <w:rFonts w:hint="eastAsia" w:ascii="宋体" w:hAnsi="宋体"/>
          <w:sz w:val="24"/>
        </w:rPr>
      </w:pPr>
      <w:r>
        <w:rPr>
          <w:rFonts w:hint="eastAsia" w:ascii="宋体" w:hAnsi="宋体"/>
          <w:sz w:val="24"/>
        </w:rPr>
        <w:t>②应急预案（5分）</w:t>
      </w:r>
    </w:p>
    <w:p w14:paraId="76E336C9">
      <w:pPr>
        <w:tabs>
          <w:tab w:val="left" w:pos="1365"/>
        </w:tabs>
        <w:spacing w:line="470" w:lineRule="exact"/>
        <w:ind w:firstLine="480"/>
        <w:rPr>
          <w:rFonts w:hint="eastAsia" w:ascii="宋体" w:hAnsi="宋体"/>
          <w:sz w:val="24"/>
        </w:rPr>
      </w:pPr>
      <w:r>
        <w:rPr>
          <w:rFonts w:hint="eastAsia" w:ascii="宋体" w:hAnsi="宋体"/>
          <w:sz w:val="24"/>
        </w:rPr>
        <w:t>上述内容每有一项分析透彻</w:t>
      </w:r>
      <w:r>
        <w:rPr>
          <w:rFonts w:hint="eastAsia" w:ascii="宋体" w:hAnsi="宋体" w:cs="宋体"/>
          <w:spacing w:val="1"/>
          <w:sz w:val="24"/>
          <w:szCs w:val="24"/>
          <w:lang w:eastAsia="zh-CN"/>
        </w:rPr>
        <w:t>内容翔实</w:t>
      </w:r>
      <w:r>
        <w:rPr>
          <w:rFonts w:ascii="宋体" w:hAnsi="宋体" w:eastAsia="宋体" w:cs="宋体"/>
          <w:spacing w:val="1"/>
          <w:sz w:val="24"/>
          <w:szCs w:val="24"/>
        </w:rPr>
        <w:t>、需求贴合度高且条理清晰</w:t>
      </w:r>
      <w:r>
        <w:rPr>
          <w:rFonts w:hint="eastAsia" w:ascii="宋体" w:hAnsi="宋体" w:eastAsia="宋体" w:cs="宋体"/>
          <w:spacing w:val="1"/>
          <w:sz w:val="24"/>
          <w:szCs w:val="24"/>
          <w:lang w:eastAsia="zh-CN"/>
        </w:rPr>
        <w:t>、</w:t>
      </w:r>
      <w:r>
        <w:rPr>
          <w:rFonts w:hint="eastAsia" w:ascii="宋体" w:hAnsi="宋体"/>
          <w:sz w:val="24"/>
        </w:rPr>
        <w:t>满足采购需求的得</w:t>
      </w:r>
      <w:r>
        <w:rPr>
          <w:rFonts w:hint="eastAsia" w:ascii="宋体" w:hAnsi="宋体"/>
          <w:sz w:val="24"/>
          <w:lang w:val="en-US" w:eastAsia="zh-CN"/>
        </w:rPr>
        <w:t>5</w:t>
      </w:r>
      <w:r>
        <w:rPr>
          <w:rFonts w:hint="eastAsia" w:ascii="宋体" w:hAnsi="宋体"/>
          <w:sz w:val="24"/>
        </w:rPr>
        <w:t>分；</w:t>
      </w:r>
      <w:r>
        <w:rPr>
          <w:rFonts w:ascii="宋体" w:hAnsi="宋体" w:eastAsia="宋体" w:cs="宋体"/>
          <w:spacing w:val="-4"/>
          <w:sz w:val="24"/>
          <w:szCs w:val="24"/>
        </w:rPr>
        <w:t>内容较为简单、可行</w:t>
      </w:r>
      <w:r>
        <w:rPr>
          <w:rFonts w:hint="eastAsia" w:ascii="宋体" w:hAnsi="宋体" w:eastAsia="宋体" w:cs="宋体"/>
          <w:spacing w:val="-4"/>
          <w:sz w:val="24"/>
          <w:szCs w:val="24"/>
          <w:lang w:val="en-US" w:eastAsia="zh-CN"/>
        </w:rPr>
        <w:t>性及</w:t>
      </w:r>
      <w:r>
        <w:rPr>
          <w:rFonts w:ascii="宋体" w:hAnsi="宋体" w:eastAsia="宋体" w:cs="宋体"/>
          <w:spacing w:val="-4"/>
          <w:sz w:val="24"/>
          <w:szCs w:val="24"/>
        </w:rPr>
        <w:t>细节</w:t>
      </w:r>
      <w:r>
        <w:rPr>
          <w:rFonts w:hint="eastAsia" w:ascii="宋体" w:hAnsi="宋体" w:cs="宋体"/>
          <w:spacing w:val="-4"/>
          <w:sz w:val="24"/>
          <w:szCs w:val="24"/>
          <w:lang w:eastAsia="zh-CN"/>
        </w:rPr>
        <w:t>有待</w:t>
      </w:r>
      <w:r>
        <w:rPr>
          <w:rFonts w:ascii="宋体" w:hAnsi="宋体" w:eastAsia="宋体" w:cs="宋体"/>
          <w:spacing w:val="-4"/>
          <w:sz w:val="24"/>
          <w:szCs w:val="24"/>
        </w:rPr>
        <w:t>完善</w:t>
      </w:r>
      <w:r>
        <w:rPr>
          <w:rFonts w:hint="eastAsia" w:ascii="宋体" w:hAnsi="宋体"/>
          <w:sz w:val="24"/>
        </w:rPr>
        <w:t>的得</w:t>
      </w:r>
      <w:r>
        <w:rPr>
          <w:rFonts w:hint="eastAsia" w:ascii="宋体" w:hAnsi="宋体"/>
          <w:sz w:val="24"/>
          <w:lang w:val="en-US" w:eastAsia="zh-CN"/>
        </w:rPr>
        <w:t>3</w:t>
      </w:r>
      <w:r>
        <w:rPr>
          <w:rFonts w:hint="eastAsia" w:ascii="宋体" w:hAnsi="宋体"/>
          <w:sz w:val="24"/>
        </w:rPr>
        <w:t>分；</w:t>
      </w:r>
      <w:r>
        <w:rPr>
          <w:rFonts w:ascii="宋体" w:hAnsi="宋体" w:eastAsia="宋体" w:cs="宋体"/>
          <w:spacing w:val="-4"/>
          <w:sz w:val="24"/>
          <w:szCs w:val="24"/>
        </w:rPr>
        <w:t>内容</w:t>
      </w:r>
      <w:r>
        <w:rPr>
          <w:rFonts w:hint="eastAsia" w:ascii="宋体" w:hAnsi="宋体"/>
          <w:sz w:val="24"/>
        </w:rPr>
        <w:t>一般</w:t>
      </w:r>
      <w:r>
        <w:rPr>
          <w:rFonts w:hint="eastAsia" w:ascii="宋体" w:hAnsi="宋体"/>
          <w:sz w:val="24"/>
          <w:lang w:eastAsia="zh-CN"/>
        </w:rPr>
        <w:t>、</w:t>
      </w:r>
      <w:r>
        <w:rPr>
          <w:rFonts w:ascii="宋体" w:hAnsi="宋体" w:eastAsia="宋体" w:cs="宋体"/>
          <w:spacing w:val="-4"/>
          <w:sz w:val="24"/>
          <w:szCs w:val="24"/>
        </w:rPr>
        <w:t>可行</w:t>
      </w:r>
      <w:r>
        <w:rPr>
          <w:rFonts w:hint="eastAsia" w:ascii="宋体" w:hAnsi="宋体" w:eastAsia="宋体" w:cs="宋体"/>
          <w:spacing w:val="-4"/>
          <w:sz w:val="24"/>
          <w:szCs w:val="24"/>
          <w:lang w:val="en-US" w:eastAsia="zh-CN"/>
        </w:rPr>
        <w:t>性及</w:t>
      </w:r>
      <w:r>
        <w:rPr>
          <w:rFonts w:ascii="宋体" w:hAnsi="宋体" w:eastAsia="宋体" w:cs="宋体"/>
          <w:spacing w:val="-4"/>
          <w:sz w:val="24"/>
          <w:szCs w:val="24"/>
        </w:rPr>
        <w:t>细节</w:t>
      </w:r>
      <w:r>
        <w:rPr>
          <w:rFonts w:hint="eastAsia" w:ascii="宋体" w:hAnsi="宋体" w:cs="宋体"/>
          <w:spacing w:val="-4"/>
          <w:sz w:val="24"/>
          <w:szCs w:val="24"/>
          <w:lang w:val="en-US" w:eastAsia="zh-CN"/>
        </w:rPr>
        <w:t>一般</w:t>
      </w:r>
      <w:r>
        <w:rPr>
          <w:rFonts w:hint="eastAsia" w:ascii="宋体" w:hAnsi="宋体"/>
          <w:sz w:val="24"/>
        </w:rPr>
        <w:t>的得1分。每有一项内容未进行阐述或不满足采购需求的，该项不得分；本大项最高得</w:t>
      </w:r>
      <w:r>
        <w:rPr>
          <w:rFonts w:hint="eastAsia" w:ascii="宋体" w:hAnsi="宋体"/>
          <w:sz w:val="24"/>
          <w:lang w:val="en-US" w:eastAsia="zh-CN"/>
        </w:rPr>
        <w:t>10</w:t>
      </w:r>
      <w:r>
        <w:rPr>
          <w:rFonts w:hint="eastAsia" w:ascii="宋体" w:hAnsi="宋体"/>
          <w:sz w:val="24"/>
        </w:rPr>
        <w:t>分。</w:t>
      </w:r>
    </w:p>
    <w:p w14:paraId="12E73F1F">
      <w:pPr>
        <w:pStyle w:val="16"/>
        <w:spacing w:line="360" w:lineRule="auto"/>
        <w:ind w:firstLine="482"/>
        <w:rPr>
          <w:rFonts w:hint="eastAsia" w:ascii="宋体" w:hAnsi="宋体" w:eastAsia="宋体"/>
          <w:b/>
          <w:sz w:val="24"/>
          <w:szCs w:val="24"/>
        </w:rPr>
      </w:pPr>
      <w:r>
        <w:rPr>
          <w:rFonts w:hint="eastAsia" w:ascii="宋体" w:hAnsi="宋体" w:eastAsia="宋体"/>
          <w:b/>
          <w:sz w:val="24"/>
          <w:szCs w:val="24"/>
        </w:rPr>
        <w:t>5）养护服务工作进度安排及措施</w:t>
      </w:r>
      <w:r>
        <w:rPr>
          <w:rFonts w:hint="eastAsia" w:ascii="宋体" w:hAnsi="宋体" w:eastAsia="宋体"/>
          <w:b/>
          <w:sz w:val="24"/>
          <w:szCs w:val="24"/>
          <w:lang w:eastAsia="zh-CN"/>
        </w:rPr>
        <w:t>（</w:t>
      </w:r>
      <w:r>
        <w:rPr>
          <w:rFonts w:hint="eastAsia" w:ascii="宋体" w:hAnsi="宋体" w:eastAsia="宋体"/>
          <w:b/>
          <w:sz w:val="24"/>
          <w:szCs w:val="24"/>
        </w:rPr>
        <w:t>8分</w:t>
      </w:r>
      <w:r>
        <w:rPr>
          <w:rFonts w:hint="eastAsia" w:ascii="宋体" w:hAnsi="宋体" w:eastAsia="宋体"/>
          <w:b/>
          <w:sz w:val="24"/>
          <w:szCs w:val="24"/>
          <w:lang w:eastAsia="zh-CN"/>
        </w:rPr>
        <w:t>）</w:t>
      </w:r>
    </w:p>
    <w:p w14:paraId="2C5520F9">
      <w:pPr>
        <w:tabs>
          <w:tab w:val="left" w:pos="1365"/>
        </w:tabs>
        <w:spacing w:line="470" w:lineRule="exact"/>
        <w:ind w:firstLine="480"/>
        <w:rPr>
          <w:rFonts w:hint="eastAsia" w:ascii="宋体" w:hAnsi="宋体"/>
          <w:sz w:val="24"/>
        </w:rPr>
      </w:pPr>
      <w:r>
        <w:rPr>
          <w:rFonts w:hint="eastAsia" w:ascii="宋体" w:hAnsi="宋体"/>
          <w:sz w:val="24"/>
        </w:rPr>
        <w:t>①养护服务工作进度安排（4分）</w:t>
      </w:r>
    </w:p>
    <w:p w14:paraId="544CB112">
      <w:pPr>
        <w:tabs>
          <w:tab w:val="left" w:pos="1365"/>
        </w:tabs>
        <w:spacing w:line="470" w:lineRule="exact"/>
        <w:ind w:firstLine="480"/>
        <w:rPr>
          <w:rFonts w:hint="eastAsia" w:ascii="宋体" w:hAnsi="宋体"/>
          <w:sz w:val="24"/>
        </w:rPr>
      </w:pPr>
      <w:r>
        <w:rPr>
          <w:rFonts w:hint="eastAsia" w:ascii="宋体" w:hAnsi="宋体"/>
          <w:sz w:val="24"/>
        </w:rPr>
        <w:t>②养护服务工作进度安排保障措施（4分）</w:t>
      </w:r>
    </w:p>
    <w:p w14:paraId="2DA60DD6">
      <w:pPr>
        <w:widowControl/>
        <w:tabs>
          <w:tab w:val="left" w:pos="840"/>
          <w:tab w:val="left" w:pos="1050"/>
        </w:tabs>
        <w:spacing w:line="360" w:lineRule="auto"/>
        <w:ind w:firstLine="480"/>
        <w:rPr>
          <w:rFonts w:hint="eastAsia" w:ascii="宋体" w:hAnsi="宋体"/>
          <w:sz w:val="24"/>
        </w:rPr>
      </w:pPr>
      <w:r>
        <w:rPr>
          <w:rFonts w:hint="eastAsia" w:ascii="宋体" w:hAnsi="宋体"/>
          <w:sz w:val="24"/>
        </w:rPr>
        <w:t>上述内容每有一项分析透彻</w:t>
      </w:r>
      <w:r>
        <w:rPr>
          <w:rFonts w:hint="eastAsia" w:ascii="宋体" w:hAnsi="宋体" w:cs="宋体"/>
          <w:spacing w:val="1"/>
          <w:sz w:val="24"/>
          <w:szCs w:val="24"/>
          <w:lang w:eastAsia="zh-CN"/>
        </w:rPr>
        <w:t>内容翔实</w:t>
      </w:r>
      <w:r>
        <w:rPr>
          <w:rFonts w:ascii="宋体" w:hAnsi="宋体" w:eastAsia="宋体" w:cs="宋体"/>
          <w:spacing w:val="1"/>
          <w:sz w:val="24"/>
          <w:szCs w:val="24"/>
        </w:rPr>
        <w:t>、需求贴合度高且条理清晰</w:t>
      </w:r>
      <w:r>
        <w:rPr>
          <w:rFonts w:hint="eastAsia" w:ascii="宋体" w:hAnsi="宋体" w:eastAsia="宋体" w:cs="宋体"/>
          <w:spacing w:val="1"/>
          <w:sz w:val="24"/>
          <w:szCs w:val="24"/>
          <w:lang w:eastAsia="zh-CN"/>
        </w:rPr>
        <w:t>、</w:t>
      </w:r>
      <w:r>
        <w:rPr>
          <w:rFonts w:hint="eastAsia" w:ascii="宋体" w:hAnsi="宋体"/>
          <w:sz w:val="24"/>
        </w:rPr>
        <w:t>满足采购需求的得</w:t>
      </w:r>
      <w:r>
        <w:rPr>
          <w:rFonts w:hint="eastAsia" w:ascii="宋体" w:hAnsi="宋体"/>
          <w:sz w:val="24"/>
          <w:lang w:val="en-US" w:eastAsia="zh-CN"/>
        </w:rPr>
        <w:t>4</w:t>
      </w:r>
      <w:r>
        <w:rPr>
          <w:rFonts w:hint="eastAsia" w:ascii="宋体" w:hAnsi="宋体"/>
          <w:sz w:val="24"/>
        </w:rPr>
        <w:t>分；</w:t>
      </w:r>
      <w:r>
        <w:rPr>
          <w:rFonts w:ascii="宋体" w:hAnsi="宋体" w:eastAsia="宋体" w:cs="宋体"/>
          <w:spacing w:val="-4"/>
          <w:sz w:val="24"/>
          <w:szCs w:val="24"/>
        </w:rPr>
        <w:t>内容较为简单、可行</w:t>
      </w:r>
      <w:r>
        <w:rPr>
          <w:rFonts w:hint="eastAsia" w:ascii="宋体" w:hAnsi="宋体" w:eastAsia="宋体" w:cs="宋体"/>
          <w:spacing w:val="-4"/>
          <w:sz w:val="24"/>
          <w:szCs w:val="24"/>
          <w:lang w:val="en-US" w:eastAsia="zh-CN"/>
        </w:rPr>
        <w:t>性及</w:t>
      </w:r>
      <w:r>
        <w:rPr>
          <w:rFonts w:ascii="宋体" w:hAnsi="宋体" w:eastAsia="宋体" w:cs="宋体"/>
          <w:spacing w:val="-4"/>
          <w:sz w:val="24"/>
          <w:szCs w:val="24"/>
        </w:rPr>
        <w:t>细节</w:t>
      </w:r>
      <w:r>
        <w:rPr>
          <w:rFonts w:hint="eastAsia" w:ascii="宋体" w:hAnsi="宋体" w:cs="宋体"/>
          <w:spacing w:val="-4"/>
          <w:sz w:val="24"/>
          <w:szCs w:val="24"/>
          <w:lang w:eastAsia="zh-CN"/>
        </w:rPr>
        <w:t>有待</w:t>
      </w:r>
      <w:r>
        <w:rPr>
          <w:rFonts w:ascii="宋体" w:hAnsi="宋体" w:eastAsia="宋体" w:cs="宋体"/>
          <w:spacing w:val="-4"/>
          <w:sz w:val="24"/>
          <w:szCs w:val="24"/>
        </w:rPr>
        <w:t>完善</w:t>
      </w:r>
      <w:r>
        <w:rPr>
          <w:rFonts w:hint="eastAsia" w:ascii="宋体" w:hAnsi="宋体"/>
          <w:sz w:val="24"/>
        </w:rPr>
        <w:t>的得</w:t>
      </w:r>
      <w:r>
        <w:rPr>
          <w:rFonts w:hint="eastAsia" w:ascii="宋体" w:hAnsi="宋体"/>
          <w:sz w:val="24"/>
          <w:lang w:val="en-US" w:eastAsia="zh-CN"/>
        </w:rPr>
        <w:t>2</w:t>
      </w:r>
      <w:r>
        <w:rPr>
          <w:rFonts w:hint="eastAsia" w:ascii="宋体" w:hAnsi="宋体"/>
          <w:sz w:val="24"/>
        </w:rPr>
        <w:t>分；</w:t>
      </w:r>
      <w:r>
        <w:rPr>
          <w:rFonts w:ascii="宋体" w:hAnsi="宋体" w:eastAsia="宋体" w:cs="宋体"/>
          <w:spacing w:val="-4"/>
          <w:sz w:val="24"/>
          <w:szCs w:val="24"/>
        </w:rPr>
        <w:t>内容</w:t>
      </w:r>
      <w:r>
        <w:rPr>
          <w:rFonts w:hint="eastAsia" w:ascii="宋体" w:hAnsi="宋体"/>
          <w:sz w:val="24"/>
        </w:rPr>
        <w:t>一般</w:t>
      </w:r>
      <w:r>
        <w:rPr>
          <w:rFonts w:hint="eastAsia" w:ascii="宋体" w:hAnsi="宋体"/>
          <w:sz w:val="24"/>
          <w:lang w:eastAsia="zh-CN"/>
        </w:rPr>
        <w:t>、</w:t>
      </w:r>
      <w:r>
        <w:rPr>
          <w:rFonts w:ascii="宋体" w:hAnsi="宋体" w:eastAsia="宋体" w:cs="宋体"/>
          <w:spacing w:val="-4"/>
          <w:sz w:val="24"/>
          <w:szCs w:val="24"/>
        </w:rPr>
        <w:t>可行</w:t>
      </w:r>
      <w:r>
        <w:rPr>
          <w:rFonts w:hint="eastAsia" w:ascii="宋体" w:hAnsi="宋体" w:eastAsia="宋体" w:cs="宋体"/>
          <w:spacing w:val="-4"/>
          <w:sz w:val="24"/>
          <w:szCs w:val="24"/>
          <w:lang w:val="en-US" w:eastAsia="zh-CN"/>
        </w:rPr>
        <w:t>性及</w:t>
      </w:r>
      <w:r>
        <w:rPr>
          <w:rFonts w:ascii="宋体" w:hAnsi="宋体" w:eastAsia="宋体" w:cs="宋体"/>
          <w:spacing w:val="-4"/>
          <w:sz w:val="24"/>
          <w:szCs w:val="24"/>
        </w:rPr>
        <w:t>细节</w:t>
      </w:r>
      <w:r>
        <w:rPr>
          <w:rFonts w:hint="eastAsia" w:ascii="宋体" w:hAnsi="宋体" w:cs="宋体"/>
          <w:spacing w:val="-4"/>
          <w:sz w:val="24"/>
          <w:szCs w:val="24"/>
          <w:lang w:val="en-US" w:eastAsia="zh-CN"/>
        </w:rPr>
        <w:t>一般</w:t>
      </w:r>
      <w:r>
        <w:rPr>
          <w:rFonts w:hint="eastAsia" w:ascii="宋体" w:hAnsi="宋体"/>
          <w:sz w:val="24"/>
        </w:rPr>
        <w:t>的得1分。每有一项内容未进行阐述或不满足采购需求的，该项不得分；本大项最高得</w:t>
      </w:r>
      <w:r>
        <w:rPr>
          <w:rFonts w:hint="eastAsia" w:ascii="宋体" w:hAnsi="宋体"/>
          <w:sz w:val="24"/>
          <w:lang w:val="en-US" w:eastAsia="zh-CN"/>
        </w:rPr>
        <w:t>8</w:t>
      </w:r>
      <w:r>
        <w:rPr>
          <w:rFonts w:hint="eastAsia" w:ascii="宋体" w:hAnsi="宋体"/>
          <w:sz w:val="24"/>
        </w:rPr>
        <w:t>分。</w:t>
      </w:r>
    </w:p>
    <w:p w14:paraId="53F29BCC">
      <w:pPr>
        <w:widowControl/>
        <w:tabs>
          <w:tab w:val="left" w:pos="840"/>
          <w:tab w:val="left" w:pos="1050"/>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b/>
          <w:bCs w:val="0"/>
          <w:color w:val="auto"/>
          <w:sz w:val="24"/>
          <w:szCs w:val="24"/>
          <w:highlight w:val="none"/>
        </w:rPr>
        <w:t>注：</w:t>
      </w:r>
      <w:r>
        <w:rPr>
          <w:rFonts w:hint="eastAsia" w:asciiTheme="minorEastAsia" w:hAnsiTheme="minorEastAsia" w:eastAsiaTheme="minorEastAsia"/>
          <w:b/>
          <w:bCs w:val="0"/>
          <w:color w:val="auto"/>
          <w:sz w:val="24"/>
          <w:highlight w:val="none"/>
        </w:rPr>
        <w:t>技术</w:t>
      </w:r>
      <w:r>
        <w:rPr>
          <w:rFonts w:hint="eastAsia" w:asciiTheme="minorEastAsia" w:hAnsiTheme="minorEastAsia" w:eastAsiaTheme="minorEastAsia"/>
          <w:b/>
          <w:bCs w:val="0"/>
          <w:color w:val="auto"/>
          <w:sz w:val="24"/>
          <w:highlight w:val="none"/>
          <w:lang w:val="en-US" w:eastAsia="zh-CN"/>
        </w:rPr>
        <w:t>部分</w:t>
      </w:r>
      <w:r>
        <w:rPr>
          <w:rFonts w:hint="eastAsia" w:asciiTheme="minorEastAsia" w:hAnsiTheme="minorEastAsia" w:eastAsiaTheme="minorEastAsia"/>
          <w:b/>
          <w:bCs w:val="0"/>
          <w:color w:val="auto"/>
          <w:sz w:val="24"/>
          <w:highlight w:val="none"/>
        </w:rPr>
        <w:t>（服务方案）页数不得少于</w:t>
      </w:r>
      <w:r>
        <w:rPr>
          <w:rFonts w:hint="eastAsia" w:asciiTheme="minorEastAsia" w:hAnsiTheme="minorEastAsia" w:eastAsiaTheme="minorEastAsia"/>
          <w:b/>
          <w:bCs w:val="0"/>
          <w:color w:val="auto"/>
          <w:sz w:val="24"/>
          <w:highlight w:val="none"/>
          <w:lang w:val="en-US" w:eastAsia="zh-CN"/>
        </w:rPr>
        <w:t>5</w:t>
      </w:r>
      <w:r>
        <w:rPr>
          <w:rFonts w:hint="eastAsia" w:asciiTheme="minorEastAsia" w:hAnsiTheme="minorEastAsia" w:eastAsiaTheme="minorEastAsia"/>
          <w:b/>
          <w:bCs w:val="0"/>
          <w:color w:val="auto"/>
          <w:sz w:val="24"/>
          <w:highlight w:val="none"/>
        </w:rPr>
        <w:t>0页，也不得多于</w:t>
      </w:r>
      <w:r>
        <w:rPr>
          <w:rFonts w:hint="eastAsia" w:asciiTheme="minorEastAsia" w:hAnsiTheme="minorEastAsia" w:eastAsiaTheme="minorEastAsia"/>
          <w:b/>
          <w:bCs w:val="0"/>
          <w:color w:val="auto"/>
          <w:sz w:val="24"/>
          <w:highlight w:val="none"/>
          <w:lang w:val="en-US" w:eastAsia="zh-CN"/>
        </w:rPr>
        <w:t>5</w:t>
      </w:r>
      <w:r>
        <w:rPr>
          <w:rFonts w:hint="eastAsia" w:asciiTheme="minorEastAsia" w:hAnsiTheme="minorEastAsia" w:eastAsiaTheme="minorEastAsia"/>
          <w:b/>
          <w:bCs w:val="0"/>
          <w:color w:val="auto"/>
          <w:sz w:val="24"/>
          <w:highlight w:val="none"/>
        </w:rPr>
        <w:t>00页。</w:t>
      </w:r>
      <w:r>
        <w:rPr>
          <w:rFonts w:hint="eastAsia" w:ascii="宋体" w:hAnsi="宋体"/>
          <w:b/>
          <w:bCs w:val="0"/>
          <w:color w:val="auto"/>
          <w:sz w:val="24"/>
          <w:szCs w:val="24"/>
          <w:highlight w:val="none"/>
        </w:rPr>
        <w:t>投标供应商须针对本项目的实际情况，结合自身条件，编制相应的“技术部分”。取所有评委打分的平均值。</w:t>
      </w:r>
    </w:p>
    <w:p w14:paraId="77C3241E">
      <w:pPr>
        <w:pStyle w:val="16"/>
        <w:keepNext w:val="0"/>
        <w:keepLines w:val="0"/>
        <w:pageBreakBefore w:val="0"/>
        <w:widowControl w:val="0"/>
        <w:spacing w:line="360" w:lineRule="auto"/>
        <w:ind w:firstLine="482"/>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评标说明：</w:t>
      </w:r>
    </w:p>
    <w:p w14:paraId="4486A61F">
      <w:pPr>
        <w:pStyle w:val="16"/>
        <w:keepNext w:val="0"/>
        <w:keepLines w:val="0"/>
        <w:pageBreakBefore w:val="0"/>
        <w:widowControl w:val="0"/>
        <w:spacing w:line="360" w:lineRule="auto"/>
        <w:ind w:firstLine="480"/>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①未列入本评分细则的其他条件不作为评分内容。</w:t>
      </w:r>
    </w:p>
    <w:p w14:paraId="04D31CC4">
      <w:pPr>
        <w:pStyle w:val="16"/>
        <w:keepNext w:val="0"/>
        <w:keepLines w:val="0"/>
        <w:pageBreakBefore w:val="0"/>
        <w:widowControl w:val="0"/>
        <w:spacing w:line="360" w:lineRule="auto"/>
        <w:ind w:firstLine="480"/>
        <w:rPr>
          <w:rFonts w:hint="eastAsia"/>
          <w:highlight w:val="none"/>
          <w:lang w:val="en-US" w:eastAsia="zh-CN"/>
        </w:rPr>
      </w:pPr>
      <w:r>
        <w:rPr>
          <w:rFonts w:hint="eastAsia" w:ascii="宋体" w:hAnsi="宋体" w:eastAsia="宋体" w:cs="宋体"/>
          <w:bCs/>
          <w:color w:val="auto"/>
          <w:sz w:val="24"/>
          <w:szCs w:val="24"/>
          <w:highlight w:val="none"/>
          <w:lang w:val="en-US" w:eastAsia="zh-CN" w:bidi="ar-SA"/>
        </w:rPr>
        <w:t>②评委为5人，计算分项得分时取平均值为投标单位的得分，各分项得分合计即为投标单位的总得分。投标文件无相应评分内容时，该项目为零分。每个评分项由评委独立评分。所有评委打分的平均值为各投标人最终得分。最终得分最高的为中标候选人，评分办法及评分细则的解释权属于采购人。</w:t>
      </w:r>
    </w:p>
    <w:p w14:paraId="4BFC4D2D">
      <w:pPr>
        <w:keepNext w:val="0"/>
        <w:keepLines w:val="0"/>
        <w:pageBreakBefore w:val="0"/>
        <w:spacing w:line="360" w:lineRule="auto"/>
        <w:ind w:firstLine="240"/>
        <w:outlineLvl w:val="9"/>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（十一）定标：</w:t>
      </w:r>
    </w:p>
    <w:p w14:paraId="06BEE0D6">
      <w:pPr>
        <w:keepNext w:val="0"/>
        <w:keepLines w:val="0"/>
        <w:pageBreakBefore w:val="0"/>
        <w:tabs>
          <w:tab w:val="left" w:pos="420"/>
          <w:tab w:val="left" w:pos="42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评标委员会根据招标文件规定的评标方法和评标标准进行评审，按招标文件的要求依法选取中标候选人，中标候选人的选取原则和数量见招标文件。</w:t>
      </w:r>
    </w:p>
    <w:p w14:paraId="7B768421">
      <w:pPr>
        <w:keepNext w:val="0"/>
        <w:keepLines w:val="0"/>
        <w:pageBreakBefore w:val="0"/>
        <w:tabs>
          <w:tab w:val="left" w:pos="420"/>
          <w:tab w:val="left" w:pos="42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采购人应根据评委会推荐的中标候选人名单中按排名先后顺序确定一名</w:t>
      </w:r>
      <w:r>
        <w:rPr>
          <w:rFonts w:hint="eastAsia" w:ascii="宋体" w:hAnsi="宋体" w:cs="宋体"/>
          <w:bCs/>
          <w:color w:val="auto"/>
          <w:sz w:val="24"/>
          <w:szCs w:val="24"/>
          <w:highlight w:val="none"/>
          <w:lang w:eastAsia="zh-CN"/>
        </w:rPr>
        <w:t>投标供应商</w:t>
      </w:r>
      <w:r>
        <w:rPr>
          <w:rFonts w:hint="eastAsia" w:ascii="宋体" w:hAnsi="宋体" w:eastAsia="宋体" w:cs="宋体"/>
          <w:bCs/>
          <w:color w:val="auto"/>
          <w:sz w:val="24"/>
          <w:szCs w:val="24"/>
          <w:highlight w:val="none"/>
          <w:lang w:eastAsia="zh-CN"/>
        </w:rPr>
        <w:t>为中标单位。联合体中标的，联合体各方应当共同与采购人签订合同，就中标项目向采购人承担连带责任。</w:t>
      </w:r>
    </w:p>
    <w:p w14:paraId="2AF7BE9C">
      <w:pPr>
        <w:keepNext w:val="0"/>
        <w:keepLines w:val="0"/>
        <w:pageBreakBefore w:val="0"/>
        <w:tabs>
          <w:tab w:val="left" w:pos="420"/>
          <w:tab w:val="left" w:pos="42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3.代理机构将</w:t>
      </w:r>
      <w:r>
        <w:rPr>
          <w:rFonts w:hint="eastAsia" w:ascii="宋体" w:hAnsi="宋体" w:eastAsia="宋体" w:cs="宋体"/>
          <w:bCs/>
          <w:color w:val="auto"/>
          <w:sz w:val="24"/>
          <w:szCs w:val="24"/>
          <w:highlight w:val="none"/>
          <w:lang w:eastAsia="zh-CN"/>
        </w:rPr>
        <w:t>在</w:t>
      </w:r>
      <w:r>
        <w:rPr>
          <w:rFonts w:hint="eastAsia" w:ascii="宋体" w:hAnsi="宋体" w:eastAsia="宋体" w:cs="宋体"/>
          <w:b/>
          <w:bCs w:val="0"/>
          <w:color w:val="auto"/>
          <w:sz w:val="24"/>
          <w:szCs w:val="24"/>
          <w:highlight w:val="none"/>
          <w:lang w:eastAsia="zh-CN"/>
        </w:rPr>
        <w:t>江苏政府采购网</w:t>
      </w:r>
      <w:r>
        <w:rPr>
          <w:rFonts w:hint="eastAsia" w:ascii="宋体" w:hAnsi="宋体" w:eastAsia="宋体" w:cs="宋体"/>
          <w:bCs/>
          <w:color w:val="auto"/>
          <w:sz w:val="24"/>
          <w:szCs w:val="24"/>
          <w:highlight w:val="none"/>
          <w:lang w:eastAsia="zh-CN"/>
        </w:rPr>
        <w:t>上</w:t>
      </w:r>
      <w:r>
        <w:rPr>
          <w:rFonts w:hint="eastAsia" w:ascii="宋体" w:hAnsi="宋体" w:eastAsia="宋体" w:cs="宋体"/>
          <w:bCs/>
          <w:color w:val="auto"/>
          <w:sz w:val="24"/>
          <w:szCs w:val="24"/>
          <w:highlight w:val="none"/>
          <w:lang w:val="en-US" w:eastAsia="zh-CN"/>
        </w:rPr>
        <w:t>发布</w:t>
      </w:r>
      <w:r>
        <w:rPr>
          <w:rFonts w:hint="eastAsia" w:ascii="宋体" w:hAnsi="宋体" w:eastAsia="宋体" w:cs="宋体"/>
          <w:bCs/>
          <w:color w:val="auto"/>
          <w:sz w:val="24"/>
          <w:szCs w:val="24"/>
          <w:highlight w:val="none"/>
          <w:lang w:eastAsia="zh-CN"/>
        </w:rPr>
        <w:t>中标</w:t>
      </w:r>
      <w:r>
        <w:rPr>
          <w:rFonts w:hint="eastAsia" w:ascii="宋体" w:hAnsi="宋体" w:eastAsia="宋体" w:cs="宋体"/>
          <w:bCs/>
          <w:color w:val="auto"/>
          <w:sz w:val="24"/>
          <w:szCs w:val="24"/>
          <w:highlight w:val="none"/>
          <w:lang w:val="en-US" w:eastAsia="zh-CN"/>
        </w:rPr>
        <w:t>结果公告</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公告期限为1个工作日。</w:t>
      </w:r>
      <w:r>
        <w:rPr>
          <w:rFonts w:hint="eastAsia" w:ascii="宋体" w:hAnsi="宋体" w:eastAsia="宋体" w:cs="宋体"/>
          <w:bCs/>
          <w:color w:val="auto"/>
          <w:sz w:val="24"/>
          <w:szCs w:val="24"/>
          <w:highlight w:val="none"/>
          <w:lang w:eastAsia="zh-CN"/>
        </w:rPr>
        <w:t>在公告中标结果的同时，</w:t>
      </w:r>
      <w:r>
        <w:rPr>
          <w:rFonts w:hint="eastAsia" w:ascii="宋体" w:hAnsi="宋体" w:eastAsia="宋体" w:cs="宋体"/>
          <w:bCs/>
          <w:color w:val="auto"/>
          <w:sz w:val="24"/>
          <w:szCs w:val="24"/>
          <w:highlight w:val="none"/>
          <w:lang w:val="en-US" w:eastAsia="zh-CN"/>
        </w:rPr>
        <w:t>代理机构</w:t>
      </w:r>
      <w:r>
        <w:rPr>
          <w:rFonts w:hint="eastAsia" w:ascii="宋体" w:hAnsi="宋体" w:eastAsia="宋体" w:cs="宋体"/>
          <w:bCs/>
          <w:color w:val="auto"/>
          <w:sz w:val="24"/>
          <w:szCs w:val="24"/>
          <w:highlight w:val="none"/>
          <w:lang w:eastAsia="zh-CN"/>
        </w:rPr>
        <w:t>向中标人发出中标通知书。如有质疑，按《中华人民共和国政府采购法》、财政部《政府采购货物和服务招标投标管理办法》等有关法规处理。</w:t>
      </w:r>
    </w:p>
    <w:p w14:paraId="6BFD3552">
      <w:pPr>
        <w:keepNext w:val="0"/>
        <w:keepLines w:val="0"/>
        <w:pageBreakBefore w:val="0"/>
        <w:tabs>
          <w:tab w:val="left" w:pos="420"/>
          <w:tab w:val="left" w:pos="42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4.开标、评标</w:t>
      </w:r>
      <w:r>
        <w:rPr>
          <w:rFonts w:hint="eastAsia" w:ascii="宋体" w:hAnsi="宋体" w:eastAsia="宋体" w:cs="宋体"/>
          <w:bCs/>
          <w:color w:val="auto"/>
          <w:sz w:val="24"/>
          <w:szCs w:val="24"/>
          <w:highlight w:val="none"/>
        </w:rPr>
        <w:t>及定标的整个过程均由区监管部门进行现场监督。</w:t>
      </w:r>
    </w:p>
    <w:p w14:paraId="2AEE9195">
      <w:pPr>
        <w:keepNext w:val="0"/>
        <w:keepLines w:val="0"/>
        <w:pageBreakBefore w:val="0"/>
        <w:tabs>
          <w:tab w:val="left" w:pos="420"/>
          <w:tab w:val="left" w:pos="42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中标人在中标结果公告届满之日起30日内</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使用CA数字证书登录</w:t>
      </w:r>
      <w:r>
        <w:rPr>
          <w:rFonts w:hint="eastAsia" w:ascii="宋体" w:hAnsi="宋体" w:eastAsia="宋体" w:cs="宋体"/>
          <w:bCs/>
          <w:color w:val="auto"/>
          <w:sz w:val="24"/>
          <w:szCs w:val="24"/>
          <w:highlight w:val="none"/>
          <w:lang w:eastAsia="zh-CN"/>
        </w:rPr>
        <w:t>“苏采云”系统</w:t>
      </w:r>
      <w:r>
        <w:rPr>
          <w:rFonts w:hint="eastAsia" w:ascii="宋体" w:hAnsi="宋体" w:eastAsia="宋体" w:cs="宋体"/>
          <w:bCs/>
          <w:color w:val="auto"/>
          <w:sz w:val="24"/>
          <w:szCs w:val="24"/>
          <w:highlight w:val="none"/>
        </w:rPr>
        <w:t>及时下载中标通知书。因系统存储空间有限，自中标结果公告届满之日起30日后，</w:t>
      </w:r>
      <w:r>
        <w:rPr>
          <w:rFonts w:hint="eastAsia" w:ascii="宋体" w:hAnsi="宋体" w:eastAsia="宋体" w:cs="宋体"/>
          <w:bCs/>
          <w:color w:val="auto"/>
          <w:sz w:val="24"/>
          <w:szCs w:val="24"/>
          <w:highlight w:val="none"/>
          <w:lang w:eastAsia="zh-CN"/>
        </w:rPr>
        <w:t>“苏采云”系统</w:t>
      </w:r>
      <w:r>
        <w:rPr>
          <w:rFonts w:hint="eastAsia" w:ascii="宋体" w:hAnsi="宋体" w:eastAsia="宋体" w:cs="宋体"/>
          <w:bCs/>
          <w:color w:val="auto"/>
          <w:sz w:val="24"/>
          <w:szCs w:val="24"/>
          <w:highlight w:val="none"/>
        </w:rPr>
        <w:t>不再保证提供下载中标通知书服务</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因未及时下载而造成的不利后果由中标人自行承担</w:t>
      </w:r>
      <w:r>
        <w:rPr>
          <w:rFonts w:hint="eastAsia" w:ascii="宋体" w:hAnsi="宋体" w:cs="宋体"/>
          <w:bCs/>
          <w:color w:val="auto"/>
          <w:sz w:val="24"/>
          <w:szCs w:val="24"/>
          <w:highlight w:val="none"/>
          <w:lang w:eastAsia="zh-CN"/>
        </w:rPr>
        <w:t>。</w:t>
      </w:r>
    </w:p>
    <w:p w14:paraId="428F47A5">
      <w:pPr>
        <w:keepNext w:val="0"/>
        <w:keepLines w:val="0"/>
        <w:pageBreakBefore w:val="0"/>
        <w:tabs>
          <w:tab w:val="left" w:pos="420"/>
          <w:tab w:val="left" w:pos="42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1A77998C">
      <w:pPr>
        <w:keepNext w:val="0"/>
        <w:keepLines w:val="0"/>
        <w:pageBreakBefore w:val="0"/>
        <w:tabs>
          <w:tab w:val="left" w:pos="420"/>
          <w:tab w:val="left" w:pos="42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中标供应商在收到中标通知书后与招标人签订合同之前，必须提供与系统中电子投标文件一致的纸质投标文件一式三份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供应商电子</w:t>
      </w:r>
      <w:r>
        <w:rPr>
          <w:rFonts w:hint="eastAsia" w:ascii="宋体" w:hAnsi="宋体" w:eastAsia="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将作为本项目采购活动的电子档案保存，电子档案与</w:t>
      </w:r>
      <w:r>
        <w:rPr>
          <w:rFonts w:hint="eastAsia" w:ascii="宋体" w:hAnsi="宋体" w:eastAsia="宋体" w:cs="宋体"/>
          <w:bCs/>
          <w:color w:val="auto"/>
          <w:sz w:val="24"/>
          <w:szCs w:val="24"/>
          <w:highlight w:val="none"/>
          <w:lang w:val="en-US" w:eastAsia="zh-CN"/>
        </w:rPr>
        <w:t>纸质</w:t>
      </w:r>
      <w:r>
        <w:rPr>
          <w:rFonts w:hint="eastAsia" w:ascii="宋体" w:hAnsi="宋体" w:eastAsia="宋体" w:cs="宋体"/>
          <w:bCs/>
          <w:color w:val="auto"/>
          <w:sz w:val="24"/>
          <w:szCs w:val="24"/>
          <w:highlight w:val="none"/>
        </w:rPr>
        <w:t>档案具有同等效力</w:t>
      </w:r>
      <w:r>
        <w:rPr>
          <w:rFonts w:hint="eastAsia" w:ascii="宋体" w:hAnsi="宋体" w:eastAsia="宋体" w:cs="宋体"/>
          <w:bCs/>
          <w:color w:val="auto"/>
          <w:sz w:val="24"/>
          <w:szCs w:val="24"/>
          <w:highlight w:val="none"/>
          <w:lang w:eastAsia="zh-CN"/>
        </w:rPr>
        <w:t>。</w:t>
      </w:r>
    </w:p>
    <w:p w14:paraId="03F5CD36">
      <w:pPr>
        <w:keepNext w:val="0"/>
        <w:keepLines w:val="0"/>
        <w:pageBreakBefore w:val="0"/>
        <w:spacing w:line="360" w:lineRule="auto"/>
        <w:ind w:firstLine="240"/>
        <w:outlineLvl w:val="9"/>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（十二）废标的确认：</w:t>
      </w:r>
    </w:p>
    <w:p w14:paraId="6C9BE040">
      <w:pPr>
        <w:keepNext w:val="0"/>
        <w:keepLines w:val="0"/>
        <w:pageBreakBefore w:val="0"/>
        <w:spacing w:line="360" w:lineRule="auto"/>
        <w:ind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w:t>
      </w:r>
      <w:r>
        <w:rPr>
          <w:rFonts w:hint="eastAsia" w:ascii="宋体" w:hAnsi="宋体" w:cs="宋体"/>
          <w:bCs/>
          <w:color w:val="auto"/>
          <w:sz w:val="24"/>
          <w:szCs w:val="24"/>
          <w:highlight w:val="none"/>
          <w:lang w:val="en-US" w:eastAsia="zh-CN"/>
        </w:rPr>
        <w:t>招投标活动</w:t>
      </w:r>
      <w:r>
        <w:rPr>
          <w:rFonts w:hint="eastAsia" w:ascii="宋体" w:hAnsi="宋体" w:eastAsia="宋体" w:cs="宋体"/>
          <w:bCs/>
          <w:color w:val="auto"/>
          <w:sz w:val="24"/>
          <w:szCs w:val="24"/>
          <w:highlight w:val="none"/>
        </w:rPr>
        <w:t>中，出现下列情况之一的，</w:t>
      </w:r>
      <w:r>
        <w:rPr>
          <w:rFonts w:hint="eastAsia" w:hAnsi="宋体" w:cs="宋体"/>
          <w:bCs/>
          <w:color w:val="auto"/>
          <w:sz w:val="24"/>
          <w:szCs w:val="24"/>
          <w:highlight w:val="none"/>
        </w:rPr>
        <w:t>应予废标</w:t>
      </w:r>
      <w:r>
        <w:rPr>
          <w:rFonts w:hint="eastAsia" w:ascii="宋体" w:hAnsi="宋体" w:eastAsia="宋体" w:cs="宋体"/>
          <w:bCs/>
          <w:color w:val="auto"/>
          <w:sz w:val="24"/>
          <w:szCs w:val="24"/>
          <w:highlight w:val="none"/>
        </w:rPr>
        <w:t>：</w:t>
      </w:r>
    </w:p>
    <w:p w14:paraId="5D41889A">
      <w:pPr>
        <w:keepNext w:val="0"/>
        <w:keepLines w:val="0"/>
        <w:pageBreakBefore w:val="0"/>
        <w:tabs>
          <w:tab w:val="left" w:pos="420"/>
          <w:tab w:val="left" w:pos="42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1.出现影响采购公正的违法、违规行为的；</w:t>
      </w:r>
    </w:p>
    <w:p w14:paraId="526B2BBF">
      <w:pPr>
        <w:keepNext w:val="0"/>
        <w:keepLines w:val="0"/>
        <w:pageBreakBefore w:val="0"/>
        <w:tabs>
          <w:tab w:val="left" w:pos="420"/>
          <w:tab w:val="left" w:pos="42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2.在采购活动中因重大变故，采购任务取消的；</w:t>
      </w:r>
    </w:p>
    <w:p w14:paraId="217FA9C6">
      <w:pPr>
        <w:keepNext w:val="0"/>
        <w:keepLines w:val="0"/>
        <w:pageBreakBefore w:val="0"/>
        <w:tabs>
          <w:tab w:val="left" w:pos="420"/>
          <w:tab w:val="left" w:pos="42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3.在“苏采云”系统规定时间内成功解密电子投标文件的供应商不足3家的；</w:t>
      </w:r>
    </w:p>
    <w:p w14:paraId="79A5714E">
      <w:pPr>
        <w:keepNext w:val="0"/>
        <w:keepLines w:val="0"/>
        <w:pageBreakBefore w:val="0"/>
        <w:tabs>
          <w:tab w:val="left" w:pos="420"/>
          <w:tab w:val="left" w:pos="42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4.因苏采云平台系统故障原因造成投标文件开启不成功的；</w:t>
      </w:r>
    </w:p>
    <w:p w14:paraId="1715C76A">
      <w:pPr>
        <w:keepNext w:val="0"/>
        <w:keepLines w:val="0"/>
        <w:pageBreakBefore w:val="0"/>
        <w:tabs>
          <w:tab w:val="left" w:pos="420"/>
          <w:tab w:val="left" w:pos="42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5.符合专业条件的供应商或者对招标文件作实质响应的供应商不足三家的；</w:t>
      </w:r>
    </w:p>
    <w:p w14:paraId="5BA3C6E8">
      <w:pPr>
        <w:keepNext w:val="0"/>
        <w:keepLines w:val="0"/>
        <w:pageBreakBefore w:val="0"/>
        <w:tabs>
          <w:tab w:val="left" w:pos="420"/>
          <w:tab w:val="left" w:pos="42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6.评标委员会认定招标文件存在歧义、重大缺陷导致评审工作无法进行；</w:t>
      </w:r>
    </w:p>
    <w:p w14:paraId="3242115D">
      <w:pPr>
        <w:keepNext w:val="0"/>
        <w:keepLines w:val="0"/>
        <w:pageBreakBefore w:val="0"/>
        <w:tabs>
          <w:tab w:val="left" w:pos="420"/>
          <w:tab w:val="left" w:pos="42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w:t>
      </w:r>
      <w:r>
        <w:rPr>
          <w:rFonts w:hint="eastAsia" w:ascii="宋体" w:hAnsi="宋体" w:cs="宋体"/>
          <w:bCs/>
          <w:color w:val="auto"/>
          <w:sz w:val="24"/>
          <w:szCs w:val="24"/>
          <w:highlight w:val="none"/>
          <w:lang w:val="en-US" w:eastAsia="zh-CN"/>
        </w:rPr>
        <w:t>投标供应商</w:t>
      </w:r>
      <w:r>
        <w:rPr>
          <w:rFonts w:hint="eastAsia" w:ascii="宋体" w:hAnsi="宋体" w:eastAsia="宋体" w:cs="宋体"/>
          <w:bCs/>
          <w:color w:val="auto"/>
          <w:sz w:val="24"/>
          <w:szCs w:val="24"/>
          <w:highlight w:val="none"/>
          <w:lang w:val="en-US" w:eastAsia="zh-CN"/>
        </w:rPr>
        <w:t>的报价均超过采购预算，采购人不能支付的终止采购的。</w:t>
      </w:r>
    </w:p>
    <w:p w14:paraId="682B4B51">
      <w:pPr>
        <w:keepNext w:val="0"/>
        <w:keepLines w:val="0"/>
        <w:pageBreakBefore w:val="0"/>
        <w:tabs>
          <w:tab w:val="left" w:pos="420"/>
          <w:tab w:val="left" w:pos="425"/>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代理机构将及时在原公告发布媒体上发布终止公告</w:t>
      </w:r>
      <w:r>
        <w:rPr>
          <w:rFonts w:hint="eastAsia" w:ascii="宋体" w:hAnsi="宋体" w:cs="宋体"/>
          <w:bCs/>
          <w:color w:val="auto"/>
          <w:sz w:val="24"/>
          <w:szCs w:val="24"/>
          <w:highlight w:val="none"/>
          <w:lang w:val="en-US" w:eastAsia="zh-CN"/>
        </w:rPr>
        <w:t>，并</w:t>
      </w:r>
      <w:r>
        <w:rPr>
          <w:rFonts w:hint="eastAsia" w:ascii="宋体" w:hAnsi="宋体" w:eastAsia="宋体" w:cs="宋体"/>
          <w:bCs/>
          <w:color w:val="auto"/>
          <w:sz w:val="24"/>
          <w:szCs w:val="24"/>
          <w:highlight w:val="none"/>
          <w:lang w:val="en-US" w:eastAsia="zh-CN"/>
        </w:rPr>
        <w:t>以终止公告的形式通知已经获取招标文件的供应商，并将项目实施情况和采购任务取消原因报告本级财政部门。发布本项目的终止公告后采购中心已尽通知义务。敬请各供应商关注本项目的终止公告，否则，将自行承担相应的风险。</w:t>
      </w:r>
    </w:p>
    <w:p w14:paraId="23F5052D">
      <w:pPr>
        <w:keepNext w:val="0"/>
        <w:keepLines w:val="0"/>
        <w:pageBreakBefore w:val="0"/>
        <w:spacing w:line="360" w:lineRule="auto"/>
        <w:ind w:firstLine="240"/>
        <w:outlineLvl w:val="9"/>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（十三）投标保证金：（本项目无需保证金）</w:t>
      </w:r>
    </w:p>
    <w:p w14:paraId="796BFA26">
      <w:pPr>
        <w:keepNext w:val="0"/>
        <w:keepLines w:val="0"/>
        <w:pageBreakBefore w:val="0"/>
        <w:tabs>
          <w:tab w:val="right" w:pos="525"/>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eastAsia="zh-CN"/>
        </w:rPr>
        <w:t>投标</w:t>
      </w:r>
      <w:r>
        <w:rPr>
          <w:rFonts w:hint="eastAsia" w:ascii="宋体" w:hAnsi="宋体" w:eastAsia="宋体" w:cs="宋体"/>
          <w:color w:val="auto"/>
          <w:sz w:val="24"/>
          <w:highlight w:val="none"/>
        </w:rPr>
        <w:t>保证金应按照</w:t>
      </w:r>
      <w:r>
        <w:rPr>
          <w:rFonts w:hint="eastAsia" w:ascii="宋体" w:hAnsi="宋体" w:cs="宋体"/>
          <w:color w:val="auto"/>
          <w:sz w:val="24"/>
          <w:highlight w:val="none"/>
          <w:lang w:eastAsia="zh-CN"/>
        </w:rPr>
        <w:t>招标文件</w:t>
      </w:r>
      <w:r>
        <w:rPr>
          <w:rFonts w:hint="eastAsia" w:ascii="宋体" w:hAnsi="宋体" w:eastAsia="宋体" w:cs="宋体"/>
          <w:color w:val="auto"/>
          <w:sz w:val="24"/>
          <w:highlight w:val="none"/>
        </w:rPr>
        <w:t>规定的数额和办法交纳</w:t>
      </w:r>
      <w:r>
        <w:rPr>
          <w:rFonts w:hint="eastAsia" w:ascii="宋体" w:hAnsi="宋体" w:eastAsia="宋体" w:cs="宋体"/>
          <w:bCs/>
          <w:color w:val="auto"/>
          <w:sz w:val="24"/>
          <w:highlight w:val="none"/>
        </w:rPr>
        <w:t>。</w:t>
      </w:r>
    </w:p>
    <w:p w14:paraId="3CC848A2">
      <w:pPr>
        <w:keepNext w:val="0"/>
        <w:keepLines w:val="0"/>
        <w:pageBreakBefore w:val="0"/>
        <w:tabs>
          <w:tab w:val="left" w:pos="0"/>
          <w:tab w:val="left" w:pos="1155"/>
        </w:tabs>
        <w:spacing w:line="360" w:lineRule="auto"/>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2.如</w:t>
      </w:r>
      <w:r>
        <w:rPr>
          <w:rFonts w:hint="eastAsia" w:ascii="宋体" w:hAnsi="宋体" w:cs="宋体"/>
          <w:color w:val="auto"/>
          <w:sz w:val="24"/>
          <w:highlight w:val="none"/>
          <w:lang w:eastAsia="zh-CN"/>
        </w:rPr>
        <w:t>投标供应商</w:t>
      </w:r>
      <w:r>
        <w:rPr>
          <w:rFonts w:hint="eastAsia" w:ascii="宋体" w:hAnsi="宋体" w:eastAsia="宋体" w:cs="宋体"/>
          <w:color w:val="auto"/>
          <w:sz w:val="24"/>
          <w:highlight w:val="none"/>
        </w:rPr>
        <w:t>在报价截止期后撤回报价，则</w:t>
      </w:r>
      <w:r>
        <w:rPr>
          <w:rFonts w:hint="eastAsia" w:ascii="宋体" w:hAnsi="宋体" w:cs="宋体"/>
          <w:color w:val="auto"/>
          <w:sz w:val="24"/>
          <w:highlight w:val="none"/>
          <w:lang w:eastAsia="zh-CN"/>
        </w:rPr>
        <w:t>投标</w:t>
      </w:r>
      <w:r>
        <w:rPr>
          <w:rFonts w:hint="eastAsia" w:ascii="宋体" w:hAnsi="宋体" w:eastAsia="宋体" w:cs="宋体"/>
          <w:color w:val="auto"/>
          <w:sz w:val="24"/>
          <w:highlight w:val="none"/>
        </w:rPr>
        <w:t>保证金将作为违约金不予退还</w:t>
      </w:r>
      <w:r>
        <w:rPr>
          <w:rFonts w:hint="eastAsia" w:ascii="宋体" w:hAnsi="宋体" w:eastAsia="宋体" w:cs="宋体"/>
          <w:bCs/>
          <w:color w:val="auto"/>
          <w:sz w:val="24"/>
          <w:highlight w:val="none"/>
        </w:rPr>
        <w:t>。</w:t>
      </w:r>
    </w:p>
    <w:p w14:paraId="026C3FED">
      <w:pPr>
        <w:keepNext w:val="0"/>
        <w:keepLines w:val="0"/>
        <w:pageBreakBefore w:val="0"/>
        <w:tabs>
          <w:tab w:val="left" w:pos="420"/>
          <w:tab w:val="left" w:pos="42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3.自中标（成交）通知书发出之日起5个工作日内原路退还未中标（成交）供应商的</w:t>
      </w:r>
      <w:r>
        <w:rPr>
          <w:rFonts w:hint="eastAsia" w:ascii="宋体" w:hAnsi="宋体" w:cs="宋体"/>
          <w:bCs/>
          <w:color w:val="auto"/>
          <w:sz w:val="24"/>
          <w:szCs w:val="24"/>
          <w:highlight w:val="none"/>
          <w:lang w:eastAsia="zh-CN"/>
        </w:rPr>
        <w:t>投标</w:t>
      </w:r>
      <w:r>
        <w:rPr>
          <w:rFonts w:hint="eastAsia" w:ascii="宋体" w:hAnsi="宋体" w:eastAsia="宋体" w:cs="宋体"/>
          <w:bCs/>
          <w:color w:val="auto"/>
          <w:sz w:val="24"/>
          <w:szCs w:val="24"/>
          <w:highlight w:val="none"/>
        </w:rPr>
        <w:t>保证金。</w:t>
      </w:r>
    </w:p>
    <w:p w14:paraId="3A492CF9">
      <w:pPr>
        <w:keepNext w:val="0"/>
        <w:keepLines w:val="0"/>
        <w:pageBreakBefore w:val="0"/>
        <w:tabs>
          <w:tab w:val="left" w:pos="420"/>
          <w:tab w:val="left" w:pos="42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4.中标</w:t>
      </w:r>
      <w:r>
        <w:rPr>
          <w:rFonts w:hint="eastAsia" w:ascii="宋体" w:hAnsi="宋体" w:eastAsia="宋体" w:cs="宋体"/>
          <w:bCs/>
          <w:color w:val="auto"/>
          <w:sz w:val="24"/>
          <w:highlight w:val="none"/>
        </w:rPr>
        <w:t>（成交）</w:t>
      </w:r>
      <w:r>
        <w:rPr>
          <w:rFonts w:hint="eastAsia" w:ascii="宋体" w:hAnsi="宋体" w:eastAsia="宋体" w:cs="宋体"/>
          <w:bCs/>
          <w:color w:val="auto"/>
          <w:sz w:val="24"/>
          <w:szCs w:val="24"/>
          <w:highlight w:val="none"/>
        </w:rPr>
        <w:t>供应商的</w:t>
      </w:r>
      <w:r>
        <w:rPr>
          <w:rFonts w:hint="eastAsia" w:ascii="宋体" w:hAnsi="宋体" w:cs="宋体"/>
          <w:bCs/>
          <w:color w:val="auto"/>
          <w:sz w:val="24"/>
          <w:szCs w:val="24"/>
          <w:highlight w:val="none"/>
          <w:lang w:eastAsia="zh-CN"/>
        </w:rPr>
        <w:t>投标</w:t>
      </w:r>
      <w:r>
        <w:rPr>
          <w:rFonts w:hint="eastAsia" w:ascii="宋体" w:hAnsi="宋体" w:eastAsia="宋体" w:cs="宋体"/>
          <w:bCs/>
          <w:color w:val="auto"/>
          <w:sz w:val="24"/>
          <w:szCs w:val="24"/>
          <w:highlight w:val="none"/>
        </w:rPr>
        <w:t>保证金将在合同生效后5个工作日内原路退还。</w:t>
      </w:r>
    </w:p>
    <w:p w14:paraId="3BC7302B">
      <w:pPr>
        <w:keepNext w:val="0"/>
        <w:keepLines w:val="0"/>
        <w:pageBreakBefore w:val="0"/>
        <w:tabs>
          <w:tab w:val="left" w:pos="420"/>
          <w:tab w:val="left" w:pos="42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5.中标</w:t>
      </w:r>
      <w:r>
        <w:rPr>
          <w:rFonts w:hint="eastAsia" w:ascii="宋体" w:hAnsi="宋体" w:eastAsia="宋体" w:cs="宋体"/>
          <w:bCs/>
          <w:color w:val="auto"/>
          <w:sz w:val="24"/>
          <w:highlight w:val="none"/>
        </w:rPr>
        <w:t>（成交）</w:t>
      </w:r>
      <w:r>
        <w:rPr>
          <w:rFonts w:hint="eastAsia" w:ascii="宋体" w:hAnsi="宋体" w:eastAsia="宋体" w:cs="宋体"/>
          <w:bCs/>
          <w:color w:val="auto"/>
          <w:sz w:val="24"/>
          <w:szCs w:val="24"/>
          <w:highlight w:val="none"/>
        </w:rPr>
        <w:t>供应商有下列情形之一的，采购人不予退还其交纳的</w:t>
      </w:r>
      <w:r>
        <w:rPr>
          <w:rFonts w:hint="eastAsia" w:ascii="宋体" w:hAnsi="宋体" w:cs="宋体"/>
          <w:bCs/>
          <w:color w:val="auto"/>
          <w:sz w:val="24"/>
          <w:szCs w:val="24"/>
          <w:highlight w:val="none"/>
          <w:lang w:eastAsia="zh-CN"/>
        </w:rPr>
        <w:t>投标</w:t>
      </w:r>
      <w:r>
        <w:rPr>
          <w:rFonts w:hint="eastAsia" w:ascii="宋体" w:hAnsi="宋体" w:eastAsia="宋体" w:cs="宋体"/>
          <w:bCs/>
          <w:color w:val="auto"/>
          <w:sz w:val="24"/>
          <w:szCs w:val="24"/>
          <w:highlight w:val="none"/>
        </w:rPr>
        <w:t>保证金；情节严重的，由财政部门将其列入不良行为记录名单，在一至三年内禁止参加政府采购活动，并予以通报：</w:t>
      </w:r>
    </w:p>
    <w:p w14:paraId="7A9BD671">
      <w:pPr>
        <w:keepNext w:val="0"/>
        <w:keepLines w:val="0"/>
        <w:pageBreakBefore w:val="0"/>
        <w:tabs>
          <w:tab w:val="left" w:pos="420"/>
          <w:tab w:val="left" w:pos="42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中标（成交）后无正当理由不与采购人签订合同的；</w:t>
      </w:r>
    </w:p>
    <w:p w14:paraId="579590DB">
      <w:pPr>
        <w:keepNext w:val="0"/>
        <w:keepLines w:val="0"/>
        <w:pageBreakBefore w:val="0"/>
        <w:tabs>
          <w:tab w:val="left" w:pos="420"/>
          <w:tab w:val="left" w:pos="42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将中标（成交）项目转让给他人，或者在</w:t>
      </w:r>
      <w:r>
        <w:rPr>
          <w:rFonts w:hint="eastAsia" w:ascii="宋体" w:hAnsi="宋体" w:cs="宋体"/>
          <w:bCs/>
          <w:color w:val="auto"/>
          <w:sz w:val="24"/>
          <w:szCs w:val="24"/>
          <w:highlight w:val="none"/>
          <w:lang w:eastAsia="zh-CN"/>
        </w:rPr>
        <w:t>投标文件</w:t>
      </w:r>
      <w:r>
        <w:rPr>
          <w:rFonts w:hint="eastAsia" w:ascii="宋体" w:hAnsi="宋体" w:eastAsia="宋体" w:cs="宋体"/>
          <w:bCs/>
          <w:color w:val="auto"/>
          <w:sz w:val="24"/>
          <w:szCs w:val="24"/>
          <w:highlight w:val="none"/>
        </w:rPr>
        <w:t>中未说明，且未经过采购人同意，将中标（成交）项目分包给他人的；</w:t>
      </w:r>
    </w:p>
    <w:p w14:paraId="5B23DDDD">
      <w:pPr>
        <w:keepNext w:val="0"/>
        <w:keepLines w:val="0"/>
        <w:pageBreakBefore w:val="0"/>
        <w:tabs>
          <w:tab w:val="left" w:pos="420"/>
          <w:tab w:val="left" w:pos="42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拒绝履行合同义务的；</w:t>
      </w:r>
    </w:p>
    <w:p w14:paraId="7865EA1A">
      <w:pPr>
        <w:keepNext w:val="0"/>
        <w:keepLines w:val="0"/>
        <w:pageBreakBefore w:val="0"/>
        <w:tabs>
          <w:tab w:val="left" w:pos="420"/>
          <w:tab w:val="left" w:pos="42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供应商采用不正当的手段骗取中标；</w:t>
      </w:r>
    </w:p>
    <w:p w14:paraId="450C0D6D">
      <w:pPr>
        <w:keepNext w:val="0"/>
        <w:keepLines w:val="0"/>
        <w:pageBreakBefore w:val="0"/>
        <w:tabs>
          <w:tab w:val="left" w:pos="420"/>
          <w:tab w:val="left" w:pos="42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eastAsia="zh-CN"/>
        </w:rPr>
        <w:t>招标文件</w:t>
      </w:r>
      <w:r>
        <w:rPr>
          <w:rFonts w:hint="eastAsia" w:ascii="宋体" w:hAnsi="宋体" w:eastAsia="宋体" w:cs="宋体"/>
          <w:bCs/>
          <w:color w:val="auto"/>
          <w:sz w:val="24"/>
          <w:szCs w:val="24"/>
          <w:highlight w:val="none"/>
        </w:rPr>
        <w:t>规定的其他情形。</w:t>
      </w:r>
    </w:p>
    <w:p w14:paraId="60AD5895">
      <w:pPr>
        <w:keepNext w:val="0"/>
        <w:keepLines w:val="0"/>
        <w:pageBreakBefore w:val="0"/>
        <w:spacing w:line="360" w:lineRule="auto"/>
        <w:ind w:firstLine="240"/>
        <w:outlineLvl w:val="9"/>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（十四）中标无效的确认：</w:t>
      </w:r>
    </w:p>
    <w:p w14:paraId="673B3C98">
      <w:pPr>
        <w:keepNext w:val="0"/>
        <w:keepLines w:val="0"/>
        <w:pageBreakBefore w:val="0"/>
        <w:spacing w:line="360" w:lineRule="auto"/>
        <w:ind w:firstLine="513"/>
        <w:outlineLvl w:val="9"/>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若有充分证据证明，中标人出现下列情况之一的，一经查实，将被取消中标资格：</w:t>
      </w:r>
    </w:p>
    <w:p w14:paraId="1C700D1B">
      <w:pPr>
        <w:keepNext w:val="0"/>
        <w:keepLines w:val="0"/>
        <w:pageBreakBefore w:val="0"/>
        <w:spacing w:line="360" w:lineRule="auto"/>
        <w:ind w:firstLine="513"/>
        <w:outlineLvl w:val="9"/>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lang w:val="en-US" w:eastAsia="zh-CN"/>
        </w:rPr>
        <w:t>1）</w:t>
      </w:r>
      <w:r>
        <w:rPr>
          <w:rFonts w:hint="eastAsia" w:ascii="宋体" w:hAnsi="宋体" w:eastAsia="宋体" w:cs="宋体"/>
          <w:color w:val="auto"/>
          <w:sz w:val="24"/>
          <w:szCs w:val="22"/>
          <w:highlight w:val="none"/>
        </w:rPr>
        <w:t>提供虚假材料谋取中标的。</w:t>
      </w:r>
    </w:p>
    <w:p w14:paraId="0B62161F">
      <w:pPr>
        <w:keepNext w:val="0"/>
        <w:keepLines w:val="0"/>
        <w:pageBreakBefore w:val="0"/>
        <w:spacing w:line="360" w:lineRule="auto"/>
        <w:ind w:firstLine="513"/>
        <w:outlineLvl w:val="9"/>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lang w:val="en-US" w:eastAsia="zh-CN"/>
        </w:rPr>
        <w:t>2）</w:t>
      </w:r>
      <w:r>
        <w:rPr>
          <w:rFonts w:hint="eastAsia" w:ascii="宋体" w:hAnsi="宋体" w:eastAsia="宋体" w:cs="宋体"/>
          <w:color w:val="auto"/>
          <w:sz w:val="24"/>
          <w:szCs w:val="22"/>
          <w:highlight w:val="none"/>
        </w:rPr>
        <w:t>向采购人、</w:t>
      </w:r>
      <w:r>
        <w:rPr>
          <w:rFonts w:hint="eastAsia" w:ascii="宋体" w:hAnsi="宋体" w:cs="宋体"/>
          <w:color w:val="auto"/>
          <w:sz w:val="24"/>
          <w:szCs w:val="22"/>
          <w:highlight w:val="none"/>
          <w:lang w:val="en-US" w:eastAsia="zh-CN"/>
        </w:rPr>
        <w:t>代理机构行贿</w:t>
      </w:r>
      <w:r>
        <w:rPr>
          <w:rFonts w:hint="eastAsia" w:ascii="宋体" w:hAnsi="宋体" w:eastAsia="宋体" w:cs="宋体"/>
          <w:color w:val="auto"/>
          <w:sz w:val="24"/>
          <w:szCs w:val="22"/>
          <w:highlight w:val="none"/>
        </w:rPr>
        <w:t>或者提供其他不正当利益的。</w:t>
      </w:r>
    </w:p>
    <w:p w14:paraId="24520DB9">
      <w:pPr>
        <w:keepNext w:val="0"/>
        <w:keepLines w:val="0"/>
        <w:pageBreakBefore w:val="0"/>
        <w:spacing w:line="360" w:lineRule="auto"/>
        <w:ind w:firstLine="513"/>
        <w:outlineLvl w:val="9"/>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lang w:val="en-US" w:eastAsia="zh-CN"/>
        </w:rPr>
        <w:t>3）</w:t>
      </w:r>
      <w:r>
        <w:rPr>
          <w:rFonts w:hint="eastAsia" w:ascii="宋体" w:hAnsi="宋体" w:eastAsia="宋体" w:cs="宋体"/>
          <w:color w:val="auto"/>
          <w:sz w:val="24"/>
          <w:szCs w:val="22"/>
          <w:highlight w:val="none"/>
        </w:rPr>
        <w:t>属于本文件规定的无效投标文件条件的，但在评标过程中又未被评委会发现的。</w:t>
      </w:r>
    </w:p>
    <w:p w14:paraId="055AE3E5">
      <w:pPr>
        <w:keepNext w:val="0"/>
        <w:keepLines w:val="0"/>
        <w:pageBreakBefore w:val="0"/>
        <w:spacing w:line="360" w:lineRule="auto"/>
        <w:ind w:firstLine="513"/>
        <w:outlineLvl w:val="9"/>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lang w:val="en-US" w:eastAsia="zh-CN"/>
        </w:rPr>
        <w:t>4）</w:t>
      </w:r>
      <w:r>
        <w:rPr>
          <w:rFonts w:hint="eastAsia" w:ascii="宋体" w:hAnsi="宋体" w:eastAsia="宋体" w:cs="宋体"/>
          <w:color w:val="auto"/>
          <w:sz w:val="24"/>
          <w:szCs w:val="22"/>
          <w:highlight w:val="none"/>
        </w:rPr>
        <w:t>与采购人或者其他供应商恶意串通的。</w:t>
      </w:r>
    </w:p>
    <w:p w14:paraId="26049A79">
      <w:pPr>
        <w:keepNext w:val="0"/>
        <w:keepLines w:val="0"/>
        <w:pageBreakBefore w:val="0"/>
        <w:spacing w:line="360" w:lineRule="auto"/>
        <w:ind w:firstLine="513"/>
        <w:outlineLvl w:val="9"/>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lang w:val="en-US" w:eastAsia="zh-CN"/>
        </w:rPr>
        <w:t>5）</w:t>
      </w:r>
      <w:r>
        <w:rPr>
          <w:rFonts w:hint="eastAsia" w:ascii="宋体" w:hAnsi="宋体" w:eastAsia="宋体" w:cs="宋体"/>
          <w:color w:val="auto"/>
          <w:sz w:val="24"/>
          <w:szCs w:val="22"/>
          <w:highlight w:val="none"/>
        </w:rPr>
        <w:t>采取不正当手段诋毁、排挤其他供应商的。</w:t>
      </w:r>
    </w:p>
    <w:p w14:paraId="5CF41E2B">
      <w:pPr>
        <w:keepNext w:val="0"/>
        <w:keepLines w:val="0"/>
        <w:pageBreakBefore w:val="0"/>
        <w:spacing w:line="360" w:lineRule="auto"/>
        <w:ind w:firstLine="513"/>
        <w:outlineLvl w:val="9"/>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lang w:val="en-US" w:eastAsia="zh-CN"/>
        </w:rPr>
        <w:t>6）</w:t>
      </w:r>
      <w:r>
        <w:rPr>
          <w:rFonts w:hint="eastAsia" w:ascii="宋体" w:hAnsi="宋体" w:eastAsia="宋体" w:cs="宋体"/>
          <w:color w:val="auto"/>
          <w:sz w:val="24"/>
          <w:szCs w:val="22"/>
          <w:highlight w:val="none"/>
        </w:rPr>
        <w:t>在招标过程中与采购人进行协商谈判、不按照招标文件和中标供应商的投标文件订立合同，或者与采购人另行订立背离合同实质性内容的协议的；</w:t>
      </w:r>
    </w:p>
    <w:p w14:paraId="5A667ED4">
      <w:pPr>
        <w:keepNext w:val="0"/>
        <w:keepLines w:val="0"/>
        <w:pageBreakBefore w:val="0"/>
        <w:spacing w:line="360" w:lineRule="auto"/>
        <w:ind w:firstLine="513"/>
        <w:outlineLvl w:val="9"/>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lang w:val="en-US" w:eastAsia="zh-CN"/>
        </w:rPr>
        <w:t>7）</w:t>
      </w:r>
      <w:r>
        <w:rPr>
          <w:rFonts w:hint="eastAsia" w:ascii="宋体" w:hAnsi="宋体" w:eastAsia="宋体" w:cs="宋体"/>
          <w:color w:val="auto"/>
          <w:sz w:val="24"/>
          <w:szCs w:val="22"/>
          <w:highlight w:val="none"/>
        </w:rPr>
        <w:t>拒绝有关部门监督检查或者提供虚假情况的。</w:t>
      </w:r>
    </w:p>
    <w:p w14:paraId="21F49F4A">
      <w:pPr>
        <w:keepNext w:val="0"/>
        <w:keepLines w:val="0"/>
        <w:pageBreakBefore w:val="0"/>
        <w:spacing w:line="360" w:lineRule="auto"/>
        <w:ind w:firstLine="240"/>
        <w:outlineLvl w:val="9"/>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（十五）投标无效：</w:t>
      </w:r>
    </w:p>
    <w:p w14:paraId="043E5049">
      <w:pPr>
        <w:keepNext w:val="0"/>
        <w:keepLines w:val="0"/>
        <w:pageBreakBefore w:val="0"/>
        <w:spacing w:line="360" w:lineRule="auto"/>
        <w:ind w:firstLine="513"/>
        <w:outlineLvl w:val="9"/>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有下列情形之一的，视为</w:t>
      </w:r>
      <w:r>
        <w:rPr>
          <w:rFonts w:hint="eastAsia" w:ascii="宋体" w:hAnsi="宋体" w:cs="宋体"/>
          <w:color w:val="auto"/>
          <w:sz w:val="24"/>
          <w:szCs w:val="22"/>
          <w:highlight w:val="none"/>
          <w:lang w:eastAsia="zh-CN"/>
        </w:rPr>
        <w:t>投标供应商</w:t>
      </w:r>
      <w:r>
        <w:rPr>
          <w:rFonts w:hint="eastAsia" w:ascii="宋体" w:hAnsi="宋体" w:eastAsia="宋体" w:cs="宋体"/>
          <w:color w:val="auto"/>
          <w:sz w:val="24"/>
          <w:szCs w:val="22"/>
          <w:highlight w:val="none"/>
        </w:rPr>
        <w:t>串通投标，投标无效：</w:t>
      </w:r>
    </w:p>
    <w:p w14:paraId="53D151DE">
      <w:pPr>
        <w:keepNext w:val="0"/>
        <w:keepLines w:val="0"/>
        <w:pageBreakBefore w:val="0"/>
        <w:spacing w:line="360" w:lineRule="auto"/>
        <w:ind w:firstLine="513"/>
        <w:outlineLvl w:val="9"/>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lang w:val="en-US" w:eastAsia="zh-CN"/>
        </w:rPr>
        <w:t>1）</w:t>
      </w:r>
      <w:r>
        <w:rPr>
          <w:rFonts w:hint="eastAsia" w:ascii="宋体" w:hAnsi="宋体" w:eastAsia="宋体" w:cs="宋体"/>
          <w:color w:val="auto"/>
          <w:sz w:val="24"/>
          <w:szCs w:val="22"/>
          <w:highlight w:val="none"/>
        </w:rPr>
        <w:t>不同</w:t>
      </w:r>
      <w:r>
        <w:rPr>
          <w:rFonts w:hint="eastAsia" w:ascii="宋体" w:hAnsi="宋体" w:cs="宋体"/>
          <w:color w:val="auto"/>
          <w:sz w:val="24"/>
          <w:szCs w:val="22"/>
          <w:highlight w:val="none"/>
          <w:lang w:eastAsia="zh-CN"/>
        </w:rPr>
        <w:t>投标供应商</w:t>
      </w:r>
      <w:r>
        <w:rPr>
          <w:rFonts w:hint="eastAsia" w:ascii="宋体" w:hAnsi="宋体" w:eastAsia="宋体" w:cs="宋体"/>
          <w:color w:val="auto"/>
          <w:sz w:val="24"/>
          <w:szCs w:val="22"/>
          <w:highlight w:val="none"/>
        </w:rPr>
        <w:t>的投标文件由同一单位或者个人编制。</w:t>
      </w:r>
    </w:p>
    <w:p w14:paraId="6CF80501">
      <w:pPr>
        <w:keepNext w:val="0"/>
        <w:keepLines w:val="0"/>
        <w:pageBreakBefore w:val="0"/>
        <w:spacing w:line="360" w:lineRule="auto"/>
        <w:ind w:firstLine="513"/>
        <w:outlineLvl w:val="9"/>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lang w:val="en-US" w:eastAsia="zh-CN"/>
        </w:rPr>
        <w:t>2）</w:t>
      </w:r>
      <w:r>
        <w:rPr>
          <w:rFonts w:hint="eastAsia" w:ascii="宋体" w:hAnsi="宋体" w:eastAsia="宋体" w:cs="宋体"/>
          <w:color w:val="auto"/>
          <w:sz w:val="24"/>
          <w:szCs w:val="22"/>
          <w:highlight w:val="none"/>
        </w:rPr>
        <w:t>不同</w:t>
      </w:r>
      <w:r>
        <w:rPr>
          <w:rFonts w:hint="eastAsia" w:ascii="宋体" w:hAnsi="宋体" w:cs="宋体"/>
          <w:color w:val="auto"/>
          <w:sz w:val="24"/>
          <w:szCs w:val="22"/>
          <w:highlight w:val="none"/>
          <w:lang w:eastAsia="zh-CN"/>
        </w:rPr>
        <w:t>投标供应商</w:t>
      </w:r>
      <w:r>
        <w:rPr>
          <w:rFonts w:hint="eastAsia" w:ascii="宋体" w:hAnsi="宋体" w:eastAsia="宋体" w:cs="宋体"/>
          <w:color w:val="auto"/>
          <w:sz w:val="24"/>
          <w:szCs w:val="22"/>
          <w:highlight w:val="none"/>
        </w:rPr>
        <w:t>委托同一单位或者个人办理投标事宜。</w:t>
      </w:r>
    </w:p>
    <w:p w14:paraId="1743FE68">
      <w:pPr>
        <w:keepNext w:val="0"/>
        <w:keepLines w:val="0"/>
        <w:pageBreakBefore w:val="0"/>
        <w:spacing w:line="360" w:lineRule="auto"/>
        <w:ind w:firstLine="513"/>
        <w:outlineLvl w:val="9"/>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lang w:val="en-US" w:eastAsia="zh-CN"/>
        </w:rPr>
        <w:t>3）</w:t>
      </w:r>
      <w:r>
        <w:rPr>
          <w:rFonts w:hint="eastAsia" w:ascii="宋体" w:hAnsi="宋体" w:eastAsia="宋体" w:cs="宋体"/>
          <w:color w:val="auto"/>
          <w:sz w:val="24"/>
          <w:szCs w:val="22"/>
          <w:highlight w:val="none"/>
        </w:rPr>
        <w:t>不同</w:t>
      </w:r>
      <w:r>
        <w:rPr>
          <w:rFonts w:hint="eastAsia" w:ascii="宋体" w:hAnsi="宋体" w:cs="宋体"/>
          <w:color w:val="auto"/>
          <w:sz w:val="24"/>
          <w:szCs w:val="22"/>
          <w:highlight w:val="none"/>
          <w:lang w:eastAsia="zh-CN"/>
        </w:rPr>
        <w:t>投标供应商</w:t>
      </w:r>
      <w:r>
        <w:rPr>
          <w:rFonts w:hint="eastAsia" w:ascii="宋体" w:hAnsi="宋体" w:eastAsia="宋体" w:cs="宋体"/>
          <w:color w:val="auto"/>
          <w:sz w:val="24"/>
          <w:szCs w:val="22"/>
          <w:highlight w:val="none"/>
        </w:rPr>
        <w:t>的投标文件载明的项目管理成员或者联系人员为同一人。</w:t>
      </w:r>
    </w:p>
    <w:p w14:paraId="16D6A09D">
      <w:pPr>
        <w:keepNext w:val="0"/>
        <w:keepLines w:val="0"/>
        <w:pageBreakBefore w:val="0"/>
        <w:spacing w:line="360" w:lineRule="auto"/>
        <w:ind w:firstLine="513"/>
        <w:outlineLvl w:val="9"/>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eastAsia="zh-CN"/>
        </w:rPr>
        <w:t>（</w:t>
      </w:r>
      <w:r>
        <w:rPr>
          <w:rFonts w:hint="eastAsia" w:ascii="宋体" w:hAnsi="宋体" w:cs="宋体"/>
          <w:color w:val="auto"/>
          <w:sz w:val="24"/>
          <w:szCs w:val="22"/>
          <w:highlight w:val="none"/>
          <w:lang w:val="en-US" w:eastAsia="zh-CN"/>
        </w:rPr>
        <w:t>4）</w:t>
      </w:r>
      <w:r>
        <w:rPr>
          <w:rFonts w:hint="eastAsia" w:ascii="宋体" w:hAnsi="宋体" w:eastAsia="宋体" w:cs="宋体"/>
          <w:color w:val="auto"/>
          <w:sz w:val="24"/>
          <w:szCs w:val="22"/>
          <w:highlight w:val="none"/>
        </w:rPr>
        <w:t>不同</w:t>
      </w:r>
      <w:r>
        <w:rPr>
          <w:rFonts w:hint="eastAsia" w:ascii="宋体" w:hAnsi="宋体" w:cs="宋体"/>
          <w:color w:val="auto"/>
          <w:sz w:val="24"/>
          <w:szCs w:val="22"/>
          <w:highlight w:val="none"/>
          <w:lang w:eastAsia="zh-CN"/>
        </w:rPr>
        <w:t>投标供应商</w:t>
      </w:r>
      <w:r>
        <w:rPr>
          <w:rFonts w:hint="eastAsia" w:ascii="宋体" w:hAnsi="宋体" w:eastAsia="宋体" w:cs="宋体"/>
          <w:color w:val="auto"/>
          <w:sz w:val="24"/>
          <w:szCs w:val="22"/>
          <w:highlight w:val="none"/>
        </w:rPr>
        <w:t>的投标文件异常一致或者投标报价呈规律性差异。</w:t>
      </w:r>
    </w:p>
    <w:p w14:paraId="60F50888">
      <w:pPr>
        <w:keepNext w:val="0"/>
        <w:keepLines w:val="0"/>
        <w:pageBreakBefore w:val="0"/>
        <w:spacing w:line="360" w:lineRule="auto"/>
        <w:ind w:firstLine="240"/>
        <w:outlineLvl w:val="9"/>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（十六）签订、履行合同：</w:t>
      </w:r>
    </w:p>
    <w:p w14:paraId="1918A6F9">
      <w:pPr>
        <w:keepNext w:val="0"/>
        <w:keepLines w:val="0"/>
        <w:pageBreakBefore w:val="0"/>
        <w:numPr>
          <w:ilvl w:val="0"/>
          <w:numId w:val="0"/>
        </w:numPr>
        <w:tabs>
          <w:tab w:val="left" w:pos="525"/>
          <w:tab w:val="left" w:pos="552"/>
          <w:tab w:val="left" w:pos="1050"/>
        </w:tabs>
        <w:spacing w:line="360" w:lineRule="auto"/>
        <w:ind w:left="0"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采购人应当自中标通知书发出之日起三十日内，按照</w:t>
      </w:r>
      <w:r>
        <w:rPr>
          <w:rFonts w:hint="eastAsia" w:ascii="宋体" w:hAnsi="宋体" w:cs="宋体"/>
          <w:bCs/>
          <w:color w:val="auto"/>
          <w:sz w:val="24"/>
          <w:highlight w:val="none"/>
          <w:lang w:eastAsia="zh-CN"/>
        </w:rPr>
        <w:t>招标文件</w:t>
      </w:r>
      <w:r>
        <w:rPr>
          <w:rFonts w:hint="eastAsia" w:ascii="宋体" w:hAnsi="宋体" w:eastAsia="宋体" w:cs="宋体"/>
          <w:bCs/>
          <w:color w:val="auto"/>
          <w:sz w:val="24"/>
          <w:highlight w:val="none"/>
        </w:rPr>
        <w:t>和中标供应商</w:t>
      </w:r>
      <w:r>
        <w:rPr>
          <w:rFonts w:hint="eastAsia" w:ascii="宋体" w:hAnsi="宋体" w:cs="宋体"/>
          <w:bCs/>
          <w:color w:val="auto"/>
          <w:sz w:val="24"/>
          <w:highlight w:val="none"/>
          <w:lang w:eastAsia="zh-CN"/>
        </w:rPr>
        <w:t>投标文件</w:t>
      </w:r>
      <w:r>
        <w:rPr>
          <w:rFonts w:hint="eastAsia" w:ascii="宋体" w:hAnsi="宋体" w:eastAsia="宋体" w:cs="宋体"/>
          <w:bCs/>
          <w:color w:val="auto"/>
          <w:sz w:val="24"/>
          <w:highlight w:val="none"/>
        </w:rPr>
        <w:t>的约定，与中标供应商签订政府采购合同。所签订的合同不得对</w:t>
      </w:r>
      <w:r>
        <w:rPr>
          <w:rFonts w:hint="eastAsia" w:ascii="宋体" w:hAnsi="宋体" w:cs="宋体"/>
          <w:bCs/>
          <w:color w:val="auto"/>
          <w:sz w:val="24"/>
          <w:highlight w:val="none"/>
          <w:lang w:eastAsia="zh-CN"/>
        </w:rPr>
        <w:t>招标文件</w:t>
      </w:r>
      <w:r>
        <w:rPr>
          <w:rFonts w:hint="eastAsia" w:ascii="宋体" w:hAnsi="宋体" w:eastAsia="宋体" w:cs="宋体"/>
          <w:bCs/>
          <w:color w:val="auto"/>
          <w:sz w:val="24"/>
          <w:highlight w:val="none"/>
        </w:rPr>
        <w:t>和中标供应商</w:t>
      </w:r>
      <w:r>
        <w:rPr>
          <w:rFonts w:hint="eastAsia" w:ascii="宋体" w:hAnsi="宋体" w:cs="宋体"/>
          <w:bCs/>
          <w:color w:val="auto"/>
          <w:sz w:val="24"/>
          <w:highlight w:val="none"/>
          <w:lang w:eastAsia="zh-CN"/>
        </w:rPr>
        <w:t>投标文件</w:t>
      </w:r>
      <w:r>
        <w:rPr>
          <w:rFonts w:hint="eastAsia" w:ascii="宋体" w:hAnsi="宋体" w:eastAsia="宋体" w:cs="宋体"/>
          <w:bCs/>
          <w:color w:val="auto"/>
          <w:sz w:val="24"/>
          <w:highlight w:val="none"/>
        </w:rPr>
        <w:t>作实质性修改。采购人不得向中标供应商提出任何不合理的要求，作为签订合同的条件，不得与中标供应商私下订立背离合同实质性内容的协议。招标文件、中标人的投标文件及招标过程中有关澄清、承诺文件均应作为合同附件。合同经</w:t>
      </w:r>
      <w:r>
        <w:rPr>
          <w:rFonts w:hint="eastAsia" w:ascii="宋体" w:hAnsi="宋体" w:cs="宋体"/>
          <w:bCs/>
          <w:color w:val="auto"/>
          <w:sz w:val="24"/>
          <w:highlight w:val="none"/>
          <w:lang w:eastAsia="zh-CN"/>
        </w:rPr>
        <w:t>北京中昌工程咨询有限公司</w:t>
      </w:r>
      <w:r>
        <w:rPr>
          <w:rFonts w:hint="eastAsia" w:ascii="宋体" w:hAnsi="宋体" w:eastAsia="宋体" w:cs="宋体"/>
          <w:bCs/>
          <w:color w:val="auto"/>
          <w:sz w:val="24"/>
          <w:highlight w:val="none"/>
        </w:rPr>
        <w:t>见证后生效。</w:t>
      </w:r>
    </w:p>
    <w:p w14:paraId="57CA7CC2">
      <w:pPr>
        <w:keepNext w:val="0"/>
        <w:keepLines w:val="0"/>
        <w:pageBreakBefore w:val="0"/>
        <w:numPr>
          <w:ilvl w:val="0"/>
          <w:numId w:val="0"/>
        </w:numPr>
        <w:tabs>
          <w:tab w:val="left" w:pos="525"/>
          <w:tab w:val="left" w:pos="552"/>
          <w:tab w:val="left" w:pos="1050"/>
        </w:tabs>
        <w:spacing w:line="360" w:lineRule="auto"/>
        <w:ind w:left="0" w:firstLine="48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2.中标</w:t>
      </w:r>
      <w:r>
        <w:rPr>
          <w:rFonts w:hint="eastAsia" w:ascii="宋体" w:hAnsi="宋体" w:cs="宋体"/>
          <w:bCs/>
          <w:color w:val="auto"/>
          <w:sz w:val="24"/>
          <w:highlight w:val="none"/>
          <w:lang w:val="en-US" w:eastAsia="zh-CN"/>
        </w:rPr>
        <w:t>供应商</w:t>
      </w:r>
      <w:r>
        <w:rPr>
          <w:rFonts w:hint="eastAsia" w:ascii="宋体" w:hAnsi="宋体" w:eastAsia="宋体" w:cs="宋体"/>
          <w:bCs/>
          <w:color w:val="auto"/>
          <w:sz w:val="24"/>
          <w:highlight w:val="none"/>
          <w:lang w:val="en-US" w:eastAsia="zh-CN"/>
        </w:rPr>
        <w:t>非因不可抗力未履行招、投标文件和合同规定的义务，一经查实，采购代理机构将根据具体情况提请政府采购管理部门作出相应处理。</w:t>
      </w:r>
    </w:p>
    <w:p w14:paraId="7C8BEC52">
      <w:pPr>
        <w:keepNext w:val="0"/>
        <w:keepLines w:val="0"/>
        <w:pageBreakBefore w:val="0"/>
        <w:numPr>
          <w:ilvl w:val="0"/>
          <w:numId w:val="0"/>
        </w:numPr>
        <w:tabs>
          <w:tab w:val="left" w:pos="525"/>
          <w:tab w:val="left" w:pos="552"/>
          <w:tab w:val="left" w:pos="1050"/>
        </w:tabs>
        <w:spacing w:line="360" w:lineRule="auto"/>
        <w:ind w:left="0" w:firstLine="48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签订合同后，中标</w:t>
      </w:r>
      <w:r>
        <w:rPr>
          <w:rFonts w:hint="eastAsia" w:ascii="宋体" w:hAnsi="宋体" w:cs="宋体"/>
          <w:bCs/>
          <w:color w:val="auto"/>
          <w:sz w:val="24"/>
          <w:highlight w:val="none"/>
          <w:lang w:val="en-US" w:eastAsia="zh-CN"/>
        </w:rPr>
        <w:t>供应商</w:t>
      </w:r>
      <w:r>
        <w:rPr>
          <w:rFonts w:hint="eastAsia" w:ascii="宋体" w:hAnsi="宋体" w:eastAsia="宋体" w:cs="宋体"/>
          <w:bCs/>
          <w:color w:val="auto"/>
          <w:sz w:val="24"/>
          <w:highlight w:val="none"/>
          <w:lang w:val="en-US" w:eastAsia="zh-CN"/>
        </w:rPr>
        <w:t>不得将合同标的进行转包。未经采购人同意，中标</w:t>
      </w:r>
      <w:r>
        <w:rPr>
          <w:rFonts w:hint="eastAsia" w:ascii="宋体" w:hAnsi="宋体" w:cs="宋体"/>
          <w:bCs/>
          <w:color w:val="auto"/>
          <w:sz w:val="24"/>
          <w:highlight w:val="none"/>
          <w:lang w:val="en-US" w:eastAsia="zh-CN"/>
        </w:rPr>
        <w:t>供应商</w:t>
      </w:r>
      <w:r>
        <w:rPr>
          <w:rFonts w:hint="eastAsia" w:ascii="宋体" w:hAnsi="宋体" w:eastAsia="宋体" w:cs="宋体"/>
          <w:bCs/>
          <w:color w:val="auto"/>
          <w:sz w:val="24"/>
          <w:highlight w:val="none"/>
          <w:lang w:val="en-US" w:eastAsia="zh-CN"/>
        </w:rPr>
        <w:t>也不得采用分包的形式履行合同，否则采购人有权终止合同。转包或分包造成采购人损失的，中标</w:t>
      </w:r>
      <w:r>
        <w:rPr>
          <w:rFonts w:hint="eastAsia" w:ascii="宋体" w:hAnsi="宋体" w:cs="宋体"/>
          <w:bCs/>
          <w:color w:val="auto"/>
          <w:sz w:val="24"/>
          <w:highlight w:val="none"/>
          <w:lang w:val="en-US" w:eastAsia="zh-CN"/>
        </w:rPr>
        <w:t>供应商</w:t>
      </w:r>
      <w:r>
        <w:rPr>
          <w:rFonts w:hint="eastAsia" w:ascii="宋体" w:hAnsi="宋体" w:eastAsia="宋体" w:cs="宋体"/>
          <w:bCs/>
          <w:color w:val="auto"/>
          <w:sz w:val="24"/>
          <w:highlight w:val="none"/>
          <w:lang w:val="en-US" w:eastAsia="zh-CN"/>
        </w:rPr>
        <w:t>应承担相应赔偿责任。</w:t>
      </w:r>
    </w:p>
    <w:p w14:paraId="56B82D6E">
      <w:pPr>
        <w:keepNext w:val="0"/>
        <w:keepLines w:val="0"/>
        <w:pageBreakBefore w:val="0"/>
        <w:numPr>
          <w:ilvl w:val="0"/>
          <w:numId w:val="0"/>
        </w:numPr>
        <w:tabs>
          <w:tab w:val="left" w:pos="525"/>
          <w:tab w:val="left" w:pos="552"/>
          <w:tab w:val="left" w:pos="1050"/>
        </w:tabs>
        <w:spacing w:line="360" w:lineRule="auto"/>
        <w:ind w:left="0" w:firstLine="480"/>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4.</w:t>
      </w:r>
      <w:r>
        <w:rPr>
          <w:rFonts w:hint="eastAsia" w:ascii="宋体" w:hAnsi="宋体" w:eastAsia="宋体" w:cs="宋体"/>
          <w:bCs/>
          <w:color w:val="auto"/>
          <w:sz w:val="24"/>
          <w:highlight w:val="none"/>
          <w:lang w:val="en-US" w:eastAsia="zh-CN"/>
        </w:rPr>
        <w:t>政府采购合同履行中，采购人需追加与合同标的相同的服务（包含与服务相关的货物），在不改变合同其他条款的前提下，可以与中标人协商签订补充合同，但所有补充合同的采购金额不超过原合同金额的10%。</w:t>
      </w:r>
    </w:p>
    <w:p w14:paraId="7F9CC254">
      <w:pPr>
        <w:keepNext w:val="0"/>
        <w:keepLines w:val="0"/>
        <w:pageBreakBefore w:val="0"/>
        <w:spacing w:line="360" w:lineRule="auto"/>
        <w:ind w:firstLine="240"/>
        <w:outlineLvl w:val="9"/>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（十七）代理服务费：</w:t>
      </w:r>
    </w:p>
    <w:p w14:paraId="621ED24A">
      <w:pPr>
        <w:keepNext w:val="0"/>
        <w:keepLines w:val="0"/>
        <w:pageBreakBefore w:val="0"/>
        <w:spacing w:line="360" w:lineRule="auto"/>
        <w:ind w:firstLine="480"/>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1.</w:t>
      </w:r>
      <w:r>
        <w:rPr>
          <w:rFonts w:hint="eastAsia" w:ascii="宋体" w:hAnsi="宋体" w:cs="宋体"/>
          <w:bCs/>
          <w:color w:val="auto"/>
          <w:sz w:val="24"/>
          <w:szCs w:val="22"/>
          <w:highlight w:val="none"/>
          <w:lang w:val="en-US" w:eastAsia="zh-CN"/>
        </w:rPr>
        <w:t>招标</w:t>
      </w:r>
      <w:r>
        <w:rPr>
          <w:rFonts w:hint="eastAsia" w:ascii="宋体" w:hAnsi="宋体" w:eastAsia="宋体" w:cs="宋体"/>
          <w:bCs/>
          <w:color w:val="auto"/>
          <w:sz w:val="24"/>
          <w:szCs w:val="22"/>
          <w:highlight w:val="none"/>
        </w:rPr>
        <w:t>代理服务费的收费标准如下：中标金额100万元以下的部分费率为中标金额的1.5%。中标金额</w:t>
      </w:r>
      <w:r>
        <w:rPr>
          <w:rFonts w:hint="eastAsia" w:ascii="宋体" w:hAnsi="宋体" w:cs="宋体"/>
          <w:bCs/>
          <w:color w:val="auto"/>
          <w:sz w:val="24"/>
          <w:szCs w:val="22"/>
          <w:highlight w:val="none"/>
          <w:lang w:eastAsia="zh-CN"/>
        </w:rPr>
        <w:t>100万—500万</w:t>
      </w:r>
      <w:r>
        <w:rPr>
          <w:rFonts w:hint="eastAsia" w:ascii="宋体" w:hAnsi="宋体" w:eastAsia="宋体" w:cs="宋体"/>
          <w:bCs/>
          <w:color w:val="auto"/>
          <w:sz w:val="24"/>
          <w:szCs w:val="22"/>
          <w:highlight w:val="none"/>
        </w:rPr>
        <w:t>部分费率为中标金额的0.8%，按上述标准的80%计取。</w:t>
      </w:r>
    </w:p>
    <w:p w14:paraId="01D5CBE5">
      <w:pPr>
        <w:keepNext w:val="0"/>
        <w:keepLines w:val="0"/>
        <w:pageBreakBefore w:val="0"/>
        <w:tabs>
          <w:tab w:val="left" w:pos="525"/>
          <w:tab w:val="left" w:pos="1050"/>
        </w:tabs>
        <w:spacing w:line="360" w:lineRule="auto"/>
        <w:ind w:left="0" w:firstLine="480"/>
        <w:rPr>
          <w:rFonts w:hint="eastAsia"/>
          <w:color w:val="auto"/>
          <w:highlight w:val="none"/>
        </w:rPr>
      </w:pPr>
      <w:r>
        <w:rPr>
          <w:rFonts w:hint="eastAsia" w:ascii="宋体" w:hAnsi="宋体" w:eastAsia="宋体" w:cs="宋体"/>
          <w:bCs/>
          <w:color w:val="auto"/>
          <w:sz w:val="24"/>
          <w:szCs w:val="22"/>
          <w:highlight w:val="none"/>
        </w:rPr>
        <w:t>2.本次招标的代理费用由招标人支付。</w:t>
      </w:r>
    </w:p>
    <w:p w14:paraId="032AE408">
      <w:pPr>
        <w:keepNext w:val="0"/>
        <w:keepLines w:val="0"/>
        <w:pageBreakBefore w:val="0"/>
        <w:spacing w:line="360" w:lineRule="auto"/>
        <w:ind w:firstLine="240"/>
        <w:outlineLvl w:val="9"/>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（十八）其他：</w:t>
      </w:r>
    </w:p>
    <w:p w14:paraId="3D39EDC1">
      <w:pPr>
        <w:keepNext w:val="0"/>
        <w:keepLines w:val="0"/>
        <w:pageBreakBefore w:val="0"/>
        <w:tabs>
          <w:tab w:val="left" w:pos="525"/>
          <w:tab w:val="left" w:pos="1050"/>
        </w:tabs>
        <w:spacing w:line="360" w:lineRule="auto"/>
        <w:ind w:left="132" w:firstLine="480"/>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招标文件</w:t>
      </w:r>
      <w:r>
        <w:rPr>
          <w:rFonts w:hint="eastAsia" w:ascii="宋体" w:hAnsi="宋体" w:eastAsia="宋体" w:cs="宋体"/>
          <w:bCs/>
          <w:color w:val="auto"/>
          <w:sz w:val="24"/>
          <w:highlight w:val="none"/>
        </w:rPr>
        <w:t>的条款必须认真审阅，</w:t>
      </w:r>
      <w:r>
        <w:rPr>
          <w:rFonts w:hint="eastAsia" w:ascii="宋体" w:hAnsi="宋体" w:cs="宋体"/>
          <w:bCs/>
          <w:color w:val="auto"/>
          <w:sz w:val="24"/>
          <w:highlight w:val="none"/>
          <w:lang w:val="en-US" w:eastAsia="zh-CN"/>
        </w:rPr>
        <w:t>投标</w:t>
      </w:r>
      <w:r>
        <w:rPr>
          <w:rFonts w:hint="eastAsia" w:ascii="宋体" w:hAnsi="宋体" w:eastAsia="宋体" w:cs="宋体"/>
          <w:bCs/>
          <w:color w:val="auto"/>
          <w:sz w:val="24"/>
          <w:highlight w:val="none"/>
        </w:rPr>
        <w:t>供应商应自行检查</w:t>
      </w:r>
      <w:r>
        <w:rPr>
          <w:rFonts w:hint="eastAsia" w:ascii="宋体" w:hAnsi="宋体" w:cs="宋体"/>
          <w:bCs/>
          <w:color w:val="auto"/>
          <w:sz w:val="24"/>
          <w:highlight w:val="none"/>
          <w:lang w:eastAsia="zh-CN"/>
        </w:rPr>
        <w:t>招标文件</w:t>
      </w:r>
      <w:r>
        <w:rPr>
          <w:rFonts w:hint="eastAsia" w:ascii="宋体" w:hAnsi="宋体" w:cs="宋体"/>
          <w:bCs/>
          <w:color w:val="auto"/>
          <w:sz w:val="24"/>
          <w:highlight w:val="none"/>
          <w:lang w:val="en-US" w:eastAsia="zh-CN"/>
        </w:rPr>
        <w:t>内容</w:t>
      </w:r>
      <w:r>
        <w:rPr>
          <w:rFonts w:hint="eastAsia" w:ascii="宋体" w:hAnsi="宋体" w:eastAsia="宋体" w:cs="宋体"/>
          <w:bCs/>
          <w:color w:val="auto"/>
          <w:sz w:val="24"/>
          <w:highlight w:val="none"/>
        </w:rPr>
        <w:t>是否齐全。若有遗漏、重复或不清楚，需立刻通知采购人予以更正；凡属对条款的误解所造成的报价价格失误，由供应商负责。</w:t>
      </w:r>
    </w:p>
    <w:p w14:paraId="1F4E317C">
      <w:pPr>
        <w:keepNext w:val="0"/>
        <w:keepLines w:val="0"/>
        <w:pageBreakBefore w:val="0"/>
        <w:spacing w:line="360" w:lineRule="auto"/>
        <w:ind w:firstLine="240"/>
        <w:outlineLvl w:val="9"/>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（十九）政府采购信用担保：</w:t>
      </w:r>
    </w:p>
    <w:p w14:paraId="32E01F1F">
      <w:pPr>
        <w:keepNext w:val="0"/>
        <w:keepLines w:val="0"/>
        <w:pageBreakBefore w:val="0"/>
        <w:tabs>
          <w:tab w:val="left" w:pos="525"/>
          <w:tab w:val="left" w:pos="1050"/>
        </w:tabs>
        <w:spacing w:line="360" w:lineRule="auto"/>
        <w:ind w:left="132" w:firstLine="480"/>
        <w:jc w:val="lef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关于政府采购信用担保</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根据我市政府采购信用担保政策文件要求，</w:t>
      </w:r>
      <w:r>
        <w:rPr>
          <w:rFonts w:hint="eastAsia" w:ascii="宋体" w:hAnsi="宋体" w:cs="宋体"/>
          <w:bCs/>
          <w:color w:val="auto"/>
          <w:sz w:val="24"/>
          <w:szCs w:val="22"/>
          <w:highlight w:val="none"/>
          <w:lang w:eastAsia="zh-CN"/>
        </w:rPr>
        <w:t>招标文件</w:t>
      </w:r>
      <w:r>
        <w:rPr>
          <w:rFonts w:hint="eastAsia" w:ascii="宋体" w:hAnsi="宋体" w:eastAsia="宋体" w:cs="宋体"/>
          <w:bCs/>
          <w:color w:val="auto"/>
          <w:sz w:val="24"/>
          <w:szCs w:val="22"/>
          <w:highlight w:val="none"/>
        </w:rPr>
        <w:t>中信用担保条款应参照下列模板进行调整：</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5924C013">
      <w:pPr>
        <w:keepNext w:val="0"/>
        <w:keepLines w:val="0"/>
        <w:pageBreakBefore w:val="0"/>
        <w:spacing w:line="360" w:lineRule="auto"/>
        <w:ind w:firstLine="240"/>
        <w:outlineLvl w:val="9"/>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（二十）政府采购合同融资：</w:t>
      </w:r>
    </w:p>
    <w:p w14:paraId="5E96D0CD">
      <w:pPr>
        <w:keepNext w:val="0"/>
        <w:keepLines w:val="0"/>
        <w:pageBreakBefore w:val="0"/>
        <w:spacing w:line="360" w:lineRule="auto"/>
        <w:ind w:firstLine="480"/>
        <w:rPr>
          <w:rFonts w:hint="eastAsia" w:ascii="宋体" w:hAnsi="宋体" w:eastAsia="宋体" w:cs="宋体"/>
          <w:color w:val="auto"/>
          <w:highlight w:val="none"/>
        </w:rPr>
      </w:pPr>
      <w:r>
        <w:rPr>
          <w:rFonts w:hint="eastAsia" w:ascii="宋体" w:hAnsi="宋体" w:eastAsia="宋体" w:cs="宋体"/>
          <w:bCs/>
          <w:color w:val="auto"/>
          <w:sz w:val="24"/>
          <w:szCs w:val="22"/>
          <w:highlight w:val="none"/>
        </w:rPr>
        <w:t>根据我市《关于开展政府采购合同融资工作的通知》（锡财购〔2020〕17号）要求，</w:t>
      </w:r>
      <w:r>
        <w:rPr>
          <w:rFonts w:hint="eastAsia" w:ascii="宋体" w:hAnsi="宋体" w:cs="宋体"/>
          <w:bCs/>
          <w:color w:val="auto"/>
          <w:sz w:val="24"/>
          <w:szCs w:val="22"/>
          <w:highlight w:val="none"/>
          <w:lang w:eastAsia="zh-CN"/>
        </w:rPr>
        <w:t>招标文件</w:t>
      </w:r>
      <w:r>
        <w:rPr>
          <w:rFonts w:hint="eastAsia" w:ascii="宋体" w:hAnsi="宋体" w:eastAsia="宋体" w:cs="宋体"/>
          <w:bCs/>
          <w:color w:val="auto"/>
          <w:sz w:val="24"/>
          <w:szCs w:val="22"/>
          <w:highlight w:val="none"/>
        </w:rPr>
        <w:t>中合同融资条款应参照下列模板进行调整：</w:t>
      </w:r>
      <w:r>
        <w:rPr>
          <w:rFonts w:hint="eastAsia" w:ascii="宋体" w:hAnsi="宋体" w:eastAsia="宋体" w:cs="宋体"/>
          <w:bCs/>
          <w:color w:val="auto"/>
          <w:sz w:val="24"/>
          <w:szCs w:val="22"/>
          <w:highlight w:val="none"/>
        </w:rPr>
        <w:br w:type="textWrapping" w:clear="all"/>
      </w:r>
      <w:r>
        <w:rPr>
          <w:rFonts w:hint="eastAsia" w:ascii="宋体" w:hAnsi="宋体" w:eastAsia="宋体" w:cs="宋体"/>
          <w:bCs/>
          <w:color w:val="auto"/>
          <w:sz w:val="24"/>
          <w:szCs w:val="22"/>
          <w:highlight w:val="none"/>
        </w:rPr>
        <w:t>  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32C5CBFA">
      <w:pP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br w:type="page"/>
      </w:r>
    </w:p>
    <w:p w14:paraId="7971F2AC">
      <w:pPr>
        <w:pStyle w:val="16"/>
        <w:rPr>
          <w:rFonts w:hint="eastAsia"/>
        </w:rPr>
      </w:pPr>
    </w:p>
    <w:p w14:paraId="0B8800DE">
      <w:pPr>
        <w:spacing w:line="360" w:lineRule="auto"/>
        <w:jc w:val="center"/>
        <w:outlineLvl w:val="0"/>
        <w:rPr>
          <w:highlight w:val="none"/>
        </w:rPr>
      </w:pPr>
      <w:bookmarkStart w:id="16" w:name="_Toc1593"/>
      <w:r>
        <w:rPr>
          <w:rFonts w:hint="eastAsia" w:ascii="宋体" w:hAnsi="宋体" w:eastAsia="宋体" w:cs="宋体"/>
          <w:b w:val="0"/>
          <w:bCs w:val="0"/>
          <w:color w:val="auto"/>
          <w:sz w:val="36"/>
          <w:szCs w:val="36"/>
          <w:highlight w:val="none"/>
          <w:lang w:val="en-US" w:eastAsia="zh-CN"/>
        </w:rPr>
        <w:t xml:space="preserve">第三章 </w:t>
      </w:r>
      <w:r>
        <w:rPr>
          <w:rFonts w:hint="eastAsia" w:ascii="宋体" w:hAnsi="宋体" w:eastAsia="宋体" w:cs="宋体"/>
          <w:b w:val="0"/>
          <w:bCs w:val="0"/>
          <w:color w:val="auto"/>
          <w:sz w:val="36"/>
          <w:szCs w:val="36"/>
          <w:highlight w:val="none"/>
        </w:rPr>
        <w:t>采购需求</w:t>
      </w:r>
      <w:bookmarkEnd w:id="16"/>
    </w:p>
    <w:p w14:paraId="67CBBC06">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jc w:val="left"/>
        <w:textAlignment w:val="auto"/>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一、</w:t>
      </w:r>
      <w:r>
        <w:rPr>
          <w:rFonts w:hint="eastAsia" w:ascii="宋体" w:hAnsi="宋体" w:eastAsia="宋体" w:cs="Times New Roman"/>
          <w:b/>
          <w:bCs/>
          <w:color w:val="auto"/>
          <w:sz w:val="24"/>
          <w:highlight w:val="none"/>
        </w:rPr>
        <w:t>采购标的需实现的功能或者目标，以及为落实政府采购政策需满足的要求</w:t>
      </w:r>
    </w:p>
    <w:p w14:paraId="560D49C3">
      <w:pPr>
        <w:keepNext w:val="0"/>
        <w:keepLines w:val="0"/>
        <w:pageBreakBefore w:val="0"/>
        <w:widowControl w:val="0"/>
        <w:kinsoku/>
        <w:wordWrap/>
        <w:overflowPunct/>
        <w:topLinePunct w:val="0"/>
        <w:bidi w:val="0"/>
        <w:snapToGrid/>
        <w:spacing w:line="360" w:lineRule="auto"/>
        <w:ind w:firstLine="482" w:firstLineChars="200"/>
        <w:jc w:val="left"/>
        <w:textAlignment w:val="auto"/>
        <w:rPr>
          <w:rFonts w:ascii="宋体" w:hAnsi="宋体"/>
          <w:b/>
          <w:bCs/>
          <w:color w:val="auto"/>
          <w:sz w:val="24"/>
          <w:highlight w:val="none"/>
        </w:rPr>
      </w:pPr>
      <w:r>
        <w:rPr>
          <w:rFonts w:hint="eastAsia" w:ascii="宋体" w:hAnsi="宋体"/>
          <w:b/>
          <w:bCs/>
          <w:color w:val="auto"/>
          <w:sz w:val="24"/>
          <w:highlight w:val="none"/>
        </w:rPr>
        <w:t>1.采购标的需实现的功能或者目标：</w:t>
      </w:r>
    </w:p>
    <w:p w14:paraId="0AE26AEB">
      <w:pPr>
        <w:keepNext w:val="0"/>
        <w:keepLines w:val="0"/>
        <w:pageBreakBefore w:val="0"/>
        <w:widowControl w:val="0"/>
        <w:tabs>
          <w:tab w:val="left" w:pos="360"/>
          <w:tab w:val="left" w:pos="960"/>
        </w:tabs>
        <w:kinsoku/>
        <w:wordWrap/>
        <w:overflowPunct/>
        <w:topLinePunct w:val="0"/>
        <w:bidi w:val="0"/>
        <w:snapToGrid/>
        <w:spacing w:line="360" w:lineRule="auto"/>
        <w:ind w:firstLine="480" w:firstLineChars="200"/>
        <w:jc w:val="left"/>
        <w:textAlignment w:val="auto"/>
        <w:rPr>
          <w:rFonts w:ascii="宋体" w:hAnsi="宋体"/>
          <w:color w:val="auto"/>
          <w:sz w:val="24"/>
          <w:highlight w:val="none"/>
        </w:rPr>
      </w:pPr>
      <w:r>
        <w:rPr>
          <w:rFonts w:hint="eastAsia" w:ascii="宋体" w:hAnsi="宋体" w:cs="宋体"/>
          <w:bCs/>
          <w:sz w:val="24"/>
        </w:rPr>
        <w:t>拟对河埒街道辖区内吴大成浜、蒋巷浜、钱家桥浜、唐巷浜、庙东浜、北庄河、老乌浜、河埒浜、东新河、大成浜</w:t>
      </w:r>
      <w:r>
        <w:rPr>
          <w:rFonts w:hint="eastAsia" w:ascii="宋体" w:hAnsi="宋体" w:cs="宋体"/>
          <w:bCs/>
          <w:sz w:val="24"/>
          <w:lang w:eastAsia="zh-CN"/>
        </w:rPr>
        <w:t>、</w:t>
      </w:r>
      <w:r>
        <w:rPr>
          <w:rFonts w:hint="eastAsia" w:ascii="宋体" w:hAnsi="宋体" w:cs="宋体"/>
          <w:bCs/>
          <w:sz w:val="24"/>
          <w:lang w:val="en-US" w:eastAsia="zh-CN"/>
        </w:rPr>
        <w:t>华巷浜</w:t>
      </w:r>
      <w:r>
        <w:rPr>
          <w:rFonts w:hint="eastAsia" w:ascii="宋体" w:hAnsi="宋体" w:cs="宋体"/>
          <w:bCs/>
          <w:sz w:val="24"/>
        </w:rPr>
        <w:t>等1</w:t>
      </w:r>
      <w:r>
        <w:rPr>
          <w:rFonts w:hint="eastAsia" w:ascii="宋体" w:hAnsi="宋体" w:cs="宋体"/>
          <w:bCs/>
          <w:sz w:val="24"/>
          <w:lang w:val="en-US" w:eastAsia="zh-CN"/>
        </w:rPr>
        <w:t>1</w:t>
      </w:r>
      <w:r>
        <w:rPr>
          <w:rFonts w:hint="eastAsia" w:ascii="宋体" w:hAnsi="宋体" w:cs="宋体"/>
          <w:bCs/>
          <w:sz w:val="24"/>
        </w:rPr>
        <w:t>条河道现有水生态实施养护修复及突发性污染应急处置等，包含河道实施水面、岸脚、岸坡垃圾清理，设备养护、水质维护、河道日常巡查</w:t>
      </w:r>
      <w:r>
        <w:rPr>
          <w:rFonts w:hint="eastAsia" w:ascii="宋体" w:hAnsi="宋体" w:cs="宋体"/>
          <w:bCs/>
          <w:sz w:val="24"/>
          <w:highlight w:val="none"/>
          <w:lang w:eastAsia="zh-CN"/>
        </w:rPr>
        <w:t>、</w:t>
      </w:r>
      <w:r>
        <w:rPr>
          <w:rFonts w:hint="eastAsia" w:ascii="宋体" w:hAnsi="宋体" w:cs="宋体"/>
          <w:bCs/>
          <w:sz w:val="24"/>
          <w:highlight w:val="none"/>
          <w:lang w:val="en-US" w:eastAsia="zh-CN"/>
        </w:rPr>
        <w:t>蓝藻处置</w:t>
      </w:r>
      <w:r>
        <w:rPr>
          <w:rFonts w:hint="eastAsia" w:ascii="宋体" w:hAnsi="宋体" w:cs="宋体"/>
          <w:bCs/>
          <w:sz w:val="24"/>
        </w:rPr>
        <w:t>等工作，并使水体水质维持在地表Ⅲ类水标准。</w:t>
      </w:r>
    </w:p>
    <w:p w14:paraId="2E7A7037">
      <w:pPr>
        <w:keepNext w:val="0"/>
        <w:keepLines w:val="0"/>
        <w:pageBreakBefore w:val="0"/>
        <w:widowControl w:val="0"/>
        <w:kinsoku/>
        <w:wordWrap/>
        <w:overflowPunct/>
        <w:topLinePunct w:val="0"/>
        <w:bidi w:val="0"/>
        <w:snapToGrid/>
        <w:spacing w:line="360" w:lineRule="auto"/>
        <w:ind w:firstLine="482" w:firstLineChars="200"/>
        <w:textAlignment w:val="auto"/>
        <w:rPr>
          <w:rFonts w:ascii="宋体" w:hAnsi="宋体"/>
          <w:b/>
          <w:bCs/>
          <w:color w:val="auto"/>
          <w:sz w:val="24"/>
          <w:highlight w:val="none"/>
        </w:rPr>
      </w:pPr>
      <w:r>
        <w:rPr>
          <w:rFonts w:hint="eastAsia" w:ascii="宋体" w:hAnsi="宋体"/>
          <w:b/>
          <w:bCs/>
          <w:color w:val="auto"/>
          <w:sz w:val="24"/>
          <w:highlight w:val="none"/>
        </w:rPr>
        <w:t>2.为落实政府采购政策需满足的要求：</w:t>
      </w:r>
    </w:p>
    <w:p w14:paraId="582D19AC">
      <w:pPr>
        <w:keepNext w:val="0"/>
        <w:keepLines w:val="0"/>
        <w:pageBreakBefore w:val="0"/>
        <w:widowControl w:val="0"/>
        <w:tabs>
          <w:tab w:val="left" w:pos="360"/>
          <w:tab w:val="left" w:pos="960"/>
        </w:tabs>
        <w:kinsoku/>
        <w:wordWrap/>
        <w:overflowPunct/>
        <w:topLinePunct w:val="0"/>
        <w:bidi w:val="0"/>
        <w:snapToGrid/>
        <w:spacing w:line="360" w:lineRule="auto"/>
        <w:ind w:firstLine="480" w:firstLineChars="200"/>
        <w:jc w:val="left"/>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本项目专门面向中小/小微企业采购，</w:t>
      </w:r>
      <w:r>
        <w:rPr>
          <w:rFonts w:hint="eastAsia" w:ascii="宋体" w:hAnsi="宋体" w:eastAsia="宋体" w:cs="Times New Roman"/>
          <w:color w:val="auto"/>
          <w:sz w:val="24"/>
          <w:highlight w:val="none"/>
        </w:rPr>
        <w:t>专门面向中小/小微企业的项目不做价格扣除。</w:t>
      </w:r>
    </w:p>
    <w:p w14:paraId="62E71B85">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jc w:val="left"/>
        <w:textAlignment w:val="auto"/>
        <w:rPr>
          <w:rFonts w:ascii="宋体" w:hAnsi="宋体"/>
          <w:b/>
          <w:bCs/>
          <w:color w:val="auto"/>
          <w:sz w:val="24"/>
          <w:highlight w:val="none"/>
        </w:rPr>
      </w:pPr>
      <w:r>
        <w:rPr>
          <w:rFonts w:hint="eastAsia" w:ascii="宋体" w:hAnsi="宋体"/>
          <w:b/>
          <w:bCs/>
          <w:color w:val="auto"/>
          <w:sz w:val="24"/>
          <w:highlight w:val="none"/>
        </w:rPr>
        <w:t>二、采购标的需执行的国家相关标准、行业标准、地方标准或者其他标准、规范</w:t>
      </w:r>
    </w:p>
    <w:p w14:paraId="4D659698">
      <w:pPr>
        <w:keepNext w:val="0"/>
        <w:keepLines w:val="0"/>
        <w:pageBreakBefore w:val="0"/>
        <w:widowControl w:val="0"/>
        <w:tabs>
          <w:tab w:val="left" w:pos="360"/>
          <w:tab w:val="left" w:pos="960"/>
        </w:tabs>
        <w:kinsoku/>
        <w:wordWrap/>
        <w:overflowPunct/>
        <w:topLinePunct w:val="0"/>
        <w:bidi w:val="0"/>
        <w:snapToGrid/>
        <w:spacing w:line="360" w:lineRule="auto"/>
        <w:ind w:firstLine="480" w:firstLineChars="200"/>
        <w:jc w:val="left"/>
        <w:textAlignment w:val="auto"/>
        <w:rPr>
          <w:rFonts w:ascii="宋体" w:hAnsi="宋体"/>
          <w:color w:val="auto"/>
          <w:sz w:val="24"/>
          <w:highlight w:val="none"/>
        </w:rPr>
      </w:pPr>
      <w:r>
        <w:rPr>
          <w:rFonts w:hint="eastAsia" w:ascii="宋体" w:hAnsi="宋体" w:cs="宋体"/>
          <w:sz w:val="24"/>
        </w:rPr>
        <w:t>满足国家相关法律法规及国家标准、行业标准、地方标准，满足《地表水环境质量标准》</w:t>
      </w:r>
      <w:r>
        <w:rPr>
          <w:rFonts w:hint="eastAsia" w:ascii="宋体" w:hAnsi="宋体" w:cs="宋体"/>
          <w:sz w:val="24"/>
          <w:lang w:eastAsia="zh-CN"/>
        </w:rPr>
        <w:t>（</w:t>
      </w:r>
      <w:r>
        <w:rPr>
          <w:rFonts w:hint="eastAsia" w:ascii="宋体" w:hAnsi="宋体" w:cs="宋体"/>
          <w:sz w:val="24"/>
        </w:rPr>
        <w:t>GB3838-2002)Ⅲ类标准及采购人的要求</w:t>
      </w:r>
      <w:r>
        <w:rPr>
          <w:rFonts w:hint="eastAsia" w:ascii="宋体" w:hAnsi="宋体"/>
          <w:sz w:val="24"/>
        </w:rPr>
        <w:t>。</w:t>
      </w:r>
    </w:p>
    <w:p w14:paraId="2CFAEBC0">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jc w:val="left"/>
        <w:textAlignment w:val="auto"/>
        <w:rPr>
          <w:rFonts w:ascii="宋体" w:hAnsi="宋体"/>
          <w:b/>
          <w:bCs/>
          <w:color w:val="auto"/>
          <w:sz w:val="24"/>
          <w:highlight w:val="none"/>
        </w:rPr>
      </w:pPr>
      <w:r>
        <w:rPr>
          <w:rFonts w:hint="eastAsia" w:ascii="宋体" w:hAnsi="宋体"/>
          <w:b/>
          <w:bCs/>
          <w:color w:val="auto"/>
          <w:sz w:val="24"/>
          <w:highlight w:val="none"/>
        </w:rPr>
        <w:t>三、采购标的需满足的质量、安全、技术规格、物理特性等要求</w:t>
      </w:r>
    </w:p>
    <w:p w14:paraId="2EEAF132">
      <w:pPr>
        <w:keepNext w:val="0"/>
        <w:keepLines w:val="0"/>
        <w:pageBreakBefore w:val="0"/>
        <w:widowControl w:val="0"/>
        <w:tabs>
          <w:tab w:val="left" w:pos="360"/>
          <w:tab w:val="left" w:pos="960"/>
        </w:tabs>
        <w:kinsoku/>
        <w:wordWrap/>
        <w:overflowPunct/>
        <w:topLinePunct w:val="0"/>
        <w:bidi w:val="0"/>
        <w:snapToGrid/>
        <w:spacing w:line="360" w:lineRule="auto"/>
        <w:ind w:firstLine="480" w:firstLineChars="200"/>
        <w:jc w:val="left"/>
        <w:textAlignment w:val="auto"/>
        <w:rPr>
          <w:rFonts w:hint="eastAsia" w:ascii="宋体" w:hAnsi="宋体" w:eastAsia="宋体" w:cs="宋体"/>
          <w:sz w:val="24"/>
        </w:rPr>
      </w:pPr>
      <w:r>
        <w:rPr>
          <w:rFonts w:hint="eastAsia" w:ascii="宋体" w:hAnsi="宋体" w:cs="宋体"/>
          <w:sz w:val="24"/>
          <w:lang w:eastAsia="zh-CN"/>
        </w:rPr>
        <w:t>1.</w:t>
      </w:r>
      <w:r>
        <w:rPr>
          <w:rFonts w:hint="eastAsia" w:ascii="宋体" w:hAnsi="宋体" w:eastAsia="宋体" w:cs="宋体"/>
          <w:sz w:val="24"/>
        </w:rPr>
        <w:t>养护质量标准：合格，满足国家相关法律法规及国家标准、行业标准、地方标准，满足采购人需求。</w:t>
      </w:r>
    </w:p>
    <w:p w14:paraId="27BA062D">
      <w:pPr>
        <w:keepNext w:val="0"/>
        <w:keepLines w:val="0"/>
        <w:pageBreakBefore w:val="0"/>
        <w:widowControl w:val="0"/>
        <w:tabs>
          <w:tab w:val="left" w:pos="360"/>
          <w:tab w:val="left" w:pos="960"/>
        </w:tabs>
        <w:kinsoku/>
        <w:wordWrap/>
        <w:overflowPunct/>
        <w:topLinePunct w:val="0"/>
        <w:bidi w:val="0"/>
        <w:snapToGrid/>
        <w:spacing w:line="360" w:lineRule="auto"/>
        <w:ind w:firstLine="480" w:firstLineChars="200"/>
        <w:jc w:val="left"/>
        <w:textAlignment w:val="auto"/>
        <w:rPr>
          <w:rFonts w:hint="eastAsia" w:ascii="宋体" w:hAnsi="宋体" w:eastAsia="宋体" w:cs="宋体"/>
          <w:sz w:val="24"/>
        </w:rPr>
      </w:pPr>
      <w:r>
        <w:rPr>
          <w:rFonts w:hint="eastAsia" w:ascii="宋体" w:hAnsi="宋体" w:cs="宋体"/>
          <w:sz w:val="24"/>
          <w:lang w:eastAsia="zh-CN"/>
        </w:rPr>
        <w:t>2.</w:t>
      </w:r>
      <w:r>
        <w:rPr>
          <w:rFonts w:hint="eastAsia" w:ascii="宋体" w:hAnsi="宋体" w:eastAsia="宋体" w:cs="宋体"/>
          <w:sz w:val="24"/>
        </w:rPr>
        <w:t>河道养护要求：河道日常巡查，水面、岸脚、岸坡垃圾清理，确保河道水面无漂浮物，</w:t>
      </w:r>
      <w:r>
        <w:rPr>
          <w:rFonts w:hint="eastAsia" w:ascii="宋体" w:hAnsi="宋体" w:cs="宋体"/>
          <w:sz w:val="24"/>
          <w:lang w:val="en-US" w:eastAsia="zh-CN"/>
        </w:rPr>
        <w:t>堤防</w:t>
      </w:r>
      <w:r>
        <w:rPr>
          <w:rFonts w:hint="eastAsia" w:ascii="宋体" w:hAnsi="宋体" w:eastAsia="宋体" w:cs="宋体"/>
          <w:sz w:val="24"/>
        </w:rPr>
        <w:t>、岸线管护</w:t>
      </w:r>
      <w:r>
        <w:rPr>
          <w:rFonts w:hint="eastAsia" w:ascii="宋体" w:hAnsi="宋体" w:cs="宋体"/>
          <w:sz w:val="24"/>
          <w:highlight w:val="none"/>
          <w:lang w:eastAsia="zh-CN"/>
        </w:rPr>
        <w:t>、</w:t>
      </w:r>
      <w:r>
        <w:rPr>
          <w:rFonts w:hint="eastAsia" w:ascii="宋体" w:hAnsi="宋体" w:cs="宋体"/>
          <w:sz w:val="24"/>
          <w:highlight w:val="none"/>
          <w:lang w:val="en-US" w:eastAsia="zh-CN"/>
        </w:rPr>
        <w:t>蓝藻处置</w:t>
      </w:r>
      <w:r>
        <w:rPr>
          <w:rFonts w:hint="eastAsia" w:ascii="宋体" w:hAnsi="宋体" w:eastAsia="宋体" w:cs="宋体"/>
          <w:sz w:val="24"/>
        </w:rPr>
        <w:t>等工作，并负责垃圾的清运与消纳。</w:t>
      </w:r>
    </w:p>
    <w:p w14:paraId="2CB1268D">
      <w:pPr>
        <w:keepNext w:val="0"/>
        <w:keepLines w:val="0"/>
        <w:pageBreakBefore w:val="0"/>
        <w:widowControl w:val="0"/>
        <w:tabs>
          <w:tab w:val="left" w:pos="360"/>
          <w:tab w:val="left" w:pos="960"/>
        </w:tabs>
        <w:kinsoku/>
        <w:wordWrap/>
        <w:overflowPunct/>
        <w:topLinePunct w:val="0"/>
        <w:bidi w:val="0"/>
        <w:snapToGrid/>
        <w:spacing w:line="360" w:lineRule="auto"/>
        <w:ind w:firstLine="480" w:firstLineChars="200"/>
        <w:jc w:val="left"/>
        <w:textAlignment w:val="auto"/>
        <w:rPr>
          <w:rFonts w:hint="eastAsia" w:ascii="宋体" w:hAnsi="宋体" w:eastAsia="宋体" w:cs="宋体"/>
          <w:sz w:val="24"/>
        </w:rPr>
      </w:pPr>
      <w:bookmarkStart w:id="17" w:name="_Hlk160778321"/>
      <w:r>
        <w:rPr>
          <w:rFonts w:hint="eastAsia" w:ascii="宋体" w:hAnsi="宋体" w:cs="宋体"/>
          <w:sz w:val="24"/>
          <w:lang w:eastAsia="zh-CN"/>
        </w:rPr>
        <w:t>3.</w:t>
      </w:r>
      <w:bookmarkStart w:id="18" w:name="_Hlk160778177"/>
      <w:r>
        <w:rPr>
          <w:rFonts w:hint="eastAsia" w:ascii="宋体" w:hAnsi="宋体" w:eastAsia="宋体" w:cs="宋体"/>
          <w:sz w:val="24"/>
        </w:rPr>
        <w:t>水质标准：按照化学需氧量、氨氮（NH</w:t>
      </w:r>
      <w:r>
        <w:rPr>
          <w:rFonts w:hint="eastAsia" w:ascii="宋体" w:hAnsi="宋体" w:eastAsia="宋体" w:cs="宋体"/>
          <w:sz w:val="24"/>
          <w:vertAlign w:val="subscript"/>
        </w:rPr>
        <w:t>3</w:t>
      </w:r>
      <w:r>
        <w:rPr>
          <w:rFonts w:hint="eastAsia" w:ascii="宋体" w:hAnsi="宋体" w:eastAsia="宋体" w:cs="宋体"/>
          <w:sz w:val="24"/>
        </w:rPr>
        <w:t>—N）、总磷（TP）、溶解氧，高锰酸盐指数，五项指标对全年12个月的水质情况进行监测。</w:t>
      </w:r>
      <w:r>
        <w:rPr>
          <w:rFonts w:hint="eastAsia" w:ascii="宋体" w:hAnsi="宋体" w:cs="宋体"/>
          <w:sz w:val="24"/>
          <w:lang w:eastAsia="zh-CN"/>
        </w:rPr>
        <w:t>（</w:t>
      </w:r>
      <w:r>
        <w:rPr>
          <w:rFonts w:hint="eastAsia" w:ascii="宋体" w:hAnsi="宋体" w:eastAsia="宋体" w:cs="宋体"/>
          <w:sz w:val="24"/>
        </w:rPr>
        <w:t>注</w:t>
      </w:r>
      <w:r>
        <w:rPr>
          <w:rFonts w:hint="eastAsia" w:ascii="宋体" w:hAnsi="宋体" w:cs="宋体"/>
          <w:sz w:val="24"/>
          <w:lang w:eastAsia="zh-CN"/>
        </w:rPr>
        <w:t>：</w:t>
      </w:r>
      <w:r>
        <w:rPr>
          <w:rFonts w:hint="eastAsia" w:ascii="宋体" w:hAnsi="宋体" w:eastAsia="宋体" w:cs="宋体"/>
          <w:sz w:val="24"/>
        </w:rPr>
        <w:t>1、如遇突发污染事件，污染期的水质不计入水质计算</w:t>
      </w:r>
      <w:r>
        <w:rPr>
          <w:rFonts w:hint="eastAsia" w:ascii="宋体" w:hAnsi="宋体" w:cs="宋体"/>
          <w:sz w:val="24"/>
          <w:lang w:eastAsia="zh-CN"/>
        </w:rPr>
        <w:t>；</w:t>
      </w:r>
      <w:r>
        <w:rPr>
          <w:rFonts w:hint="eastAsia" w:ascii="宋体" w:hAnsi="宋体" w:eastAsia="宋体" w:cs="宋体"/>
          <w:sz w:val="24"/>
        </w:rPr>
        <w:t>2、水质以每月区河长办公布的水质数据或以甲</w:t>
      </w:r>
      <w:r>
        <w:rPr>
          <w:rFonts w:hint="eastAsia" w:ascii="宋体" w:hAnsi="宋体" w:cs="宋体"/>
          <w:sz w:val="24"/>
          <w:lang w:val="en-US" w:eastAsia="zh-CN"/>
        </w:rPr>
        <w:t>方</w:t>
      </w:r>
      <w:r>
        <w:rPr>
          <w:rFonts w:hint="eastAsia" w:ascii="宋体" w:hAnsi="宋体" w:eastAsia="宋体" w:cs="宋体"/>
          <w:sz w:val="24"/>
        </w:rPr>
        <w:t>委托的有资质的第三方出具的检</w:t>
      </w:r>
      <w:r>
        <w:rPr>
          <w:rFonts w:hint="eastAsia" w:ascii="宋体" w:hAnsi="宋体" w:cs="宋体"/>
          <w:sz w:val="24"/>
          <w:lang w:val="en-US" w:eastAsia="zh-CN"/>
        </w:rPr>
        <w:t>测</w:t>
      </w:r>
      <w:r>
        <w:rPr>
          <w:rFonts w:hint="eastAsia" w:ascii="宋体" w:hAnsi="宋体" w:eastAsia="宋体" w:cs="宋体"/>
          <w:sz w:val="24"/>
        </w:rPr>
        <w:t>报告为准</w:t>
      </w:r>
      <w:r>
        <w:rPr>
          <w:rFonts w:hint="eastAsia" w:ascii="宋体" w:hAnsi="宋体" w:cs="宋体"/>
          <w:sz w:val="24"/>
          <w:lang w:eastAsia="zh-CN"/>
        </w:rPr>
        <w:t>）</w:t>
      </w:r>
    </w:p>
    <w:bookmarkEnd w:id="17"/>
    <w:bookmarkEnd w:id="18"/>
    <w:p w14:paraId="632B7EEC">
      <w:pPr>
        <w:keepNext w:val="0"/>
        <w:keepLines w:val="0"/>
        <w:pageBreakBefore w:val="0"/>
        <w:widowControl w:val="0"/>
        <w:tabs>
          <w:tab w:val="left" w:pos="360"/>
          <w:tab w:val="left" w:pos="960"/>
        </w:tabs>
        <w:kinsoku/>
        <w:wordWrap/>
        <w:overflowPunct/>
        <w:topLinePunct w:val="0"/>
        <w:bidi w:val="0"/>
        <w:snapToGrid/>
        <w:spacing w:line="360" w:lineRule="auto"/>
        <w:ind w:firstLine="480" w:firstLineChars="200"/>
        <w:jc w:val="left"/>
        <w:textAlignment w:val="auto"/>
        <w:rPr>
          <w:rFonts w:hint="eastAsia" w:ascii="宋体" w:hAnsi="宋体" w:eastAsia="宋体" w:cs="宋体"/>
          <w:sz w:val="24"/>
        </w:rPr>
      </w:pPr>
      <w:r>
        <w:rPr>
          <w:rFonts w:hint="eastAsia" w:ascii="宋体" w:hAnsi="宋体" w:cs="宋体"/>
          <w:sz w:val="24"/>
          <w:lang w:eastAsia="zh-CN"/>
        </w:rPr>
        <w:t>4.</w:t>
      </w:r>
      <w:r>
        <w:rPr>
          <w:rFonts w:hint="eastAsia" w:ascii="宋体" w:hAnsi="宋体" w:eastAsia="宋体" w:cs="宋体"/>
          <w:sz w:val="24"/>
        </w:rPr>
        <w:t>水质目标</w:t>
      </w:r>
    </w:p>
    <w:p w14:paraId="7CCF35D5">
      <w:pPr>
        <w:keepNext w:val="0"/>
        <w:keepLines w:val="0"/>
        <w:pageBreakBefore w:val="0"/>
        <w:widowControl w:val="0"/>
        <w:tabs>
          <w:tab w:val="left" w:pos="360"/>
          <w:tab w:val="left" w:pos="960"/>
        </w:tabs>
        <w:kinsoku/>
        <w:wordWrap/>
        <w:overflowPunct/>
        <w:topLinePunct w:val="0"/>
        <w:bidi w:val="0"/>
        <w:snapToGrid/>
        <w:spacing w:line="360" w:lineRule="auto"/>
        <w:ind w:firstLine="480" w:firstLineChars="200"/>
        <w:jc w:val="left"/>
        <w:textAlignment w:val="auto"/>
        <w:rPr>
          <w:rFonts w:hint="eastAsia" w:ascii="宋体" w:hAnsi="宋体" w:eastAsia="宋体" w:cs="宋体"/>
          <w:sz w:val="24"/>
        </w:rPr>
      </w:pPr>
      <w:r>
        <w:rPr>
          <w:rFonts w:hint="eastAsia" w:ascii="宋体" w:hAnsi="宋体" w:eastAsia="宋体" w:cs="宋体"/>
          <w:sz w:val="24"/>
        </w:rPr>
        <w:t>达到Ⅲ类水质等级。</w:t>
      </w:r>
    </w:p>
    <w:tbl>
      <w:tblPr>
        <w:tblStyle w:val="36"/>
        <w:tblW w:w="4999"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287"/>
        <w:gridCol w:w="2351"/>
        <w:gridCol w:w="1957"/>
        <w:gridCol w:w="1829"/>
        <w:gridCol w:w="2536"/>
      </w:tblGrid>
      <w:tr w14:paraId="33CD4A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646" w:type="pct"/>
            <w:vMerge w:val="restart"/>
            <w:tcBorders>
              <w:top w:val="single" w:color="auto" w:sz="4" w:space="0"/>
              <w:left w:val="single" w:color="auto" w:sz="4" w:space="0"/>
              <w:bottom w:val="single" w:color="auto" w:sz="4" w:space="0"/>
              <w:right w:val="single" w:color="auto" w:sz="4" w:space="0"/>
            </w:tcBorders>
            <w:noWrap w:val="0"/>
            <w:vAlign w:val="center"/>
          </w:tcPr>
          <w:p w14:paraId="73AF870D">
            <w:pPr>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序号</w:t>
            </w:r>
          </w:p>
        </w:tc>
        <w:tc>
          <w:tcPr>
            <w:tcW w:w="1180" w:type="pct"/>
            <w:vMerge w:val="restart"/>
            <w:tcBorders>
              <w:top w:val="single" w:color="auto" w:sz="4" w:space="0"/>
              <w:left w:val="single" w:color="auto" w:sz="4" w:space="0"/>
              <w:bottom w:val="single" w:color="auto" w:sz="4" w:space="0"/>
              <w:right w:val="single" w:color="auto" w:sz="4" w:space="0"/>
            </w:tcBorders>
            <w:noWrap w:val="0"/>
            <w:vAlign w:val="center"/>
          </w:tcPr>
          <w:p w14:paraId="5C392673">
            <w:pPr>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指标</w:t>
            </w:r>
          </w:p>
        </w:tc>
        <w:tc>
          <w:tcPr>
            <w:tcW w:w="3173" w:type="pct"/>
            <w:gridSpan w:val="3"/>
            <w:tcBorders>
              <w:top w:val="single" w:color="auto" w:sz="4" w:space="0"/>
              <w:left w:val="single" w:color="auto" w:sz="4" w:space="0"/>
              <w:bottom w:val="single" w:color="auto" w:sz="4" w:space="0"/>
              <w:right w:val="single" w:color="auto" w:sz="4" w:space="0"/>
            </w:tcBorders>
            <w:noWrap w:val="0"/>
            <w:vAlign w:val="center"/>
          </w:tcPr>
          <w:p w14:paraId="5768D99A">
            <w:pPr>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水质目标</w:t>
            </w:r>
          </w:p>
        </w:tc>
      </w:tr>
      <w:tr w14:paraId="4700CA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7" w:hRule="atLeast"/>
          <w:jc w:val="center"/>
        </w:trPr>
        <w:tc>
          <w:tcPr>
            <w:tcW w:w="646" w:type="pct"/>
            <w:vMerge w:val="continue"/>
            <w:tcBorders>
              <w:top w:val="single" w:color="auto" w:sz="4" w:space="0"/>
              <w:left w:val="single" w:color="auto" w:sz="4" w:space="0"/>
              <w:bottom w:val="single" w:color="auto" w:sz="4" w:space="0"/>
              <w:right w:val="single" w:color="auto" w:sz="4" w:space="0"/>
            </w:tcBorders>
            <w:noWrap w:val="0"/>
            <w:vAlign w:val="center"/>
          </w:tcPr>
          <w:p w14:paraId="1C83BBD0">
            <w:pPr>
              <w:widowControl/>
              <w:spacing w:line="240" w:lineRule="auto"/>
              <w:jc w:val="left"/>
              <w:rPr>
                <w:rFonts w:hint="eastAsia" w:ascii="宋体" w:hAnsi="宋体" w:eastAsia="宋体" w:cs="宋体"/>
                <w:kern w:val="0"/>
                <w:sz w:val="24"/>
                <w:szCs w:val="24"/>
              </w:rPr>
            </w:pPr>
          </w:p>
        </w:tc>
        <w:tc>
          <w:tcPr>
            <w:tcW w:w="1180" w:type="pct"/>
            <w:vMerge w:val="continue"/>
            <w:tcBorders>
              <w:top w:val="single" w:color="auto" w:sz="4" w:space="0"/>
              <w:left w:val="single" w:color="auto" w:sz="4" w:space="0"/>
              <w:bottom w:val="single" w:color="auto" w:sz="4" w:space="0"/>
              <w:right w:val="single" w:color="auto" w:sz="4" w:space="0"/>
            </w:tcBorders>
            <w:noWrap w:val="0"/>
            <w:vAlign w:val="center"/>
          </w:tcPr>
          <w:p w14:paraId="45080234">
            <w:pPr>
              <w:widowControl/>
              <w:spacing w:line="240" w:lineRule="auto"/>
              <w:jc w:val="left"/>
              <w:rPr>
                <w:rFonts w:hint="eastAsia" w:ascii="宋体" w:hAnsi="宋体" w:eastAsia="宋体" w:cs="宋体"/>
                <w:kern w:val="0"/>
                <w:sz w:val="24"/>
                <w:szCs w:val="24"/>
              </w:rPr>
            </w:pPr>
          </w:p>
        </w:tc>
        <w:tc>
          <w:tcPr>
            <w:tcW w:w="982" w:type="pct"/>
            <w:tcBorders>
              <w:top w:val="single" w:color="auto" w:sz="4" w:space="0"/>
              <w:left w:val="single" w:color="auto" w:sz="4" w:space="0"/>
              <w:bottom w:val="single" w:color="auto" w:sz="4" w:space="0"/>
              <w:right w:val="single" w:color="auto" w:sz="4" w:space="0"/>
            </w:tcBorders>
            <w:noWrap w:val="0"/>
            <w:vAlign w:val="center"/>
          </w:tcPr>
          <w:p w14:paraId="1EDA126C">
            <w:pPr>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fldChar w:fldCharType="begin"/>
            </w:r>
            <w:r>
              <w:rPr>
                <w:rFonts w:hint="eastAsia" w:ascii="宋体" w:hAnsi="宋体" w:eastAsia="宋体" w:cs="宋体"/>
                <w:kern w:val="0"/>
                <w:sz w:val="24"/>
                <w:szCs w:val="24"/>
              </w:rPr>
              <w:instrText xml:space="preserve"> = 3 \* ROMAN \* MERGEFORMAT </w:instrText>
            </w:r>
            <w:r>
              <w:rPr>
                <w:rFonts w:hint="eastAsia" w:ascii="宋体" w:hAnsi="宋体" w:eastAsia="宋体" w:cs="宋体"/>
                <w:kern w:val="0"/>
                <w:sz w:val="24"/>
                <w:szCs w:val="24"/>
              </w:rPr>
              <w:fldChar w:fldCharType="separate"/>
            </w:r>
            <w:r>
              <w:rPr>
                <w:rFonts w:hint="eastAsia" w:ascii="宋体" w:hAnsi="宋体" w:cs="宋体"/>
                <w:kern w:val="0"/>
                <w:sz w:val="24"/>
                <w:szCs w:val="24"/>
                <w:lang w:eastAsia="zh-CN"/>
              </w:rPr>
              <w:t>Ⅲ</w:t>
            </w:r>
            <w:r>
              <w:rPr>
                <w:rFonts w:hint="eastAsia" w:ascii="宋体" w:hAnsi="宋体" w:eastAsia="宋体" w:cs="宋体"/>
                <w:kern w:val="0"/>
                <w:sz w:val="24"/>
                <w:szCs w:val="24"/>
              </w:rPr>
              <w:fldChar w:fldCharType="end"/>
            </w:r>
            <w:r>
              <w:rPr>
                <w:rFonts w:hint="eastAsia" w:ascii="宋体" w:hAnsi="宋体" w:eastAsia="宋体" w:cs="宋体"/>
                <w:kern w:val="0"/>
                <w:sz w:val="24"/>
                <w:szCs w:val="24"/>
              </w:rPr>
              <w:t>类</w:t>
            </w:r>
          </w:p>
        </w:tc>
        <w:tc>
          <w:tcPr>
            <w:tcW w:w="918" w:type="pct"/>
            <w:tcBorders>
              <w:top w:val="single" w:color="auto" w:sz="4" w:space="0"/>
              <w:left w:val="single" w:color="auto" w:sz="4" w:space="0"/>
              <w:bottom w:val="single" w:color="auto" w:sz="4" w:space="0"/>
              <w:right w:val="single" w:color="auto" w:sz="4" w:space="0"/>
            </w:tcBorders>
            <w:noWrap w:val="0"/>
            <w:vAlign w:val="center"/>
          </w:tcPr>
          <w:p w14:paraId="08369933">
            <w:pPr>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Ⅳ类</w:t>
            </w:r>
          </w:p>
        </w:tc>
        <w:tc>
          <w:tcPr>
            <w:tcW w:w="1272" w:type="pct"/>
            <w:tcBorders>
              <w:top w:val="single" w:color="auto" w:sz="4" w:space="0"/>
              <w:left w:val="single" w:color="auto" w:sz="4" w:space="0"/>
              <w:bottom w:val="single" w:color="auto" w:sz="4" w:space="0"/>
              <w:right w:val="single" w:color="auto" w:sz="4" w:space="0"/>
            </w:tcBorders>
            <w:noWrap w:val="0"/>
            <w:vAlign w:val="center"/>
          </w:tcPr>
          <w:p w14:paraId="3AB452BB">
            <w:pPr>
              <w:spacing w:line="240" w:lineRule="auto"/>
              <w:jc w:val="center"/>
              <w:rPr>
                <w:rFonts w:hint="eastAsia" w:ascii="宋体" w:hAnsi="宋体" w:eastAsia="宋体" w:cs="宋体"/>
                <w:kern w:val="0"/>
                <w:sz w:val="24"/>
                <w:szCs w:val="24"/>
              </w:rPr>
            </w:pPr>
            <w:r>
              <w:rPr>
                <w:rFonts w:hint="eastAsia" w:ascii="宋体" w:hAnsi="宋体" w:eastAsia="宋体" w:cs="宋体"/>
                <w:kern w:val="0"/>
                <w:sz w:val="24"/>
                <w:szCs w:val="24"/>
              </w:rPr>
              <w:t>V类</w:t>
            </w:r>
          </w:p>
        </w:tc>
      </w:tr>
      <w:tr w14:paraId="40FB9B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7" w:hRule="atLeast"/>
          <w:jc w:val="center"/>
        </w:trPr>
        <w:tc>
          <w:tcPr>
            <w:tcW w:w="646" w:type="pct"/>
            <w:tcBorders>
              <w:top w:val="single" w:color="auto" w:sz="4" w:space="0"/>
              <w:left w:val="single" w:color="auto" w:sz="4" w:space="0"/>
              <w:bottom w:val="single" w:color="auto" w:sz="4" w:space="0"/>
              <w:right w:val="single" w:color="auto" w:sz="4" w:space="0"/>
            </w:tcBorders>
            <w:noWrap w:val="0"/>
            <w:vAlign w:val="center"/>
          </w:tcPr>
          <w:p w14:paraId="3FA7645F">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180" w:type="pct"/>
            <w:tcBorders>
              <w:top w:val="single" w:color="auto" w:sz="4" w:space="0"/>
              <w:left w:val="single" w:color="auto" w:sz="4" w:space="0"/>
              <w:bottom w:val="single" w:color="auto" w:sz="4" w:space="0"/>
              <w:right w:val="single" w:color="auto" w:sz="4" w:space="0"/>
            </w:tcBorders>
            <w:noWrap w:val="0"/>
            <w:vAlign w:val="center"/>
          </w:tcPr>
          <w:p w14:paraId="5142B40B">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化学需氧量</w:t>
            </w:r>
          </w:p>
        </w:tc>
        <w:tc>
          <w:tcPr>
            <w:tcW w:w="982" w:type="pct"/>
            <w:tcBorders>
              <w:top w:val="single" w:color="auto" w:sz="4" w:space="0"/>
              <w:left w:val="single" w:color="auto" w:sz="4" w:space="0"/>
              <w:bottom w:val="single" w:color="auto" w:sz="4" w:space="0"/>
              <w:right w:val="single" w:color="auto" w:sz="4" w:space="0"/>
            </w:tcBorders>
            <w:noWrap w:val="0"/>
            <w:vAlign w:val="center"/>
          </w:tcPr>
          <w:p w14:paraId="07E6562B">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≤20mg/L</w:t>
            </w:r>
          </w:p>
        </w:tc>
        <w:tc>
          <w:tcPr>
            <w:tcW w:w="918" w:type="pct"/>
            <w:tcBorders>
              <w:top w:val="single" w:color="auto" w:sz="4" w:space="0"/>
              <w:left w:val="single" w:color="auto" w:sz="4" w:space="0"/>
              <w:bottom w:val="single" w:color="auto" w:sz="4" w:space="0"/>
              <w:right w:val="single" w:color="auto" w:sz="4" w:space="0"/>
            </w:tcBorders>
            <w:noWrap w:val="0"/>
            <w:vAlign w:val="center"/>
          </w:tcPr>
          <w:p w14:paraId="2F26D15A">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≤30mg/L</w:t>
            </w:r>
          </w:p>
        </w:tc>
        <w:tc>
          <w:tcPr>
            <w:tcW w:w="1272" w:type="pct"/>
            <w:tcBorders>
              <w:top w:val="single" w:color="auto" w:sz="4" w:space="0"/>
              <w:left w:val="single" w:color="auto" w:sz="4" w:space="0"/>
              <w:bottom w:val="single" w:color="auto" w:sz="4" w:space="0"/>
              <w:right w:val="single" w:color="auto" w:sz="4" w:space="0"/>
            </w:tcBorders>
            <w:noWrap w:val="0"/>
            <w:vAlign w:val="center"/>
          </w:tcPr>
          <w:p w14:paraId="2F804A0E">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≤40mg/L</w:t>
            </w:r>
          </w:p>
        </w:tc>
      </w:tr>
      <w:tr w14:paraId="771E12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7" w:hRule="atLeast"/>
          <w:jc w:val="center"/>
        </w:trPr>
        <w:tc>
          <w:tcPr>
            <w:tcW w:w="646" w:type="pct"/>
            <w:tcBorders>
              <w:top w:val="single" w:color="auto" w:sz="4" w:space="0"/>
              <w:left w:val="single" w:color="auto" w:sz="4" w:space="0"/>
              <w:bottom w:val="single" w:color="auto" w:sz="4" w:space="0"/>
              <w:right w:val="single" w:color="auto" w:sz="4" w:space="0"/>
            </w:tcBorders>
            <w:noWrap w:val="0"/>
            <w:vAlign w:val="center"/>
          </w:tcPr>
          <w:p w14:paraId="002E0B8D">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1180" w:type="pct"/>
            <w:tcBorders>
              <w:top w:val="single" w:color="auto" w:sz="4" w:space="0"/>
              <w:left w:val="single" w:color="auto" w:sz="4" w:space="0"/>
              <w:bottom w:val="single" w:color="auto" w:sz="4" w:space="0"/>
              <w:right w:val="single" w:color="auto" w:sz="4" w:space="0"/>
            </w:tcBorders>
            <w:noWrap w:val="0"/>
            <w:vAlign w:val="center"/>
          </w:tcPr>
          <w:p w14:paraId="7650CFB1">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氨氮</w:t>
            </w:r>
          </w:p>
        </w:tc>
        <w:tc>
          <w:tcPr>
            <w:tcW w:w="982" w:type="pct"/>
            <w:tcBorders>
              <w:top w:val="single" w:color="auto" w:sz="4" w:space="0"/>
              <w:left w:val="single" w:color="auto" w:sz="4" w:space="0"/>
              <w:bottom w:val="single" w:color="auto" w:sz="4" w:space="0"/>
              <w:right w:val="single" w:color="auto" w:sz="4" w:space="0"/>
            </w:tcBorders>
            <w:noWrap w:val="0"/>
            <w:vAlign w:val="center"/>
          </w:tcPr>
          <w:p w14:paraId="5D99C8B1">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≤1.0mg/L</w:t>
            </w:r>
          </w:p>
        </w:tc>
        <w:tc>
          <w:tcPr>
            <w:tcW w:w="918" w:type="pct"/>
            <w:tcBorders>
              <w:top w:val="single" w:color="auto" w:sz="4" w:space="0"/>
              <w:left w:val="single" w:color="auto" w:sz="4" w:space="0"/>
              <w:bottom w:val="single" w:color="auto" w:sz="4" w:space="0"/>
              <w:right w:val="single" w:color="auto" w:sz="4" w:space="0"/>
            </w:tcBorders>
            <w:noWrap w:val="0"/>
            <w:vAlign w:val="center"/>
          </w:tcPr>
          <w:p w14:paraId="4B817A24">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≤1.5mg/L</w:t>
            </w:r>
          </w:p>
        </w:tc>
        <w:tc>
          <w:tcPr>
            <w:tcW w:w="1272" w:type="pct"/>
            <w:tcBorders>
              <w:top w:val="single" w:color="auto" w:sz="4" w:space="0"/>
              <w:left w:val="single" w:color="auto" w:sz="4" w:space="0"/>
              <w:bottom w:val="single" w:color="auto" w:sz="4" w:space="0"/>
              <w:right w:val="single" w:color="auto" w:sz="4" w:space="0"/>
            </w:tcBorders>
            <w:noWrap w:val="0"/>
            <w:vAlign w:val="center"/>
          </w:tcPr>
          <w:p w14:paraId="413B5F3C">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≤2.0mg/L</w:t>
            </w:r>
          </w:p>
        </w:tc>
      </w:tr>
      <w:tr w14:paraId="46627A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7" w:hRule="atLeast"/>
          <w:jc w:val="center"/>
        </w:trPr>
        <w:tc>
          <w:tcPr>
            <w:tcW w:w="646" w:type="pct"/>
            <w:tcBorders>
              <w:top w:val="single" w:color="auto" w:sz="4" w:space="0"/>
              <w:left w:val="single" w:color="auto" w:sz="4" w:space="0"/>
              <w:bottom w:val="single" w:color="auto" w:sz="4" w:space="0"/>
              <w:right w:val="single" w:color="auto" w:sz="4" w:space="0"/>
            </w:tcBorders>
            <w:noWrap w:val="0"/>
            <w:vAlign w:val="center"/>
          </w:tcPr>
          <w:p w14:paraId="0C5A14A7">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180" w:type="pct"/>
            <w:tcBorders>
              <w:top w:val="single" w:color="auto" w:sz="4" w:space="0"/>
              <w:left w:val="single" w:color="auto" w:sz="4" w:space="0"/>
              <w:bottom w:val="single" w:color="auto" w:sz="4" w:space="0"/>
              <w:right w:val="single" w:color="auto" w:sz="4" w:space="0"/>
            </w:tcBorders>
            <w:noWrap w:val="0"/>
            <w:vAlign w:val="center"/>
          </w:tcPr>
          <w:p w14:paraId="1447F3D5">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总磷</w:t>
            </w:r>
          </w:p>
        </w:tc>
        <w:tc>
          <w:tcPr>
            <w:tcW w:w="982" w:type="pct"/>
            <w:tcBorders>
              <w:top w:val="single" w:color="auto" w:sz="4" w:space="0"/>
              <w:left w:val="single" w:color="auto" w:sz="4" w:space="0"/>
              <w:bottom w:val="single" w:color="auto" w:sz="4" w:space="0"/>
              <w:right w:val="single" w:color="auto" w:sz="4" w:space="0"/>
            </w:tcBorders>
            <w:noWrap w:val="0"/>
            <w:vAlign w:val="center"/>
          </w:tcPr>
          <w:p w14:paraId="1C93D98B">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≤0.2mg/L</w:t>
            </w:r>
          </w:p>
        </w:tc>
        <w:tc>
          <w:tcPr>
            <w:tcW w:w="918" w:type="pct"/>
            <w:tcBorders>
              <w:top w:val="single" w:color="auto" w:sz="4" w:space="0"/>
              <w:left w:val="single" w:color="auto" w:sz="4" w:space="0"/>
              <w:bottom w:val="single" w:color="auto" w:sz="4" w:space="0"/>
              <w:right w:val="single" w:color="auto" w:sz="4" w:space="0"/>
            </w:tcBorders>
            <w:noWrap w:val="0"/>
            <w:vAlign w:val="center"/>
          </w:tcPr>
          <w:p w14:paraId="22C325E9">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≤0.3mg/L</w:t>
            </w:r>
          </w:p>
        </w:tc>
        <w:tc>
          <w:tcPr>
            <w:tcW w:w="1272" w:type="pct"/>
            <w:tcBorders>
              <w:top w:val="single" w:color="auto" w:sz="4" w:space="0"/>
              <w:left w:val="single" w:color="auto" w:sz="4" w:space="0"/>
              <w:bottom w:val="single" w:color="auto" w:sz="4" w:space="0"/>
              <w:right w:val="single" w:color="auto" w:sz="4" w:space="0"/>
            </w:tcBorders>
            <w:noWrap w:val="0"/>
            <w:vAlign w:val="center"/>
          </w:tcPr>
          <w:p w14:paraId="51822BCC">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≤0.4mg/L</w:t>
            </w:r>
          </w:p>
        </w:tc>
      </w:tr>
      <w:tr w14:paraId="78D1FD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7" w:hRule="atLeast"/>
          <w:jc w:val="center"/>
        </w:trPr>
        <w:tc>
          <w:tcPr>
            <w:tcW w:w="646" w:type="pct"/>
            <w:tcBorders>
              <w:top w:val="single" w:color="auto" w:sz="4" w:space="0"/>
              <w:left w:val="single" w:color="auto" w:sz="4" w:space="0"/>
              <w:bottom w:val="single" w:color="auto" w:sz="4" w:space="0"/>
              <w:right w:val="single" w:color="auto" w:sz="4" w:space="0"/>
            </w:tcBorders>
            <w:noWrap w:val="0"/>
            <w:vAlign w:val="center"/>
          </w:tcPr>
          <w:p w14:paraId="7D16DCAE">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1180" w:type="pct"/>
            <w:tcBorders>
              <w:top w:val="single" w:color="auto" w:sz="4" w:space="0"/>
              <w:left w:val="single" w:color="auto" w:sz="4" w:space="0"/>
              <w:bottom w:val="single" w:color="auto" w:sz="4" w:space="0"/>
              <w:right w:val="single" w:color="auto" w:sz="4" w:space="0"/>
            </w:tcBorders>
            <w:noWrap w:val="0"/>
            <w:vAlign w:val="center"/>
          </w:tcPr>
          <w:p w14:paraId="75A46D69">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溶解氧</w:t>
            </w:r>
          </w:p>
        </w:tc>
        <w:tc>
          <w:tcPr>
            <w:tcW w:w="982" w:type="pct"/>
            <w:tcBorders>
              <w:top w:val="single" w:color="auto" w:sz="4" w:space="0"/>
              <w:left w:val="single" w:color="auto" w:sz="4" w:space="0"/>
              <w:bottom w:val="single" w:color="auto" w:sz="4" w:space="0"/>
              <w:right w:val="single" w:color="auto" w:sz="4" w:space="0"/>
            </w:tcBorders>
            <w:noWrap w:val="0"/>
            <w:vAlign w:val="center"/>
          </w:tcPr>
          <w:p w14:paraId="1DA2A0FE">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≥5.0mg/L</w:t>
            </w:r>
          </w:p>
        </w:tc>
        <w:tc>
          <w:tcPr>
            <w:tcW w:w="918" w:type="pct"/>
            <w:tcBorders>
              <w:top w:val="single" w:color="auto" w:sz="4" w:space="0"/>
              <w:left w:val="single" w:color="auto" w:sz="4" w:space="0"/>
              <w:bottom w:val="single" w:color="auto" w:sz="4" w:space="0"/>
              <w:right w:val="single" w:color="auto" w:sz="4" w:space="0"/>
            </w:tcBorders>
            <w:noWrap w:val="0"/>
            <w:vAlign w:val="center"/>
          </w:tcPr>
          <w:p w14:paraId="0DDE604A">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≥3.0mg/L</w:t>
            </w:r>
          </w:p>
        </w:tc>
        <w:tc>
          <w:tcPr>
            <w:tcW w:w="1272" w:type="pct"/>
            <w:tcBorders>
              <w:top w:val="single" w:color="auto" w:sz="4" w:space="0"/>
              <w:left w:val="single" w:color="auto" w:sz="4" w:space="0"/>
              <w:bottom w:val="single" w:color="auto" w:sz="4" w:space="0"/>
              <w:right w:val="single" w:color="auto" w:sz="4" w:space="0"/>
            </w:tcBorders>
            <w:noWrap w:val="0"/>
            <w:vAlign w:val="center"/>
          </w:tcPr>
          <w:p w14:paraId="7989AAD3">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≥2.0mg/L</w:t>
            </w:r>
          </w:p>
        </w:tc>
      </w:tr>
      <w:tr w14:paraId="42381B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7" w:hRule="atLeast"/>
          <w:jc w:val="center"/>
        </w:trPr>
        <w:tc>
          <w:tcPr>
            <w:tcW w:w="646" w:type="pct"/>
            <w:tcBorders>
              <w:top w:val="single" w:color="auto" w:sz="4" w:space="0"/>
              <w:left w:val="single" w:color="auto" w:sz="4" w:space="0"/>
              <w:bottom w:val="single" w:color="auto" w:sz="4" w:space="0"/>
              <w:right w:val="single" w:color="auto" w:sz="4" w:space="0"/>
            </w:tcBorders>
            <w:noWrap w:val="0"/>
            <w:vAlign w:val="center"/>
          </w:tcPr>
          <w:p w14:paraId="128D98E8">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1180" w:type="pct"/>
            <w:tcBorders>
              <w:top w:val="single" w:color="auto" w:sz="4" w:space="0"/>
              <w:left w:val="single" w:color="auto" w:sz="4" w:space="0"/>
              <w:bottom w:val="single" w:color="auto" w:sz="4" w:space="0"/>
              <w:right w:val="single" w:color="auto" w:sz="4" w:space="0"/>
            </w:tcBorders>
            <w:noWrap w:val="0"/>
            <w:vAlign w:val="center"/>
          </w:tcPr>
          <w:p w14:paraId="14F30093">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高锰酸盐指数</w:t>
            </w:r>
          </w:p>
        </w:tc>
        <w:tc>
          <w:tcPr>
            <w:tcW w:w="982" w:type="pct"/>
            <w:tcBorders>
              <w:top w:val="single" w:color="auto" w:sz="4" w:space="0"/>
              <w:left w:val="single" w:color="auto" w:sz="4" w:space="0"/>
              <w:bottom w:val="single" w:color="auto" w:sz="4" w:space="0"/>
              <w:right w:val="single" w:color="auto" w:sz="4" w:space="0"/>
            </w:tcBorders>
            <w:noWrap w:val="0"/>
            <w:vAlign w:val="center"/>
          </w:tcPr>
          <w:p w14:paraId="1375CD8A">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≤6mg/L</w:t>
            </w:r>
          </w:p>
        </w:tc>
        <w:tc>
          <w:tcPr>
            <w:tcW w:w="918" w:type="pct"/>
            <w:tcBorders>
              <w:top w:val="single" w:color="auto" w:sz="4" w:space="0"/>
              <w:left w:val="single" w:color="auto" w:sz="4" w:space="0"/>
              <w:bottom w:val="single" w:color="auto" w:sz="4" w:space="0"/>
              <w:right w:val="single" w:color="auto" w:sz="4" w:space="0"/>
            </w:tcBorders>
            <w:noWrap w:val="0"/>
            <w:vAlign w:val="center"/>
          </w:tcPr>
          <w:p w14:paraId="72666015">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≤10mg/L</w:t>
            </w:r>
          </w:p>
        </w:tc>
        <w:tc>
          <w:tcPr>
            <w:tcW w:w="1272" w:type="pct"/>
            <w:tcBorders>
              <w:top w:val="single" w:color="auto" w:sz="4" w:space="0"/>
              <w:left w:val="single" w:color="auto" w:sz="4" w:space="0"/>
              <w:bottom w:val="single" w:color="auto" w:sz="4" w:space="0"/>
              <w:right w:val="single" w:color="auto" w:sz="4" w:space="0"/>
            </w:tcBorders>
            <w:noWrap w:val="0"/>
            <w:vAlign w:val="center"/>
          </w:tcPr>
          <w:p w14:paraId="617F583A">
            <w:pPr>
              <w:spacing w:line="240" w:lineRule="auto"/>
              <w:rPr>
                <w:rFonts w:hint="eastAsia" w:ascii="宋体" w:hAnsi="宋体" w:eastAsia="宋体" w:cs="宋体"/>
                <w:kern w:val="0"/>
                <w:sz w:val="24"/>
                <w:szCs w:val="24"/>
              </w:rPr>
            </w:pPr>
            <w:r>
              <w:rPr>
                <w:rFonts w:hint="eastAsia" w:ascii="宋体" w:hAnsi="宋体" w:eastAsia="宋体" w:cs="宋体"/>
                <w:kern w:val="0"/>
                <w:sz w:val="24"/>
                <w:szCs w:val="24"/>
              </w:rPr>
              <w:t>≤15mg/L</w:t>
            </w:r>
          </w:p>
        </w:tc>
      </w:tr>
    </w:tbl>
    <w:p w14:paraId="430F1279">
      <w:pPr>
        <w:keepNext w:val="0"/>
        <w:keepLines w:val="0"/>
        <w:pageBreakBefore w:val="0"/>
        <w:widowControl w:val="0"/>
        <w:numPr>
          <w:ilvl w:val="0"/>
          <w:numId w:val="4"/>
        </w:numPr>
        <w:kinsoku/>
        <w:wordWrap/>
        <w:overflowPunct/>
        <w:topLinePunct w:val="0"/>
        <w:autoSpaceDE w:val="0"/>
        <w:autoSpaceDN w:val="0"/>
        <w:bidi w:val="0"/>
        <w:adjustRightInd w:val="0"/>
        <w:snapToGrid/>
        <w:spacing w:line="360" w:lineRule="auto"/>
        <w:ind w:firstLine="482" w:firstLineChars="200"/>
        <w:jc w:val="left"/>
        <w:textAlignment w:val="auto"/>
        <w:rPr>
          <w:rFonts w:ascii="宋体" w:hAnsi="宋体"/>
          <w:b/>
          <w:bCs/>
          <w:color w:val="auto"/>
          <w:sz w:val="24"/>
          <w:highlight w:val="none"/>
        </w:rPr>
      </w:pPr>
      <w:r>
        <w:rPr>
          <w:rFonts w:hint="eastAsia" w:ascii="宋体" w:hAnsi="宋体"/>
          <w:b/>
          <w:bCs/>
          <w:color w:val="auto"/>
          <w:sz w:val="24"/>
          <w:highlight w:val="none"/>
        </w:rPr>
        <w:t>采购标的数量、采购项目交付或者实施的时间和地点</w:t>
      </w:r>
    </w:p>
    <w:p w14:paraId="5869529E">
      <w:pPr>
        <w:keepNext w:val="0"/>
        <w:keepLines w:val="0"/>
        <w:pageBreakBefore w:val="0"/>
        <w:widowControl w:val="0"/>
        <w:numPr>
          <w:ilvl w:val="0"/>
          <w:numId w:val="5"/>
        </w:numPr>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color w:val="auto"/>
          <w:sz w:val="24"/>
          <w:highlight w:val="none"/>
        </w:rPr>
      </w:pPr>
      <w:r>
        <w:rPr>
          <w:rFonts w:hint="eastAsia" w:ascii="宋体" w:hAnsi="宋体"/>
          <w:color w:val="auto"/>
          <w:sz w:val="24"/>
          <w:highlight w:val="none"/>
        </w:rPr>
        <w:t>采购标的数量：</w:t>
      </w:r>
    </w:p>
    <w:tbl>
      <w:tblPr>
        <w:tblStyle w:val="3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07"/>
        <w:gridCol w:w="7006"/>
        <w:gridCol w:w="997"/>
        <w:gridCol w:w="1148"/>
      </w:tblGrid>
      <w:tr w14:paraId="14303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33F8F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序号</w:t>
            </w:r>
          </w:p>
        </w:tc>
        <w:tc>
          <w:tcPr>
            <w:tcW w:w="60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4A6B9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项目名称</w:t>
            </w:r>
          </w:p>
        </w:tc>
        <w:tc>
          <w:tcPr>
            <w:tcW w:w="8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F0E96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单位</w:t>
            </w:r>
          </w:p>
        </w:tc>
        <w:tc>
          <w:tcPr>
            <w:tcW w:w="95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E0D08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工程量</w:t>
            </w:r>
          </w:p>
        </w:tc>
      </w:tr>
      <w:tr w14:paraId="464E3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39544A">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一、吴大成浜</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6BA47">
            <w:pPr>
              <w:jc w:val="center"/>
              <w:rPr>
                <w:rFonts w:hint="default" w:ascii="Times New Roman" w:hAnsi="Times New Roman" w:eastAsia="宋体" w:cs="Times New Roman"/>
                <w:i w:val="0"/>
                <w:iCs w:val="0"/>
                <w:color w:val="000000"/>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04CA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r>
      <w:tr w14:paraId="7A12B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27FD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02C60">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沉水植物的修剪、养护、更换（养护标准：三级养护）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1、及时清除水体表面的植物及非目的性沉水植物。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2、沉水植物长出水面影响景观时， 应进行人工打捞或机割。对于浮出水面的死株，应及时清除。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一年收割1次， 收割时间为枯萎1周内开始收割，收割方式为</w:t>
            </w:r>
            <w:r>
              <w:rPr>
                <w:rFonts w:hint="eastAsia" w:ascii="宋体" w:hAnsi="宋体" w:cs="宋体"/>
                <w:i w:val="0"/>
                <w:iCs w:val="0"/>
                <w:color w:val="000000"/>
                <w:kern w:val="0"/>
                <w:sz w:val="22"/>
                <w:szCs w:val="22"/>
                <w:u w:val="none"/>
                <w:lang w:val="en-US" w:eastAsia="zh-CN" w:bidi="ar"/>
              </w:rPr>
              <w:t>机械</w:t>
            </w:r>
            <w:r>
              <w:rPr>
                <w:rFonts w:hint="eastAsia" w:ascii="宋体" w:hAnsi="宋体" w:eastAsia="宋体" w:cs="宋体"/>
                <w:i w:val="0"/>
                <w:iCs w:val="0"/>
                <w:color w:val="000000"/>
                <w:kern w:val="0"/>
                <w:sz w:val="22"/>
                <w:szCs w:val="22"/>
                <w:u w:val="none"/>
                <w:lang w:val="en-US" w:eastAsia="zh-CN" w:bidi="ar"/>
              </w:rPr>
              <w:t>收割或人工打捞。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4、台风、大风大雨天气及强泄洪后2-3天，检查沉水植物的冲毁情况，如有冲毁，及时补植。</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FDF8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F610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500</w:t>
            </w:r>
          </w:p>
        </w:tc>
      </w:tr>
      <w:tr w14:paraId="3D7E3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B73C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3A653">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河道保洁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1、常态保洁工作，做到每日有专人进行打捞，巡回保洁，确保水面、河岸常态整洁，2人/日；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2、应急处突保洁工作，发现河道水域内有病死动物尸体时，及时打捞上岸进行无害化处理。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3、暴雨过后，及时清理河道中垃圾、杂草、障碍物，进行水质应急处理，确保河道畅通，河面、岸线干净整洁，水质达标。</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DC38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EEDF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3820</w:t>
            </w:r>
          </w:p>
        </w:tc>
      </w:tr>
      <w:tr w14:paraId="007BF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41D2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E3065">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电气控制柜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1、测量电压、电流和接地电阻；更换熔断器、熔芯和接触器；门锁检修；清扫灰尘等；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2、控制1台曝气风机，2台喷泉曝气机。</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61AB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EADD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r>
      <w:tr w14:paraId="2F61E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EA93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B21D0">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管道曝气及喷泉曝气系统维护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1、设备本体以及与本体联系附件的检查、清洗、找正、就位、换油、易损件维修更换、紧固等。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2、1台曝气风机，2台喷泉曝气机。</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E40E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2C14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w:t>
            </w:r>
          </w:p>
        </w:tc>
      </w:tr>
      <w:tr w14:paraId="55847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8570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B7CB2">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微生态浮床维护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1、日常巡查：每周巡查两次，松动及时固定，破损及时更换，避免整个浮床连带损伤。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2、及时修剪枯黄、枯死和倒伏植株，及时清理滨岸带挺水植物周围的杂物或垃圾。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3、定期去除杂草，除草时注意不要破坏植被根系。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4、冬至后至立春萌动前应对枯萎枝叶进行修剪。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5、对于因病虫害等原因造成某个或某些植被死亡时，应将植被撤出，并进行相应的补种；当植物有严重病虫害时，应撤出后再喷洒杀虫剂处理。</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6566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48D1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400</w:t>
            </w:r>
          </w:p>
        </w:tc>
      </w:tr>
      <w:tr w14:paraId="1B0C1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3FBA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45A88">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余方弃置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1、废弃料品种</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一年内本项目水体内收割的植物及水面漂浮物人工装袋放垃圾车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2、运距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投标单位根据实际情况自行考虑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3、含垃圾消纳费</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393D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m³</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E697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382</w:t>
            </w:r>
          </w:p>
        </w:tc>
      </w:tr>
      <w:tr w14:paraId="0DB58B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6739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28F39">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硝化菌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1、亚硝化单胞菌属，硝化杆菌属，营养剂等；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2、维护河道微生物生态群落；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3、有效快速降解河道氨氮指标。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4、施工方式：单次投放按面积每平方水域投放80g，按汛期6月至9月平均每月投放1次，年度总计投放4次，夜间施工水上作业，含机械搅拌、喷洒费用等；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5、如遇突发水质恶化情况，增加投放次数；</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B87A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kg</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8ADC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1222.4</w:t>
            </w:r>
          </w:p>
        </w:tc>
      </w:tr>
      <w:tr w14:paraId="7949F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1905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C3AF3">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水质监测现场跟踪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1、使用快速氨氮检测试纸进行水质检测，平均每个点位每两天一次，雨天及有排污现象时增加检测频率；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2、共两个检测断面</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0E83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次</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2729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365</w:t>
            </w:r>
          </w:p>
        </w:tc>
      </w:tr>
      <w:tr w14:paraId="5FC95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921C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9</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EB718">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水质检测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1、委托专业监测单位进行水质监测每月1次；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2、检测指标为氨氮、总磷、COD、高锰酸盐、溶解氧</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E625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次</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4813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12</w:t>
            </w:r>
          </w:p>
        </w:tc>
      </w:tr>
      <w:tr w14:paraId="0A6C5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A484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10</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4FFA7">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蓝藻处置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1、夏季高温期（按5个月周期计）进行蓝藻人工打捞、处置，平均2人/天，每人每天工作时长12小时（具体以当期藻类爆发情况而定）；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2、打捞后排水，排去表层水体，降低蓝藻数量；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3、投放复合枯草芽孢杆菌进行厌氧消化处理；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4、蓝藻积聚面积较大时，使用汽油泵高压水枪冲散致其下沉；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5、蓝藻巡查，使用无人机无人船对项目区进行蓝藻覆盖度巡查，从而精准快速处置；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6、水上作业施工，含搅拌、喷洒等费用。</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E9D4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8632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3820</w:t>
            </w:r>
          </w:p>
        </w:tc>
      </w:tr>
      <w:tr w14:paraId="30655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CC3DC3">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二、蒋巷浜</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E842B">
            <w:pPr>
              <w:jc w:val="center"/>
              <w:rPr>
                <w:rFonts w:hint="default" w:ascii="Times New Roman" w:hAnsi="Times New Roman" w:eastAsia="宋体" w:cs="Times New Roman"/>
                <w:i w:val="0"/>
                <w:iCs w:val="0"/>
                <w:color w:val="000000"/>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09B5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r>
      <w:tr w14:paraId="2D0DF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E0BD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11</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ABCA4">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沉水植物的修剪、养护、更换（养护标准：三级养护）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1、及时清除水体表面的植物及非目的性沉水植物。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2、沉水植物长出水面影响景观时， 应进行人工打捞或机割。对于浮出水面的死株，应及时清除。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一年收割1次， 收割时间为枯萎1周内开始收割，收割方式为</w:t>
            </w:r>
            <w:r>
              <w:rPr>
                <w:rFonts w:hint="eastAsia" w:ascii="宋体" w:hAnsi="宋体" w:cs="宋体"/>
                <w:i w:val="0"/>
                <w:iCs w:val="0"/>
                <w:color w:val="000000"/>
                <w:kern w:val="0"/>
                <w:sz w:val="22"/>
                <w:szCs w:val="22"/>
                <w:u w:val="none"/>
                <w:lang w:val="en-US" w:eastAsia="zh-CN" w:bidi="ar"/>
              </w:rPr>
              <w:t>机械</w:t>
            </w:r>
            <w:r>
              <w:rPr>
                <w:rFonts w:hint="eastAsia" w:ascii="宋体" w:hAnsi="宋体" w:eastAsia="宋体" w:cs="宋体"/>
                <w:i w:val="0"/>
                <w:iCs w:val="0"/>
                <w:color w:val="000000"/>
                <w:kern w:val="0"/>
                <w:sz w:val="22"/>
                <w:szCs w:val="22"/>
                <w:u w:val="none"/>
                <w:lang w:val="en-US" w:eastAsia="zh-CN" w:bidi="ar"/>
              </w:rPr>
              <w:t>收割或人工打捞。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4、台风、大风大雨天气及强泄洪后2-3天，检查沉水植物的冲毁情况，如有冲毁，及时补植。</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E655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1B9C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862</w:t>
            </w:r>
          </w:p>
        </w:tc>
      </w:tr>
      <w:tr w14:paraId="4A806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6CC4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12</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5270E">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河道保洁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1、常态保洁工作，做到每日有专人进行打捞，巡回保洁，确保水面、河岸常态整洁，2人/日；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2、应急处突保洁工作，发现河道水域内有病死动物尸体时，及时打捞上岸进行无害化处理。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3、暴雨过后，及时清理河道中垃圾、杂草、障碍物，进行水质应急处理，确保河道畅通，河面、岸线干净整洁，水质达标。</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4114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D166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908</w:t>
            </w:r>
          </w:p>
        </w:tc>
      </w:tr>
      <w:tr w14:paraId="07196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8FC9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13</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E01CC">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电气控制柜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1、测量电压、电流和接地电阻；更换熔断器、熔芯和接触器；门锁检修；清扫灰尘等；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2、控制1台曝气风机，1台喷泉曝气机，2台推流曝气机</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8A78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7498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r>
      <w:tr w14:paraId="2B921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13E2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14</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2BA4A">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曝气风机系统维护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1、设备本体以及与本体联系附件的检查、清洗、找正、就位、换油、易损件维修更换、紧固等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2、曝气风机1台，1台喷泉曝气机，2台推流曝气机</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18C1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F865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w:t>
            </w:r>
          </w:p>
        </w:tc>
      </w:tr>
      <w:tr w14:paraId="095C0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1177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15</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3DB04">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余方弃置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1、废弃料品种</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一年内本项目水体内收割的植物及水面漂浮物人工装袋放垃圾车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2、运距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投标单位根据实际情况自行考虑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3、含垃圾消纳费</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3990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m³</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A77B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90.8</w:t>
            </w:r>
          </w:p>
        </w:tc>
      </w:tr>
      <w:tr w14:paraId="6951B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BBBA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16</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DC81B">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硝化菌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1、亚硝化单胞菌属，硝化杆菌属，营养剂等；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2、维护河道微生物生态群落；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3、有效快速降解河道氨氮指标。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4、施工方式：单次投放按面积每平方水域投放80g，按汛期6月至9月平均每月投放1次，年度总计投放4次，夜间施工水上作业，含机械搅拌、喷洒费用等；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5、如遇突发水质恶化情况，增加投放次数；</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B0C2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kg</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7F39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290.56</w:t>
            </w:r>
          </w:p>
        </w:tc>
      </w:tr>
      <w:tr w14:paraId="0D6CE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92ED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17</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D31A7">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水质监测现场跟踪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1、使用快速氨氮检测试纸进行水质检测，平均每个点位每两天一次，雨天及有排污现象时增加检测频率；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2、共一个检测断面</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A685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次</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8008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182</w:t>
            </w:r>
          </w:p>
        </w:tc>
      </w:tr>
      <w:tr w14:paraId="73DBA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FD6E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18</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5B0DC">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水质检测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1、委托专业监测单位进行水质监测每月1次；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2、检测指标为氨氮、总磷、COD、高锰酸盐、溶解氧</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3212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次</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E175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12</w:t>
            </w:r>
          </w:p>
        </w:tc>
      </w:tr>
      <w:tr w14:paraId="261E7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75BE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19</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012F2">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蓝藻处置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1、夏季高温期（按5个月周期计）进行蓝藻人工打捞、处置，平均2人/天，每人每天工作时长12小时（具体以当期藻类爆发情况而定）；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2、打捞后排水，排去表层水体，降低蓝藻数量；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3、投放复合枯草芽孢杆菌进行厌氧消化处理；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4、蓝藻积聚面积较大时，使用汽油泵高压水枪冲散致其下沉；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5、蓝藻巡查，使用无人机无人船对项目区进行蓝藻覆盖度巡查，从而精准快速处置；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6、水上作业施工，含搅拌、喷洒等费用。</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B26E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E07C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908</w:t>
            </w:r>
          </w:p>
        </w:tc>
      </w:tr>
      <w:tr w14:paraId="5D943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C0DE91">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三、钱家桥浜</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D662D">
            <w:pPr>
              <w:jc w:val="center"/>
              <w:rPr>
                <w:rFonts w:hint="default" w:ascii="Times New Roman" w:hAnsi="Times New Roman" w:eastAsia="宋体" w:cs="Times New Roman"/>
                <w:i w:val="0"/>
                <w:iCs w:val="0"/>
                <w:color w:val="000000"/>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CA0E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r>
      <w:tr w14:paraId="1DA7F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3187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20</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56ACF">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沉水植物的修剪、养护、更换（养护标准：三级养护）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1、及时清除水体表面的植物及非目的性沉水植物。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2、沉水植物长出水面影响景观时， 应进行人工打捞或机割。对于浮出水面的死株，应及时清除。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一年收割1次， 收割时间为枯萎1周内开始收割，收割方式为</w:t>
            </w:r>
            <w:r>
              <w:rPr>
                <w:rFonts w:hint="eastAsia" w:ascii="宋体" w:hAnsi="宋体" w:cs="宋体"/>
                <w:i w:val="0"/>
                <w:iCs w:val="0"/>
                <w:color w:val="000000"/>
                <w:kern w:val="0"/>
                <w:sz w:val="22"/>
                <w:szCs w:val="22"/>
                <w:u w:val="none"/>
                <w:lang w:val="en-US" w:eastAsia="zh-CN" w:bidi="ar"/>
              </w:rPr>
              <w:t>机械</w:t>
            </w:r>
            <w:r>
              <w:rPr>
                <w:rFonts w:hint="eastAsia" w:ascii="宋体" w:hAnsi="宋体" w:eastAsia="宋体" w:cs="宋体"/>
                <w:i w:val="0"/>
                <w:iCs w:val="0"/>
                <w:color w:val="000000"/>
                <w:kern w:val="0"/>
                <w:sz w:val="22"/>
                <w:szCs w:val="22"/>
                <w:u w:val="none"/>
                <w:lang w:val="en-US" w:eastAsia="zh-CN" w:bidi="ar"/>
              </w:rPr>
              <w:t>收割或人工打捞。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4、台风、大风大雨天气及强泄洪后2-3天，检查沉水植物的冲毁情况，如有冲毁，及时补植。</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4817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17AF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1000</w:t>
            </w:r>
          </w:p>
        </w:tc>
      </w:tr>
      <w:tr w14:paraId="6AD1D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2228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21</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4B4E1">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河道保洁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1、常态保洁工作，做到每日有专人进行打捞，巡回保洁，确保水面、河岸常态整洁，2人/日；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2、应急处突保洁工作，发现河道水域内有病死动物尸体时，及时打捞上岸进行无害化处理。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3、暴雨过后，及时清理河道中垃圾、杂草、障碍物，进行水质应急处理，确保河道畅通，河面、岸线干净整洁，水质达标。</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4700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80D9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4300</w:t>
            </w:r>
          </w:p>
        </w:tc>
      </w:tr>
      <w:tr w14:paraId="39AB6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900C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22</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694A2">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电气控制柜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1、测量电压、电流和接地电阻；更换熔断器、熔芯和接触器；门锁检修；清扫灰尘等；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2、控制1台曝气风机，3台喷泉曝气机。</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B08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5082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r>
      <w:tr w14:paraId="275B5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409F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23</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B6EA7">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喷泉曝气及曝气风机系统维护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1、设备本体以及与本体联系附件的检查、清洗、找正、就位、换油、易损件维修更换、紧固等。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2、喷泉曝气机3台，曝气风机1台。</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833D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B0BD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w:t>
            </w:r>
          </w:p>
        </w:tc>
      </w:tr>
      <w:tr w14:paraId="54C20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AA1F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24</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B02DB">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微生态浮床维护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1、日常巡查：每周巡查两次，松动及时固定，破损及时更换，避免整个浮床连带损伤。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2、及时修剪枯黄、枯死和倒伏植株，及时清理滨岸带挺水植物周围的杂物或垃圾。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3、定期去除杂草，除草时注意不要破坏植被根系。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4、冬至后至立春萌动前应对枯萎枝叶进行修剪。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5、对于因病虫害等原因造成某个或某些植被死亡时，应将植被撤出，并进行相应的补种；当植物有严重病虫害时，应撤出后再喷洒杀虫剂处理。</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F163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F1AE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360</w:t>
            </w:r>
          </w:p>
        </w:tc>
      </w:tr>
      <w:tr w14:paraId="37173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05B4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25</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C14AE">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余方弃置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1、废弃料品种</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一年内本项目水体内收割的植物及水面漂浮物人工装袋放垃圾车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2、运距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投标单位根据实际情况自行考虑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3、含垃圾消纳费</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FC68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m³</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178D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430</w:t>
            </w:r>
          </w:p>
        </w:tc>
      </w:tr>
      <w:tr w14:paraId="42D20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1900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26</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D9BDA">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硝化菌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1、亚硝化单胞菌属，硝化杆菌属，营养剂等；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2、维护河道微生物生态群落；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3、有效快速降解河道氨氮指标。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4、施工方式：单次投放按面积每平方水域投放80g，按汛期6月至9月平均每月投放1次，年度总计投放4次，夜间施工水上作业，含机械搅拌、喷洒费用等；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5、如遇突发水质恶化情况，增加投放次数；</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3942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kg</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7F53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1376</w:t>
            </w:r>
          </w:p>
        </w:tc>
      </w:tr>
      <w:tr w14:paraId="22ECE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112A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27</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4EB0D">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水质监测现场跟踪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1、使用快速氨氮检测试纸进行水质检测，平均每个点位每两天一次，雨天及有排污现象时增加检测频率；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2、共五个检测断面</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4515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次</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A41C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912</w:t>
            </w:r>
          </w:p>
        </w:tc>
      </w:tr>
      <w:tr w14:paraId="2B073F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2ADF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28</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8EB4">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水质检测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1、委托专业监测单位进行水质监测每月1次；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2、检测指标为氨氮、总磷、COD、高锰酸盐、溶解氧</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44AF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次</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6766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12</w:t>
            </w:r>
          </w:p>
        </w:tc>
      </w:tr>
      <w:tr w14:paraId="6A8D3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6F2F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29</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122BC">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蓝藻处置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1、夏季高温期（按5个月周期计）进行蓝藻人工打捞、处置，平均2人/天，每人每天工作时长12小时（具体以当期藻类爆发情况而定）；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2、打捞后排水，排去表层水体，降低蓝藻数量；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3、投放复合枯草芽孢杆菌进行厌氧消化处理；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4、蓝藻积聚面积较大时，使用汽油泵高压水枪冲散致其下沉；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5、蓝藻巡查，使用无人机无人船对项目区进行蓝藻覆盖度巡查，从而精准快速处置；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6、水上作业施工，含搅拌、喷洒等费用。</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EBF4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A122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4300</w:t>
            </w:r>
          </w:p>
        </w:tc>
      </w:tr>
      <w:tr w14:paraId="6CA789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F24710">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四、唐巷浜</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1B2DB">
            <w:pPr>
              <w:jc w:val="center"/>
              <w:rPr>
                <w:rFonts w:hint="default" w:ascii="Times New Roman" w:hAnsi="Times New Roman" w:eastAsia="宋体" w:cs="Times New Roman"/>
                <w:i w:val="0"/>
                <w:iCs w:val="0"/>
                <w:color w:val="000000"/>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8F07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r>
      <w:tr w14:paraId="77BD0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C793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30</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05534">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沉水植物的修剪、养护、更换（养护标准：三级养护）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1、及时清除水体表面的植物及非目的性沉水植物。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2、沉水植物长出水面影响景观时， 应进行人工打捞或机割。对于浮出水面的死株，应及时清除。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一年收割1次， 收割时间为枯萎1周内开始收割，收割方式为</w:t>
            </w:r>
            <w:r>
              <w:rPr>
                <w:rFonts w:hint="eastAsia" w:ascii="宋体" w:hAnsi="宋体" w:cs="宋体"/>
                <w:i w:val="0"/>
                <w:iCs w:val="0"/>
                <w:color w:val="000000"/>
                <w:kern w:val="0"/>
                <w:sz w:val="22"/>
                <w:szCs w:val="22"/>
                <w:u w:val="none"/>
                <w:lang w:val="en-US" w:eastAsia="zh-CN" w:bidi="ar"/>
              </w:rPr>
              <w:t>机械</w:t>
            </w:r>
            <w:r>
              <w:rPr>
                <w:rFonts w:hint="eastAsia" w:ascii="宋体" w:hAnsi="宋体" w:eastAsia="宋体" w:cs="宋体"/>
                <w:i w:val="0"/>
                <w:iCs w:val="0"/>
                <w:color w:val="000000"/>
                <w:kern w:val="0"/>
                <w:sz w:val="22"/>
                <w:szCs w:val="22"/>
                <w:u w:val="none"/>
                <w:lang w:val="en-US" w:eastAsia="zh-CN" w:bidi="ar"/>
              </w:rPr>
              <w:t>收割或人工打捞。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4、台风、大风大雨天气及强泄洪后2-3天，检查沉水植物的冲毁情况，如有冲毁，及时补植。</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3883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505F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2665</w:t>
            </w:r>
          </w:p>
        </w:tc>
      </w:tr>
      <w:tr w14:paraId="0F11E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B0F9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31</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FA781">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河道保洁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1、常态保洁工作，做到每日有专人进行打捞，巡回保洁，确保水面、河岸常态整洁，2人/日；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2、应急处突保洁工作，发现河道水域内有病死动物尸体时，及时打捞上岸进行无害化处理。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3、暴雨过后，及时清理河道中垃圾、杂草、障碍物，进行水质应急处理，确保河道畅通，河面、岸线干净整洁，水质达标。</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A17B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13B7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3853</w:t>
            </w:r>
          </w:p>
        </w:tc>
      </w:tr>
      <w:tr w14:paraId="305AC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52D8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32</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BD95E">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电气控制柜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1、测量电压、电流和接地电阻；更换熔断器、熔芯和接触器；门锁检修；清扫灰尘等；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2、控制1台曝气风机，1台喷泉曝气机。</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498A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7489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r>
      <w:tr w14:paraId="0DFCA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CDCF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33</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B5C8E">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喷泉曝气及曝气风机系统维护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1、设备本体以及与本体联系附件的检查、清洗、找正、就位、换油、易损件维修更换、紧固等。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2、喷泉曝气机1台，曝气风机1台。</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CB89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5FE2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w:t>
            </w:r>
          </w:p>
        </w:tc>
      </w:tr>
      <w:tr w14:paraId="0485F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74C8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34</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77275">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微生态浮床维护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1、日常巡查：每周巡查两次，松动及时固定，破损及时更换，避免整个浮床连带损伤。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2、及时修剪枯黄、枯死和倒伏植株，及时清理滨岸带挺水植物周围的杂物或垃圾。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3、定期去除杂草，除草时注意不要破坏植被根系。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4、冬至后至立春萌动前应对枯萎枝叶进行修剪。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5、对于因病虫害等原因造成某个或某些植被死亡时，应将植被撤出，并进行相应的补种；当植物有严重病虫害时，应撤出后再喷洒杀虫剂处理。</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09A4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FFE6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220</w:t>
            </w:r>
          </w:p>
        </w:tc>
      </w:tr>
      <w:tr w14:paraId="60D26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AC3A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35</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C5093">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余方弃置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1、废弃料品种</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一年内本项目水体内收割的植物及水面漂浮物人工装袋放垃圾车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2、运距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投标单位根据实际情况自行考虑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3、含垃圾消纳费</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A04D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m³</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D5FF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385.3</w:t>
            </w:r>
          </w:p>
        </w:tc>
      </w:tr>
      <w:tr w14:paraId="09A1F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8F19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36</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9FBBE">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硝化菌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1、亚硝化单胞菌属，硝化杆菌属，营养剂等；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2、维护河道微生物生态群落；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3、有效快速降解河道氨氮指标。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4、施工方式：单次投放按面积每平方水域投放80g，按汛期6月至9月平均每月投放1次，年度总计投放4次，夜间施工水上作业，含机械搅拌、喷洒费用等；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5、如遇突发水质恶化情况，增加投放次数；</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FAE5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kg</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B3C0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1232.96</w:t>
            </w:r>
          </w:p>
        </w:tc>
      </w:tr>
      <w:tr w14:paraId="39E98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BB00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37</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648FE">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水质监测现场跟踪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1、使用快速氨氮检测试纸进行水质检测，平均每个点位每两天一次，雨天及有排污现象时增加检测频率；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2、共两个检测断面</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B5C2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次</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3B45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365</w:t>
            </w:r>
          </w:p>
        </w:tc>
      </w:tr>
      <w:tr w14:paraId="12943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22BA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38</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0BE84">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水质检测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1、委托专业监测单位进行水质监测每月1次；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2、检测指标为氨氮、总磷、COD、高锰酸盐、溶解氧</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7384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次</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CC63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12</w:t>
            </w:r>
          </w:p>
        </w:tc>
      </w:tr>
      <w:tr w14:paraId="29B47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127E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39</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88047">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蓝藻处置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1、夏季高温期（按5个月周期计）进行蓝藻人工打捞、处置，平均2人/天，每人每天工作时长12小时（具体以当期藻类爆发情况而定）；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2、打捞后排水，排去表层水体，降低蓝藻数量；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3、投放复合枯草芽孢杆菌进行厌氧消化处理；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4、蓝藻积聚面积较大时，使用汽油泵高压水枪冲散致其下沉；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5、蓝藻巡查，使用无人机无人船对项目区进行蓝藻覆盖度巡查，从而精准快速处置；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6、水上作业施工，含搅拌、喷洒等费用。</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89F8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73D6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3853</w:t>
            </w:r>
          </w:p>
        </w:tc>
      </w:tr>
      <w:tr w14:paraId="5D07A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142EF1">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五、庙东浜</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0C942">
            <w:pPr>
              <w:jc w:val="center"/>
              <w:rPr>
                <w:rFonts w:hint="default" w:ascii="Times New Roman" w:hAnsi="Times New Roman" w:eastAsia="宋体" w:cs="Times New Roman"/>
                <w:i w:val="0"/>
                <w:iCs w:val="0"/>
                <w:color w:val="000000"/>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8FD5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r>
      <w:tr w14:paraId="03D71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8DC2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40</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6A36A">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沉水植物的修剪、养护、更换（养护标准：三级养护）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1、及时清除水体表面的植物及非目的性沉水植物。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2、沉水植物长出水面影响景观时， 应进行人工打捞或机割。对于浮出水面的死株，应及时清除。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一年收割1次， 收割时间为枯萎1周内开始收割，收割方式为</w:t>
            </w:r>
            <w:r>
              <w:rPr>
                <w:rFonts w:hint="eastAsia" w:ascii="宋体" w:hAnsi="宋体" w:cs="宋体"/>
                <w:i w:val="0"/>
                <w:iCs w:val="0"/>
                <w:color w:val="000000"/>
                <w:kern w:val="0"/>
                <w:sz w:val="22"/>
                <w:szCs w:val="22"/>
                <w:u w:val="none"/>
                <w:lang w:val="en-US" w:eastAsia="zh-CN" w:bidi="ar"/>
              </w:rPr>
              <w:t>机械</w:t>
            </w:r>
            <w:r>
              <w:rPr>
                <w:rFonts w:hint="eastAsia" w:ascii="宋体" w:hAnsi="宋体" w:eastAsia="宋体" w:cs="宋体"/>
                <w:i w:val="0"/>
                <w:iCs w:val="0"/>
                <w:color w:val="000000"/>
                <w:kern w:val="0"/>
                <w:sz w:val="22"/>
                <w:szCs w:val="22"/>
                <w:u w:val="none"/>
                <w:lang w:val="en-US" w:eastAsia="zh-CN" w:bidi="ar"/>
              </w:rPr>
              <w:t>收割或人工打捞。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4、台风、大风大雨天气及强泄洪后2-3天，检查沉水植物的冲毁情况，如有冲毁，及时补植。</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C828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569A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4856</w:t>
            </w:r>
          </w:p>
        </w:tc>
      </w:tr>
      <w:tr w14:paraId="0D2D2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741D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41</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017E8">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河道保洁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1、常态保洁工作，做到每日有专人进行打捞，巡回保洁，确保水面、河岸常态整洁，2人/日；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2、应急处突保洁工作，发现河道水域内有病死动物尸体时，及时打捞上岸进行无害化处理。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3、暴雨过后，及时清理河道中垃圾、杂草、障碍物，进行水质应急处理，确保河道畅通，河面、岸线干净整洁，水质达标。</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536A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3EEC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17700</w:t>
            </w:r>
          </w:p>
        </w:tc>
      </w:tr>
      <w:tr w14:paraId="7A8D7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88C4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42</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44786">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电气控制柜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1、测量电压、电流和接地电阻；更换熔断器、熔芯和接触器；门锁检修；清扫灰尘等；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2、控制6台曝气风机，3台喷泉曝气机。</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9AF7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C1E2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r>
      <w:tr w14:paraId="3462BE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7108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43</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D4585">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喷泉曝气及曝气风机系统维护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1、设备本体以及与本体联系附件的检查、清洗、找正、就位、换油、易损件维修更换、紧固等。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2、喷泉曝气机3台，曝气风机6台。</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12B4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97EB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9</w:t>
            </w:r>
          </w:p>
        </w:tc>
      </w:tr>
      <w:tr w14:paraId="1DE71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198B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44</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78CE2">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微生态浮床维护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1、日常巡查：每周巡查两次，松动及时固定，破损及时更换，避免整个浮床连带损伤。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2、及时修剪枯黄、枯死和倒伏植株，及时清理滨岸带挺水植物周围的杂物或垃圾。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3、定期去除杂草，除草时注意不要破坏植被根系。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4、冬至后至立春萌动前应对枯萎枝叶进行修剪。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5、对于因病虫害等原因造成某个或某些植被死亡时，应将植被撤出，并进行相应的补种；当植物有严重病虫害时，应撤出后再喷洒杀虫剂处理。</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358A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EFE1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150</w:t>
            </w:r>
          </w:p>
        </w:tc>
      </w:tr>
      <w:tr w14:paraId="3AEA8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CDBA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45</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9F052">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余方弃置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1、废弃料品种</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一年内本项目水体内收割的植物及水面漂浮物人工装袋放垃圾车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2、运距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投标单位根据实际情况自行考虑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3、含垃圾消纳费</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80E4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m³</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28FE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1770</w:t>
            </w:r>
          </w:p>
        </w:tc>
      </w:tr>
      <w:tr w14:paraId="7727B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E609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46</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08CD2">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硝化菌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1、亚硝化单胞菌属，硝化杆菌属，营养剂等；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2、维护河道微生物生态群落；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3、有效快速降解河道氨氮指标。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4、施工方式：单次投放按面积每平方水域投放80g，按汛期6月至9月平均每月投放1次，年度总计投放4次，夜间施工水上作业，含机械搅拌、喷洒费用等；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5、如遇突发水质恶化情况，增加投放次数；</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15F7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kg</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EC41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5664</w:t>
            </w:r>
          </w:p>
        </w:tc>
      </w:tr>
      <w:tr w14:paraId="0EAEA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2804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47</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73A4A">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水质监测现场跟踪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1、使用快速氨氮检测试纸进行水质检测，平均每个点位每两天一次，雨天及有排污现象时增加检测频率；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2、共四个检测断面</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B6DC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次</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436E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730</w:t>
            </w:r>
          </w:p>
        </w:tc>
      </w:tr>
      <w:tr w14:paraId="18B68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19C8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48</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C5D89">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水质检测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1、委托专业监测单位进行水质监测每月1次；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2、检测指标为氨氮、总磷、COD、高锰酸盐、溶解氧</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45B4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次</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E05A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12</w:t>
            </w:r>
          </w:p>
        </w:tc>
      </w:tr>
      <w:tr w14:paraId="76014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375B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49</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EC4F3">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蓝藻处置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1、夏季高温期（按5个月周期计）进行蓝藻人工打捞、处置，平均2人/天，每人每天工作时长12小时（具体以当期藻类爆发情况而定）；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2、打捞后排水，排去表层水体，降低蓝藻数量；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3、投放复合枯草芽孢杆菌进行厌氧消化处理；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4、蓝藻积聚面积较大时，使用汽油泵高压水枪冲散致其下沉；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5、蓝藻巡查，使用无人机无人船对项目区进行蓝藻覆盖度巡查，从而精准快速处置；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6、水上作业施工，含搅拌、喷洒等费用。</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E6C2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D8BB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17700</w:t>
            </w:r>
          </w:p>
        </w:tc>
      </w:tr>
      <w:tr w14:paraId="648C8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9B4321">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六、北庄河</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65FD0">
            <w:pPr>
              <w:jc w:val="center"/>
              <w:rPr>
                <w:rFonts w:hint="default" w:ascii="Times New Roman" w:hAnsi="Times New Roman" w:eastAsia="宋体" w:cs="Times New Roman"/>
                <w:i w:val="0"/>
                <w:iCs w:val="0"/>
                <w:color w:val="000000"/>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596C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r>
      <w:tr w14:paraId="31567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93B2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50</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4D10F">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沉水植物的修剪、养护、更换（养护标准：三级养护）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1、及时清除水体表面的植物及非目的性沉水植物。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2、沉水植物长出水面影响景观时， 应进行人工打捞或机割。对于浮出水面的死株，应及时清除。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一年收割1次， 收割时间为枯萎1周内开始收割，收割方式为</w:t>
            </w:r>
            <w:r>
              <w:rPr>
                <w:rFonts w:hint="eastAsia" w:ascii="宋体" w:hAnsi="宋体" w:cs="宋体"/>
                <w:i w:val="0"/>
                <w:iCs w:val="0"/>
                <w:color w:val="000000"/>
                <w:kern w:val="0"/>
                <w:sz w:val="22"/>
                <w:szCs w:val="22"/>
                <w:u w:val="none"/>
                <w:lang w:val="en-US" w:eastAsia="zh-CN" w:bidi="ar"/>
              </w:rPr>
              <w:t>机械</w:t>
            </w:r>
            <w:r>
              <w:rPr>
                <w:rFonts w:hint="eastAsia" w:ascii="宋体" w:hAnsi="宋体" w:eastAsia="宋体" w:cs="宋体"/>
                <w:i w:val="0"/>
                <w:iCs w:val="0"/>
                <w:color w:val="000000"/>
                <w:kern w:val="0"/>
                <w:sz w:val="22"/>
                <w:szCs w:val="22"/>
                <w:u w:val="none"/>
                <w:lang w:val="en-US" w:eastAsia="zh-CN" w:bidi="ar"/>
              </w:rPr>
              <w:t>收割或人工打捞。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4、台风、大风大雨天气及强泄洪后2-3天，检查沉水植物的冲毁情况，如有冲毁，及时补植。</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B26D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20BA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1920</w:t>
            </w:r>
          </w:p>
        </w:tc>
      </w:tr>
      <w:tr w14:paraId="7354D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38E5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51</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177B6">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河道保洁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1、常态保洁工作，做到每日有专人进行打捞，巡回保洁，确保水面、河岸常态整洁，2人/日；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2、应急处突保洁工作，发现河道水域内有病死动物尸体时，及时打捞上岸进行无害化处理。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3、暴雨过后，及时清理河道中垃圾、杂草、障碍物，进行水质应急处理，确保河道畅通，河面、岸线干净整洁，水质达标。</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CAD3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652F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2822</w:t>
            </w:r>
          </w:p>
        </w:tc>
      </w:tr>
      <w:tr w14:paraId="3FD87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2AEE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52</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67C63">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电气控制柜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1、测量电压、电流和接地电阻；更换熔断器、熔芯和接触器；门锁检修；清扫灰尘等；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2、控制1台曝气风机，1台喷泉曝气机。</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4556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4B77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r>
      <w:tr w14:paraId="12B35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7DDD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53</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07AF3">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喷泉曝气及曝气风机系统维护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1、设备本体以及与本体联系附件的检查、清洗、找正、就位、换油、易损件维修更换、紧固等。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2、喷泉曝气机1台，曝气风机1台。</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FB0B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E6B6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w:t>
            </w:r>
          </w:p>
        </w:tc>
      </w:tr>
      <w:tr w14:paraId="65136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775A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54</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B7C3E">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余方弃置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1、废弃料品种</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一年内本项目水体内收割的植物及水面漂浮物人工装袋放垃圾车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2、运距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投标单位根据实际情况自行考虑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3、含垃圾消纳费</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3529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m³</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0447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282.2</w:t>
            </w:r>
          </w:p>
        </w:tc>
      </w:tr>
      <w:tr w14:paraId="5C159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8D46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55</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8C804">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硝化菌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1、亚硝化单胞菌属，硝化杆菌属，营养剂等；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2、维护河道微生物生态群落；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3、有效快速降解河道氨氮指标。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4、施工方式：单次投放按面积每平方水域投放80g，按汛期6月至9月平均每月投放1次，年度总计投放4次，夜间施工水上作业，含机械搅拌、喷洒费用等；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5、如遇突发水质恶化情况，增加投放次数；</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3390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kg</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D84C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903.04</w:t>
            </w:r>
          </w:p>
        </w:tc>
      </w:tr>
      <w:tr w14:paraId="3B0C4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C4B0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56</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5705D">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水质监测现场跟踪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1、使用快速氨氮检测试纸进行水质检测，平均每个点位每两天一次，雨天及有排污现象时增加检测频率；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2、共两个检测断面</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056A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次</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B17F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365</w:t>
            </w:r>
          </w:p>
        </w:tc>
      </w:tr>
      <w:tr w14:paraId="5182A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3CD8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57</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1DB56">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水质检测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1、委托专业监测单位进行水质监测每月1次；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2、检测指标为氨氮、总磷、COD、高锰酸盐、溶解氧</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B5FB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次</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4E53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12</w:t>
            </w:r>
          </w:p>
        </w:tc>
      </w:tr>
      <w:tr w14:paraId="0A1E0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202EE3">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七、老乌浜</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1630F">
            <w:pPr>
              <w:jc w:val="center"/>
              <w:rPr>
                <w:rFonts w:hint="default" w:ascii="Times New Roman" w:hAnsi="Times New Roman" w:eastAsia="宋体" w:cs="Times New Roman"/>
                <w:i w:val="0"/>
                <w:iCs w:val="0"/>
                <w:color w:val="000000"/>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287F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r>
      <w:tr w14:paraId="30297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E15B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58</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5E62A">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河道保洁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1、常态保洁工作，做到每日有专人进行打捞，巡回保洁，确保水面、河岸常态整洁，2人/日；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2、应急处突保洁工作，发现河道水域内有病死动物尸体时，及时打捞上岸进行无害化处理。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3、暴雨过后，及时清理河道中垃圾、杂草、障碍物，进行水质应急处理，确保河道畅通，河面、岸线干净整洁，水质达标。</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5312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88E5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870</w:t>
            </w:r>
          </w:p>
        </w:tc>
      </w:tr>
      <w:tr w14:paraId="04AA7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0EF0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59</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11D89">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电气控制柜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1、测量电压、电流和接地电阻；更换熔断器、熔芯和接触器；门锁检修；清扫灰尘等；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2、控制3台推流曝气机。</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6A70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18E3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r>
      <w:tr w14:paraId="343D6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093A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60</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CB641">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喷泉曝气及曝气风机系统维护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1、设备本体以及与本体联系附件的检查、清洗、找正、就位、换油、易损件维修更换、紧固等。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2、3台推流曝气机。</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52BD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D777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w:t>
            </w:r>
          </w:p>
        </w:tc>
      </w:tr>
      <w:tr w14:paraId="7D120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F87D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61</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5CD61">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余方弃置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1、废弃料品种</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一年内本项目水体内收割的植物及水面漂浮物人工装袋放垃圾车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2、运距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投标单位根据实际情况自行考虑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3、含垃圾消纳费</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983D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m³</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118B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87</w:t>
            </w:r>
          </w:p>
        </w:tc>
      </w:tr>
      <w:tr w14:paraId="4EAD2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0F67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62</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58F1D">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硝化菌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1、亚硝化单胞菌属，硝化杆菌属，营养剂等；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2、维护河道微生物生态群落；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3、有效快速降解河道氨氮指标。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4、施工方式：单次投放按面积每平方水域投放80g，按汛期6月至9月平均每月投放1次，年度总计投放4次，夜间施工水上作业，含机械搅拌、喷洒费用等；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5、如遇突发水质恶化情况，增加投放次数；</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4AE2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kg</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62C5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278.4</w:t>
            </w:r>
          </w:p>
        </w:tc>
      </w:tr>
      <w:tr w14:paraId="715B4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94F1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63</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11E11">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水质监测现场跟踪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1、使用快速氨氮检测试纸进行水质检测，平均每个点位每两天一次，雨天及有排污现象时增加检测频率；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2、共一个检测断面</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8E82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次</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6CFC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182</w:t>
            </w:r>
          </w:p>
        </w:tc>
      </w:tr>
      <w:tr w14:paraId="13D71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79A3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64</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F2CE4">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水质检测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1、委托专业监测单位进行水质监测每月1次；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2、检测指标为氨氮、总磷、COD、高锰酸盐、溶解氧</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BC75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次</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62F6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12</w:t>
            </w:r>
          </w:p>
        </w:tc>
      </w:tr>
      <w:tr w14:paraId="15E0C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03E4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65</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496C1">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蓝藻处置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1、夏季高温期（按5个月周期计）进行蓝藻人工打捞、处置，平均2人/天，每人每天工作时长12小时（具体以当期藻类爆发情况而定）；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2、打捞后排水，排去表层水体，降低蓝藻数量；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3、投放复合枯草芽孢杆菌进行厌氧消化处理；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4、蓝藻积聚面积较大时，使用汽油泵高压水枪冲散致其下沉；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5、蓝藻巡查，使用无人机无人船对项目区进行蓝藻覆盖度巡查，从而精准快速处置；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6、水上作业施工，含搅拌、喷洒等费用。</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1AC9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9607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870</w:t>
            </w:r>
          </w:p>
        </w:tc>
      </w:tr>
      <w:tr w14:paraId="0AD65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A9C5ED">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八、东新河</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3499B">
            <w:pPr>
              <w:jc w:val="center"/>
              <w:rPr>
                <w:rFonts w:hint="default" w:ascii="Times New Roman" w:hAnsi="Times New Roman" w:eastAsia="宋体" w:cs="Times New Roman"/>
                <w:i w:val="0"/>
                <w:iCs w:val="0"/>
                <w:color w:val="000000"/>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6776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r>
      <w:tr w14:paraId="2C3D3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ECA0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66</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BFDE7">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沉水植物的修剪、养护、更换（养护标准：三级养护）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1、及时清除水体表面的植物及非目的性沉水植物。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2、沉水植物长出水面影响景观时， 应进行人工打捞或机割。对于浮出水面的死株，应及时清除。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一年收割1次， 收割时间为枯萎1周内开始收割，收割方式为</w:t>
            </w:r>
            <w:r>
              <w:rPr>
                <w:rFonts w:hint="eastAsia" w:ascii="宋体" w:hAnsi="宋体" w:cs="宋体"/>
                <w:i w:val="0"/>
                <w:iCs w:val="0"/>
                <w:color w:val="000000"/>
                <w:kern w:val="0"/>
                <w:sz w:val="22"/>
                <w:szCs w:val="22"/>
                <w:u w:val="none"/>
                <w:lang w:val="en-US" w:eastAsia="zh-CN" w:bidi="ar"/>
              </w:rPr>
              <w:t>机械</w:t>
            </w:r>
            <w:r>
              <w:rPr>
                <w:rFonts w:hint="eastAsia" w:ascii="宋体" w:hAnsi="宋体" w:eastAsia="宋体" w:cs="宋体"/>
                <w:i w:val="0"/>
                <w:iCs w:val="0"/>
                <w:color w:val="000000"/>
                <w:kern w:val="0"/>
                <w:sz w:val="22"/>
                <w:szCs w:val="22"/>
                <w:u w:val="none"/>
                <w:lang w:val="en-US" w:eastAsia="zh-CN" w:bidi="ar"/>
              </w:rPr>
              <w:t>收割或人工打捞。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4、台风、大风大雨天气及强泄洪后2-3天，检查沉水植物的冲毁情况，如有冲毁，及时补植。</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E3F9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CA1E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2800</w:t>
            </w:r>
          </w:p>
        </w:tc>
      </w:tr>
      <w:tr w14:paraId="1BC88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CF86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67</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7EBED">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河道保洁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1、常态保洁工作，做到每日有专人进行打捞，巡回保洁，确保水面、河岸常态整洁，2人/日；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2、应急处突保洁工作，发现河道水域内有病死动物尸体时，及时打捞上岸进行无害化处理。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3、暴雨过后，及时清理河道中垃圾、杂草、障碍物，进行水质应急处理，确保河道畅通，河面、岸线干净整洁，水质达标。</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C8EE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67C6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6100</w:t>
            </w:r>
          </w:p>
        </w:tc>
      </w:tr>
      <w:tr w14:paraId="4A07A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1715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68</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AA035">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电气控制柜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1、测量电压、电流和接地电阻；更换熔断器、熔芯和接触器；门锁检修；清扫灰尘等；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2、控制2台曝气设备。</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32CD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62DD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r>
      <w:tr w14:paraId="4DD8E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1ED9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69</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4CEA0">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喷泉曝气及曝气风机系统维护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1、设备本体以及与本体联系附件的检查、清洗、找正、就位、换油、易损件维修更换、紧固等。</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8A52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6D39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w:t>
            </w:r>
          </w:p>
        </w:tc>
      </w:tr>
      <w:tr w14:paraId="456BA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3869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70</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87E0E">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微生态浮床维护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1、日常巡查：每周巡查两次，松动及时固定，破损及时更换，避免整个浮床连带损伤。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2、及时修剪枯黄、枯死和倒伏植株，及时清理滨岸带挺水植物周围的杂物或垃圾。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3、定期去除杂草，除草时注意不要破坏植被根系。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4、冬至后至立春萌动前应对枯萎枝叶进行修剪。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5、对于因病虫害等原因造成某个或某些植被死亡时，应将植被撤出，并进行相应的补种；当植物有严重病虫害时，应撤出后再喷洒杀虫剂处理。</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F37D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68C1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60</w:t>
            </w:r>
          </w:p>
        </w:tc>
      </w:tr>
      <w:tr w14:paraId="0DD03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7AF5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71</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B3396">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余方弃置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1、废弃料品种</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一年内本项目水体内收割的植物及水面漂浮物人工装袋放垃圾车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2、运距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投标单位根据实际情况自行考虑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3、含垃圾消纳费</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06C6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m³</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399F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610</w:t>
            </w:r>
          </w:p>
        </w:tc>
      </w:tr>
      <w:tr w14:paraId="52B1F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A3F4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72</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CDB7B">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硝化菌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1、亚硝化单胞菌属，硝化杆菌属，营养剂等；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2、维护河道微生物生态群落；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3、有效快速降解河道氨氮指标。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4、施工方式：单次投放按面积每平方水域投放80g，按汛期6月至9月平均每月投放1次，年度总计投放4次，夜间施工水上作业，含机械搅拌、喷洒费用等；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5、如遇突发水质恶化情况，增加投放次数；</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896F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kg</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CE52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1952</w:t>
            </w:r>
          </w:p>
        </w:tc>
      </w:tr>
      <w:tr w14:paraId="7148C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20A5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73</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60C85">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水质监测现场跟踪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1、使用快速氨氮检测试纸进行水质检测，平均每个点位每两天一次，雨天及有排污现象时增加检测频率；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2、共三个检测断面</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B5CE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次</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CA9B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547</w:t>
            </w:r>
          </w:p>
        </w:tc>
      </w:tr>
      <w:tr w14:paraId="0B095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F28F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74</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FC47C">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水质检测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1、委托专业监测单位进行水质监测每月1次；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2、检测指标为氨氮、总磷、COD、高锰酸盐、溶解氧</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26E9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次</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E2C1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12</w:t>
            </w:r>
          </w:p>
        </w:tc>
      </w:tr>
      <w:tr w14:paraId="57EC4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71E6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75</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9CB93">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微纳米气泡发生器及离子发生器系统维护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1、微纳米气泡发生器定期检修，解体、清洗、检查、刮研、换油、调整、装配、无负荷试运转、复位。</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2、离子发生器动力净水系统定期检修，设备本体以及与本体联系附件的检查、清洗、找正、就位、换油、易损件维修更换、紧固等。</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7768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526F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w:t>
            </w:r>
          </w:p>
        </w:tc>
      </w:tr>
      <w:tr w14:paraId="37D7F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6766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76</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3B2CA">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生物基床维护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1、每月清洗、维护一次。</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1ECC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58B7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1400</w:t>
            </w:r>
          </w:p>
        </w:tc>
      </w:tr>
      <w:tr w14:paraId="54813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4E52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77</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64778">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蓝藻处置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1、夏季高温期（按5个月周期计）进行蓝藻人工打捞、处置，平均2人/天，每人每天工作时长12小时（具体以当期藻类爆发情况而定）；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2、打捞后排水，排去表层水体，降低蓝藻数量；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3、投放复合枯草芽孢杆菌进行厌氧消化处理；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4、蓝藻积聚面积较大时，使用汽油泵高压水枪冲散致其下沉；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5、蓝藻巡查，使用无人机无人船对项目区进行蓝藻覆盖度巡查，从而精准快速处置；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6、水上作业施工，含搅拌、喷洒等费用。</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D382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9889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6100</w:t>
            </w:r>
          </w:p>
        </w:tc>
      </w:tr>
      <w:tr w14:paraId="48673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A35176">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九、河埒浜</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4F9C8">
            <w:pPr>
              <w:jc w:val="center"/>
              <w:rPr>
                <w:rFonts w:hint="default" w:ascii="Times New Roman" w:hAnsi="Times New Roman" w:eastAsia="宋体" w:cs="Times New Roman"/>
                <w:i w:val="0"/>
                <w:iCs w:val="0"/>
                <w:color w:val="000000"/>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5F21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r>
      <w:tr w14:paraId="4D758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B8A1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78</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4C237">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沉水植物的修剪、养护、更换（养护标准：三级养护）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1、及时清除水体表面的植物及非目的性沉水植物。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2、沉水植物长出水面影响景观时， 应进行人工打捞或机割。对于浮出水面的死株，应及时清除。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一年收割1次， 收割时间为枯萎1周内开始收割，收割方式为</w:t>
            </w:r>
            <w:r>
              <w:rPr>
                <w:rFonts w:hint="eastAsia" w:ascii="宋体" w:hAnsi="宋体" w:cs="宋体"/>
                <w:i w:val="0"/>
                <w:iCs w:val="0"/>
                <w:color w:val="000000"/>
                <w:kern w:val="0"/>
                <w:sz w:val="22"/>
                <w:szCs w:val="22"/>
                <w:u w:val="none"/>
                <w:lang w:val="en-US" w:eastAsia="zh-CN" w:bidi="ar"/>
              </w:rPr>
              <w:t>机械</w:t>
            </w:r>
            <w:r>
              <w:rPr>
                <w:rFonts w:hint="eastAsia" w:ascii="宋体" w:hAnsi="宋体" w:eastAsia="宋体" w:cs="宋体"/>
                <w:i w:val="0"/>
                <w:iCs w:val="0"/>
                <w:color w:val="000000"/>
                <w:kern w:val="0"/>
                <w:sz w:val="22"/>
                <w:szCs w:val="22"/>
                <w:u w:val="none"/>
                <w:lang w:val="en-US" w:eastAsia="zh-CN" w:bidi="ar"/>
              </w:rPr>
              <w:t>收割或人工打捞。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4、台风、大风大雨天气及强泄洪后2-3天，检查沉水植物的冲毁情况，如有冲毁，及时补植。</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FDAD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508A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990</w:t>
            </w:r>
          </w:p>
        </w:tc>
      </w:tr>
      <w:tr w14:paraId="6B446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9AEF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79</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891F5">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河道保洁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1、常态保洁工作，做到每日有专人进行打捞，巡回保洁，确保水面、河岸常态整洁，2人/日；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2、应急处突保洁工作，发现河道水域内有病死动物尸体时，及时打捞上岸进行无害化处理。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3、暴雨过后，及时清理河道中垃圾、杂草、障碍物，进行水质应急处理，确保河道畅通，河面、岸线干净整洁，水质达标。</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14BC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C8B8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3700</w:t>
            </w:r>
          </w:p>
        </w:tc>
      </w:tr>
      <w:tr w14:paraId="76F1C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B9D4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80</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102F8">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电气控制柜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1、测量电压、电流和接地电阻；更换熔断器、熔芯和接触器；门锁检修；清扫灰尘等；</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DA42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3B99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16</w:t>
            </w:r>
          </w:p>
        </w:tc>
      </w:tr>
      <w:tr w14:paraId="3BF70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07D3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81</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09EB9">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喷泉曝气及曝气风机系统维护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1、设备本体以及与本体联系附件的检查、清洗、找正、就位、换油、易损件维修更换、紧固等。</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7D7C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071D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15</w:t>
            </w:r>
          </w:p>
        </w:tc>
      </w:tr>
      <w:tr w14:paraId="3C684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D8F4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82</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C25B9">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微生态浮床维护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1、日常巡查：每周巡查两次，松动及时固定，破损及时更换，避免整个浮床连带损伤。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2、及时修剪枯黄、枯死和倒伏植株，及时清理滨岸带挺水植物周围的杂物或垃圾。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3、定期去除杂草，除草时注意不要破坏植被根系。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4、冬至后至立春萌动前应对枯萎枝叶进行修剪。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5、对于因病虫害等原因造成某个或某些植被死亡时，应将植被撤出，并进行相应的补种；当植物有严重病虫害时，应撤出后再喷洒杀虫剂处理。</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7047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DEE7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180</w:t>
            </w:r>
          </w:p>
        </w:tc>
      </w:tr>
      <w:tr w14:paraId="0D532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B30A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83</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49F58">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余方弃置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1、废弃料品种</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一年内本项目水体内收割的植物及水面漂浮物人工装袋放垃圾车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2、运距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投标单位根据实际情况自行考虑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3、含垃圾消纳费</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837D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m³</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FB58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370</w:t>
            </w:r>
          </w:p>
        </w:tc>
      </w:tr>
      <w:tr w14:paraId="6B841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D7AD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84</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69FD5">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硝化菌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1、亚硝化单胞菌属，硝化杆菌属，营养剂等；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2、维护河道微生物生态群落；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3、有效快速降解河道氨氮指标。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4、施工方式：单次投放按面积每平方水域投放80g，按汛期6月至9月平均每月投放1次，年度总计投放4次，夜间施工水上作业，含机械搅拌、喷洒费用等；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5、如遇突发水质恶化情况，增加投放次数；</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7505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kg</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6827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1184</w:t>
            </w:r>
          </w:p>
        </w:tc>
      </w:tr>
      <w:tr w14:paraId="5B21C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C875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85</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01337">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水质监测现场跟踪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1、使用快速氨氮检测试纸进行水质检测，平均每个点位每两天一次，雨天及有排污现象时增加检测频率；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2、共三个检测断面</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0A39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次</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88E6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547</w:t>
            </w:r>
          </w:p>
        </w:tc>
      </w:tr>
      <w:tr w14:paraId="3B642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7AC6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86</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580A7">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水质检测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1、委托专业监测单位进行水质监测每月1次；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2、检测指标为氨氮、总磷、COD、高锰酸盐、溶解氧</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26DC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次</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C004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12</w:t>
            </w:r>
          </w:p>
        </w:tc>
      </w:tr>
      <w:tr w14:paraId="38012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1767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87</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98F6C">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微纳米气泡发生器及离子发生器系统维护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1、微纳米气泡发生器定期检修，解体、清洗、检查、刮研、换油、调整、装配、无负荷试运转、复位。</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2、离子发生器动力净水系统定期检修，设备本体以及与本体联系附件的检查、清洗、找正、就位、换油、易损件维修更换、紧固等。</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910C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277A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w:t>
            </w:r>
          </w:p>
        </w:tc>
      </w:tr>
      <w:tr w14:paraId="09E23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7DE9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88</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1F5A8">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潜水排污水泵维护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1、设备的起吊、解体、清洗、检查、刮研、换油、调整、装配、无负荷试运转、复位。</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2、含池底清淤、管道清堵等。</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486E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0AE7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w:t>
            </w:r>
          </w:p>
        </w:tc>
      </w:tr>
      <w:tr w14:paraId="56ED5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5B48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89</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1693D">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生物基床维护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1、每月清洗、维护一次。</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C18E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10B8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320</w:t>
            </w:r>
          </w:p>
        </w:tc>
      </w:tr>
      <w:tr w14:paraId="1AF01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78FC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90</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71E2D">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微生物箱维护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1、定期清洗、维护。</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76A7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只</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9C0E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w:t>
            </w:r>
          </w:p>
        </w:tc>
      </w:tr>
      <w:tr w14:paraId="614BD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B520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91</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B730E">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蓝藻处置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1、夏季高温期（按5个月周期计）进行蓝藻人工打捞、处置，平均2人/天，每人每天工作时长12小时（具体以当期藻类爆发情况而定）；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2、打捞后排水，排去表层水体，降低蓝藻数量；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3、投放复合枯草芽孢杆菌进行厌氧消化处理；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4、蓝藻积聚面积较大时，使用汽油泵高压水枪冲散致其下沉；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5、蓝藻巡查，使用无人机无人船对项目区进行蓝藻覆盖度巡查，从而精准快速处置；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6、水上作业施工，含搅拌、喷洒等费用。</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22A6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978F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3700</w:t>
            </w:r>
          </w:p>
        </w:tc>
      </w:tr>
      <w:tr w14:paraId="060C5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4DCB9F">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十、大成浜</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F674B">
            <w:pPr>
              <w:jc w:val="center"/>
              <w:rPr>
                <w:rFonts w:hint="default" w:ascii="Times New Roman" w:hAnsi="Times New Roman" w:eastAsia="宋体" w:cs="Times New Roman"/>
                <w:i w:val="0"/>
                <w:iCs w:val="0"/>
                <w:color w:val="000000"/>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6B83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r>
      <w:tr w14:paraId="1472B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A819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92</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E7F4C">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沉水植物的修剪、养护、更换（养护标准：三级养护）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1、及时清除水体表面的植物及非目的性沉水植物。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2、沉水植物长出水面影响景观时， 应进行人工打捞或机割。对于浮出水面的死株，应及时清除。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一年收割1次， 收割时间为枯萎1周内开始收割，收割方式为</w:t>
            </w:r>
            <w:r>
              <w:rPr>
                <w:rFonts w:hint="eastAsia" w:ascii="宋体" w:hAnsi="宋体" w:cs="宋体"/>
                <w:i w:val="0"/>
                <w:iCs w:val="0"/>
                <w:color w:val="000000"/>
                <w:kern w:val="0"/>
                <w:sz w:val="22"/>
                <w:szCs w:val="22"/>
                <w:u w:val="none"/>
                <w:lang w:val="en-US" w:eastAsia="zh-CN" w:bidi="ar"/>
              </w:rPr>
              <w:t>机械</w:t>
            </w:r>
            <w:r>
              <w:rPr>
                <w:rFonts w:hint="eastAsia" w:ascii="宋体" w:hAnsi="宋体" w:eastAsia="宋体" w:cs="宋体"/>
                <w:i w:val="0"/>
                <w:iCs w:val="0"/>
                <w:color w:val="000000"/>
                <w:kern w:val="0"/>
                <w:sz w:val="22"/>
                <w:szCs w:val="22"/>
                <w:u w:val="none"/>
                <w:lang w:val="en-US" w:eastAsia="zh-CN" w:bidi="ar"/>
              </w:rPr>
              <w:t>收割或人工打捞。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4、台风、大风大雨天气及强泄洪后2-3天，检查沉水植物的冲毁情况，如有冲毁，及时补植。</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695E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F76E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1290</w:t>
            </w:r>
          </w:p>
        </w:tc>
      </w:tr>
      <w:tr w14:paraId="34159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1A25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93</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6A6D9">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河道保洁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1、常态保洁工作，做到每日有专人进行打捞，巡回保洁，确保水面、河岸常态整洁，2人/日；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2、应急处突保洁工作，发现河道水域内有病死动物尸体时，及时打捞上岸进行无害化处理。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3、暴雨过后，及时清理河道中垃圾、杂草、障碍物，进行水质应急处理，确保河道畅通，河面、岸线干净整洁，水质达标。</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1E47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7F0C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5744</w:t>
            </w:r>
          </w:p>
        </w:tc>
      </w:tr>
      <w:tr w14:paraId="59060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F23C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94</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A59F4">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电气控制柜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1、测量电压、电流和接地电阻；更换熔断器、熔芯和接触器；门锁检修；清扫灰尘等；</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A0AA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0B54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w:t>
            </w:r>
          </w:p>
        </w:tc>
      </w:tr>
      <w:tr w14:paraId="57654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C0F1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95</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C0294">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推流曝气及喷泉曝气系统维护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1、设备本体以及与本体联系附件的检查、清洗、找正、就位、换油、易损件维修更换、紧固等。</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6374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809A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w:t>
            </w:r>
          </w:p>
        </w:tc>
      </w:tr>
      <w:tr w14:paraId="6A6B0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E9BA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96</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8049B">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微生态浮床维护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1、日常巡查：每周巡查两次，松动及时固定，破损及时更换，避免整个浮床连带损伤。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2、及时修剪枯黄、枯死和倒伏植株，及时清理滨岸带挺水植物周围的杂物或垃圾。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3、定期去除杂草，除草时注意不要破坏植被根系。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4、冬至后至立春萌动前应对枯萎枝叶进行修剪。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5、对于因病虫害等原因造成某个或某些植被死亡时，应将植被撤出，并进行相应的补种；当植物有严重病虫害时，应撤出后再喷洒杀虫剂处理。</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A897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E985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214</w:t>
            </w:r>
          </w:p>
        </w:tc>
      </w:tr>
      <w:tr w14:paraId="55FF9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EC47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97</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74BD0">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余方弃置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1、废弃料品种</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一年内本项目水体内收割的植物及水面漂浮物人工装袋放垃圾车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2、运距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投标单位根据实际情况自行考虑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3、含垃圾消纳费</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3FE7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m³</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F2EA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574.4</w:t>
            </w:r>
          </w:p>
        </w:tc>
      </w:tr>
      <w:tr w14:paraId="6F496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5052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98</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1A031">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硝化菌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1、亚硝化单胞菌属，硝化杆菌属，营养剂等；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2、维护河道微生物生态群落；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3、有效快速降解河道氨氮指标。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4、施工方式：单次投放按面积每平方水域投放80g，按汛期6月至9月平均每月投放1次，年度总计投放4次，夜间施工水上作业，含机械搅拌、喷洒费用等；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5、如遇突发水质恶化情况，增加投放次数；</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4F9F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kg</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85D6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1838.08</w:t>
            </w:r>
          </w:p>
        </w:tc>
      </w:tr>
      <w:tr w14:paraId="0A811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FAEF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99</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1997C">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水质监测现场跟踪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1、使用快速氨氮检测试纸进行水质检测，平均每个点位每两天一次，雨天及有排污现象时增加检测频率；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2、共两个检测断面</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4C83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次</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190D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365</w:t>
            </w:r>
          </w:p>
        </w:tc>
      </w:tr>
      <w:tr w14:paraId="646FA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ED05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100</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7D34A">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水质检测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1、委托专业监测单位进行水质监测每月1次；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2、检测指标为氨氮、总磷、COD、高锰酸盐、溶解氧</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ACBD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次</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F242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12</w:t>
            </w:r>
          </w:p>
        </w:tc>
      </w:tr>
      <w:tr w14:paraId="2603A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52CA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101</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61A9A">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潜水排污水泵维护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1、设备的起吊、解体、清洗、检查、刮研、换油、调整、装配、无负荷试运转、复位。</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2、含池底清淤、管道清堵等。</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3FF4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9936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w:t>
            </w:r>
          </w:p>
        </w:tc>
      </w:tr>
      <w:tr w14:paraId="520E5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11D6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102</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BF335">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微生物箱维护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1、定期清洗、维护。</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1E0B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只</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B695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40</w:t>
            </w:r>
          </w:p>
        </w:tc>
      </w:tr>
      <w:tr w14:paraId="2D564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C546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103</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056C3">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蓝藻处置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1、夏季高温期（按5个月周期计）进行蓝藻人工打捞、处置，平均2人/天，每人每天工作时长12小时（具体以当期藻类爆发情况而定）；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2、打捞后排水，排去表层水体，降低蓝藻数量；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3、投放复合枯草芽孢杆菌进行厌氧消化处理；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4、蓝藻积聚面积较大时，使用汽油泵高压水枪冲散致其下沉；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5、蓝藻巡查，使用无人机无人船对项目区进行蓝藻覆盖度巡查，从而精准快速处置；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6、水上作业施工，含搅拌、喷洒等费用。</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2662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AB69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5744</w:t>
            </w:r>
          </w:p>
        </w:tc>
      </w:tr>
      <w:tr w14:paraId="1EAC1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6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067586">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十一、华巷浜</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4F63E">
            <w:pPr>
              <w:jc w:val="center"/>
              <w:rPr>
                <w:rFonts w:hint="default" w:ascii="Times New Roman" w:hAnsi="Times New Roman" w:eastAsia="宋体" w:cs="Times New Roman"/>
                <w:i w:val="0"/>
                <w:iCs w:val="0"/>
                <w:color w:val="000000"/>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A604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r>
      <w:tr w14:paraId="2E8D2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46BD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104</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1CF13">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沉水植物的修剪、养护、更换（养护标准：三级养护）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1、及时清除水体表面的植物及非目的性沉水植物。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2、沉水植物长出水面影响景观时， 应进行人工打捞或机割。对于浮出水面的死株，应及时清除。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一年收割1次， 收割时间为枯萎1周内开始收割，收割方式为</w:t>
            </w:r>
            <w:r>
              <w:rPr>
                <w:rFonts w:hint="eastAsia" w:ascii="宋体" w:hAnsi="宋体" w:cs="宋体"/>
                <w:i w:val="0"/>
                <w:iCs w:val="0"/>
                <w:color w:val="000000"/>
                <w:kern w:val="0"/>
                <w:sz w:val="22"/>
                <w:szCs w:val="22"/>
                <w:u w:val="none"/>
                <w:lang w:val="en-US" w:eastAsia="zh-CN" w:bidi="ar"/>
              </w:rPr>
              <w:t>机械</w:t>
            </w:r>
            <w:r>
              <w:rPr>
                <w:rFonts w:hint="eastAsia" w:ascii="宋体" w:hAnsi="宋体" w:eastAsia="宋体" w:cs="宋体"/>
                <w:i w:val="0"/>
                <w:iCs w:val="0"/>
                <w:color w:val="000000"/>
                <w:kern w:val="0"/>
                <w:sz w:val="22"/>
                <w:szCs w:val="22"/>
                <w:u w:val="none"/>
                <w:lang w:val="en-US" w:eastAsia="zh-CN" w:bidi="ar"/>
              </w:rPr>
              <w:t>收割或人工打捞。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4、台风、大风大雨天气及强泄洪后2-3天，检查沉水植物的冲毁情况，如有冲毁，及时补植。</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F90C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9E64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3971</w:t>
            </w:r>
          </w:p>
        </w:tc>
      </w:tr>
      <w:tr w14:paraId="355E1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C3B3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105</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BA8D6">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河道保洁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1、常态保洁工作，做到每日有专人进行打捞，巡回保洁，确保水面、河岸常态整洁，2人/日；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2、应急处突保洁工作，发现河道水域内有病死动物尸体时，及时打捞上岸进行无害化处理。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3、暴雨过后，及时清理河道中垃圾、杂草、障碍物，进行水质应急处理，确保河道畅通，河面、岸线干净整洁，水质达标。</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C470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F679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5200</w:t>
            </w:r>
          </w:p>
        </w:tc>
      </w:tr>
      <w:tr w14:paraId="58533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94FD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106</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885F8">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电气控制柜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1、测量电压、电流和接地电阻；更换熔断器、熔芯和接触器；门锁检修；清扫灰尘等；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2、控制2台曝气风机，1台喷泉曝气机。</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D106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59AF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w:t>
            </w:r>
          </w:p>
        </w:tc>
      </w:tr>
      <w:tr w14:paraId="6B026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50B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107</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5A29B">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管道曝气及喷泉曝气系统维护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1、设备本体以及与本体联系附件的检查、清洗、找正、就位、换油、易损件维修更换、紧固等。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2、2台曝气风机，1台喷泉曝气机。</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13AB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台</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8106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w:t>
            </w:r>
          </w:p>
        </w:tc>
      </w:tr>
      <w:tr w14:paraId="34B12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C208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108</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0039F">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微生态浮床维护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1、日常巡查：每周巡查两次，松动及时固定，破损及时更换，避免整个浮床连带损伤。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2、及时修剪枯黄、枯死和倒伏植株，及时清理滨岸带挺水植物周围的杂物或垃圾。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3、定期去除杂草，除草时注意不要破坏植被根系。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4、冬至后至立春萌动前应对枯萎枝叶进行修剪。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5、对于因病虫害等原因造成某个或某些植被死亡时，应将植被撤出，并进行相应的补种；当植物有严重病虫害时，应撤出后再喷洒杀虫剂处理。</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DAA7B">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C503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270</w:t>
            </w:r>
          </w:p>
        </w:tc>
      </w:tr>
      <w:tr w14:paraId="13E1A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42AC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109</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E569D">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余方弃置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1、废弃料品种</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一年内本项目水体内收割的植物及水面漂浮物人工装袋放垃圾车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2、运距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投标单位根据实际情况自行考虑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3、含垃圾消纳费</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CFB4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m³</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029F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520</w:t>
            </w:r>
          </w:p>
        </w:tc>
      </w:tr>
      <w:tr w14:paraId="38383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1BE7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110</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B3769">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硝化菌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1、亚硝化单胞菌属，硝化杆菌属，营养剂等；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2、维护河道微生物生态群落；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3、有效快速降解河道氨氮指标。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4、施工方式：单次投放按面积每平方水域投放80g，按汛期6月至9月平均每月投放1次，年度总计投放4次，夜间施工水上作业，含机械搅拌、喷洒费用等；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5、如遇突发水质恶化情况，增加投放次数；</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04E8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kg</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9A4B1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1664</w:t>
            </w:r>
          </w:p>
        </w:tc>
      </w:tr>
      <w:tr w14:paraId="2E29F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D59D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111</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4F893">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水质监测现场跟踪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1、使用快速氨氮检测试纸进行水质检测，平均每个点位每两天一次，雨天及有排污现象时增加检测频率；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2、共两个检测断面</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5112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次</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DD27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365</w:t>
            </w:r>
          </w:p>
        </w:tc>
      </w:tr>
      <w:tr w14:paraId="1A04F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6C20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112</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B1FF9">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水质检测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1、委托专业监测单位进行水质监测每月1次；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2、检测指标为氨氮、总磷、COD、高锰酸盐、溶解氧</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B962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次</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A496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12</w:t>
            </w:r>
          </w:p>
        </w:tc>
      </w:tr>
      <w:tr w14:paraId="271A1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73AC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113</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0068D">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蓝藻处置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1、夏季高温期（按5个月周期计）进行蓝藻人工打捞、处置，平均2人/天，每人每天工作时长12小时（具体以当期藻类爆发情况而定）；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2、打捞后排水，排去表层水体，降低蓝藻数量；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3、投放复合枯草芽孢杆菌进行厌氧消化处理；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4、蓝藻积聚面积较大时，使用汽油泵高压水枪冲散致其下沉；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5、蓝藻巡查，使用无人机无人船对项目区进行蓝藻覆盖度巡查，从而精准快速处置；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6、水上作业施工，含搅拌、喷洒等费用。</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44B0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m²</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103B1">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5200</w:t>
            </w:r>
          </w:p>
        </w:tc>
      </w:tr>
      <w:tr w14:paraId="1EB59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7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3F889C">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十二、其他</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8177C">
            <w:pPr>
              <w:jc w:val="center"/>
              <w:rPr>
                <w:rFonts w:hint="default" w:ascii="Times New Roman" w:hAnsi="Times New Roman" w:eastAsia="宋体" w:cs="Times New Roman"/>
                <w:i w:val="0"/>
                <w:iCs w:val="0"/>
                <w:color w:val="000000"/>
                <w:sz w:val="21"/>
                <w:szCs w:val="21"/>
                <w:u w:val="none"/>
              </w:rPr>
            </w:pP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8B86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r>
      <w:tr w14:paraId="0C855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3210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114</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1A13F">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标志牌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1、河长牌规格90*150cm，警示牌50*70cm；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2、共计11个，按每季度更换一次计；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3、具体要求符合设计，甲方及地方规范要求；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4、含基础及安装。</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B6B0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个</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BE7A4">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44</w:t>
            </w:r>
          </w:p>
        </w:tc>
      </w:tr>
      <w:tr w14:paraId="59B69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8926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115</w:t>
            </w:r>
          </w:p>
        </w:tc>
        <w:tc>
          <w:tcPr>
            <w:tcW w:w="60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105D5">
            <w:pPr>
              <w:keepNext w:val="0"/>
              <w:keepLines w:val="0"/>
              <w:widowControl/>
              <w:suppressLineNumbers w:val="0"/>
              <w:jc w:val="left"/>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 xml:space="preserve">安全警示标语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1、具体要求符合设计，甲方及地方规范要求</w:t>
            </w:r>
          </w:p>
        </w:tc>
        <w:tc>
          <w:tcPr>
            <w:tcW w:w="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8E52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个</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F4AE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30</w:t>
            </w:r>
          </w:p>
        </w:tc>
      </w:tr>
    </w:tbl>
    <w:p w14:paraId="0A527622">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olor w:val="auto"/>
          <w:sz w:val="24"/>
          <w:highlight w:val="none"/>
        </w:rPr>
      </w:pPr>
      <w:r>
        <w:rPr>
          <w:rFonts w:hint="eastAsia" w:ascii="宋体" w:hAnsi="宋体"/>
          <w:color w:val="auto"/>
          <w:sz w:val="24"/>
          <w:highlight w:val="none"/>
          <w:lang w:val="en-US" w:eastAsia="zh-CN"/>
        </w:rPr>
        <w:t>2.</w:t>
      </w:r>
      <w:r>
        <w:rPr>
          <w:rFonts w:hint="eastAsia" w:ascii="宋体" w:hAnsi="宋体"/>
          <w:color w:val="auto"/>
          <w:sz w:val="24"/>
          <w:highlight w:val="none"/>
        </w:rPr>
        <w:t>采购标的交付或者实施的地点：</w:t>
      </w:r>
      <w:r>
        <w:rPr>
          <w:rFonts w:hint="eastAsia" w:ascii="宋体" w:hAnsi="宋体" w:cs="宋体"/>
          <w:sz w:val="24"/>
        </w:rPr>
        <w:t>无锡市滨湖区河埒街道</w:t>
      </w:r>
      <w:r>
        <w:rPr>
          <w:rFonts w:hint="eastAsia" w:ascii="宋体" w:hAnsi="宋体"/>
          <w:color w:val="auto"/>
          <w:sz w:val="24"/>
          <w:highlight w:val="none"/>
          <w:lang w:eastAsia="zh-CN"/>
        </w:rPr>
        <w:t>。</w:t>
      </w:r>
    </w:p>
    <w:p w14:paraId="16A18411">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jc w:val="left"/>
        <w:textAlignment w:val="auto"/>
        <w:rPr>
          <w:rFonts w:ascii="宋体" w:hAnsi="宋体"/>
          <w:b/>
          <w:bCs/>
          <w:color w:val="auto"/>
          <w:sz w:val="24"/>
          <w:highlight w:val="none"/>
        </w:rPr>
      </w:pPr>
      <w:r>
        <w:rPr>
          <w:rFonts w:hint="eastAsia" w:ascii="宋体" w:hAnsi="宋体"/>
          <w:b/>
          <w:bCs/>
          <w:color w:val="auto"/>
          <w:sz w:val="24"/>
          <w:highlight w:val="none"/>
        </w:rPr>
        <w:t>五、采购标的需满足的服务标准、期限、效率等要求</w:t>
      </w:r>
    </w:p>
    <w:p w14:paraId="713322B3">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1.服务期：</w:t>
      </w:r>
      <w:r>
        <w:rPr>
          <w:rFonts w:hint="eastAsia" w:ascii="宋体" w:hAnsi="宋体" w:cs="宋体"/>
          <w:sz w:val="24"/>
        </w:rPr>
        <w:t>一年，具体日期以合同签订日期为准</w:t>
      </w:r>
      <w:r>
        <w:rPr>
          <w:rFonts w:hint="eastAsia" w:ascii="宋体" w:hAnsi="宋体" w:eastAsia="宋体" w:cs="Times New Roman"/>
          <w:color w:val="auto"/>
          <w:sz w:val="24"/>
          <w:highlight w:val="none"/>
          <w:lang w:val="en-US" w:eastAsia="zh-CN"/>
        </w:rPr>
        <w:t>。</w:t>
      </w:r>
    </w:p>
    <w:p w14:paraId="34DFC7A3">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en-US" w:eastAsia="zh-CN"/>
        </w:rPr>
        <w:t>.服务标准：</w:t>
      </w:r>
      <w:r>
        <w:rPr>
          <w:rFonts w:hint="eastAsia" w:ascii="宋体" w:hAnsi="宋体" w:cs="宋体"/>
          <w:sz w:val="24"/>
        </w:rPr>
        <w:t>满足国家相关法律法规及国家标准、行业标准、地方标准，满足《地表水环境质量标准》</w:t>
      </w:r>
      <w:r>
        <w:rPr>
          <w:rFonts w:hint="eastAsia" w:ascii="宋体" w:hAnsi="宋体" w:cs="宋体"/>
          <w:sz w:val="24"/>
          <w:lang w:eastAsia="zh-CN"/>
        </w:rPr>
        <w:t>（</w:t>
      </w:r>
      <w:r>
        <w:rPr>
          <w:rFonts w:hint="eastAsia" w:ascii="宋体" w:hAnsi="宋体" w:cs="宋体"/>
          <w:sz w:val="24"/>
        </w:rPr>
        <w:t>GB3838-2002)Ⅲ类标准及采购人的要求</w:t>
      </w:r>
      <w:r>
        <w:rPr>
          <w:rFonts w:hint="eastAsia" w:ascii="宋体" w:hAnsi="宋体" w:eastAsia="宋体" w:cs="Times New Roman"/>
          <w:color w:val="auto"/>
          <w:sz w:val="24"/>
          <w:highlight w:val="none"/>
          <w:lang w:val="en-US" w:eastAsia="zh-CN"/>
        </w:rPr>
        <w:t>。</w:t>
      </w:r>
    </w:p>
    <w:p w14:paraId="7EC1847E">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jc w:val="left"/>
        <w:textAlignment w:val="auto"/>
        <w:rPr>
          <w:rFonts w:ascii="宋体" w:hAnsi="宋体"/>
          <w:color w:val="auto"/>
          <w:sz w:val="24"/>
          <w:highlight w:val="none"/>
        </w:rPr>
      </w:pPr>
      <w:r>
        <w:rPr>
          <w:rFonts w:hint="eastAsia" w:ascii="宋体" w:hAnsi="宋体"/>
          <w:b/>
          <w:bCs/>
          <w:color w:val="auto"/>
          <w:sz w:val="24"/>
          <w:highlight w:val="none"/>
        </w:rPr>
        <w:t>六、采购标的的验收标准：</w:t>
      </w:r>
      <w:r>
        <w:rPr>
          <w:rFonts w:hint="eastAsia" w:ascii="宋体" w:hAnsi="宋体"/>
          <w:b w:val="0"/>
          <w:bCs w:val="0"/>
          <w:color w:val="auto"/>
          <w:sz w:val="24"/>
          <w:highlight w:val="none"/>
        </w:rPr>
        <w:t>满足国家相关法律法规及国家标准、行业标准、地方标准，满足《地表水环境质量标准》</w:t>
      </w:r>
      <w:r>
        <w:rPr>
          <w:rFonts w:hint="eastAsia" w:ascii="宋体" w:hAnsi="宋体"/>
          <w:b w:val="0"/>
          <w:bCs w:val="0"/>
          <w:color w:val="auto"/>
          <w:sz w:val="24"/>
          <w:highlight w:val="none"/>
          <w:lang w:eastAsia="zh-CN"/>
        </w:rPr>
        <w:t>（</w:t>
      </w:r>
      <w:r>
        <w:rPr>
          <w:rFonts w:hint="eastAsia" w:ascii="宋体" w:hAnsi="宋体"/>
          <w:b w:val="0"/>
          <w:bCs w:val="0"/>
          <w:color w:val="auto"/>
          <w:sz w:val="24"/>
          <w:highlight w:val="none"/>
        </w:rPr>
        <w:t>GB3838-2002)Ⅲ类标准及采购人的要求。</w:t>
      </w:r>
    </w:p>
    <w:p w14:paraId="5431921B">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jc w:val="left"/>
        <w:textAlignment w:val="auto"/>
        <w:rPr>
          <w:rFonts w:ascii="宋体" w:hAnsi="宋体"/>
          <w:b/>
          <w:bCs/>
          <w:color w:val="auto"/>
          <w:sz w:val="24"/>
          <w:highlight w:val="none"/>
        </w:rPr>
      </w:pPr>
      <w:r>
        <w:rPr>
          <w:rFonts w:hint="eastAsia" w:ascii="宋体" w:hAnsi="宋体"/>
          <w:b/>
          <w:bCs/>
          <w:color w:val="auto"/>
          <w:sz w:val="24"/>
          <w:highlight w:val="none"/>
        </w:rPr>
        <w:t>七、采购标的的其他技术、服务等要求：</w:t>
      </w:r>
    </w:p>
    <w:tbl>
      <w:tblPr>
        <w:tblStyle w:val="36"/>
        <w:tblW w:w="50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2508"/>
        <w:gridCol w:w="1003"/>
        <w:gridCol w:w="5628"/>
      </w:tblGrid>
      <w:tr w14:paraId="0159D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4" w:type="pct"/>
            <w:tcBorders>
              <w:top w:val="single" w:color="auto" w:sz="4" w:space="0"/>
              <w:left w:val="single" w:color="auto" w:sz="4" w:space="0"/>
              <w:bottom w:val="single" w:color="auto" w:sz="4" w:space="0"/>
              <w:right w:val="single" w:color="auto" w:sz="4" w:space="0"/>
            </w:tcBorders>
            <w:noWrap w:val="0"/>
            <w:vAlign w:val="center"/>
          </w:tcPr>
          <w:p w14:paraId="1DF3F3B9">
            <w:pPr>
              <w:jc w:val="center"/>
              <w:rPr>
                <w:rFonts w:hint="eastAsia" w:ascii="宋体" w:hAnsi="宋体" w:eastAsia="宋体" w:cs="宋体"/>
                <w:kern w:val="0"/>
                <w:sz w:val="24"/>
                <w:szCs w:val="24"/>
              </w:rPr>
            </w:pPr>
            <w:r>
              <w:rPr>
                <w:rFonts w:hint="eastAsia" w:ascii="宋体" w:hAnsi="宋体" w:eastAsia="宋体" w:cs="宋体"/>
                <w:kern w:val="0"/>
                <w:sz w:val="24"/>
                <w:szCs w:val="24"/>
              </w:rPr>
              <w:t>序号</w:t>
            </w:r>
          </w:p>
        </w:tc>
        <w:tc>
          <w:tcPr>
            <w:tcW w:w="1257" w:type="pct"/>
            <w:tcBorders>
              <w:top w:val="single" w:color="auto" w:sz="4" w:space="0"/>
              <w:left w:val="single" w:color="auto" w:sz="4" w:space="0"/>
              <w:bottom w:val="single" w:color="auto" w:sz="4" w:space="0"/>
              <w:right w:val="single" w:color="auto" w:sz="4" w:space="0"/>
            </w:tcBorders>
            <w:noWrap w:val="0"/>
            <w:vAlign w:val="center"/>
          </w:tcPr>
          <w:p w14:paraId="2EE158D6">
            <w:pPr>
              <w:jc w:val="center"/>
              <w:rPr>
                <w:rFonts w:hint="eastAsia" w:ascii="宋体" w:hAnsi="宋体" w:eastAsia="宋体" w:cs="宋体"/>
                <w:kern w:val="0"/>
                <w:sz w:val="24"/>
                <w:szCs w:val="24"/>
              </w:rPr>
            </w:pPr>
            <w:r>
              <w:rPr>
                <w:rFonts w:hint="eastAsia" w:ascii="宋体" w:hAnsi="宋体" w:eastAsia="宋体" w:cs="宋体"/>
                <w:kern w:val="0"/>
                <w:sz w:val="24"/>
                <w:szCs w:val="24"/>
              </w:rPr>
              <w:t>技术力量</w:t>
            </w:r>
          </w:p>
        </w:tc>
        <w:tc>
          <w:tcPr>
            <w:tcW w:w="503" w:type="pct"/>
            <w:tcBorders>
              <w:top w:val="single" w:color="auto" w:sz="4" w:space="0"/>
              <w:left w:val="single" w:color="auto" w:sz="4" w:space="0"/>
              <w:bottom w:val="single" w:color="auto" w:sz="4" w:space="0"/>
              <w:right w:val="single" w:color="auto" w:sz="4" w:space="0"/>
            </w:tcBorders>
            <w:noWrap w:val="0"/>
            <w:vAlign w:val="center"/>
          </w:tcPr>
          <w:p w14:paraId="2A356A4E">
            <w:pPr>
              <w:jc w:val="center"/>
              <w:rPr>
                <w:rFonts w:hint="eastAsia" w:ascii="宋体" w:hAnsi="宋体" w:eastAsia="宋体" w:cs="宋体"/>
                <w:kern w:val="0"/>
                <w:sz w:val="24"/>
                <w:szCs w:val="24"/>
              </w:rPr>
            </w:pPr>
            <w:r>
              <w:rPr>
                <w:rFonts w:hint="eastAsia" w:ascii="宋体" w:hAnsi="宋体" w:eastAsia="宋体" w:cs="宋体"/>
                <w:kern w:val="0"/>
                <w:sz w:val="24"/>
                <w:szCs w:val="24"/>
              </w:rPr>
              <w:t>人员</w:t>
            </w:r>
          </w:p>
          <w:p w14:paraId="792BD5C1">
            <w:pPr>
              <w:jc w:val="center"/>
              <w:rPr>
                <w:rFonts w:hint="eastAsia" w:ascii="宋体" w:hAnsi="宋体" w:eastAsia="宋体" w:cs="宋体"/>
                <w:kern w:val="0"/>
                <w:sz w:val="24"/>
                <w:szCs w:val="24"/>
              </w:rPr>
            </w:pPr>
            <w:r>
              <w:rPr>
                <w:rFonts w:hint="eastAsia" w:ascii="宋体" w:hAnsi="宋体" w:eastAsia="宋体" w:cs="宋体"/>
                <w:kern w:val="0"/>
                <w:sz w:val="24"/>
                <w:szCs w:val="24"/>
              </w:rPr>
              <w:t>配置</w:t>
            </w:r>
          </w:p>
        </w:tc>
        <w:tc>
          <w:tcPr>
            <w:tcW w:w="2823" w:type="pct"/>
            <w:tcBorders>
              <w:top w:val="single" w:color="auto" w:sz="4" w:space="0"/>
              <w:left w:val="single" w:color="auto" w:sz="4" w:space="0"/>
              <w:bottom w:val="single" w:color="auto" w:sz="4" w:space="0"/>
              <w:right w:val="single" w:color="auto" w:sz="4" w:space="0"/>
            </w:tcBorders>
            <w:noWrap w:val="0"/>
            <w:vAlign w:val="center"/>
          </w:tcPr>
          <w:p w14:paraId="703C3DE8">
            <w:pPr>
              <w:jc w:val="center"/>
              <w:rPr>
                <w:rFonts w:hint="eastAsia" w:ascii="宋体" w:hAnsi="宋体" w:eastAsia="宋体" w:cs="宋体"/>
                <w:kern w:val="0"/>
                <w:sz w:val="24"/>
                <w:szCs w:val="24"/>
              </w:rPr>
            </w:pPr>
            <w:r>
              <w:rPr>
                <w:rFonts w:hint="eastAsia" w:ascii="宋体" w:hAnsi="宋体" w:eastAsia="宋体" w:cs="宋体"/>
                <w:kern w:val="0"/>
                <w:sz w:val="24"/>
                <w:szCs w:val="24"/>
              </w:rPr>
              <w:t>备注</w:t>
            </w:r>
          </w:p>
        </w:tc>
      </w:tr>
      <w:tr w14:paraId="51853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4" w:type="pct"/>
            <w:tcBorders>
              <w:top w:val="single" w:color="auto" w:sz="4" w:space="0"/>
              <w:left w:val="single" w:color="auto" w:sz="4" w:space="0"/>
              <w:bottom w:val="single" w:color="auto" w:sz="4" w:space="0"/>
              <w:right w:val="single" w:color="auto" w:sz="4" w:space="0"/>
            </w:tcBorders>
            <w:noWrap w:val="0"/>
            <w:vAlign w:val="center"/>
          </w:tcPr>
          <w:p w14:paraId="08895CB6">
            <w:pPr>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1257" w:type="pct"/>
            <w:tcBorders>
              <w:top w:val="single" w:color="auto" w:sz="4" w:space="0"/>
              <w:left w:val="single" w:color="auto" w:sz="4" w:space="0"/>
              <w:bottom w:val="single" w:color="auto" w:sz="4" w:space="0"/>
              <w:right w:val="single" w:color="auto" w:sz="4" w:space="0"/>
            </w:tcBorders>
            <w:noWrap w:val="0"/>
            <w:vAlign w:val="center"/>
          </w:tcPr>
          <w:p w14:paraId="37A93FE3">
            <w:pPr>
              <w:jc w:val="center"/>
              <w:rPr>
                <w:rFonts w:hint="eastAsia" w:ascii="宋体" w:hAnsi="宋体" w:eastAsia="宋体" w:cs="宋体"/>
                <w:kern w:val="0"/>
                <w:sz w:val="24"/>
                <w:szCs w:val="24"/>
              </w:rPr>
            </w:pPr>
            <w:r>
              <w:rPr>
                <w:rFonts w:hint="eastAsia" w:ascii="宋体" w:hAnsi="宋体" w:eastAsia="宋体" w:cs="宋体"/>
                <w:kern w:val="0"/>
                <w:sz w:val="24"/>
                <w:szCs w:val="24"/>
              </w:rPr>
              <w:t>项目负责人</w:t>
            </w:r>
          </w:p>
        </w:tc>
        <w:tc>
          <w:tcPr>
            <w:tcW w:w="503" w:type="pct"/>
            <w:tcBorders>
              <w:top w:val="single" w:color="auto" w:sz="4" w:space="0"/>
              <w:left w:val="single" w:color="auto" w:sz="4" w:space="0"/>
              <w:bottom w:val="single" w:color="auto" w:sz="4" w:space="0"/>
              <w:right w:val="single" w:color="auto" w:sz="4" w:space="0"/>
            </w:tcBorders>
            <w:noWrap w:val="0"/>
            <w:vAlign w:val="center"/>
          </w:tcPr>
          <w:p w14:paraId="46A59918">
            <w:pPr>
              <w:jc w:val="center"/>
              <w:rPr>
                <w:rFonts w:hint="eastAsia" w:ascii="宋体" w:hAnsi="宋体" w:eastAsia="宋体" w:cs="宋体"/>
                <w:kern w:val="0"/>
                <w:sz w:val="24"/>
                <w:szCs w:val="24"/>
              </w:rPr>
            </w:pPr>
            <w:r>
              <w:rPr>
                <w:rFonts w:hint="eastAsia" w:ascii="宋体" w:hAnsi="宋体" w:eastAsia="宋体" w:cs="宋体"/>
                <w:kern w:val="0"/>
                <w:sz w:val="24"/>
                <w:szCs w:val="24"/>
              </w:rPr>
              <w:t>1人</w:t>
            </w:r>
          </w:p>
        </w:tc>
        <w:tc>
          <w:tcPr>
            <w:tcW w:w="2823" w:type="pct"/>
            <w:tcBorders>
              <w:top w:val="single" w:color="auto" w:sz="4" w:space="0"/>
              <w:left w:val="single" w:color="auto" w:sz="4" w:space="0"/>
              <w:bottom w:val="single" w:color="auto" w:sz="4" w:space="0"/>
              <w:right w:val="single" w:color="auto" w:sz="4" w:space="0"/>
            </w:tcBorders>
            <w:noWrap w:val="0"/>
            <w:vAlign w:val="center"/>
          </w:tcPr>
          <w:p w14:paraId="01840BB1">
            <w:pPr>
              <w:rPr>
                <w:rFonts w:hint="eastAsia" w:ascii="宋体" w:hAnsi="宋体" w:eastAsia="宋体" w:cs="宋体"/>
                <w:kern w:val="0"/>
                <w:sz w:val="24"/>
                <w:szCs w:val="24"/>
              </w:rPr>
            </w:pPr>
            <w:r>
              <w:rPr>
                <w:rFonts w:hint="eastAsia" w:ascii="宋体" w:hAnsi="宋体" w:eastAsia="宋体" w:cs="宋体"/>
                <w:kern w:val="0"/>
                <w:sz w:val="24"/>
                <w:szCs w:val="24"/>
              </w:rPr>
              <w:t>1、全面负责</w:t>
            </w:r>
            <w:r>
              <w:rPr>
                <w:rFonts w:hint="eastAsia" w:ascii="宋体" w:hAnsi="宋体" w:eastAsia="宋体" w:cs="宋体"/>
                <w:kern w:val="0"/>
                <w:sz w:val="24"/>
                <w:szCs w:val="24"/>
                <w:lang w:val="en-US" w:eastAsia="zh-CN"/>
              </w:rPr>
              <w:t>1</w:t>
            </w:r>
            <w:r>
              <w:rPr>
                <w:rFonts w:hint="eastAsia" w:ascii="宋体" w:hAnsi="宋体" w:cs="宋体"/>
                <w:kern w:val="0"/>
                <w:sz w:val="24"/>
                <w:szCs w:val="24"/>
                <w:lang w:val="en-US" w:eastAsia="zh-CN"/>
              </w:rPr>
              <w:t>1</w:t>
            </w:r>
            <w:r>
              <w:rPr>
                <w:rFonts w:hint="eastAsia" w:ascii="宋体" w:hAnsi="宋体" w:eastAsia="宋体" w:cs="宋体"/>
                <w:kern w:val="0"/>
                <w:sz w:val="24"/>
                <w:szCs w:val="24"/>
              </w:rPr>
              <w:t>条河道的养护服务；</w:t>
            </w:r>
          </w:p>
          <w:p w14:paraId="14349B1C">
            <w:pPr>
              <w:rPr>
                <w:rFonts w:hint="eastAsia" w:ascii="宋体" w:hAnsi="宋体" w:eastAsia="宋体" w:cs="宋体"/>
                <w:kern w:val="0"/>
                <w:sz w:val="24"/>
                <w:szCs w:val="24"/>
              </w:rPr>
            </w:pPr>
            <w:r>
              <w:rPr>
                <w:rFonts w:hint="eastAsia" w:ascii="宋体" w:hAnsi="宋体" w:eastAsia="宋体" w:cs="宋体"/>
                <w:kern w:val="0"/>
                <w:sz w:val="24"/>
                <w:szCs w:val="24"/>
              </w:rPr>
              <w:t>2、管控部门人员，跟进项目实施；</w:t>
            </w:r>
          </w:p>
          <w:p w14:paraId="3F1985B1">
            <w:pPr>
              <w:rPr>
                <w:rFonts w:hint="eastAsia" w:ascii="宋体" w:hAnsi="宋体" w:eastAsia="宋体" w:cs="宋体"/>
                <w:kern w:val="0"/>
                <w:sz w:val="24"/>
                <w:szCs w:val="24"/>
              </w:rPr>
            </w:pPr>
            <w:r>
              <w:rPr>
                <w:rFonts w:hint="eastAsia" w:ascii="宋体" w:hAnsi="宋体" w:eastAsia="宋体" w:cs="宋体"/>
                <w:kern w:val="0"/>
                <w:sz w:val="24"/>
                <w:szCs w:val="24"/>
              </w:rPr>
              <w:t>3、组织和协调资源整合，主导项目启动前的各项准备，并对相关人员的实施和运作进行有效管控；</w:t>
            </w:r>
          </w:p>
          <w:p w14:paraId="71A9F51B">
            <w:pPr>
              <w:rPr>
                <w:rFonts w:hint="eastAsia" w:ascii="宋体" w:hAnsi="宋体" w:eastAsia="宋体" w:cs="宋体"/>
                <w:kern w:val="0"/>
                <w:sz w:val="24"/>
                <w:szCs w:val="24"/>
              </w:rPr>
            </w:pPr>
            <w:r>
              <w:rPr>
                <w:rFonts w:hint="eastAsia" w:ascii="宋体" w:hAnsi="宋体" w:cs="宋体"/>
                <w:kern w:val="0"/>
                <w:sz w:val="24"/>
                <w:szCs w:val="24"/>
                <w:lang w:val="en-US" w:eastAsia="zh-CN"/>
              </w:rPr>
              <w:t>4、</w:t>
            </w:r>
            <w:r>
              <w:rPr>
                <w:rFonts w:hint="eastAsia" w:ascii="宋体" w:hAnsi="宋体" w:eastAsia="宋体" w:cs="宋体"/>
                <w:kern w:val="0"/>
                <w:sz w:val="24"/>
                <w:szCs w:val="24"/>
              </w:rPr>
              <w:t>负责项目实施的整体运行管控，并制定相应的操作规范；</w:t>
            </w:r>
          </w:p>
          <w:p w14:paraId="321D8D02">
            <w:pPr>
              <w:rPr>
                <w:rFonts w:hint="eastAsia" w:ascii="宋体" w:hAnsi="宋体" w:eastAsia="宋体" w:cs="宋体"/>
                <w:kern w:val="0"/>
                <w:sz w:val="24"/>
                <w:szCs w:val="24"/>
              </w:rPr>
            </w:pPr>
            <w:r>
              <w:rPr>
                <w:rFonts w:hint="eastAsia" w:ascii="宋体" w:hAnsi="宋体" w:cs="宋体"/>
                <w:kern w:val="0"/>
                <w:sz w:val="24"/>
                <w:szCs w:val="24"/>
                <w:lang w:val="en-US" w:eastAsia="zh-CN"/>
              </w:rPr>
              <w:t>5</w:t>
            </w:r>
            <w:r>
              <w:rPr>
                <w:rFonts w:hint="eastAsia" w:ascii="宋体" w:hAnsi="宋体" w:eastAsia="宋体" w:cs="宋体"/>
                <w:kern w:val="0"/>
                <w:sz w:val="24"/>
                <w:szCs w:val="24"/>
              </w:rPr>
              <w:t>、监控项目运作情况，定期进行盈亏分析和优化方案的制订。</w:t>
            </w:r>
          </w:p>
        </w:tc>
      </w:tr>
      <w:tr w14:paraId="48CD7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4" w:type="pct"/>
            <w:tcBorders>
              <w:top w:val="single" w:color="auto" w:sz="4" w:space="0"/>
              <w:left w:val="single" w:color="auto" w:sz="4" w:space="0"/>
              <w:bottom w:val="single" w:color="auto" w:sz="4" w:space="0"/>
              <w:right w:val="single" w:color="auto" w:sz="4" w:space="0"/>
            </w:tcBorders>
            <w:noWrap w:val="0"/>
            <w:vAlign w:val="center"/>
          </w:tcPr>
          <w:p w14:paraId="37D62102">
            <w:pPr>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1257" w:type="pct"/>
            <w:tcBorders>
              <w:top w:val="single" w:color="auto" w:sz="4" w:space="0"/>
              <w:left w:val="single" w:color="auto" w:sz="4" w:space="0"/>
              <w:bottom w:val="single" w:color="auto" w:sz="4" w:space="0"/>
              <w:right w:val="single" w:color="auto" w:sz="4" w:space="0"/>
            </w:tcBorders>
            <w:noWrap w:val="0"/>
            <w:vAlign w:val="center"/>
          </w:tcPr>
          <w:p w14:paraId="6C580F82">
            <w:pPr>
              <w:jc w:val="center"/>
              <w:rPr>
                <w:rFonts w:hint="eastAsia" w:ascii="宋体" w:hAnsi="宋体" w:eastAsia="宋体" w:cs="宋体"/>
                <w:kern w:val="0"/>
                <w:sz w:val="24"/>
                <w:szCs w:val="24"/>
              </w:rPr>
            </w:pPr>
            <w:r>
              <w:rPr>
                <w:rFonts w:hint="eastAsia" w:ascii="宋体" w:hAnsi="宋体" w:eastAsia="宋体" w:cs="宋体"/>
                <w:kern w:val="0"/>
                <w:sz w:val="24"/>
                <w:szCs w:val="24"/>
              </w:rPr>
              <w:t>项目技术负责人</w:t>
            </w:r>
          </w:p>
        </w:tc>
        <w:tc>
          <w:tcPr>
            <w:tcW w:w="503" w:type="pct"/>
            <w:tcBorders>
              <w:top w:val="single" w:color="auto" w:sz="4" w:space="0"/>
              <w:left w:val="single" w:color="auto" w:sz="4" w:space="0"/>
              <w:bottom w:val="single" w:color="auto" w:sz="4" w:space="0"/>
              <w:right w:val="single" w:color="auto" w:sz="4" w:space="0"/>
            </w:tcBorders>
            <w:noWrap w:val="0"/>
            <w:vAlign w:val="center"/>
          </w:tcPr>
          <w:p w14:paraId="10BE80FB">
            <w:pPr>
              <w:jc w:val="center"/>
              <w:rPr>
                <w:rFonts w:hint="eastAsia" w:ascii="宋体" w:hAnsi="宋体" w:eastAsia="宋体" w:cs="宋体"/>
                <w:kern w:val="0"/>
                <w:sz w:val="24"/>
                <w:szCs w:val="24"/>
              </w:rPr>
            </w:pPr>
            <w:r>
              <w:rPr>
                <w:rFonts w:hint="eastAsia" w:ascii="宋体" w:hAnsi="宋体" w:eastAsia="宋体" w:cs="宋体"/>
                <w:kern w:val="0"/>
                <w:sz w:val="24"/>
                <w:szCs w:val="24"/>
              </w:rPr>
              <w:t>1人</w:t>
            </w:r>
          </w:p>
        </w:tc>
        <w:tc>
          <w:tcPr>
            <w:tcW w:w="2823" w:type="pct"/>
            <w:tcBorders>
              <w:top w:val="single" w:color="auto" w:sz="4" w:space="0"/>
              <w:left w:val="single" w:color="auto" w:sz="4" w:space="0"/>
              <w:bottom w:val="single" w:color="auto" w:sz="4" w:space="0"/>
              <w:right w:val="single" w:color="auto" w:sz="4" w:space="0"/>
            </w:tcBorders>
            <w:noWrap w:val="0"/>
            <w:vAlign w:val="center"/>
          </w:tcPr>
          <w:p w14:paraId="0B85FC2E">
            <w:pPr>
              <w:rPr>
                <w:rFonts w:hint="eastAsia" w:ascii="宋体" w:hAnsi="宋体" w:eastAsia="宋体" w:cs="宋体"/>
                <w:kern w:val="0"/>
                <w:sz w:val="24"/>
                <w:szCs w:val="24"/>
              </w:rPr>
            </w:pPr>
            <w:r>
              <w:rPr>
                <w:rFonts w:hint="eastAsia" w:ascii="宋体" w:hAnsi="宋体" w:eastAsia="宋体" w:cs="宋体"/>
                <w:kern w:val="0"/>
                <w:sz w:val="24"/>
                <w:szCs w:val="24"/>
              </w:rPr>
              <w:t>全面负责该河道的河道巡查保洁、河道养护、水体取样监测等技术工作。</w:t>
            </w:r>
          </w:p>
        </w:tc>
      </w:tr>
      <w:tr w14:paraId="6BB16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4" w:type="pct"/>
            <w:tcBorders>
              <w:top w:val="single" w:color="auto" w:sz="4" w:space="0"/>
              <w:left w:val="single" w:color="auto" w:sz="4" w:space="0"/>
              <w:bottom w:val="single" w:color="auto" w:sz="4" w:space="0"/>
              <w:right w:val="single" w:color="auto" w:sz="4" w:space="0"/>
            </w:tcBorders>
            <w:noWrap w:val="0"/>
            <w:vAlign w:val="center"/>
          </w:tcPr>
          <w:p w14:paraId="032CDA77">
            <w:pPr>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1257" w:type="pct"/>
            <w:tcBorders>
              <w:top w:val="single" w:color="auto" w:sz="4" w:space="0"/>
              <w:left w:val="single" w:color="auto" w:sz="4" w:space="0"/>
              <w:bottom w:val="single" w:color="auto" w:sz="4" w:space="0"/>
              <w:right w:val="single" w:color="auto" w:sz="4" w:space="0"/>
            </w:tcBorders>
            <w:noWrap w:val="0"/>
            <w:vAlign w:val="center"/>
          </w:tcPr>
          <w:p w14:paraId="117CC770">
            <w:pPr>
              <w:jc w:val="center"/>
              <w:rPr>
                <w:rFonts w:hint="eastAsia" w:ascii="宋体" w:hAnsi="宋体" w:eastAsia="宋体" w:cs="宋体"/>
                <w:kern w:val="0"/>
                <w:sz w:val="24"/>
                <w:szCs w:val="24"/>
              </w:rPr>
            </w:pPr>
            <w:r>
              <w:rPr>
                <w:rFonts w:hint="eastAsia" w:ascii="宋体" w:hAnsi="宋体" w:eastAsia="宋体" w:cs="宋体"/>
                <w:kern w:val="0"/>
                <w:sz w:val="24"/>
                <w:szCs w:val="24"/>
              </w:rPr>
              <w:t>河道巡查保洁人员</w:t>
            </w:r>
          </w:p>
        </w:tc>
        <w:tc>
          <w:tcPr>
            <w:tcW w:w="503" w:type="pct"/>
            <w:tcBorders>
              <w:top w:val="single" w:color="auto" w:sz="4" w:space="0"/>
              <w:left w:val="single" w:color="auto" w:sz="4" w:space="0"/>
              <w:bottom w:val="single" w:color="auto" w:sz="4" w:space="0"/>
              <w:right w:val="single" w:color="auto" w:sz="4" w:space="0"/>
            </w:tcBorders>
            <w:noWrap w:val="0"/>
            <w:vAlign w:val="center"/>
          </w:tcPr>
          <w:p w14:paraId="34D92EF7">
            <w:pPr>
              <w:jc w:val="center"/>
              <w:rPr>
                <w:rFonts w:hint="eastAsia" w:ascii="宋体" w:hAnsi="宋体" w:eastAsia="宋体" w:cs="宋体"/>
                <w:kern w:val="0"/>
                <w:sz w:val="24"/>
                <w:szCs w:val="24"/>
              </w:rPr>
            </w:pPr>
            <w:r>
              <w:rPr>
                <w:rFonts w:hint="eastAsia" w:ascii="宋体" w:hAnsi="宋体" w:cs="宋体"/>
                <w:kern w:val="0"/>
                <w:sz w:val="24"/>
                <w:szCs w:val="24"/>
                <w:lang w:val="en-US" w:eastAsia="zh-CN"/>
              </w:rPr>
              <w:t>6</w:t>
            </w:r>
            <w:r>
              <w:rPr>
                <w:rFonts w:hint="eastAsia" w:ascii="宋体" w:hAnsi="宋体" w:eastAsia="宋体" w:cs="宋体"/>
                <w:kern w:val="0"/>
                <w:sz w:val="24"/>
                <w:szCs w:val="24"/>
              </w:rPr>
              <w:t>人</w:t>
            </w:r>
          </w:p>
        </w:tc>
        <w:tc>
          <w:tcPr>
            <w:tcW w:w="2823" w:type="pct"/>
            <w:tcBorders>
              <w:top w:val="single" w:color="auto" w:sz="4" w:space="0"/>
              <w:left w:val="single" w:color="auto" w:sz="4" w:space="0"/>
              <w:bottom w:val="single" w:color="auto" w:sz="4" w:space="0"/>
              <w:right w:val="single" w:color="auto" w:sz="4" w:space="0"/>
            </w:tcBorders>
            <w:noWrap w:val="0"/>
            <w:vAlign w:val="center"/>
          </w:tcPr>
          <w:p w14:paraId="1FC689E2">
            <w:pPr>
              <w:rPr>
                <w:rFonts w:hint="eastAsia" w:ascii="宋体" w:hAnsi="宋体" w:eastAsia="宋体" w:cs="宋体"/>
                <w:kern w:val="0"/>
                <w:sz w:val="24"/>
                <w:szCs w:val="24"/>
              </w:rPr>
            </w:pPr>
            <w:r>
              <w:rPr>
                <w:rFonts w:hint="eastAsia" w:ascii="宋体" w:hAnsi="宋体" w:eastAsia="宋体" w:cs="宋体"/>
                <w:kern w:val="0"/>
                <w:sz w:val="24"/>
                <w:szCs w:val="24"/>
              </w:rPr>
              <w:t>负责该河道的河道巡查保洁工作。</w:t>
            </w:r>
          </w:p>
        </w:tc>
      </w:tr>
      <w:tr w14:paraId="0147F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4" w:type="pct"/>
            <w:tcBorders>
              <w:top w:val="single" w:color="auto" w:sz="4" w:space="0"/>
              <w:left w:val="single" w:color="auto" w:sz="4" w:space="0"/>
              <w:bottom w:val="single" w:color="auto" w:sz="4" w:space="0"/>
              <w:right w:val="single" w:color="auto" w:sz="4" w:space="0"/>
            </w:tcBorders>
            <w:noWrap w:val="0"/>
            <w:vAlign w:val="center"/>
          </w:tcPr>
          <w:p w14:paraId="115B4577">
            <w:pPr>
              <w:jc w:val="center"/>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1257" w:type="pct"/>
            <w:tcBorders>
              <w:top w:val="single" w:color="auto" w:sz="4" w:space="0"/>
              <w:left w:val="single" w:color="auto" w:sz="4" w:space="0"/>
              <w:bottom w:val="single" w:color="auto" w:sz="4" w:space="0"/>
              <w:right w:val="single" w:color="auto" w:sz="4" w:space="0"/>
            </w:tcBorders>
            <w:noWrap w:val="0"/>
            <w:vAlign w:val="center"/>
          </w:tcPr>
          <w:p w14:paraId="05DD4CF9">
            <w:pPr>
              <w:jc w:val="center"/>
              <w:rPr>
                <w:rFonts w:hint="eastAsia" w:ascii="宋体" w:hAnsi="宋体" w:eastAsia="宋体" w:cs="宋体"/>
                <w:kern w:val="0"/>
                <w:sz w:val="24"/>
                <w:szCs w:val="24"/>
              </w:rPr>
            </w:pPr>
            <w:r>
              <w:rPr>
                <w:rFonts w:hint="eastAsia" w:ascii="宋体" w:hAnsi="宋体" w:eastAsia="宋体" w:cs="宋体"/>
                <w:kern w:val="0"/>
                <w:sz w:val="24"/>
                <w:szCs w:val="24"/>
              </w:rPr>
              <w:t>设备运行养护人员</w:t>
            </w:r>
          </w:p>
        </w:tc>
        <w:tc>
          <w:tcPr>
            <w:tcW w:w="503" w:type="pct"/>
            <w:tcBorders>
              <w:top w:val="single" w:color="auto" w:sz="4" w:space="0"/>
              <w:left w:val="single" w:color="auto" w:sz="4" w:space="0"/>
              <w:bottom w:val="single" w:color="auto" w:sz="4" w:space="0"/>
              <w:right w:val="single" w:color="auto" w:sz="4" w:space="0"/>
            </w:tcBorders>
            <w:noWrap w:val="0"/>
            <w:vAlign w:val="center"/>
          </w:tcPr>
          <w:p w14:paraId="1CD7BA50">
            <w:pPr>
              <w:jc w:val="center"/>
              <w:rPr>
                <w:rFonts w:hint="eastAsia" w:ascii="宋体" w:hAnsi="宋体" w:eastAsia="宋体" w:cs="宋体"/>
                <w:kern w:val="0"/>
                <w:sz w:val="24"/>
                <w:szCs w:val="24"/>
              </w:rPr>
            </w:pPr>
            <w:r>
              <w:rPr>
                <w:rFonts w:hint="eastAsia" w:ascii="宋体" w:hAnsi="宋体" w:eastAsia="宋体" w:cs="宋体"/>
                <w:kern w:val="0"/>
                <w:sz w:val="24"/>
                <w:szCs w:val="24"/>
              </w:rPr>
              <w:t>2人</w:t>
            </w:r>
          </w:p>
        </w:tc>
        <w:tc>
          <w:tcPr>
            <w:tcW w:w="2823" w:type="pct"/>
            <w:tcBorders>
              <w:top w:val="single" w:color="auto" w:sz="4" w:space="0"/>
              <w:left w:val="single" w:color="auto" w:sz="4" w:space="0"/>
              <w:bottom w:val="single" w:color="auto" w:sz="4" w:space="0"/>
              <w:right w:val="single" w:color="auto" w:sz="4" w:space="0"/>
            </w:tcBorders>
            <w:noWrap w:val="0"/>
            <w:vAlign w:val="center"/>
          </w:tcPr>
          <w:p w14:paraId="20A0A531">
            <w:pPr>
              <w:rPr>
                <w:rFonts w:hint="eastAsia" w:ascii="宋体" w:hAnsi="宋体" w:eastAsia="宋体" w:cs="宋体"/>
                <w:kern w:val="0"/>
                <w:sz w:val="24"/>
                <w:szCs w:val="24"/>
              </w:rPr>
            </w:pPr>
            <w:r>
              <w:rPr>
                <w:rFonts w:hint="eastAsia" w:ascii="宋体" w:hAnsi="宋体" w:eastAsia="宋体" w:cs="宋体"/>
                <w:kern w:val="0"/>
                <w:sz w:val="24"/>
                <w:szCs w:val="24"/>
              </w:rPr>
              <w:t>负责该河道的设备运行及养护工作。</w:t>
            </w:r>
          </w:p>
        </w:tc>
      </w:tr>
      <w:tr w14:paraId="459B5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4" w:type="pct"/>
            <w:tcBorders>
              <w:top w:val="single" w:color="auto" w:sz="4" w:space="0"/>
              <w:left w:val="single" w:color="auto" w:sz="4" w:space="0"/>
              <w:bottom w:val="single" w:color="auto" w:sz="4" w:space="0"/>
              <w:right w:val="single" w:color="auto" w:sz="4" w:space="0"/>
            </w:tcBorders>
            <w:noWrap w:val="0"/>
            <w:vAlign w:val="center"/>
          </w:tcPr>
          <w:p w14:paraId="4A2848A7">
            <w:pPr>
              <w:jc w:val="center"/>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1257" w:type="pct"/>
            <w:tcBorders>
              <w:top w:val="single" w:color="auto" w:sz="4" w:space="0"/>
              <w:left w:val="single" w:color="auto" w:sz="4" w:space="0"/>
              <w:bottom w:val="single" w:color="auto" w:sz="4" w:space="0"/>
              <w:right w:val="single" w:color="auto" w:sz="4" w:space="0"/>
            </w:tcBorders>
            <w:noWrap w:val="0"/>
            <w:vAlign w:val="center"/>
          </w:tcPr>
          <w:p w14:paraId="2F698702">
            <w:pPr>
              <w:jc w:val="center"/>
              <w:rPr>
                <w:rFonts w:hint="eastAsia" w:ascii="宋体" w:hAnsi="宋体" w:eastAsia="宋体" w:cs="宋体"/>
                <w:kern w:val="0"/>
                <w:sz w:val="24"/>
                <w:szCs w:val="24"/>
              </w:rPr>
            </w:pPr>
            <w:r>
              <w:rPr>
                <w:rFonts w:hint="eastAsia" w:ascii="宋体" w:hAnsi="宋体" w:eastAsia="宋体" w:cs="宋体"/>
                <w:kern w:val="0"/>
                <w:sz w:val="24"/>
                <w:szCs w:val="24"/>
              </w:rPr>
              <w:t>水质监测人员</w:t>
            </w:r>
          </w:p>
        </w:tc>
        <w:tc>
          <w:tcPr>
            <w:tcW w:w="503" w:type="pct"/>
            <w:tcBorders>
              <w:top w:val="single" w:color="auto" w:sz="4" w:space="0"/>
              <w:left w:val="single" w:color="auto" w:sz="4" w:space="0"/>
              <w:bottom w:val="single" w:color="auto" w:sz="4" w:space="0"/>
              <w:right w:val="single" w:color="auto" w:sz="4" w:space="0"/>
            </w:tcBorders>
            <w:noWrap w:val="0"/>
            <w:vAlign w:val="center"/>
          </w:tcPr>
          <w:p w14:paraId="0E33F2BC">
            <w:pPr>
              <w:jc w:val="center"/>
              <w:rPr>
                <w:rFonts w:hint="eastAsia" w:ascii="宋体" w:hAnsi="宋体" w:eastAsia="宋体" w:cs="宋体"/>
                <w:kern w:val="0"/>
                <w:sz w:val="24"/>
                <w:szCs w:val="24"/>
              </w:rPr>
            </w:pPr>
            <w:r>
              <w:rPr>
                <w:rFonts w:hint="eastAsia" w:ascii="宋体" w:hAnsi="宋体" w:eastAsia="宋体" w:cs="宋体"/>
                <w:kern w:val="0"/>
                <w:sz w:val="24"/>
                <w:szCs w:val="24"/>
              </w:rPr>
              <w:t>1人</w:t>
            </w:r>
          </w:p>
        </w:tc>
        <w:tc>
          <w:tcPr>
            <w:tcW w:w="2823" w:type="pct"/>
            <w:tcBorders>
              <w:top w:val="single" w:color="auto" w:sz="4" w:space="0"/>
              <w:left w:val="single" w:color="auto" w:sz="4" w:space="0"/>
              <w:bottom w:val="single" w:color="auto" w:sz="4" w:space="0"/>
              <w:right w:val="single" w:color="auto" w:sz="4" w:space="0"/>
            </w:tcBorders>
            <w:noWrap w:val="0"/>
            <w:vAlign w:val="center"/>
          </w:tcPr>
          <w:p w14:paraId="5E0A1812">
            <w:pPr>
              <w:rPr>
                <w:rFonts w:hint="eastAsia" w:ascii="宋体" w:hAnsi="宋体" w:eastAsia="宋体" w:cs="宋体"/>
                <w:kern w:val="0"/>
                <w:sz w:val="24"/>
                <w:szCs w:val="24"/>
              </w:rPr>
            </w:pPr>
            <w:r>
              <w:rPr>
                <w:rFonts w:hint="eastAsia" w:ascii="宋体" w:hAnsi="宋体" w:eastAsia="宋体" w:cs="宋体"/>
                <w:kern w:val="0"/>
                <w:sz w:val="24"/>
                <w:szCs w:val="24"/>
              </w:rPr>
              <w:t>负责该河道的水质监测工作。</w:t>
            </w:r>
          </w:p>
        </w:tc>
      </w:tr>
      <w:tr w14:paraId="63D13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14" w:type="pct"/>
            <w:tcBorders>
              <w:top w:val="single" w:color="auto" w:sz="4" w:space="0"/>
              <w:left w:val="single" w:color="auto" w:sz="4" w:space="0"/>
              <w:bottom w:val="single" w:color="auto" w:sz="4" w:space="0"/>
              <w:right w:val="single" w:color="auto" w:sz="4" w:space="0"/>
            </w:tcBorders>
            <w:noWrap w:val="0"/>
            <w:vAlign w:val="center"/>
          </w:tcPr>
          <w:p w14:paraId="36A6F48C">
            <w:pPr>
              <w:jc w:val="center"/>
              <w:rPr>
                <w:rFonts w:hint="eastAsia" w:ascii="宋体" w:hAnsi="宋体" w:eastAsia="宋体" w:cs="宋体"/>
                <w:kern w:val="0"/>
                <w:sz w:val="24"/>
                <w:szCs w:val="24"/>
              </w:rPr>
            </w:pPr>
            <w:r>
              <w:rPr>
                <w:rFonts w:hint="eastAsia" w:ascii="宋体" w:hAnsi="宋体" w:eastAsia="宋体" w:cs="宋体"/>
                <w:kern w:val="0"/>
                <w:sz w:val="24"/>
                <w:szCs w:val="24"/>
              </w:rPr>
              <w:t>6</w:t>
            </w:r>
          </w:p>
        </w:tc>
        <w:tc>
          <w:tcPr>
            <w:tcW w:w="1257" w:type="pct"/>
            <w:tcBorders>
              <w:top w:val="single" w:color="auto" w:sz="4" w:space="0"/>
              <w:left w:val="single" w:color="auto" w:sz="4" w:space="0"/>
              <w:bottom w:val="single" w:color="auto" w:sz="4" w:space="0"/>
              <w:right w:val="single" w:color="auto" w:sz="4" w:space="0"/>
            </w:tcBorders>
            <w:noWrap w:val="0"/>
            <w:vAlign w:val="center"/>
          </w:tcPr>
          <w:p w14:paraId="2ADAC92A">
            <w:pPr>
              <w:jc w:val="center"/>
              <w:rPr>
                <w:rFonts w:hint="eastAsia" w:ascii="宋体" w:hAnsi="宋体" w:eastAsia="宋体" w:cs="宋体"/>
                <w:kern w:val="0"/>
                <w:sz w:val="24"/>
                <w:szCs w:val="24"/>
              </w:rPr>
            </w:pPr>
            <w:r>
              <w:rPr>
                <w:rFonts w:hint="eastAsia" w:ascii="宋体" w:hAnsi="宋体" w:eastAsia="宋体" w:cs="宋体"/>
                <w:kern w:val="0"/>
                <w:sz w:val="24"/>
                <w:szCs w:val="24"/>
              </w:rPr>
              <w:t>应急处置人员</w:t>
            </w:r>
          </w:p>
        </w:tc>
        <w:tc>
          <w:tcPr>
            <w:tcW w:w="503" w:type="pct"/>
            <w:tcBorders>
              <w:top w:val="single" w:color="auto" w:sz="4" w:space="0"/>
              <w:left w:val="single" w:color="auto" w:sz="4" w:space="0"/>
              <w:bottom w:val="single" w:color="auto" w:sz="4" w:space="0"/>
              <w:right w:val="single" w:color="auto" w:sz="4" w:space="0"/>
            </w:tcBorders>
            <w:noWrap w:val="0"/>
            <w:vAlign w:val="center"/>
          </w:tcPr>
          <w:p w14:paraId="1059367B">
            <w:pPr>
              <w:jc w:val="center"/>
              <w:rPr>
                <w:rFonts w:hint="eastAsia" w:ascii="宋体" w:hAnsi="宋体" w:eastAsia="宋体" w:cs="宋体"/>
                <w:kern w:val="0"/>
                <w:sz w:val="24"/>
                <w:szCs w:val="24"/>
              </w:rPr>
            </w:pPr>
            <w:r>
              <w:rPr>
                <w:rFonts w:hint="eastAsia" w:ascii="宋体" w:hAnsi="宋体" w:eastAsia="宋体" w:cs="宋体"/>
                <w:kern w:val="0"/>
                <w:sz w:val="24"/>
                <w:szCs w:val="24"/>
              </w:rPr>
              <w:t>1人</w:t>
            </w:r>
          </w:p>
        </w:tc>
        <w:tc>
          <w:tcPr>
            <w:tcW w:w="2823" w:type="pct"/>
            <w:tcBorders>
              <w:top w:val="single" w:color="auto" w:sz="4" w:space="0"/>
              <w:left w:val="single" w:color="auto" w:sz="4" w:space="0"/>
              <w:bottom w:val="single" w:color="auto" w:sz="4" w:space="0"/>
              <w:right w:val="single" w:color="auto" w:sz="4" w:space="0"/>
            </w:tcBorders>
            <w:noWrap w:val="0"/>
            <w:vAlign w:val="center"/>
          </w:tcPr>
          <w:p w14:paraId="657C1230">
            <w:pPr>
              <w:rPr>
                <w:rFonts w:hint="eastAsia" w:ascii="宋体" w:hAnsi="宋体" w:eastAsia="宋体" w:cs="宋体"/>
                <w:kern w:val="0"/>
                <w:sz w:val="24"/>
                <w:szCs w:val="24"/>
              </w:rPr>
            </w:pPr>
            <w:r>
              <w:rPr>
                <w:rFonts w:hint="eastAsia" w:ascii="宋体" w:hAnsi="宋体" w:eastAsia="宋体" w:cs="宋体"/>
                <w:kern w:val="0"/>
                <w:sz w:val="24"/>
                <w:szCs w:val="24"/>
              </w:rPr>
              <w:t>负责该河道的应急处置工作。</w:t>
            </w:r>
          </w:p>
        </w:tc>
      </w:tr>
      <w:tr w14:paraId="05C73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72" w:type="pct"/>
            <w:gridSpan w:val="2"/>
            <w:tcBorders>
              <w:top w:val="single" w:color="auto" w:sz="4" w:space="0"/>
              <w:left w:val="single" w:color="auto" w:sz="4" w:space="0"/>
              <w:bottom w:val="single" w:color="auto" w:sz="4" w:space="0"/>
              <w:right w:val="single" w:color="auto" w:sz="4" w:space="0"/>
            </w:tcBorders>
            <w:noWrap w:val="0"/>
            <w:vAlign w:val="top"/>
          </w:tcPr>
          <w:p w14:paraId="7881A204">
            <w:pPr>
              <w:jc w:val="center"/>
              <w:rPr>
                <w:rFonts w:hint="eastAsia" w:ascii="宋体" w:hAnsi="宋体" w:eastAsia="宋体" w:cs="宋体"/>
                <w:kern w:val="0"/>
                <w:sz w:val="24"/>
                <w:szCs w:val="24"/>
              </w:rPr>
            </w:pPr>
            <w:r>
              <w:rPr>
                <w:rFonts w:hint="eastAsia" w:ascii="宋体" w:hAnsi="宋体" w:eastAsia="宋体" w:cs="宋体"/>
                <w:kern w:val="0"/>
                <w:sz w:val="24"/>
                <w:szCs w:val="24"/>
              </w:rPr>
              <w:t>合计：</w:t>
            </w:r>
          </w:p>
        </w:tc>
        <w:tc>
          <w:tcPr>
            <w:tcW w:w="503" w:type="pct"/>
            <w:tcBorders>
              <w:top w:val="single" w:color="auto" w:sz="4" w:space="0"/>
              <w:left w:val="single" w:color="auto" w:sz="4" w:space="0"/>
              <w:bottom w:val="single" w:color="auto" w:sz="4" w:space="0"/>
              <w:right w:val="single" w:color="auto" w:sz="4" w:space="0"/>
            </w:tcBorders>
            <w:noWrap w:val="0"/>
            <w:vAlign w:val="center"/>
          </w:tcPr>
          <w:p w14:paraId="270523B1">
            <w:pPr>
              <w:jc w:val="center"/>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cs="宋体"/>
                <w:kern w:val="0"/>
                <w:sz w:val="24"/>
                <w:szCs w:val="24"/>
                <w:lang w:val="en-US" w:eastAsia="zh-CN"/>
              </w:rPr>
              <w:t>2</w:t>
            </w:r>
            <w:r>
              <w:rPr>
                <w:rFonts w:hint="eastAsia" w:ascii="宋体" w:hAnsi="宋体" w:eastAsia="宋体" w:cs="宋体"/>
                <w:kern w:val="0"/>
                <w:sz w:val="24"/>
                <w:szCs w:val="24"/>
              </w:rPr>
              <w:t>人</w:t>
            </w:r>
          </w:p>
        </w:tc>
        <w:tc>
          <w:tcPr>
            <w:tcW w:w="2823" w:type="pct"/>
            <w:tcBorders>
              <w:top w:val="single" w:color="auto" w:sz="4" w:space="0"/>
              <w:left w:val="single" w:color="auto" w:sz="4" w:space="0"/>
              <w:bottom w:val="single" w:color="auto" w:sz="4" w:space="0"/>
              <w:right w:val="single" w:color="auto" w:sz="4" w:space="0"/>
            </w:tcBorders>
            <w:noWrap w:val="0"/>
            <w:vAlign w:val="center"/>
          </w:tcPr>
          <w:p w14:paraId="22D2677B">
            <w:pPr>
              <w:rPr>
                <w:rFonts w:hint="eastAsia" w:ascii="宋体" w:hAnsi="宋体" w:eastAsia="宋体" w:cs="宋体"/>
                <w:kern w:val="0"/>
                <w:sz w:val="24"/>
                <w:szCs w:val="24"/>
              </w:rPr>
            </w:pPr>
          </w:p>
        </w:tc>
      </w:tr>
    </w:tbl>
    <w:p w14:paraId="6004EE3C">
      <w:pPr>
        <w:rPr>
          <w:rFonts w:hint="eastAsia" w:ascii="宋体" w:hAnsi="宋体" w:eastAsia="宋体" w:cs="宋体"/>
          <w:color w:val="auto"/>
          <w:highlight w:val="none"/>
        </w:rPr>
      </w:pPr>
    </w:p>
    <w:p w14:paraId="6C0E5A3C">
      <w:pPr>
        <w:spacing w:line="360" w:lineRule="auto"/>
        <w:ind w:firstLine="480"/>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br w:type="page" w:clear="all"/>
      </w:r>
    </w:p>
    <w:p w14:paraId="46FCF58F">
      <w:pPr>
        <w:spacing w:line="360" w:lineRule="auto"/>
        <w:jc w:val="center"/>
        <w:outlineLvl w:val="0"/>
        <w:rPr>
          <w:rFonts w:hint="eastAsia" w:ascii="宋体" w:hAnsi="宋体" w:eastAsia="宋体" w:cs="宋体"/>
          <w:b w:val="0"/>
          <w:bCs w:val="0"/>
          <w:color w:val="auto"/>
          <w:sz w:val="36"/>
          <w:szCs w:val="36"/>
          <w:highlight w:val="none"/>
          <w:lang w:val="en-US" w:eastAsia="zh-CN"/>
        </w:rPr>
      </w:pPr>
      <w:bookmarkStart w:id="19" w:name="_Toc16432"/>
      <w:r>
        <w:rPr>
          <w:rFonts w:hint="eastAsia" w:ascii="宋体" w:hAnsi="宋体" w:eastAsia="宋体" w:cs="宋体"/>
          <w:b w:val="0"/>
          <w:bCs w:val="0"/>
          <w:color w:val="auto"/>
          <w:sz w:val="36"/>
          <w:szCs w:val="36"/>
          <w:highlight w:val="none"/>
          <w:lang w:val="en-US" w:eastAsia="zh-CN"/>
        </w:rPr>
        <w:t xml:space="preserve">第四章 </w:t>
      </w:r>
      <w:r>
        <w:rPr>
          <w:rFonts w:hint="eastAsia" w:ascii="宋体" w:hAnsi="宋体" w:eastAsia="宋体" w:cs="宋体"/>
          <w:b w:val="0"/>
          <w:bCs w:val="0"/>
          <w:color w:val="auto"/>
          <w:sz w:val="36"/>
          <w:szCs w:val="36"/>
          <w:highlight w:val="none"/>
        </w:rPr>
        <w:t>合同</w:t>
      </w:r>
      <w:bookmarkEnd w:id="11"/>
      <w:bookmarkEnd w:id="12"/>
      <w:bookmarkEnd w:id="13"/>
      <w:bookmarkEnd w:id="14"/>
      <w:bookmarkEnd w:id="15"/>
      <w:r>
        <w:rPr>
          <w:rFonts w:hint="eastAsia" w:ascii="宋体" w:hAnsi="宋体" w:eastAsia="宋体" w:cs="宋体"/>
          <w:b w:val="0"/>
          <w:bCs w:val="0"/>
          <w:color w:val="auto"/>
          <w:sz w:val="36"/>
          <w:szCs w:val="36"/>
          <w:highlight w:val="none"/>
          <w:lang w:val="en-US" w:eastAsia="zh-CN"/>
        </w:rPr>
        <w:t>书</w:t>
      </w:r>
      <w:bookmarkEnd w:id="19"/>
    </w:p>
    <w:p w14:paraId="59545572">
      <w:pPr>
        <w:keepNext/>
        <w:keepLines w:val="0"/>
        <w:pageBreakBefore w:val="0"/>
        <w:widowControl/>
        <w:tabs>
          <w:tab w:val="left" w:pos="720"/>
        </w:tabs>
        <w:spacing w:before="120" w:after="120" w:line="360" w:lineRule="auto"/>
        <w:ind w:left="720" w:hanging="720"/>
        <w:jc w:val="center"/>
        <w:outlineLvl w:val="9"/>
        <w:rPr>
          <w:rFonts w:hint="eastAsia" w:ascii="宋体"/>
          <w:sz w:val="34"/>
          <w:szCs w:val="20"/>
        </w:rPr>
      </w:pPr>
      <w:r>
        <w:rPr>
          <w:rFonts w:hint="eastAsia" w:ascii="宋体" w:hAnsi="宋体" w:cs="宋体"/>
          <w:b/>
          <w:bCs/>
          <w:sz w:val="28"/>
          <w:szCs w:val="28"/>
        </w:rPr>
        <w:t>一、合同协议书</w:t>
      </w:r>
    </w:p>
    <w:p w14:paraId="1CD3665B">
      <w:pPr>
        <w:keepNext w:val="0"/>
        <w:keepLines w:val="0"/>
        <w:pageBreakBefore w:val="0"/>
        <w:widowControl w:val="0"/>
        <w:spacing w:line="360" w:lineRule="auto"/>
        <w:ind w:firstLine="240"/>
        <w:rPr>
          <w:rFonts w:hint="eastAsia" w:ascii="宋体" w:hAnsi="宋体" w:eastAsia="宋体" w:cs="宋体"/>
          <w:bCs/>
          <w:sz w:val="24"/>
          <w:szCs w:val="24"/>
          <w:u w:val="single"/>
        </w:rPr>
      </w:pPr>
      <w:r>
        <w:rPr>
          <w:rFonts w:hint="eastAsia" w:ascii="宋体" w:hAnsi="宋体" w:eastAsia="宋体" w:cs="宋体"/>
          <w:bCs/>
          <w:sz w:val="24"/>
          <w:szCs w:val="24"/>
        </w:rPr>
        <w:t>需方（采购人）：</w:t>
      </w:r>
      <w:r>
        <w:rPr>
          <w:rFonts w:hint="eastAsia" w:ascii="宋体" w:hAnsi="宋体" w:eastAsia="宋体" w:cs="宋体"/>
          <w:bCs/>
          <w:sz w:val="24"/>
          <w:szCs w:val="24"/>
          <w:u w:val="single"/>
        </w:rPr>
        <w:t>无锡市滨湖区河埒街道办事处</w:t>
      </w:r>
    </w:p>
    <w:p w14:paraId="60372C7F">
      <w:pPr>
        <w:keepNext w:val="0"/>
        <w:keepLines w:val="0"/>
        <w:pageBreakBefore w:val="0"/>
        <w:widowControl w:val="0"/>
        <w:spacing w:line="360" w:lineRule="auto"/>
        <w:ind w:firstLine="240"/>
        <w:rPr>
          <w:rFonts w:hint="eastAsia" w:ascii="宋体" w:hAnsi="宋体" w:eastAsia="宋体" w:cs="宋体"/>
          <w:bCs/>
          <w:sz w:val="24"/>
          <w:szCs w:val="24"/>
          <w:u w:val="single"/>
          <w:lang w:val="en-US" w:eastAsia="zh-CN"/>
        </w:rPr>
      </w:pPr>
      <w:r>
        <w:rPr>
          <w:rFonts w:hint="eastAsia" w:ascii="宋体" w:hAnsi="宋体" w:eastAsia="宋体" w:cs="宋体"/>
          <w:bCs/>
          <w:sz w:val="24"/>
          <w:szCs w:val="24"/>
        </w:rPr>
        <w:t>供方（中标方）：</w:t>
      </w:r>
      <w:r>
        <w:rPr>
          <w:rFonts w:hint="eastAsia" w:ascii="宋体" w:hAnsi="宋体" w:eastAsia="宋体" w:cs="宋体"/>
          <w:bCs/>
          <w:sz w:val="24"/>
          <w:szCs w:val="24"/>
          <w:lang w:val="en-US" w:eastAsia="zh-CN"/>
        </w:rPr>
        <w:t>__________________________</w:t>
      </w:r>
    </w:p>
    <w:p w14:paraId="6D247AC9">
      <w:pPr>
        <w:keepNext w:val="0"/>
        <w:keepLines w:val="0"/>
        <w:pageBreakBefore w:val="0"/>
        <w:widowControl w:val="0"/>
        <w:numPr>
          <w:ilvl w:val="0"/>
          <w:numId w:val="6"/>
        </w:numPr>
        <w:tabs>
          <w:tab w:val="left" w:pos="210"/>
          <w:tab w:val="left" w:pos="840"/>
          <w:tab w:val="left" w:pos="1260"/>
        </w:tabs>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采购编号：</w:t>
      </w:r>
      <w:r>
        <w:rPr>
          <w:rFonts w:hint="eastAsia" w:ascii="宋体" w:hAnsi="宋体" w:eastAsia="宋体" w:cs="宋体"/>
          <w:bCs/>
          <w:sz w:val="24"/>
          <w:szCs w:val="24"/>
          <w:lang w:val="en-US" w:eastAsia="zh-CN"/>
        </w:rPr>
        <w:t>________________________</w:t>
      </w:r>
    </w:p>
    <w:p w14:paraId="4295B6B7">
      <w:pPr>
        <w:keepNext w:val="0"/>
        <w:keepLines w:val="0"/>
        <w:pageBreakBefore w:val="0"/>
        <w:widowControl w:val="0"/>
        <w:numPr>
          <w:ilvl w:val="0"/>
          <w:numId w:val="6"/>
        </w:numPr>
        <w:tabs>
          <w:tab w:val="left" w:pos="210"/>
          <w:tab w:val="left" w:pos="840"/>
          <w:tab w:val="left" w:pos="1260"/>
        </w:tabs>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采购内容</w:t>
      </w:r>
      <w:r>
        <w:rPr>
          <w:rFonts w:hint="eastAsia" w:ascii="宋体" w:hAnsi="宋体" w:eastAsia="宋体" w:cs="宋体"/>
          <w:bCs/>
          <w:sz w:val="24"/>
          <w:szCs w:val="24"/>
          <w:u w:val="none"/>
        </w:rPr>
        <w:t>：</w:t>
      </w:r>
      <w:r>
        <w:rPr>
          <w:rFonts w:hint="eastAsia" w:ascii="宋体" w:hAnsi="宋体" w:eastAsia="宋体" w:cs="宋体"/>
          <w:sz w:val="24"/>
          <w:szCs w:val="24"/>
          <w:u w:val="single"/>
          <w:lang w:eastAsia="zh-CN"/>
        </w:rPr>
        <w:t>拟对河埒街道辖区内吴大成浜、蒋巷浜、钱家桥浜、唐巷浜、庙东浜、北庄河、老乌浜、河埒浜、东新河、大成浜、华巷浜等11条河道现有水生态实施养护修复及突发性污染应急处置等，包含河道实施水面、岸脚、岸坡垃圾清理，设备养护、水质维护、河道日常巡查、蓝藻处置等工作，并使水体水质维持在地表Ⅲ类水标准。</w:t>
      </w:r>
    </w:p>
    <w:p w14:paraId="02A673BB">
      <w:pPr>
        <w:keepNext w:val="0"/>
        <w:keepLines w:val="0"/>
        <w:pageBreakBefore w:val="0"/>
        <w:widowControl w:val="0"/>
        <w:numPr>
          <w:ilvl w:val="0"/>
          <w:numId w:val="6"/>
        </w:numPr>
        <w:tabs>
          <w:tab w:val="left" w:pos="210"/>
          <w:tab w:val="left" w:pos="840"/>
          <w:tab w:val="left" w:pos="1260"/>
        </w:tabs>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中标总金额：（大写）</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；（小写）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u w:val="single"/>
        </w:rPr>
        <w:t>元</w:t>
      </w:r>
    </w:p>
    <w:p w14:paraId="0C0BDF18">
      <w:pPr>
        <w:keepNext w:val="0"/>
        <w:keepLines w:val="0"/>
        <w:pageBreakBefore w:val="0"/>
        <w:widowControl w:val="0"/>
        <w:numPr>
          <w:ilvl w:val="0"/>
          <w:numId w:val="6"/>
        </w:numPr>
        <w:tabs>
          <w:tab w:val="left" w:pos="210"/>
          <w:tab w:val="left" w:pos="840"/>
          <w:tab w:val="left" w:pos="1260"/>
        </w:tabs>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质量要求及验收标准：</w:t>
      </w:r>
      <w:r>
        <w:rPr>
          <w:rFonts w:hint="eastAsia" w:ascii="宋体" w:hAnsi="宋体" w:eastAsia="宋体" w:cs="宋体"/>
          <w:sz w:val="24"/>
          <w:szCs w:val="24"/>
          <w:u w:val="single"/>
        </w:rPr>
        <w:t>满足国家相关法律法规及国家标准、行业标准、地方标准，满足《地表水环境质量标准》</w:t>
      </w:r>
      <w:r>
        <w:rPr>
          <w:rFonts w:hint="eastAsia" w:ascii="宋体" w:hAnsi="宋体" w:cs="宋体"/>
          <w:sz w:val="24"/>
          <w:szCs w:val="24"/>
          <w:u w:val="single"/>
          <w:lang w:eastAsia="zh-CN"/>
        </w:rPr>
        <w:t>（</w:t>
      </w:r>
      <w:r>
        <w:rPr>
          <w:rFonts w:hint="eastAsia" w:ascii="宋体" w:hAnsi="宋体" w:eastAsia="宋体" w:cs="宋体"/>
          <w:sz w:val="24"/>
          <w:szCs w:val="24"/>
          <w:u w:val="single"/>
        </w:rPr>
        <w:t>GB3838-2002)Ⅲ类标准及采购人的要求。</w:t>
      </w:r>
    </w:p>
    <w:p w14:paraId="78126ACE">
      <w:pPr>
        <w:keepNext w:val="0"/>
        <w:keepLines w:val="0"/>
        <w:pageBreakBefore w:val="0"/>
        <w:widowControl w:val="0"/>
        <w:numPr>
          <w:ilvl w:val="0"/>
          <w:numId w:val="6"/>
        </w:numPr>
        <w:tabs>
          <w:tab w:val="left" w:pos="210"/>
          <w:tab w:val="left" w:pos="840"/>
          <w:tab w:val="left" w:pos="1260"/>
        </w:tabs>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服务期或完工期：</w:t>
      </w:r>
      <w:r>
        <w:rPr>
          <w:rFonts w:hint="eastAsia" w:ascii="宋体" w:hAnsi="宋体" w:eastAsia="宋体" w:cs="宋体"/>
          <w:bCs/>
          <w:sz w:val="24"/>
          <w:szCs w:val="24"/>
          <w:u w:val="single"/>
        </w:rPr>
        <w:t>一年，具体日期以合同签订日期为准</w:t>
      </w:r>
    </w:p>
    <w:p w14:paraId="1E7B8DCE">
      <w:pPr>
        <w:keepNext w:val="0"/>
        <w:keepLines w:val="0"/>
        <w:pageBreakBefore w:val="0"/>
        <w:widowControl w:val="0"/>
        <w:numPr>
          <w:ilvl w:val="0"/>
          <w:numId w:val="6"/>
        </w:numPr>
        <w:tabs>
          <w:tab w:val="left" w:pos="210"/>
          <w:tab w:val="left" w:pos="840"/>
          <w:tab w:val="left" w:pos="1260"/>
        </w:tabs>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服务地点和方式：</w:t>
      </w:r>
      <w:r>
        <w:rPr>
          <w:rFonts w:hint="eastAsia" w:ascii="宋体" w:hAnsi="宋体" w:eastAsia="宋体" w:cs="宋体"/>
          <w:bCs/>
          <w:sz w:val="24"/>
          <w:szCs w:val="24"/>
          <w:u w:val="single"/>
          <w:lang w:val="en-US" w:eastAsia="zh-CN"/>
        </w:rPr>
        <w:t>无锡市滨湖区河埒街道</w:t>
      </w:r>
    </w:p>
    <w:p w14:paraId="7A374E24">
      <w:pPr>
        <w:keepNext w:val="0"/>
        <w:keepLines w:val="0"/>
        <w:pageBreakBefore w:val="0"/>
        <w:widowControl w:val="0"/>
        <w:numPr>
          <w:ilvl w:val="0"/>
          <w:numId w:val="6"/>
        </w:numPr>
        <w:tabs>
          <w:tab w:val="left" w:pos="210"/>
          <w:tab w:val="left" w:pos="840"/>
          <w:tab w:val="left" w:pos="1260"/>
        </w:tabs>
        <w:spacing w:line="360" w:lineRule="auto"/>
        <w:ind w:firstLine="480"/>
        <w:rPr>
          <w:rFonts w:hint="eastAsia" w:ascii="宋体" w:hAnsi="宋体" w:eastAsia="宋体" w:cs="宋体"/>
          <w:bCs/>
          <w:sz w:val="24"/>
          <w:szCs w:val="24"/>
          <w:u w:val="single"/>
        </w:rPr>
      </w:pPr>
      <w:r>
        <w:rPr>
          <w:rFonts w:hint="eastAsia" w:ascii="宋体" w:hAnsi="宋体" w:eastAsia="宋体" w:cs="宋体"/>
          <w:bCs/>
          <w:sz w:val="24"/>
          <w:szCs w:val="24"/>
        </w:rPr>
        <w:t>服务费支付步骤和办法：</w:t>
      </w:r>
      <w:r>
        <w:rPr>
          <w:rFonts w:hint="eastAsia" w:ascii="宋体" w:hAnsi="宋体" w:eastAsia="宋体" w:cs="宋体"/>
          <w:bCs/>
          <w:sz w:val="24"/>
          <w:szCs w:val="24"/>
          <w:u w:val="single"/>
        </w:rPr>
        <w:t>详见合同条款</w:t>
      </w:r>
    </w:p>
    <w:p w14:paraId="663812F4">
      <w:pPr>
        <w:keepNext w:val="0"/>
        <w:keepLines w:val="0"/>
        <w:pageBreakBefore w:val="0"/>
        <w:widowControl w:val="0"/>
        <w:numPr>
          <w:ilvl w:val="0"/>
          <w:numId w:val="6"/>
        </w:numPr>
        <w:tabs>
          <w:tab w:val="left" w:pos="210"/>
          <w:tab w:val="left" w:pos="840"/>
          <w:tab w:val="left" w:pos="1260"/>
        </w:tabs>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售后服务：</w:t>
      </w:r>
      <w:r>
        <w:rPr>
          <w:rFonts w:hint="eastAsia" w:ascii="宋体" w:hAnsi="宋体" w:eastAsia="宋体" w:cs="宋体"/>
          <w:bCs/>
          <w:sz w:val="24"/>
          <w:szCs w:val="24"/>
          <w:u w:val="single"/>
        </w:rPr>
        <w:t>详见合同条款</w:t>
      </w:r>
    </w:p>
    <w:p w14:paraId="4FF40C60">
      <w:pPr>
        <w:keepNext w:val="0"/>
        <w:keepLines w:val="0"/>
        <w:pageBreakBefore w:val="0"/>
        <w:widowControl w:val="0"/>
        <w:numPr>
          <w:ilvl w:val="0"/>
          <w:numId w:val="6"/>
        </w:numPr>
        <w:tabs>
          <w:tab w:val="left" w:pos="210"/>
          <w:tab w:val="left" w:pos="840"/>
          <w:tab w:val="left" w:pos="1260"/>
        </w:tabs>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违约责任：</w:t>
      </w:r>
      <w:r>
        <w:rPr>
          <w:rFonts w:hint="eastAsia" w:ascii="宋体" w:hAnsi="宋体" w:eastAsia="宋体" w:cs="宋体"/>
          <w:bCs/>
          <w:sz w:val="24"/>
          <w:szCs w:val="24"/>
          <w:u w:val="single"/>
        </w:rPr>
        <w:t>详见考核表</w:t>
      </w:r>
    </w:p>
    <w:p w14:paraId="7627DAF8">
      <w:pPr>
        <w:keepNext w:val="0"/>
        <w:keepLines w:val="0"/>
        <w:pageBreakBefore w:val="0"/>
        <w:widowControl w:val="0"/>
        <w:numPr>
          <w:ilvl w:val="0"/>
          <w:numId w:val="6"/>
        </w:numPr>
        <w:tabs>
          <w:tab w:val="left" w:pos="210"/>
          <w:tab w:val="left" w:pos="840"/>
          <w:tab w:val="left" w:pos="1260"/>
        </w:tabs>
        <w:spacing w:line="360" w:lineRule="auto"/>
        <w:ind w:firstLine="480"/>
        <w:rPr>
          <w:rFonts w:hint="eastAsia" w:ascii="宋体" w:hAnsi="宋体" w:eastAsia="宋体" w:cs="宋体"/>
          <w:bCs/>
          <w:sz w:val="24"/>
          <w:szCs w:val="24"/>
        </w:rPr>
      </w:pPr>
      <w:r>
        <w:rPr>
          <w:rFonts w:hint="eastAsia" w:ascii="宋体" w:hAnsi="宋体" w:eastAsia="宋体" w:cs="宋体"/>
          <w:sz w:val="24"/>
          <w:szCs w:val="24"/>
        </w:rPr>
        <w:t>解决争议的方式：</w:t>
      </w:r>
      <w:r>
        <w:rPr>
          <w:rFonts w:hint="eastAsia" w:ascii="宋体" w:hAnsi="宋体" w:eastAsia="宋体" w:cs="宋体"/>
          <w:bCs/>
          <w:sz w:val="24"/>
          <w:szCs w:val="24"/>
          <w:u w:val="single"/>
        </w:rPr>
        <w:t>详见合同条款</w:t>
      </w:r>
    </w:p>
    <w:p w14:paraId="505D4B0A">
      <w:pPr>
        <w:keepNext w:val="0"/>
        <w:keepLines w:val="0"/>
        <w:pageBreakBefore w:val="0"/>
        <w:widowControl w:val="0"/>
        <w:numPr>
          <w:ilvl w:val="0"/>
          <w:numId w:val="6"/>
        </w:numPr>
        <w:tabs>
          <w:tab w:val="left" w:pos="210"/>
          <w:tab w:val="left" w:pos="840"/>
          <w:tab w:val="left" w:pos="1260"/>
        </w:tabs>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其他事项：</w:t>
      </w:r>
      <w:r>
        <w:rPr>
          <w:rFonts w:hint="eastAsia" w:ascii="宋体" w:hAnsi="宋体" w:eastAsia="宋体" w:cs="宋体"/>
          <w:bCs/>
          <w:sz w:val="24"/>
          <w:szCs w:val="24"/>
          <w:u w:val="single"/>
        </w:rPr>
        <w:t>无</w:t>
      </w:r>
    </w:p>
    <w:p w14:paraId="7D07BE1C">
      <w:pPr>
        <w:keepNext w:val="0"/>
        <w:keepLines w:val="0"/>
        <w:pageBreakBefore w:val="0"/>
        <w:widowControl w:val="0"/>
        <w:numPr>
          <w:ilvl w:val="0"/>
          <w:numId w:val="6"/>
        </w:numPr>
        <w:tabs>
          <w:tab w:val="left" w:pos="210"/>
          <w:tab w:val="left" w:pos="840"/>
          <w:tab w:val="left" w:pos="1260"/>
        </w:tabs>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合同不可分割部分：</w:t>
      </w:r>
    </w:p>
    <w:p w14:paraId="0291B92D">
      <w:pPr>
        <w:keepNext w:val="0"/>
        <w:keepLines w:val="0"/>
        <w:pageBreakBefore w:val="0"/>
        <w:widowControl w:val="0"/>
        <w:tabs>
          <w:tab w:val="left" w:pos="210"/>
          <w:tab w:val="left" w:pos="420"/>
          <w:tab w:val="left" w:pos="1155"/>
        </w:tabs>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采购文件、响应文件、合同条款及中标通知书，供方在投标、评标过程中所作其他有关承诺、声明、书面澄清等均为合同不可分割的部分，与主合同具有同等法律效力。</w:t>
      </w:r>
    </w:p>
    <w:p w14:paraId="20304518">
      <w:pPr>
        <w:keepNext w:val="0"/>
        <w:keepLines w:val="0"/>
        <w:pageBreakBefore w:val="0"/>
        <w:widowControl w:val="0"/>
        <w:numPr>
          <w:ilvl w:val="0"/>
          <w:numId w:val="6"/>
        </w:numPr>
        <w:tabs>
          <w:tab w:val="left" w:pos="210"/>
          <w:tab w:val="left" w:pos="840"/>
          <w:tab w:val="left" w:pos="1155"/>
        </w:tabs>
        <w:spacing w:line="360" w:lineRule="auto"/>
        <w:ind w:firstLine="523"/>
        <w:rPr>
          <w:rFonts w:hint="eastAsia" w:ascii="宋体" w:hAnsi="宋体" w:eastAsia="宋体" w:cs="宋体"/>
          <w:bCs/>
          <w:sz w:val="24"/>
          <w:szCs w:val="24"/>
        </w:rPr>
      </w:pPr>
      <w:r>
        <w:rPr>
          <w:rFonts w:hint="eastAsia" w:ascii="宋体" w:hAnsi="宋体" w:eastAsia="宋体" w:cs="宋体"/>
          <w:bCs/>
          <w:sz w:val="24"/>
          <w:szCs w:val="24"/>
        </w:rPr>
        <w:t>合同备案：</w:t>
      </w:r>
    </w:p>
    <w:p w14:paraId="51FCD6C8">
      <w:pPr>
        <w:keepNext w:val="0"/>
        <w:keepLines w:val="0"/>
        <w:pageBreakBefore w:val="0"/>
        <w:widowControl w:val="0"/>
        <w:tabs>
          <w:tab w:val="left" w:pos="210"/>
          <w:tab w:val="left" w:pos="735"/>
          <w:tab w:val="left" w:pos="1155"/>
        </w:tabs>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合同一式伍份，甲乙双方各执贰份，采购代理机构壹份。</w:t>
      </w:r>
    </w:p>
    <w:p w14:paraId="2D83410F">
      <w:pPr>
        <w:keepNext w:val="0"/>
        <w:keepLines w:val="0"/>
        <w:pageBreakBefore w:val="0"/>
        <w:widowControl w:val="0"/>
        <w:numPr>
          <w:ilvl w:val="0"/>
          <w:numId w:val="6"/>
        </w:numPr>
        <w:tabs>
          <w:tab w:val="left" w:pos="210"/>
          <w:tab w:val="left" w:pos="840"/>
          <w:tab w:val="left" w:pos="1155"/>
        </w:tabs>
        <w:spacing w:line="360" w:lineRule="auto"/>
        <w:ind w:firstLine="523"/>
        <w:rPr>
          <w:rFonts w:hint="eastAsia" w:ascii="宋体" w:hAnsi="宋体" w:eastAsia="宋体" w:cs="宋体"/>
          <w:bCs/>
          <w:sz w:val="24"/>
          <w:szCs w:val="24"/>
        </w:rPr>
      </w:pPr>
      <w:r>
        <w:rPr>
          <w:rFonts w:hint="eastAsia" w:ascii="宋体" w:hAnsi="宋体" w:eastAsia="宋体" w:cs="宋体"/>
          <w:bCs/>
          <w:sz w:val="24"/>
          <w:szCs w:val="24"/>
        </w:rPr>
        <w:t>合同生效：</w:t>
      </w:r>
    </w:p>
    <w:p w14:paraId="2E3DEC31">
      <w:pPr>
        <w:keepNext w:val="0"/>
        <w:keepLines w:val="0"/>
        <w:pageBreakBefore w:val="0"/>
        <w:widowControl w:val="0"/>
        <w:tabs>
          <w:tab w:val="left" w:pos="210"/>
          <w:tab w:val="left" w:pos="840"/>
          <w:tab w:val="left" w:pos="1155"/>
        </w:tabs>
        <w:spacing w:line="360" w:lineRule="auto"/>
        <w:ind w:firstLine="480"/>
        <w:rPr>
          <w:rFonts w:hint="eastAsia" w:ascii="宋体" w:hAnsi="宋体" w:eastAsia="宋体" w:cs="宋体"/>
          <w:bCs/>
          <w:sz w:val="24"/>
          <w:szCs w:val="24"/>
        </w:rPr>
      </w:pPr>
      <w:r>
        <w:rPr>
          <w:rFonts w:hint="eastAsia" w:ascii="宋体" w:hAnsi="宋体" w:eastAsia="宋体" w:cs="宋体"/>
          <w:bCs/>
          <w:sz w:val="24"/>
          <w:szCs w:val="24"/>
        </w:rPr>
        <w:t>本合同由供需双方签字、盖章，并经采购代理机构见证后生效。</w:t>
      </w:r>
    </w:p>
    <w:p w14:paraId="4B9D02F8">
      <w:pPr>
        <w:keepNext w:val="0"/>
        <w:keepLines w:val="0"/>
        <w:pageBreakBefore w:val="0"/>
        <w:widowControl w:val="0"/>
        <w:spacing w:line="360" w:lineRule="auto"/>
        <w:ind w:left="6480" w:hanging="6480"/>
        <w:rPr>
          <w:rFonts w:hint="eastAsia" w:ascii="宋体" w:hAnsi="宋体" w:eastAsia="宋体" w:cs="宋体"/>
          <w:bCs/>
          <w:sz w:val="24"/>
          <w:szCs w:val="24"/>
          <w:u w:val="single"/>
          <w:lang w:val="en-US" w:eastAsia="zh-CN"/>
        </w:rPr>
      </w:pPr>
      <w:r>
        <w:rPr>
          <w:rFonts w:hint="eastAsia" w:ascii="宋体" w:hAnsi="宋体" w:eastAsia="宋体" w:cs="宋体"/>
          <w:bCs/>
          <w:sz w:val="24"/>
          <w:szCs w:val="24"/>
        </w:rPr>
        <w:t>需方（采购人）：</w:t>
      </w:r>
      <w:r>
        <w:rPr>
          <w:rFonts w:hint="eastAsia" w:ascii="宋体" w:hAnsi="宋体" w:eastAsia="宋体" w:cs="宋体"/>
          <w:bCs/>
          <w:sz w:val="24"/>
          <w:szCs w:val="24"/>
          <w:u w:val="single"/>
        </w:rPr>
        <w:t>无锡市滨湖区河埒街道</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供方（中标方）：</w:t>
      </w:r>
      <w:r>
        <w:rPr>
          <w:rFonts w:hint="eastAsia" w:ascii="宋体" w:hAnsi="宋体" w:eastAsia="宋体" w:cs="宋体"/>
          <w:bCs/>
          <w:sz w:val="24"/>
          <w:szCs w:val="24"/>
          <w:lang w:val="en-US" w:eastAsia="zh-CN"/>
        </w:rPr>
        <w:t>_______________________</w:t>
      </w:r>
    </w:p>
    <w:p w14:paraId="4B27A26B">
      <w:pPr>
        <w:keepNext w:val="0"/>
        <w:keepLines w:val="0"/>
        <w:pageBreakBefore w:val="0"/>
        <w:widowControl w:val="0"/>
        <w:spacing w:line="360" w:lineRule="auto"/>
        <w:ind w:firstLine="1920"/>
        <w:rPr>
          <w:rFonts w:hint="eastAsia" w:ascii="宋体" w:hAnsi="宋体" w:eastAsia="宋体" w:cs="宋体"/>
          <w:bCs/>
          <w:sz w:val="24"/>
          <w:szCs w:val="24"/>
          <w:u w:val="single"/>
        </w:rPr>
      </w:pPr>
      <w:r>
        <w:rPr>
          <w:rFonts w:hint="eastAsia" w:ascii="宋体" w:hAnsi="宋体" w:eastAsia="宋体" w:cs="宋体"/>
          <w:bCs/>
          <w:sz w:val="24"/>
          <w:szCs w:val="24"/>
          <w:u w:val="single"/>
        </w:rPr>
        <w:t>办事处</w:t>
      </w:r>
      <w:r>
        <w:rPr>
          <w:rFonts w:hint="eastAsia" w:ascii="宋体" w:hAnsi="宋体" w:eastAsia="宋体" w:cs="宋体"/>
          <w:bCs/>
          <w:sz w:val="24"/>
          <w:szCs w:val="24"/>
        </w:rPr>
        <w:t>（盖章）</w:t>
      </w:r>
      <w:r>
        <w:rPr>
          <w:rFonts w:hint="eastAsia" w:ascii="宋体" w:hAnsi="宋体" w:eastAsia="宋体" w:cs="宋体"/>
          <w:bCs/>
          <w:sz w:val="24"/>
          <w:szCs w:val="24"/>
          <w:lang w:val="en-US" w:eastAsia="zh-CN"/>
        </w:rPr>
        <w:t xml:space="preserve">                           ________</w:t>
      </w:r>
      <w:r>
        <w:rPr>
          <w:rFonts w:hint="eastAsia" w:ascii="宋体" w:hAnsi="宋体" w:eastAsia="宋体" w:cs="宋体"/>
          <w:bCs/>
          <w:sz w:val="24"/>
          <w:szCs w:val="24"/>
        </w:rPr>
        <w:t>（盖章）</w:t>
      </w:r>
    </w:p>
    <w:p w14:paraId="274567DD">
      <w:pPr>
        <w:keepNext w:val="0"/>
        <w:keepLines w:val="0"/>
        <w:pageBreakBefore w:val="0"/>
        <w:widowControl w:val="0"/>
        <w:spacing w:line="360" w:lineRule="auto"/>
        <w:rPr>
          <w:rFonts w:hint="eastAsia" w:ascii="宋体" w:hAnsi="宋体" w:eastAsia="宋体" w:cs="宋体"/>
          <w:bCs/>
          <w:sz w:val="24"/>
          <w:szCs w:val="24"/>
          <w:u w:val="single"/>
          <w:lang w:val="en-US" w:eastAsia="zh-CN"/>
        </w:rPr>
      </w:pPr>
      <w:r>
        <w:rPr>
          <w:rFonts w:hint="eastAsia" w:ascii="宋体" w:hAnsi="宋体" w:eastAsia="宋体" w:cs="宋体"/>
          <w:bCs/>
          <w:sz w:val="24"/>
          <w:szCs w:val="24"/>
        </w:rPr>
        <w:t>法定（授权）代表人：</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none"/>
          <w:lang w:val="en-US" w:eastAsia="zh-CN"/>
        </w:rPr>
        <w:t xml:space="preserve">     </w:t>
      </w:r>
      <w:r>
        <w:rPr>
          <w:rFonts w:hint="eastAsia" w:ascii="宋体" w:hAnsi="宋体" w:eastAsia="宋体" w:cs="宋体"/>
          <w:bCs/>
          <w:sz w:val="24"/>
          <w:szCs w:val="24"/>
        </w:rPr>
        <w:t>法定（授权）代表人：</w:t>
      </w:r>
    </w:p>
    <w:p w14:paraId="392EA2D2">
      <w:pPr>
        <w:keepNext w:val="0"/>
        <w:keepLines w:val="0"/>
        <w:pageBreakBefore w:val="0"/>
        <w:widowControl w:val="0"/>
        <w:spacing w:line="360" w:lineRule="auto"/>
        <w:rPr>
          <w:rFonts w:hint="eastAsia" w:ascii="宋体" w:hAnsi="宋体" w:eastAsia="宋体" w:cs="宋体"/>
          <w:bCs/>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  </w:t>
      </w:r>
    </w:p>
    <w:p w14:paraId="3D74A39E">
      <w:pPr>
        <w:keepNext w:val="0"/>
        <w:keepLines w:val="0"/>
        <w:pageBreakBefore w:val="0"/>
        <w:widowControl w:val="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见证方：</w:t>
      </w:r>
      <w:r>
        <w:rPr>
          <w:rFonts w:hint="eastAsia" w:ascii="宋体" w:hAnsi="宋体" w:eastAsia="宋体" w:cs="宋体"/>
          <w:bCs/>
          <w:sz w:val="24"/>
          <w:szCs w:val="24"/>
          <w:u w:val="single"/>
        </w:rPr>
        <w:t xml:space="preserve">                （盖章）  </w:t>
      </w:r>
      <w:r>
        <w:rPr>
          <w:rFonts w:hint="eastAsia" w:ascii="宋体" w:hAnsi="宋体" w:eastAsia="宋体" w:cs="宋体"/>
          <w:bCs/>
          <w:sz w:val="24"/>
          <w:szCs w:val="24"/>
        </w:rPr>
        <w:t xml:space="preserve">    供方户名：</w:t>
      </w:r>
    </w:p>
    <w:p w14:paraId="3324BAD9">
      <w:pPr>
        <w:keepNext w:val="0"/>
        <w:keepLines w:val="0"/>
        <w:pageBreakBefore w:val="0"/>
        <w:widowControl w:val="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见证人：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供方开户银行：</w:t>
      </w:r>
    </w:p>
    <w:p w14:paraId="1394699E">
      <w:pPr>
        <w:keepNext w:val="0"/>
        <w:keepLines w:val="0"/>
        <w:pageBreakBefore w:val="0"/>
        <w:widowControl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日         供方账号：</w:t>
      </w:r>
    </w:p>
    <w:p w14:paraId="6C5248D6">
      <w:pPr>
        <w:keepNext w:val="0"/>
        <w:keepLines w:val="0"/>
        <w:pageBreakBefore w:val="0"/>
        <w:widowControl w:val="0"/>
        <w:spacing w:line="360" w:lineRule="auto"/>
        <w:rPr>
          <w:rFonts w:hint="eastAsia" w:ascii="宋体" w:hAnsi="宋体" w:eastAsia="宋体" w:cs="宋体"/>
          <w:bCs/>
          <w:sz w:val="24"/>
          <w:szCs w:val="24"/>
        </w:rPr>
      </w:pPr>
      <w:r>
        <w:rPr>
          <w:rFonts w:hint="eastAsia" w:ascii="宋体" w:hAnsi="宋体" w:eastAsia="宋体" w:cs="宋体"/>
          <w:bCs/>
          <w:sz w:val="24"/>
          <w:szCs w:val="24"/>
        </w:rPr>
        <w:t>★</w:t>
      </w:r>
      <w:r>
        <w:rPr>
          <w:rFonts w:hint="eastAsia" w:ascii="宋体" w:hAnsi="宋体" w:eastAsia="宋体" w:cs="宋体"/>
          <w:b/>
          <w:bCs/>
          <w:sz w:val="24"/>
          <w:szCs w:val="24"/>
        </w:rPr>
        <w:t>备注：</w:t>
      </w:r>
      <w:r>
        <w:rPr>
          <w:rFonts w:hint="eastAsia" w:ascii="宋体" w:hAnsi="宋体" w:eastAsia="宋体" w:cs="宋体"/>
          <w:bCs/>
          <w:sz w:val="24"/>
          <w:szCs w:val="24"/>
        </w:rPr>
        <w:t>供需双方必须以本格式文本，按照合同条款拟订合同</w:t>
      </w:r>
    </w:p>
    <w:p w14:paraId="0D78DD53">
      <w:pPr>
        <w:rPr>
          <w:rFonts w:hint="eastAsia" w:ascii="宋体" w:hAnsi="宋体" w:eastAsia="宋体" w:cs="宋体"/>
          <w:b/>
          <w:bCs/>
          <w:sz w:val="24"/>
          <w:szCs w:val="24"/>
        </w:rPr>
      </w:pPr>
      <w:r>
        <w:rPr>
          <w:rFonts w:hint="eastAsia" w:ascii="宋体" w:hAnsi="宋体" w:eastAsia="宋体" w:cs="宋体"/>
          <w:b/>
          <w:bCs/>
          <w:sz w:val="24"/>
          <w:szCs w:val="24"/>
        </w:rPr>
        <w:br w:type="page" w:clear="all"/>
      </w:r>
    </w:p>
    <w:p w14:paraId="4AAD4B14">
      <w:pPr>
        <w:keepNext/>
        <w:widowControl/>
        <w:tabs>
          <w:tab w:val="left" w:pos="720"/>
        </w:tabs>
        <w:spacing w:before="120" w:after="120" w:line="360" w:lineRule="auto"/>
        <w:ind w:left="720" w:hanging="720"/>
        <w:jc w:val="center"/>
        <w:outlineLvl w:val="9"/>
        <w:rPr>
          <w:rFonts w:hint="eastAsia" w:ascii="宋体" w:hAnsi="宋体" w:eastAsia="宋体" w:cs="宋体"/>
          <w:b/>
          <w:bCs/>
          <w:sz w:val="24"/>
          <w:szCs w:val="24"/>
        </w:rPr>
      </w:pPr>
      <w:r>
        <w:rPr>
          <w:rFonts w:hint="eastAsia" w:ascii="宋体" w:hAnsi="宋体" w:eastAsia="宋体" w:cs="宋体"/>
          <w:b/>
          <w:bCs/>
          <w:sz w:val="24"/>
          <w:szCs w:val="24"/>
        </w:rPr>
        <w:t>二、合同条款</w:t>
      </w:r>
    </w:p>
    <w:p w14:paraId="5D5AC3BF">
      <w:pPr>
        <w:widowControl/>
        <w:spacing w:before="100" w:after="100" w:line="360" w:lineRule="auto"/>
        <w:ind w:firstLine="360"/>
        <w:rPr>
          <w:rFonts w:hint="eastAsia" w:ascii="宋体" w:hAnsi="宋体" w:eastAsia="宋体" w:cs="宋体"/>
          <w:color w:val="000000"/>
          <w:sz w:val="24"/>
          <w:szCs w:val="24"/>
        </w:rPr>
      </w:pPr>
      <w:r>
        <w:rPr>
          <w:rFonts w:hint="eastAsia" w:ascii="宋体" w:hAnsi="宋体" w:eastAsia="宋体" w:cs="宋体"/>
          <w:color w:val="000000"/>
          <w:sz w:val="24"/>
          <w:szCs w:val="24"/>
        </w:rPr>
        <w:t>根据编号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采购文件和该文件的中标通知书及供方投标文件，供需双方就此次招标及相关问题，同意按下列条款规定执行。</w:t>
      </w:r>
    </w:p>
    <w:p w14:paraId="503E7A52">
      <w:pPr>
        <w:spacing w:line="360" w:lineRule="auto"/>
        <w:ind w:firstLine="482"/>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一、</w:t>
      </w:r>
      <w:r>
        <w:rPr>
          <w:rFonts w:hint="eastAsia" w:ascii="宋体" w:hAnsi="宋体" w:eastAsia="宋体" w:cs="宋体"/>
          <w:b/>
          <w:bCs/>
          <w:sz w:val="24"/>
          <w:szCs w:val="24"/>
        </w:rPr>
        <w:t>项目概况</w:t>
      </w:r>
    </w:p>
    <w:p w14:paraId="367DD72A">
      <w:pPr>
        <w:spacing w:line="360" w:lineRule="auto"/>
        <w:ind w:left="420"/>
        <w:rPr>
          <w:rFonts w:hint="eastAsia" w:ascii="宋体" w:hAnsi="宋体" w:eastAsia="宋体" w:cs="宋体"/>
          <w:b/>
          <w:bCs/>
          <w:sz w:val="24"/>
          <w:szCs w:val="24"/>
          <w:u w:val="single"/>
          <w:lang w:eastAsia="zh-CN"/>
        </w:rPr>
      </w:pPr>
      <w:r>
        <w:rPr>
          <w:rFonts w:hint="eastAsia" w:ascii="宋体" w:hAnsi="宋体" w:eastAsia="宋体" w:cs="宋体"/>
          <w:b/>
          <w:bCs/>
          <w:sz w:val="24"/>
          <w:szCs w:val="24"/>
        </w:rPr>
        <w:t>1.1项目名称：</w:t>
      </w:r>
      <w:r>
        <w:rPr>
          <w:rFonts w:hint="eastAsia" w:ascii="宋体" w:hAnsi="宋体" w:eastAsia="宋体" w:cs="宋体"/>
          <w:sz w:val="24"/>
          <w:szCs w:val="24"/>
          <w:lang w:eastAsia="zh-CN"/>
        </w:rPr>
        <w:t>吴大成浜、蒋巷浜等11条河生态修复养护项目</w:t>
      </w:r>
    </w:p>
    <w:p w14:paraId="66EB98A4">
      <w:pPr>
        <w:spacing w:line="360" w:lineRule="auto"/>
        <w:ind w:firstLine="482"/>
        <w:rPr>
          <w:rFonts w:hint="eastAsia" w:ascii="宋体" w:hAnsi="宋体" w:eastAsia="宋体" w:cs="宋体"/>
          <w:sz w:val="24"/>
          <w:szCs w:val="24"/>
        </w:rPr>
      </w:pPr>
      <w:r>
        <w:rPr>
          <w:rFonts w:hint="eastAsia" w:ascii="宋体" w:hAnsi="宋体" w:eastAsia="宋体" w:cs="宋体"/>
          <w:b/>
          <w:bCs/>
          <w:sz w:val="24"/>
          <w:szCs w:val="24"/>
        </w:rPr>
        <w:t>1.2项目概况：</w:t>
      </w:r>
      <w:r>
        <w:rPr>
          <w:rFonts w:hint="eastAsia" w:ascii="宋体" w:hAnsi="宋体" w:eastAsia="宋体" w:cs="宋体"/>
          <w:sz w:val="24"/>
          <w:szCs w:val="24"/>
        </w:rPr>
        <w:t>拟对河埒街道辖区内吴大成浜、蒋巷浜、钱家桥浜、唐巷浜、庙东浜、北庄河、老乌浜、河埒浜、东新河、大成浜、华巷浜等11条河道现有水生态实施养护修复及突发性污染应急处置等，包含河道实施水面、岸脚、岸坡垃圾清理，设备养护、水质维护、河道日常巡查、蓝藻处置等工作，并使水体水质维持在地表Ⅲ类水标准。</w:t>
      </w:r>
    </w:p>
    <w:p w14:paraId="30E3694E">
      <w:pPr>
        <w:spacing w:line="360" w:lineRule="auto"/>
        <w:ind w:firstLine="482"/>
        <w:jc w:val="left"/>
        <w:rPr>
          <w:rFonts w:hint="eastAsia" w:ascii="宋体" w:hAnsi="宋体" w:eastAsia="宋体" w:cs="宋体"/>
          <w:b/>
          <w:bCs/>
          <w:sz w:val="24"/>
          <w:szCs w:val="24"/>
        </w:rPr>
      </w:pPr>
      <w:r>
        <w:rPr>
          <w:rFonts w:hint="eastAsia" w:ascii="宋体" w:hAnsi="宋体" w:eastAsia="宋体" w:cs="宋体"/>
          <w:b/>
          <w:bCs/>
          <w:sz w:val="24"/>
          <w:szCs w:val="24"/>
        </w:rPr>
        <w:t>1.3 服务要求：</w:t>
      </w:r>
    </w:p>
    <w:p w14:paraId="23ABF93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1、养护质量标准：合格，满足国家相关法律法规及国家标准、行业标准、地方标准，满足采购人需求。</w:t>
      </w:r>
    </w:p>
    <w:p w14:paraId="44FA49B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2、河道养护要求：</w:t>
      </w:r>
      <w:r>
        <w:rPr>
          <w:rFonts w:hint="eastAsia" w:ascii="宋体" w:hAnsi="宋体" w:eastAsia="宋体" w:cs="宋体"/>
          <w:sz w:val="24"/>
          <w:highlight w:val="none"/>
        </w:rPr>
        <w:t>河道日常巡查，水面、岸脚、岸坡垃圾清理，确保河道水面无漂浮物，堤防、岸线管护、蓝藻处置等工作，并负责垃圾的清运与消纳。</w:t>
      </w:r>
    </w:p>
    <w:p w14:paraId="3B7944E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3、水质标准：按照化学需氧量、氨氮（NH3—N）、总磷（TP）、溶解氧，高锰酸盐指数，五项指标对全年12个月的水质情况进行监测。</w:t>
      </w:r>
      <w:r>
        <w:rPr>
          <w:rFonts w:hint="eastAsia" w:ascii="宋体" w:hAnsi="宋体" w:cs="宋体"/>
          <w:sz w:val="24"/>
          <w:szCs w:val="24"/>
          <w:lang w:eastAsia="zh-CN"/>
        </w:rPr>
        <w:t>（</w:t>
      </w:r>
      <w:r>
        <w:rPr>
          <w:rFonts w:hint="eastAsia" w:ascii="宋体" w:hAnsi="宋体" w:eastAsia="宋体" w:cs="宋体"/>
          <w:sz w:val="24"/>
          <w:szCs w:val="24"/>
        </w:rPr>
        <w:t>注</w:t>
      </w:r>
      <w:r>
        <w:rPr>
          <w:rFonts w:hint="eastAsia" w:ascii="宋体" w:hAnsi="宋体" w:cs="宋体"/>
          <w:sz w:val="24"/>
          <w:szCs w:val="24"/>
          <w:lang w:eastAsia="zh-CN"/>
        </w:rPr>
        <w:t>：</w:t>
      </w:r>
      <w:r>
        <w:rPr>
          <w:rFonts w:hint="eastAsia" w:ascii="宋体" w:hAnsi="宋体" w:eastAsia="宋体" w:cs="宋体"/>
          <w:sz w:val="24"/>
          <w:szCs w:val="24"/>
        </w:rPr>
        <w:t>1、如遇突发污染事件，污染期的水质不计入水质计算</w:t>
      </w:r>
      <w:r>
        <w:rPr>
          <w:rFonts w:hint="eastAsia" w:ascii="宋体" w:hAnsi="宋体" w:cs="宋体"/>
          <w:sz w:val="24"/>
          <w:szCs w:val="24"/>
          <w:lang w:eastAsia="zh-CN"/>
        </w:rPr>
        <w:t>；</w:t>
      </w:r>
      <w:r>
        <w:rPr>
          <w:rFonts w:hint="eastAsia" w:ascii="宋体" w:hAnsi="宋体" w:eastAsia="宋体" w:cs="宋体"/>
          <w:sz w:val="24"/>
          <w:szCs w:val="24"/>
        </w:rPr>
        <w:t>2、水质以每月区河长办公布的水质数据或以甲方委托的有资质的第三方出具的检测报告为准</w:t>
      </w:r>
      <w:r>
        <w:rPr>
          <w:rFonts w:hint="eastAsia" w:ascii="宋体" w:hAnsi="宋体" w:cs="宋体"/>
          <w:sz w:val="24"/>
          <w:szCs w:val="24"/>
          <w:lang w:eastAsia="zh-CN"/>
        </w:rPr>
        <w:t>）</w:t>
      </w:r>
    </w:p>
    <w:p w14:paraId="35E1AEE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4、水质目标</w:t>
      </w:r>
    </w:p>
    <w:p w14:paraId="44CA232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达到Ⅲ类水质等级。</w:t>
      </w:r>
    </w:p>
    <w:tbl>
      <w:tblPr>
        <w:tblStyle w:val="36"/>
        <w:tblW w:w="99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109"/>
        <w:gridCol w:w="2642"/>
        <w:gridCol w:w="2069"/>
        <w:gridCol w:w="2069"/>
        <w:gridCol w:w="2071"/>
      </w:tblGrid>
      <w:tr w14:paraId="369B1F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14:paraId="68638ECD">
            <w:pPr>
              <w:spacing w:line="240" w:lineRule="auto"/>
              <w:ind w:left="0" w:leftChars="0" w:right="0" w:righ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序号</w:t>
            </w:r>
          </w:p>
        </w:tc>
        <w:tc>
          <w:tcPr>
            <w:tcW w:w="0" w:type="auto"/>
            <w:vMerge w:val="restart"/>
            <w:tcBorders>
              <w:top w:val="single" w:color="auto" w:sz="4" w:space="0"/>
              <w:left w:val="single" w:color="auto" w:sz="4" w:space="0"/>
              <w:bottom w:val="single" w:color="auto" w:sz="4" w:space="0"/>
              <w:right w:val="single" w:color="auto" w:sz="4" w:space="0"/>
            </w:tcBorders>
            <w:noWrap w:val="0"/>
            <w:vAlign w:val="center"/>
          </w:tcPr>
          <w:p w14:paraId="08F296C4">
            <w:pPr>
              <w:spacing w:line="240" w:lineRule="auto"/>
              <w:ind w:left="0" w:leftChars="0" w:right="0" w:righ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指标</w:t>
            </w:r>
          </w:p>
        </w:tc>
        <w:tc>
          <w:tcPr>
            <w:tcW w:w="6209" w:type="dxa"/>
            <w:gridSpan w:val="3"/>
            <w:tcBorders>
              <w:top w:val="single" w:color="auto" w:sz="4" w:space="0"/>
              <w:left w:val="single" w:color="auto" w:sz="4" w:space="0"/>
              <w:bottom w:val="single" w:color="auto" w:sz="4" w:space="0"/>
              <w:right w:val="single" w:color="auto" w:sz="4" w:space="0"/>
            </w:tcBorders>
            <w:noWrap w:val="0"/>
            <w:vAlign w:val="center"/>
          </w:tcPr>
          <w:p w14:paraId="0E4E2365">
            <w:pPr>
              <w:spacing w:line="240" w:lineRule="auto"/>
              <w:ind w:left="0" w:leftChars="0" w:right="0" w:righ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水质目标</w:t>
            </w:r>
          </w:p>
        </w:tc>
      </w:tr>
      <w:tr w14:paraId="532EA5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7"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135C449">
            <w:pPr>
              <w:widowControl/>
              <w:spacing w:line="240" w:lineRule="auto"/>
              <w:ind w:left="0" w:leftChars="0" w:right="0" w:rightChars="0" w:firstLine="0" w:firstLineChars="0"/>
              <w:jc w:val="left"/>
              <w:rPr>
                <w:rFonts w:hint="eastAsia" w:ascii="宋体" w:hAnsi="宋体" w:eastAsia="宋体" w:cs="宋体"/>
                <w:kern w:val="0"/>
                <w:sz w:val="24"/>
                <w:szCs w:val="24"/>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03261A5">
            <w:pPr>
              <w:widowControl/>
              <w:spacing w:line="240" w:lineRule="auto"/>
              <w:ind w:left="0" w:leftChars="0" w:right="0" w:rightChars="0" w:firstLine="0" w:firstLineChars="0"/>
              <w:jc w:val="left"/>
              <w:rPr>
                <w:rFonts w:hint="eastAsia" w:ascii="宋体" w:hAnsi="宋体" w:eastAsia="宋体" w:cs="宋体"/>
                <w:kern w:val="0"/>
                <w:sz w:val="24"/>
                <w:szCs w:val="24"/>
              </w:rPr>
            </w:pPr>
          </w:p>
        </w:tc>
        <w:tc>
          <w:tcPr>
            <w:tcW w:w="0" w:type="auto"/>
            <w:tcBorders>
              <w:top w:val="single" w:color="auto" w:sz="4" w:space="0"/>
              <w:left w:val="single" w:color="auto" w:sz="4" w:space="0"/>
              <w:bottom w:val="single" w:color="auto" w:sz="4" w:space="0"/>
              <w:right w:val="single" w:color="auto" w:sz="4" w:space="0"/>
            </w:tcBorders>
            <w:noWrap w:val="0"/>
            <w:vAlign w:val="center"/>
          </w:tcPr>
          <w:p w14:paraId="12B3DA5F">
            <w:pPr>
              <w:spacing w:line="240" w:lineRule="auto"/>
              <w:ind w:left="0" w:leftChars="0" w:right="0" w:righ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fldChar w:fldCharType="begin"/>
            </w:r>
            <w:r>
              <w:rPr>
                <w:rFonts w:hint="eastAsia" w:ascii="宋体" w:hAnsi="宋体" w:eastAsia="宋体" w:cs="宋体"/>
                <w:kern w:val="0"/>
                <w:sz w:val="24"/>
                <w:szCs w:val="24"/>
              </w:rPr>
              <w:instrText xml:space="preserve"> =  \* ROMAN \* MERGEFORMAT </w:instrText>
            </w:r>
            <w:r>
              <w:rPr>
                <w:rFonts w:hint="eastAsia" w:ascii="宋体" w:hAnsi="宋体" w:eastAsia="宋体" w:cs="宋体"/>
                <w:kern w:val="0"/>
                <w:sz w:val="24"/>
                <w:szCs w:val="24"/>
              </w:rPr>
              <w:fldChar w:fldCharType="separate"/>
            </w:r>
            <w:r>
              <w:rPr>
                <w:rFonts w:hint="eastAsia" w:ascii="宋体" w:hAnsi="宋体" w:cs="宋体"/>
                <w:kern w:val="0"/>
                <w:sz w:val="24"/>
                <w:szCs w:val="24"/>
                <w:lang w:eastAsia="zh-CN"/>
              </w:rPr>
              <w:t>Ⅲ</w:t>
            </w:r>
            <w:r>
              <w:rPr>
                <w:rFonts w:hint="eastAsia" w:ascii="宋体" w:hAnsi="宋体" w:eastAsia="宋体" w:cs="宋体"/>
                <w:kern w:val="0"/>
                <w:sz w:val="24"/>
                <w:szCs w:val="24"/>
              </w:rPr>
              <w:fldChar w:fldCharType="end"/>
            </w:r>
            <w:r>
              <w:rPr>
                <w:rFonts w:hint="eastAsia" w:ascii="宋体" w:hAnsi="宋体" w:eastAsia="宋体" w:cs="宋体"/>
                <w:kern w:val="0"/>
                <w:sz w:val="24"/>
                <w:szCs w:val="24"/>
              </w:rPr>
              <w:t>类</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68FD871">
            <w:pPr>
              <w:spacing w:line="240" w:lineRule="auto"/>
              <w:ind w:left="0" w:leftChars="0" w:right="0" w:righ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Ⅳ类</w:t>
            </w:r>
          </w:p>
        </w:tc>
        <w:tc>
          <w:tcPr>
            <w:tcW w:w="2071" w:type="dxa"/>
            <w:tcBorders>
              <w:top w:val="single" w:color="auto" w:sz="4" w:space="0"/>
              <w:left w:val="single" w:color="auto" w:sz="4" w:space="0"/>
              <w:bottom w:val="single" w:color="auto" w:sz="4" w:space="0"/>
              <w:right w:val="single" w:color="auto" w:sz="4" w:space="0"/>
            </w:tcBorders>
            <w:noWrap w:val="0"/>
            <w:vAlign w:val="center"/>
          </w:tcPr>
          <w:p w14:paraId="49D5EDC8">
            <w:pPr>
              <w:spacing w:line="240" w:lineRule="auto"/>
              <w:ind w:left="0" w:leftChars="0" w:right="0" w:rightChars="0"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V类</w:t>
            </w:r>
          </w:p>
        </w:tc>
      </w:tr>
      <w:tr w14:paraId="560209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7"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348B6253">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3F445BE7">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化学需氧量</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18CD32C">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≤20mg/L</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3842A820">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≤30mg/L</w:t>
            </w:r>
          </w:p>
        </w:tc>
        <w:tc>
          <w:tcPr>
            <w:tcW w:w="2071" w:type="dxa"/>
            <w:tcBorders>
              <w:top w:val="single" w:color="auto" w:sz="4" w:space="0"/>
              <w:left w:val="single" w:color="auto" w:sz="4" w:space="0"/>
              <w:bottom w:val="single" w:color="auto" w:sz="4" w:space="0"/>
              <w:right w:val="single" w:color="auto" w:sz="4" w:space="0"/>
            </w:tcBorders>
            <w:noWrap w:val="0"/>
            <w:vAlign w:val="center"/>
          </w:tcPr>
          <w:p w14:paraId="48CE6F69">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≤40mg/L</w:t>
            </w:r>
          </w:p>
        </w:tc>
      </w:tr>
      <w:tr w14:paraId="157169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7"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4CB9F275">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10A7E67">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氨氮</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DCB99AA">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≤1.0mg/L</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C36BB0A">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≤1.5mg/L</w:t>
            </w:r>
          </w:p>
        </w:tc>
        <w:tc>
          <w:tcPr>
            <w:tcW w:w="2071" w:type="dxa"/>
            <w:tcBorders>
              <w:top w:val="single" w:color="auto" w:sz="4" w:space="0"/>
              <w:left w:val="single" w:color="auto" w:sz="4" w:space="0"/>
              <w:bottom w:val="single" w:color="auto" w:sz="4" w:space="0"/>
              <w:right w:val="single" w:color="auto" w:sz="4" w:space="0"/>
            </w:tcBorders>
            <w:noWrap w:val="0"/>
            <w:vAlign w:val="center"/>
          </w:tcPr>
          <w:p w14:paraId="4E5F6760">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≤2.0mg/L</w:t>
            </w:r>
          </w:p>
        </w:tc>
      </w:tr>
      <w:tr w14:paraId="590A31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7"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008788E3">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65304F91">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总磷</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E4541AF">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≤0.2mg/L</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9945884">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≤0.3mg/L</w:t>
            </w:r>
          </w:p>
        </w:tc>
        <w:tc>
          <w:tcPr>
            <w:tcW w:w="2071" w:type="dxa"/>
            <w:tcBorders>
              <w:top w:val="single" w:color="auto" w:sz="4" w:space="0"/>
              <w:left w:val="single" w:color="auto" w:sz="4" w:space="0"/>
              <w:bottom w:val="single" w:color="auto" w:sz="4" w:space="0"/>
              <w:right w:val="single" w:color="auto" w:sz="4" w:space="0"/>
            </w:tcBorders>
            <w:noWrap w:val="0"/>
            <w:vAlign w:val="center"/>
          </w:tcPr>
          <w:p w14:paraId="5E00D1CE">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≤0.4mg/L</w:t>
            </w:r>
          </w:p>
        </w:tc>
      </w:tr>
      <w:tr w14:paraId="2C290A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7" w:hRule="atLeast"/>
          <w:jc w:val="center"/>
        </w:trPr>
        <w:tc>
          <w:tcPr>
            <w:tcW w:w="0" w:type="auto"/>
            <w:tcBorders>
              <w:top w:val="single" w:color="auto" w:sz="4" w:space="0"/>
              <w:left w:val="single" w:color="auto" w:sz="4" w:space="0"/>
              <w:bottom w:val="single" w:color="auto" w:sz="4" w:space="0"/>
              <w:right w:val="single" w:color="auto" w:sz="4" w:space="0"/>
            </w:tcBorders>
            <w:noWrap w:val="0"/>
            <w:vAlign w:val="center"/>
          </w:tcPr>
          <w:p w14:paraId="7A717DE4">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7E14B9F">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溶解氧</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3185075">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≥5.0mg/L</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D79D1C0">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≥3.0mg/L</w:t>
            </w:r>
          </w:p>
        </w:tc>
        <w:tc>
          <w:tcPr>
            <w:tcW w:w="2071" w:type="dxa"/>
            <w:tcBorders>
              <w:top w:val="single" w:color="auto" w:sz="4" w:space="0"/>
              <w:left w:val="single" w:color="auto" w:sz="4" w:space="0"/>
              <w:bottom w:val="single" w:color="auto" w:sz="4" w:space="0"/>
              <w:right w:val="single" w:color="auto" w:sz="4" w:space="0"/>
            </w:tcBorders>
            <w:noWrap w:val="0"/>
            <w:vAlign w:val="center"/>
          </w:tcPr>
          <w:p w14:paraId="64C5C284">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≥2.0mg/L</w:t>
            </w:r>
          </w:p>
        </w:tc>
      </w:tr>
      <w:tr w14:paraId="00C21C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7" w:hRule="atLeast"/>
          <w:jc w:val="center"/>
        </w:trPr>
        <w:tc>
          <w:tcPr>
            <w:tcW w:w="1109" w:type="dxa"/>
            <w:tcBorders>
              <w:top w:val="single" w:color="auto" w:sz="4" w:space="0"/>
              <w:left w:val="single" w:color="auto" w:sz="4" w:space="0"/>
              <w:bottom w:val="single" w:color="auto" w:sz="4" w:space="0"/>
              <w:right w:val="single" w:color="auto" w:sz="4" w:space="0"/>
            </w:tcBorders>
            <w:noWrap w:val="0"/>
            <w:vAlign w:val="center"/>
          </w:tcPr>
          <w:p w14:paraId="755565F3">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2642" w:type="dxa"/>
            <w:tcBorders>
              <w:top w:val="single" w:color="auto" w:sz="4" w:space="0"/>
              <w:left w:val="single" w:color="auto" w:sz="4" w:space="0"/>
              <w:bottom w:val="single" w:color="auto" w:sz="4" w:space="0"/>
              <w:right w:val="single" w:color="auto" w:sz="4" w:space="0"/>
            </w:tcBorders>
            <w:noWrap w:val="0"/>
            <w:vAlign w:val="center"/>
          </w:tcPr>
          <w:p w14:paraId="5E1890E3">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高锰酸盐指数</w:t>
            </w:r>
          </w:p>
        </w:tc>
        <w:tc>
          <w:tcPr>
            <w:tcW w:w="2069" w:type="dxa"/>
            <w:tcBorders>
              <w:top w:val="single" w:color="auto" w:sz="4" w:space="0"/>
              <w:left w:val="single" w:color="auto" w:sz="4" w:space="0"/>
              <w:bottom w:val="single" w:color="auto" w:sz="4" w:space="0"/>
              <w:right w:val="single" w:color="auto" w:sz="4" w:space="0"/>
            </w:tcBorders>
            <w:noWrap w:val="0"/>
            <w:vAlign w:val="center"/>
          </w:tcPr>
          <w:p w14:paraId="1727443D">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≤6mg/L</w:t>
            </w:r>
          </w:p>
        </w:tc>
        <w:tc>
          <w:tcPr>
            <w:tcW w:w="2069" w:type="dxa"/>
            <w:tcBorders>
              <w:top w:val="single" w:color="auto" w:sz="4" w:space="0"/>
              <w:left w:val="single" w:color="auto" w:sz="4" w:space="0"/>
              <w:bottom w:val="single" w:color="auto" w:sz="4" w:space="0"/>
              <w:right w:val="single" w:color="auto" w:sz="4" w:space="0"/>
            </w:tcBorders>
            <w:noWrap w:val="0"/>
            <w:vAlign w:val="center"/>
          </w:tcPr>
          <w:p w14:paraId="0108701E">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≤10mg/L</w:t>
            </w:r>
          </w:p>
        </w:tc>
        <w:tc>
          <w:tcPr>
            <w:tcW w:w="2071" w:type="dxa"/>
            <w:tcBorders>
              <w:top w:val="single" w:color="auto" w:sz="4" w:space="0"/>
              <w:left w:val="single" w:color="auto" w:sz="4" w:space="0"/>
              <w:bottom w:val="single" w:color="auto" w:sz="4" w:space="0"/>
              <w:right w:val="single" w:color="auto" w:sz="4" w:space="0"/>
            </w:tcBorders>
            <w:noWrap w:val="0"/>
            <w:vAlign w:val="center"/>
          </w:tcPr>
          <w:p w14:paraId="0F15735B">
            <w:pPr>
              <w:spacing w:line="240" w:lineRule="auto"/>
              <w:ind w:left="0" w:leftChars="0" w:right="0" w:rightChars="0" w:firstLine="0" w:firstLineChars="0"/>
              <w:rPr>
                <w:rFonts w:hint="eastAsia" w:ascii="宋体" w:hAnsi="宋体" w:eastAsia="宋体" w:cs="宋体"/>
                <w:kern w:val="0"/>
                <w:sz w:val="24"/>
                <w:szCs w:val="24"/>
              </w:rPr>
            </w:pPr>
            <w:r>
              <w:rPr>
                <w:rFonts w:hint="eastAsia" w:ascii="宋体" w:hAnsi="宋体" w:eastAsia="宋体" w:cs="宋体"/>
                <w:kern w:val="0"/>
                <w:sz w:val="24"/>
                <w:szCs w:val="24"/>
              </w:rPr>
              <w:t>≤15mg/L</w:t>
            </w:r>
          </w:p>
        </w:tc>
      </w:tr>
    </w:tbl>
    <w:p w14:paraId="061C9311">
      <w:pPr>
        <w:spacing w:line="360" w:lineRule="auto"/>
        <w:ind w:firstLine="482"/>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二、项目内容</w:t>
      </w:r>
    </w:p>
    <w:p w14:paraId="2E7E5B55">
      <w:pPr>
        <w:spacing w:line="360" w:lineRule="auto"/>
        <w:ind w:firstLine="480"/>
        <w:rPr>
          <w:rFonts w:hint="eastAsia" w:ascii="宋体" w:hAnsi="宋体" w:eastAsia="宋体" w:cs="宋体"/>
          <w:sz w:val="24"/>
          <w:szCs w:val="24"/>
          <w:u w:val="single"/>
        </w:rPr>
      </w:pPr>
      <w:r>
        <w:rPr>
          <w:rFonts w:hint="eastAsia" w:ascii="宋体" w:hAnsi="宋体" w:eastAsia="宋体" w:cs="宋体"/>
          <w:sz w:val="24"/>
          <w:szCs w:val="24"/>
        </w:rPr>
        <w:t>2.1维护项目内容：</w:t>
      </w:r>
      <w:r>
        <w:rPr>
          <w:rFonts w:hint="eastAsia" w:ascii="宋体" w:hAnsi="宋体" w:eastAsia="宋体" w:cs="宋体"/>
          <w:sz w:val="24"/>
          <w:szCs w:val="24"/>
          <w:u w:val="single"/>
        </w:rPr>
        <w:t>对河埒街道辖区内吴大成浜、蒋巷浜、钱家桥浜、唐巷浜、庙东浜、北庄河、老乌浜、河埒浜、东新河、大成浜、华巷浜等11条河道现有水生态实施养护修复及突发性污染应急处置等，包含河道实施水面、岸脚、岸坡垃圾清理，设备养护、水质维护、河道日常巡查、蓝藻处置等工作，并使水体水质维持在地表Ⅲ类水标准。</w:t>
      </w:r>
    </w:p>
    <w:p w14:paraId="675BCDB5">
      <w:pPr>
        <w:spacing w:line="360" w:lineRule="auto"/>
        <w:ind w:firstLine="480"/>
        <w:jc w:val="left"/>
        <w:rPr>
          <w:rFonts w:hint="eastAsia" w:ascii="宋体" w:hAnsi="宋体" w:eastAsia="宋体" w:cs="宋体"/>
          <w:sz w:val="24"/>
          <w:szCs w:val="24"/>
          <w:u w:val="single"/>
        </w:rPr>
      </w:pPr>
      <w:r>
        <w:rPr>
          <w:rFonts w:hint="eastAsia" w:ascii="宋体" w:hAnsi="宋体" w:eastAsia="宋体" w:cs="宋体"/>
          <w:sz w:val="24"/>
          <w:szCs w:val="24"/>
        </w:rPr>
        <w:t>2.2 服务期：</w:t>
      </w:r>
      <w:r>
        <w:rPr>
          <w:rFonts w:hint="eastAsia" w:ascii="宋体" w:hAnsi="宋体" w:eastAsia="宋体" w:cs="宋体"/>
          <w:sz w:val="24"/>
          <w:szCs w:val="24"/>
          <w:u w:val="single"/>
        </w:rPr>
        <w:t>一年</w:t>
      </w:r>
    </w:p>
    <w:p w14:paraId="244CDBA1">
      <w:pPr>
        <w:spacing w:line="360" w:lineRule="auto"/>
        <w:ind w:firstLine="482"/>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三、合同金额及付款方式</w:t>
      </w:r>
    </w:p>
    <w:p w14:paraId="33EE8F6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3.1合同金额：本合同年维护费用合计为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元（大写：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21780B6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3.2付款方式：合同签订生效后预付合同总金额的10%；服务期满6个月后，每月水质（水质达Ⅲ类及以上；在汛期期间水质至少达到Ⅳ类及以上）及保洁考核达到目标要求，支付</w:t>
      </w:r>
      <w:r>
        <w:rPr>
          <w:rFonts w:hint="eastAsia" w:ascii="宋体" w:hAnsi="宋体" w:cs="宋体"/>
          <w:sz w:val="24"/>
          <w:szCs w:val="24"/>
          <w:lang w:eastAsia="zh-CN"/>
        </w:rPr>
        <w:t>至合</w:t>
      </w:r>
      <w:r>
        <w:rPr>
          <w:rFonts w:hint="eastAsia" w:ascii="宋体" w:hAnsi="宋体" w:eastAsia="宋体" w:cs="宋体"/>
          <w:sz w:val="24"/>
          <w:szCs w:val="24"/>
        </w:rPr>
        <w:t>同金额的40%，服务期满，每月水质（水质达Ⅲ类及以上；在汛期期间水质至少达到Ⅳ类及以上）及保洁考核达到目标要求，付清余款。如不能达到上述要求，发包人有权暂停付款，直到承包人整改至上述要求。（注</w:t>
      </w:r>
      <w:r>
        <w:rPr>
          <w:rFonts w:hint="eastAsia" w:ascii="宋体" w:hAnsi="宋体" w:cs="宋体"/>
          <w:sz w:val="24"/>
          <w:szCs w:val="24"/>
          <w:lang w:eastAsia="zh-CN"/>
        </w:rPr>
        <w:t>：</w:t>
      </w:r>
      <w:r>
        <w:rPr>
          <w:rFonts w:hint="eastAsia" w:ascii="宋体" w:hAnsi="宋体" w:eastAsia="宋体" w:cs="宋体"/>
          <w:sz w:val="24"/>
          <w:szCs w:val="24"/>
        </w:rPr>
        <w:t>①如遇突发污染事件，污染期的水质不计入水所计算，②水质以每月区河长办公布的水质数据或以</w:t>
      </w:r>
      <w:r>
        <w:rPr>
          <w:rFonts w:hint="eastAsia" w:ascii="宋体" w:hAnsi="宋体" w:cs="宋体"/>
          <w:sz w:val="24"/>
          <w:szCs w:val="24"/>
          <w:lang w:eastAsia="zh-CN"/>
        </w:rPr>
        <w:t>甲方</w:t>
      </w:r>
      <w:r>
        <w:rPr>
          <w:rFonts w:hint="eastAsia" w:ascii="宋体" w:hAnsi="宋体" w:eastAsia="宋体" w:cs="宋体"/>
          <w:sz w:val="24"/>
          <w:szCs w:val="24"/>
        </w:rPr>
        <w:t>委托的有资质的第三方出具的</w:t>
      </w:r>
      <w:r>
        <w:rPr>
          <w:rFonts w:hint="eastAsia" w:ascii="宋体" w:hAnsi="宋体" w:cs="宋体"/>
          <w:sz w:val="24"/>
          <w:szCs w:val="24"/>
          <w:lang w:eastAsia="zh-CN"/>
        </w:rPr>
        <w:t>检测</w:t>
      </w:r>
      <w:r>
        <w:rPr>
          <w:rFonts w:hint="eastAsia" w:ascii="宋体" w:hAnsi="宋体" w:eastAsia="宋体" w:cs="宋体"/>
          <w:sz w:val="24"/>
          <w:szCs w:val="24"/>
        </w:rPr>
        <w:t>报告为准。）</w:t>
      </w:r>
    </w:p>
    <w:p w14:paraId="36332B1C">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rPr>
        <w:t>3.3</w:t>
      </w:r>
      <w:r>
        <w:rPr>
          <w:rFonts w:hint="eastAsia" w:ascii="宋体" w:hAnsi="宋体" w:eastAsia="宋体" w:cs="宋体"/>
          <w:sz w:val="24"/>
          <w:szCs w:val="24"/>
          <w:lang w:val="zh-CN"/>
        </w:rPr>
        <w:t>本项目的结算方式采用固定总价。报价时应充分考虑服务期内可能影响到报价的因素，一旦成交，不予调整。如发生漏、缺、少项，都将被认为是供应商的报价让利行为，损失自负。</w:t>
      </w:r>
    </w:p>
    <w:p w14:paraId="36F63687">
      <w:pPr>
        <w:spacing w:before="120" w:after="120" w:line="360" w:lineRule="auto"/>
        <w:outlineLvl w:val="9"/>
        <w:rPr>
          <w:rFonts w:hint="eastAsia" w:ascii="宋体" w:hAnsi="宋体" w:eastAsia="宋体" w:cs="宋体"/>
          <w:b/>
          <w:sz w:val="24"/>
          <w:szCs w:val="24"/>
        </w:rPr>
      </w:pPr>
      <w:bookmarkStart w:id="20" w:name="_Toc15846"/>
      <w:r>
        <w:rPr>
          <w:rFonts w:hint="eastAsia" w:ascii="宋体" w:hAnsi="宋体" w:eastAsia="宋体" w:cs="宋体"/>
          <w:b/>
          <w:sz w:val="24"/>
          <w:szCs w:val="24"/>
        </w:rPr>
        <w:t>四、甲方责任</w:t>
      </w:r>
      <w:bookmarkEnd w:id="20"/>
    </w:p>
    <w:p w14:paraId="5B9274DF">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4.1甲方负责协调物业管理、居民，确保不影响维护工作；</w:t>
      </w:r>
    </w:p>
    <w:p w14:paraId="4636043E">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4.2未经乙方从技术上认同，甲方不能在乙方维护的生态修复水域内投放或饲养动植物。</w:t>
      </w:r>
    </w:p>
    <w:p w14:paraId="2F95F93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4.3甲方需帮助乙方协调和其他施工单位的交叉作业等问题</w:t>
      </w:r>
      <w:r>
        <w:rPr>
          <w:rFonts w:hint="eastAsia" w:ascii="宋体" w:hAnsi="宋体" w:cs="宋体"/>
          <w:sz w:val="24"/>
          <w:szCs w:val="24"/>
          <w:lang w:eastAsia="zh-CN"/>
        </w:rPr>
        <w:t>（</w:t>
      </w:r>
      <w:r>
        <w:rPr>
          <w:rFonts w:hint="eastAsia" w:ascii="宋体" w:hAnsi="宋体" w:eastAsia="宋体" w:cs="宋体"/>
          <w:sz w:val="24"/>
          <w:szCs w:val="24"/>
        </w:rPr>
        <w:t>如有</w:t>
      </w:r>
      <w:r>
        <w:rPr>
          <w:rFonts w:hint="eastAsia" w:ascii="宋体" w:hAnsi="宋体" w:cs="宋体"/>
          <w:sz w:val="24"/>
          <w:szCs w:val="24"/>
          <w:lang w:eastAsia="zh-CN"/>
        </w:rPr>
        <w:t>）</w:t>
      </w:r>
      <w:r>
        <w:rPr>
          <w:rFonts w:hint="eastAsia" w:ascii="宋体" w:hAnsi="宋体" w:eastAsia="宋体" w:cs="宋体"/>
          <w:sz w:val="24"/>
          <w:szCs w:val="24"/>
        </w:rPr>
        <w:t>，确保其他施工单位不将施工污染物（如泥浆、石灰水、油、水泥浆、工程扬尘、化学污染物及生活污水等）排入乙方维护水体内；</w:t>
      </w:r>
    </w:p>
    <w:p w14:paraId="6337F6B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4.4甲方允许乙方在项目维护期间带领客户到本项目现场参观学习。</w:t>
      </w:r>
    </w:p>
    <w:p w14:paraId="18744C72">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4.5维护期间设备运行产生的电费均由甲方承担。</w:t>
      </w:r>
    </w:p>
    <w:p w14:paraId="32E6D4E7">
      <w:pPr>
        <w:spacing w:before="120" w:after="120" w:line="360" w:lineRule="auto"/>
        <w:rPr>
          <w:rFonts w:hint="eastAsia" w:ascii="宋体" w:hAnsi="宋体" w:eastAsia="宋体" w:cs="宋体"/>
          <w:sz w:val="24"/>
          <w:szCs w:val="24"/>
        </w:rPr>
      </w:pPr>
      <w:r>
        <w:rPr>
          <w:rFonts w:hint="eastAsia" w:ascii="宋体" w:hAnsi="宋体" w:eastAsia="宋体" w:cs="宋体"/>
          <w:b/>
          <w:sz w:val="24"/>
          <w:szCs w:val="24"/>
        </w:rPr>
        <w:t>五、乙方责任</w:t>
      </w:r>
    </w:p>
    <w:p w14:paraId="06A00551">
      <w:pPr>
        <w:spacing w:line="360" w:lineRule="auto"/>
        <w:ind w:firstLine="480"/>
        <w:outlineLvl w:val="9"/>
        <w:rPr>
          <w:rFonts w:hint="eastAsia" w:ascii="宋体" w:hAnsi="宋体" w:eastAsia="宋体" w:cs="宋体"/>
          <w:sz w:val="24"/>
          <w:szCs w:val="24"/>
        </w:rPr>
      </w:pPr>
      <w:bookmarkStart w:id="21" w:name="_Toc19487"/>
      <w:r>
        <w:rPr>
          <w:rFonts w:hint="eastAsia" w:ascii="宋体" w:hAnsi="宋体" w:eastAsia="宋体" w:cs="宋体"/>
          <w:sz w:val="24"/>
          <w:szCs w:val="24"/>
        </w:rPr>
        <w:t>5.1乙方负责在维护期内对水质进行的处理、接受甲方及其物管人员对水面的监管。</w:t>
      </w:r>
      <w:bookmarkEnd w:id="21"/>
    </w:p>
    <w:p w14:paraId="5E9B82D4">
      <w:pPr>
        <w:spacing w:line="360" w:lineRule="auto"/>
        <w:ind w:firstLine="480"/>
        <w:outlineLvl w:val="9"/>
        <w:rPr>
          <w:rFonts w:hint="eastAsia" w:ascii="宋体" w:hAnsi="宋体" w:eastAsia="宋体" w:cs="宋体"/>
          <w:sz w:val="24"/>
          <w:szCs w:val="24"/>
        </w:rPr>
      </w:pPr>
      <w:bookmarkStart w:id="22" w:name="_Toc11479"/>
      <w:r>
        <w:rPr>
          <w:rFonts w:hint="eastAsia" w:ascii="宋体" w:hAnsi="宋体" w:eastAsia="宋体" w:cs="宋体"/>
          <w:sz w:val="24"/>
          <w:szCs w:val="24"/>
        </w:rPr>
        <w:t>5.2如发生水草病害等原因需要补种的，均由乙方负责。</w:t>
      </w:r>
      <w:bookmarkEnd w:id="22"/>
    </w:p>
    <w:p w14:paraId="25CD865C">
      <w:pPr>
        <w:spacing w:line="360" w:lineRule="auto"/>
        <w:ind w:firstLine="480"/>
        <w:outlineLvl w:val="9"/>
        <w:rPr>
          <w:rFonts w:hint="eastAsia" w:ascii="宋体" w:hAnsi="宋体" w:eastAsia="宋体" w:cs="宋体"/>
          <w:sz w:val="24"/>
          <w:szCs w:val="24"/>
        </w:rPr>
      </w:pPr>
      <w:bookmarkStart w:id="23" w:name="_Toc17463"/>
      <w:r>
        <w:rPr>
          <w:rFonts w:hint="eastAsia" w:ascii="宋体" w:hAnsi="宋体" w:eastAsia="宋体" w:cs="宋体"/>
          <w:sz w:val="24"/>
          <w:szCs w:val="24"/>
        </w:rPr>
        <w:t>另注：在维护期内如遇塌坡、溃堤、洪水、地震、外来污染、台风等不可抗力事件或非因乙方原因对水体造成破坏，乙方不承担相关责任。不可抗力或非正常情形消除后，甲方如需将水体恢复到不可抗力发生前的标准，双方就损毁的程度以及修复的费用达成一致，并相关费用由甲方支付后乙方实施修复工作。</w:t>
      </w:r>
      <w:bookmarkEnd w:id="23"/>
    </w:p>
    <w:p w14:paraId="49360C18">
      <w:pPr>
        <w:spacing w:line="360" w:lineRule="auto"/>
        <w:outlineLvl w:val="9"/>
        <w:rPr>
          <w:rFonts w:hint="eastAsia" w:ascii="宋体" w:hAnsi="宋体" w:eastAsia="宋体" w:cs="宋体"/>
          <w:b/>
          <w:bCs/>
          <w:sz w:val="24"/>
          <w:szCs w:val="24"/>
        </w:rPr>
      </w:pPr>
      <w:bookmarkStart w:id="24" w:name="_Toc32370"/>
      <w:r>
        <w:rPr>
          <w:rFonts w:hint="eastAsia" w:ascii="宋体" w:hAnsi="宋体" w:eastAsia="宋体" w:cs="宋体"/>
          <w:b/>
          <w:bCs/>
          <w:sz w:val="24"/>
          <w:szCs w:val="24"/>
        </w:rPr>
        <w:t>六、知识产权保护</w:t>
      </w:r>
      <w:bookmarkEnd w:id="24"/>
    </w:p>
    <w:p w14:paraId="57A6DFA1">
      <w:pPr>
        <w:spacing w:line="360" w:lineRule="auto"/>
        <w:ind w:firstLine="480"/>
        <w:outlineLvl w:val="9"/>
        <w:rPr>
          <w:rFonts w:hint="eastAsia" w:ascii="宋体" w:hAnsi="宋体" w:eastAsia="宋体" w:cs="宋体"/>
          <w:bCs/>
          <w:sz w:val="24"/>
          <w:szCs w:val="24"/>
        </w:rPr>
      </w:pPr>
      <w:bookmarkStart w:id="25" w:name="_Toc2011"/>
      <w:r>
        <w:rPr>
          <w:rFonts w:hint="eastAsia" w:ascii="宋体" w:hAnsi="宋体" w:eastAsia="宋体" w:cs="宋体"/>
          <w:bCs/>
          <w:sz w:val="24"/>
          <w:szCs w:val="24"/>
        </w:rPr>
        <w:t>6.1本项目所采用的技术方案为乙方所有，甲方不得复制该技术方案，亦不得将该技术方案告知任何第三方，为实现本协议目的的除外。</w:t>
      </w:r>
      <w:bookmarkEnd w:id="25"/>
    </w:p>
    <w:p w14:paraId="109FD8FF">
      <w:pPr>
        <w:spacing w:line="360" w:lineRule="auto"/>
        <w:ind w:firstLine="480"/>
        <w:outlineLvl w:val="9"/>
        <w:rPr>
          <w:rFonts w:hint="eastAsia" w:ascii="宋体" w:hAnsi="宋体" w:eastAsia="宋体" w:cs="宋体"/>
          <w:bCs/>
          <w:sz w:val="24"/>
          <w:szCs w:val="24"/>
        </w:rPr>
      </w:pPr>
      <w:bookmarkStart w:id="26" w:name="_Toc22465"/>
      <w:r>
        <w:rPr>
          <w:rFonts w:hint="eastAsia" w:ascii="宋体" w:hAnsi="宋体" w:eastAsia="宋体" w:cs="宋体"/>
          <w:bCs/>
          <w:sz w:val="24"/>
          <w:szCs w:val="24"/>
        </w:rPr>
        <w:t>6.2乙方用于本工程的所有材料仅为本工程服务和甲方关联企业开发项目服务，甲方不得以任何方式提取样本用于进行科学研究等与本协议约定不符的用途。</w:t>
      </w:r>
      <w:bookmarkEnd w:id="26"/>
    </w:p>
    <w:p w14:paraId="31E4C8E3">
      <w:pPr>
        <w:spacing w:line="360" w:lineRule="auto"/>
        <w:ind w:firstLine="480"/>
        <w:outlineLvl w:val="9"/>
        <w:rPr>
          <w:rFonts w:hint="eastAsia" w:ascii="宋体" w:hAnsi="宋体" w:eastAsia="宋体" w:cs="宋体"/>
          <w:bCs/>
          <w:sz w:val="24"/>
          <w:szCs w:val="24"/>
        </w:rPr>
      </w:pPr>
      <w:bookmarkStart w:id="27" w:name="_Toc9820"/>
      <w:r>
        <w:rPr>
          <w:rFonts w:hint="eastAsia" w:ascii="宋体" w:hAnsi="宋体" w:eastAsia="宋体" w:cs="宋体"/>
          <w:bCs/>
          <w:sz w:val="24"/>
          <w:szCs w:val="24"/>
        </w:rPr>
        <w:t>6.3本合同涉及的内容甲乙双方均有保密的义务。</w:t>
      </w:r>
      <w:bookmarkEnd w:id="27"/>
    </w:p>
    <w:p w14:paraId="0F578317">
      <w:pPr>
        <w:spacing w:line="360" w:lineRule="auto"/>
        <w:outlineLvl w:val="9"/>
        <w:rPr>
          <w:rFonts w:hint="eastAsia" w:ascii="宋体" w:hAnsi="宋体" w:eastAsia="宋体" w:cs="宋体"/>
          <w:b/>
          <w:bCs/>
          <w:color w:val="000000"/>
          <w:sz w:val="24"/>
          <w:szCs w:val="24"/>
        </w:rPr>
      </w:pPr>
      <w:bookmarkStart w:id="28" w:name="_Toc14229"/>
      <w:r>
        <w:rPr>
          <w:rFonts w:hint="eastAsia" w:ascii="宋体" w:hAnsi="宋体" w:eastAsia="宋体" w:cs="宋体"/>
          <w:b/>
          <w:bCs/>
          <w:sz w:val="24"/>
          <w:szCs w:val="24"/>
        </w:rPr>
        <w:t>七、</w:t>
      </w:r>
      <w:r>
        <w:rPr>
          <w:rFonts w:hint="eastAsia" w:ascii="宋体" w:hAnsi="宋体" w:eastAsia="宋体" w:cs="宋体"/>
          <w:b/>
          <w:bCs/>
          <w:color w:val="000000"/>
          <w:sz w:val="24"/>
          <w:szCs w:val="24"/>
        </w:rPr>
        <w:t>合同生效</w:t>
      </w:r>
      <w:bookmarkEnd w:id="28"/>
      <w:r>
        <w:rPr>
          <w:rFonts w:hint="eastAsia" w:ascii="宋体" w:hAnsi="宋体" w:eastAsia="宋体" w:cs="宋体"/>
          <w:b/>
          <w:bCs/>
          <w:color w:val="000000"/>
          <w:sz w:val="24"/>
          <w:szCs w:val="24"/>
        </w:rPr>
        <w:t xml:space="preserve">   </w:t>
      </w:r>
    </w:p>
    <w:p w14:paraId="52CB4B5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7.1合同订立时间：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w:t>
      </w:r>
    </w:p>
    <w:p w14:paraId="18D29181">
      <w:pPr>
        <w:spacing w:line="360" w:lineRule="auto"/>
        <w:ind w:firstLine="480"/>
        <w:rPr>
          <w:rFonts w:hint="eastAsia" w:ascii="宋体" w:hAnsi="宋体" w:eastAsia="宋体" w:cs="宋体"/>
          <w:color w:val="000000"/>
          <w:sz w:val="24"/>
          <w:szCs w:val="24"/>
          <w:u w:val="single"/>
        </w:rPr>
      </w:pPr>
      <w:r>
        <w:rPr>
          <w:rFonts w:hint="eastAsia" w:ascii="宋体" w:hAnsi="宋体" w:eastAsia="宋体" w:cs="宋体"/>
          <w:color w:val="000000"/>
          <w:sz w:val="24"/>
          <w:szCs w:val="24"/>
        </w:rPr>
        <w:t>7.2合同订立地点：</w:t>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r>
        <w:rPr>
          <w:rFonts w:hint="eastAsia" w:ascii="宋体" w:hAnsi="宋体" w:eastAsia="宋体" w:cs="宋体"/>
          <w:color w:val="000000"/>
          <w:sz w:val="24"/>
          <w:szCs w:val="24"/>
          <w:u w:val="single"/>
        </w:rPr>
        <w:tab/>
      </w:r>
    </w:p>
    <w:p w14:paraId="43B0CA0A">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7.3本合同双方约定</w:t>
      </w:r>
      <w:r>
        <w:rPr>
          <w:rFonts w:hint="eastAsia" w:ascii="宋体" w:hAnsi="宋体" w:eastAsia="宋体" w:cs="宋体"/>
          <w:color w:val="000000"/>
          <w:sz w:val="24"/>
          <w:szCs w:val="24"/>
          <w:u w:val="single"/>
        </w:rPr>
        <w:t xml:space="preserve">  签字、盖章 </w:t>
      </w:r>
      <w:r>
        <w:rPr>
          <w:rFonts w:hint="eastAsia" w:ascii="宋体" w:hAnsi="宋体" w:eastAsia="宋体" w:cs="宋体"/>
          <w:color w:val="000000"/>
          <w:sz w:val="24"/>
          <w:szCs w:val="24"/>
        </w:rPr>
        <w:t>，见证方盖章后生效。</w:t>
      </w:r>
    </w:p>
    <w:p w14:paraId="2AAE9FBE">
      <w:pPr>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八、合同份数</w:t>
      </w:r>
    </w:p>
    <w:p w14:paraId="2218C032">
      <w:pPr>
        <w:tabs>
          <w:tab w:val="left" w:pos="210"/>
          <w:tab w:val="left" w:pos="735"/>
          <w:tab w:val="left" w:pos="1155"/>
        </w:tabs>
        <w:spacing w:line="360" w:lineRule="auto"/>
        <w:ind w:firstLine="480"/>
        <w:rPr>
          <w:rFonts w:hint="eastAsia" w:ascii="宋体" w:hAnsi="宋体" w:eastAsia="宋体" w:cs="宋体"/>
          <w:bCs/>
          <w:sz w:val="24"/>
          <w:szCs w:val="24"/>
        </w:rPr>
      </w:pPr>
      <w:r>
        <w:rPr>
          <w:rFonts w:hint="eastAsia" w:ascii="宋体" w:hAnsi="宋体" w:eastAsia="宋体" w:cs="宋体"/>
          <w:color w:val="000000"/>
          <w:sz w:val="24"/>
          <w:szCs w:val="24"/>
        </w:rPr>
        <w:t>本合</w:t>
      </w:r>
      <w:r>
        <w:rPr>
          <w:rFonts w:hint="eastAsia" w:ascii="宋体" w:hAnsi="宋体" w:eastAsia="宋体" w:cs="宋体"/>
          <w:bCs/>
          <w:sz w:val="24"/>
          <w:szCs w:val="24"/>
        </w:rPr>
        <w:t>同一式伍份，供需双方各执二份，见证方一份。</w:t>
      </w:r>
    </w:p>
    <w:p w14:paraId="7E55F8EA">
      <w:pPr>
        <w:tabs>
          <w:tab w:val="left" w:pos="4700"/>
        </w:tabs>
        <w:spacing w:line="360" w:lineRule="auto"/>
        <w:ind w:firstLine="490"/>
        <w:rPr>
          <w:rFonts w:hint="eastAsia" w:ascii="宋体" w:hAnsi="宋体" w:eastAsia="宋体" w:cs="宋体"/>
          <w:color w:val="000000"/>
          <w:sz w:val="24"/>
          <w:szCs w:val="24"/>
        </w:rPr>
      </w:pPr>
      <w:r>
        <w:rPr>
          <w:rFonts w:hint="eastAsia" w:ascii="宋体" w:hAnsi="宋体" w:eastAsia="宋体" w:cs="宋体"/>
          <w:color w:val="000000"/>
          <w:sz w:val="24"/>
          <w:szCs w:val="24"/>
        </w:rPr>
        <w:t>甲        方：（公章）</w:t>
      </w:r>
      <w:r>
        <w:rPr>
          <w:rFonts w:hint="eastAsia" w:ascii="宋体" w:hAnsi="宋体" w:eastAsia="宋体" w:cs="宋体"/>
          <w:color w:val="000000"/>
          <w:sz w:val="24"/>
          <w:szCs w:val="24"/>
        </w:rPr>
        <w:tab/>
      </w:r>
      <w:r>
        <w:rPr>
          <w:rFonts w:hint="eastAsia" w:ascii="宋体" w:hAnsi="宋体" w:eastAsia="宋体" w:cs="宋体"/>
          <w:color w:val="000000"/>
          <w:sz w:val="24"/>
          <w:szCs w:val="24"/>
        </w:rPr>
        <w:t>乙方</w:t>
      </w:r>
      <w:r>
        <w:rPr>
          <w:rFonts w:hint="eastAsia" w:ascii="宋体" w:hAnsi="宋体" w:eastAsia="宋体" w:cs="宋体"/>
          <w:color w:val="000000"/>
          <w:sz w:val="24"/>
          <w:szCs w:val="24"/>
          <w:lang w:eastAsia="zh-CN"/>
        </w:rPr>
        <w:t>：</w:t>
      </w:r>
      <w:r>
        <w:rPr>
          <w:rFonts w:hint="eastAsia" w:ascii="宋体" w:hAnsi="宋体" w:cs="宋体"/>
          <w:color w:val="000000"/>
          <w:sz w:val="24"/>
          <w:szCs w:val="24"/>
          <w:lang w:eastAsia="zh-CN"/>
        </w:rPr>
        <w:t>（</w:t>
      </w:r>
      <w:r>
        <w:rPr>
          <w:rFonts w:hint="eastAsia" w:ascii="宋体" w:hAnsi="宋体" w:eastAsia="宋体" w:cs="宋体"/>
          <w:color w:val="000000"/>
          <w:sz w:val="24"/>
          <w:szCs w:val="24"/>
        </w:rPr>
        <w:t>公章</w:t>
      </w:r>
      <w:r>
        <w:rPr>
          <w:rFonts w:hint="eastAsia" w:ascii="宋体" w:hAnsi="宋体" w:cs="宋体"/>
          <w:color w:val="000000"/>
          <w:sz w:val="24"/>
          <w:szCs w:val="24"/>
          <w:lang w:eastAsia="zh-CN"/>
        </w:rPr>
        <w:t>）</w:t>
      </w:r>
    </w:p>
    <w:p w14:paraId="259A1D12">
      <w:pPr>
        <w:tabs>
          <w:tab w:val="left" w:pos="4700"/>
        </w:tabs>
        <w:spacing w:line="360" w:lineRule="auto"/>
        <w:ind w:firstLine="49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地        址：</w:t>
      </w:r>
      <w:r>
        <w:rPr>
          <w:rFonts w:hint="eastAsia" w:ascii="宋体" w:hAnsi="宋体" w:eastAsia="宋体" w:cs="宋体"/>
          <w:color w:val="000000"/>
          <w:sz w:val="24"/>
          <w:szCs w:val="24"/>
        </w:rPr>
        <w:tab/>
      </w:r>
      <w:r>
        <w:rPr>
          <w:rFonts w:hint="eastAsia" w:ascii="宋体" w:hAnsi="宋体" w:eastAsia="宋体" w:cs="宋体"/>
          <w:color w:val="000000"/>
          <w:sz w:val="24"/>
          <w:szCs w:val="24"/>
        </w:rPr>
        <w:t>地址：</w:t>
      </w:r>
    </w:p>
    <w:p w14:paraId="2304158F">
      <w:pPr>
        <w:tabs>
          <w:tab w:val="left" w:pos="4700"/>
        </w:tabs>
        <w:spacing w:line="360" w:lineRule="auto"/>
        <w:ind w:firstLine="490"/>
        <w:rPr>
          <w:rFonts w:hint="eastAsia" w:ascii="宋体" w:hAnsi="宋体" w:eastAsia="宋体" w:cs="宋体"/>
          <w:color w:val="000000"/>
          <w:sz w:val="24"/>
          <w:szCs w:val="24"/>
        </w:rPr>
      </w:pPr>
      <w:r>
        <w:rPr>
          <w:rFonts w:hint="eastAsia" w:ascii="宋体" w:hAnsi="宋体" w:eastAsia="宋体" w:cs="宋体"/>
          <w:color w:val="000000"/>
          <w:sz w:val="24"/>
          <w:szCs w:val="24"/>
        </w:rPr>
        <w:t>法定代表人：（签字）</w:t>
      </w:r>
      <w:r>
        <w:rPr>
          <w:rFonts w:hint="eastAsia" w:ascii="宋体" w:hAnsi="宋体" w:eastAsia="宋体" w:cs="宋体"/>
          <w:color w:val="000000"/>
          <w:sz w:val="24"/>
          <w:szCs w:val="24"/>
        </w:rPr>
        <w:tab/>
      </w:r>
      <w:r>
        <w:rPr>
          <w:rFonts w:hint="eastAsia" w:ascii="宋体" w:hAnsi="宋体" w:eastAsia="宋体" w:cs="宋体"/>
          <w:color w:val="000000"/>
          <w:sz w:val="24"/>
          <w:szCs w:val="24"/>
        </w:rPr>
        <w:t>法定代表人：（签字）</w:t>
      </w:r>
    </w:p>
    <w:p w14:paraId="553E663A">
      <w:pPr>
        <w:tabs>
          <w:tab w:val="left" w:pos="4700"/>
        </w:tabs>
        <w:spacing w:line="360" w:lineRule="auto"/>
        <w:ind w:firstLine="490"/>
        <w:rPr>
          <w:rFonts w:hint="eastAsia" w:ascii="宋体" w:hAnsi="宋体" w:eastAsia="宋体" w:cs="宋体"/>
          <w:color w:val="000000"/>
          <w:sz w:val="24"/>
          <w:szCs w:val="24"/>
        </w:rPr>
      </w:pPr>
      <w:r>
        <w:rPr>
          <w:rFonts w:hint="eastAsia" w:ascii="宋体" w:hAnsi="宋体" w:eastAsia="宋体" w:cs="宋体"/>
          <w:color w:val="000000"/>
          <w:sz w:val="24"/>
          <w:szCs w:val="24"/>
        </w:rPr>
        <w:t>联  系  人：（签字）</w:t>
      </w:r>
      <w:r>
        <w:rPr>
          <w:rFonts w:hint="eastAsia" w:ascii="宋体" w:hAnsi="宋体" w:eastAsia="宋体" w:cs="宋体"/>
          <w:color w:val="000000"/>
          <w:sz w:val="24"/>
          <w:szCs w:val="24"/>
        </w:rPr>
        <w:tab/>
      </w:r>
      <w:r>
        <w:rPr>
          <w:rFonts w:hint="eastAsia" w:ascii="宋体" w:hAnsi="宋体" w:eastAsia="宋体" w:cs="宋体"/>
          <w:color w:val="000000"/>
          <w:sz w:val="24"/>
          <w:szCs w:val="24"/>
        </w:rPr>
        <w:t>联  系  人：（签字）</w:t>
      </w:r>
    </w:p>
    <w:p w14:paraId="21D23F49">
      <w:pPr>
        <w:tabs>
          <w:tab w:val="left" w:pos="4700"/>
        </w:tabs>
        <w:spacing w:line="360" w:lineRule="auto"/>
        <w:ind w:firstLine="490"/>
        <w:rPr>
          <w:rFonts w:hint="eastAsia" w:ascii="宋体" w:hAnsi="宋体" w:eastAsia="宋体" w:cs="宋体"/>
          <w:color w:val="000000"/>
          <w:sz w:val="24"/>
          <w:szCs w:val="24"/>
        </w:rPr>
      </w:pPr>
      <w:r>
        <w:rPr>
          <w:rFonts w:hint="eastAsia" w:ascii="宋体" w:hAnsi="宋体" w:eastAsia="宋体" w:cs="宋体"/>
          <w:color w:val="000000"/>
          <w:sz w:val="24"/>
          <w:szCs w:val="24"/>
        </w:rPr>
        <w:t>电        话：</w:t>
      </w:r>
      <w:r>
        <w:rPr>
          <w:rFonts w:hint="eastAsia" w:ascii="宋体" w:hAnsi="宋体" w:eastAsia="宋体" w:cs="宋体"/>
          <w:color w:val="000000"/>
          <w:sz w:val="24"/>
          <w:szCs w:val="24"/>
        </w:rPr>
        <w:tab/>
      </w:r>
      <w:r>
        <w:rPr>
          <w:rFonts w:hint="eastAsia" w:ascii="宋体" w:hAnsi="宋体" w:eastAsia="宋体" w:cs="宋体"/>
          <w:color w:val="000000"/>
          <w:sz w:val="24"/>
          <w:szCs w:val="24"/>
        </w:rPr>
        <w:t>电        话：</w:t>
      </w:r>
    </w:p>
    <w:p w14:paraId="0DA98E1D">
      <w:pPr>
        <w:tabs>
          <w:tab w:val="left" w:pos="4700"/>
        </w:tabs>
        <w:spacing w:line="360" w:lineRule="auto"/>
        <w:ind w:firstLine="49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传        真：</w:t>
      </w:r>
      <w:r>
        <w:rPr>
          <w:rFonts w:hint="eastAsia" w:ascii="宋体" w:hAnsi="宋体" w:eastAsia="宋体" w:cs="宋体"/>
          <w:color w:val="000000"/>
          <w:sz w:val="24"/>
          <w:szCs w:val="24"/>
        </w:rPr>
        <w:tab/>
      </w:r>
      <w:r>
        <w:rPr>
          <w:rFonts w:hint="eastAsia" w:ascii="宋体" w:hAnsi="宋体" w:eastAsia="宋体" w:cs="宋体"/>
          <w:color w:val="000000"/>
          <w:sz w:val="24"/>
          <w:szCs w:val="24"/>
        </w:rPr>
        <w:t>传        真：</w:t>
      </w:r>
    </w:p>
    <w:p w14:paraId="3A755BC7">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年   月   日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年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月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日</w:t>
      </w:r>
    </w:p>
    <w:p w14:paraId="7472CEC5">
      <w:pPr>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见证方：                （盖章）       </w:t>
      </w:r>
      <w:r>
        <w:rPr>
          <w:rFonts w:hint="eastAsia" w:ascii="宋体" w:hAnsi="宋体" w:eastAsia="宋体" w:cs="宋体"/>
          <w:bCs/>
          <w:sz w:val="24"/>
          <w:szCs w:val="24"/>
          <w:lang w:val="en-US" w:eastAsia="zh-CN"/>
        </w:rPr>
        <w:t>乙</w:t>
      </w:r>
      <w:r>
        <w:rPr>
          <w:rFonts w:hint="eastAsia" w:ascii="宋体" w:hAnsi="宋体" w:eastAsia="宋体" w:cs="宋体"/>
          <w:bCs/>
          <w:sz w:val="24"/>
          <w:szCs w:val="24"/>
        </w:rPr>
        <w:t>方户名：</w:t>
      </w:r>
    </w:p>
    <w:p w14:paraId="3EBE77F3">
      <w:pPr>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乙</w:t>
      </w:r>
      <w:r>
        <w:rPr>
          <w:rFonts w:hint="eastAsia" w:ascii="宋体" w:hAnsi="宋体" w:eastAsia="宋体" w:cs="宋体"/>
          <w:bCs/>
          <w:sz w:val="24"/>
          <w:szCs w:val="24"/>
        </w:rPr>
        <w:t>方开户银行</w:t>
      </w:r>
      <w:r>
        <w:rPr>
          <w:rFonts w:hint="eastAsia" w:ascii="宋体" w:hAnsi="宋体" w:cs="宋体"/>
          <w:bCs/>
          <w:sz w:val="24"/>
          <w:szCs w:val="24"/>
          <w:lang w:eastAsia="zh-CN"/>
        </w:rPr>
        <w:t>：</w:t>
      </w:r>
    </w:p>
    <w:p w14:paraId="53488BCC">
      <w:pP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 </w:t>
      </w:r>
      <w:r>
        <w:rPr>
          <w:rFonts w:hint="eastAsia" w:ascii="宋体" w:hAnsi="宋体" w:eastAsia="宋体" w:cs="宋体"/>
          <w:bCs/>
          <w:sz w:val="24"/>
          <w:szCs w:val="24"/>
          <w:lang w:val="en-US" w:eastAsia="zh-CN"/>
        </w:rPr>
        <w:t>乙</w:t>
      </w:r>
      <w:r>
        <w:rPr>
          <w:rFonts w:hint="eastAsia" w:ascii="宋体" w:hAnsi="宋体" w:eastAsia="宋体" w:cs="宋体"/>
          <w:bCs/>
          <w:sz w:val="24"/>
          <w:szCs w:val="24"/>
        </w:rPr>
        <w:t>方</w:t>
      </w:r>
      <w:r>
        <w:rPr>
          <w:rFonts w:hint="eastAsia" w:ascii="宋体" w:hAnsi="宋体" w:cs="宋体"/>
          <w:bCs/>
          <w:sz w:val="24"/>
          <w:szCs w:val="24"/>
          <w:lang w:eastAsia="zh-CN"/>
        </w:rPr>
        <w:t>账号</w:t>
      </w:r>
      <w:r>
        <w:rPr>
          <w:rFonts w:hint="eastAsia" w:ascii="宋体" w:hAnsi="宋体" w:eastAsia="宋体" w:cs="宋体"/>
          <w:bCs/>
          <w:sz w:val="24"/>
          <w:szCs w:val="24"/>
        </w:rPr>
        <w:t>：</w:t>
      </w:r>
    </w:p>
    <w:p w14:paraId="2544914E">
      <w:pPr>
        <w:spacing w:line="360" w:lineRule="auto"/>
        <w:rPr>
          <w:rFonts w:hint="eastAsia" w:ascii="宋体" w:hAnsi="宋体" w:cs="宋体"/>
        </w:rPr>
      </w:pPr>
    </w:p>
    <w:p w14:paraId="3F464E69">
      <w:pPr>
        <w:rPr>
          <w:rFonts w:hint="eastAsia" w:ascii="宋体" w:hAnsi="宋体" w:cs="宋体"/>
          <w:b/>
          <w:sz w:val="32"/>
          <w:szCs w:val="32"/>
        </w:rPr>
      </w:pPr>
      <w:r>
        <w:rPr>
          <w:rFonts w:hint="eastAsia" w:ascii="宋体" w:hAnsi="宋体" w:cs="宋体"/>
          <w:b/>
          <w:sz w:val="32"/>
          <w:szCs w:val="32"/>
        </w:rPr>
        <w:br w:type="page"/>
      </w:r>
    </w:p>
    <w:p w14:paraId="1F60ED9C">
      <w:pPr>
        <w:spacing w:line="240" w:lineRule="auto"/>
        <w:jc w:val="center"/>
        <w:rPr>
          <w:rFonts w:hint="eastAsia" w:ascii="宋体" w:hAnsi="宋体" w:cs="宋体"/>
          <w:b/>
          <w:sz w:val="32"/>
          <w:szCs w:val="32"/>
        </w:rPr>
      </w:pPr>
      <w:r>
        <w:rPr>
          <w:rFonts w:hint="eastAsia" w:ascii="宋体" w:hAnsi="宋体" w:cs="宋体"/>
          <w:b/>
          <w:sz w:val="32"/>
          <w:szCs w:val="32"/>
        </w:rPr>
        <w:t>河道保洁管理工作考核表</w:t>
      </w:r>
    </w:p>
    <w:tbl>
      <w:tblPr>
        <w:tblStyle w:val="36"/>
        <w:tblW w:w="10500" w:type="dxa"/>
        <w:tblInd w:w="93" w:type="dxa"/>
        <w:tblLayout w:type="autofit"/>
        <w:tblCellMar>
          <w:top w:w="0" w:type="dxa"/>
          <w:left w:w="108" w:type="dxa"/>
          <w:bottom w:w="0" w:type="dxa"/>
          <w:right w:w="108" w:type="dxa"/>
        </w:tblCellMar>
      </w:tblPr>
      <w:tblGrid>
        <w:gridCol w:w="772"/>
        <w:gridCol w:w="1479"/>
        <w:gridCol w:w="4199"/>
        <w:gridCol w:w="771"/>
        <w:gridCol w:w="2508"/>
        <w:gridCol w:w="771"/>
      </w:tblGrid>
      <w:tr w14:paraId="6AA8E374">
        <w:tblPrEx>
          <w:tblCellMar>
            <w:top w:w="0" w:type="dxa"/>
            <w:left w:w="108" w:type="dxa"/>
            <w:bottom w:w="0" w:type="dxa"/>
            <w:right w:w="108" w:type="dxa"/>
          </w:tblCellMar>
        </w:tblPrEx>
        <w:trPr>
          <w:trHeight w:val="405" w:hRule="atLeast"/>
        </w:trPr>
        <w:tc>
          <w:tcPr>
            <w:tcW w:w="10500" w:type="dxa"/>
            <w:gridSpan w:val="6"/>
            <w:tcBorders>
              <w:top w:val="nil"/>
              <w:left w:val="nil"/>
              <w:bottom w:val="single" w:color="auto" w:sz="4" w:space="0"/>
              <w:right w:val="nil"/>
            </w:tcBorders>
            <w:noWrap/>
            <w:vAlign w:val="bottom"/>
          </w:tcPr>
          <w:p w14:paraId="78D5A2E9">
            <w:pPr>
              <w:spacing w:line="240" w:lineRule="auto"/>
              <w:rPr>
                <w:rFonts w:ascii="宋体" w:hAnsi="宋体" w:cs="宋体"/>
                <w:b/>
                <w:color w:val="000000"/>
                <w:sz w:val="32"/>
                <w:szCs w:val="32"/>
              </w:rPr>
            </w:pPr>
          </w:p>
        </w:tc>
      </w:tr>
      <w:tr w14:paraId="2293BE34">
        <w:tblPrEx>
          <w:tblCellMar>
            <w:top w:w="0" w:type="dxa"/>
            <w:left w:w="108" w:type="dxa"/>
            <w:bottom w:w="0" w:type="dxa"/>
            <w:right w:w="108" w:type="dxa"/>
          </w:tblCellMar>
        </w:tblPrEx>
        <w:trPr>
          <w:trHeight w:val="270" w:hRule="atLeast"/>
        </w:trPr>
        <w:tc>
          <w:tcPr>
            <w:tcW w:w="772" w:type="dxa"/>
            <w:tcBorders>
              <w:top w:val="nil"/>
              <w:left w:val="single" w:color="auto" w:sz="4" w:space="0"/>
              <w:bottom w:val="single" w:color="auto" w:sz="4" w:space="0"/>
              <w:right w:val="single" w:color="auto" w:sz="4" w:space="0"/>
            </w:tcBorders>
            <w:noWrap/>
            <w:vAlign w:val="center"/>
          </w:tcPr>
          <w:p w14:paraId="66B23E0D">
            <w:pPr>
              <w:widowControl/>
              <w:spacing w:line="240" w:lineRule="auto"/>
              <w:jc w:val="center"/>
              <w:rPr>
                <w:rFonts w:ascii="宋体" w:hAnsi="宋体" w:cs="宋体"/>
                <w:b/>
                <w:bCs/>
                <w:color w:val="000000"/>
                <w:sz w:val="22"/>
                <w:szCs w:val="22"/>
              </w:rPr>
            </w:pPr>
            <w:r>
              <w:rPr>
                <w:rFonts w:hint="eastAsia" w:ascii="宋体" w:hAnsi="宋体" w:cs="宋体"/>
                <w:b/>
                <w:bCs/>
                <w:color w:val="000000"/>
                <w:sz w:val="22"/>
                <w:szCs w:val="22"/>
              </w:rPr>
              <w:t>序号</w:t>
            </w:r>
          </w:p>
        </w:tc>
        <w:tc>
          <w:tcPr>
            <w:tcW w:w="1479" w:type="dxa"/>
            <w:tcBorders>
              <w:top w:val="nil"/>
              <w:left w:val="nil"/>
              <w:bottom w:val="single" w:color="auto" w:sz="4" w:space="0"/>
              <w:right w:val="single" w:color="auto" w:sz="4" w:space="0"/>
            </w:tcBorders>
            <w:noWrap w:val="0"/>
            <w:vAlign w:val="center"/>
          </w:tcPr>
          <w:p w14:paraId="11C78705">
            <w:pPr>
              <w:widowControl/>
              <w:spacing w:line="240" w:lineRule="auto"/>
              <w:jc w:val="center"/>
              <w:rPr>
                <w:rFonts w:ascii="宋体" w:hAnsi="宋体" w:cs="宋体"/>
                <w:b/>
                <w:bCs/>
                <w:color w:val="000000"/>
                <w:sz w:val="22"/>
                <w:szCs w:val="22"/>
              </w:rPr>
            </w:pPr>
            <w:r>
              <w:rPr>
                <w:rFonts w:hint="eastAsia" w:ascii="宋体" w:hAnsi="宋体" w:cs="宋体"/>
                <w:b/>
                <w:bCs/>
                <w:color w:val="000000"/>
                <w:sz w:val="22"/>
                <w:szCs w:val="22"/>
              </w:rPr>
              <w:t>考核内容</w:t>
            </w:r>
          </w:p>
        </w:tc>
        <w:tc>
          <w:tcPr>
            <w:tcW w:w="4199" w:type="dxa"/>
            <w:tcBorders>
              <w:top w:val="nil"/>
              <w:left w:val="nil"/>
              <w:bottom w:val="single" w:color="auto" w:sz="4" w:space="0"/>
              <w:right w:val="single" w:color="auto" w:sz="4" w:space="0"/>
            </w:tcBorders>
            <w:noWrap w:val="0"/>
            <w:vAlign w:val="center"/>
          </w:tcPr>
          <w:p w14:paraId="0F0A8D78">
            <w:pPr>
              <w:widowControl/>
              <w:spacing w:line="240" w:lineRule="auto"/>
              <w:jc w:val="center"/>
              <w:rPr>
                <w:rFonts w:ascii="宋体" w:hAnsi="宋体" w:cs="宋体"/>
                <w:b/>
                <w:bCs/>
                <w:color w:val="000000"/>
                <w:sz w:val="22"/>
                <w:szCs w:val="22"/>
              </w:rPr>
            </w:pPr>
            <w:r>
              <w:rPr>
                <w:rFonts w:hint="eastAsia" w:ascii="宋体" w:hAnsi="宋体" w:cs="宋体"/>
                <w:b/>
                <w:bCs/>
                <w:color w:val="000000"/>
                <w:sz w:val="22"/>
                <w:szCs w:val="22"/>
              </w:rPr>
              <w:t>考核标准</w:t>
            </w:r>
          </w:p>
        </w:tc>
        <w:tc>
          <w:tcPr>
            <w:tcW w:w="771" w:type="dxa"/>
            <w:tcBorders>
              <w:top w:val="nil"/>
              <w:left w:val="nil"/>
              <w:bottom w:val="single" w:color="auto" w:sz="4" w:space="0"/>
              <w:right w:val="single" w:color="auto" w:sz="4" w:space="0"/>
            </w:tcBorders>
            <w:noWrap/>
            <w:vAlign w:val="center"/>
          </w:tcPr>
          <w:p w14:paraId="023B387C">
            <w:pPr>
              <w:widowControl/>
              <w:spacing w:line="240" w:lineRule="auto"/>
              <w:jc w:val="center"/>
              <w:rPr>
                <w:rFonts w:ascii="宋体" w:hAnsi="宋体" w:cs="宋体"/>
                <w:b/>
                <w:bCs/>
                <w:color w:val="000000"/>
                <w:sz w:val="22"/>
                <w:szCs w:val="22"/>
              </w:rPr>
            </w:pPr>
            <w:r>
              <w:rPr>
                <w:rFonts w:hint="eastAsia" w:ascii="宋体" w:hAnsi="宋体" w:cs="宋体"/>
                <w:b/>
                <w:bCs/>
                <w:color w:val="000000"/>
                <w:sz w:val="22"/>
                <w:szCs w:val="22"/>
              </w:rPr>
              <w:t>分值</w:t>
            </w:r>
          </w:p>
        </w:tc>
        <w:tc>
          <w:tcPr>
            <w:tcW w:w="2508" w:type="dxa"/>
            <w:tcBorders>
              <w:top w:val="nil"/>
              <w:left w:val="nil"/>
              <w:bottom w:val="single" w:color="auto" w:sz="4" w:space="0"/>
              <w:right w:val="single" w:color="auto" w:sz="4" w:space="0"/>
            </w:tcBorders>
            <w:noWrap w:val="0"/>
            <w:vAlign w:val="center"/>
          </w:tcPr>
          <w:p w14:paraId="59A73E5B">
            <w:pPr>
              <w:widowControl/>
              <w:spacing w:line="240" w:lineRule="auto"/>
              <w:jc w:val="center"/>
              <w:rPr>
                <w:rFonts w:ascii="宋体" w:hAnsi="宋体" w:cs="宋体"/>
                <w:b/>
                <w:bCs/>
                <w:color w:val="000000"/>
                <w:sz w:val="22"/>
                <w:szCs w:val="22"/>
              </w:rPr>
            </w:pPr>
            <w:r>
              <w:rPr>
                <w:rFonts w:hint="eastAsia" w:ascii="宋体" w:hAnsi="宋体" w:cs="宋体"/>
                <w:b/>
                <w:bCs/>
                <w:color w:val="000000"/>
                <w:sz w:val="22"/>
                <w:szCs w:val="22"/>
              </w:rPr>
              <w:t>考核细则</w:t>
            </w:r>
          </w:p>
        </w:tc>
        <w:tc>
          <w:tcPr>
            <w:tcW w:w="771" w:type="dxa"/>
            <w:tcBorders>
              <w:top w:val="nil"/>
              <w:left w:val="nil"/>
              <w:bottom w:val="single" w:color="auto" w:sz="4" w:space="0"/>
              <w:right w:val="single" w:color="auto" w:sz="4" w:space="0"/>
            </w:tcBorders>
            <w:noWrap/>
            <w:vAlign w:val="center"/>
          </w:tcPr>
          <w:p w14:paraId="21655B73">
            <w:pPr>
              <w:widowControl/>
              <w:spacing w:line="240" w:lineRule="auto"/>
              <w:jc w:val="center"/>
              <w:rPr>
                <w:rFonts w:ascii="宋体" w:hAnsi="宋体" w:cs="宋体"/>
                <w:b/>
                <w:bCs/>
                <w:color w:val="000000"/>
                <w:sz w:val="22"/>
                <w:szCs w:val="22"/>
              </w:rPr>
            </w:pPr>
            <w:r>
              <w:rPr>
                <w:rFonts w:hint="eastAsia" w:ascii="宋体" w:hAnsi="宋体" w:cs="宋体"/>
                <w:b/>
                <w:bCs/>
                <w:color w:val="000000"/>
                <w:sz w:val="22"/>
                <w:szCs w:val="22"/>
              </w:rPr>
              <w:t>备注</w:t>
            </w:r>
          </w:p>
        </w:tc>
      </w:tr>
      <w:tr w14:paraId="7EC7C936">
        <w:tblPrEx>
          <w:tblCellMar>
            <w:top w:w="0" w:type="dxa"/>
            <w:left w:w="108" w:type="dxa"/>
            <w:bottom w:w="0" w:type="dxa"/>
            <w:right w:w="108" w:type="dxa"/>
          </w:tblCellMar>
        </w:tblPrEx>
        <w:trPr>
          <w:trHeight w:val="1620" w:hRule="atLeast"/>
        </w:trPr>
        <w:tc>
          <w:tcPr>
            <w:tcW w:w="772" w:type="dxa"/>
            <w:vMerge w:val="restart"/>
            <w:tcBorders>
              <w:top w:val="nil"/>
              <w:left w:val="single" w:color="auto" w:sz="4" w:space="0"/>
              <w:bottom w:val="single" w:color="auto" w:sz="4" w:space="0"/>
              <w:right w:val="single" w:color="auto" w:sz="4" w:space="0"/>
            </w:tcBorders>
            <w:noWrap/>
            <w:vAlign w:val="center"/>
          </w:tcPr>
          <w:p w14:paraId="2B4B89C3">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1</w:t>
            </w:r>
          </w:p>
        </w:tc>
        <w:tc>
          <w:tcPr>
            <w:tcW w:w="1479" w:type="dxa"/>
            <w:vMerge w:val="restart"/>
            <w:tcBorders>
              <w:top w:val="nil"/>
              <w:left w:val="single" w:color="auto" w:sz="4" w:space="0"/>
              <w:bottom w:val="single" w:color="auto" w:sz="4" w:space="0"/>
              <w:right w:val="single" w:color="auto" w:sz="4" w:space="0"/>
            </w:tcBorders>
            <w:noWrap w:val="0"/>
            <w:vAlign w:val="center"/>
          </w:tcPr>
          <w:p w14:paraId="0A02FF5B">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河道保洁</w:t>
            </w:r>
            <w:r>
              <w:rPr>
                <w:rFonts w:hint="eastAsia" w:ascii="宋体" w:hAnsi="宋体" w:cs="宋体"/>
                <w:color w:val="000000"/>
                <w:sz w:val="22"/>
                <w:szCs w:val="22"/>
                <w:lang w:eastAsia="zh-CN"/>
              </w:rPr>
              <w:t>（</w:t>
            </w:r>
            <w:r>
              <w:rPr>
                <w:rFonts w:hint="eastAsia" w:ascii="宋体" w:hAnsi="宋体" w:cs="宋体"/>
                <w:color w:val="000000"/>
                <w:sz w:val="22"/>
                <w:szCs w:val="22"/>
              </w:rPr>
              <w:t>14</w:t>
            </w:r>
            <w:r>
              <w:rPr>
                <w:rFonts w:hint="eastAsia" w:ascii="宋体" w:hAnsi="宋体" w:cs="宋体"/>
                <w:color w:val="000000"/>
                <w:sz w:val="22"/>
                <w:szCs w:val="22"/>
                <w:lang w:eastAsia="zh-CN"/>
              </w:rPr>
              <w:t>）</w:t>
            </w:r>
          </w:p>
        </w:tc>
        <w:tc>
          <w:tcPr>
            <w:tcW w:w="4199" w:type="dxa"/>
            <w:tcBorders>
              <w:top w:val="nil"/>
              <w:left w:val="nil"/>
              <w:bottom w:val="single" w:color="auto" w:sz="4" w:space="0"/>
              <w:right w:val="single" w:color="auto" w:sz="4" w:space="0"/>
            </w:tcBorders>
            <w:noWrap w:val="0"/>
            <w:vAlign w:val="center"/>
          </w:tcPr>
          <w:p w14:paraId="7279D89E">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1、执行卫生保洁制度、定期打扫，河面及两岸3</w:t>
            </w:r>
            <w:r>
              <w:rPr>
                <w:rFonts w:hint="eastAsia" w:ascii="宋体" w:hAnsi="宋体" w:cs="宋体"/>
                <w:color w:val="000000"/>
                <w:sz w:val="22"/>
                <w:szCs w:val="22"/>
                <w:lang w:eastAsia="zh-CN"/>
              </w:rPr>
              <w:t>—</w:t>
            </w:r>
            <w:r>
              <w:rPr>
                <w:rFonts w:hint="eastAsia" w:ascii="宋体" w:hAnsi="宋体" w:cs="宋体"/>
                <w:color w:val="000000"/>
                <w:sz w:val="22"/>
                <w:szCs w:val="22"/>
              </w:rPr>
              <w:t>5m范围岸线护坡整洁，水面及浮床无白色垃圾、落叶等漂浮物，内河水面无蓝藻聚集，杂物、垃圾滞留时间不超过3小时，及时清运并闭环处理。主要桥梁、通道视野范围内无漂浮物，河道整体感官良好。</w:t>
            </w:r>
          </w:p>
        </w:tc>
        <w:tc>
          <w:tcPr>
            <w:tcW w:w="771" w:type="dxa"/>
            <w:tcBorders>
              <w:top w:val="nil"/>
              <w:left w:val="nil"/>
              <w:bottom w:val="single" w:color="auto" w:sz="4" w:space="0"/>
              <w:right w:val="single" w:color="auto" w:sz="4" w:space="0"/>
            </w:tcBorders>
            <w:noWrap/>
            <w:vAlign w:val="center"/>
          </w:tcPr>
          <w:p w14:paraId="24456FBE">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12</w:t>
            </w:r>
          </w:p>
        </w:tc>
        <w:tc>
          <w:tcPr>
            <w:tcW w:w="2508" w:type="dxa"/>
            <w:tcBorders>
              <w:top w:val="nil"/>
              <w:left w:val="nil"/>
              <w:bottom w:val="single" w:color="auto" w:sz="4" w:space="0"/>
              <w:right w:val="single" w:color="auto" w:sz="4" w:space="0"/>
            </w:tcBorders>
            <w:noWrap w:val="0"/>
            <w:vAlign w:val="center"/>
          </w:tcPr>
          <w:p w14:paraId="1F977347">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每发现3点或者1平</w:t>
            </w:r>
            <w:r>
              <w:rPr>
                <w:rFonts w:hint="eastAsia" w:ascii="宋体" w:hAnsi="宋体" w:cs="宋体"/>
                <w:color w:val="000000"/>
                <w:sz w:val="22"/>
                <w:szCs w:val="22"/>
                <w:lang w:eastAsia="zh-CN"/>
              </w:rPr>
              <w:t>方米</w:t>
            </w:r>
            <w:r>
              <w:rPr>
                <w:rFonts w:hint="eastAsia" w:ascii="宋体" w:hAnsi="宋体" w:cs="宋体"/>
                <w:color w:val="000000"/>
                <w:sz w:val="22"/>
                <w:szCs w:val="22"/>
              </w:rPr>
              <w:t>的漂浮物或垃圾计为1处，每处扣2分</w:t>
            </w:r>
          </w:p>
        </w:tc>
        <w:tc>
          <w:tcPr>
            <w:tcW w:w="771" w:type="dxa"/>
            <w:tcBorders>
              <w:top w:val="nil"/>
              <w:left w:val="nil"/>
              <w:bottom w:val="single" w:color="auto" w:sz="4" w:space="0"/>
              <w:right w:val="single" w:color="auto" w:sz="4" w:space="0"/>
            </w:tcBorders>
            <w:noWrap/>
            <w:vAlign w:val="bottom"/>
          </w:tcPr>
          <w:p w14:paraId="3CCA780C">
            <w:pPr>
              <w:widowControl/>
              <w:spacing w:line="240" w:lineRule="auto"/>
              <w:jc w:val="left"/>
              <w:rPr>
                <w:rFonts w:ascii="宋体" w:hAnsi="宋体" w:cs="宋体"/>
                <w:color w:val="000000"/>
                <w:sz w:val="22"/>
                <w:szCs w:val="22"/>
              </w:rPr>
            </w:pPr>
          </w:p>
        </w:tc>
      </w:tr>
      <w:tr w14:paraId="20C5348D">
        <w:tblPrEx>
          <w:tblCellMar>
            <w:top w:w="0" w:type="dxa"/>
            <w:left w:w="108" w:type="dxa"/>
            <w:bottom w:w="0" w:type="dxa"/>
            <w:right w:w="108" w:type="dxa"/>
          </w:tblCellMar>
        </w:tblPrEx>
        <w:trPr>
          <w:trHeight w:val="810" w:hRule="atLeast"/>
        </w:trPr>
        <w:tc>
          <w:tcPr>
            <w:tcW w:w="772" w:type="dxa"/>
            <w:vMerge w:val="continue"/>
            <w:tcBorders>
              <w:top w:val="nil"/>
              <w:left w:val="single" w:color="auto" w:sz="4" w:space="0"/>
              <w:bottom w:val="single" w:color="auto" w:sz="4" w:space="0"/>
              <w:right w:val="single" w:color="auto" w:sz="4" w:space="0"/>
            </w:tcBorders>
            <w:noWrap w:val="0"/>
            <w:vAlign w:val="center"/>
          </w:tcPr>
          <w:p w14:paraId="70EA486B">
            <w:pPr>
              <w:widowControl/>
              <w:spacing w:line="240" w:lineRule="auto"/>
              <w:jc w:val="left"/>
              <w:rPr>
                <w:rFonts w:ascii="宋体" w:hAnsi="宋体" w:cs="宋体"/>
                <w:color w:val="000000"/>
                <w:sz w:val="22"/>
                <w:szCs w:val="22"/>
              </w:rPr>
            </w:pPr>
          </w:p>
        </w:tc>
        <w:tc>
          <w:tcPr>
            <w:tcW w:w="1479" w:type="dxa"/>
            <w:vMerge w:val="continue"/>
            <w:tcBorders>
              <w:top w:val="nil"/>
              <w:left w:val="single" w:color="auto" w:sz="4" w:space="0"/>
              <w:bottom w:val="single" w:color="auto" w:sz="4" w:space="0"/>
              <w:right w:val="single" w:color="auto" w:sz="4" w:space="0"/>
            </w:tcBorders>
            <w:noWrap w:val="0"/>
            <w:vAlign w:val="center"/>
          </w:tcPr>
          <w:p w14:paraId="7FF5706E">
            <w:pPr>
              <w:widowControl/>
              <w:spacing w:line="240" w:lineRule="auto"/>
              <w:jc w:val="left"/>
              <w:rPr>
                <w:rFonts w:ascii="宋体" w:hAnsi="宋体" w:cs="宋体"/>
                <w:color w:val="000000"/>
                <w:sz w:val="22"/>
                <w:szCs w:val="22"/>
              </w:rPr>
            </w:pPr>
          </w:p>
        </w:tc>
        <w:tc>
          <w:tcPr>
            <w:tcW w:w="4199" w:type="dxa"/>
            <w:tcBorders>
              <w:top w:val="nil"/>
              <w:left w:val="nil"/>
              <w:bottom w:val="single" w:color="auto" w:sz="4" w:space="0"/>
              <w:right w:val="single" w:color="auto" w:sz="4" w:space="0"/>
            </w:tcBorders>
            <w:noWrap w:val="0"/>
            <w:vAlign w:val="center"/>
          </w:tcPr>
          <w:p w14:paraId="3AAD6BA1">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2、定期清理有害水生植物、地龙网，劝阻倾倒废水、洗拖把等污染河道行为，作业船只保持清洁。</w:t>
            </w:r>
          </w:p>
        </w:tc>
        <w:tc>
          <w:tcPr>
            <w:tcW w:w="771" w:type="dxa"/>
            <w:tcBorders>
              <w:top w:val="nil"/>
              <w:left w:val="nil"/>
              <w:bottom w:val="single" w:color="auto" w:sz="4" w:space="0"/>
              <w:right w:val="single" w:color="auto" w:sz="4" w:space="0"/>
            </w:tcBorders>
            <w:noWrap/>
            <w:vAlign w:val="center"/>
          </w:tcPr>
          <w:p w14:paraId="18575C60">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2</w:t>
            </w:r>
          </w:p>
        </w:tc>
        <w:tc>
          <w:tcPr>
            <w:tcW w:w="2508" w:type="dxa"/>
            <w:tcBorders>
              <w:top w:val="nil"/>
              <w:left w:val="nil"/>
              <w:bottom w:val="single" w:color="auto" w:sz="4" w:space="0"/>
              <w:right w:val="single" w:color="auto" w:sz="4" w:space="0"/>
            </w:tcBorders>
            <w:noWrap w:val="0"/>
            <w:vAlign w:val="center"/>
          </w:tcPr>
          <w:p w14:paraId="7CC4ECA9">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每发现一处</w:t>
            </w:r>
            <w:r>
              <w:rPr>
                <w:rFonts w:hint="eastAsia" w:ascii="宋体" w:hAnsi="宋体" w:cs="宋体"/>
                <w:color w:val="000000"/>
                <w:sz w:val="22"/>
                <w:szCs w:val="22"/>
                <w:lang w:eastAsia="zh-CN"/>
              </w:rPr>
              <w:t>（</w:t>
            </w:r>
            <w:r>
              <w:rPr>
                <w:rFonts w:hint="eastAsia" w:ascii="宋体" w:hAnsi="宋体" w:cs="宋体"/>
                <w:color w:val="000000"/>
                <w:sz w:val="22"/>
                <w:szCs w:val="22"/>
              </w:rPr>
              <w:t>次</w:t>
            </w:r>
            <w:r>
              <w:rPr>
                <w:rFonts w:hint="eastAsia" w:ascii="宋体" w:hAnsi="宋体" w:cs="宋体"/>
                <w:color w:val="000000"/>
                <w:sz w:val="22"/>
                <w:szCs w:val="22"/>
                <w:lang w:eastAsia="zh-CN"/>
              </w:rPr>
              <w:t>）</w:t>
            </w:r>
            <w:r>
              <w:rPr>
                <w:rFonts w:hint="eastAsia" w:ascii="宋体" w:hAnsi="宋体" w:cs="宋体"/>
                <w:color w:val="000000"/>
                <w:sz w:val="22"/>
                <w:szCs w:val="22"/>
              </w:rPr>
              <w:t>扣1分</w:t>
            </w:r>
          </w:p>
        </w:tc>
        <w:tc>
          <w:tcPr>
            <w:tcW w:w="771" w:type="dxa"/>
            <w:tcBorders>
              <w:top w:val="nil"/>
              <w:left w:val="nil"/>
              <w:bottom w:val="single" w:color="auto" w:sz="4" w:space="0"/>
              <w:right w:val="single" w:color="auto" w:sz="4" w:space="0"/>
            </w:tcBorders>
            <w:noWrap/>
            <w:vAlign w:val="bottom"/>
          </w:tcPr>
          <w:p w14:paraId="163770B9">
            <w:pPr>
              <w:widowControl/>
              <w:spacing w:line="240" w:lineRule="auto"/>
              <w:jc w:val="left"/>
              <w:rPr>
                <w:rFonts w:ascii="宋体" w:hAnsi="宋体" w:cs="宋体"/>
                <w:color w:val="000000"/>
                <w:sz w:val="22"/>
                <w:szCs w:val="22"/>
              </w:rPr>
            </w:pPr>
          </w:p>
        </w:tc>
      </w:tr>
      <w:tr w14:paraId="02B152F6">
        <w:tblPrEx>
          <w:tblCellMar>
            <w:top w:w="0" w:type="dxa"/>
            <w:left w:w="108" w:type="dxa"/>
            <w:bottom w:w="0" w:type="dxa"/>
            <w:right w:w="108" w:type="dxa"/>
          </w:tblCellMar>
        </w:tblPrEx>
        <w:trPr>
          <w:trHeight w:val="540" w:hRule="atLeast"/>
        </w:trPr>
        <w:tc>
          <w:tcPr>
            <w:tcW w:w="772" w:type="dxa"/>
            <w:vMerge w:val="restart"/>
            <w:tcBorders>
              <w:top w:val="nil"/>
              <w:left w:val="single" w:color="auto" w:sz="4" w:space="0"/>
              <w:bottom w:val="single" w:color="auto" w:sz="4" w:space="0"/>
              <w:right w:val="single" w:color="auto" w:sz="4" w:space="0"/>
            </w:tcBorders>
            <w:noWrap/>
            <w:vAlign w:val="center"/>
          </w:tcPr>
          <w:p w14:paraId="4B3B8735">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2</w:t>
            </w:r>
          </w:p>
        </w:tc>
        <w:tc>
          <w:tcPr>
            <w:tcW w:w="1479" w:type="dxa"/>
            <w:vMerge w:val="restart"/>
            <w:tcBorders>
              <w:top w:val="nil"/>
              <w:left w:val="single" w:color="auto" w:sz="4" w:space="0"/>
              <w:bottom w:val="single" w:color="auto" w:sz="4" w:space="0"/>
              <w:right w:val="single" w:color="auto" w:sz="4" w:space="0"/>
            </w:tcBorders>
            <w:noWrap w:val="0"/>
            <w:vAlign w:val="center"/>
          </w:tcPr>
          <w:p w14:paraId="5D62634A">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河道巡查</w:t>
            </w:r>
            <w:r>
              <w:rPr>
                <w:rFonts w:hint="eastAsia" w:ascii="宋体" w:hAnsi="宋体" w:cs="宋体"/>
                <w:color w:val="000000"/>
                <w:sz w:val="22"/>
                <w:szCs w:val="22"/>
                <w:lang w:eastAsia="zh-CN"/>
              </w:rPr>
              <w:t>（</w:t>
            </w:r>
            <w:r>
              <w:rPr>
                <w:rFonts w:hint="eastAsia" w:ascii="宋体" w:hAnsi="宋体" w:cs="宋体"/>
                <w:color w:val="000000"/>
                <w:sz w:val="22"/>
                <w:szCs w:val="22"/>
              </w:rPr>
              <w:t>16</w:t>
            </w:r>
            <w:r>
              <w:rPr>
                <w:rFonts w:hint="eastAsia" w:ascii="宋体" w:hAnsi="宋体" w:cs="宋体"/>
                <w:color w:val="000000"/>
                <w:sz w:val="22"/>
                <w:szCs w:val="22"/>
                <w:lang w:eastAsia="zh-CN"/>
              </w:rPr>
              <w:t>）</w:t>
            </w:r>
          </w:p>
        </w:tc>
        <w:tc>
          <w:tcPr>
            <w:tcW w:w="4199" w:type="dxa"/>
            <w:tcBorders>
              <w:top w:val="nil"/>
              <w:left w:val="nil"/>
              <w:bottom w:val="single" w:color="auto" w:sz="4" w:space="0"/>
              <w:right w:val="single" w:color="auto" w:sz="4" w:space="0"/>
            </w:tcBorders>
            <w:noWrap w:val="0"/>
            <w:vAlign w:val="center"/>
          </w:tcPr>
          <w:p w14:paraId="39B3ED96">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1、执行巡查制度、做好河道巡查记录。</w:t>
            </w:r>
          </w:p>
        </w:tc>
        <w:tc>
          <w:tcPr>
            <w:tcW w:w="771" w:type="dxa"/>
            <w:tcBorders>
              <w:top w:val="nil"/>
              <w:left w:val="nil"/>
              <w:bottom w:val="single" w:color="auto" w:sz="4" w:space="0"/>
              <w:right w:val="single" w:color="auto" w:sz="4" w:space="0"/>
            </w:tcBorders>
            <w:noWrap/>
            <w:vAlign w:val="center"/>
          </w:tcPr>
          <w:p w14:paraId="1885A2BB">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2</w:t>
            </w:r>
          </w:p>
        </w:tc>
        <w:tc>
          <w:tcPr>
            <w:tcW w:w="2508" w:type="dxa"/>
            <w:tcBorders>
              <w:top w:val="nil"/>
              <w:left w:val="nil"/>
              <w:bottom w:val="single" w:color="auto" w:sz="4" w:space="0"/>
              <w:right w:val="single" w:color="auto" w:sz="4" w:space="0"/>
            </w:tcBorders>
            <w:noWrap w:val="0"/>
            <w:vAlign w:val="center"/>
          </w:tcPr>
          <w:p w14:paraId="0E255763">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未定期巡查或者无记录一次扣1分</w:t>
            </w:r>
          </w:p>
        </w:tc>
        <w:tc>
          <w:tcPr>
            <w:tcW w:w="771" w:type="dxa"/>
            <w:tcBorders>
              <w:top w:val="nil"/>
              <w:left w:val="nil"/>
              <w:bottom w:val="single" w:color="auto" w:sz="4" w:space="0"/>
              <w:right w:val="single" w:color="auto" w:sz="4" w:space="0"/>
            </w:tcBorders>
            <w:noWrap/>
            <w:vAlign w:val="bottom"/>
          </w:tcPr>
          <w:p w14:paraId="4CBC846C">
            <w:pPr>
              <w:widowControl/>
              <w:spacing w:line="240" w:lineRule="auto"/>
              <w:jc w:val="left"/>
              <w:rPr>
                <w:rFonts w:ascii="宋体" w:hAnsi="宋体" w:cs="宋体"/>
                <w:color w:val="000000"/>
                <w:sz w:val="22"/>
                <w:szCs w:val="22"/>
              </w:rPr>
            </w:pPr>
          </w:p>
        </w:tc>
      </w:tr>
      <w:tr w14:paraId="7F81CC7C">
        <w:tblPrEx>
          <w:tblCellMar>
            <w:top w:w="0" w:type="dxa"/>
            <w:left w:w="108" w:type="dxa"/>
            <w:bottom w:w="0" w:type="dxa"/>
            <w:right w:w="108" w:type="dxa"/>
          </w:tblCellMar>
        </w:tblPrEx>
        <w:trPr>
          <w:trHeight w:val="540" w:hRule="atLeast"/>
        </w:trPr>
        <w:tc>
          <w:tcPr>
            <w:tcW w:w="772" w:type="dxa"/>
            <w:vMerge w:val="continue"/>
            <w:tcBorders>
              <w:top w:val="nil"/>
              <w:left w:val="single" w:color="auto" w:sz="4" w:space="0"/>
              <w:bottom w:val="single" w:color="auto" w:sz="4" w:space="0"/>
              <w:right w:val="single" w:color="auto" w:sz="4" w:space="0"/>
            </w:tcBorders>
            <w:noWrap w:val="0"/>
            <w:vAlign w:val="center"/>
          </w:tcPr>
          <w:p w14:paraId="43D40FDC">
            <w:pPr>
              <w:widowControl/>
              <w:spacing w:line="240" w:lineRule="auto"/>
              <w:jc w:val="left"/>
              <w:rPr>
                <w:rFonts w:ascii="宋体" w:hAnsi="宋体" w:cs="宋体"/>
                <w:color w:val="000000"/>
                <w:sz w:val="22"/>
                <w:szCs w:val="22"/>
              </w:rPr>
            </w:pPr>
          </w:p>
        </w:tc>
        <w:tc>
          <w:tcPr>
            <w:tcW w:w="1479" w:type="dxa"/>
            <w:vMerge w:val="continue"/>
            <w:tcBorders>
              <w:top w:val="nil"/>
              <w:left w:val="single" w:color="auto" w:sz="4" w:space="0"/>
              <w:bottom w:val="single" w:color="auto" w:sz="4" w:space="0"/>
              <w:right w:val="single" w:color="auto" w:sz="4" w:space="0"/>
            </w:tcBorders>
            <w:noWrap w:val="0"/>
            <w:vAlign w:val="center"/>
          </w:tcPr>
          <w:p w14:paraId="66663BD6">
            <w:pPr>
              <w:widowControl/>
              <w:spacing w:line="240" w:lineRule="auto"/>
              <w:jc w:val="left"/>
              <w:rPr>
                <w:rFonts w:ascii="宋体" w:hAnsi="宋体" w:cs="宋体"/>
                <w:color w:val="000000"/>
                <w:sz w:val="22"/>
                <w:szCs w:val="22"/>
              </w:rPr>
            </w:pPr>
          </w:p>
        </w:tc>
        <w:tc>
          <w:tcPr>
            <w:tcW w:w="4199" w:type="dxa"/>
            <w:tcBorders>
              <w:top w:val="nil"/>
              <w:left w:val="nil"/>
              <w:bottom w:val="single" w:color="auto" w:sz="4" w:space="0"/>
              <w:right w:val="single" w:color="auto" w:sz="4" w:space="0"/>
            </w:tcBorders>
            <w:noWrap w:val="0"/>
            <w:vAlign w:val="center"/>
          </w:tcPr>
          <w:p w14:paraId="6DCEDF8B">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2、无影响排涝的各种障碍物</w:t>
            </w:r>
            <w:r>
              <w:rPr>
                <w:rFonts w:hint="eastAsia" w:ascii="宋体" w:hAnsi="宋体" w:cs="宋体"/>
                <w:color w:val="000000"/>
                <w:sz w:val="22"/>
                <w:szCs w:val="22"/>
                <w:lang w:eastAsia="zh-CN"/>
              </w:rPr>
              <w:t>（</w:t>
            </w:r>
            <w:r>
              <w:rPr>
                <w:rFonts w:hint="eastAsia" w:ascii="宋体" w:hAnsi="宋体" w:cs="宋体"/>
                <w:color w:val="000000"/>
                <w:sz w:val="22"/>
                <w:szCs w:val="22"/>
              </w:rPr>
              <w:t>河道治理所需围堰等水利设施除外</w:t>
            </w:r>
            <w:r>
              <w:rPr>
                <w:rFonts w:hint="eastAsia" w:ascii="宋体" w:hAnsi="宋体" w:cs="宋体"/>
                <w:color w:val="000000"/>
                <w:sz w:val="22"/>
                <w:szCs w:val="22"/>
                <w:lang w:eastAsia="zh-CN"/>
              </w:rPr>
              <w:t>）</w:t>
            </w:r>
            <w:r>
              <w:rPr>
                <w:rFonts w:hint="eastAsia" w:ascii="宋体" w:hAnsi="宋体" w:cs="宋体"/>
                <w:color w:val="000000"/>
                <w:sz w:val="22"/>
                <w:szCs w:val="22"/>
              </w:rPr>
              <w:t>。</w:t>
            </w:r>
          </w:p>
        </w:tc>
        <w:tc>
          <w:tcPr>
            <w:tcW w:w="771" w:type="dxa"/>
            <w:tcBorders>
              <w:top w:val="nil"/>
              <w:left w:val="nil"/>
              <w:bottom w:val="single" w:color="auto" w:sz="4" w:space="0"/>
              <w:right w:val="single" w:color="auto" w:sz="4" w:space="0"/>
            </w:tcBorders>
            <w:noWrap/>
            <w:vAlign w:val="center"/>
          </w:tcPr>
          <w:p w14:paraId="48946C2A">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2</w:t>
            </w:r>
          </w:p>
        </w:tc>
        <w:tc>
          <w:tcPr>
            <w:tcW w:w="2508" w:type="dxa"/>
            <w:tcBorders>
              <w:top w:val="nil"/>
              <w:left w:val="nil"/>
              <w:bottom w:val="single" w:color="auto" w:sz="4" w:space="0"/>
              <w:right w:val="single" w:color="auto" w:sz="4" w:space="0"/>
            </w:tcBorders>
            <w:noWrap w:val="0"/>
            <w:vAlign w:val="center"/>
          </w:tcPr>
          <w:p w14:paraId="5A5BD80B">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有一处扣2分</w:t>
            </w:r>
          </w:p>
        </w:tc>
        <w:tc>
          <w:tcPr>
            <w:tcW w:w="771" w:type="dxa"/>
            <w:tcBorders>
              <w:top w:val="nil"/>
              <w:left w:val="nil"/>
              <w:bottom w:val="single" w:color="auto" w:sz="4" w:space="0"/>
              <w:right w:val="single" w:color="auto" w:sz="4" w:space="0"/>
            </w:tcBorders>
            <w:noWrap/>
            <w:vAlign w:val="bottom"/>
          </w:tcPr>
          <w:p w14:paraId="22BD9925">
            <w:pPr>
              <w:widowControl/>
              <w:spacing w:line="240" w:lineRule="auto"/>
              <w:jc w:val="left"/>
              <w:rPr>
                <w:rFonts w:ascii="宋体" w:hAnsi="宋体" w:cs="宋体"/>
                <w:color w:val="000000"/>
                <w:sz w:val="22"/>
                <w:szCs w:val="22"/>
              </w:rPr>
            </w:pPr>
          </w:p>
        </w:tc>
      </w:tr>
      <w:tr w14:paraId="4E19ECC8">
        <w:tblPrEx>
          <w:tblCellMar>
            <w:top w:w="0" w:type="dxa"/>
            <w:left w:w="108" w:type="dxa"/>
            <w:bottom w:w="0" w:type="dxa"/>
            <w:right w:w="108" w:type="dxa"/>
          </w:tblCellMar>
        </w:tblPrEx>
        <w:trPr>
          <w:trHeight w:val="810" w:hRule="atLeast"/>
        </w:trPr>
        <w:tc>
          <w:tcPr>
            <w:tcW w:w="772" w:type="dxa"/>
            <w:vMerge w:val="continue"/>
            <w:tcBorders>
              <w:top w:val="nil"/>
              <w:left w:val="single" w:color="auto" w:sz="4" w:space="0"/>
              <w:bottom w:val="single" w:color="auto" w:sz="4" w:space="0"/>
              <w:right w:val="single" w:color="auto" w:sz="4" w:space="0"/>
            </w:tcBorders>
            <w:noWrap w:val="0"/>
            <w:vAlign w:val="center"/>
          </w:tcPr>
          <w:p w14:paraId="264968FE">
            <w:pPr>
              <w:widowControl/>
              <w:spacing w:line="240" w:lineRule="auto"/>
              <w:jc w:val="left"/>
              <w:rPr>
                <w:rFonts w:ascii="宋体" w:hAnsi="宋体" w:cs="宋体"/>
                <w:color w:val="000000"/>
                <w:sz w:val="22"/>
                <w:szCs w:val="22"/>
              </w:rPr>
            </w:pPr>
          </w:p>
        </w:tc>
        <w:tc>
          <w:tcPr>
            <w:tcW w:w="1479" w:type="dxa"/>
            <w:vMerge w:val="continue"/>
            <w:tcBorders>
              <w:top w:val="nil"/>
              <w:left w:val="single" w:color="auto" w:sz="4" w:space="0"/>
              <w:bottom w:val="single" w:color="auto" w:sz="4" w:space="0"/>
              <w:right w:val="single" w:color="auto" w:sz="4" w:space="0"/>
            </w:tcBorders>
            <w:noWrap w:val="0"/>
            <w:vAlign w:val="center"/>
          </w:tcPr>
          <w:p w14:paraId="17A9255D">
            <w:pPr>
              <w:widowControl/>
              <w:spacing w:line="240" w:lineRule="auto"/>
              <w:jc w:val="left"/>
              <w:rPr>
                <w:rFonts w:ascii="宋体" w:hAnsi="宋体" w:cs="宋体"/>
                <w:color w:val="000000"/>
                <w:sz w:val="22"/>
                <w:szCs w:val="22"/>
              </w:rPr>
            </w:pPr>
          </w:p>
        </w:tc>
        <w:tc>
          <w:tcPr>
            <w:tcW w:w="4199" w:type="dxa"/>
            <w:tcBorders>
              <w:top w:val="nil"/>
              <w:left w:val="nil"/>
              <w:bottom w:val="single" w:color="auto" w:sz="4" w:space="0"/>
              <w:right w:val="single" w:color="auto" w:sz="4" w:space="0"/>
            </w:tcBorders>
            <w:noWrap w:val="0"/>
            <w:vAlign w:val="center"/>
          </w:tcPr>
          <w:p w14:paraId="1301C27E">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3、每天记录和上报河道雨水口晴天出水流量、水质情况，及时上报，并形成书面记录。</w:t>
            </w:r>
          </w:p>
        </w:tc>
        <w:tc>
          <w:tcPr>
            <w:tcW w:w="771" w:type="dxa"/>
            <w:tcBorders>
              <w:top w:val="nil"/>
              <w:left w:val="nil"/>
              <w:bottom w:val="single" w:color="auto" w:sz="4" w:space="0"/>
              <w:right w:val="single" w:color="auto" w:sz="4" w:space="0"/>
            </w:tcBorders>
            <w:noWrap/>
            <w:vAlign w:val="center"/>
          </w:tcPr>
          <w:p w14:paraId="716B915A">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4</w:t>
            </w:r>
          </w:p>
        </w:tc>
        <w:tc>
          <w:tcPr>
            <w:tcW w:w="2508" w:type="dxa"/>
            <w:tcBorders>
              <w:top w:val="nil"/>
              <w:left w:val="nil"/>
              <w:bottom w:val="single" w:color="auto" w:sz="4" w:space="0"/>
              <w:right w:val="single" w:color="auto" w:sz="4" w:space="0"/>
            </w:tcBorders>
            <w:noWrap w:val="0"/>
            <w:vAlign w:val="center"/>
          </w:tcPr>
          <w:p w14:paraId="4B57D7A9">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未进行排查、未有记录、未上报一次扣1分</w:t>
            </w:r>
          </w:p>
        </w:tc>
        <w:tc>
          <w:tcPr>
            <w:tcW w:w="771" w:type="dxa"/>
            <w:tcBorders>
              <w:top w:val="nil"/>
              <w:left w:val="nil"/>
              <w:bottom w:val="single" w:color="auto" w:sz="4" w:space="0"/>
              <w:right w:val="single" w:color="auto" w:sz="4" w:space="0"/>
            </w:tcBorders>
            <w:noWrap/>
            <w:vAlign w:val="bottom"/>
          </w:tcPr>
          <w:p w14:paraId="59869759">
            <w:pPr>
              <w:widowControl/>
              <w:spacing w:line="240" w:lineRule="auto"/>
              <w:jc w:val="left"/>
              <w:rPr>
                <w:rFonts w:ascii="宋体" w:hAnsi="宋体" w:cs="宋体"/>
                <w:color w:val="000000"/>
                <w:sz w:val="22"/>
                <w:szCs w:val="22"/>
              </w:rPr>
            </w:pPr>
          </w:p>
        </w:tc>
      </w:tr>
      <w:tr w14:paraId="33025A8D">
        <w:tblPrEx>
          <w:tblCellMar>
            <w:top w:w="0" w:type="dxa"/>
            <w:left w:w="108" w:type="dxa"/>
            <w:bottom w:w="0" w:type="dxa"/>
            <w:right w:w="108" w:type="dxa"/>
          </w:tblCellMar>
        </w:tblPrEx>
        <w:trPr>
          <w:trHeight w:val="540" w:hRule="atLeast"/>
        </w:trPr>
        <w:tc>
          <w:tcPr>
            <w:tcW w:w="772" w:type="dxa"/>
            <w:vMerge w:val="continue"/>
            <w:tcBorders>
              <w:top w:val="nil"/>
              <w:left w:val="single" w:color="auto" w:sz="4" w:space="0"/>
              <w:bottom w:val="single" w:color="auto" w:sz="4" w:space="0"/>
              <w:right w:val="single" w:color="auto" w:sz="4" w:space="0"/>
            </w:tcBorders>
            <w:noWrap w:val="0"/>
            <w:vAlign w:val="center"/>
          </w:tcPr>
          <w:p w14:paraId="38F889A8">
            <w:pPr>
              <w:widowControl/>
              <w:spacing w:line="240" w:lineRule="auto"/>
              <w:jc w:val="left"/>
              <w:rPr>
                <w:rFonts w:ascii="宋体" w:hAnsi="宋体" w:cs="宋体"/>
                <w:color w:val="000000"/>
                <w:sz w:val="22"/>
                <w:szCs w:val="22"/>
              </w:rPr>
            </w:pPr>
          </w:p>
        </w:tc>
        <w:tc>
          <w:tcPr>
            <w:tcW w:w="1479" w:type="dxa"/>
            <w:vMerge w:val="continue"/>
            <w:tcBorders>
              <w:top w:val="nil"/>
              <w:left w:val="single" w:color="auto" w:sz="4" w:space="0"/>
              <w:bottom w:val="single" w:color="auto" w:sz="4" w:space="0"/>
              <w:right w:val="single" w:color="auto" w:sz="4" w:space="0"/>
            </w:tcBorders>
            <w:noWrap w:val="0"/>
            <w:vAlign w:val="center"/>
          </w:tcPr>
          <w:p w14:paraId="738E4D58">
            <w:pPr>
              <w:widowControl/>
              <w:spacing w:line="240" w:lineRule="auto"/>
              <w:jc w:val="left"/>
              <w:rPr>
                <w:rFonts w:ascii="宋体" w:hAnsi="宋体" w:cs="宋体"/>
                <w:color w:val="000000"/>
                <w:sz w:val="22"/>
                <w:szCs w:val="22"/>
              </w:rPr>
            </w:pPr>
          </w:p>
        </w:tc>
        <w:tc>
          <w:tcPr>
            <w:tcW w:w="4199" w:type="dxa"/>
            <w:tcBorders>
              <w:top w:val="nil"/>
              <w:left w:val="nil"/>
              <w:bottom w:val="single" w:color="auto" w:sz="4" w:space="0"/>
              <w:right w:val="single" w:color="auto" w:sz="4" w:space="0"/>
            </w:tcBorders>
            <w:noWrap w:val="0"/>
            <w:vAlign w:val="center"/>
          </w:tcPr>
          <w:p w14:paraId="51F38042">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4、河道范围内无乱摆乱占，乱倒乱放。</w:t>
            </w:r>
          </w:p>
        </w:tc>
        <w:tc>
          <w:tcPr>
            <w:tcW w:w="771" w:type="dxa"/>
            <w:tcBorders>
              <w:top w:val="nil"/>
              <w:left w:val="nil"/>
              <w:bottom w:val="single" w:color="auto" w:sz="4" w:space="0"/>
              <w:right w:val="single" w:color="auto" w:sz="4" w:space="0"/>
            </w:tcBorders>
            <w:noWrap/>
            <w:vAlign w:val="center"/>
          </w:tcPr>
          <w:p w14:paraId="67E5E757">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2</w:t>
            </w:r>
          </w:p>
        </w:tc>
        <w:tc>
          <w:tcPr>
            <w:tcW w:w="2508" w:type="dxa"/>
            <w:tcBorders>
              <w:top w:val="nil"/>
              <w:left w:val="nil"/>
              <w:bottom w:val="single" w:color="auto" w:sz="4" w:space="0"/>
              <w:right w:val="single" w:color="auto" w:sz="4" w:space="0"/>
            </w:tcBorders>
            <w:noWrap w:val="0"/>
            <w:vAlign w:val="center"/>
          </w:tcPr>
          <w:p w14:paraId="2BFCAC1D">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有一处未及时汇报处理扣1分</w:t>
            </w:r>
          </w:p>
        </w:tc>
        <w:tc>
          <w:tcPr>
            <w:tcW w:w="771" w:type="dxa"/>
            <w:tcBorders>
              <w:top w:val="nil"/>
              <w:left w:val="nil"/>
              <w:bottom w:val="single" w:color="auto" w:sz="4" w:space="0"/>
              <w:right w:val="single" w:color="auto" w:sz="4" w:space="0"/>
            </w:tcBorders>
            <w:noWrap/>
            <w:vAlign w:val="bottom"/>
          </w:tcPr>
          <w:p w14:paraId="3F1EF44A">
            <w:pPr>
              <w:widowControl/>
              <w:spacing w:line="240" w:lineRule="auto"/>
              <w:jc w:val="left"/>
              <w:rPr>
                <w:rFonts w:ascii="宋体" w:hAnsi="宋体" w:cs="宋体"/>
                <w:color w:val="000000"/>
                <w:sz w:val="22"/>
                <w:szCs w:val="22"/>
              </w:rPr>
            </w:pPr>
          </w:p>
        </w:tc>
      </w:tr>
      <w:tr w14:paraId="148EE615">
        <w:tblPrEx>
          <w:tblCellMar>
            <w:top w:w="0" w:type="dxa"/>
            <w:left w:w="108" w:type="dxa"/>
            <w:bottom w:w="0" w:type="dxa"/>
            <w:right w:w="108" w:type="dxa"/>
          </w:tblCellMar>
        </w:tblPrEx>
        <w:trPr>
          <w:trHeight w:val="540" w:hRule="atLeast"/>
        </w:trPr>
        <w:tc>
          <w:tcPr>
            <w:tcW w:w="772" w:type="dxa"/>
            <w:vMerge w:val="continue"/>
            <w:tcBorders>
              <w:top w:val="nil"/>
              <w:left w:val="single" w:color="auto" w:sz="4" w:space="0"/>
              <w:bottom w:val="single" w:color="auto" w:sz="4" w:space="0"/>
              <w:right w:val="single" w:color="auto" w:sz="4" w:space="0"/>
            </w:tcBorders>
            <w:noWrap w:val="0"/>
            <w:vAlign w:val="center"/>
          </w:tcPr>
          <w:p w14:paraId="1719EFE3">
            <w:pPr>
              <w:widowControl/>
              <w:spacing w:line="240" w:lineRule="auto"/>
              <w:jc w:val="left"/>
              <w:rPr>
                <w:rFonts w:ascii="宋体" w:hAnsi="宋体" w:cs="宋体"/>
                <w:color w:val="000000"/>
                <w:sz w:val="22"/>
                <w:szCs w:val="22"/>
              </w:rPr>
            </w:pPr>
          </w:p>
        </w:tc>
        <w:tc>
          <w:tcPr>
            <w:tcW w:w="1479" w:type="dxa"/>
            <w:vMerge w:val="continue"/>
            <w:tcBorders>
              <w:top w:val="nil"/>
              <w:left w:val="single" w:color="auto" w:sz="4" w:space="0"/>
              <w:bottom w:val="single" w:color="auto" w:sz="4" w:space="0"/>
              <w:right w:val="single" w:color="auto" w:sz="4" w:space="0"/>
            </w:tcBorders>
            <w:noWrap w:val="0"/>
            <w:vAlign w:val="center"/>
          </w:tcPr>
          <w:p w14:paraId="4ABCBF43">
            <w:pPr>
              <w:widowControl/>
              <w:spacing w:line="240" w:lineRule="auto"/>
              <w:jc w:val="left"/>
              <w:rPr>
                <w:rFonts w:ascii="宋体" w:hAnsi="宋体" w:cs="宋体"/>
                <w:color w:val="000000"/>
                <w:sz w:val="22"/>
                <w:szCs w:val="22"/>
              </w:rPr>
            </w:pPr>
          </w:p>
        </w:tc>
        <w:tc>
          <w:tcPr>
            <w:tcW w:w="4199" w:type="dxa"/>
            <w:tcBorders>
              <w:top w:val="nil"/>
              <w:left w:val="nil"/>
              <w:bottom w:val="single" w:color="auto" w:sz="4" w:space="0"/>
              <w:right w:val="single" w:color="auto" w:sz="4" w:space="0"/>
            </w:tcBorders>
            <w:noWrap w:val="0"/>
            <w:vAlign w:val="center"/>
          </w:tcPr>
          <w:p w14:paraId="628A01B1">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5、河道两岸蓝线范围内无垦种。</w:t>
            </w:r>
          </w:p>
        </w:tc>
        <w:tc>
          <w:tcPr>
            <w:tcW w:w="771" w:type="dxa"/>
            <w:tcBorders>
              <w:top w:val="nil"/>
              <w:left w:val="nil"/>
              <w:bottom w:val="single" w:color="auto" w:sz="4" w:space="0"/>
              <w:right w:val="single" w:color="auto" w:sz="4" w:space="0"/>
            </w:tcBorders>
            <w:noWrap/>
            <w:vAlign w:val="center"/>
          </w:tcPr>
          <w:p w14:paraId="71DB6748">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2</w:t>
            </w:r>
          </w:p>
        </w:tc>
        <w:tc>
          <w:tcPr>
            <w:tcW w:w="2508" w:type="dxa"/>
            <w:tcBorders>
              <w:top w:val="nil"/>
              <w:left w:val="nil"/>
              <w:bottom w:val="single" w:color="auto" w:sz="4" w:space="0"/>
              <w:right w:val="single" w:color="auto" w:sz="4" w:space="0"/>
            </w:tcBorders>
            <w:noWrap w:val="0"/>
            <w:vAlign w:val="center"/>
          </w:tcPr>
          <w:p w14:paraId="28497D23">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有一处未及时汇报处理扣1分</w:t>
            </w:r>
          </w:p>
        </w:tc>
        <w:tc>
          <w:tcPr>
            <w:tcW w:w="771" w:type="dxa"/>
            <w:tcBorders>
              <w:top w:val="nil"/>
              <w:left w:val="nil"/>
              <w:bottom w:val="single" w:color="auto" w:sz="4" w:space="0"/>
              <w:right w:val="single" w:color="auto" w:sz="4" w:space="0"/>
            </w:tcBorders>
            <w:noWrap/>
            <w:vAlign w:val="bottom"/>
          </w:tcPr>
          <w:p w14:paraId="4A1AC773">
            <w:pPr>
              <w:widowControl/>
              <w:spacing w:line="240" w:lineRule="auto"/>
              <w:jc w:val="left"/>
              <w:rPr>
                <w:rFonts w:ascii="宋体" w:hAnsi="宋体" w:cs="宋体"/>
                <w:color w:val="000000"/>
                <w:sz w:val="22"/>
                <w:szCs w:val="22"/>
              </w:rPr>
            </w:pPr>
          </w:p>
        </w:tc>
      </w:tr>
      <w:tr w14:paraId="22AB6524">
        <w:tblPrEx>
          <w:tblCellMar>
            <w:top w:w="0" w:type="dxa"/>
            <w:left w:w="108" w:type="dxa"/>
            <w:bottom w:w="0" w:type="dxa"/>
            <w:right w:w="108" w:type="dxa"/>
          </w:tblCellMar>
        </w:tblPrEx>
        <w:trPr>
          <w:trHeight w:val="540" w:hRule="atLeast"/>
        </w:trPr>
        <w:tc>
          <w:tcPr>
            <w:tcW w:w="772" w:type="dxa"/>
            <w:vMerge w:val="continue"/>
            <w:tcBorders>
              <w:top w:val="nil"/>
              <w:left w:val="single" w:color="auto" w:sz="4" w:space="0"/>
              <w:bottom w:val="single" w:color="auto" w:sz="4" w:space="0"/>
              <w:right w:val="single" w:color="auto" w:sz="4" w:space="0"/>
            </w:tcBorders>
            <w:noWrap w:val="0"/>
            <w:vAlign w:val="center"/>
          </w:tcPr>
          <w:p w14:paraId="3291009F">
            <w:pPr>
              <w:widowControl/>
              <w:spacing w:line="240" w:lineRule="auto"/>
              <w:jc w:val="left"/>
              <w:rPr>
                <w:rFonts w:ascii="宋体" w:hAnsi="宋体" w:cs="宋体"/>
                <w:color w:val="000000"/>
                <w:sz w:val="22"/>
                <w:szCs w:val="22"/>
              </w:rPr>
            </w:pPr>
          </w:p>
        </w:tc>
        <w:tc>
          <w:tcPr>
            <w:tcW w:w="1479" w:type="dxa"/>
            <w:vMerge w:val="continue"/>
            <w:tcBorders>
              <w:top w:val="nil"/>
              <w:left w:val="single" w:color="auto" w:sz="4" w:space="0"/>
              <w:bottom w:val="single" w:color="auto" w:sz="4" w:space="0"/>
              <w:right w:val="single" w:color="auto" w:sz="4" w:space="0"/>
            </w:tcBorders>
            <w:noWrap w:val="0"/>
            <w:vAlign w:val="center"/>
          </w:tcPr>
          <w:p w14:paraId="7748CE0B">
            <w:pPr>
              <w:widowControl/>
              <w:spacing w:line="240" w:lineRule="auto"/>
              <w:jc w:val="left"/>
              <w:rPr>
                <w:rFonts w:ascii="宋体" w:hAnsi="宋体" w:cs="宋体"/>
                <w:color w:val="000000"/>
                <w:sz w:val="22"/>
                <w:szCs w:val="22"/>
              </w:rPr>
            </w:pPr>
          </w:p>
        </w:tc>
        <w:tc>
          <w:tcPr>
            <w:tcW w:w="4199" w:type="dxa"/>
            <w:tcBorders>
              <w:top w:val="nil"/>
              <w:left w:val="nil"/>
              <w:bottom w:val="single" w:color="auto" w:sz="4" w:space="0"/>
              <w:right w:val="single" w:color="auto" w:sz="4" w:space="0"/>
            </w:tcBorders>
            <w:noWrap w:val="0"/>
            <w:vAlign w:val="center"/>
          </w:tcPr>
          <w:p w14:paraId="6DD5E132">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6、养护项目落实专人负责，做好与甲方对接，及时完成甲方交付的各项工作。</w:t>
            </w:r>
          </w:p>
        </w:tc>
        <w:tc>
          <w:tcPr>
            <w:tcW w:w="771" w:type="dxa"/>
            <w:tcBorders>
              <w:top w:val="nil"/>
              <w:left w:val="nil"/>
              <w:bottom w:val="single" w:color="auto" w:sz="4" w:space="0"/>
              <w:right w:val="single" w:color="auto" w:sz="4" w:space="0"/>
            </w:tcBorders>
            <w:noWrap/>
            <w:vAlign w:val="center"/>
          </w:tcPr>
          <w:p w14:paraId="07993EE6">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4</w:t>
            </w:r>
          </w:p>
        </w:tc>
        <w:tc>
          <w:tcPr>
            <w:tcW w:w="2508" w:type="dxa"/>
            <w:tcBorders>
              <w:top w:val="nil"/>
              <w:left w:val="nil"/>
              <w:bottom w:val="single" w:color="auto" w:sz="4" w:space="0"/>
              <w:right w:val="single" w:color="auto" w:sz="4" w:space="0"/>
            </w:tcBorders>
            <w:noWrap w:val="0"/>
            <w:vAlign w:val="center"/>
          </w:tcPr>
          <w:p w14:paraId="1480289B">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对接不及时扣1分，未完成一次扣2分</w:t>
            </w:r>
          </w:p>
        </w:tc>
        <w:tc>
          <w:tcPr>
            <w:tcW w:w="771" w:type="dxa"/>
            <w:tcBorders>
              <w:top w:val="nil"/>
              <w:left w:val="nil"/>
              <w:bottom w:val="single" w:color="auto" w:sz="4" w:space="0"/>
              <w:right w:val="single" w:color="auto" w:sz="4" w:space="0"/>
            </w:tcBorders>
            <w:noWrap/>
            <w:vAlign w:val="bottom"/>
          </w:tcPr>
          <w:p w14:paraId="3B142FF1">
            <w:pPr>
              <w:widowControl/>
              <w:spacing w:line="240" w:lineRule="auto"/>
              <w:jc w:val="left"/>
              <w:rPr>
                <w:rFonts w:ascii="宋体" w:hAnsi="宋体" w:cs="宋体"/>
                <w:color w:val="000000"/>
                <w:sz w:val="22"/>
                <w:szCs w:val="22"/>
              </w:rPr>
            </w:pPr>
          </w:p>
        </w:tc>
      </w:tr>
      <w:tr w14:paraId="1C2EAB33">
        <w:tblPrEx>
          <w:tblCellMar>
            <w:top w:w="0" w:type="dxa"/>
            <w:left w:w="108" w:type="dxa"/>
            <w:bottom w:w="0" w:type="dxa"/>
            <w:right w:w="108" w:type="dxa"/>
          </w:tblCellMar>
        </w:tblPrEx>
        <w:trPr>
          <w:trHeight w:val="810" w:hRule="atLeast"/>
        </w:trPr>
        <w:tc>
          <w:tcPr>
            <w:tcW w:w="772" w:type="dxa"/>
            <w:vMerge w:val="restart"/>
            <w:tcBorders>
              <w:top w:val="nil"/>
              <w:left w:val="single" w:color="auto" w:sz="4" w:space="0"/>
              <w:bottom w:val="single" w:color="auto" w:sz="4" w:space="0"/>
              <w:right w:val="single" w:color="auto" w:sz="4" w:space="0"/>
            </w:tcBorders>
            <w:noWrap/>
            <w:vAlign w:val="center"/>
          </w:tcPr>
          <w:p w14:paraId="2879C58C">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3</w:t>
            </w:r>
          </w:p>
        </w:tc>
        <w:tc>
          <w:tcPr>
            <w:tcW w:w="1479" w:type="dxa"/>
            <w:vMerge w:val="restart"/>
            <w:tcBorders>
              <w:top w:val="nil"/>
              <w:left w:val="single" w:color="auto" w:sz="4" w:space="0"/>
              <w:bottom w:val="single" w:color="auto" w:sz="4" w:space="0"/>
              <w:right w:val="single" w:color="auto" w:sz="4" w:space="0"/>
            </w:tcBorders>
            <w:noWrap w:val="0"/>
            <w:vAlign w:val="center"/>
          </w:tcPr>
          <w:p w14:paraId="5C71001E">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设施维护</w:t>
            </w:r>
            <w:r>
              <w:rPr>
                <w:rFonts w:hint="eastAsia" w:ascii="宋体" w:hAnsi="宋体" w:cs="宋体"/>
                <w:color w:val="000000"/>
                <w:sz w:val="22"/>
                <w:szCs w:val="22"/>
                <w:lang w:eastAsia="zh-CN"/>
              </w:rPr>
              <w:t>（</w:t>
            </w:r>
            <w:r>
              <w:rPr>
                <w:rFonts w:hint="eastAsia" w:ascii="宋体" w:hAnsi="宋体" w:cs="宋体"/>
                <w:color w:val="000000"/>
                <w:sz w:val="22"/>
                <w:szCs w:val="22"/>
              </w:rPr>
              <w:t>10</w:t>
            </w:r>
            <w:r>
              <w:rPr>
                <w:rFonts w:hint="eastAsia" w:ascii="宋体" w:hAnsi="宋体" w:cs="宋体"/>
                <w:color w:val="000000"/>
                <w:sz w:val="22"/>
                <w:szCs w:val="22"/>
                <w:lang w:eastAsia="zh-CN"/>
              </w:rPr>
              <w:t>）</w:t>
            </w:r>
          </w:p>
        </w:tc>
        <w:tc>
          <w:tcPr>
            <w:tcW w:w="4199" w:type="dxa"/>
            <w:tcBorders>
              <w:top w:val="nil"/>
              <w:left w:val="nil"/>
              <w:bottom w:val="single" w:color="auto" w:sz="4" w:space="0"/>
              <w:right w:val="single" w:color="auto" w:sz="4" w:space="0"/>
            </w:tcBorders>
            <w:noWrap w:val="0"/>
            <w:vAlign w:val="center"/>
          </w:tcPr>
          <w:p w14:paraId="6403204A">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1、驳岸基础无冲刷、无掏空、墙身无倾斜，围墙、压顶、栏杆、平台、浮床、景观小品等设施完好，及时更新设备设施。</w:t>
            </w:r>
          </w:p>
        </w:tc>
        <w:tc>
          <w:tcPr>
            <w:tcW w:w="771" w:type="dxa"/>
            <w:tcBorders>
              <w:top w:val="nil"/>
              <w:left w:val="nil"/>
              <w:bottom w:val="single" w:color="auto" w:sz="4" w:space="0"/>
              <w:right w:val="single" w:color="auto" w:sz="4" w:space="0"/>
            </w:tcBorders>
            <w:noWrap/>
            <w:vAlign w:val="center"/>
          </w:tcPr>
          <w:p w14:paraId="331FFA3F">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3</w:t>
            </w:r>
          </w:p>
        </w:tc>
        <w:tc>
          <w:tcPr>
            <w:tcW w:w="2508" w:type="dxa"/>
            <w:tcBorders>
              <w:top w:val="nil"/>
              <w:left w:val="nil"/>
              <w:bottom w:val="single" w:color="auto" w:sz="4" w:space="0"/>
              <w:right w:val="single" w:color="auto" w:sz="4" w:space="0"/>
            </w:tcBorders>
            <w:noWrap w:val="0"/>
            <w:vAlign w:val="center"/>
          </w:tcPr>
          <w:p w14:paraId="3BC8B62F">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每发现一处扣1分</w:t>
            </w:r>
          </w:p>
        </w:tc>
        <w:tc>
          <w:tcPr>
            <w:tcW w:w="771" w:type="dxa"/>
            <w:tcBorders>
              <w:top w:val="nil"/>
              <w:left w:val="nil"/>
              <w:bottom w:val="single" w:color="auto" w:sz="4" w:space="0"/>
              <w:right w:val="single" w:color="auto" w:sz="4" w:space="0"/>
            </w:tcBorders>
            <w:noWrap/>
            <w:vAlign w:val="bottom"/>
          </w:tcPr>
          <w:p w14:paraId="437459BB">
            <w:pPr>
              <w:widowControl/>
              <w:spacing w:line="240" w:lineRule="auto"/>
              <w:jc w:val="left"/>
              <w:rPr>
                <w:rFonts w:ascii="宋体" w:hAnsi="宋体" w:cs="宋体"/>
                <w:color w:val="000000"/>
                <w:sz w:val="22"/>
                <w:szCs w:val="22"/>
              </w:rPr>
            </w:pPr>
          </w:p>
        </w:tc>
      </w:tr>
      <w:tr w14:paraId="1B460F01">
        <w:tblPrEx>
          <w:tblCellMar>
            <w:top w:w="0" w:type="dxa"/>
            <w:left w:w="108" w:type="dxa"/>
            <w:bottom w:w="0" w:type="dxa"/>
            <w:right w:w="108" w:type="dxa"/>
          </w:tblCellMar>
        </w:tblPrEx>
        <w:trPr>
          <w:trHeight w:val="1080" w:hRule="atLeast"/>
        </w:trPr>
        <w:tc>
          <w:tcPr>
            <w:tcW w:w="772" w:type="dxa"/>
            <w:vMerge w:val="continue"/>
            <w:tcBorders>
              <w:top w:val="nil"/>
              <w:left w:val="single" w:color="auto" w:sz="4" w:space="0"/>
              <w:bottom w:val="single" w:color="auto" w:sz="4" w:space="0"/>
              <w:right w:val="single" w:color="auto" w:sz="4" w:space="0"/>
            </w:tcBorders>
            <w:noWrap w:val="0"/>
            <w:vAlign w:val="center"/>
          </w:tcPr>
          <w:p w14:paraId="78F3D465">
            <w:pPr>
              <w:widowControl/>
              <w:spacing w:line="240" w:lineRule="auto"/>
              <w:jc w:val="left"/>
              <w:rPr>
                <w:rFonts w:ascii="宋体" w:hAnsi="宋体" w:cs="宋体"/>
                <w:color w:val="000000"/>
                <w:sz w:val="22"/>
                <w:szCs w:val="22"/>
              </w:rPr>
            </w:pPr>
          </w:p>
        </w:tc>
        <w:tc>
          <w:tcPr>
            <w:tcW w:w="1479" w:type="dxa"/>
            <w:vMerge w:val="continue"/>
            <w:tcBorders>
              <w:top w:val="nil"/>
              <w:left w:val="single" w:color="auto" w:sz="4" w:space="0"/>
              <w:bottom w:val="single" w:color="auto" w:sz="4" w:space="0"/>
              <w:right w:val="single" w:color="auto" w:sz="4" w:space="0"/>
            </w:tcBorders>
            <w:noWrap w:val="0"/>
            <w:vAlign w:val="center"/>
          </w:tcPr>
          <w:p w14:paraId="53E0733B">
            <w:pPr>
              <w:widowControl/>
              <w:spacing w:line="240" w:lineRule="auto"/>
              <w:jc w:val="left"/>
              <w:rPr>
                <w:rFonts w:ascii="宋体" w:hAnsi="宋体" w:cs="宋体"/>
                <w:color w:val="000000"/>
                <w:sz w:val="22"/>
                <w:szCs w:val="22"/>
              </w:rPr>
            </w:pPr>
          </w:p>
        </w:tc>
        <w:tc>
          <w:tcPr>
            <w:tcW w:w="4199" w:type="dxa"/>
            <w:tcBorders>
              <w:top w:val="nil"/>
              <w:left w:val="nil"/>
              <w:bottom w:val="single" w:color="auto" w:sz="4" w:space="0"/>
              <w:right w:val="single" w:color="auto" w:sz="4" w:space="0"/>
            </w:tcBorders>
            <w:noWrap w:val="0"/>
            <w:vAlign w:val="center"/>
          </w:tcPr>
          <w:p w14:paraId="7B94813C">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2、水环境治理设备正常使用，定期进行养护并检修电路，曝气、调水等电器控制柜及时上锁，设立安全警示标识，形成养护记录。</w:t>
            </w:r>
          </w:p>
        </w:tc>
        <w:tc>
          <w:tcPr>
            <w:tcW w:w="771" w:type="dxa"/>
            <w:tcBorders>
              <w:top w:val="nil"/>
              <w:left w:val="nil"/>
              <w:bottom w:val="single" w:color="auto" w:sz="4" w:space="0"/>
              <w:right w:val="single" w:color="auto" w:sz="4" w:space="0"/>
            </w:tcBorders>
            <w:noWrap/>
            <w:vAlign w:val="center"/>
          </w:tcPr>
          <w:p w14:paraId="05656492">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3</w:t>
            </w:r>
          </w:p>
        </w:tc>
        <w:tc>
          <w:tcPr>
            <w:tcW w:w="2508" w:type="dxa"/>
            <w:tcBorders>
              <w:top w:val="nil"/>
              <w:left w:val="nil"/>
              <w:bottom w:val="single" w:color="auto" w:sz="4" w:space="0"/>
              <w:right w:val="single" w:color="auto" w:sz="4" w:space="0"/>
            </w:tcBorders>
            <w:noWrap w:val="0"/>
            <w:vAlign w:val="center"/>
          </w:tcPr>
          <w:p w14:paraId="7F7A6D9F">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未正常养护无法使用，发现电器柜未及时上锁，未设立安全警示标识，每次扣1分</w:t>
            </w:r>
          </w:p>
        </w:tc>
        <w:tc>
          <w:tcPr>
            <w:tcW w:w="771" w:type="dxa"/>
            <w:tcBorders>
              <w:top w:val="nil"/>
              <w:left w:val="nil"/>
              <w:bottom w:val="single" w:color="auto" w:sz="4" w:space="0"/>
              <w:right w:val="single" w:color="auto" w:sz="4" w:space="0"/>
            </w:tcBorders>
            <w:noWrap/>
            <w:vAlign w:val="bottom"/>
          </w:tcPr>
          <w:p w14:paraId="3C68C931">
            <w:pPr>
              <w:widowControl/>
              <w:spacing w:line="240" w:lineRule="auto"/>
              <w:jc w:val="left"/>
              <w:rPr>
                <w:rFonts w:ascii="宋体" w:hAnsi="宋体" w:cs="宋体"/>
                <w:color w:val="000000"/>
                <w:sz w:val="22"/>
                <w:szCs w:val="22"/>
              </w:rPr>
            </w:pPr>
          </w:p>
        </w:tc>
      </w:tr>
      <w:tr w14:paraId="0A5E31BE">
        <w:tblPrEx>
          <w:tblCellMar>
            <w:top w:w="0" w:type="dxa"/>
            <w:left w:w="108" w:type="dxa"/>
            <w:bottom w:w="0" w:type="dxa"/>
            <w:right w:w="108" w:type="dxa"/>
          </w:tblCellMar>
        </w:tblPrEx>
        <w:trPr>
          <w:trHeight w:val="810" w:hRule="atLeast"/>
        </w:trPr>
        <w:tc>
          <w:tcPr>
            <w:tcW w:w="772" w:type="dxa"/>
            <w:vMerge w:val="continue"/>
            <w:tcBorders>
              <w:top w:val="nil"/>
              <w:left w:val="single" w:color="auto" w:sz="4" w:space="0"/>
              <w:bottom w:val="single" w:color="auto" w:sz="4" w:space="0"/>
              <w:right w:val="single" w:color="auto" w:sz="4" w:space="0"/>
            </w:tcBorders>
            <w:noWrap w:val="0"/>
            <w:vAlign w:val="center"/>
          </w:tcPr>
          <w:p w14:paraId="10E271CD">
            <w:pPr>
              <w:widowControl/>
              <w:spacing w:line="240" w:lineRule="auto"/>
              <w:jc w:val="left"/>
              <w:rPr>
                <w:rFonts w:ascii="宋体" w:hAnsi="宋体" w:cs="宋体"/>
                <w:color w:val="000000"/>
                <w:sz w:val="22"/>
                <w:szCs w:val="22"/>
              </w:rPr>
            </w:pPr>
          </w:p>
        </w:tc>
        <w:tc>
          <w:tcPr>
            <w:tcW w:w="1479" w:type="dxa"/>
            <w:vMerge w:val="continue"/>
            <w:tcBorders>
              <w:top w:val="nil"/>
              <w:left w:val="single" w:color="auto" w:sz="4" w:space="0"/>
              <w:bottom w:val="single" w:color="auto" w:sz="4" w:space="0"/>
              <w:right w:val="single" w:color="auto" w:sz="4" w:space="0"/>
            </w:tcBorders>
            <w:noWrap w:val="0"/>
            <w:vAlign w:val="center"/>
          </w:tcPr>
          <w:p w14:paraId="79884750">
            <w:pPr>
              <w:widowControl/>
              <w:spacing w:line="240" w:lineRule="auto"/>
              <w:jc w:val="left"/>
              <w:rPr>
                <w:rFonts w:ascii="宋体" w:hAnsi="宋体" w:cs="宋体"/>
                <w:color w:val="000000"/>
                <w:sz w:val="22"/>
                <w:szCs w:val="22"/>
              </w:rPr>
            </w:pPr>
          </w:p>
        </w:tc>
        <w:tc>
          <w:tcPr>
            <w:tcW w:w="4199" w:type="dxa"/>
            <w:tcBorders>
              <w:top w:val="nil"/>
              <w:left w:val="nil"/>
              <w:bottom w:val="single" w:color="auto" w:sz="4" w:space="0"/>
              <w:right w:val="single" w:color="auto" w:sz="4" w:space="0"/>
            </w:tcBorders>
            <w:noWrap w:val="0"/>
            <w:vAlign w:val="center"/>
          </w:tcPr>
          <w:p w14:paraId="4146B6C8">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3、河岸、河面绿植生长良好、及时打药，修剪、更换等。</w:t>
            </w:r>
          </w:p>
        </w:tc>
        <w:tc>
          <w:tcPr>
            <w:tcW w:w="771" w:type="dxa"/>
            <w:tcBorders>
              <w:top w:val="nil"/>
              <w:left w:val="nil"/>
              <w:bottom w:val="single" w:color="auto" w:sz="4" w:space="0"/>
              <w:right w:val="single" w:color="auto" w:sz="4" w:space="0"/>
            </w:tcBorders>
            <w:noWrap/>
            <w:vAlign w:val="center"/>
          </w:tcPr>
          <w:p w14:paraId="330E5094">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4</w:t>
            </w:r>
          </w:p>
        </w:tc>
        <w:tc>
          <w:tcPr>
            <w:tcW w:w="2508" w:type="dxa"/>
            <w:tcBorders>
              <w:top w:val="nil"/>
              <w:left w:val="nil"/>
              <w:bottom w:val="single" w:color="auto" w:sz="4" w:space="0"/>
              <w:right w:val="single" w:color="auto" w:sz="4" w:space="0"/>
            </w:tcBorders>
            <w:noWrap w:val="0"/>
            <w:vAlign w:val="center"/>
          </w:tcPr>
          <w:p w14:paraId="5CAADC27">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未正常养护，存在成片枯死植株，绿植生长超出范围线，每次扣1分</w:t>
            </w:r>
          </w:p>
        </w:tc>
        <w:tc>
          <w:tcPr>
            <w:tcW w:w="771" w:type="dxa"/>
            <w:tcBorders>
              <w:top w:val="nil"/>
              <w:left w:val="nil"/>
              <w:bottom w:val="single" w:color="auto" w:sz="4" w:space="0"/>
              <w:right w:val="single" w:color="auto" w:sz="4" w:space="0"/>
            </w:tcBorders>
            <w:noWrap/>
            <w:vAlign w:val="bottom"/>
          </w:tcPr>
          <w:p w14:paraId="674F7503">
            <w:pPr>
              <w:widowControl/>
              <w:spacing w:line="240" w:lineRule="auto"/>
              <w:jc w:val="left"/>
              <w:rPr>
                <w:rFonts w:ascii="宋体" w:hAnsi="宋体" w:cs="宋体"/>
                <w:color w:val="000000"/>
                <w:sz w:val="22"/>
                <w:szCs w:val="22"/>
              </w:rPr>
            </w:pPr>
          </w:p>
        </w:tc>
      </w:tr>
      <w:tr w14:paraId="11F44D2A">
        <w:tblPrEx>
          <w:tblCellMar>
            <w:top w:w="0" w:type="dxa"/>
            <w:left w:w="108" w:type="dxa"/>
            <w:bottom w:w="0" w:type="dxa"/>
            <w:right w:w="108" w:type="dxa"/>
          </w:tblCellMar>
        </w:tblPrEx>
        <w:trPr>
          <w:trHeight w:val="1080" w:hRule="atLeast"/>
        </w:trPr>
        <w:tc>
          <w:tcPr>
            <w:tcW w:w="772" w:type="dxa"/>
            <w:vMerge w:val="restart"/>
            <w:tcBorders>
              <w:top w:val="nil"/>
              <w:left w:val="single" w:color="auto" w:sz="4" w:space="0"/>
              <w:bottom w:val="single" w:color="auto" w:sz="4" w:space="0"/>
              <w:right w:val="single" w:color="auto" w:sz="4" w:space="0"/>
            </w:tcBorders>
            <w:noWrap/>
            <w:vAlign w:val="center"/>
          </w:tcPr>
          <w:p w14:paraId="6785A230">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4</w:t>
            </w:r>
          </w:p>
        </w:tc>
        <w:tc>
          <w:tcPr>
            <w:tcW w:w="1479" w:type="dxa"/>
            <w:vMerge w:val="restart"/>
            <w:tcBorders>
              <w:top w:val="nil"/>
              <w:left w:val="single" w:color="auto" w:sz="4" w:space="0"/>
              <w:bottom w:val="single" w:color="auto" w:sz="4" w:space="0"/>
              <w:right w:val="single" w:color="auto" w:sz="4" w:space="0"/>
            </w:tcBorders>
            <w:noWrap w:val="0"/>
            <w:vAlign w:val="center"/>
          </w:tcPr>
          <w:p w14:paraId="1D598761">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安全管理</w:t>
            </w:r>
            <w:r>
              <w:rPr>
                <w:rFonts w:hint="eastAsia" w:ascii="宋体" w:hAnsi="宋体" w:cs="宋体"/>
                <w:color w:val="000000"/>
                <w:sz w:val="22"/>
                <w:szCs w:val="22"/>
                <w:lang w:eastAsia="zh-CN"/>
              </w:rPr>
              <w:t>（</w:t>
            </w:r>
            <w:r>
              <w:rPr>
                <w:rFonts w:hint="eastAsia" w:ascii="宋体" w:hAnsi="宋体" w:cs="宋体"/>
                <w:color w:val="000000"/>
                <w:sz w:val="22"/>
                <w:szCs w:val="22"/>
              </w:rPr>
              <w:t>15</w:t>
            </w:r>
            <w:r>
              <w:rPr>
                <w:rFonts w:hint="eastAsia" w:ascii="宋体" w:hAnsi="宋体" w:cs="宋体"/>
                <w:color w:val="000000"/>
                <w:sz w:val="22"/>
                <w:szCs w:val="22"/>
                <w:lang w:eastAsia="zh-CN"/>
              </w:rPr>
              <w:t>）</w:t>
            </w:r>
          </w:p>
        </w:tc>
        <w:tc>
          <w:tcPr>
            <w:tcW w:w="4199" w:type="dxa"/>
            <w:tcBorders>
              <w:top w:val="nil"/>
              <w:left w:val="nil"/>
              <w:bottom w:val="single" w:color="auto" w:sz="4" w:space="0"/>
              <w:right w:val="single" w:color="auto" w:sz="4" w:space="0"/>
            </w:tcBorders>
            <w:noWrap w:val="0"/>
            <w:vAlign w:val="center"/>
          </w:tcPr>
          <w:p w14:paraId="71B634B7">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1、员工按规定着装，配备必要的作业和防护工具，确保一船两人，定期进行安全教育并形成书面记录。</w:t>
            </w:r>
          </w:p>
        </w:tc>
        <w:tc>
          <w:tcPr>
            <w:tcW w:w="771" w:type="dxa"/>
            <w:tcBorders>
              <w:top w:val="nil"/>
              <w:left w:val="nil"/>
              <w:bottom w:val="single" w:color="auto" w:sz="4" w:space="0"/>
              <w:right w:val="single" w:color="auto" w:sz="4" w:space="0"/>
            </w:tcBorders>
            <w:noWrap/>
            <w:vAlign w:val="center"/>
          </w:tcPr>
          <w:p w14:paraId="146A4F98">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5</w:t>
            </w:r>
          </w:p>
        </w:tc>
        <w:tc>
          <w:tcPr>
            <w:tcW w:w="2508" w:type="dxa"/>
            <w:tcBorders>
              <w:top w:val="nil"/>
              <w:left w:val="nil"/>
              <w:bottom w:val="single" w:color="auto" w:sz="4" w:space="0"/>
              <w:right w:val="single" w:color="auto" w:sz="4" w:space="0"/>
            </w:tcBorders>
            <w:noWrap w:val="0"/>
            <w:vAlign w:val="center"/>
          </w:tcPr>
          <w:p w14:paraId="5F0A684D">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发现不按规定着装及未配备必要的作业防护工具和安全教育记录，未一船两人的，每次扣2分</w:t>
            </w:r>
          </w:p>
        </w:tc>
        <w:tc>
          <w:tcPr>
            <w:tcW w:w="771" w:type="dxa"/>
            <w:tcBorders>
              <w:top w:val="nil"/>
              <w:left w:val="nil"/>
              <w:bottom w:val="single" w:color="auto" w:sz="4" w:space="0"/>
              <w:right w:val="single" w:color="auto" w:sz="4" w:space="0"/>
            </w:tcBorders>
            <w:noWrap/>
            <w:vAlign w:val="bottom"/>
          </w:tcPr>
          <w:p w14:paraId="604C3F0C">
            <w:pPr>
              <w:widowControl/>
              <w:spacing w:line="240" w:lineRule="auto"/>
              <w:jc w:val="left"/>
              <w:rPr>
                <w:rFonts w:ascii="宋体" w:hAnsi="宋体" w:cs="宋体"/>
                <w:color w:val="000000"/>
                <w:sz w:val="22"/>
                <w:szCs w:val="22"/>
              </w:rPr>
            </w:pPr>
          </w:p>
        </w:tc>
      </w:tr>
      <w:tr w14:paraId="06394561">
        <w:tblPrEx>
          <w:tblCellMar>
            <w:top w:w="0" w:type="dxa"/>
            <w:left w:w="108" w:type="dxa"/>
            <w:bottom w:w="0" w:type="dxa"/>
            <w:right w:w="108" w:type="dxa"/>
          </w:tblCellMar>
        </w:tblPrEx>
        <w:trPr>
          <w:trHeight w:val="540" w:hRule="atLeast"/>
        </w:trPr>
        <w:tc>
          <w:tcPr>
            <w:tcW w:w="772" w:type="dxa"/>
            <w:vMerge w:val="continue"/>
            <w:tcBorders>
              <w:top w:val="nil"/>
              <w:left w:val="single" w:color="auto" w:sz="4" w:space="0"/>
              <w:bottom w:val="single" w:color="auto" w:sz="4" w:space="0"/>
              <w:right w:val="single" w:color="auto" w:sz="4" w:space="0"/>
            </w:tcBorders>
            <w:noWrap w:val="0"/>
            <w:vAlign w:val="center"/>
          </w:tcPr>
          <w:p w14:paraId="3FC9405C">
            <w:pPr>
              <w:widowControl/>
              <w:spacing w:line="240" w:lineRule="auto"/>
              <w:jc w:val="left"/>
              <w:rPr>
                <w:rFonts w:ascii="宋体" w:hAnsi="宋体" w:cs="宋体"/>
                <w:color w:val="000000"/>
                <w:sz w:val="22"/>
                <w:szCs w:val="22"/>
              </w:rPr>
            </w:pPr>
          </w:p>
        </w:tc>
        <w:tc>
          <w:tcPr>
            <w:tcW w:w="1479" w:type="dxa"/>
            <w:vMerge w:val="continue"/>
            <w:tcBorders>
              <w:top w:val="nil"/>
              <w:left w:val="single" w:color="auto" w:sz="4" w:space="0"/>
              <w:bottom w:val="single" w:color="auto" w:sz="4" w:space="0"/>
              <w:right w:val="single" w:color="auto" w:sz="4" w:space="0"/>
            </w:tcBorders>
            <w:noWrap w:val="0"/>
            <w:vAlign w:val="center"/>
          </w:tcPr>
          <w:p w14:paraId="4AF2BB9F">
            <w:pPr>
              <w:widowControl/>
              <w:spacing w:line="240" w:lineRule="auto"/>
              <w:jc w:val="left"/>
              <w:rPr>
                <w:rFonts w:ascii="宋体" w:hAnsi="宋体" w:cs="宋体"/>
                <w:color w:val="000000"/>
                <w:sz w:val="22"/>
                <w:szCs w:val="22"/>
              </w:rPr>
            </w:pPr>
          </w:p>
        </w:tc>
        <w:tc>
          <w:tcPr>
            <w:tcW w:w="4199" w:type="dxa"/>
            <w:tcBorders>
              <w:top w:val="nil"/>
              <w:left w:val="nil"/>
              <w:bottom w:val="single" w:color="auto" w:sz="4" w:space="0"/>
              <w:right w:val="single" w:color="auto" w:sz="4" w:space="0"/>
            </w:tcBorders>
            <w:noWrap w:val="0"/>
            <w:vAlign w:val="center"/>
          </w:tcPr>
          <w:p w14:paraId="1506281F">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2、维护公示牌、宣传牌、保洁责任牌、规章制度、公司用工合同等。</w:t>
            </w:r>
          </w:p>
        </w:tc>
        <w:tc>
          <w:tcPr>
            <w:tcW w:w="771" w:type="dxa"/>
            <w:tcBorders>
              <w:top w:val="nil"/>
              <w:left w:val="nil"/>
              <w:bottom w:val="single" w:color="auto" w:sz="4" w:space="0"/>
              <w:right w:val="single" w:color="auto" w:sz="4" w:space="0"/>
            </w:tcBorders>
            <w:noWrap/>
            <w:vAlign w:val="center"/>
          </w:tcPr>
          <w:p w14:paraId="7642E60A">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5</w:t>
            </w:r>
          </w:p>
        </w:tc>
        <w:tc>
          <w:tcPr>
            <w:tcW w:w="2508" w:type="dxa"/>
            <w:tcBorders>
              <w:top w:val="nil"/>
              <w:left w:val="nil"/>
              <w:bottom w:val="single" w:color="auto" w:sz="4" w:space="0"/>
              <w:right w:val="single" w:color="auto" w:sz="4" w:space="0"/>
            </w:tcBorders>
            <w:noWrap w:val="0"/>
            <w:vAlign w:val="center"/>
          </w:tcPr>
          <w:p w14:paraId="21A3F37C">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缺一项扣1分</w:t>
            </w:r>
          </w:p>
        </w:tc>
        <w:tc>
          <w:tcPr>
            <w:tcW w:w="771" w:type="dxa"/>
            <w:tcBorders>
              <w:top w:val="nil"/>
              <w:left w:val="nil"/>
              <w:bottom w:val="single" w:color="auto" w:sz="4" w:space="0"/>
              <w:right w:val="single" w:color="auto" w:sz="4" w:space="0"/>
            </w:tcBorders>
            <w:noWrap/>
            <w:vAlign w:val="bottom"/>
          </w:tcPr>
          <w:p w14:paraId="45CE5B83">
            <w:pPr>
              <w:widowControl/>
              <w:spacing w:line="240" w:lineRule="auto"/>
              <w:jc w:val="left"/>
              <w:rPr>
                <w:rFonts w:ascii="宋体" w:hAnsi="宋体" w:cs="宋体"/>
                <w:color w:val="000000"/>
                <w:sz w:val="22"/>
                <w:szCs w:val="22"/>
              </w:rPr>
            </w:pPr>
          </w:p>
        </w:tc>
      </w:tr>
      <w:tr w14:paraId="078BBB7C">
        <w:tblPrEx>
          <w:tblCellMar>
            <w:top w:w="0" w:type="dxa"/>
            <w:left w:w="108" w:type="dxa"/>
            <w:bottom w:w="0" w:type="dxa"/>
            <w:right w:w="108" w:type="dxa"/>
          </w:tblCellMar>
        </w:tblPrEx>
        <w:trPr>
          <w:trHeight w:val="540" w:hRule="atLeast"/>
        </w:trPr>
        <w:tc>
          <w:tcPr>
            <w:tcW w:w="772" w:type="dxa"/>
            <w:vMerge w:val="continue"/>
            <w:tcBorders>
              <w:top w:val="nil"/>
              <w:left w:val="single" w:color="auto" w:sz="4" w:space="0"/>
              <w:bottom w:val="single" w:color="auto" w:sz="4" w:space="0"/>
              <w:right w:val="single" w:color="auto" w:sz="4" w:space="0"/>
            </w:tcBorders>
            <w:noWrap w:val="0"/>
            <w:vAlign w:val="center"/>
          </w:tcPr>
          <w:p w14:paraId="0C05869B">
            <w:pPr>
              <w:widowControl/>
              <w:spacing w:line="240" w:lineRule="auto"/>
              <w:jc w:val="left"/>
              <w:rPr>
                <w:rFonts w:ascii="宋体" w:hAnsi="宋体" w:cs="宋体"/>
                <w:color w:val="000000"/>
                <w:sz w:val="22"/>
                <w:szCs w:val="22"/>
              </w:rPr>
            </w:pPr>
          </w:p>
        </w:tc>
        <w:tc>
          <w:tcPr>
            <w:tcW w:w="1479" w:type="dxa"/>
            <w:vMerge w:val="continue"/>
            <w:tcBorders>
              <w:top w:val="nil"/>
              <w:left w:val="single" w:color="auto" w:sz="4" w:space="0"/>
              <w:bottom w:val="single" w:color="auto" w:sz="4" w:space="0"/>
              <w:right w:val="single" w:color="auto" w:sz="4" w:space="0"/>
            </w:tcBorders>
            <w:noWrap w:val="0"/>
            <w:vAlign w:val="center"/>
          </w:tcPr>
          <w:p w14:paraId="7C6B0EFF">
            <w:pPr>
              <w:widowControl/>
              <w:spacing w:line="240" w:lineRule="auto"/>
              <w:jc w:val="left"/>
              <w:rPr>
                <w:rFonts w:ascii="宋体" w:hAnsi="宋体" w:cs="宋体"/>
                <w:color w:val="000000"/>
                <w:sz w:val="22"/>
                <w:szCs w:val="22"/>
              </w:rPr>
            </w:pPr>
          </w:p>
        </w:tc>
        <w:tc>
          <w:tcPr>
            <w:tcW w:w="4199" w:type="dxa"/>
            <w:tcBorders>
              <w:top w:val="nil"/>
              <w:left w:val="nil"/>
              <w:bottom w:val="single" w:color="auto" w:sz="4" w:space="0"/>
              <w:right w:val="single" w:color="auto" w:sz="4" w:space="0"/>
            </w:tcBorders>
            <w:noWrap w:val="0"/>
            <w:vAlign w:val="center"/>
          </w:tcPr>
          <w:p w14:paraId="6012F9DF">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3、无安全生产责任事故。</w:t>
            </w:r>
          </w:p>
        </w:tc>
        <w:tc>
          <w:tcPr>
            <w:tcW w:w="771" w:type="dxa"/>
            <w:tcBorders>
              <w:top w:val="nil"/>
              <w:left w:val="nil"/>
              <w:bottom w:val="single" w:color="auto" w:sz="4" w:space="0"/>
              <w:right w:val="single" w:color="auto" w:sz="4" w:space="0"/>
            </w:tcBorders>
            <w:noWrap/>
            <w:vAlign w:val="center"/>
          </w:tcPr>
          <w:p w14:paraId="3702D7A4">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5</w:t>
            </w:r>
          </w:p>
        </w:tc>
        <w:tc>
          <w:tcPr>
            <w:tcW w:w="2508" w:type="dxa"/>
            <w:tcBorders>
              <w:top w:val="nil"/>
              <w:left w:val="nil"/>
              <w:bottom w:val="single" w:color="auto" w:sz="4" w:space="0"/>
              <w:right w:val="single" w:color="auto" w:sz="4" w:space="0"/>
            </w:tcBorders>
            <w:noWrap w:val="0"/>
            <w:vAlign w:val="center"/>
          </w:tcPr>
          <w:p w14:paraId="12977D7D">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发生一次扣5分，根据事故影响可解除养护合同</w:t>
            </w:r>
          </w:p>
        </w:tc>
        <w:tc>
          <w:tcPr>
            <w:tcW w:w="771" w:type="dxa"/>
            <w:tcBorders>
              <w:top w:val="nil"/>
              <w:left w:val="nil"/>
              <w:bottom w:val="single" w:color="auto" w:sz="4" w:space="0"/>
              <w:right w:val="single" w:color="auto" w:sz="4" w:space="0"/>
            </w:tcBorders>
            <w:noWrap/>
            <w:vAlign w:val="bottom"/>
          </w:tcPr>
          <w:p w14:paraId="23FE3472">
            <w:pPr>
              <w:widowControl/>
              <w:spacing w:line="240" w:lineRule="auto"/>
              <w:jc w:val="left"/>
              <w:rPr>
                <w:rFonts w:ascii="宋体" w:hAnsi="宋体" w:cs="宋体"/>
                <w:color w:val="000000"/>
                <w:sz w:val="22"/>
                <w:szCs w:val="22"/>
              </w:rPr>
            </w:pPr>
          </w:p>
        </w:tc>
      </w:tr>
      <w:tr w14:paraId="6201E39D">
        <w:tblPrEx>
          <w:tblCellMar>
            <w:top w:w="0" w:type="dxa"/>
            <w:left w:w="108" w:type="dxa"/>
            <w:bottom w:w="0" w:type="dxa"/>
            <w:right w:w="108" w:type="dxa"/>
          </w:tblCellMar>
        </w:tblPrEx>
        <w:trPr>
          <w:trHeight w:val="540" w:hRule="atLeast"/>
        </w:trPr>
        <w:tc>
          <w:tcPr>
            <w:tcW w:w="772" w:type="dxa"/>
            <w:vMerge w:val="restart"/>
            <w:tcBorders>
              <w:top w:val="nil"/>
              <w:left w:val="single" w:color="auto" w:sz="4" w:space="0"/>
              <w:bottom w:val="single" w:color="auto" w:sz="4" w:space="0"/>
              <w:right w:val="single" w:color="auto" w:sz="4" w:space="0"/>
            </w:tcBorders>
            <w:noWrap/>
            <w:vAlign w:val="center"/>
          </w:tcPr>
          <w:p w14:paraId="2791094F">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5</w:t>
            </w:r>
          </w:p>
        </w:tc>
        <w:tc>
          <w:tcPr>
            <w:tcW w:w="1479" w:type="dxa"/>
            <w:vMerge w:val="restart"/>
            <w:tcBorders>
              <w:top w:val="nil"/>
              <w:left w:val="single" w:color="auto" w:sz="4" w:space="0"/>
              <w:bottom w:val="single" w:color="auto" w:sz="4" w:space="0"/>
              <w:right w:val="single" w:color="auto" w:sz="4" w:space="0"/>
            </w:tcBorders>
            <w:noWrap w:val="0"/>
            <w:vAlign w:val="center"/>
          </w:tcPr>
          <w:p w14:paraId="6F85C0C0">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养护台账管理</w:t>
            </w:r>
            <w:r>
              <w:rPr>
                <w:rFonts w:hint="eastAsia" w:ascii="宋体" w:hAnsi="宋体" w:cs="宋体"/>
                <w:color w:val="000000"/>
                <w:sz w:val="22"/>
                <w:szCs w:val="22"/>
                <w:lang w:eastAsia="zh-CN"/>
              </w:rPr>
              <w:t>（</w:t>
            </w:r>
            <w:r>
              <w:rPr>
                <w:rFonts w:hint="eastAsia" w:ascii="宋体" w:hAnsi="宋体" w:cs="宋体"/>
                <w:color w:val="000000"/>
                <w:sz w:val="22"/>
                <w:szCs w:val="22"/>
              </w:rPr>
              <w:t>10</w:t>
            </w:r>
            <w:r>
              <w:rPr>
                <w:rFonts w:hint="eastAsia" w:ascii="宋体" w:hAnsi="宋体" w:cs="宋体"/>
                <w:color w:val="000000"/>
                <w:sz w:val="22"/>
                <w:szCs w:val="22"/>
                <w:lang w:eastAsia="zh-CN"/>
              </w:rPr>
              <w:t>）</w:t>
            </w:r>
          </w:p>
        </w:tc>
        <w:tc>
          <w:tcPr>
            <w:tcW w:w="4199" w:type="dxa"/>
            <w:tcBorders>
              <w:top w:val="nil"/>
              <w:left w:val="nil"/>
              <w:bottom w:val="single" w:color="auto" w:sz="4" w:space="0"/>
              <w:right w:val="single" w:color="auto" w:sz="4" w:space="0"/>
            </w:tcBorders>
            <w:noWrap w:val="0"/>
            <w:vAlign w:val="center"/>
          </w:tcPr>
          <w:p w14:paraId="7EEC24C2">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1、检查巡查，日常养护，应急处置和水质监测维护等各项内容记录装订成册</w:t>
            </w:r>
          </w:p>
        </w:tc>
        <w:tc>
          <w:tcPr>
            <w:tcW w:w="771" w:type="dxa"/>
            <w:tcBorders>
              <w:top w:val="nil"/>
              <w:left w:val="nil"/>
              <w:bottom w:val="single" w:color="auto" w:sz="4" w:space="0"/>
              <w:right w:val="single" w:color="auto" w:sz="4" w:space="0"/>
            </w:tcBorders>
            <w:noWrap/>
            <w:vAlign w:val="center"/>
          </w:tcPr>
          <w:p w14:paraId="504C314E">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5</w:t>
            </w:r>
          </w:p>
        </w:tc>
        <w:tc>
          <w:tcPr>
            <w:tcW w:w="2508" w:type="dxa"/>
            <w:tcBorders>
              <w:top w:val="nil"/>
              <w:left w:val="nil"/>
              <w:bottom w:val="single" w:color="auto" w:sz="4" w:space="0"/>
              <w:right w:val="single" w:color="auto" w:sz="4" w:space="0"/>
            </w:tcBorders>
            <w:noWrap w:val="0"/>
            <w:vAlign w:val="center"/>
          </w:tcPr>
          <w:p w14:paraId="530836A0">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缺一项扣2分</w:t>
            </w:r>
          </w:p>
        </w:tc>
        <w:tc>
          <w:tcPr>
            <w:tcW w:w="771" w:type="dxa"/>
            <w:tcBorders>
              <w:top w:val="nil"/>
              <w:left w:val="nil"/>
              <w:bottom w:val="single" w:color="auto" w:sz="4" w:space="0"/>
              <w:right w:val="single" w:color="auto" w:sz="4" w:space="0"/>
            </w:tcBorders>
            <w:noWrap/>
            <w:vAlign w:val="bottom"/>
          </w:tcPr>
          <w:p w14:paraId="6F3282D3">
            <w:pPr>
              <w:widowControl/>
              <w:spacing w:line="240" w:lineRule="auto"/>
              <w:jc w:val="left"/>
              <w:rPr>
                <w:rFonts w:ascii="宋体" w:hAnsi="宋体" w:cs="宋体"/>
                <w:color w:val="000000"/>
                <w:sz w:val="22"/>
                <w:szCs w:val="22"/>
              </w:rPr>
            </w:pPr>
          </w:p>
        </w:tc>
      </w:tr>
      <w:tr w14:paraId="206461AA">
        <w:tblPrEx>
          <w:tblCellMar>
            <w:top w:w="0" w:type="dxa"/>
            <w:left w:w="108" w:type="dxa"/>
            <w:bottom w:w="0" w:type="dxa"/>
            <w:right w:w="108" w:type="dxa"/>
          </w:tblCellMar>
        </w:tblPrEx>
        <w:trPr>
          <w:trHeight w:val="540" w:hRule="atLeast"/>
        </w:trPr>
        <w:tc>
          <w:tcPr>
            <w:tcW w:w="772" w:type="dxa"/>
            <w:vMerge w:val="continue"/>
            <w:tcBorders>
              <w:top w:val="nil"/>
              <w:left w:val="single" w:color="auto" w:sz="4" w:space="0"/>
              <w:bottom w:val="single" w:color="auto" w:sz="4" w:space="0"/>
              <w:right w:val="single" w:color="auto" w:sz="4" w:space="0"/>
            </w:tcBorders>
            <w:noWrap w:val="0"/>
            <w:vAlign w:val="center"/>
          </w:tcPr>
          <w:p w14:paraId="12EED5F0">
            <w:pPr>
              <w:widowControl/>
              <w:spacing w:line="240" w:lineRule="auto"/>
              <w:jc w:val="left"/>
              <w:rPr>
                <w:rFonts w:ascii="宋体" w:hAnsi="宋体" w:cs="宋体"/>
                <w:color w:val="000000"/>
                <w:sz w:val="22"/>
                <w:szCs w:val="22"/>
              </w:rPr>
            </w:pPr>
          </w:p>
        </w:tc>
        <w:tc>
          <w:tcPr>
            <w:tcW w:w="1479" w:type="dxa"/>
            <w:vMerge w:val="continue"/>
            <w:tcBorders>
              <w:top w:val="nil"/>
              <w:left w:val="single" w:color="auto" w:sz="4" w:space="0"/>
              <w:bottom w:val="single" w:color="auto" w:sz="4" w:space="0"/>
              <w:right w:val="single" w:color="auto" w:sz="4" w:space="0"/>
            </w:tcBorders>
            <w:noWrap w:val="0"/>
            <w:vAlign w:val="center"/>
          </w:tcPr>
          <w:p w14:paraId="118F3140">
            <w:pPr>
              <w:widowControl/>
              <w:spacing w:line="240" w:lineRule="auto"/>
              <w:jc w:val="left"/>
              <w:rPr>
                <w:rFonts w:ascii="宋体" w:hAnsi="宋体" w:cs="宋体"/>
                <w:color w:val="000000"/>
                <w:sz w:val="22"/>
                <w:szCs w:val="22"/>
              </w:rPr>
            </w:pPr>
          </w:p>
        </w:tc>
        <w:tc>
          <w:tcPr>
            <w:tcW w:w="4199" w:type="dxa"/>
            <w:tcBorders>
              <w:top w:val="nil"/>
              <w:left w:val="nil"/>
              <w:bottom w:val="single" w:color="auto" w:sz="4" w:space="0"/>
              <w:right w:val="single" w:color="auto" w:sz="4" w:space="0"/>
            </w:tcBorders>
            <w:noWrap w:val="0"/>
            <w:vAlign w:val="center"/>
          </w:tcPr>
          <w:p w14:paraId="63B74546">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2、及时上报养护计划，人员设备清单及各项原始记录。</w:t>
            </w:r>
          </w:p>
        </w:tc>
        <w:tc>
          <w:tcPr>
            <w:tcW w:w="771" w:type="dxa"/>
            <w:tcBorders>
              <w:top w:val="nil"/>
              <w:left w:val="nil"/>
              <w:bottom w:val="single" w:color="auto" w:sz="4" w:space="0"/>
              <w:right w:val="single" w:color="auto" w:sz="4" w:space="0"/>
            </w:tcBorders>
            <w:noWrap/>
            <w:vAlign w:val="center"/>
          </w:tcPr>
          <w:p w14:paraId="5FB2575C">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5</w:t>
            </w:r>
          </w:p>
        </w:tc>
        <w:tc>
          <w:tcPr>
            <w:tcW w:w="2508" w:type="dxa"/>
            <w:tcBorders>
              <w:top w:val="nil"/>
              <w:left w:val="nil"/>
              <w:bottom w:val="single" w:color="auto" w:sz="4" w:space="0"/>
              <w:right w:val="single" w:color="auto" w:sz="4" w:space="0"/>
            </w:tcBorders>
            <w:noWrap w:val="0"/>
            <w:vAlign w:val="center"/>
          </w:tcPr>
          <w:p w14:paraId="5F667252">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缺及漏报一次扣2分</w:t>
            </w:r>
          </w:p>
        </w:tc>
        <w:tc>
          <w:tcPr>
            <w:tcW w:w="771" w:type="dxa"/>
            <w:tcBorders>
              <w:top w:val="nil"/>
              <w:left w:val="nil"/>
              <w:bottom w:val="single" w:color="auto" w:sz="4" w:space="0"/>
              <w:right w:val="single" w:color="auto" w:sz="4" w:space="0"/>
            </w:tcBorders>
            <w:noWrap/>
            <w:vAlign w:val="bottom"/>
          </w:tcPr>
          <w:p w14:paraId="15EFEB67">
            <w:pPr>
              <w:widowControl/>
              <w:spacing w:line="240" w:lineRule="auto"/>
              <w:jc w:val="left"/>
              <w:rPr>
                <w:rFonts w:ascii="宋体" w:hAnsi="宋体" w:cs="宋体"/>
                <w:color w:val="000000"/>
                <w:sz w:val="22"/>
                <w:szCs w:val="22"/>
              </w:rPr>
            </w:pPr>
          </w:p>
        </w:tc>
      </w:tr>
      <w:tr w14:paraId="12D018BF">
        <w:tblPrEx>
          <w:tblCellMar>
            <w:top w:w="0" w:type="dxa"/>
            <w:left w:w="108" w:type="dxa"/>
            <w:bottom w:w="0" w:type="dxa"/>
            <w:right w:w="108" w:type="dxa"/>
          </w:tblCellMar>
        </w:tblPrEx>
        <w:trPr>
          <w:trHeight w:val="1350" w:hRule="atLeast"/>
        </w:trPr>
        <w:tc>
          <w:tcPr>
            <w:tcW w:w="772" w:type="dxa"/>
            <w:tcBorders>
              <w:top w:val="nil"/>
              <w:left w:val="single" w:color="auto" w:sz="4" w:space="0"/>
              <w:bottom w:val="single" w:color="auto" w:sz="4" w:space="0"/>
              <w:right w:val="single" w:color="auto" w:sz="4" w:space="0"/>
            </w:tcBorders>
            <w:noWrap/>
            <w:vAlign w:val="center"/>
          </w:tcPr>
          <w:p w14:paraId="27A57F1C">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6</w:t>
            </w:r>
          </w:p>
        </w:tc>
        <w:tc>
          <w:tcPr>
            <w:tcW w:w="1479" w:type="dxa"/>
            <w:tcBorders>
              <w:top w:val="nil"/>
              <w:left w:val="nil"/>
              <w:bottom w:val="single" w:color="auto" w:sz="4" w:space="0"/>
              <w:right w:val="single" w:color="auto" w:sz="4" w:space="0"/>
            </w:tcBorders>
            <w:noWrap w:val="0"/>
            <w:vAlign w:val="center"/>
          </w:tcPr>
          <w:p w14:paraId="58BDBE48">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水质效果</w:t>
            </w:r>
            <w:r>
              <w:rPr>
                <w:rFonts w:hint="eastAsia" w:ascii="宋体" w:hAnsi="宋体" w:cs="宋体"/>
                <w:color w:val="000000"/>
                <w:sz w:val="22"/>
                <w:szCs w:val="22"/>
                <w:lang w:eastAsia="zh-CN"/>
              </w:rPr>
              <w:t>（</w:t>
            </w:r>
            <w:r>
              <w:rPr>
                <w:rFonts w:hint="eastAsia" w:ascii="宋体" w:hAnsi="宋体" w:cs="宋体"/>
                <w:color w:val="000000"/>
                <w:sz w:val="22"/>
                <w:szCs w:val="22"/>
              </w:rPr>
              <w:t>20</w:t>
            </w:r>
            <w:r>
              <w:rPr>
                <w:rFonts w:hint="eastAsia" w:ascii="宋体" w:hAnsi="宋体" w:cs="宋体"/>
                <w:color w:val="000000"/>
                <w:sz w:val="22"/>
                <w:szCs w:val="22"/>
                <w:lang w:eastAsia="zh-CN"/>
              </w:rPr>
              <w:t>）</w:t>
            </w:r>
          </w:p>
        </w:tc>
        <w:tc>
          <w:tcPr>
            <w:tcW w:w="4199" w:type="dxa"/>
            <w:tcBorders>
              <w:top w:val="nil"/>
              <w:left w:val="nil"/>
              <w:bottom w:val="single" w:color="auto" w:sz="4" w:space="0"/>
              <w:right w:val="single" w:color="auto" w:sz="4" w:space="0"/>
            </w:tcBorders>
            <w:noWrap w:val="0"/>
            <w:vAlign w:val="center"/>
          </w:tcPr>
          <w:p w14:paraId="4150AA37">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十天一次定期开展水质自测，上级水质监测前需自测并上报数据，水质</w:t>
            </w:r>
            <w:r>
              <w:rPr>
                <w:rFonts w:hint="eastAsia" w:ascii="宋体" w:hAnsi="宋体" w:cs="宋体"/>
                <w:color w:val="000000"/>
                <w:sz w:val="22"/>
                <w:szCs w:val="22"/>
                <w:lang w:eastAsia="zh-CN"/>
              </w:rPr>
              <w:t>达到</w:t>
            </w:r>
            <w:r>
              <w:rPr>
                <w:rFonts w:hint="eastAsia" w:ascii="宋体" w:hAnsi="宋体" w:cs="宋体"/>
                <w:color w:val="000000"/>
                <w:sz w:val="22"/>
                <w:szCs w:val="22"/>
              </w:rPr>
              <w:t>Ⅲ类及以上；在汛期期间水质至少达到Ⅳ类及以上</w:t>
            </w:r>
            <w:r>
              <w:rPr>
                <w:rFonts w:hint="eastAsia" w:ascii="宋体" w:hAnsi="宋体" w:cs="宋体"/>
                <w:color w:val="000000"/>
                <w:sz w:val="22"/>
                <w:szCs w:val="22"/>
                <w:lang w:eastAsia="zh-CN"/>
              </w:rPr>
              <w:t>（</w:t>
            </w:r>
            <w:r>
              <w:rPr>
                <w:rFonts w:hint="eastAsia" w:ascii="宋体" w:hAnsi="宋体" w:cs="宋体"/>
                <w:color w:val="000000"/>
                <w:sz w:val="22"/>
                <w:szCs w:val="22"/>
              </w:rPr>
              <w:t>突发污染、河道施工等特殊情况导致水质下降除外</w:t>
            </w:r>
            <w:r>
              <w:rPr>
                <w:rFonts w:hint="eastAsia" w:ascii="宋体" w:hAnsi="宋体" w:cs="宋体"/>
                <w:color w:val="000000"/>
                <w:sz w:val="22"/>
                <w:szCs w:val="22"/>
                <w:lang w:eastAsia="zh-CN"/>
              </w:rPr>
              <w:t>）</w:t>
            </w:r>
            <w:r>
              <w:rPr>
                <w:rFonts w:hint="eastAsia" w:ascii="宋体" w:hAnsi="宋体" w:cs="宋体"/>
                <w:color w:val="000000"/>
                <w:sz w:val="22"/>
                <w:szCs w:val="22"/>
              </w:rPr>
              <w:t>。</w:t>
            </w:r>
          </w:p>
        </w:tc>
        <w:tc>
          <w:tcPr>
            <w:tcW w:w="771" w:type="dxa"/>
            <w:tcBorders>
              <w:top w:val="nil"/>
              <w:left w:val="nil"/>
              <w:bottom w:val="single" w:color="auto" w:sz="4" w:space="0"/>
              <w:right w:val="single" w:color="auto" w:sz="4" w:space="0"/>
            </w:tcBorders>
            <w:noWrap/>
            <w:vAlign w:val="center"/>
          </w:tcPr>
          <w:p w14:paraId="383BA92B">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20</w:t>
            </w:r>
          </w:p>
        </w:tc>
        <w:tc>
          <w:tcPr>
            <w:tcW w:w="2508" w:type="dxa"/>
            <w:tcBorders>
              <w:top w:val="nil"/>
              <w:left w:val="nil"/>
              <w:bottom w:val="single" w:color="auto" w:sz="4" w:space="0"/>
              <w:right w:val="single" w:color="auto" w:sz="4" w:space="0"/>
            </w:tcBorders>
            <w:noWrap w:val="0"/>
            <w:vAlign w:val="center"/>
          </w:tcPr>
          <w:p w14:paraId="0B22751E">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水质不达标，市级通报一次扣5分，区级通报、街道第三方监测不合格一次扣3分，未及时自测水质或上报扣2分</w:t>
            </w:r>
          </w:p>
        </w:tc>
        <w:tc>
          <w:tcPr>
            <w:tcW w:w="771" w:type="dxa"/>
            <w:tcBorders>
              <w:top w:val="nil"/>
              <w:left w:val="nil"/>
              <w:bottom w:val="single" w:color="auto" w:sz="4" w:space="0"/>
              <w:right w:val="single" w:color="auto" w:sz="4" w:space="0"/>
            </w:tcBorders>
            <w:noWrap/>
            <w:vAlign w:val="bottom"/>
          </w:tcPr>
          <w:p w14:paraId="752893D7">
            <w:pPr>
              <w:widowControl/>
              <w:spacing w:line="240" w:lineRule="auto"/>
              <w:jc w:val="left"/>
              <w:rPr>
                <w:rFonts w:ascii="宋体" w:hAnsi="宋体" w:cs="宋体"/>
                <w:color w:val="000000"/>
                <w:sz w:val="22"/>
                <w:szCs w:val="22"/>
              </w:rPr>
            </w:pPr>
          </w:p>
        </w:tc>
      </w:tr>
      <w:tr w14:paraId="4500290C">
        <w:tblPrEx>
          <w:tblCellMar>
            <w:top w:w="0" w:type="dxa"/>
            <w:left w:w="108" w:type="dxa"/>
            <w:bottom w:w="0" w:type="dxa"/>
            <w:right w:w="108" w:type="dxa"/>
          </w:tblCellMar>
        </w:tblPrEx>
        <w:trPr>
          <w:trHeight w:val="540" w:hRule="atLeast"/>
        </w:trPr>
        <w:tc>
          <w:tcPr>
            <w:tcW w:w="772" w:type="dxa"/>
            <w:vMerge w:val="restart"/>
            <w:tcBorders>
              <w:top w:val="nil"/>
              <w:left w:val="single" w:color="auto" w:sz="4" w:space="0"/>
              <w:bottom w:val="single" w:color="auto" w:sz="4" w:space="0"/>
              <w:right w:val="single" w:color="auto" w:sz="4" w:space="0"/>
            </w:tcBorders>
            <w:noWrap/>
            <w:vAlign w:val="center"/>
          </w:tcPr>
          <w:p w14:paraId="3DA5F191">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7</w:t>
            </w:r>
          </w:p>
        </w:tc>
        <w:tc>
          <w:tcPr>
            <w:tcW w:w="1479" w:type="dxa"/>
            <w:vMerge w:val="restart"/>
            <w:tcBorders>
              <w:top w:val="nil"/>
              <w:left w:val="single" w:color="auto" w:sz="4" w:space="0"/>
              <w:bottom w:val="single" w:color="auto" w:sz="4" w:space="0"/>
              <w:right w:val="single" w:color="auto" w:sz="4" w:space="0"/>
            </w:tcBorders>
            <w:noWrap w:val="0"/>
            <w:vAlign w:val="center"/>
          </w:tcPr>
          <w:p w14:paraId="3D8D950B">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应急处置（15）</w:t>
            </w:r>
          </w:p>
        </w:tc>
        <w:tc>
          <w:tcPr>
            <w:tcW w:w="4199" w:type="dxa"/>
            <w:tcBorders>
              <w:top w:val="nil"/>
              <w:left w:val="nil"/>
              <w:bottom w:val="single" w:color="auto" w:sz="4" w:space="0"/>
              <w:right w:val="single" w:color="auto" w:sz="4" w:space="0"/>
            </w:tcBorders>
            <w:noWrap w:val="0"/>
            <w:vAlign w:val="center"/>
          </w:tcPr>
          <w:p w14:paraId="70945A96">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1、河道发生突发污染情况，水质产生波动及时上报并应急处理。</w:t>
            </w:r>
          </w:p>
        </w:tc>
        <w:tc>
          <w:tcPr>
            <w:tcW w:w="771" w:type="dxa"/>
            <w:tcBorders>
              <w:top w:val="nil"/>
              <w:left w:val="nil"/>
              <w:bottom w:val="single" w:color="auto" w:sz="4" w:space="0"/>
              <w:right w:val="single" w:color="auto" w:sz="4" w:space="0"/>
            </w:tcBorders>
            <w:noWrap/>
            <w:vAlign w:val="center"/>
          </w:tcPr>
          <w:p w14:paraId="7C9E6E28">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5</w:t>
            </w:r>
          </w:p>
        </w:tc>
        <w:tc>
          <w:tcPr>
            <w:tcW w:w="2508" w:type="dxa"/>
            <w:tcBorders>
              <w:top w:val="nil"/>
              <w:left w:val="nil"/>
              <w:bottom w:val="single" w:color="auto" w:sz="4" w:space="0"/>
              <w:right w:val="single" w:color="auto" w:sz="4" w:space="0"/>
            </w:tcBorders>
            <w:noWrap w:val="0"/>
            <w:vAlign w:val="center"/>
          </w:tcPr>
          <w:p w14:paraId="1322885A">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未及时上报扣3分，未应急处理或无效果扣2分</w:t>
            </w:r>
          </w:p>
        </w:tc>
        <w:tc>
          <w:tcPr>
            <w:tcW w:w="771" w:type="dxa"/>
            <w:tcBorders>
              <w:top w:val="nil"/>
              <w:left w:val="nil"/>
              <w:bottom w:val="single" w:color="auto" w:sz="4" w:space="0"/>
              <w:right w:val="single" w:color="auto" w:sz="4" w:space="0"/>
            </w:tcBorders>
            <w:noWrap/>
            <w:vAlign w:val="bottom"/>
          </w:tcPr>
          <w:p w14:paraId="2E781040">
            <w:pPr>
              <w:widowControl/>
              <w:spacing w:line="240" w:lineRule="auto"/>
              <w:jc w:val="left"/>
              <w:rPr>
                <w:rFonts w:ascii="宋体" w:hAnsi="宋体" w:cs="宋体"/>
                <w:color w:val="000000"/>
                <w:sz w:val="22"/>
                <w:szCs w:val="22"/>
              </w:rPr>
            </w:pPr>
          </w:p>
        </w:tc>
      </w:tr>
      <w:tr w14:paraId="6CC1C53B">
        <w:tblPrEx>
          <w:tblCellMar>
            <w:top w:w="0" w:type="dxa"/>
            <w:left w:w="108" w:type="dxa"/>
            <w:bottom w:w="0" w:type="dxa"/>
            <w:right w:w="108" w:type="dxa"/>
          </w:tblCellMar>
        </w:tblPrEx>
        <w:trPr>
          <w:trHeight w:val="810" w:hRule="atLeast"/>
        </w:trPr>
        <w:tc>
          <w:tcPr>
            <w:tcW w:w="772" w:type="dxa"/>
            <w:vMerge w:val="continue"/>
            <w:tcBorders>
              <w:top w:val="nil"/>
              <w:left w:val="single" w:color="auto" w:sz="4" w:space="0"/>
              <w:bottom w:val="single" w:color="auto" w:sz="4" w:space="0"/>
              <w:right w:val="single" w:color="auto" w:sz="4" w:space="0"/>
            </w:tcBorders>
            <w:noWrap w:val="0"/>
            <w:vAlign w:val="center"/>
          </w:tcPr>
          <w:p w14:paraId="78F6BCD5">
            <w:pPr>
              <w:widowControl/>
              <w:spacing w:line="240" w:lineRule="auto"/>
              <w:jc w:val="left"/>
              <w:rPr>
                <w:rFonts w:ascii="宋体" w:hAnsi="宋体" w:cs="宋体"/>
                <w:color w:val="000000"/>
                <w:sz w:val="22"/>
                <w:szCs w:val="22"/>
              </w:rPr>
            </w:pPr>
          </w:p>
        </w:tc>
        <w:tc>
          <w:tcPr>
            <w:tcW w:w="1479" w:type="dxa"/>
            <w:vMerge w:val="continue"/>
            <w:tcBorders>
              <w:top w:val="nil"/>
              <w:left w:val="single" w:color="auto" w:sz="4" w:space="0"/>
              <w:bottom w:val="single" w:color="auto" w:sz="4" w:space="0"/>
              <w:right w:val="single" w:color="auto" w:sz="4" w:space="0"/>
            </w:tcBorders>
            <w:noWrap w:val="0"/>
            <w:vAlign w:val="center"/>
          </w:tcPr>
          <w:p w14:paraId="5FE28E31">
            <w:pPr>
              <w:widowControl/>
              <w:spacing w:line="240" w:lineRule="auto"/>
              <w:jc w:val="left"/>
              <w:rPr>
                <w:rFonts w:ascii="宋体" w:hAnsi="宋体" w:cs="宋体"/>
                <w:color w:val="000000"/>
                <w:sz w:val="22"/>
                <w:szCs w:val="22"/>
              </w:rPr>
            </w:pPr>
          </w:p>
        </w:tc>
        <w:tc>
          <w:tcPr>
            <w:tcW w:w="4199" w:type="dxa"/>
            <w:tcBorders>
              <w:top w:val="nil"/>
              <w:left w:val="nil"/>
              <w:bottom w:val="single" w:color="auto" w:sz="4" w:space="0"/>
              <w:right w:val="single" w:color="auto" w:sz="4" w:space="0"/>
            </w:tcBorders>
            <w:noWrap w:val="0"/>
            <w:vAlign w:val="center"/>
          </w:tcPr>
          <w:p w14:paraId="76CFBC23">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2、及时做好甲方交办的各项应急处置、临时保障等工作，及时做好问题整改工作。响应时间不</w:t>
            </w:r>
            <w:r>
              <w:rPr>
                <w:rFonts w:hint="eastAsia" w:ascii="宋体" w:hAnsi="宋体" w:cs="宋体"/>
                <w:color w:val="000000"/>
                <w:sz w:val="22"/>
                <w:szCs w:val="22"/>
                <w:lang w:eastAsia="zh-CN"/>
              </w:rPr>
              <w:t>超过</w:t>
            </w:r>
            <w:r>
              <w:rPr>
                <w:rFonts w:hint="eastAsia" w:ascii="宋体" w:hAnsi="宋体" w:cs="宋体"/>
                <w:color w:val="000000"/>
                <w:sz w:val="22"/>
                <w:szCs w:val="22"/>
              </w:rPr>
              <w:t>2小时。</w:t>
            </w:r>
          </w:p>
        </w:tc>
        <w:tc>
          <w:tcPr>
            <w:tcW w:w="771" w:type="dxa"/>
            <w:tcBorders>
              <w:top w:val="nil"/>
              <w:left w:val="nil"/>
              <w:bottom w:val="single" w:color="auto" w:sz="4" w:space="0"/>
              <w:right w:val="single" w:color="auto" w:sz="4" w:space="0"/>
            </w:tcBorders>
            <w:noWrap/>
            <w:vAlign w:val="center"/>
          </w:tcPr>
          <w:p w14:paraId="1B57C8FE">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10</w:t>
            </w:r>
          </w:p>
        </w:tc>
        <w:tc>
          <w:tcPr>
            <w:tcW w:w="2508" w:type="dxa"/>
            <w:tcBorders>
              <w:top w:val="nil"/>
              <w:left w:val="nil"/>
              <w:bottom w:val="single" w:color="auto" w:sz="4" w:space="0"/>
              <w:right w:val="single" w:color="auto" w:sz="4" w:space="0"/>
            </w:tcBorders>
            <w:noWrap w:val="0"/>
            <w:vAlign w:val="center"/>
          </w:tcPr>
          <w:p w14:paraId="330FDCB7">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工作不到位、响应不及时的每次扣3分</w:t>
            </w:r>
          </w:p>
        </w:tc>
        <w:tc>
          <w:tcPr>
            <w:tcW w:w="771" w:type="dxa"/>
            <w:tcBorders>
              <w:top w:val="nil"/>
              <w:left w:val="nil"/>
              <w:bottom w:val="single" w:color="auto" w:sz="4" w:space="0"/>
              <w:right w:val="single" w:color="auto" w:sz="4" w:space="0"/>
            </w:tcBorders>
            <w:noWrap/>
            <w:vAlign w:val="bottom"/>
          </w:tcPr>
          <w:p w14:paraId="3A090196">
            <w:pPr>
              <w:widowControl/>
              <w:spacing w:line="240" w:lineRule="auto"/>
              <w:jc w:val="left"/>
              <w:rPr>
                <w:rFonts w:ascii="宋体" w:hAnsi="宋体" w:cs="宋体"/>
                <w:color w:val="000000"/>
                <w:sz w:val="22"/>
                <w:szCs w:val="22"/>
              </w:rPr>
            </w:pPr>
          </w:p>
        </w:tc>
      </w:tr>
      <w:tr w14:paraId="4EF5AD4E">
        <w:tblPrEx>
          <w:tblCellMar>
            <w:top w:w="0" w:type="dxa"/>
            <w:left w:w="108" w:type="dxa"/>
            <w:bottom w:w="0" w:type="dxa"/>
            <w:right w:w="108" w:type="dxa"/>
          </w:tblCellMar>
        </w:tblPrEx>
        <w:trPr>
          <w:trHeight w:val="270" w:hRule="atLeast"/>
        </w:trPr>
        <w:tc>
          <w:tcPr>
            <w:tcW w:w="2251" w:type="dxa"/>
            <w:gridSpan w:val="2"/>
            <w:tcBorders>
              <w:top w:val="single" w:color="auto" w:sz="4" w:space="0"/>
              <w:left w:val="single" w:color="auto" w:sz="4" w:space="0"/>
              <w:bottom w:val="single" w:color="auto" w:sz="4" w:space="0"/>
              <w:right w:val="single" w:color="auto" w:sz="4" w:space="0"/>
            </w:tcBorders>
            <w:noWrap/>
            <w:vAlign w:val="center"/>
          </w:tcPr>
          <w:p w14:paraId="16FB44FC">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考核得分</w:t>
            </w:r>
          </w:p>
        </w:tc>
        <w:tc>
          <w:tcPr>
            <w:tcW w:w="4199" w:type="dxa"/>
            <w:tcBorders>
              <w:top w:val="nil"/>
              <w:left w:val="nil"/>
              <w:bottom w:val="single" w:color="auto" w:sz="4" w:space="0"/>
              <w:right w:val="single" w:color="auto" w:sz="4" w:space="0"/>
            </w:tcBorders>
            <w:noWrap w:val="0"/>
            <w:vAlign w:val="center"/>
          </w:tcPr>
          <w:p w14:paraId="105421E3">
            <w:pPr>
              <w:widowControl/>
              <w:spacing w:line="240" w:lineRule="auto"/>
              <w:jc w:val="left"/>
              <w:rPr>
                <w:rFonts w:ascii="宋体" w:hAnsi="宋体" w:cs="宋体"/>
                <w:color w:val="000000"/>
                <w:sz w:val="22"/>
                <w:szCs w:val="22"/>
              </w:rPr>
            </w:pPr>
          </w:p>
        </w:tc>
        <w:tc>
          <w:tcPr>
            <w:tcW w:w="771" w:type="dxa"/>
            <w:tcBorders>
              <w:top w:val="nil"/>
              <w:left w:val="nil"/>
              <w:bottom w:val="single" w:color="auto" w:sz="4" w:space="0"/>
              <w:right w:val="single" w:color="auto" w:sz="4" w:space="0"/>
            </w:tcBorders>
            <w:noWrap/>
            <w:vAlign w:val="center"/>
          </w:tcPr>
          <w:p w14:paraId="1D4561DF">
            <w:pPr>
              <w:widowControl/>
              <w:spacing w:line="240" w:lineRule="auto"/>
              <w:jc w:val="center"/>
              <w:rPr>
                <w:rFonts w:ascii="宋体" w:hAnsi="宋体" w:cs="宋体"/>
                <w:color w:val="000000"/>
                <w:sz w:val="22"/>
                <w:szCs w:val="22"/>
              </w:rPr>
            </w:pPr>
          </w:p>
        </w:tc>
        <w:tc>
          <w:tcPr>
            <w:tcW w:w="2508" w:type="dxa"/>
            <w:tcBorders>
              <w:top w:val="nil"/>
              <w:left w:val="nil"/>
              <w:bottom w:val="single" w:color="auto" w:sz="4" w:space="0"/>
              <w:right w:val="single" w:color="auto" w:sz="4" w:space="0"/>
            </w:tcBorders>
            <w:noWrap w:val="0"/>
            <w:vAlign w:val="center"/>
          </w:tcPr>
          <w:p w14:paraId="53557880">
            <w:pPr>
              <w:widowControl/>
              <w:spacing w:line="240" w:lineRule="auto"/>
              <w:jc w:val="left"/>
              <w:rPr>
                <w:rFonts w:ascii="宋体" w:hAnsi="宋体" w:cs="宋体"/>
                <w:color w:val="000000"/>
                <w:sz w:val="22"/>
                <w:szCs w:val="22"/>
              </w:rPr>
            </w:pPr>
          </w:p>
        </w:tc>
        <w:tc>
          <w:tcPr>
            <w:tcW w:w="771" w:type="dxa"/>
            <w:tcBorders>
              <w:top w:val="nil"/>
              <w:left w:val="nil"/>
              <w:bottom w:val="single" w:color="auto" w:sz="4" w:space="0"/>
              <w:right w:val="single" w:color="auto" w:sz="4" w:space="0"/>
            </w:tcBorders>
            <w:noWrap/>
            <w:vAlign w:val="bottom"/>
          </w:tcPr>
          <w:p w14:paraId="03B2D6AE">
            <w:pPr>
              <w:widowControl/>
              <w:spacing w:line="240" w:lineRule="auto"/>
              <w:jc w:val="left"/>
              <w:rPr>
                <w:rFonts w:ascii="宋体" w:hAnsi="宋体" w:cs="宋体"/>
                <w:color w:val="000000"/>
                <w:sz w:val="22"/>
                <w:szCs w:val="22"/>
              </w:rPr>
            </w:pPr>
          </w:p>
        </w:tc>
      </w:tr>
      <w:tr w14:paraId="2C71C080">
        <w:tblPrEx>
          <w:tblCellMar>
            <w:top w:w="0" w:type="dxa"/>
            <w:left w:w="108" w:type="dxa"/>
            <w:bottom w:w="0" w:type="dxa"/>
            <w:right w:w="108" w:type="dxa"/>
          </w:tblCellMar>
        </w:tblPrEx>
        <w:trPr>
          <w:trHeight w:val="270" w:hRule="atLeast"/>
        </w:trPr>
        <w:tc>
          <w:tcPr>
            <w:tcW w:w="2251" w:type="dxa"/>
            <w:gridSpan w:val="2"/>
            <w:tcBorders>
              <w:top w:val="single" w:color="auto" w:sz="4" w:space="0"/>
              <w:left w:val="single" w:color="auto" w:sz="4" w:space="0"/>
              <w:bottom w:val="single" w:color="auto" w:sz="4" w:space="0"/>
              <w:right w:val="single" w:color="auto" w:sz="4" w:space="0"/>
            </w:tcBorders>
            <w:noWrap/>
            <w:vAlign w:val="center"/>
          </w:tcPr>
          <w:p w14:paraId="26B6F302">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考核扣款</w:t>
            </w:r>
          </w:p>
        </w:tc>
        <w:tc>
          <w:tcPr>
            <w:tcW w:w="4199" w:type="dxa"/>
            <w:tcBorders>
              <w:top w:val="nil"/>
              <w:left w:val="nil"/>
              <w:bottom w:val="single" w:color="auto" w:sz="4" w:space="0"/>
              <w:right w:val="single" w:color="auto" w:sz="4" w:space="0"/>
            </w:tcBorders>
            <w:noWrap w:val="0"/>
            <w:vAlign w:val="center"/>
          </w:tcPr>
          <w:p w14:paraId="604B8387">
            <w:pPr>
              <w:widowControl/>
              <w:spacing w:line="240" w:lineRule="auto"/>
              <w:jc w:val="left"/>
              <w:rPr>
                <w:rFonts w:ascii="宋体" w:hAnsi="宋体" w:cs="宋体"/>
                <w:color w:val="000000"/>
                <w:sz w:val="22"/>
                <w:szCs w:val="22"/>
              </w:rPr>
            </w:pPr>
          </w:p>
        </w:tc>
        <w:tc>
          <w:tcPr>
            <w:tcW w:w="771" w:type="dxa"/>
            <w:tcBorders>
              <w:top w:val="nil"/>
              <w:left w:val="nil"/>
              <w:bottom w:val="single" w:color="auto" w:sz="4" w:space="0"/>
              <w:right w:val="single" w:color="auto" w:sz="4" w:space="0"/>
            </w:tcBorders>
            <w:noWrap/>
            <w:vAlign w:val="center"/>
          </w:tcPr>
          <w:p w14:paraId="601833A4">
            <w:pPr>
              <w:widowControl/>
              <w:spacing w:line="240" w:lineRule="auto"/>
              <w:jc w:val="center"/>
              <w:rPr>
                <w:rFonts w:ascii="宋体" w:hAnsi="宋体" w:cs="宋体"/>
                <w:color w:val="000000"/>
                <w:sz w:val="22"/>
                <w:szCs w:val="22"/>
              </w:rPr>
            </w:pPr>
          </w:p>
        </w:tc>
        <w:tc>
          <w:tcPr>
            <w:tcW w:w="2508" w:type="dxa"/>
            <w:tcBorders>
              <w:top w:val="nil"/>
              <w:left w:val="nil"/>
              <w:bottom w:val="single" w:color="auto" w:sz="4" w:space="0"/>
              <w:right w:val="single" w:color="auto" w:sz="4" w:space="0"/>
            </w:tcBorders>
            <w:noWrap w:val="0"/>
            <w:vAlign w:val="center"/>
          </w:tcPr>
          <w:p w14:paraId="2DE25B22">
            <w:pPr>
              <w:widowControl/>
              <w:spacing w:line="240" w:lineRule="auto"/>
              <w:jc w:val="left"/>
              <w:rPr>
                <w:rFonts w:ascii="宋体" w:hAnsi="宋体" w:cs="宋体"/>
                <w:color w:val="000000"/>
                <w:sz w:val="22"/>
                <w:szCs w:val="22"/>
              </w:rPr>
            </w:pPr>
          </w:p>
        </w:tc>
        <w:tc>
          <w:tcPr>
            <w:tcW w:w="771" w:type="dxa"/>
            <w:tcBorders>
              <w:top w:val="nil"/>
              <w:left w:val="nil"/>
              <w:bottom w:val="single" w:color="auto" w:sz="4" w:space="0"/>
              <w:right w:val="single" w:color="auto" w:sz="4" w:space="0"/>
            </w:tcBorders>
            <w:noWrap/>
            <w:vAlign w:val="bottom"/>
          </w:tcPr>
          <w:p w14:paraId="018AA0A2">
            <w:pPr>
              <w:widowControl/>
              <w:spacing w:line="240" w:lineRule="auto"/>
              <w:jc w:val="left"/>
              <w:rPr>
                <w:rFonts w:ascii="宋体" w:hAnsi="宋体" w:cs="宋体"/>
                <w:color w:val="000000"/>
                <w:sz w:val="22"/>
                <w:szCs w:val="22"/>
              </w:rPr>
            </w:pPr>
          </w:p>
        </w:tc>
      </w:tr>
      <w:tr w14:paraId="148F11B1">
        <w:tblPrEx>
          <w:tblCellMar>
            <w:top w:w="0" w:type="dxa"/>
            <w:left w:w="108" w:type="dxa"/>
            <w:bottom w:w="0" w:type="dxa"/>
            <w:right w:w="108" w:type="dxa"/>
          </w:tblCellMar>
        </w:tblPrEx>
        <w:trPr>
          <w:trHeight w:val="270" w:hRule="atLeast"/>
        </w:trPr>
        <w:tc>
          <w:tcPr>
            <w:tcW w:w="2251" w:type="dxa"/>
            <w:gridSpan w:val="2"/>
            <w:vMerge w:val="restart"/>
            <w:tcBorders>
              <w:top w:val="single" w:color="auto" w:sz="4" w:space="0"/>
              <w:left w:val="single" w:color="auto" w:sz="4" w:space="0"/>
              <w:bottom w:val="single" w:color="000000" w:sz="4" w:space="0"/>
              <w:right w:val="single" w:color="000000" w:sz="4" w:space="0"/>
            </w:tcBorders>
            <w:noWrap/>
            <w:vAlign w:val="center"/>
          </w:tcPr>
          <w:p w14:paraId="4BE272F0">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备注</w:t>
            </w:r>
          </w:p>
        </w:tc>
        <w:tc>
          <w:tcPr>
            <w:tcW w:w="4199" w:type="dxa"/>
            <w:tcBorders>
              <w:top w:val="nil"/>
              <w:left w:val="nil"/>
              <w:bottom w:val="single" w:color="auto" w:sz="4" w:space="0"/>
              <w:right w:val="single" w:color="auto" w:sz="4" w:space="0"/>
            </w:tcBorders>
            <w:noWrap w:val="0"/>
            <w:vAlign w:val="center"/>
          </w:tcPr>
          <w:p w14:paraId="1EC004F9">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一、考核频次</w:t>
            </w:r>
            <w:r>
              <w:rPr>
                <w:rFonts w:hint="eastAsia" w:ascii="宋体" w:hAnsi="宋体" w:cs="宋体"/>
                <w:color w:val="000000"/>
                <w:sz w:val="22"/>
                <w:szCs w:val="22"/>
                <w:lang w:eastAsia="zh-CN"/>
              </w:rPr>
              <w:t>：</w:t>
            </w:r>
            <w:r>
              <w:rPr>
                <w:rFonts w:hint="eastAsia" w:ascii="宋体" w:hAnsi="宋体" w:cs="宋体"/>
                <w:color w:val="000000"/>
                <w:sz w:val="22"/>
                <w:szCs w:val="22"/>
              </w:rPr>
              <w:t>考核以月为单位。</w:t>
            </w:r>
          </w:p>
        </w:tc>
        <w:tc>
          <w:tcPr>
            <w:tcW w:w="771" w:type="dxa"/>
            <w:tcBorders>
              <w:top w:val="nil"/>
              <w:left w:val="nil"/>
              <w:bottom w:val="single" w:color="auto" w:sz="4" w:space="0"/>
              <w:right w:val="single" w:color="auto" w:sz="4" w:space="0"/>
            </w:tcBorders>
            <w:noWrap/>
            <w:vAlign w:val="center"/>
          </w:tcPr>
          <w:p w14:paraId="1E9CE3BF">
            <w:pPr>
              <w:widowControl/>
              <w:spacing w:line="240" w:lineRule="auto"/>
              <w:jc w:val="center"/>
              <w:rPr>
                <w:rFonts w:ascii="宋体" w:hAnsi="宋体" w:cs="宋体"/>
                <w:color w:val="000000"/>
                <w:sz w:val="22"/>
                <w:szCs w:val="22"/>
              </w:rPr>
            </w:pPr>
          </w:p>
        </w:tc>
        <w:tc>
          <w:tcPr>
            <w:tcW w:w="2508" w:type="dxa"/>
            <w:tcBorders>
              <w:top w:val="nil"/>
              <w:left w:val="nil"/>
              <w:bottom w:val="single" w:color="auto" w:sz="4" w:space="0"/>
              <w:right w:val="single" w:color="auto" w:sz="4" w:space="0"/>
            </w:tcBorders>
            <w:noWrap w:val="0"/>
            <w:vAlign w:val="center"/>
          </w:tcPr>
          <w:p w14:paraId="51BB5CC5">
            <w:pPr>
              <w:widowControl/>
              <w:spacing w:line="240" w:lineRule="auto"/>
              <w:jc w:val="left"/>
              <w:rPr>
                <w:rFonts w:ascii="宋体" w:hAnsi="宋体" w:cs="宋体"/>
                <w:color w:val="000000"/>
                <w:sz w:val="22"/>
                <w:szCs w:val="22"/>
              </w:rPr>
            </w:pPr>
          </w:p>
        </w:tc>
        <w:tc>
          <w:tcPr>
            <w:tcW w:w="771" w:type="dxa"/>
            <w:tcBorders>
              <w:top w:val="nil"/>
              <w:left w:val="nil"/>
              <w:bottom w:val="single" w:color="auto" w:sz="4" w:space="0"/>
              <w:right w:val="single" w:color="auto" w:sz="4" w:space="0"/>
            </w:tcBorders>
            <w:noWrap/>
            <w:vAlign w:val="bottom"/>
          </w:tcPr>
          <w:p w14:paraId="3A85A475">
            <w:pPr>
              <w:widowControl/>
              <w:spacing w:line="240" w:lineRule="auto"/>
              <w:jc w:val="left"/>
              <w:rPr>
                <w:rFonts w:ascii="宋体" w:hAnsi="宋体" w:cs="宋体"/>
                <w:color w:val="000000"/>
                <w:sz w:val="22"/>
                <w:szCs w:val="22"/>
              </w:rPr>
            </w:pPr>
          </w:p>
        </w:tc>
      </w:tr>
      <w:tr w14:paraId="7492B7D7">
        <w:tblPrEx>
          <w:tblCellMar>
            <w:top w:w="0" w:type="dxa"/>
            <w:left w:w="108" w:type="dxa"/>
            <w:bottom w:w="0" w:type="dxa"/>
            <w:right w:w="108" w:type="dxa"/>
          </w:tblCellMar>
        </w:tblPrEx>
        <w:trPr>
          <w:trHeight w:val="1080" w:hRule="atLeast"/>
        </w:trPr>
        <w:tc>
          <w:tcPr>
            <w:tcW w:w="2251" w:type="dxa"/>
            <w:gridSpan w:val="2"/>
            <w:vMerge w:val="continue"/>
            <w:tcBorders>
              <w:top w:val="single" w:color="auto" w:sz="4" w:space="0"/>
              <w:left w:val="single" w:color="auto" w:sz="4" w:space="0"/>
              <w:bottom w:val="single" w:color="000000" w:sz="4" w:space="0"/>
              <w:right w:val="single" w:color="000000" w:sz="4" w:space="0"/>
            </w:tcBorders>
            <w:noWrap w:val="0"/>
            <w:vAlign w:val="center"/>
          </w:tcPr>
          <w:p w14:paraId="038F9A44">
            <w:pPr>
              <w:widowControl/>
              <w:spacing w:line="240" w:lineRule="auto"/>
              <w:jc w:val="left"/>
              <w:rPr>
                <w:rFonts w:ascii="宋体" w:hAnsi="宋体" w:cs="宋体"/>
                <w:color w:val="000000"/>
                <w:sz w:val="22"/>
                <w:szCs w:val="22"/>
              </w:rPr>
            </w:pPr>
          </w:p>
        </w:tc>
        <w:tc>
          <w:tcPr>
            <w:tcW w:w="4199" w:type="dxa"/>
            <w:tcBorders>
              <w:top w:val="nil"/>
              <w:left w:val="nil"/>
              <w:bottom w:val="single" w:color="auto" w:sz="4" w:space="0"/>
              <w:right w:val="single" w:color="auto" w:sz="4" w:space="0"/>
            </w:tcBorders>
            <w:noWrap w:val="0"/>
            <w:vAlign w:val="center"/>
          </w:tcPr>
          <w:p w14:paraId="2737CC48">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二、扣款标准</w:t>
            </w:r>
            <w:r>
              <w:rPr>
                <w:rFonts w:hint="eastAsia" w:ascii="宋体" w:hAnsi="宋体" w:cs="宋体"/>
                <w:color w:val="000000"/>
                <w:sz w:val="22"/>
                <w:szCs w:val="22"/>
                <w:lang w:eastAsia="zh-CN"/>
              </w:rPr>
              <w:t>：</w:t>
            </w:r>
            <w:r>
              <w:rPr>
                <w:rFonts w:hint="eastAsia" w:ascii="宋体" w:hAnsi="宋体" w:cs="宋体"/>
                <w:color w:val="000000"/>
                <w:sz w:val="22"/>
                <w:szCs w:val="22"/>
              </w:rPr>
              <w:t>90</w:t>
            </w:r>
            <w:r>
              <w:rPr>
                <w:rFonts w:hint="eastAsia" w:ascii="宋体" w:hAnsi="宋体" w:cs="宋体"/>
                <w:color w:val="000000"/>
                <w:sz w:val="22"/>
                <w:szCs w:val="22"/>
                <w:lang w:eastAsia="zh-CN"/>
              </w:rPr>
              <w:t>—</w:t>
            </w:r>
            <w:r>
              <w:rPr>
                <w:rFonts w:hint="eastAsia" w:ascii="宋体" w:hAnsi="宋体" w:cs="宋体"/>
                <w:color w:val="000000"/>
                <w:sz w:val="22"/>
                <w:szCs w:val="22"/>
              </w:rPr>
              <w:t>100分，不扣款；85-90，每扣一分，于每月养护经费中扣除1000元；85以下每扣一分，于养护经费中扣除2000元。</w:t>
            </w:r>
          </w:p>
        </w:tc>
        <w:tc>
          <w:tcPr>
            <w:tcW w:w="771" w:type="dxa"/>
            <w:tcBorders>
              <w:top w:val="nil"/>
              <w:left w:val="nil"/>
              <w:bottom w:val="single" w:color="auto" w:sz="4" w:space="0"/>
              <w:right w:val="single" w:color="auto" w:sz="4" w:space="0"/>
            </w:tcBorders>
            <w:noWrap/>
            <w:vAlign w:val="center"/>
          </w:tcPr>
          <w:p w14:paraId="17FA786D">
            <w:pPr>
              <w:widowControl/>
              <w:spacing w:line="240" w:lineRule="auto"/>
              <w:jc w:val="center"/>
              <w:rPr>
                <w:rFonts w:ascii="宋体" w:hAnsi="宋体" w:cs="宋体"/>
                <w:color w:val="000000"/>
                <w:sz w:val="22"/>
                <w:szCs w:val="22"/>
              </w:rPr>
            </w:pPr>
          </w:p>
        </w:tc>
        <w:tc>
          <w:tcPr>
            <w:tcW w:w="2508" w:type="dxa"/>
            <w:tcBorders>
              <w:top w:val="nil"/>
              <w:left w:val="nil"/>
              <w:bottom w:val="single" w:color="auto" w:sz="4" w:space="0"/>
              <w:right w:val="single" w:color="auto" w:sz="4" w:space="0"/>
            </w:tcBorders>
            <w:noWrap w:val="0"/>
            <w:vAlign w:val="center"/>
          </w:tcPr>
          <w:p w14:paraId="100E1FCE">
            <w:pPr>
              <w:widowControl/>
              <w:spacing w:line="240" w:lineRule="auto"/>
              <w:jc w:val="left"/>
              <w:rPr>
                <w:rFonts w:ascii="宋体" w:hAnsi="宋体" w:cs="宋体"/>
                <w:color w:val="000000"/>
                <w:sz w:val="22"/>
                <w:szCs w:val="22"/>
              </w:rPr>
            </w:pPr>
          </w:p>
        </w:tc>
        <w:tc>
          <w:tcPr>
            <w:tcW w:w="771" w:type="dxa"/>
            <w:tcBorders>
              <w:top w:val="nil"/>
              <w:left w:val="nil"/>
              <w:bottom w:val="single" w:color="auto" w:sz="4" w:space="0"/>
              <w:right w:val="single" w:color="auto" w:sz="4" w:space="0"/>
            </w:tcBorders>
            <w:noWrap/>
            <w:vAlign w:val="bottom"/>
          </w:tcPr>
          <w:p w14:paraId="0A456E93">
            <w:pPr>
              <w:widowControl/>
              <w:spacing w:line="240" w:lineRule="auto"/>
              <w:jc w:val="left"/>
              <w:rPr>
                <w:rFonts w:ascii="宋体" w:hAnsi="宋体" w:cs="宋体"/>
                <w:color w:val="000000"/>
                <w:sz w:val="22"/>
                <w:szCs w:val="22"/>
              </w:rPr>
            </w:pPr>
          </w:p>
        </w:tc>
      </w:tr>
      <w:tr w14:paraId="392E9AB1">
        <w:tblPrEx>
          <w:tblCellMar>
            <w:top w:w="0" w:type="dxa"/>
            <w:left w:w="108" w:type="dxa"/>
            <w:bottom w:w="0" w:type="dxa"/>
            <w:right w:w="108" w:type="dxa"/>
          </w:tblCellMar>
        </w:tblPrEx>
        <w:trPr>
          <w:trHeight w:val="1350" w:hRule="atLeast"/>
        </w:trPr>
        <w:tc>
          <w:tcPr>
            <w:tcW w:w="2251" w:type="dxa"/>
            <w:gridSpan w:val="2"/>
            <w:vMerge w:val="continue"/>
            <w:tcBorders>
              <w:top w:val="single" w:color="auto" w:sz="4" w:space="0"/>
              <w:left w:val="single" w:color="auto" w:sz="4" w:space="0"/>
              <w:bottom w:val="single" w:color="000000" w:sz="4" w:space="0"/>
              <w:right w:val="single" w:color="000000" w:sz="4" w:space="0"/>
            </w:tcBorders>
            <w:noWrap w:val="0"/>
            <w:vAlign w:val="center"/>
          </w:tcPr>
          <w:p w14:paraId="5F8EC486">
            <w:pPr>
              <w:widowControl/>
              <w:spacing w:line="240" w:lineRule="auto"/>
              <w:jc w:val="left"/>
              <w:rPr>
                <w:rFonts w:ascii="宋体" w:hAnsi="宋体" w:cs="宋体"/>
                <w:color w:val="000000"/>
                <w:sz w:val="22"/>
                <w:szCs w:val="22"/>
              </w:rPr>
            </w:pPr>
          </w:p>
        </w:tc>
        <w:tc>
          <w:tcPr>
            <w:tcW w:w="4199" w:type="dxa"/>
            <w:tcBorders>
              <w:top w:val="nil"/>
              <w:left w:val="nil"/>
              <w:bottom w:val="single" w:color="auto" w:sz="4" w:space="0"/>
              <w:right w:val="single" w:color="auto" w:sz="4" w:space="0"/>
            </w:tcBorders>
            <w:noWrap w:val="0"/>
            <w:vAlign w:val="center"/>
          </w:tcPr>
          <w:p w14:paraId="69091746">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三、</w:t>
            </w:r>
            <w:r>
              <w:rPr>
                <w:rFonts w:hint="eastAsia" w:ascii="宋体" w:hAnsi="宋体" w:cs="宋体"/>
                <w:color w:val="000000"/>
                <w:sz w:val="22"/>
                <w:szCs w:val="22"/>
                <w:lang w:eastAsia="zh-CN"/>
              </w:rPr>
              <w:t>其他：</w:t>
            </w:r>
            <w:r>
              <w:rPr>
                <w:rFonts w:hint="eastAsia" w:ascii="宋体" w:hAnsi="宋体" w:cs="宋体"/>
                <w:color w:val="000000"/>
                <w:sz w:val="22"/>
                <w:szCs w:val="22"/>
              </w:rPr>
              <w:t>因养护不到位</w:t>
            </w:r>
            <w:r>
              <w:rPr>
                <w:rFonts w:hint="eastAsia" w:ascii="宋体" w:hAnsi="宋体" w:cs="宋体"/>
                <w:color w:val="000000"/>
                <w:sz w:val="22"/>
                <w:szCs w:val="22"/>
                <w:lang w:eastAsia="zh-CN"/>
              </w:rPr>
              <w:t>受到</w:t>
            </w:r>
            <w:r>
              <w:rPr>
                <w:rFonts w:hint="eastAsia" w:ascii="宋体" w:hAnsi="宋体" w:cs="宋体"/>
                <w:color w:val="000000"/>
                <w:sz w:val="22"/>
                <w:szCs w:val="22"/>
              </w:rPr>
              <w:t>市级“黑榜”通报或媒体负面报道，第一次扣20分，区级“黑榜”通报，第一次扣10分；出现安全事故、两次受上级“黑榜”通报或媒体负面报道，产生恶劣影响，即刻终止合同。</w:t>
            </w:r>
          </w:p>
        </w:tc>
        <w:tc>
          <w:tcPr>
            <w:tcW w:w="771" w:type="dxa"/>
            <w:tcBorders>
              <w:top w:val="nil"/>
              <w:left w:val="nil"/>
              <w:bottom w:val="single" w:color="auto" w:sz="4" w:space="0"/>
              <w:right w:val="single" w:color="auto" w:sz="4" w:space="0"/>
            </w:tcBorders>
            <w:noWrap/>
            <w:vAlign w:val="center"/>
          </w:tcPr>
          <w:p w14:paraId="4B712F56">
            <w:pPr>
              <w:widowControl/>
              <w:spacing w:line="240" w:lineRule="auto"/>
              <w:jc w:val="center"/>
              <w:rPr>
                <w:rFonts w:ascii="宋体" w:hAnsi="宋体" w:cs="宋体"/>
                <w:color w:val="000000"/>
                <w:sz w:val="22"/>
                <w:szCs w:val="22"/>
              </w:rPr>
            </w:pPr>
          </w:p>
        </w:tc>
        <w:tc>
          <w:tcPr>
            <w:tcW w:w="2508" w:type="dxa"/>
            <w:tcBorders>
              <w:top w:val="nil"/>
              <w:left w:val="nil"/>
              <w:bottom w:val="single" w:color="auto" w:sz="4" w:space="0"/>
              <w:right w:val="single" w:color="auto" w:sz="4" w:space="0"/>
            </w:tcBorders>
            <w:noWrap w:val="0"/>
            <w:vAlign w:val="center"/>
          </w:tcPr>
          <w:p w14:paraId="206A3233">
            <w:pPr>
              <w:widowControl/>
              <w:spacing w:line="240" w:lineRule="auto"/>
              <w:jc w:val="left"/>
              <w:rPr>
                <w:rFonts w:ascii="宋体" w:hAnsi="宋体" w:cs="宋体"/>
                <w:color w:val="000000"/>
                <w:sz w:val="22"/>
                <w:szCs w:val="22"/>
              </w:rPr>
            </w:pPr>
          </w:p>
        </w:tc>
        <w:tc>
          <w:tcPr>
            <w:tcW w:w="771" w:type="dxa"/>
            <w:tcBorders>
              <w:top w:val="nil"/>
              <w:left w:val="nil"/>
              <w:bottom w:val="single" w:color="auto" w:sz="4" w:space="0"/>
              <w:right w:val="single" w:color="auto" w:sz="4" w:space="0"/>
            </w:tcBorders>
            <w:noWrap/>
            <w:vAlign w:val="bottom"/>
          </w:tcPr>
          <w:p w14:paraId="4E7794A3">
            <w:pPr>
              <w:widowControl/>
              <w:spacing w:line="240" w:lineRule="auto"/>
              <w:jc w:val="left"/>
              <w:rPr>
                <w:rFonts w:ascii="宋体" w:hAnsi="宋体" w:cs="宋体"/>
                <w:color w:val="000000"/>
                <w:sz w:val="22"/>
                <w:szCs w:val="22"/>
              </w:rPr>
            </w:pPr>
          </w:p>
        </w:tc>
      </w:tr>
      <w:tr w14:paraId="5787A197">
        <w:tblPrEx>
          <w:tblCellMar>
            <w:top w:w="0" w:type="dxa"/>
            <w:left w:w="108" w:type="dxa"/>
            <w:bottom w:w="0" w:type="dxa"/>
            <w:right w:w="108" w:type="dxa"/>
          </w:tblCellMar>
        </w:tblPrEx>
        <w:trPr>
          <w:trHeight w:val="1080" w:hRule="atLeast"/>
        </w:trPr>
        <w:tc>
          <w:tcPr>
            <w:tcW w:w="2251" w:type="dxa"/>
            <w:gridSpan w:val="2"/>
            <w:tcBorders>
              <w:top w:val="single" w:color="auto" w:sz="4" w:space="0"/>
              <w:left w:val="single" w:color="auto" w:sz="4" w:space="0"/>
              <w:bottom w:val="single" w:color="auto" w:sz="4" w:space="0"/>
              <w:right w:val="single" w:color="auto" w:sz="4" w:space="0"/>
            </w:tcBorders>
            <w:noWrap/>
            <w:vAlign w:val="center"/>
          </w:tcPr>
          <w:p w14:paraId="62340542">
            <w:pPr>
              <w:widowControl/>
              <w:spacing w:line="240" w:lineRule="auto"/>
              <w:jc w:val="center"/>
              <w:rPr>
                <w:rFonts w:ascii="宋体" w:hAnsi="宋体" w:cs="宋体"/>
                <w:color w:val="000000"/>
                <w:sz w:val="22"/>
                <w:szCs w:val="22"/>
              </w:rPr>
            </w:pPr>
            <w:r>
              <w:rPr>
                <w:rFonts w:hint="eastAsia" w:ascii="宋体" w:hAnsi="宋体" w:cs="宋体"/>
                <w:color w:val="000000"/>
                <w:sz w:val="22"/>
                <w:szCs w:val="22"/>
              </w:rPr>
              <w:t>考核小组成员</w:t>
            </w:r>
          </w:p>
        </w:tc>
        <w:tc>
          <w:tcPr>
            <w:tcW w:w="4199" w:type="dxa"/>
            <w:tcBorders>
              <w:top w:val="nil"/>
              <w:left w:val="nil"/>
              <w:bottom w:val="single" w:color="auto" w:sz="4" w:space="0"/>
              <w:right w:val="single" w:color="auto" w:sz="4" w:space="0"/>
            </w:tcBorders>
            <w:noWrap w:val="0"/>
            <w:vAlign w:val="center"/>
          </w:tcPr>
          <w:p w14:paraId="0DC2AC2B">
            <w:pPr>
              <w:widowControl/>
              <w:spacing w:line="240" w:lineRule="auto"/>
              <w:jc w:val="left"/>
              <w:rPr>
                <w:rFonts w:ascii="宋体" w:hAnsi="宋体" w:cs="宋体"/>
                <w:color w:val="000000"/>
                <w:sz w:val="22"/>
                <w:szCs w:val="22"/>
              </w:rPr>
            </w:pPr>
            <w:r>
              <w:rPr>
                <w:rFonts w:hint="eastAsia" w:ascii="宋体" w:hAnsi="宋体" w:cs="宋体"/>
                <w:color w:val="000000"/>
                <w:sz w:val="22"/>
                <w:szCs w:val="22"/>
              </w:rPr>
              <w:t>由街道河长、社区河长、街道河长制办公室成员组成。次月初，结合巡河记录、河长巡河意见等，对所有河道进行综合评分并通报。</w:t>
            </w:r>
          </w:p>
        </w:tc>
        <w:tc>
          <w:tcPr>
            <w:tcW w:w="771" w:type="dxa"/>
            <w:tcBorders>
              <w:top w:val="nil"/>
              <w:left w:val="nil"/>
              <w:bottom w:val="single" w:color="auto" w:sz="4" w:space="0"/>
              <w:right w:val="single" w:color="auto" w:sz="4" w:space="0"/>
            </w:tcBorders>
            <w:noWrap/>
            <w:vAlign w:val="center"/>
          </w:tcPr>
          <w:p w14:paraId="1D13CEF4">
            <w:pPr>
              <w:widowControl/>
              <w:spacing w:line="240" w:lineRule="auto"/>
              <w:jc w:val="center"/>
              <w:rPr>
                <w:rFonts w:ascii="宋体" w:hAnsi="宋体" w:cs="宋体"/>
                <w:color w:val="000000"/>
                <w:sz w:val="22"/>
                <w:szCs w:val="22"/>
              </w:rPr>
            </w:pPr>
          </w:p>
        </w:tc>
        <w:tc>
          <w:tcPr>
            <w:tcW w:w="2508" w:type="dxa"/>
            <w:tcBorders>
              <w:top w:val="nil"/>
              <w:left w:val="nil"/>
              <w:bottom w:val="single" w:color="auto" w:sz="4" w:space="0"/>
              <w:right w:val="single" w:color="auto" w:sz="4" w:space="0"/>
            </w:tcBorders>
            <w:noWrap w:val="0"/>
            <w:vAlign w:val="center"/>
          </w:tcPr>
          <w:p w14:paraId="5BA381E3">
            <w:pPr>
              <w:widowControl/>
              <w:spacing w:line="240" w:lineRule="auto"/>
              <w:jc w:val="left"/>
              <w:rPr>
                <w:rFonts w:ascii="宋体" w:hAnsi="宋体" w:cs="宋体"/>
                <w:color w:val="000000"/>
                <w:sz w:val="22"/>
                <w:szCs w:val="22"/>
              </w:rPr>
            </w:pPr>
          </w:p>
        </w:tc>
        <w:tc>
          <w:tcPr>
            <w:tcW w:w="771" w:type="dxa"/>
            <w:tcBorders>
              <w:top w:val="nil"/>
              <w:left w:val="nil"/>
              <w:bottom w:val="single" w:color="auto" w:sz="4" w:space="0"/>
              <w:right w:val="single" w:color="auto" w:sz="4" w:space="0"/>
            </w:tcBorders>
            <w:noWrap/>
            <w:vAlign w:val="bottom"/>
          </w:tcPr>
          <w:p w14:paraId="65F3D8FF">
            <w:pPr>
              <w:widowControl/>
              <w:spacing w:line="240" w:lineRule="auto"/>
              <w:jc w:val="left"/>
              <w:rPr>
                <w:rFonts w:ascii="宋体" w:hAnsi="宋体" w:cs="宋体"/>
                <w:color w:val="000000"/>
                <w:sz w:val="22"/>
                <w:szCs w:val="22"/>
              </w:rPr>
            </w:pPr>
          </w:p>
        </w:tc>
      </w:tr>
    </w:tbl>
    <w:p w14:paraId="74E1EA7B">
      <w:pPr>
        <w:spacing w:line="240" w:lineRule="auto"/>
        <w:rPr>
          <w:rFonts w:hint="eastAsia" w:ascii="宋体" w:hAnsi="宋体" w:cs="宋体"/>
          <w:szCs w:val="22"/>
        </w:rPr>
      </w:pPr>
      <w:r>
        <w:rPr>
          <w:rFonts w:hint="eastAsia" w:ascii="宋体" w:hAnsi="宋体" w:cs="宋体"/>
          <w:szCs w:val="22"/>
        </w:rPr>
        <w:t xml:space="preserve">                                           </w:t>
      </w:r>
    </w:p>
    <w:p w14:paraId="73E6CC17">
      <w:pPr>
        <w:spacing w:line="560" w:lineRule="exact"/>
        <w:ind w:left="0" w:firstLine="420"/>
        <w:outlineLvl w:val="9"/>
        <w:rPr>
          <w:rFonts w:hint="eastAsia" w:ascii="宋体" w:hAnsi="宋体" w:eastAsia="宋体" w:cs="宋体"/>
          <w:color w:val="auto"/>
          <w:sz w:val="24"/>
          <w:szCs w:val="24"/>
          <w:highlight w:val="none"/>
          <w:lang w:val="en-US" w:eastAsia="zh-CN"/>
        </w:rPr>
      </w:pPr>
      <w:r>
        <w:rPr>
          <w:rFonts w:hint="eastAsia" w:ascii="宋体" w:hAnsi="宋体" w:cs="宋体"/>
        </w:rPr>
        <w:t xml:space="preserve">考核单位：                                   考核时间：  </w:t>
      </w:r>
      <w:r>
        <w:rPr>
          <w:rFonts w:hint="eastAsia" w:ascii="宋体" w:hAnsi="宋体" w:cs="宋体"/>
          <w:lang w:val="en-US" w:eastAsia="zh-CN"/>
        </w:rPr>
        <w:t xml:space="preserve"> </w:t>
      </w:r>
      <w:r>
        <w:rPr>
          <w:rFonts w:hint="eastAsia" w:ascii="宋体" w:hAnsi="宋体" w:cs="宋体"/>
        </w:rPr>
        <w:t xml:space="preserve">  年 </w:t>
      </w:r>
      <w:r>
        <w:rPr>
          <w:rFonts w:hint="eastAsia" w:ascii="宋体" w:hAnsi="宋体" w:cs="宋体"/>
          <w:lang w:val="en-US" w:eastAsia="zh-CN"/>
        </w:rPr>
        <w:t xml:space="preserve"> </w:t>
      </w:r>
      <w:r>
        <w:rPr>
          <w:rFonts w:hint="eastAsia" w:ascii="宋体" w:hAnsi="宋体" w:cs="宋体"/>
        </w:rPr>
        <w:t xml:space="preserve">  月  </w:t>
      </w:r>
      <w:r>
        <w:rPr>
          <w:rFonts w:hint="eastAsia" w:ascii="宋体" w:hAnsi="宋体" w:cs="宋体"/>
          <w:lang w:val="en-US" w:eastAsia="zh-CN"/>
        </w:rPr>
        <w:t xml:space="preserve"> </w:t>
      </w:r>
      <w:r>
        <w:rPr>
          <w:rFonts w:hint="eastAsia" w:ascii="宋体" w:hAnsi="宋体" w:cs="宋体"/>
        </w:rPr>
        <w:t xml:space="preserve"> 日</w:t>
      </w:r>
    </w:p>
    <w:p w14:paraId="294A97A2">
      <w:pPr>
        <w:pStyle w:val="301"/>
        <w:ind w:left="0" w:firstLine="420"/>
        <w:rPr>
          <w:rFonts w:hint="eastAsia" w:ascii="仿宋" w:hAnsi="仿宋" w:eastAsia="仿宋" w:cs="仿宋"/>
          <w:b w:val="0"/>
          <w:bCs/>
          <w:color w:val="auto"/>
          <w:sz w:val="24"/>
          <w:szCs w:val="24"/>
          <w:highlight w:val="none"/>
          <w:lang w:val="en-US" w:eastAsia="zh-CN"/>
        </w:rPr>
      </w:pPr>
    </w:p>
    <w:p w14:paraId="6746FF42">
      <w:pPr>
        <w:ind w:left="0" w:firstLine="420"/>
        <w:rPr>
          <w:rFonts w:hint="eastAsia" w:ascii="仿宋" w:hAnsi="仿宋" w:eastAsia="仿宋" w:cs="仿宋"/>
          <w:bCs/>
          <w:color w:val="auto"/>
          <w:sz w:val="24"/>
          <w:szCs w:val="24"/>
          <w:highlight w:val="none"/>
          <w:shd w:val="clear" w:color="auto" w:fill="FFFFFF"/>
        </w:rPr>
      </w:pPr>
    </w:p>
    <w:p w14:paraId="6B7ACC78">
      <w:pPr>
        <w:ind w:left="0" w:firstLine="420"/>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br w:type="page" w:clear="all"/>
      </w:r>
    </w:p>
    <w:p w14:paraId="3BA7BC71">
      <w:pPr>
        <w:spacing w:line="360" w:lineRule="auto"/>
        <w:jc w:val="center"/>
        <w:outlineLvl w:val="0"/>
        <w:rPr>
          <w:rFonts w:hint="eastAsia" w:ascii="宋体" w:hAnsi="宋体" w:eastAsia="宋体" w:cs="宋体"/>
          <w:b w:val="0"/>
          <w:bCs w:val="0"/>
          <w:color w:val="auto"/>
          <w:sz w:val="40"/>
          <w:szCs w:val="40"/>
          <w:highlight w:val="none"/>
        </w:rPr>
      </w:pPr>
      <w:bookmarkStart w:id="29" w:name="_Toc9471"/>
      <w:r>
        <w:rPr>
          <w:rFonts w:hint="eastAsia" w:ascii="宋体" w:hAnsi="宋体" w:eastAsia="宋体" w:cs="宋体"/>
          <w:b w:val="0"/>
          <w:bCs w:val="0"/>
          <w:color w:val="auto"/>
          <w:sz w:val="40"/>
          <w:szCs w:val="40"/>
          <w:highlight w:val="none"/>
          <w:lang w:val="en-US" w:eastAsia="zh-CN"/>
        </w:rPr>
        <w:t>第</w:t>
      </w:r>
      <w:r>
        <w:rPr>
          <w:rFonts w:hint="eastAsia" w:ascii="宋体" w:hAnsi="宋体" w:cs="宋体"/>
          <w:b w:val="0"/>
          <w:bCs w:val="0"/>
          <w:color w:val="auto"/>
          <w:sz w:val="40"/>
          <w:szCs w:val="40"/>
          <w:highlight w:val="none"/>
          <w:lang w:val="en-US" w:eastAsia="zh-CN"/>
        </w:rPr>
        <w:t>五</w:t>
      </w:r>
      <w:r>
        <w:rPr>
          <w:rFonts w:hint="eastAsia" w:ascii="宋体" w:hAnsi="宋体" w:eastAsia="宋体" w:cs="宋体"/>
          <w:b w:val="0"/>
          <w:bCs w:val="0"/>
          <w:color w:val="auto"/>
          <w:sz w:val="40"/>
          <w:szCs w:val="40"/>
          <w:highlight w:val="none"/>
          <w:lang w:val="en-US" w:eastAsia="zh-CN"/>
        </w:rPr>
        <w:t xml:space="preserve">章 </w:t>
      </w:r>
      <w:r>
        <w:rPr>
          <w:rFonts w:hint="eastAsia" w:ascii="宋体" w:hAnsi="宋体" w:eastAsia="宋体" w:cs="宋体"/>
          <w:b w:val="0"/>
          <w:bCs w:val="0"/>
          <w:color w:val="auto"/>
          <w:sz w:val="40"/>
          <w:szCs w:val="40"/>
          <w:highlight w:val="none"/>
        </w:rPr>
        <w:t>投标文件格式</w:t>
      </w:r>
      <w:bookmarkEnd w:id="29"/>
    </w:p>
    <w:p w14:paraId="67ED9AB0">
      <w:pPr>
        <w:rPr>
          <w:rFonts w:hint="eastAsia" w:ascii="宋体" w:hAnsi="宋体" w:eastAsia="宋体" w:cs="宋体"/>
          <w:bCs/>
          <w:color w:val="auto"/>
          <w:sz w:val="32"/>
          <w:highlight w:val="none"/>
        </w:rPr>
      </w:pPr>
      <w:bookmarkStart w:id="30" w:name="_Hlt26955039"/>
      <w:bookmarkEnd w:id="30"/>
      <w:bookmarkStart w:id="31" w:name="_Hlt26671244"/>
      <w:bookmarkEnd w:id="31"/>
    </w:p>
    <w:p w14:paraId="2524BDEE">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投</w:t>
      </w:r>
    </w:p>
    <w:p w14:paraId="0F4BC9FE">
      <w:pPr>
        <w:jc w:val="center"/>
        <w:rPr>
          <w:rFonts w:hint="eastAsia" w:ascii="宋体" w:hAnsi="宋体" w:eastAsia="宋体" w:cs="宋体"/>
          <w:bCs/>
          <w:color w:val="auto"/>
          <w:sz w:val="72"/>
          <w:highlight w:val="none"/>
        </w:rPr>
      </w:pPr>
    </w:p>
    <w:p w14:paraId="01D835B4">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标</w:t>
      </w:r>
    </w:p>
    <w:p w14:paraId="06519E64">
      <w:pPr>
        <w:jc w:val="center"/>
        <w:rPr>
          <w:rFonts w:hint="eastAsia" w:ascii="宋体" w:hAnsi="宋体" w:eastAsia="宋体" w:cs="宋体"/>
          <w:bCs/>
          <w:color w:val="auto"/>
          <w:sz w:val="72"/>
          <w:highlight w:val="none"/>
        </w:rPr>
      </w:pPr>
    </w:p>
    <w:p w14:paraId="38759656">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文</w:t>
      </w:r>
    </w:p>
    <w:p w14:paraId="144E99AF">
      <w:pPr>
        <w:jc w:val="center"/>
        <w:rPr>
          <w:rFonts w:hint="eastAsia" w:ascii="宋体" w:hAnsi="宋体" w:eastAsia="宋体" w:cs="宋体"/>
          <w:bCs/>
          <w:color w:val="auto"/>
          <w:sz w:val="52"/>
          <w:szCs w:val="52"/>
          <w:highlight w:val="none"/>
        </w:rPr>
      </w:pPr>
    </w:p>
    <w:p w14:paraId="13FF10FC">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件</w:t>
      </w:r>
    </w:p>
    <w:p w14:paraId="527737F7">
      <w:pPr>
        <w:rPr>
          <w:rFonts w:hint="eastAsia" w:ascii="宋体" w:hAnsi="宋体" w:eastAsia="宋体" w:cs="宋体"/>
          <w:bCs/>
          <w:color w:val="auto"/>
          <w:sz w:val="72"/>
          <w:highlight w:val="none"/>
        </w:rPr>
      </w:pPr>
    </w:p>
    <w:p w14:paraId="2388C87D">
      <w:pPr>
        <w:rPr>
          <w:rFonts w:hint="eastAsia" w:ascii="宋体" w:hAnsi="宋体" w:eastAsia="宋体" w:cs="宋体"/>
          <w:bCs/>
          <w:color w:val="auto"/>
          <w:sz w:val="28"/>
          <w:highlight w:val="none"/>
        </w:rPr>
      </w:pPr>
    </w:p>
    <w:p w14:paraId="434E2537">
      <w:pPr>
        <w:keepNext w:val="0"/>
        <w:keepLines w:val="0"/>
        <w:pageBreakBefore w:val="0"/>
        <w:widowControl w:val="0"/>
        <w:spacing w:line="360" w:lineRule="auto"/>
        <w:ind w:firstLine="1120"/>
        <w:jc w:val="lef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采购项目编号：</w:t>
      </w:r>
      <w:r>
        <w:rPr>
          <w:rFonts w:hint="eastAsia" w:ascii="宋体" w:hAnsi="宋体" w:cs="宋体"/>
          <w:bCs/>
          <w:color w:val="auto"/>
          <w:sz w:val="28"/>
          <w:szCs w:val="28"/>
          <w:highlight w:val="none"/>
          <w:lang w:eastAsia="zh-CN"/>
        </w:rPr>
        <w:t>JSZC-320211-BJZC-G2026-0015</w:t>
      </w:r>
    </w:p>
    <w:p w14:paraId="4F1E5FD4">
      <w:pPr>
        <w:keepNext w:val="0"/>
        <w:keepLines w:val="0"/>
        <w:pageBreakBefore w:val="0"/>
        <w:widowControl w:val="0"/>
        <w:spacing w:line="360" w:lineRule="auto"/>
        <w:ind w:firstLine="1120"/>
        <w:jc w:val="lef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采购项目名称：</w:t>
      </w:r>
      <w:r>
        <w:rPr>
          <w:rFonts w:hint="eastAsia" w:ascii="宋体" w:hAnsi="宋体" w:cs="宋体"/>
          <w:bCs/>
          <w:color w:val="auto"/>
          <w:sz w:val="28"/>
          <w:szCs w:val="28"/>
          <w:highlight w:val="none"/>
          <w:lang w:eastAsia="zh-CN"/>
        </w:rPr>
        <w:t>吴大成浜、蒋巷浜等11条河道生态修复养护</w:t>
      </w:r>
    </w:p>
    <w:p w14:paraId="5BE928EE">
      <w:pPr>
        <w:keepNext w:val="0"/>
        <w:keepLines w:val="0"/>
        <w:pageBreakBefore w:val="0"/>
        <w:widowControl w:val="0"/>
        <w:spacing w:line="360" w:lineRule="auto"/>
        <w:ind w:firstLine="1120"/>
        <w:jc w:val="lef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投标人：</w:t>
      </w:r>
    </w:p>
    <w:p w14:paraId="6FC1A286">
      <w:pPr>
        <w:jc w:val="center"/>
        <w:rPr>
          <w:rFonts w:hint="eastAsia" w:ascii="宋体" w:hAnsi="宋体" w:eastAsia="宋体" w:cs="宋体"/>
          <w:bCs/>
          <w:color w:val="auto"/>
          <w:sz w:val="28"/>
          <w:szCs w:val="28"/>
          <w:highlight w:val="none"/>
        </w:rPr>
      </w:pPr>
    </w:p>
    <w:p w14:paraId="16F19120">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eastAsia="zh-CN"/>
        </w:rPr>
        <w:t>二〇二</w:t>
      </w:r>
      <w:r>
        <w:rPr>
          <w:rFonts w:hint="eastAsia" w:ascii="宋体" w:hAnsi="宋体" w:eastAsia="宋体" w:cs="宋体"/>
          <w:bCs/>
          <w:color w:val="auto"/>
          <w:sz w:val="28"/>
          <w:szCs w:val="28"/>
          <w:highlight w:val="none"/>
          <w:lang w:val="en-US" w:eastAsia="zh-CN"/>
        </w:rPr>
        <w:t>六</w:t>
      </w:r>
      <w:r>
        <w:rPr>
          <w:rFonts w:hint="eastAsia" w:ascii="宋体" w:hAnsi="宋体" w:eastAsia="宋体" w:cs="宋体"/>
          <w:bCs/>
          <w:color w:val="auto"/>
          <w:sz w:val="28"/>
          <w:szCs w:val="28"/>
          <w:highlight w:val="none"/>
        </w:rPr>
        <w:t>年</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月</w:t>
      </w:r>
      <w:r>
        <w:rPr>
          <w:rFonts w:hint="eastAsia" w:ascii="宋体" w:hAnsi="宋体" w:eastAsia="宋体" w:cs="宋体"/>
          <w:bCs/>
          <w:color w:val="auto"/>
          <w:sz w:val="28"/>
          <w:szCs w:val="28"/>
          <w:highlight w:val="none"/>
          <w:lang w:val="en-US" w:eastAsia="zh-CN"/>
        </w:rPr>
        <w:t xml:space="preserve">  </w:t>
      </w:r>
      <w:r>
        <w:rPr>
          <w:rFonts w:hint="eastAsia" w:ascii="宋体" w:hAnsi="宋体" w:eastAsia="宋体" w:cs="宋体"/>
          <w:bCs/>
          <w:color w:val="auto"/>
          <w:sz w:val="28"/>
          <w:szCs w:val="28"/>
          <w:highlight w:val="none"/>
        </w:rPr>
        <w:t>日</w:t>
      </w:r>
    </w:p>
    <w:p w14:paraId="67593E5F">
      <w:pPr>
        <w:rPr>
          <w:rFonts w:hint="eastAsia" w:ascii="宋体" w:hAnsi="宋体" w:eastAsia="宋体" w:cs="宋体"/>
          <w:bCs/>
          <w:color w:val="auto"/>
          <w:sz w:val="24"/>
          <w:szCs w:val="24"/>
          <w:highlight w:val="none"/>
        </w:rPr>
      </w:pPr>
      <w:bookmarkStart w:id="32" w:name="一．报价函（格式）"/>
      <w:bookmarkEnd w:id="32"/>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t>（一）投标函（格式）：</w:t>
      </w:r>
    </w:p>
    <w:p w14:paraId="55813390">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投标函</w:t>
      </w:r>
    </w:p>
    <w:p w14:paraId="51462356">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w:t>
      </w:r>
      <w:r>
        <w:rPr>
          <w:rFonts w:hint="eastAsia" w:ascii="宋体" w:hAnsi="宋体" w:cs="宋体"/>
          <w:bCs/>
          <w:color w:val="auto"/>
          <w:sz w:val="24"/>
          <w:szCs w:val="24"/>
          <w:highlight w:val="none"/>
          <w:lang w:eastAsia="zh-CN"/>
        </w:rPr>
        <w:t>无锡市滨湖区河埒街道办事处</w:t>
      </w:r>
      <w:r>
        <w:rPr>
          <w:rFonts w:hint="eastAsia" w:ascii="宋体" w:hAnsi="宋体" w:eastAsia="宋体" w:cs="宋体"/>
          <w:bCs/>
          <w:color w:val="auto"/>
          <w:sz w:val="24"/>
          <w:szCs w:val="24"/>
          <w:highlight w:val="none"/>
        </w:rPr>
        <w:t>：</w:t>
      </w:r>
    </w:p>
    <w:p w14:paraId="4513BF38">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我方收到贵方编号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招标文件，经仔细阅读和研究，我方决定参加此项目的投标。</w:t>
      </w:r>
    </w:p>
    <w:p w14:paraId="3610CCFF">
      <w:pPr>
        <w:numPr>
          <w:ilvl w:val="0"/>
          <w:numId w:val="7"/>
        </w:numPr>
        <w:tabs>
          <w:tab w:val="left" w:pos="315"/>
          <w:tab w:val="left" w:pos="840"/>
          <w:tab w:val="left" w:pos="945"/>
          <w:tab w:val="left" w:pos="1050"/>
          <w:tab w:val="left" w:pos="1260"/>
        </w:tabs>
        <w:spacing w:line="360" w:lineRule="auto"/>
        <w:ind w:left="0"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我方愿意按照招标文件的一切要求，提供本项目的投标，投标总价见《开标一览表》。</w:t>
      </w:r>
    </w:p>
    <w:p w14:paraId="38A82589">
      <w:pPr>
        <w:numPr>
          <w:ilvl w:val="0"/>
          <w:numId w:val="7"/>
        </w:numPr>
        <w:tabs>
          <w:tab w:val="left" w:pos="0"/>
          <w:tab w:val="left" w:pos="315"/>
          <w:tab w:val="left" w:pos="525"/>
          <w:tab w:val="left" w:pos="840"/>
          <w:tab w:val="left" w:pos="945"/>
          <w:tab w:val="left" w:pos="1050"/>
        </w:tabs>
        <w:spacing w:line="360" w:lineRule="auto"/>
        <w:ind w:left="0" w:firstLine="523"/>
        <w:rPr>
          <w:rStyle w:val="115"/>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我方愿意提供</w:t>
      </w:r>
      <w:r>
        <w:rPr>
          <w:rFonts w:hint="eastAsia" w:ascii="宋体" w:hAnsi="宋体" w:cs="宋体"/>
          <w:bCs/>
          <w:color w:val="auto"/>
          <w:sz w:val="24"/>
          <w:szCs w:val="24"/>
          <w:highlight w:val="none"/>
          <w:lang w:eastAsia="zh-CN"/>
        </w:rPr>
        <w:t>北京中昌工程咨询有限公司</w:t>
      </w:r>
      <w:r>
        <w:rPr>
          <w:rFonts w:hint="eastAsia" w:ascii="宋体" w:hAnsi="宋体" w:eastAsia="宋体" w:cs="宋体"/>
          <w:bCs/>
          <w:color w:val="auto"/>
          <w:sz w:val="24"/>
          <w:szCs w:val="24"/>
          <w:highlight w:val="none"/>
        </w:rPr>
        <w:t>在招标文件中要求的文件、资料。</w:t>
      </w:r>
    </w:p>
    <w:p w14:paraId="0BF5F8F5">
      <w:pPr>
        <w:numPr>
          <w:ilvl w:val="0"/>
          <w:numId w:val="7"/>
        </w:numPr>
        <w:tabs>
          <w:tab w:val="left" w:pos="0"/>
          <w:tab w:val="left" w:pos="315"/>
          <w:tab w:val="left" w:pos="525"/>
          <w:tab w:val="left" w:pos="945"/>
          <w:tab w:val="left" w:pos="105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我方同意</w:t>
      </w:r>
      <w:r>
        <w:rPr>
          <w:rFonts w:hint="eastAsia" w:ascii="宋体" w:hAnsi="宋体" w:eastAsia="宋体" w:cs="宋体"/>
          <w:bCs/>
          <w:color w:val="auto"/>
          <w:sz w:val="24"/>
          <w:szCs w:val="24"/>
          <w:highlight w:val="none"/>
          <w:shd w:val="clear" w:color="auto" w:fill="FFFFFF"/>
        </w:rPr>
        <w:t>按</w:t>
      </w:r>
      <w:r>
        <w:rPr>
          <w:rFonts w:hint="eastAsia" w:ascii="宋体" w:hAnsi="宋体" w:eastAsia="宋体" w:cs="宋体"/>
          <w:bCs/>
          <w:color w:val="auto"/>
          <w:sz w:val="24"/>
          <w:szCs w:val="24"/>
          <w:highlight w:val="none"/>
        </w:rPr>
        <w:t>招标文件中的规定，本投标文件投标的有效期限为开标之日起90天。</w:t>
      </w:r>
    </w:p>
    <w:p w14:paraId="48E5E4B4">
      <w:pPr>
        <w:numPr>
          <w:ilvl w:val="0"/>
          <w:numId w:val="7"/>
        </w:numPr>
        <w:tabs>
          <w:tab w:val="left" w:pos="0"/>
          <w:tab w:val="left" w:pos="315"/>
          <w:tab w:val="left" w:pos="525"/>
          <w:tab w:val="left" w:pos="945"/>
          <w:tab w:val="left" w:pos="105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如果我方的投标文件被接受，我方将履行招标文件中规定的每一项要求，按期、按质、按量，完成交货任务。</w:t>
      </w:r>
    </w:p>
    <w:p w14:paraId="1753E178">
      <w:pPr>
        <w:numPr>
          <w:ilvl w:val="0"/>
          <w:numId w:val="7"/>
        </w:numPr>
        <w:tabs>
          <w:tab w:val="left" w:pos="0"/>
          <w:tab w:val="left" w:pos="315"/>
          <w:tab w:val="left" w:pos="525"/>
          <w:tab w:val="left" w:pos="945"/>
          <w:tab w:val="left" w:pos="105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我方认为贵局有权决定中标者。</w:t>
      </w:r>
    </w:p>
    <w:p w14:paraId="27500611">
      <w:pPr>
        <w:numPr>
          <w:ilvl w:val="0"/>
          <w:numId w:val="7"/>
        </w:numPr>
        <w:tabs>
          <w:tab w:val="left" w:pos="0"/>
          <w:tab w:val="left" w:pos="315"/>
          <w:tab w:val="left" w:pos="525"/>
          <w:tab w:val="left" w:pos="945"/>
          <w:tab w:val="left" w:pos="105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我方愿意遵守《中华人民共和国政府采购法》，并</w:t>
      </w:r>
      <w:r>
        <w:rPr>
          <w:rFonts w:hint="eastAsia" w:ascii="宋体" w:hAnsi="宋体" w:eastAsia="宋体" w:cs="宋体"/>
          <w:bCs/>
          <w:color w:val="auto"/>
          <w:sz w:val="24"/>
          <w:szCs w:val="24"/>
          <w:highlight w:val="none"/>
          <w:lang w:eastAsia="zh-CN"/>
        </w:rPr>
        <w:t>按照《中华人民共和国</w:t>
      </w:r>
      <w:r>
        <w:rPr>
          <w:rFonts w:hint="eastAsia" w:ascii="宋体" w:hAnsi="宋体" w:eastAsia="宋体" w:cs="宋体"/>
          <w:bCs/>
          <w:color w:val="auto"/>
          <w:sz w:val="24"/>
          <w:szCs w:val="24"/>
          <w:highlight w:val="none"/>
        </w:rPr>
        <w:t>民法典》、财政部《政府采购货物和服务招标投标管理办法》</w:t>
      </w:r>
      <w:r>
        <w:rPr>
          <w:rFonts w:hint="eastAsia" w:ascii="宋体" w:hAnsi="宋体" w:eastAsia="宋体" w:cs="宋体"/>
          <w:color w:val="auto"/>
          <w:sz w:val="24"/>
          <w:szCs w:val="24"/>
          <w:highlight w:val="none"/>
        </w:rPr>
        <w:t>和</w:t>
      </w:r>
      <w:r>
        <w:rPr>
          <w:rFonts w:hint="eastAsia" w:ascii="宋体" w:hAnsi="宋体" w:eastAsia="宋体" w:cs="宋体"/>
          <w:bCs/>
          <w:color w:val="auto"/>
          <w:sz w:val="24"/>
          <w:szCs w:val="24"/>
          <w:highlight w:val="none"/>
        </w:rPr>
        <w:t>合同条款履行自己的全部责任。</w:t>
      </w:r>
    </w:p>
    <w:p w14:paraId="61CFEBC8">
      <w:pPr>
        <w:numPr>
          <w:ilvl w:val="0"/>
          <w:numId w:val="7"/>
        </w:numPr>
        <w:tabs>
          <w:tab w:val="left" w:pos="0"/>
          <w:tab w:val="left" w:pos="315"/>
          <w:tab w:val="left" w:pos="525"/>
          <w:tab w:val="left" w:pos="945"/>
          <w:tab w:val="left" w:pos="105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我方认可并遵守招标文件的所有规定，放弃对招标文件</w:t>
      </w:r>
      <w:r>
        <w:rPr>
          <w:rFonts w:hint="eastAsia" w:ascii="宋体" w:hAnsi="宋体" w:eastAsia="宋体" w:cs="宋体"/>
          <w:bCs/>
          <w:color w:val="auto"/>
          <w:sz w:val="24"/>
          <w:szCs w:val="24"/>
          <w:highlight w:val="none"/>
          <w:shd w:val="clear" w:color="auto" w:fill="FFFFFF"/>
          <w:lang w:eastAsia="zh-CN"/>
        </w:rPr>
        <w:t>提出疑问</w:t>
      </w:r>
      <w:r>
        <w:rPr>
          <w:rFonts w:hint="eastAsia" w:ascii="宋体" w:hAnsi="宋体" w:eastAsia="宋体" w:cs="宋体"/>
          <w:bCs/>
          <w:color w:val="auto"/>
          <w:sz w:val="24"/>
          <w:szCs w:val="24"/>
          <w:highlight w:val="none"/>
        </w:rPr>
        <w:t>的权利。</w:t>
      </w:r>
    </w:p>
    <w:p w14:paraId="22528157">
      <w:pPr>
        <w:numPr>
          <w:ilvl w:val="0"/>
          <w:numId w:val="7"/>
        </w:numPr>
        <w:tabs>
          <w:tab w:val="left" w:pos="0"/>
          <w:tab w:val="left" w:pos="315"/>
          <w:tab w:val="left" w:pos="525"/>
          <w:tab w:val="left" w:pos="945"/>
          <w:tab w:val="left" w:pos="105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w:t>
      </w:r>
      <w:r>
        <w:rPr>
          <w:rFonts w:hint="eastAsia" w:ascii="宋体" w:hAnsi="宋体" w:eastAsia="宋体" w:cs="宋体"/>
          <w:bCs/>
          <w:color w:val="auto"/>
          <w:sz w:val="24"/>
          <w:szCs w:val="24"/>
          <w:highlight w:val="none"/>
          <w:lang w:val="en-US" w:eastAsia="zh-CN"/>
        </w:rPr>
        <w:t>方</w:t>
      </w:r>
      <w:r>
        <w:rPr>
          <w:rFonts w:hint="eastAsia" w:ascii="宋体" w:hAnsi="宋体" w:eastAsia="宋体" w:cs="宋体"/>
          <w:bCs/>
          <w:color w:val="auto"/>
          <w:sz w:val="24"/>
          <w:szCs w:val="24"/>
          <w:highlight w:val="none"/>
        </w:rPr>
        <w:t>愿意按招标文件的规定交纳人民币   /   元的投标保证金。如我们在报价截止期后撤回报价及成交后拒绝遵守报价承诺或拒绝在规定的时间内与采购方签订合同则投标保证金将被贵方没收。</w:t>
      </w:r>
    </w:p>
    <w:p w14:paraId="669FFA50">
      <w:pPr>
        <w:numPr>
          <w:ilvl w:val="0"/>
          <w:numId w:val="7"/>
        </w:numPr>
        <w:tabs>
          <w:tab w:val="left" w:pos="0"/>
          <w:tab w:val="left" w:pos="315"/>
          <w:tab w:val="left" w:pos="525"/>
          <w:tab w:val="left" w:pos="945"/>
          <w:tab w:val="left" w:pos="105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如果我方被确定为中标</w:t>
      </w:r>
      <w:r>
        <w:rPr>
          <w:rFonts w:hint="eastAsia" w:ascii="宋体" w:hAnsi="宋体" w:eastAsia="宋体" w:cs="宋体"/>
          <w:color w:val="auto"/>
          <w:sz w:val="24"/>
          <w:szCs w:val="24"/>
          <w:highlight w:val="none"/>
        </w:rPr>
        <w:t>（成交）</w:t>
      </w:r>
      <w:r>
        <w:rPr>
          <w:rFonts w:hint="eastAsia" w:ascii="宋体" w:hAnsi="宋体" w:eastAsia="宋体" w:cs="宋体"/>
          <w:bCs/>
          <w:color w:val="auto"/>
          <w:sz w:val="24"/>
          <w:highlight w:val="none"/>
        </w:rPr>
        <w:t>供应商，且我方如无不可抗力，又未履行</w:t>
      </w:r>
      <w:r>
        <w:rPr>
          <w:rFonts w:hint="eastAsia" w:ascii="宋体" w:hAnsi="宋体" w:cs="宋体"/>
          <w:bCs/>
          <w:color w:val="auto"/>
          <w:sz w:val="24"/>
          <w:highlight w:val="none"/>
          <w:lang w:eastAsia="zh-CN"/>
        </w:rPr>
        <w:t>招标文件</w:t>
      </w:r>
      <w:r>
        <w:rPr>
          <w:rFonts w:hint="eastAsia" w:ascii="宋体" w:hAnsi="宋体" w:eastAsia="宋体" w:cs="宋体"/>
          <w:bCs/>
          <w:color w:val="auto"/>
          <w:sz w:val="24"/>
          <w:highlight w:val="none"/>
        </w:rPr>
        <w:t>、</w:t>
      </w:r>
      <w:r>
        <w:rPr>
          <w:rFonts w:hint="eastAsia" w:ascii="宋体" w:hAnsi="宋体" w:cs="宋体"/>
          <w:bCs/>
          <w:color w:val="auto"/>
          <w:sz w:val="24"/>
          <w:highlight w:val="none"/>
          <w:lang w:eastAsia="zh-CN"/>
        </w:rPr>
        <w:t>投标文件</w:t>
      </w:r>
      <w:r>
        <w:rPr>
          <w:rFonts w:hint="eastAsia" w:ascii="宋体" w:hAnsi="宋体" w:eastAsia="宋体" w:cs="宋体"/>
          <w:bCs/>
          <w:color w:val="auto"/>
          <w:sz w:val="24"/>
          <w:highlight w:val="none"/>
        </w:rPr>
        <w:t>和合同条款的，一经查实，我方愿意赔偿由此而造成的一切损失，并同意接受按</w:t>
      </w:r>
      <w:r>
        <w:rPr>
          <w:rFonts w:hint="eastAsia" w:ascii="宋体" w:hAnsi="宋体" w:cs="宋体"/>
          <w:bCs/>
          <w:color w:val="auto"/>
          <w:sz w:val="24"/>
          <w:highlight w:val="none"/>
          <w:lang w:eastAsia="zh-CN"/>
        </w:rPr>
        <w:t>招标文件</w:t>
      </w:r>
      <w:r>
        <w:rPr>
          <w:rFonts w:hint="eastAsia" w:ascii="宋体" w:hAnsi="宋体" w:eastAsia="宋体" w:cs="宋体"/>
          <w:bCs/>
          <w:color w:val="auto"/>
          <w:sz w:val="24"/>
          <w:highlight w:val="none"/>
        </w:rPr>
        <w:t>的相关要求对我方进行的处理。</w:t>
      </w:r>
    </w:p>
    <w:p w14:paraId="3ED16DC1">
      <w:pPr>
        <w:numPr>
          <w:ilvl w:val="0"/>
          <w:numId w:val="7"/>
        </w:numPr>
        <w:tabs>
          <w:tab w:val="left" w:pos="0"/>
          <w:tab w:val="left" w:pos="315"/>
          <w:tab w:val="left" w:pos="525"/>
          <w:tab w:val="left" w:pos="945"/>
          <w:tab w:val="left" w:pos="105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我方决不提供虚假材料谋取中标、决不采取不正当手段诋毁、排挤其他供应商、决不与采购人、</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5873B2E5">
      <w:pPr>
        <w:spacing w:line="4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投标人（盖章）：</w:t>
      </w:r>
    </w:p>
    <w:p w14:paraId="138EBFC9">
      <w:pPr>
        <w:spacing w:line="4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7AF5D67F">
      <w:pPr>
        <w:spacing w:line="4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传真：</w:t>
      </w:r>
    </w:p>
    <w:p w14:paraId="18A32B2B">
      <w:pPr>
        <w:spacing w:line="4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通讯地址：</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邮编：</w:t>
      </w:r>
    </w:p>
    <w:p w14:paraId="72C50B4B">
      <w:pPr>
        <w:outlineLvl w:val="9"/>
        <w:rPr>
          <w:rFonts w:hint="eastAsia" w:ascii="宋体" w:hAnsi="宋体" w:eastAsia="宋体" w:cs="宋体"/>
          <w:bCs/>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t>（二）（投标人）关于资格的声明函（格式）：</w:t>
      </w:r>
    </w:p>
    <w:p w14:paraId="5F6D8E43">
      <w:pPr>
        <w:spacing w:line="360" w:lineRule="auto"/>
        <w:rPr>
          <w:rFonts w:hint="eastAsia" w:ascii="宋体" w:hAnsi="宋体" w:eastAsia="宋体" w:cs="宋体"/>
          <w:bCs/>
          <w:color w:val="auto"/>
          <w:sz w:val="36"/>
          <w:highlight w:val="none"/>
        </w:rPr>
      </w:pPr>
    </w:p>
    <w:p w14:paraId="7CE72BD0">
      <w:pPr>
        <w:jc w:val="center"/>
        <w:outlineLvl w:val="9"/>
        <w:rPr>
          <w:rFonts w:hint="eastAsia" w:ascii="宋体" w:hAnsi="宋体" w:eastAsia="宋体" w:cs="宋体"/>
          <w:bCs/>
          <w:color w:val="auto"/>
          <w:sz w:val="28"/>
          <w:szCs w:val="28"/>
          <w:highlight w:val="none"/>
        </w:rPr>
      </w:pPr>
      <w:bookmarkStart w:id="33" w:name="报价方关于资格的声明函（格式）"/>
      <w:bookmarkEnd w:id="33"/>
      <w:r>
        <w:rPr>
          <w:rFonts w:hint="eastAsia" w:ascii="宋体" w:hAnsi="宋体" w:eastAsia="宋体" w:cs="宋体"/>
          <w:bCs/>
          <w:color w:val="auto"/>
          <w:sz w:val="28"/>
          <w:szCs w:val="28"/>
          <w:highlight w:val="none"/>
        </w:rPr>
        <w:t>关于资格的声明函</w:t>
      </w:r>
    </w:p>
    <w:p w14:paraId="64154EF1">
      <w:pPr>
        <w:jc w:val="center"/>
        <w:rPr>
          <w:rFonts w:hint="eastAsia" w:ascii="宋体" w:hAnsi="宋体" w:eastAsia="宋体" w:cs="宋体"/>
          <w:bCs/>
          <w:color w:val="auto"/>
          <w:sz w:val="32"/>
          <w:highlight w:val="none"/>
        </w:rPr>
      </w:pPr>
    </w:p>
    <w:p w14:paraId="031CB504">
      <w:pPr>
        <w:spacing w:line="48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采购项目编号：</w:t>
      </w:r>
    </w:p>
    <w:p w14:paraId="2617E41C">
      <w:pPr>
        <w:tabs>
          <w:tab w:val="left" w:pos="6300"/>
        </w:tabs>
        <w:spacing w:line="48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日期：</w:t>
      </w:r>
    </w:p>
    <w:p w14:paraId="36BBF300">
      <w:pPr>
        <w:spacing w:line="48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无锡市滨湖区河埒街道办事处</w:t>
      </w:r>
      <w:r>
        <w:rPr>
          <w:rFonts w:hint="eastAsia" w:ascii="宋体" w:hAnsi="宋体" w:eastAsia="宋体" w:cs="宋体"/>
          <w:bCs/>
          <w:color w:val="auto"/>
          <w:sz w:val="24"/>
          <w:szCs w:val="24"/>
          <w:highlight w:val="none"/>
        </w:rPr>
        <w:t>：</w:t>
      </w:r>
    </w:p>
    <w:p w14:paraId="6E52B536">
      <w:pPr>
        <w:spacing w:line="48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bCs/>
          <w:color w:val="auto"/>
          <w:sz w:val="24"/>
          <w:szCs w:val="24"/>
          <w:highlight w:val="none"/>
        </w:rPr>
        <w:t>我公司</w:t>
      </w:r>
      <w:r>
        <w:rPr>
          <w:rFonts w:hint="eastAsia" w:hAnsi="宋体" w:cs="宋体"/>
          <w:bCs/>
          <w:color w:val="auto"/>
          <w:sz w:val="24"/>
          <w:highlight w:val="none"/>
          <w:u w:val="single"/>
        </w:rPr>
        <w:t>（供应商名称）</w:t>
      </w:r>
      <w:r>
        <w:rPr>
          <w:rFonts w:hint="eastAsia" w:ascii="宋体" w:hAnsi="宋体"/>
          <w:bCs/>
          <w:color w:val="auto"/>
          <w:sz w:val="24"/>
          <w:szCs w:val="24"/>
          <w:highlight w:val="none"/>
        </w:rPr>
        <w:t>针对本次项目编号</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进行投标，</w:t>
      </w:r>
      <w:r>
        <w:rPr>
          <w:rFonts w:hint="eastAsia" w:ascii="宋体" w:hAnsi="宋体"/>
          <w:bCs/>
          <w:color w:val="auto"/>
          <w:sz w:val="24"/>
          <w:szCs w:val="24"/>
          <w:highlight w:val="none"/>
          <w:lang w:eastAsia="zh-CN"/>
        </w:rPr>
        <w:t>并做</w:t>
      </w:r>
      <w:r>
        <w:rPr>
          <w:rFonts w:hint="eastAsia" w:ascii="宋体" w:hAnsi="宋体"/>
          <w:bCs/>
          <w:color w:val="auto"/>
          <w:sz w:val="24"/>
          <w:szCs w:val="24"/>
          <w:highlight w:val="none"/>
        </w:rPr>
        <w:t>如下声明</w:t>
      </w:r>
      <w:r>
        <w:rPr>
          <w:rFonts w:hint="eastAsia" w:ascii="宋体" w:hAnsi="宋体"/>
          <w:bCs/>
          <w:color w:val="auto"/>
          <w:sz w:val="24"/>
          <w:szCs w:val="24"/>
          <w:highlight w:val="none"/>
          <w:lang w:eastAsia="zh-CN"/>
        </w:rPr>
        <w:t>：</w:t>
      </w:r>
    </w:p>
    <w:p w14:paraId="65C5ECED">
      <w:pPr>
        <w:keepNext w:val="0"/>
        <w:keepLines w:val="0"/>
        <w:pageBreakBefore w:val="0"/>
        <w:widowControl/>
        <w:spacing w:line="48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投标供应商</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参加本次政府采购活动前三年内，我单位在经营活动中没有因违法经营受到刑事处罚或者责令停产停业、吊销许可证或者执照、较大数额罚款等行政处罚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重大违法记录。</w:t>
      </w:r>
    </w:p>
    <w:p w14:paraId="54134487">
      <w:pPr>
        <w:keepNext w:val="0"/>
        <w:keepLines w:val="0"/>
        <w:pageBreakBefore w:val="0"/>
        <w:widowControl/>
        <w:spacing w:line="48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投标供应商</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具备履行合同所必需的设备和专业技术能力；</w:t>
      </w:r>
    </w:p>
    <w:p w14:paraId="5C98AFFF">
      <w:pPr>
        <w:spacing w:line="48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.本公司未被“信用中国”网站（www.creditchina.gov.cn）、中国政府采购网（www.ccgp.gov.cn）列入失信</w:t>
      </w:r>
      <w:r>
        <w:rPr>
          <w:rFonts w:hint="eastAsia" w:ascii="宋体" w:hAnsi="宋体" w:eastAsia="宋体" w:cs="宋体"/>
          <w:color w:val="auto"/>
          <w:sz w:val="24"/>
          <w:szCs w:val="24"/>
          <w:highlight w:val="none"/>
          <w:lang w:val="en-US" w:eastAsia="zh-CN"/>
        </w:rPr>
        <w:t>被</w:t>
      </w:r>
      <w:r>
        <w:rPr>
          <w:rFonts w:hint="eastAsia" w:ascii="宋体" w:hAnsi="宋体" w:eastAsia="宋体" w:cs="宋体"/>
          <w:color w:val="auto"/>
          <w:sz w:val="24"/>
          <w:szCs w:val="24"/>
          <w:highlight w:val="none"/>
        </w:rPr>
        <w:t>执行人、重大税收违法案件当事人名单、政府采购严重失信行为记录名单及其他不符合《中华人民共和国政府采购法》第二十二条规定条件的信用记录；</w:t>
      </w:r>
    </w:p>
    <w:p w14:paraId="4D96E100">
      <w:pPr>
        <w:spacing w:line="48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我公司</w:t>
      </w:r>
      <w:r>
        <w:rPr>
          <w:rFonts w:hint="eastAsia" w:ascii="宋体" w:hAnsi="宋体" w:eastAsia="宋体" w:cs="宋体"/>
          <w:bCs/>
          <w:color w:val="auto"/>
          <w:sz w:val="24"/>
          <w:highlight w:val="none"/>
          <w:u w:val="single"/>
        </w:rPr>
        <w:t>（</w:t>
      </w:r>
      <w:r>
        <w:rPr>
          <w:rFonts w:hint="eastAsia" w:ascii="宋体" w:hAnsi="宋体" w:eastAsia="宋体" w:cs="宋体"/>
          <w:bCs/>
          <w:color w:val="auto"/>
          <w:sz w:val="24"/>
          <w:highlight w:val="none"/>
          <w:u w:val="single"/>
          <w:lang w:val="en-US" w:eastAsia="zh-CN"/>
        </w:rPr>
        <w:t>投标</w:t>
      </w:r>
      <w:r>
        <w:rPr>
          <w:rFonts w:hint="eastAsia" w:ascii="宋体" w:hAnsi="宋体" w:eastAsia="宋体" w:cs="宋体"/>
          <w:bCs/>
          <w:color w:val="auto"/>
          <w:sz w:val="24"/>
          <w:highlight w:val="none"/>
          <w:u w:val="single"/>
        </w:rPr>
        <w:t>供应商名称）</w:t>
      </w:r>
      <w:r>
        <w:rPr>
          <w:rFonts w:hint="eastAsia" w:ascii="宋体" w:hAnsi="宋体" w:eastAsia="宋体" w:cs="宋体"/>
          <w:bCs/>
          <w:color w:val="auto"/>
          <w:sz w:val="24"/>
          <w:szCs w:val="24"/>
          <w:highlight w:val="none"/>
        </w:rPr>
        <w:t>愿针对本次项目</w:t>
      </w:r>
      <w:r>
        <w:rPr>
          <w:rFonts w:hint="eastAsia" w:ascii="宋体" w:hAnsi="宋体" w:eastAsia="宋体" w:cs="宋体"/>
          <w:bCs/>
          <w:color w:val="auto"/>
          <w:sz w:val="24"/>
          <w:highlight w:val="none"/>
          <w:u w:val="single"/>
        </w:rPr>
        <w:t>（项目名称、政府采购编号）</w:t>
      </w:r>
      <w:r>
        <w:rPr>
          <w:rFonts w:hint="eastAsia" w:ascii="宋体" w:hAnsi="宋体" w:eastAsia="宋体" w:cs="宋体"/>
          <w:bCs/>
          <w:color w:val="auto"/>
          <w:sz w:val="24"/>
          <w:szCs w:val="24"/>
          <w:highlight w:val="none"/>
        </w:rPr>
        <w:t>进行投标报价，投标文件中所有关于投标报价资格的文件、证明、陈述均是真实的、准确的。若有违背，我公司</w:t>
      </w:r>
      <w:r>
        <w:rPr>
          <w:rFonts w:hint="eastAsia" w:ascii="宋体" w:hAnsi="宋体" w:eastAsia="宋体" w:cs="宋体"/>
          <w:bCs/>
          <w:color w:val="auto"/>
          <w:sz w:val="24"/>
          <w:highlight w:val="none"/>
          <w:u w:val="single"/>
        </w:rPr>
        <w:t>（供应商名称）</w:t>
      </w:r>
      <w:r>
        <w:rPr>
          <w:rFonts w:hint="eastAsia" w:ascii="宋体" w:hAnsi="宋体" w:eastAsia="宋体" w:cs="宋体"/>
          <w:bCs/>
          <w:color w:val="auto"/>
          <w:sz w:val="24"/>
          <w:szCs w:val="24"/>
          <w:highlight w:val="none"/>
        </w:rPr>
        <w:t>愿意承担由此而产生的一切后果。</w:t>
      </w:r>
    </w:p>
    <w:p w14:paraId="02CCD87C">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投标人（盖章）：</w:t>
      </w:r>
    </w:p>
    <w:p w14:paraId="635DBD04">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7D2A6EE3">
      <w:pPr>
        <w:spacing w:line="360" w:lineRule="auto"/>
        <w:outlineLvl w:val="9"/>
        <w:rPr>
          <w:rFonts w:hint="eastAsia" w:ascii="宋体" w:hAnsi="宋体" w:eastAsia="宋体" w:cs="宋体"/>
          <w:bCs/>
          <w:color w:val="auto"/>
          <w:sz w:val="24"/>
          <w:szCs w:val="24"/>
          <w:highlight w:val="none"/>
        </w:rPr>
      </w:pPr>
    </w:p>
    <w:p w14:paraId="0B11006D">
      <w:pPr>
        <w:spacing w:line="360" w:lineRule="auto"/>
        <w:ind w:firstLine="420"/>
        <w:outlineLvl w:val="9"/>
        <w:rPr>
          <w:rFonts w:hint="eastAsia" w:ascii="宋体" w:hAnsi="宋体" w:eastAsia="宋体" w:cs="宋体"/>
          <w:bCs/>
          <w:color w:val="auto"/>
          <w:sz w:val="24"/>
          <w:szCs w:val="24"/>
          <w:highlight w:val="none"/>
        </w:rPr>
      </w:pPr>
      <w:r>
        <w:rPr>
          <w:rFonts w:hint="eastAsia" w:ascii="宋体" w:hAnsi="宋体" w:eastAsia="宋体" w:cs="宋体"/>
          <w:color w:val="auto"/>
          <w:highlight w:val="none"/>
        </w:rPr>
        <w:t>备注：上述所称“重大违法记录”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是指供应商因违法经营受到刑事处罚或者责令停产停业、吊销许可证或者执照、较大数额罚款等行政处罚。</w:t>
      </w:r>
    </w:p>
    <w:p w14:paraId="32BC3E05">
      <w:pPr>
        <w:ind w:firstLine="480"/>
        <w:outlineLvl w:val="9"/>
        <w:rPr>
          <w:rFonts w:hint="eastAsia" w:ascii="宋体" w:hAnsi="宋体" w:eastAsia="宋体" w:cs="宋体"/>
          <w:bCs/>
          <w:color w:val="auto"/>
          <w:sz w:val="24"/>
          <w:szCs w:val="24"/>
          <w:highlight w:val="none"/>
        </w:rPr>
      </w:pPr>
    </w:p>
    <w:p w14:paraId="75FA4CD0">
      <w:pPr>
        <w:outlineLvl w:val="9"/>
        <w:rPr>
          <w:rFonts w:hint="eastAsia" w:ascii="宋体" w:hAnsi="宋体" w:eastAsia="宋体" w:cs="宋体"/>
          <w:bCs/>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t>（三）（投标人）法定代表人授权委托书（格式）：</w:t>
      </w:r>
    </w:p>
    <w:p w14:paraId="7E619097">
      <w:pPr>
        <w:outlineLvl w:val="9"/>
        <w:rPr>
          <w:rFonts w:hint="eastAsia" w:ascii="宋体" w:hAnsi="宋体" w:eastAsia="宋体" w:cs="宋体"/>
          <w:bCs/>
          <w:color w:val="auto"/>
          <w:sz w:val="28"/>
          <w:szCs w:val="28"/>
          <w:highlight w:val="none"/>
        </w:rPr>
      </w:pPr>
    </w:p>
    <w:p w14:paraId="40CFF527">
      <w:pPr>
        <w:jc w:val="center"/>
        <w:outlineLvl w:val="9"/>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法定代表人授权委托书</w:t>
      </w:r>
    </w:p>
    <w:p w14:paraId="52457D73">
      <w:pPr>
        <w:spacing w:line="480" w:lineRule="auto"/>
        <w:jc w:val="center"/>
        <w:rPr>
          <w:rFonts w:hint="eastAsia" w:ascii="宋体" w:hAnsi="宋体" w:eastAsia="宋体" w:cs="宋体"/>
          <w:bCs/>
          <w:color w:val="auto"/>
          <w:sz w:val="24"/>
          <w:szCs w:val="24"/>
          <w:highlight w:val="none"/>
        </w:rPr>
      </w:pPr>
    </w:p>
    <w:p w14:paraId="2CA90ABA">
      <w:pPr>
        <w:spacing w:line="48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采购项目编号：</w:t>
      </w:r>
    </w:p>
    <w:p w14:paraId="6BE09994">
      <w:pPr>
        <w:spacing w:line="48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日期：</w:t>
      </w:r>
    </w:p>
    <w:p w14:paraId="0B1D51A2">
      <w:pPr>
        <w:spacing w:line="60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无锡市滨湖区河埒街道办事处</w:t>
      </w:r>
      <w:r>
        <w:rPr>
          <w:rFonts w:hint="eastAsia" w:ascii="宋体" w:hAnsi="宋体" w:eastAsia="宋体" w:cs="宋体"/>
          <w:bCs/>
          <w:color w:val="auto"/>
          <w:sz w:val="24"/>
          <w:szCs w:val="24"/>
          <w:highlight w:val="none"/>
        </w:rPr>
        <w:t>：</w:t>
      </w:r>
    </w:p>
    <w:p w14:paraId="564E0937">
      <w:pPr>
        <w:spacing w:line="6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系</w:t>
      </w:r>
      <w:r>
        <w:rPr>
          <w:rFonts w:hint="eastAsia" w:ascii="宋体" w:hAnsi="宋体" w:eastAsia="宋体" w:cs="宋体"/>
          <w:bCs/>
          <w:color w:val="auto"/>
          <w:sz w:val="24"/>
          <w:szCs w:val="24"/>
          <w:highlight w:val="none"/>
          <w:shd w:val="clear" w:color="auto" w:fill="FFFFFF"/>
        </w:rPr>
        <w:t>中华人民共和国合法</w:t>
      </w:r>
      <w:r>
        <w:rPr>
          <w:rFonts w:hint="eastAsia" w:ascii="宋体" w:hAnsi="宋体" w:eastAsia="宋体" w:cs="宋体"/>
          <w:bCs/>
          <w:color w:val="auto"/>
          <w:sz w:val="24"/>
          <w:szCs w:val="24"/>
          <w:highlight w:val="none"/>
        </w:rPr>
        <w:t>公司（单位），特授权</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代表我公司（单位）全权办理针对本项目（</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）的投标、参与开标、评标、签约等具体工作，并签署全部有关的文件、协议及合同。</w:t>
      </w:r>
    </w:p>
    <w:p w14:paraId="6AAB2845">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我公司（单位）对被授权代表的签名负全部责任。</w:t>
      </w:r>
    </w:p>
    <w:p w14:paraId="49FD894F">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在撤销授权的书面通知送达你处以前，本授权书一直有效，被授权代表签署的所有文件（在授权书有效期内签署的）不因授权的撤销而失效。</w:t>
      </w:r>
    </w:p>
    <w:p w14:paraId="736C2F71">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被授权代表情况：</w:t>
      </w:r>
    </w:p>
    <w:p w14:paraId="1CEEE311">
      <w:pPr>
        <w:spacing w:line="580" w:lineRule="exact"/>
        <w:ind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姓名：</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性别：</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电话：</w:t>
      </w:r>
    </w:p>
    <w:p w14:paraId="66009085">
      <w:pPr>
        <w:keepNext w:val="0"/>
        <w:keepLines w:val="0"/>
        <w:pageBreakBefore w:val="0"/>
        <w:widowControl w:val="0"/>
        <w:spacing w:line="580" w:lineRule="exact"/>
        <w:ind w:firstLine="48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单位名称（盖章）：</w:t>
      </w:r>
    </w:p>
    <w:p w14:paraId="5AD8AECC">
      <w:pPr>
        <w:keepNext w:val="0"/>
        <w:keepLines w:val="0"/>
        <w:pageBreakBefore w:val="0"/>
        <w:widowControl w:val="0"/>
        <w:spacing w:line="580" w:lineRule="exact"/>
        <w:ind w:firstLine="48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法定代表人（签字或盖章）：</w:t>
      </w:r>
    </w:p>
    <w:p w14:paraId="69CAA1E4">
      <w:pPr>
        <w:pStyle w:val="300"/>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
          <w:color w:val="auto"/>
          <w:sz w:val="30"/>
          <w:highlight w:val="none"/>
        </w:rPr>
        <w:t>（被授权人身份证原件扫描件附后）</w:t>
      </w:r>
    </w:p>
    <w:p w14:paraId="70A2B0D9">
      <w:pPr>
        <w:pStyle w:val="300"/>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0CC572F0">
      <w:pPr>
        <w:pStyle w:val="300"/>
        <w:numPr>
          <w:ilvl w:val="0"/>
          <w:numId w:val="8"/>
        </w:numPr>
        <w:spacing w:line="360" w:lineRule="auto"/>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若投标人为事业单位或其他组织或分支机构（仅限招标文件注明允许分支机构投标情形的），则法定代表人处的签字人可为单位负责人。</w:t>
      </w:r>
    </w:p>
    <w:p w14:paraId="4D09D18F">
      <w:pPr>
        <w:pStyle w:val="300"/>
        <w:numPr>
          <w:ilvl w:val="0"/>
          <w:numId w:val="8"/>
        </w:numPr>
        <w:spacing w:line="360" w:lineRule="auto"/>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当被授权人为法定代表人（或上述情况的单位负责人）时，需提供“法定代表人身份证明书”。</w:t>
      </w:r>
    </w:p>
    <w:p w14:paraId="7800D16D">
      <w:pPr>
        <w:pStyle w:val="300"/>
        <w:numPr>
          <w:ilvl w:val="0"/>
          <w:numId w:val="8"/>
        </w:numPr>
        <w:spacing w:line="360" w:lineRule="auto"/>
        <w:ind w:firstLine="48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供应商为自然人情形的，可不提供本《授权委托书》。</w:t>
      </w:r>
    </w:p>
    <w:p w14:paraId="47E492DB">
      <w:pPr>
        <w:pStyle w:val="300"/>
        <w:numPr>
          <w:ilvl w:val="0"/>
          <w:numId w:val="8"/>
        </w:numPr>
        <w:spacing w:line="360" w:lineRule="auto"/>
        <w:ind w:firstLine="480"/>
        <w:rPr>
          <w:rFonts w:hint="eastAsia" w:ascii="宋体" w:hAnsi="宋体" w:eastAsia="宋体" w:cs="宋体"/>
          <w:color w:val="auto"/>
          <w:sz w:val="24"/>
          <w:szCs w:val="20"/>
          <w:highlight w:val="none"/>
        </w:rPr>
      </w:pPr>
      <w:r>
        <w:rPr>
          <w:rFonts w:hint="eastAsia" w:ascii="宋体" w:hAnsi="宋体" w:eastAsia="宋体" w:cs="宋体"/>
          <w:bCs/>
          <w:color w:val="auto"/>
          <w:sz w:val="24"/>
          <w:szCs w:val="24"/>
          <w:highlight w:val="none"/>
        </w:rPr>
        <w:t>被授权人为外籍、港、澳、台地区人士的，其身份证明须提供有效的护照或港澳同胞来往内地通行证、台湾同胞来往大陆通行证，或其他可在中国大陆有效居留的许可证明。</w:t>
      </w:r>
    </w:p>
    <w:p w14:paraId="65AF707E">
      <w:pPr>
        <w:rPr>
          <w:rFonts w:hint="eastAsia" w:ascii="宋体" w:hAnsi="宋体" w:eastAsia="宋体" w:cs="Times New Roman"/>
          <w:b/>
          <w:bCs w:val="0"/>
          <w:color w:val="auto"/>
          <w:sz w:val="24"/>
          <w:szCs w:val="24"/>
          <w:highlight w:val="none"/>
        </w:rPr>
      </w:pPr>
      <w:r>
        <w:rPr>
          <w:rFonts w:hint="eastAsia" w:ascii="宋体" w:hAnsi="宋体" w:cs="Times New Roman"/>
          <w:b/>
          <w:bCs w:val="0"/>
          <w:color w:val="auto"/>
          <w:sz w:val="24"/>
          <w:szCs w:val="24"/>
          <w:highlight w:val="none"/>
          <w:lang w:val="en-US" w:eastAsia="zh-CN"/>
        </w:rPr>
        <w:t>如</w:t>
      </w:r>
      <w:r>
        <w:rPr>
          <w:rFonts w:hint="eastAsia" w:ascii="宋体" w:hAnsi="宋体" w:eastAsia="宋体" w:cs="Times New Roman"/>
          <w:b/>
          <w:bCs w:val="0"/>
          <w:color w:val="auto"/>
          <w:sz w:val="24"/>
          <w:szCs w:val="24"/>
          <w:highlight w:val="none"/>
        </w:rPr>
        <w:t>法定代表人亲自参加投标的</w:t>
      </w:r>
      <w:r>
        <w:rPr>
          <w:rFonts w:hint="eastAsia" w:ascii="宋体" w:hAnsi="宋体" w:cs="Times New Roman"/>
          <w:b/>
          <w:bCs w:val="0"/>
          <w:color w:val="auto"/>
          <w:sz w:val="24"/>
          <w:szCs w:val="24"/>
          <w:highlight w:val="none"/>
          <w:lang w:eastAsia="zh-CN"/>
        </w:rPr>
        <w:t>，</w:t>
      </w:r>
      <w:r>
        <w:rPr>
          <w:rFonts w:hint="eastAsia" w:ascii="宋体" w:hAnsi="宋体" w:eastAsia="宋体" w:cs="Times New Roman"/>
          <w:b/>
          <w:bCs w:val="0"/>
          <w:color w:val="auto"/>
          <w:sz w:val="24"/>
          <w:szCs w:val="24"/>
          <w:highlight w:val="none"/>
        </w:rPr>
        <w:t>需提供：</w:t>
      </w:r>
    </w:p>
    <w:p w14:paraId="2511FED4">
      <w:pPr>
        <w:spacing w:line="360" w:lineRule="auto"/>
        <w:jc w:val="both"/>
        <w:rPr>
          <w:rFonts w:hint="eastAsia" w:ascii="Times New Roman" w:hAnsi="Times New Roman" w:eastAsia="宋体" w:cs="Times New Roman"/>
          <w:b/>
          <w:color w:val="auto"/>
          <w:sz w:val="28"/>
          <w:szCs w:val="28"/>
          <w:highlight w:val="none"/>
          <w:lang w:val="en-US" w:eastAsia="zh-CN"/>
        </w:rPr>
      </w:pPr>
    </w:p>
    <w:p w14:paraId="7667D2AE">
      <w:pPr>
        <w:jc w:val="center"/>
        <w:outlineLvl w:val="9"/>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法定代表人身份证明书</w:t>
      </w:r>
    </w:p>
    <w:p w14:paraId="502569D0">
      <w:pPr>
        <w:spacing w:line="360" w:lineRule="auto"/>
        <w:jc w:val="center"/>
        <w:rPr>
          <w:rFonts w:hint="eastAsia" w:ascii="Times New Roman" w:hAnsi="Times New Roman" w:eastAsia="宋体" w:cs="Times New Roman"/>
          <w:b/>
          <w:color w:val="auto"/>
          <w:sz w:val="28"/>
          <w:szCs w:val="28"/>
          <w:highlight w:val="none"/>
          <w:lang w:val="en-US" w:eastAsia="zh-CN"/>
        </w:rPr>
      </w:pPr>
    </w:p>
    <w:p w14:paraId="186B12D5">
      <w:pPr>
        <w:spacing w:line="360" w:lineRule="auto"/>
        <w:ind w:firstLine="612"/>
        <w:rPr>
          <w:rFonts w:ascii="宋体" w:hAnsi="宋体"/>
          <w:color w:val="auto"/>
          <w:sz w:val="24"/>
          <w:szCs w:val="24"/>
          <w:highlight w:val="none"/>
        </w:rPr>
      </w:pPr>
      <w:r>
        <w:rPr>
          <w:rFonts w:hint="eastAsia" w:ascii="宋体" w:hAnsi="宋体"/>
          <w:color w:val="auto"/>
          <w:sz w:val="24"/>
          <w:szCs w:val="24"/>
          <w:highlight w:val="none"/>
        </w:rPr>
        <w:t>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14:paraId="5BEA23EE">
      <w:pPr>
        <w:spacing w:line="360" w:lineRule="auto"/>
        <w:rPr>
          <w:rFonts w:ascii="宋体" w:hAnsi="宋体"/>
          <w:color w:val="auto"/>
          <w:sz w:val="24"/>
          <w:szCs w:val="24"/>
          <w:highlight w:val="none"/>
        </w:rPr>
      </w:pPr>
    </w:p>
    <w:p w14:paraId="0A1F2322">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14:paraId="40EE5DD4">
      <w:pPr>
        <w:spacing w:line="360" w:lineRule="auto"/>
        <w:rPr>
          <w:rFonts w:ascii="宋体" w:hAnsi="宋体"/>
          <w:color w:val="auto"/>
          <w:sz w:val="24"/>
          <w:szCs w:val="24"/>
          <w:highlight w:val="none"/>
        </w:rPr>
      </w:pPr>
    </w:p>
    <w:p w14:paraId="3B4CDF33">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14:paraId="2E9CF05A">
      <w:pPr>
        <w:spacing w:line="360" w:lineRule="auto"/>
        <w:rPr>
          <w:rFonts w:ascii="宋体" w:hAnsi="宋体"/>
          <w:color w:val="auto"/>
          <w:sz w:val="24"/>
          <w:szCs w:val="24"/>
          <w:highlight w:val="none"/>
        </w:rPr>
      </w:pPr>
    </w:p>
    <w:p w14:paraId="4326CA8B">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成立时间：年月日</w:t>
      </w:r>
    </w:p>
    <w:p w14:paraId="1815E779">
      <w:pPr>
        <w:spacing w:line="360" w:lineRule="auto"/>
        <w:rPr>
          <w:rFonts w:ascii="宋体" w:hAnsi="宋体"/>
          <w:color w:val="auto"/>
          <w:sz w:val="24"/>
          <w:szCs w:val="24"/>
          <w:highlight w:val="none"/>
        </w:rPr>
      </w:pPr>
    </w:p>
    <w:p w14:paraId="3BBA16CA">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p>
    <w:p w14:paraId="6AB20619">
      <w:pPr>
        <w:spacing w:line="360" w:lineRule="auto"/>
        <w:rPr>
          <w:rFonts w:ascii="宋体" w:hAnsi="宋体"/>
          <w:color w:val="auto"/>
          <w:sz w:val="24"/>
          <w:szCs w:val="24"/>
          <w:highlight w:val="none"/>
        </w:rPr>
      </w:pPr>
    </w:p>
    <w:p w14:paraId="5AAE104A">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姓    名：</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 性别：</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ascii="宋体" w:hAnsi="宋体"/>
          <w:color w:val="auto"/>
          <w:sz w:val="24"/>
          <w:szCs w:val="24"/>
          <w:highlight w:val="none"/>
        </w:rPr>
        <w:t xml:space="preserve"> </w:t>
      </w:r>
      <w:r>
        <w:rPr>
          <w:rFonts w:hint="eastAsia" w:ascii="宋体" w:hAnsi="宋体"/>
          <w:color w:val="auto"/>
          <w:sz w:val="24"/>
          <w:szCs w:val="24"/>
          <w:highlight w:val="none"/>
        </w:rPr>
        <w:t>年龄：</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 xml:space="preserve"> 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14:paraId="10B23A0F">
      <w:pPr>
        <w:spacing w:line="360" w:lineRule="auto"/>
        <w:rPr>
          <w:rFonts w:ascii="宋体" w:hAnsi="宋体"/>
          <w:color w:val="auto"/>
          <w:sz w:val="24"/>
          <w:szCs w:val="24"/>
          <w:highlight w:val="none"/>
        </w:rPr>
      </w:pPr>
    </w:p>
    <w:p w14:paraId="4A280B39">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系</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rPr>
        <w:t>的法定代表人。</w:t>
      </w:r>
    </w:p>
    <w:p w14:paraId="41286CD0">
      <w:pPr>
        <w:spacing w:line="360" w:lineRule="auto"/>
        <w:rPr>
          <w:rFonts w:ascii="宋体" w:hAnsi="宋体"/>
          <w:color w:val="auto"/>
          <w:sz w:val="24"/>
          <w:szCs w:val="24"/>
          <w:highlight w:val="none"/>
        </w:rPr>
      </w:pPr>
    </w:p>
    <w:p w14:paraId="51F54555">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特此证明。</w:t>
      </w:r>
    </w:p>
    <w:p w14:paraId="42356883">
      <w:pPr>
        <w:tabs>
          <w:tab w:val="left" w:pos="720"/>
          <w:tab w:val="left" w:pos="900"/>
        </w:tabs>
        <w:spacing w:line="360" w:lineRule="auto"/>
        <w:rPr>
          <w:rFonts w:ascii="宋体" w:hAnsi="宋体"/>
          <w:color w:val="auto"/>
          <w:sz w:val="24"/>
          <w:szCs w:val="24"/>
          <w:highlight w:val="none"/>
        </w:rPr>
      </w:pPr>
    </w:p>
    <w:p w14:paraId="3B124EBB">
      <w:pPr>
        <w:tabs>
          <w:tab w:val="left" w:pos="720"/>
          <w:tab w:val="left" w:pos="900"/>
        </w:tabs>
        <w:spacing w:line="600" w:lineRule="auto"/>
        <w:ind w:firstLine="4800"/>
        <w:rPr>
          <w:rFonts w:ascii="宋体" w:hAnsi="宋体"/>
          <w:color w:val="auto"/>
          <w:sz w:val="24"/>
          <w:szCs w:val="24"/>
          <w:highlight w:val="none"/>
        </w:rPr>
      </w:pPr>
      <w:r>
        <w:rPr>
          <w:rFonts w:hint="eastAsia" w:ascii="宋体" w:hAnsi="宋体"/>
          <w:color w:val="auto"/>
          <w:sz w:val="24"/>
          <w:szCs w:val="24"/>
          <w:highlight w:val="none"/>
        </w:rPr>
        <w:t>投标供应商：</w:t>
      </w:r>
      <w:r>
        <w:rPr>
          <w:rFonts w:hint="eastAsia" w:ascii="宋体" w:hAnsi="宋体"/>
          <w:color w:val="auto"/>
          <w:sz w:val="24"/>
          <w:szCs w:val="24"/>
          <w:highlight w:val="none"/>
          <w:u w:val="single"/>
        </w:rPr>
        <w:t xml:space="preserve">             （盖公章）</w:t>
      </w:r>
    </w:p>
    <w:p w14:paraId="6D031C80">
      <w:pPr>
        <w:widowControl/>
        <w:ind w:right="480" w:firstLine="5280"/>
        <w:rPr>
          <w:rFonts w:ascii="宋体" w:hAnsi="宋体"/>
          <w:color w:val="auto"/>
          <w:sz w:val="24"/>
          <w:szCs w:val="24"/>
          <w:highlight w:val="none"/>
        </w:rPr>
      </w:pPr>
      <w:r>
        <w:rPr>
          <w:rFonts w:hint="eastAsia" w:ascii="宋体" w:hAnsi="宋体"/>
          <w:color w:val="auto"/>
          <w:sz w:val="24"/>
          <w:szCs w:val="24"/>
          <w:highlight w:val="none"/>
        </w:rPr>
        <w:t>日  期：  年  月  日</w:t>
      </w:r>
    </w:p>
    <w:p w14:paraId="24DF242F">
      <w:pPr>
        <w:ind w:firstLine="480"/>
        <w:rPr>
          <w:rFonts w:hAnsi="宋体" w:cs="宋体"/>
          <w:b/>
          <w:color w:val="auto"/>
          <w:sz w:val="24"/>
          <w:szCs w:val="24"/>
          <w:highlight w:val="none"/>
        </w:rPr>
      </w:pPr>
      <w:r>
        <w:rPr>
          <w:rFonts w:ascii="宋体" w:hAnsi="宋体"/>
          <w:bCs/>
          <w:color w:val="auto"/>
          <w:sz w:val="24"/>
          <w:szCs w:val="24"/>
          <w:highlight w:val="none"/>
        </w:rPr>
        <w:br w:type="page" w:clear="all"/>
      </w:r>
    </w:p>
    <w:p w14:paraId="2489227B">
      <w:pPr>
        <w:outlineLvl w:val="9"/>
        <w:rPr>
          <w:rFonts w:hint="eastAsia" w:ascii="宋体" w:hAnsi="宋体" w:eastAsia="宋体" w:cs="宋体"/>
          <w:bCs/>
          <w:color w:val="auto"/>
          <w:sz w:val="28"/>
          <w:szCs w:val="28"/>
          <w:highlight w:val="none"/>
        </w:rPr>
      </w:pPr>
      <w:r>
        <w:rPr>
          <w:rFonts w:hint="eastAsia" w:ascii="宋体" w:hAnsi="宋体" w:eastAsia="宋体" w:cs="宋体"/>
          <w:bCs/>
          <w:color w:val="auto"/>
          <w:sz w:val="24"/>
          <w:szCs w:val="24"/>
          <w:highlight w:val="none"/>
        </w:rPr>
        <w:t>（四）（投标人）中小企业声明函（格式）：</w:t>
      </w:r>
    </w:p>
    <w:p w14:paraId="00C9A37A">
      <w:pPr>
        <w:jc w:val="center"/>
        <w:rPr>
          <w:rFonts w:hint="eastAsia" w:ascii="宋体" w:hAnsi="宋体" w:eastAsia="宋体" w:cs="宋体"/>
          <w:bCs/>
          <w:color w:val="auto"/>
          <w:sz w:val="28"/>
          <w:szCs w:val="28"/>
          <w:highlight w:val="none"/>
        </w:rPr>
      </w:pPr>
    </w:p>
    <w:p w14:paraId="510F1902">
      <w:pPr>
        <w:jc w:val="center"/>
        <w:outlineLvl w:val="9"/>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中小企业声明函（服务）</w:t>
      </w:r>
    </w:p>
    <w:p w14:paraId="4B5DB5EC">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szCs w:val="24"/>
          <w:highlight w:val="none"/>
          <w:u w:val="single"/>
        </w:rPr>
        <w:t>（联合体）</w:t>
      </w:r>
      <w:r>
        <w:rPr>
          <w:rFonts w:hint="eastAsia" w:ascii="宋体" w:hAnsi="宋体" w:eastAsia="宋体" w:cs="宋体"/>
          <w:bCs/>
          <w:color w:val="auto"/>
          <w:sz w:val="24"/>
          <w:szCs w:val="24"/>
          <w:highlight w:val="none"/>
        </w:rPr>
        <w:t>参加</w:t>
      </w:r>
      <w:r>
        <w:rPr>
          <w:rFonts w:hint="eastAsia" w:ascii="宋体" w:hAnsi="宋体" w:eastAsia="宋体" w:cs="宋体"/>
          <w:bCs/>
          <w:color w:val="auto"/>
          <w:sz w:val="24"/>
          <w:szCs w:val="24"/>
          <w:highlight w:val="none"/>
          <w:u w:val="single"/>
        </w:rPr>
        <w:t>（单位名称）</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（项目名称）</w:t>
      </w:r>
      <w:r>
        <w:rPr>
          <w:rFonts w:hint="eastAsia" w:ascii="宋体" w:hAnsi="宋体" w:eastAsia="宋体" w:cs="宋体"/>
          <w:bCs/>
          <w:color w:val="auto"/>
          <w:sz w:val="24"/>
          <w:szCs w:val="24"/>
          <w:highlight w:val="none"/>
        </w:rPr>
        <w:t>采购活动，服务全部由符合政策要求的中小企业承接。相关企业（含联合体中的中小企业、签订分包意向协议的中小企业）的具体情况如下：</w:t>
      </w:r>
    </w:p>
    <w:p w14:paraId="66915BC0">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（采购文件中明确的所属行业）</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shd w:val="clear" w:color="auto" w:fill="FFFFFF"/>
        </w:rPr>
        <w:t>人</w:t>
      </w:r>
      <w:r>
        <w:rPr>
          <w:rFonts w:hint="eastAsia" w:ascii="宋体" w:hAnsi="宋体" w:eastAsia="宋体" w:cs="宋体"/>
          <w:bCs/>
          <w:color w:val="auto"/>
          <w:sz w:val="24"/>
          <w:szCs w:val="24"/>
          <w:highlight w:val="none"/>
        </w:rPr>
        <w:t>，营业收入为</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万元，资产总额为</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万元，属于</w:t>
      </w:r>
      <w:r>
        <w:rPr>
          <w:rFonts w:hint="eastAsia" w:ascii="宋体" w:hAnsi="宋体" w:eastAsia="宋体" w:cs="宋体"/>
          <w:bCs/>
          <w:color w:val="auto"/>
          <w:sz w:val="24"/>
          <w:szCs w:val="24"/>
          <w:highlight w:val="none"/>
          <w:u w:val="single"/>
        </w:rPr>
        <w:t>（中型企业、 小型企业、微型企业）</w:t>
      </w:r>
      <w:r>
        <w:rPr>
          <w:rFonts w:hint="eastAsia" w:ascii="宋体" w:hAnsi="宋体" w:eastAsia="宋体" w:cs="宋体"/>
          <w:bCs/>
          <w:color w:val="auto"/>
          <w:sz w:val="24"/>
          <w:szCs w:val="24"/>
          <w:highlight w:val="none"/>
        </w:rPr>
        <w:t>；</w:t>
      </w:r>
    </w:p>
    <w:p w14:paraId="38DB90C5">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（采购文件中明确的所属行业）</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shd w:val="clear" w:color="auto" w:fill="FFFFFF"/>
        </w:rPr>
        <w:t>人</w:t>
      </w:r>
      <w:r>
        <w:rPr>
          <w:rFonts w:hint="eastAsia" w:ascii="宋体" w:hAnsi="宋体" w:eastAsia="宋体" w:cs="宋体"/>
          <w:bCs/>
          <w:color w:val="auto"/>
          <w:sz w:val="24"/>
          <w:szCs w:val="24"/>
          <w:highlight w:val="none"/>
        </w:rPr>
        <w:t>，营业收入为</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万元，资产总额为</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万元，属于</w:t>
      </w:r>
      <w:r>
        <w:rPr>
          <w:rFonts w:hint="eastAsia" w:ascii="宋体" w:hAnsi="宋体" w:eastAsia="宋体" w:cs="宋体"/>
          <w:bCs/>
          <w:color w:val="auto"/>
          <w:sz w:val="24"/>
          <w:szCs w:val="24"/>
          <w:highlight w:val="none"/>
          <w:u w:val="single"/>
        </w:rPr>
        <w:t>（中型企业、 小型企业、微型企业）</w:t>
      </w:r>
      <w:r>
        <w:rPr>
          <w:rFonts w:hint="eastAsia" w:ascii="宋体" w:hAnsi="宋体" w:eastAsia="宋体" w:cs="宋体"/>
          <w:bCs/>
          <w:color w:val="auto"/>
          <w:sz w:val="24"/>
          <w:szCs w:val="24"/>
          <w:highlight w:val="none"/>
        </w:rPr>
        <w:t>；</w:t>
      </w:r>
    </w:p>
    <w:p w14:paraId="26503BD1">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14:paraId="0844B496">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019DE308">
      <w:pPr>
        <w:outlineLvl w:val="9"/>
        <w:rPr>
          <w:rFonts w:hint="eastAsia" w:ascii="宋体" w:hAnsi="宋体" w:eastAsia="宋体" w:cs="宋体"/>
          <w:bCs/>
          <w:color w:val="auto"/>
          <w:sz w:val="24"/>
          <w:szCs w:val="24"/>
          <w:highlight w:val="none"/>
        </w:rPr>
      </w:pPr>
    </w:p>
    <w:p w14:paraId="683E34FF">
      <w:pPr>
        <w:spacing w:line="360" w:lineRule="auto"/>
        <w:ind w:firstLine="48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企业名称（盖章）：</w:t>
      </w:r>
    </w:p>
    <w:p w14:paraId="7E10079A">
      <w:pPr>
        <w:spacing w:line="360" w:lineRule="auto"/>
        <w:ind w:firstLine="48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3C6EA5E0">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能进行中、小、微型企业认定。</w:t>
      </w:r>
    </w:p>
    <w:p w14:paraId="7AC52D49">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（2）从业人员、营业收入、资产总额填报上一年度数据，无上一年度数据的新成立企业可不填报。</w:t>
      </w:r>
    </w:p>
    <w:p w14:paraId="227E2485">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3）中标供应商的《中小企业声明函》将随中标公告进行公示。供应商按照本办法规定提供声明函内容不实的，属于提供虚假材料谋取中标、成交，可依照《中华人民共和国政府采购法》等国家有关规定追究相应责任。</w:t>
      </w:r>
    </w:p>
    <w:p w14:paraId="0B9177CC">
      <w:pPr>
        <w:ind w:firstLine="42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（五）（投标人）残疾人福利性单位声明函（格式）：</w:t>
      </w:r>
    </w:p>
    <w:p w14:paraId="2C7E3528">
      <w:pPr>
        <w:spacing w:line="480" w:lineRule="auto"/>
        <w:rPr>
          <w:rFonts w:hint="eastAsia" w:ascii="宋体" w:hAnsi="宋体" w:eastAsia="宋体" w:cs="宋体"/>
          <w:bCs/>
          <w:color w:val="auto"/>
          <w:sz w:val="24"/>
          <w:szCs w:val="24"/>
          <w:highlight w:val="none"/>
        </w:rPr>
      </w:pPr>
    </w:p>
    <w:p w14:paraId="69954670">
      <w:pPr>
        <w:jc w:val="center"/>
        <w:outlineLvl w:val="9"/>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残疾人福利性单位声明函</w:t>
      </w:r>
    </w:p>
    <w:p w14:paraId="26EB6597">
      <w:pPr>
        <w:jc w:val="center"/>
        <w:rPr>
          <w:rFonts w:hint="eastAsia" w:ascii="宋体" w:hAnsi="宋体" w:eastAsia="宋体" w:cs="宋体"/>
          <w:bCs/>
          <w:color w:val="auto"/>
          <w:sz w:val="28"/>
          <w:szCs w:val="28"/>
          <w:highlight w:val="none"/>
        </w:rPr>
      </w:pPr>
    </w:p>
    <w:p w14:paraId="1F5BC35A">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〔2017〕141号</w:t>
      </w:r>
      <w:r>
        <w:rPr>
          <w:rFonts w:hint="eastAsia" w:ascii="宋体" w:hAnsi="宋体" w:eastAsia="宋体" w:cs="宋体"/>
          <w:bCs/>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FDE5F7D">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本单位对上述声明的真实性负责。如有虚假，将依法承担相应责任。</w:t>
      </w:r>
    </w:p>
    <w:p w14:paraId="477F2152">
      <w:pPr>
        <w:spacing w:line="580" w:lineRule="exact"/>
        <w:ind w:firstLine="480"/>
        <w:rPr>
          <w:rFonts w:hint="eastAsia" w:ascii="宋体" w:hAnsi="宋体" w:eastAsia="宋体" w:cs="宋体"/>
          <w:bCs/>
          <w:color w:val="auto"/>
          <w:sz w:val="24"/>
          <w:szCs w:val="24"/>
          <w:highlight w:val="none"/>
        </w:rPr>
      </w:pPr>
    </w:p>
    <w:p w14:paraId="490AF6DB">
      <w:pPr>
        <w:spacing w:line="580" w:lineRule="exact"/>
        <w:ind w:firstLine="480"/>
        <w:rPr>
          <w:rFonts w:hint="eastAsia" w:ascii="宋体" w:hAnsi="宋体" w:eastAsia="宋体" w:cs="宋体"/>
          <w:bCs/>
          <w:color w:val="auto"/>
          <w:sz w:val="24"/>
          <w:szCs w:val="24"/>
          <w:highlight w:val="none"/>
        </w:rPr>
      </w:pPr>
    </w:p>
    <w:p w14:paraId="010EFAF4">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单位名称（盖章）：</w:t>
      </w:r>
    </w:p>
    <w:p w14:paraId="3B80EBB7">
      <w:pPr>
        <w:spacing w:line="58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46794FCE">
      <w:pPr>
        <w:ind w:firstLine="480"/>
        <w:outlineLvl w:val="9"/>
        <w:rPr>
          <w:rFonts w:hint="eastAsia" w:ascii="宋体" w:hAnsi="宋体" w:eastAsia="宋体" w:cs="宋体"/>
          <w:bCs/>
          <w:color w:val="auto"/>
          <w:sz w:val="24"/>
          <w:szCs w:val="24"/>
          <w:highlight w:val="none"/>
        </w:rPr>
      </w:pPr>
    </w:p>
    <w:p w14:paraId="7214AB96">
      <w:pPr>
        <w:ind w:firstLine="480"/>
        <w:outlineLvl w:val="9"/>
        <w:rPr>
          <w:rFonts w:hint="eastAsia" w:ascii="宋体" w:hAnsi="宋体" w:eastAsia="宋体" w:cs="宋体"/>
          <w:bCs/>
          <w:color w:val="auto"/>
          <w:sz w:val="24"/>
          <w:szCs w:val="24"/>
          <w:highlight w:val="none"/>
        </w:rPr>
      </w:pPr>
    </w:p>
    <w:p w14:paraId="2230E1F7">
      <w:pPr>
        <w:ind w:firstLine="480"/>
        <w:outlineLvl w:val="9"/>
        <w:rPr>
          <w:rFonts w:hint="eastAsia" w:ascii="宋体" w:hAnsi="宋体" w:eastAsia="宋体" w:cs="宋体"/>
          <w:bCs/>
          <w:color w:val="auto"/>
          <w:sz w:val="24"/>
          <w:szCs w:val="24"/>
          <w:highlight w:val="none"/>
        </w:rPr>
      </w:pPr>
    </w:p>
    <w:p w14:paraId="1C843E36">
      <w:pPr>
        <w:ind w:firstLine="480"/>
        <w:outlineLvl w:val="9"/>
        <w:rPr>
          <w:rFonts w:hint="eastAsia" w:ascii="宋体" w:hAnsi="宋体" w:eastAsia="宋体" w:cs="宋体"/>
          <w:bCs/>
          <w:color w:val="auto"/>
          <w:sz w:val="24"/>
          <w:szCs w:val="24"/>
          <w:highlight w:val="none"/>
        </w:rPr>
      </w:pPr>
    </w:p>
    <w:p w14:paraId="7E4E1F7F">
      <w:pPr>
        <w:ind w:firstLine="480"/>
        <w:outlineLvl w:val="9"/>
        <w:rPr>
          <w:rFonts w:hint="eastAsia" w:ascii="宋体" w:hAnsi="宋体" w:eastAsia="宋体" w:cs="宋体"/>
          <w:bCs/>
          <w:color w:val="auto"/>
          <w:sz w:val="24"/>
          <w:szCs w:val="24"/>
          <w:highlight w:val="none"/>
        </w:rPr>
      </w:pPr>
    </w:p>
    <w:p w14:paraId="5DC8787A">
      <w:pPr>
        <w:ind w:firstLine="480"/>
        <w:outlineLvl w:val="9"/>
        <w:rPr>
          <w:rFonts w:hint="eastAsia" w:ascii="宋体" w:hAnsi="宋体" w:eastAsia="宋体" w:cs="宋体"/>
          <w:bCs/>
          <w:color w:val="auto"/>
          <w:sz w:val="24"/>
          <w:szCs w:val="24"/>
          <w:highlight w:val="none"/>
        </w:rPr>
      </w:pPr>
    </w:p>
    <w:p w14:paraId="1C2BF15F">
      <w:pPr>
        <w:ind w:firstLine="480"/>
        <w:outlineLvl w:val="9"/>
        <w:rPr>
          <w:rFonts w:hint="eastAsia" w:ascii="宋体" w:hAnsi="宋体" w:eastAsia="宋体" w:cs="宋体"/>
          <w:bCs/>
          <w:color w:val="auto"/>
          <w:sz w:val="24"/>
          <w:szCs w:val="24"/>
          <w:highlight w:val="none"/>
        </w:rPr>
      </w:pPr>
    </w:p>
    <w:p w14:paraId="331A96F6">
      <w:pPr>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br w:type="page"/>
      </w:r>
    </w:p>
    <w:p w14:paraId="4928620A">
      <w:pPr>
        <w:spacing w:line="360" w:lineRule="auto"/>
        <w:outlineLvl w:val="9"/>
        <w:rPr>
          <w:rFonts w:hint="eastAsia" w:ascii="宋体" w:hAnsi="宋体" w:eastAsia="宋体" w:cs="宋体"/>
          <w:bCs/>
          <w:color w:val="auto"/>
          <w:sz w:val="24"/>
          <w:highlight w:val="none"/>
          <w:lang w:val="zh-CN"/>
        </w:rPr>
      </w:pPr>
      <w:bookmarkStart w:id="34" w:name="_GoBack"/>
      <w:bookmarkEnd w:id="34"/>
      <w:r>
        <w:rPr>
          <w:rFonts w:hint="eastAsia" w:ascii="宋体" w:hAnsi="宋体" w:eastAsia="宋体" w:cs="宋体"/>
          <w:bCs/>
          <w:color w:val="auto"/>
          <w:sz w:val="24"/>
          <w:highlight w:val="none"/>
          <w:lang w:val="zh-CN"/>
        </w:rPr>
        <w:t>（</w:t>
      </w:r>
      <w:r>
        <w:rPr>
          <w:rFonts w:hint="eastAsia" w:ascii="宋体" w:hAnsi="宋体" w:cs="宋体"/>
          <w:bCs/>
          <w:color w:val="auto"/>
          <w:sz w:val="24"/>
          <w:highlight w:val="none"/>
          <w:lang w:val="en-US" w:eastAsia="zh-CN"/>
        </w:rPr>
        <w:t>六</w:t>
      </w:r>
      <w:r>
        <w:rPr>
          <w:rFonts w:hint="eastAsia" w:ascii="宋体" w:hAnsi="宋体" w:eastAsia="宋体" w:cs="宋体"/>
          <w:bCs/>
          <w:color w:val="auto"/>
          <w:sz w:val="24"/>
          <w:highlight w:val="none"/>
          <w:lang w:val="zh-CN"/>
        </w:rPr>
        <w:t>）关于符合本国产品标准的声明函（给定格式）：</w:t>
      </w:r>
    </w:p>
    <w:p w14:paraId="38CF2562">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kinsoku/>
        <w:bidi w:val="0"/>
        <w:spacing w:before="0" w:beforeAutospacing="0" w:after="0" w:afterAutospacing="0" w:line="360" w:lineRule="auto"/>
        <w:ind w:left="0" w:leftChars="0" w:right="0" w:rightChars="0"/>
        <w:jc w:val="center"/>
        <w:outlineLvl w:val="9"/>
        <w:rPr>
          <w:rFonts w:ascii="宋体" w:hAnsi="宋体" w:cs="宋体"/>
          <w:color w:val="auto"/>
          <w:sz w:val="24"/>
          <w:highlight w:val="none"/>
        </w:rPr>
      </w:pPr>
      <w:r>
        <w:rPr>
          <w:rFonts w:ascii="宋体" w:hAnsi="宋体" w:eastAsia="宋体" w:cs="宋体"/>
          <w:b/>
          <w:color w:val="auto"/>
          <w:sz w:val="30"/>
          <w:highlight w:val="none"/>
        </w:rPr>
        <w:t>关于符合本国产品标准的声明函</w:t>
      </w:r>
    </w:p>
    <w:p w14:paraId="4D59478A">
      <w:pPr>
        <w:widowControl/>
        <w:spacing w:line="360" w:lineRule="auto"/>
        <w:ind w:firstLine="420"/>
        <w:jc w:val="left"/>
        <w:rPr>
          <w:rFonts w:ascii="宋体" w:hAnsi="宋体" w:cs="宋体"/>
          <w:color w:val="auto"/>
          <w:sz w:val="24"/>
          <w:highlight w:val="none"/>
        </w:rPr>
      </w:pPr>
      <w:r>
        <w:rPr>
          <w:rFonts w:ascii="宋体" w:hAnsi="宋体" w:cs="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232E11DC">
      <w:pPr>
        <w:widowControl/>
        <w:shd w:val="clear" w:color="auto" w:fill="FFFFFF"/>
        <w:spacing w:before="30" w:after="30" w:line="360" w:lineRule="auto"/>
        <w:ind w:firstLine="420"/>
        <w:jc w:val="left"/>
        <w:rPr>
          <w:rFonts w:ascii="宋体" w:hAnsi="宋体" w:cs="宋体"/>
          <w:color w:val="auto"/>
          <w:sz w:val="24"/>
          <w:highlight w:val="none"/>
        </w:rPr>
      </w:pPr>
      <w:r>
        <w:rPr>
          <w:rFonts w:ascii="宋体" w:hAnsi="宋体" w:cs="宋体"/>
          <w:color w:val="auto"/>
          <w:sz w:val="24"/>
          <w:highlight w:val="none"/>
          <w:shd w:val="clear" w:color="auto" w:fill="FFFFFF"/>
        </w:rPr>
        <w:t>1.</w:t>
      </w:r>
      <w:r>
        <w:rPr>
          <w:rFonts w:ascii="宋体" w:hAnsi="宋体" w:cs="宋体"/>
          <w:color w:val="auto"/>
          <w:sz w:val="24"/>
          <w:highlight w:val="none"/>
          <w:u w:val="single"/>
          <w:shd w:val="clear" w:color="auto" w:fill="FFFFFF"/>
        </w:rPr>
        <w:t>（产品名称1）</w:t>
      </w:r>
      <w:r>
        <w:rPr>
          <w:rFonts w:ascii="宋体" w:hAnsi="宋体" w:cs="宋体"/>
          <w:color w:val="auto"/>
          <w:sz w:val="24"/>
          <w:highlight w:val="none"/>
          <w:shd w:val="clear" w:color="auto" w:fill="FFFFFF"/>
          <w:vertAlign w:val="superscript"/>
        </w:rPr>
        <w:t>1</w:t>
      </w:r>
      <w:r>
        <w:rPr>
          <w:rFonts w:ascii="宋体" w:hAnsi="宋体" w:cs="宋体"/>
          <w:color w:val="auto"/>
          <w:sz w:val="24"/>
          <w:highlight w:val="none"/>
          <w:shd w:val="clear" w:color="auto" w:fill="FFFFFF"/>
        </w:rPr>
        <w:t>，生产厂为</w:t>
      </w:r>
      <w:r>
        <w:rPr>
          <w:rFonts w:ascii="宋体" w:hAnsi="宋体" w:cs="宋体"/>
          <w:color w:val="auto"/>
          <w:sz w:val="24"/>
          <w:highlight w:val="none"/>
          <w:u w:val="single"/>
          <w:shd w:val="clear" w:color="auto" w:fill="FFFFFF"/>
        </w:rPr>
        <w:t>（厂名）</w:t>
      </w:r>
      <w:r>
        <w:rPr>
          <w:rFonts w:ascii="宋体" w:hAnsi="宋体" w:cs="宋体"/>
          <w:color w:val="auto"/>
          <w:sz w:val="24"/>
          <w:highlight w:val="none"/>
          <w:shd w:val="clear" w:color="auto" w:fill="FFFFFF"/>
          <w:vertAlign w:val="superscript"/>
        </w:rPr>
        <w:t>2</w:t>
      </w:r>
      <w:r>
        <w:rPr>
          <w:rFonts w:ascii="宋体" w:hAnsi="宋体" w:cs="宋体"/>
          <w:color w:val="auto"/>
          <w:sz w:val="24"/>
          <w:highlight w:val="none"/>
          <w:shd w:val="clear" w:color="auto" w:fill="FFFFFF"/>
        </w:rPr>
        <w:t>，厂址为</w:t>
      </w:r>
      <w:r>
        <w:rPr>
          <w:rFonts w:ascii="宋体" w:hAnsi="宋体" w:cs="宋体"/>
          <w:color w:val="auto"/>
          <w:sz w:val="24"/>
          <w:highlight w:val="none"/>
          <w:u w:val="single"/>
          <w:shd w:val="clear" w:color="auto" w:fill="FFFFFF"/>
        </w:rPr>
        <w:t>（生产厂址）</w:t>
      </w:r>
      <w:r>
        <w:rPr>
          <w:rFonts w:ascii="宋体" w:hAnsi="宋体" w:cs="宋体"/>
          <w:color w:val="auto"/>
          <w:sz w:val="24"/>
          <w:highlight w:val="none"/>
          <w:shd w:val="clear" w:color="auto" w:fill="FFFFFF"/>
        </w:rPr>
        <w:t>。</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的中国境内生产的组件成本占比≥</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vertAlign w:val="superscript"/>
        </w:rPr>
        <w:t>3</w:t>
      </w:r>
      <w:r>
        <w:rPr>
          <w:rFonts w:ascii="宋体" w:hAnsi="宋体" w:cs="宋体"/>
          <w:color w:val="auto"/>
          <w:sz w:val="24"/>
          <w:highlight w:val="none"/>
          <w:shd w:val="clear" w:color="auto" w:fill="FFFFFF"/>
        </w:rPr>
        <w:t>。</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vertAlign w:val="superscript"/>
        </w:rPr>
        <w:t>4</w:t>
      </w:r>
      <w:r>
        <w:rPr>
          <w:rFonts w:ascii="宋体" w:hAnsi="宋体" w:cs="宋体"/>
          <w:color w:val="auto"/>
          <w:sz w:val="24"/>
          <w:highlight w:val="none"/>
          <w:shd w:val="clear" w:color="auto" w:fill="FFFFFF"/>
        </w:rPr>
        <w:t>在中国境内生产。</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vertAlign w:val="superscript"/>
        </w:rPr>
        <w:t>5</w:t>
      </w:r>
      <w:r>
        <w:rPr>
          <w:rFonts w:ascii="宋体" w:hAnsi="宋体" w:cs="宋体"/>
          <w:color w:val="auto"/>
          <w:sz w:val="24"/>
          <w:highlight w:val="none"/>
          <w:shd w:val="clear" w:color="auto" w:fill="FFFFFF"/>
        </w:rPr>
        <w:t>在中国境内完成。</w:t>
      </w:r>
    </w:p>
    <w:p w14:paraId="539F712C">
      <w:pPr>
        <w:widowControl/>
        <w:shd w:val="clear" w:color="auto" w:fill="FFFFFF"/>
        <w:spacing w:before="30" w:after="30" w:line="360" w:lineRule="auto"/>
        <w:ind w:firstLine="420"/>
        <w:jc w:val="left"/>
        <w:rPr>
          <w:rFonts w:ascii="宋体" w:hAnsi="宋体" w:cs="宋体"/>
          <w:color w:val="auto"/>
          <w:sz w:val="24"/>
          <w:highlight w:val="none"/>
        </w:rPr>
      </w:pPr>
      <w:r>
        <w:rPr>
          <w:rFonts w:ascii="宋体" w:hAnsi="宋体" w:cs="宋体"/>
          <w:color w:val="auto"/>
          <w:sz w:val="24"/>
          <w:highlight w:val="none"/>
          <w:shd w:val="clear" w:color="auto" w:fill="FFFFFF"/>
        </w:rPr>
        <w:t>2.</w:t>
      </w:r>
      <w:r>
        <w:rPr>
          <w:rFonts w:ascii="宋体" w:hAnsi="宋体" w:cs="宋体"/>
          <w:color w:val="auto"/>
          <w:sz w:val="24"/>
          <w:highlight w:val="none"/>
          <w:u w:val="single"/>
          <w:shd w:val="clear" w:color="auto" w:fill="FFFFFF"/>
        </w:rPr>
        <w:t>（产品名称2）</w:t>
      </w:r>
      <w:r>
        <w:rPr>
          <w:rFonts w:ascii="宋体" w:hAnsi="宋体" w:cs="宋体"/>
          <w:color w:val="auto"/>
          <w:sz w:val="24"/>
          <w:highlight w:val="none"/>
          <w:shd w:val="clear" w:color="auto" w:fill="FFFFFF"/>
        </w:rPr>
        <w:t>，生产厂为</w:t>
      </w:r>
      <w:r>
        <w:rPr>
          <w:rFonts w:ascii="宋体" w:hAnsi="宋体" w:cs="宋体"/>
          <w:color w:val="auto"/>
          <w:sz w:val="24"/>
          <w:highlight w:val="none"/>
          <w:u w:val="single"/>
          <w:shd w:val="clear" w:color="auto" w:fill="FFFFFF"/>
        </w:rPr>
        <w:t>（厂名）</w:t>
      </w:r>
      <w:r>
        <w:rPr>
          <w:rFonts w:ascii="宋体" w:hAnsi="宋体" w:cs="宋体"/>
          <w:color w:val="auto"/>
          <w:sz w:val="24"/>
          <w:highlight w:val="none"/>
          <w:shd w:val="clear" w:color="auto" w:fill="FFFFFF"/>
        </w:rPr>
        <w:t>，厂址为</w:t>
      </w:r>
      <w:r>
        <w:rPr>
          <w:rFonts w:ascii="宋体" w:hAnsi="宋体" w:cs="宋体"/>
          <w:color w:val="auto"/>
          <w:sz w:val="24"/>
          <w:highlight w:val="none"/>
          <w:u w:val="single"/>
          <w:shd w:val="clear" w:color="auto" w:fill="FFFFFF"/>
        </w:rPr>
        <w:t>（生产厂址）</w:t>
      </w:r>
      <w:r>
        <w:rPr>
          <w:rFonts w:ascii="宋体" w:hAnsi="宋体" w:cs="宋体"/>
          <w:color w:val="auto"/>
          <w:sz w:val="24"/>
          <w:highlight w:val="none"/>
          <w:shd w:val="clear" w:color="auto" w:fill="FFFFFF"/>
        </w:rPr>
        <w:t>。</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的中国境内生产的组件成本占比≥</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在中国境内生产。</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在中国境内完成。</w:t>
      </w:r>
    </w:p>
    <w:p w14:paraId="286A3E6A">
      <w:pPr>
        <w:widowControl/>
        <w:shd w:val="clear" w:color="auto" w:fill="FFFFFF"/>
        <w:spacing w:before="30" w:after="30" w:line="360" w:lineRule="auto"/>
        <w:ind w:firstLine="420"/>
        <w:jc w:val="left"/>
        <w:rPr>
          <w:rFonts w:ascii="宋体" w:hAnsi="宋体" w:cs="宋体"/>
          <w:color w:val="auto"/>
          <w:sz w:val="24"/>
          <w:highlight w:val="none"/>
        </w:rPr>
      </w:pPr>
      <w:r>
        <w:rPr>
          <w:rFonts w:ascii="宋体" w:hAnsi="宋体" w:cs="宋体"/>
          <w:color w:val="auto"/>
          <w:sz w:val="24"/>
          <w:highlight w:val="none"/>
          <w:shd w:val="clear" w:color="auto" w:fill="FFFFFF"/>
        </w:rPr>
        <w:t>……</w:t>
      </w:r>
    </w:p>
    <w:p w14:paraId="46AAD44B">
      <w:pPr>
        <w:widowControl/>
        <w:shd w:val="clear" w:color="auto" w:fill="FFFFFF"/>
        <w:spacing w:before="30" w:after="30" w:line="360" w:lineRule="auto"/>
        <w:ind w:firstLine="420"/>
        <w:jc w:val="left"/>
        <w:rPr>
          <w:rFonts w:ascii="宋体" w:hAnsi="宋体" w:cs="宋体"/>
          <w:color w:val="auto"/>
          <w:sz w:val="24"/>
          <w:highlight w:val="none"/>
        </w:rPr>
      </w:pPr>
      <w:r>
        <w:rPr>
          <w:rFonts w:ascii="宋体" w:hAnsi="宋体" w:cs="宋体"/>
          <w:color w:val="auto"/>
          <w:sz w:val="24"/>
          <w:highlight w:val="none"/>
          <w:shd w:val="clear" w:color="auto" w:fill="FFFFFF"/>
        </w:rPr>
        <w:t>本公司（单位）对上述声明内容的真实性负责。如有虚假，愿承担相应法律责任。</w:t>
      </w:r>
    </w:p>
    <w:p w14:paraId="453094BE">
      <w:pPr>
        <w:widowControl/>
        <w:shd w:val="clear" w:color="auto" w:fill="FFFFFF"/>
        <w:spacing w:before="30" w:after="30" w:line="0" w:lineRule="atLeast"/>
        <w:jc w:val="left"/>
        <w:rPr>
          <w:rFonts w:ascii="宋体" w:hAnsi="宋体" w:cs="宋体"/>
          <w:color w:val="auto"/>
          <w:sz w:val="24"/>
          <w:highlight w:val="none"/>
        </w:rPr>
      </w:pPr>
      <w:r>
        <w:rPr>
          <w:rFonts w:ascii="宋体" w:hAnsi="宋体" w:cs="宋体"/>
          <w:color w:val="auto"/>
          <w:sz w:val="24"/>
          <w:highlight w:val="none"/>
        </w:rPr>
        <w:t> </w:t>
      </w:r>
    </w:p>
    <w:p w14:paraId="40F6278A">
      <w:pPr>
        <w:widowControl/>
        <w:shd w:val="clear" w:color="auto" w:fill="FFFFFF"/>
        <w:spacing w:before="30" w:after="30" w:line="360" w:lineRule="auto"/>
        <w:jc w:val="right"/>
        <w:rPr>
          <w:rFonts w:ascii="宋体" w:hAnsi="宋体" w:cs="宋体"/>
          <w:color w:val="auto"/>
          <w:sz w:val="24"/>
          <w:highlight w:val="none"/>
        </w:rPr>
      </w:pPr>
      <w:r>
        <w:rPr>
          <w:rFonts w:ascii="宋体" w:hAnsi="宋体" w:cs="宋体"/>
          <w:color w:val="auto"/>
          <w:sz w:val="24"/>
          <w:highlight w:val="none"/>
          <w:shd w:val="clear" w:color="auto" w:fill="FFFFFF"/>
        </w:rPr>
        <w:t xml:space="preserve">   公司（单位）名称（加盖CA电子公章）：         </w:t>
      </w:r>
    </w:p>
    <w:p w14:paraId="5354CFD3">
      <w:pPr>
        <w:widowControl/>
        <w:shd w:val="clear" w:color="auto" w:fill="FFFFFF"/>
        <w:spacing w:before="30" w:after="30" w:line="360" w:lineRule="auto"/>
        <w:jc w:val="center"/>
        <w:rPr>
          <w:rFonts w:ascii="宋体" w:hAnsi="宋体" w:cs="宋体"/>
          <w:color w:val="auto"/>
          <w:sz w:val="24"/>
          <w:highlight w:val="none"/>
        </w:rPr>
      </w:pPr>
      <w:r>
        <w:rPr>
          <w:rFonts w:ascii="宋体" w:hAnsi="宋体" w:cs="宋体"/>
          <w:color w:val="auto"/>
          <w:sz w:val="24"/>
          <w:highlight w:val="none"/>
          <w:shd w:val="clear" w:color="auto" w:fill="FFFFFF"/>
        </w:rPr>
        <w:t xml:space="preserve">           日期：      年   月   日         </w:t>
      </w:r>
    </w:p>
    <w:p w14:paraId="44763A08">
      <w:pPr>
        <w:widowControl/>
        <w:shd w:val="clear" w:color="auto" w:fill="FFFFFF"/>
        <w:spacing w:before="30" w:after="30" w:line="0" w:lineRule="atLeast"/>
        <w:jc w:val="left"/>
        <w:rPr>
          <w:rFonts w:ascii="宋体" w:hAnsi="宋体" w:cs="宋体"/>
          <w:color w:val="auto"/>
          <w:sz w:val="24"/>
          <w:highlight w:val="none"/>
        </w:rPr>
      </w:pPr>
      <w:r>
        <w:rPr>
          <w:rFonts w:ascii="宋体" w:hAnsi="宋体" w:cs="宋体"/>
          <w:color w:val="auto"/>
          <w:sz w:val="24"/>
          <w:highlight w:val="none"/>
        </w:rPr>
        <w:t> </w:t>
      </w:r>
    </w:p>
    <w:p w14:paraId="2343AA50">
      <w:pPr>
        <w:widowControl/>
        <w:shd w:val="clear" w:color="auto" w:fill="FFFFFF"/>
        <w:spacing w:before="30" w:after="30" w:line="0" w:lineRule="atLeast"/>
        <w:jc w:val="left"/>
        <w:rPr>
          <w:rFonts w:ascii="宋体" w:hAnsi="宋体" w:cs="宋体"/>
          <w:color w:val="auto"/>
          <w:sz w:val="24"/>
          <w:highlight w:val="none"/>
        </w:rPr>
      </w:pPr>
      <w:r>
        <w:rPr>
          <w:rFonts w:ascii="宋体" w:hAnsi="宋体" w:cs="宋体"/>
          <w:color w:val="auto"/>
          <w:sz w:val="24"/>
          <w:highlight w:val="none"/>
        </w:rPr>
        <w:t> </w:t>
      </w:r>
    </w:p>
    <w:p w14:paraId="2F7D3DAC">
      <w:pPr>
        <w:widowControl/>
        <w:shd w:val="clear" w:color="auto" w:fill="FFFFFF"/>
        <w:spacing w:before="30" w:after="30" w:line="0" w:lineRule="atLeast"/>
        <w:jc w:val="left"/>
        <w:rPr>
          <w:rFonts w:ascii="宋体" w:hAnsi="宋体" w:cs="宋体"/>
          <w:color w:val="auto"/>
          <w:sz w:val="24"/>
          <w:highlight w:val="none"/>
        </w:rPr>
      </w:pPr>
      <w:r>
        <w:rPr>
          <w:rFonts w:ascii="宋体" w:hAnsi="宋体" w:cs="宋体"/>
          <w:color w:val="auto"/>
          <w:sz w:val="24"/>
          <w:highlight w:val="none"/>
          <w:shd w:val="clear" w:color="auto" w:fill="FFFFFF"/>
        </w:rPr>
        <w:t>_________________</w:t>
      </w:r>
    </w:p>
    <w:p w14:paraId="499361AB">
      <w:pPr>
        <w:widowControl/>
        <w:shd w:val="clear" w:color="auto" w:fill="FFFFFF"/>
        <w:spacing w:before="30" w:after="30" w:line="360" w:lineRule="auto"/>
        <w:jc w:val="left"/>
        <w:rPr>
          <w:rFonts w:ascii="宋体" w:hAnsi="宋体" w:cs="宋体"/>
          <w:color w:val="auto"/>
          <w:sz w:val="24"/>
          <w:highlight w:val="none"/>
        </w:rPr>
      </w:pPr>
      <w:r>
        <w:rPr>
          <w:rFonts w:ascii="宋体" w:hAnsi="宋体" w:cs="宋体"/>
          <w:color w:val="auto"/>
          <w:sz w:val="24"/>
          <w:highlight w:val="none"/>
          <w:shd w:val="clear" w:color="auto" w:fill="FFFFFF"/>
        </w:rPr>
        <w:t>1.产品如有型号，请在“产品名称”栏一并填写。</w:t>
      </w:r>
    </w:p>
    <w:p w14:paraId="1C85F038">
      <w:pPr>
        <w:widowControl/>
        <w:shd w:val="clear" w:color="auto" w:fill="FFFFFF"/>
        <w:spacing w:before="30" w:after="30" w:line="360" w:lineRule="auto"/>
        <w:jc w:val="left"/>
        <w:rPr>
          <w:rFonts w:ascii="宋体" w:hAnsi="宋体" w:cs="宋体"/>
          <w:color w:val="auto"/>
          <w:sz w:val="24"/>
          <w:highlight w:val="none"/>
        </w:rPr>
      </w:pPr>
      <w:r>
        <w:rPr>
          <w:rFonts w:ascii="宋体" w:hAnsi="宋体" w:cs="宋体"/>
          <w:color w:val="auto"/>
          <w:sz w:val="24"/>
          <w:highlight w:val="none"/>
          <w:shd w:val="clear" w:color="auto" w:fill="FFFFFF"/>
        </w:rPr>
        <w:t>2.生产厂名与厂址应与生产厂营业执照载明的相关信息保持一致。</w:t>
      </w:r>
    </w:p>
    <w:p w14:paraId="1F887429">
      <w:pPr>
        <w:widowControl/>
        <w:shd w:val="clear" w:color="auto" w:fill="FFFFFF"/>
        <w:spacing w:before="30" w:after="30" w:line="360" w:lineRule="auto"/>
        <w:jc w:val="left"/>
        <w:rPr>
          <w:rFonts w:ascii="宋体" w:hAnsi="宋体" w:cs="宋体"/>
          <w:color w:val="auto"/>
          <w:sz w:val="24"/>
          <w:highlight w:val="none"/>
        </w:rPr>
      </w:pPr>
      <w:r>
        <w:rPr>
          <w:rFonts w:ascii="宋体" w:hAnsi="宋体" w:cs="宋体"/>
          <w:color w:val="auto"/>
          <w:sz w:val="24"/>
          <w:highlight w:val="none"/>
          <w:shd w:val="clear" w:color="auto" w:fill="FFFFFF"/>
        </w:rPr>
        <w:t>3.该产品的中国境内生产的组件成本占比相关要求实施前，“规定比例”栏可不填，下同。</w:t>
      </w:r>
    </w:p>
    <w:p w14:paraId="6C4D4C84">
      <w:pPr>
        <w:widowControl/>
        <w:shd w:val="clear" w:color="auto" w:fill="FFFFFF"/>
        <w:spacing w:before="30" w:after="30" w:line="360" w:lineRule="auto"/>
        <w:jc w:val="left"/>
        <w:rPr>
          <w:rFonts w:ascii="宋体" w:hAnsi="宋体" w:cs="宋体"/>
          <w:color w:val="auto"/>
          <w:sz w:val="24"/>
          <w:highlight w:val="none"/>
        </w:rPr>
      </w:pPr>
      <w:r>
        <w:rPr>
          <w:rFonts w:ascii="宋体" w:hAnsi="宋体" w:cs="宋体"/>
          <w:color w:val="auto"/>
          <w:sz w:val="24"/>
          <w:highlight w:val="none"/>
          <w:shd w:val="clear" w:color="auto" w:fill="FFFFFF"/>
        </w:rPr>
        <w:t>4.该产品的关键组件要求实施前，“关键组件”栏可不填，下同。</w:t>
      </w:r>
    </w:p>
    <w:p w14:paraId="56F42822">
      <w:pPr>
        <w:widowControl/>
        <w:shd w:val="clear" w:color="auto" w:fill="FFFFFF"/>
        <w:spacing w:before="30" w:after="30" w:line="360" w:lineRule="auto"/>
        <w:jc w:val="left"/>
        <w:rPr>
          <w:rFonts w:ascii="宋体" w:hAnsi="宋体" w:cs="宋体"/>
          <w:color w:val="auto"/>
          <w:sz w:val="24"/>
          <w:highlight w:val="none"/>
        </w:rPr>
      </w:pPr>
      <w:r>
        <w:rPr>
          <w:rFonts w:ascii="宋体" w:hAnsi="宋体" w:cs="宋体"/>
          <w:color w:val="auto"/>
          <w:sz w:val="24"/>
          <w:highlight w:val="none"/>
          <w:shd w:val="clear" w:color="auto" w:fill="FFFFFF"/>
        </w:rPr>
        <w:t>5.该产品的关键工序要求实施前，“关键工序”栏可不填，下同。</w:t>
      </w:r>
    </w:p>
    <w:p w14:paraId="0CC759DE">
      <w:pPr>
        <w:widowControl/>
        <w:shd w:val="clear" w:color="auto" w:fill="FFFFFF"/>
        <w:spacing w:before="30" w:after="30" w:line="360" w:lineRule="auto"/>
        <w:jc w:val="left"/>
        <w:rPr>
          <w:rFonts w:ascii="宋体" w:hAnsi="宋体" w:cs="宋体"/>
          <w:color w:val="auto"/>
          <w:sz w:val="24"/>
          <w:highlight w:val="none"/>
        </w:rPr>
      </w:pPr>
      <w:r>
        <w:rPr>
          <w:rFonts w:ascii="宋体" w:hAnsi="宋体" w:cs="宋体"/>
          <w:color w:val="auto"/>
          <w:sz w:val="24"/>
          <w:highlight w:val="none"/>
          <w:shd w:val="clear" w:color="auto" w:fill="FFFFFF"/>
        </w:rPr>
        <w:t>6.《声明函》中标注“</w:t>
      </w:r>
      <w:r>
        <w:rPr>
          <w:rFonts w:ascii="宋体" w:hAnsi="宋体" w:cs="宋体"/>
          <w:color w:val="auto"/>
          <w:sz w:val="24"/>
          <w:highlight w:val="none"/>
          <w:u w:val="single"/>
          <w:shd w:val="clear" w:color="auto" w:fill="FFFFFF"/>
        </w:rPr>
        <w:t xml:space="preserve">  /  </w:t>
      </w:r>
      <w:r>
        <w:rPr>
          <w:rFonts w:ascii="宋体" w:hAnsi="宋体" w:cs="宋体"/>
          <w:color w:val="auto"/>
          <w:sz w:val="24"/>
          <w:highlight w:val="none"/>
          <w:shd w:val="clear" w:color="auto" w:fill="FFFFFF"/>
        </w:rPr>
        <w:t>”的地方无需填写。</w:t>
      </w:r>
    </w:p>
    <w:p w14:paraId="7FAED399">
      <w:pPr>
        <w:pStyle w:val="34"/>
        <w:spacing w:before="0" w:beforeAutospacing="0" w:after="0" w:afterAutospacing="0" w:line="360" w:lineRule="auto"/>
        <w:ind w:left="0" w:leftChars="0" w:firstLine="0" w:firstLineChars="0"/>
        <w:jc w:val="both"/>
        <w:rPr>
          <w:rFonts w:eastAsia="宋体" w:cs="宋体"/>
          <w:b/>
          <w:bCs/>
          <w:color w:val="auto"/>
          <w:szCs w:val="24"/>
          <w:highlight w:val="none"/>
        </w:rPr>
      </w:pPr>
      <w:r>
        <w:rPr>
          <w:rFonts w:hint="eastAsia" w:eastAsia="宋体" w:cs="宋体"/>
          <w:b/>
          <w:bCs/>
          <w:color w:val="auto"/>
          <w:szCs w:val="24"/>
          <w:highlight w:val="none"/>
        </w:rPr>
        <w:t>7.中国境内生产的组件成本核算基本规则</w:t>
      </w:r>
    </w:p>
    <w:p w14:paraId="73F0B77E">
      <w:pPr>
        <w:pStyle w:val="34"/>
        <w:spacing w:before="0" w:beforeAutospacing="0" w:after="0" w:afterAutospacing="0" w:line="360" w:lineRule="auto"/>
        <w:ind w:firstLine="480"/>
        <w:rPr>
          <w:rFonts w:eastAsia="宋体" w:cs="宋体"/>
          <w:color w:val="auto"/>
          <w:highlight w:val="none"/>
        </w:rPr>
      </w:pPr>
      <w:r>
        <w:rPr>
          <w:rFonts w:hint="eastAsia" w:eastAsia="宋体" w:cs="宋体"/>
          <w:color w:val="auto"/>
          <w:highlight w:val="no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6B2D79C7">
      <w:pPr>
        <w:pStyle w:val="34"/>
        <w:spacing w:before="0" w:beforeAutospacing="0" w:after="0" w:afterAutospacing="0" w:line="360" w:lineRule="auto"/>
        <w:ind w:firstLine="480"/>
        <w:rPr>
          <w:rFonts w:eastAsia="宋体" w:cs="宋体"/>
          <w:color w:val="auto"/>
          <w:highlight w:val="none"/>
        </w:rPr>
      </w:pPr>
      <w:r>
        <w:rPr>
          <w:rFonts w:hint="eastAsia" w:eastAsia="宋体" w:cs="宋体"/>
          <w:color w:val="auto"/>
          <w:highlight w:val="none"/>
        </w:rPr>
        <w:t>一、产品的一级组件是指直接组成产品的组件。产品的二级组件是指直接组成产品一级组件的组件。一级组件不可分解的，视同二级组件。</w:t>
      </w:r>
    </w:p>
    <w:p w14:paraId="4E20A747">
      <w:pPr>
        <w:pStyle w:val="34"/>
        <w:spacing w:before="0" w:beforeAutospacing="0" w:after="0" w:afterAutospacing="0" w:line="360" w:lineRule="auto"/>
        <w:ind w:firstLine="480"/>
        <w:rPr>
          <w:rFonts w:eastAsia="宋体" w:cs="宋体"/>
          <w:color w:val="auto"/>
          <w:highlight w:val="none"/>
        </w:rPr>
      </w:pPr>
      <w:r>
        <w:rPr>
          <w:rFonts w:hint="eastAsia" w:eastAsia="宋体" w:cs="宋体"/>
          <w:color w:val="auto"/>
          <w:highlight w:val="none"/>
        </w:rPr>
        <w:t>二、二级组件在中国境内生产的，其全部成本计入中国境内生产的组件成本；二级组件不在中国境内生产的，其成本不计入中国境内生产的组件成本。</w:t>
      </w:r>
    </w:p>
    <w:p w14:paraId="5BF27080">
      <w:pPr>
        <w:pStyle w:val="34"/>
        <w:spacing w:before="0" w:beforeAutospacing="0" w:after="0" w:afterAutospacing="0" w:line="360" w:lineRule="auto"/>
        <w:ind w:firstLine="480"/>
        <w:rPr>
          <w:rFonts w:eastAsia="宋体" w:cs="宋体"/>
          <w:color w:val="auto"/>
          <w:highlight w:val="none"/>
        </w:rPr>
      </w:pPr>
      <w:r>
        <w:rPr>
          <w:rFonts w:hint="eastAsia" w:eastAsia="宋体" w:cs="宋体"/>
          <w:color w:val="auto"/>
          <w:highlight w:val="none"/>
        </w:rPr>
        <w:t>三、产品总成本和组件成本以相关会计核算数据、采购合同、进货记录等为基础进行计算。</w:t>
      </w:r>
    </w:p>
    <w:p w14:paraId="1B7C8B82">
      <w:pPr>
        <w:pStyle w:val="34"/>
        <w:spacing w:before="0" w:beforeAutospacing="0" w:after="0" w:afterAutospacing="0" w:line="360" w:lineRule="auto"/>
        <w:ind w:firstLine="480"/>
        <w:rPr>
          <w:rFonts w:eastAsia="宋体" w:cs="宋体"/>
          <w:color w:val="auto"/>
          <w:highlight w:val="none"/>
        </w:rPr>
      </w:pPr>
      <w:r>
        <w:rPr>
          <w:rFonts w:hint="eastAsia" w:eastAsia="宋体" w:cs="宋体"/>
          <w:color w:val="auto"/>
          <w:highlight w:val="none"/>
        </w:rPr>
        <w:t>四、需要对成本核算规则予以进一步明确的其他有关事项，由财政部会同有关部门另行规定。</w:t>
      </w:r>
    </w:p>
    <w:p w14:paraId="4C4B5100">
      <w:pPr>
        <w:ind w:firstLine="480"/>
        <w:outlineLvl w:val="9"/>
        <w:rPr>
          <w:rFonts w:hint="eastAsia" w:ascii="宋体" w:hAnsi="宋体"/>
          <w:b/>
          <w:bCs w:val="0"/>
          <w:color w:val="auto"/>
          <w:sz w:val="24"/>
          <w:highlight w:val="none"/>
          <w:u w:val="none"/>
        </w:rPr>
      </w:pPr>
      <w:r>
        <w:rPr>
          <w:rFonts w:hint="eastAsia" w:ascii="宋体" w:hAnsi="宋体" w:eastAsia="宋体"/>
          <w:bCs/>
          <w:color w:val="auto"/>
          <w:sz w:val="24"/>
          <w:highlight w:val="none"/>
        </w:rPr>
        <w:t>五、</w:t>
      </w:r>
      <w:r>
        <w:rPr>
          <w:rFonts w:hint="eastAsia" w:ascii="宋体" w:hAnsi="宋体"/>
          <w:b w:val="0"/>
          <w:bCs/>
          <w:color w:val="auto"/>
          <w:sz w:val="24"/>
          <w:highlight w:val="none"/>
          <w:u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80225EB">
      <w:pPr>
        <w:ind w:firstLine="480"/>
        <w:outlineLvl w:val="9"/>
        <w:rPr>
          <w:rFonts w:hint="eastAsia" w:ascii="宋体" w:hAnsi="宋体" w:eastAsia="宋体" w:cs="宋体"/>
          <w:bCs/>
          <w:color w:val="000000" w:themeColor="text1"/>
          <w:sz w:val="24"/>
          <w:szCs w:val="24"/>
          <w:highlight w:val="none"/>
          <w:lang w:val="en" w:eastAsia="zh-CN" w:bidi="ar-SA"/>
          <w14:textFill>
            <w14:solidFill>
              <w14:schemeClr w14:val="tx1"/>
            </w14:solidFill>
          </w14:textFill>
        </w:rPr>
      </w:pPr>
    </w:p>
    <w:p w14:paraId="23D6D873">
      <w:pPr>
        <w:ind w:firstLine="480"/>
        <w:outlineLvl w:val="9"/>
        <w:rPr>
          <w:rFonts w:hint="eastAsia" w:ascii="宋体" w:hAnsi="宋体" w:eastAsia="宋体" w:cs="宋体"/>
          <w:bCs/>
          <w:color w:val="000000" w:themeColor="text1"/>
          <w:sz w:val="24"/>
          <w:szCs w:val="24"/>
          <w:highlight w:val="none"/>
          <w:lang w:val="en" w:eastAsia="zh-CN" w:bidi="ar-SA"/>
          <w14:textFill>
            <w14:solidFill>
              <w14:schemeClr w14:val="tx1"/>
            </w14:solidFill>
          </w14:textFill>
        </w:rPr>
      </w:pPr>
    </w:p>
    <w:p w14:paraId="525D6DAA">
      <w:pPr>
        <w:ind w:firstLine="480"/>
        <w:outlineLvl w:val="9"/>
        <w:rPr>
          <w:rFonts w:hint="eastAsia" w:ascii="宋体" w:hAnsi="宋体" w:eastAsia="宋体" w:cs="宋体"/>
          <w:bCs/>
          <w:color w:val="000000" w:themeColor="text1"/>
          <w:sz w:val="24"/>
          <w:szCs w:val="24"/>
          <w:highlight w:val="none"/>
          <w:lang w:val="en" w:eastAsia="zh-CN" w:bidi="ar-SA"/>
          <w14:textFill>
            <w14:solidFill>
              <w14:schemeClr w14:val="tx1"/>
            </w14:solidFill>
          </w14:textFill>
        </w:rPr>
      </w:pPr>
    </w:p>
    <w:p w14:paraId="4ED0DD3C">
      <w:pPr>
        <w:ind w:firstLine="480"/>
        <w:outlineLvl w:val="9"/>
        <w:rPr>
          <w:rFonts w:hint="eastAsia" w:ascii="宋体" w:hAnsi="宋体" w:eastAsia="宋体" w:cs="宋体"/>
          <w:bCs/>
          <w:color w:val="000000" w:themeColor="text1"/>
          <w:sz w:val="24"/>
          <w:szCs w:val="24"/>
          <w:highlight w:val="none"/>
          <w:lang w:val="en" w:eastAsia="zh-CN" w:bidi="ar-SA"/>
          <w14:textFill>
            <w14:solidFill>
              <w14:schemeClr w14:val="tx1"/>
            </w14:solidFill>
          </w14:textFill>
        </w:rPr>
      </w:pPr>
    </w:p>
    <w:p w14:paraId="07098A91">
      <w:pPr>
        <w:ind w:firstLine="480"/>
        <w:jc w:val="center"/>
        <w:outlineLvl w:val="9"/>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 鉴于本项目为纯粹的服务类项目，不涉及货物采购，故不适用本国产品政</w:t>
      </w:r>
    </w:p>
    <w:p w14:paraId="7BD22A48">
      <w:pPr>
        <w:jc w:val="both"/>
        <w:outlineLvl w:val="9"/>
        <w:rPr>
          <w:rFonts w:hint="eastAsia" w:ascii="宋体" w:hAnsi="宋体" w:eastAsia="宋体" w:cs="宋体"/>
          <w:bCs/>
          <w:color w:val="auto"/>
          <w:sz w:val="24"/>
          <w:szCs w:val="24"/>
          <w:highlight w:val="none"/>
        </w:rPr>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府采购支持政策。投标人对此项无需填报任何内容，特此说明。</w:t>
      </w: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七</w:t>
      </w:r>
      <w:r>
        <w:rPr>
          <w:rFonts w:hint="eastAsia" w:ascii="宋体" w:hAnsi="宋体" w:eastAsia="宋体" w:cs="宋体"/>
          <w:bCs/>
          <w:color w:val="auto"/>
          <w:sz w:val="24"/>
          <w:szCs w:val="24"/>
          <w:highlight w:val="none"/>
        </w:rPr>
        <w:t>）承诺书（格式）：</w:t>
      </w:r>
    </w:p>
    <w:p w14:paraId="16596D3A">
      <w:pPr>
        <w:jc w:val="center"/>
        <w:outlineLvl w:val="9"/>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承诺书</w:t>
      </w:r>
    </w:p>
    <w:p w14:paraId="0CF3277A">
      <w:pPr>
        <w:jc w:val="center"/>
        <w:rPr>
          <w:rFonts w:hint="eastAsia" w:ascii="宋体" w:hAnsi="宋体" w:eastAsia="宋体" w:cs="宋体"/>
          <w:bCs/>
          <w:color w:val="auto"/>
          <w:sz w:val="28"/>
          <w:szCs w:val="28"/>
          <w:highlight w:val="none"/>
        </w:rPr>
      </w:pPr>
    </w:p>
    <w:p w14:paraId="39D145FE">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（投标人名称）针</w:t>
      </w:r>
      <w:r>
        <w:rPr>
          <w:rFonts w:hint="eastAsia" w:ascii="宋体" w:hAnsi="宋体" w:eastAsia="宋体" w:cs="宋体"/>
          <w:bCs/>
          <w:color w:val="auto"/>
          <w:sz w:val="24"/>
          <w:szCs w:val="24"/>
          <w:highlight w:val="none"/>
        </w:rPr>
        <w:t>对本项目（</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在此承诺：</w:t>
      </w:r>
    </w:p>
    <w:p w14:paraId="6F8E8CE3">
      <w:pPr>
        <w:spacing w:line="480" w:lineRule="auto"/>
        <w:rPr>
          <w:rFonts w:hint="eastAsia" w:ascii="宋体" w:hAnsi="宋体" w:eastAsia="宋体" w:cs="宋体"/>
          <w:color w:val="auto"/>
          <w:sz w:val="24"/>
          <w:szCs w:val="24"/>
          <w:highlight w:val="none"/>
        </w:rPr>
      </w:pPr>
    </w:p>
    <w:p w14:paraId="27DFFDA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本公司（单位）</w:t>
      </w:r>
      <w:r>
        <w:rPr>
          <w:rFonts w:hint="eastAsia" w:ascii="宋体" w:hAnsi="宋体" w:eastAsia="宋体" w:cs="宋体"/>
          <w:bCs/>
          <w:color w:val="auto"/>
          <w:sz w:val="24"/>
          <w:szCs w:val="24"/>
          <w:highlight w:val="none"/>
        </w:rPr>
        <w:t>对本项目（</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）所提供的服务符合招标文件要求；</w:t>
      </w:r>
    </w:p>
    <w:p w14:paraId="38A57D73">
      <w:pPr>
        <w:tabs>
          <w:tab w:val="left" w:pos="945"/>
        </w:tabs>
        <w:spacing w:line="360" w:lineRule="auto"/>
        <w:ind w:firstLine="46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本公司（单位）</w:t>
      </w:r>
      <w:r>
        <w:rPr>
          <w:rFonts w:hint="eastAsia" w:ascii="宋体" w:hAnsi="宋体" w:eastAsia="宋体" w:cs="宋体"/>
          <w:bCs/>
          <w:color w:val="auto"/>
          <w:sz w:val="24"/>
          <w:szCs w:val="24"/>
          <w:highlight w:val="none"/>
        </w:rPr>
        <w:t>具备履行合同所必需的人员、设备和专业技术能力；</w:t>
      </w:r>
    </w:p>
    <w:p w14:paraId="078FE16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本公司未被“信用中国”网站（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列入失信被执行人、重大税收违法案件当事人名单、政府采购严重违法失信行为记录名单；</w:t>
      </w:r>
    </w:p>
    <w:p w14:paraId="6D14A093">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p>
    <w:p w14:paraId="0EEE208A">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w:t>
      </w:r>
    </w:p>
    <w:p w14:paraId="35216767">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w:t>
      </w:r>
    </w:p>
    <w:p w14:paraId="0B25ED13">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w:t>
      </w:r>
    </w:p>
    <w:p w14:paraId="21B80B83">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w:t>
      </w:r>
    </w:p>
    <w:p w14:paraId="3AC7FEFE">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w:t>
      </w:r>
    </w:p>
    <w:p w14:paraId="49EEB8B7">
      <w:pPr>
        <w:spacing w:line="480" w:lineRule="auto"/>
        <w:ind w:firstLine="9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14:paraId="7D08F456">
      <w:pPr>
        <w:spacing w:line="480" w:lineRule="auto"/>
        <w:rPr>
          <w:rFonts w:hint="eastAsia" w:ascii="宋体" w:hAnsi="宋体" w:eastAsia="宋体" w:cs="宋体"/>
          <w:bCs/>
          <w:color w:val="auto"/>
          <w:sz w:val="24"/>
          <w:szCs w:val="24"/>
          <w:highlight w:val="none"/>
        </w:rPr>
      </w:pPr>
    </w:p>
    <w:p w14:paraId="6FD9E6B4">
      <w:pPr>
        <w:spacing w:line="480" w:lineRule="auto"/>
        <w:ind w:firstLine="372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bCs/>
          <w:color w:val="auto"/>
          <w:sz w:val="24"/>
          <w:szCs w:val="24"/>
          <w:highlight w:val="none"/>
        </w:rPr>
        <w:t>（盖章）：</w:t>
      </w:r>
    </w:p>
    <w:p w14:paraId="5E702BCC">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05B4E141">
      <w:pPr>
        <w:spacing w:line="480" w:lineRule="auto"/>
        <w:ind w:firstLine="480"/>
        <w:rPr>
          <w:rFonts w:hint="eastAsia" w:ascii="宋体" w:hAnsi="宋体" w:eastAsia="宋体" w:cs="宋体"/>
          <w:bCs/>
          <w:color w:val="auto"/>
          <w:sz w:val="24"/>
          <w:szCs w:val="24"/>
          <w:highlight w:val="none"/>
        </w:rPr>
      </w:pPr>
    </w:p>
    <w:p w14:paraId="1F6128EE">
      <w:pPr>
        <w:spacing w:line="48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Cs w:val="21"/>
          <w:highlight w:val="none"/>
        </w:rPr>
        <w:t>注：以上内容由投标单位根据采购要求可自行完善。</w:t>
      </w:r>
    </w:p>
    <w:p w14:paraId="2B450711">
      <w:pPr>
        <w:ind w:firstLine="480"/>
        <w:outlineLvl w:val="9"/>
        <w:rPr>
          <w:rFonts w:hint="eastAsia" w:ascii="宋体" w:hAnsi="宋体" w:eastAsia="宋体" w:cs="宋体"/>
          <w:bCs/>
          <w:color w:val="auto"/>
          <w:sz w:val="24"/>
          <w:szCs w:val="24"/>
          <w:highlight w:val="none"/>
        </w:rPr>
      </w:pPr>
    </w:p>
    <w:p w14:paraId="4AAFFB3A">
      <w:pPr>
        <w:jc w:val="left"/>
        <w:outlineLvl w:val="9"/>
        <w:rPr>
          <w:rFonts w:hint="eastAsia" w:ascii="宋体" w:hAnsi="宋体" w:eastAsia="宋体" w:cs="宋体"/>
          <w:bCs/>
          <w:color w:val="auto"/>
          <w:sz w:val="24"/>
          <w:szCs w:val="24"/>
          <w:highlight w:val="none"/>
        </w:rPr>
      </w:pPr>
    </w:p>
    <w:p w14:paraId="60BB9834">
      <w:pPr>
        <w:jc w:val="left"/>
        <w:outlineLvl w:val="9"/>
        <w:rPr>
          <w:rFonts w:hint="eastAsia" w:ascii="宋体" w:hAnsi="宋体" w:eastAsia="宋体" w:cs="宋体"/>
          <w:bCs/>
          <w:color w:val="auto"/>
          <w:sz w:val="24"/>
          <w:szCs w:val="24"/>
          <w:highlight w:val="none"/>
        </w:rPr>
      </w:pPr>
    </w:p>
    <w:p w14:paraId="0AF1DFDA">
      <w:pPr>
        <w:jc w:val="left"/>
        <w:outlineLvl w:val="9"/>
        <w:rPr>
          <w:rFonts w:hint="eastAsia" w:ascii="宋体" w:hAnsi="宋体" w:eastAsia="宋体" w:cs="宋体"/>
          <w:bCs/>
          <w:color w:val="auto"/>
          <w:sz w:val="24"/>
          <w:szCs w:val="24"/>
          <w:highlight w:val="none"/>
        </w:rPr>
      </w:pPr>
    </w:p>
    <w:p w14:paraId="5C6F8BA6">
      <w:pPr>
        <w:jc w:val="left"/>
        <w:outlineLvl w:val="9"/>
        <w:rPr>
          <w:rFonts w:hint="eastAsia" w:ascii="宋体" w:hAnsi="宋体" w:eastAsia="宋体" w:cs="宋体"/>
          <w:bCs/>
          <w:color w:val="auto"/>
          <w:sz w:val="24"/>
          <w:szCs w:val="24"/>
          <w:highlight w:val="none"/>
        </w:rPr>
      </w:pPr>
    </w:p>
    <w:p w14:paraId="34692DEA">
      <w:pPr>
        <w:jc w:val="left"/>
        <w:outlineLvl w:val="9"/>
        <w:rPr>
          <w:rFonts w:hint="eastAsia" w:ascii="宋体" w:hAnsi="宋体" w:eastAsia="宋体" w:cs="宋体"/>
          <w:bCs/>
          <w:color w:val="auto"/>
          <w:sz w:val="24"/>
          <w:szCs w:val="24"/>
          <w:highlight w:val="none"/>
        </w:rPr>
      </w:pPr>
    </w:p>
    <w:p w14:paraId="7B3D7ECA">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八</w:t>
      </w:r>
      <w:r>
        <w:rPr>
          <w:rFonts w:hint="eastAsia" w:ascii="宋体" w:hAnsi="宋体" w:eastAsia="宋体" w:cs="宋体"/>
          <w:bCs/>
          <w:color w:val="auto"/>
          <w:sz w:val="24"/>
          <w:szCs w:val="24"/>
          <w:highlight w:val="none"/>
        </w:rPr>
        <w:t>）开标一览表（格式）：</w:t>
      </w:r>
    </w:p>
    <w:p w14:paraId="5B415CE4">
      <w:pPr>
        <w:jc w:val="center"/>
        <w:outlineLvl w:val="9"/>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开标一览表</w:t>
      </w:r>
    </w:p>
    <w:p w14:paraId="7CF520E8">
      <w:pPr>
        <w:spacing w:line="300" w:lineRule="auto"/>
        <w:rPr>
          <w:rFonts w:hint="eastAsia" w:ascii="宋体" w:hAnsi="宋体" w:eastAsia="宋体" w:cs="宋体"/>
          <w:color w:val="auto"/>
          <w:highlight w:val="none"/>
        </w:rPr>
      </w:pPr>
    </w:p>
    <w:p w14:paraId="4453DD30">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采购项目编号：</w:t>
      </w:r>
    </w:p>
    <w:tbl>
      <w:tblPr>
        <w:tblStyle w:val="36"/>
        <w:tblW w:w="92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94"/>
        <w:gridCol w:w="4798"/>
      </w:tblGrid>
      <w:tr w14:paraId="59CF02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494" w:type="dxa"/>
            <w:noWrap/>
            <w:vAlign w:val="center"/>
          </w:tcPr>
          <w:p w14:paraId="2A5A9416">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项目名称</w:t>
            </w:r>
          </w:p>
        </w:tc>
        <w:tc>
          <w:tcPr>
            <w:tcW w:w="4798" w:type="dxa"/>
            <w:noWrap/>
            <w:vAlign w:val="center"/>
          </w:tcPr>
          <w:p w14:paraId="36F19B37">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投标报价</w:t>
            </w:r>
          </w:p>
        </w:tc>
      </w:tr>
      <w:tr w14:paraId="2121CC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29" w:hRule="atLeast"/>
          <w:jc w:val="center"/>
        </w:trPr>
        <w:tc>
          <w:tcPr>
            <w:tcW w:w="4494" w:type="dxa"/>
            <w:noWrap/>
            <w:vAlign w:val="center"/>
          </w:tcPr>
          <w:p w14:paraId="7FEB31C1">
            <w:pPr>
              <w:pStyle w:val="282"/>
              <w:spacing w:line="400" w:lineRule="exact"/>
              <w:jc w:val="center"/>
              <w:rPr>
                <w:rFonts w:hint="eastAsia" w:ascii="宋体" w:hAnsi="宋体" w:eastAsia="宋体" w:cs="宋体"/>
                <w:bCs/>
                <w:color w:val="auto"/>
                <w:szCs w:val="24"/>
                <w:highlight w:val="none"/>
                <w:lang w:eastAsia="zh-CN"/>
              </w:rPr>
            </w:pPr>
            <w:r>
              <w:rPr>
                <w:rFonts w:hint="eastAsia" w:hAnsi="宋体" w:cs="宋体"/>
                <w:bCs/>
                <w:color w:val="auto"/>
                <w:szCs w:val="24"/>
                <w:highlight w:val="none"/>
                <w:lang w:eastAsia="zh-CN"/>
              </w:rPr>
              <w:t>吴大成浜、蒋巷浜等11条河道生态修复养护</w:t>
            </w:r>
          </w:p>
        </w:tc>
        <w:tc>
          <w:tcPr>
            <w:tcW w:w="4798" w:type="dxa"/>
            <w:noWrap/>
            <w:vAlign w:val="center"/>
          </w:tcPr>
          <w:p w14:paraId="3ACE2401">
            <w:pPr>
              <w:pStyle w:val="282"/>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投标报价（小写）：</w:t>
            </w:r>
            <w:r>
              <w:rPr>
                <w:rFonts w:hint="eastAsia" w:ascii="宋体" w:hAnsi="宋体" w:eastAsia="宋体" w:cs="宋体"/>
                <w:bCs/>
                <w:color w:val="auto"/>
                <w:szCs w:val="24"/>
                <w:highlight w:val="none"/>
                <w:u w:val="single"/>
                <w:lang w:val="en-US" w:eastAsia="zh-CN"/>
              </w:rPr>
              <w:t xml:space="preserve">           </w:t>
            </w:r>
            <w:r>
              <w:rPr>
                <w:rFonts w:hint="eastAsia" w:ascii="宋体" w:hAnsi="宋体" w:eastAsia="宋体" w:cs="宋体"/>
                <w:bCs/>
                <w:color w:val="auto"/>
                <w:szCs w:val="24"/>
                <w:highlight w:val="none"/>
              </w:rPr>
              <w:t xml:space="preserve">元　　　        </w:t>
            </w:r>
          </w:p>
          <w:p w14:paraId="2ED2309B">
            <w:pPr>
              <w:pStyle w:val="282"/>
              <w:spacing w:line="360" w:lineRule="auto"/>
              <w:rPr>
                <w:rFonts w:hint="eastAsia" w:ascii="宋体" w:hAnsi="宋体" w:eastAsia="宋体" w:cs="宋体"/>
                <w:bCs/>
                <w:color w:val="auto"/>
                <w:highlight w:val="none"/>
              </w:rPr>
            </w:pPr>
            <w:r>
              <w:rPr>
                <w:rFonts w:hint="eastAsia" w:ascii="宋体" w:hAnsi="宋体" w:eastAsia="宋体" w:cs="宋体"/>
                <w:bCs/>
                <w:color w:val="auto"/>
                <w:szCs w:val="24"/>
                <w:highlight w:val="none"/>
              </w:rPr>
              <w:t>投标报价（大写）：</w:t>
            </w:r>
            <w:r>
              <w:rPr>
                <w:rFonts w:hint="eastAsia" w:ascii="宋体" w:hAnsi="宋体" w:eastAsia="宋体" w:cs="宋体"/>
                <w:bCs/>
                <w:color w:val="auto"/>
                <w:szCs w:val="24"/>
                <w:highlight w:val="none"/>
                <w:u w:val="single"/>
              </w:rPr>
              <w:t xml:space="preserve"> 　</w:t>
            </w:r>
            <w:r>
              <w:rPr>
                <w:rFonts w:hint="eastAsia" w:ascii="宋体" w:hAnsi="宋体" w:eastAsia="宋体" w:cs="宋体"/>
                <w:bCs/>
                <w:color w:val="auto"/>
                <w:highlight w:val="none"/>
                <w:u w:val="single"/>
              </w:rPr>
              <w:t xml:space="preserve">　　     </w:t>
            </w:r>
          </w:p>
        </w:tc>
      </w:tr>
      <w:tr w14:paraId="7BA3C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9292" w:type="dxa"/>
            <w:gridSpan w:val="2"/>
            <w:noWrap/>
            <w:vAlign w:val="center"/>
          </w:tcPr>
          <w:p w14:paraId="44929CDE">
            <w:pPr>
              <w:spacing w:line="30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服务期：</w:t>
            </w:r>
          </w:p>
        </w:tc>
      </w:tr>
      <w:tr w14:paraId="7DDB9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6" w:hRule="atLeast"/>
          <w:jc w:val="center"/>
        </w:trPr>
        <w:tc>
          <w:tcPr>
            <w:tcW w:w="9292" w:type="dxa"/>
            <w:gridSpan w:val="2"/>
            <w:noWrap/>
            <w:vAlign w:val="center"/>
          </w:tcPr>
          <w:p w14:paraId="11F70BBF">
            <w:pPr>
              <w:spacing w:line="300" w:lineRule="auto"/>
              <w:jc w:val="left"/>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lang w:val="en-US" w:eastAsia="zh-CN"/>
              </w:rPr>
              <w:t>服务标准</w:t>
            </w:r>
            <w:r>
              <w:rPr>
                <w:rFonts w:hint="eastAsia" w:ascii="宋体" w:hAnsi="宋体" w:eastAsia="宋体" w:cs="宋体"/>
                <w:color w:val="auto"/>
                <w:sz w:val="24"/>
                <w:highlight w:val="none"/>
              </w:rPr>
              <w:t>：</w:t>
            </w:r>
          </w:p>
        </w:tc>
      </w:tr>
    </w:tbl>
    <w:p w14:paraId="5B30858D">
      <w:pPr>
        <w:spacing w:before="5"/>
        <w:rPr>
          <w:rFonts w:hint="eastAsia" w:ascii="宋体" w:hAnsi="宋体" w:eastAsia="宋体" w:cs="宋体"/>
          <w:b/>
          <w:bCs/>
          <w:color w:val="auto"/>
          <w:sz w:val="24"/>
          <w:szCs w:val="24"/>
          <w:highlight w:val="none"/>
        </w:rPr>
      </w:pPr>
    </w:p>
    <w:p w14:paraId="7FA1F699">
      <w:pPr>
        <w:spacing w:line="400" w:lineRule="exact"/>
        <w:rPr>
          <w:rFonts w:hint="eastAsia" w:ascii="宋体" w:hAnsi="宋体" w:eastAsia="宋体" w:cs="宋体"/>
          <w:bCs/>
          <w:color w:val="auto"/>
          <w:sz w:val="24"/>
          <w:szCs w:val="24"/>
          <w:highlight w:val="none"/>
        </w:rPr>
      </w:pPr>
    </w:p>
    <w:p w14:paraId="17DAB5F3">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24"/>
          <w:szCs w:val="24"/>
          <w:highlight w:val="none"/>
        </w:rPr>
        <w:t>投标人名称（盖章）</w:t>
      </w:r>
      <w:r>
        <w:rPr>
          <w:rFonts w:hint="eastAsia" w:ascii="宋体" w:hAnsi="宋体" w:eastAsia="宋体" w:cs="宋体"/>
          <w:bCs/>
          <w:color w:val="auto"/>
          <w:sz w:val="24"/>
          <w:szCs w:val="24"/>
          <w:highlight w:val="none"/>
          <w:lang w:val="en-US" w:eastAsia="zh-CN"/>
        </w:rPr>
        <w:t xml:space="preserve">   </w:t>
      </w:r>
    </w:p>
    <w:p w14:paraId="5EDE9723">
      <w:pPr>
        <w:outlineLvl w:val="9"/>
        <w:rPr>
          <w:rFonts w:hint="eastAsia" w:ascii="宋体" w:hAnsi="宋体" w:eastAsia="宋体" w:cs="宋体"/>
          <w:bCs/>
          <w:color w:val="auto"/>
          <w:sz w:val="24"/>
          <w:szCs w:val="24"/>
          <w:highlight w:val="none"/>
        </w:rPr>
      </w:pPr>
    </w:p>
    <w:p w14:paraId="1720E4AF">
      <w:pPr>
        <w:spacing w:line="40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6A348436">
      <w:pPr>
        <w:outlineLvl w:val="9"/>
        <w:rPr>
          <w:rFonts w:hint="eastAsia" w:ascii="宋体" w:hAnsi="宋体" w:eastAsia="宋体" w:cs="宋体"/>
          <w:bCs/>
          <w:color w:val="auto"/>
          <w:sz w:val="28"/>
          <w:szCs w:val="28"/>
          <w:highlight w:val="none"/>
        </w:rPr>
      </w:pPr>
      <w:r>
        <w:rPr>
          <w:rFonts w:hint="eastAsia" w:ascii="仿宋" w:hAnsi="仿宋" w:eastAsia="仿宋" w:cs="仿宋"/>
          <w:bCs/>
          <w:color w:val="auto"/>
          <w:sz w:val="24"/>
          <w:szCs w:val="24"/>
          <w:highlight w:val="none"/>
        </w:rPr>
        <w:br w:type="page" w:clear="all"/>
      </w:r>
      <w:r>
        <w:rPr>
          <w:rFonts w:hint="eastAsia" w:ascii="仿宋" w:hAnsi="仿宋" w:eastAsia="仿宋" w:cs="仿宋"/>
          <w:bCs/>
          <w:color w:val="auto"/>
          <w:sz w:val="24"/>
          <w:szCs w:val="24"/>
          <w:highlight w:val="none"/>
        </w:rPr>
        <w:t>（</w:t>
      </w:r>
      <w:r>
        <w:rPr>
          <w:rFonts w:hint="eastAsia" w:ascii="宋体" w:hAnsi="宋体" w:cs="宋体"/>
          <w:bCs/>
          <w:color w:val="auto"/>
          <w:sz w:val="24"/>
          <w:szCs w:val="24"/>
          <w:highlight w:val="none"/>
          <w:lang w:val="en-US" w:eastAsia="zh-CN"/>
        </w:rPr>
        <w:t>九</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分项报价</w:t>
      </w:r>
      <w:r>
        <w:rPr>
          <w:rFonts w:hint="eastAsia" w:ascii="宋体" w:hAnsi="宋体" w:eastAsia="宋体" w:cs="宋体"/>
          <w:bCs/>
          <w:color w:val="auto"/>
          <w:sz w:val="24"/>
          <w:szCs w:val="24"/>
          <w:highlight w:val="none"/>
        </w:rPr>
        <w:t>表（格式）：</w:t>
      </w:r>
    </w:p>
    <w:p w14:paraId="67C521AB">
      <w:pPr>
        <w:jc w:val="center"/>
        <w:outlineLvl w:val="9"/>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分项报价</w:t>
      </w:r>
      <w:r>
        <w:rPr>
          <w:rFonts w:hint="eastAsia" w:ascii="宋体" w:hAnsi="宋体" w:eastAsia="宋体" w:cs="宋体"/>
          <w:bCs/>
          <w:color w:val="auto"/>
          <w:sz w:val="28"/>
          <w:szCs w:val="28"/>
          <w:highlight w:val="none"/>
        </w:rPr>
        <w:t>表</w:t>
      </w:r>
    </w:p>
    <w:p w14:paraId="35DBE3A2">
      <w:pPr>
        <w:spacing w:line="400" w:lineRule="exact"/>
        <w:ind w:firstLine="840"/>
        <w:rPr>
          <w:rFonts w:hint="eastAsia" w:ascii="宋体" w:hAnsi="宋体" w:eastAsia="宋体" w:cs="宋体"/>
          <w:color w:val="auto"/>
          <w:sz w:val="24"/>
          <w:highlight w:val="none"/>
        </w:rPr>
      </w:pPr>
    </w:p>
    <w:p w14:paraId="1DC7283C">
      <w:pPr>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项目名称：                                     </w:t>
      </w:r>
      <w:r>
        <w:rPr>
          <w:rFonts w:hint="eastAsia" w:ascii="宋体" w:hAnsi="宋体" w:eastAsia="宋体" w:cs="宋体"/>
          <w:bCs/>
          <w:color w:val="auto"/>
          <w:sz w:val="24"/>
          <w:szCs w:val="24"/>
          <w:highlight w:val="none"/>
        </w:rPr>
        <w:t>采购项目编号：</w:t>
      </w:r>
      <w:r>
        <w:rPr>
          <w:rFonts w:hint="eastAsia" w:ascii="宋体" w:hAnsi="宋体" w:eastAsia="宋体" w:cs="宋体"/>
          <w:bCs/>
          <w:color w:val="auto"/>
          <w:sz w:val="24"/>
          <w:szCs w:val="24"/>
          <w:highlight w:val="none"/>
          <w:lang w:val="en-US" w:eastAsia="zh-CN"/>
        </w:rPr>
        <w:t xml:space="preserve"> </w:t>
      </w:r>
    </w:p>
    <w:tbl>
      <w:tblPr>
        <w:tblStyle w:val="36"/>
        <w:tblW w:w="99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2"/>
        <w:gridCol w:w="5178"/>
        <w:gridCol w:w="506"/>
        <w:gridCol w:w="1114"/>
        <w:gridCol w:w="1202"/>
        <w:gridCol w:w="1090"/>
      </w:tblGrid>
      <w:tr w14:paraId="3BB5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8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F64BC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51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EF95E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17875C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11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231C0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工程量</w:t>
            </w:r>
          </w:p>
        </w:tc>
        <w:tc>
          <w:tcPr>
            <w:tcW w:w="120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F4DFA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单价</w:t>
            </w:r>
          </w:p>
          <w:p w14:paraId="7EDA131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（元</w:t>
            </w:r>
            <w:r>
              <w:rPr>
                <w:rFonts w:hint="eastAsia" w:ascii="宋体" w:hAnsi="宋体" w:cs="宋体"/>
                <w:i w:val="0"/>
                <w:iCs w:val="0"/>
                <w:color w:val="000000"/>
                <w:kern w:val="0"/>
                <w:sz w:val="22"/>
                <w:szCs w:val="22"/>
                <w:u w:val="none"/>
                <w:lang w:val="en-US" w:eastAsia="zh-CN" w:bidi="ar"/>
              </w:rPr>
              <w:t>）</w:t>
            </w:r>
          </w:p>
        </w:tc>
        <w:tc>
          <w:tcPr>
            <w:tcW w:w="10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1FF67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合价</w:t>
            </w:r>
          </w:p>
          <w:p w14:paraId="484BF54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（元）</w:t>
            </w:r>
          </w:p>
        </w:tc>
      </w:tr>
      <w:tr w14:paraId="78AF6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447A0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一、吴大成浜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BB9526">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5F33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4428A">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39ED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38622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D727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5D838">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沉水植物的修剪、养护、更换（养护标准：三级养护）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1、及时清除水体表面的植物及非目的性沉水植物。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2、沉水植物长出水面影响景观时， 应进行人工打捞或机割。对于浮出水面的死株，应及时清除。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一年收割1次， 收割时间为枯萎1周内开始收割，收割方式为</w:t>
            </w:r>
            <w:r>
              <w:rPr>
                <w:rFonts w:hint="eastAsia" w:ascii="宋体" w:hAnsi="宋体" w:cs="宋体"/>
                <w:i w:val="0"/>
                <w:iCs w:val="0"/>
                <w:color w:val="000000"/>
                <w:kern w:val="0"/>
                <w:sz w:val="22"/>
                <w:szCs w:val="22"/>
                <w:u w:val="none"/>
                <w:lang w:val="en-US" w:eastAsia="zh-CN" w:bidi="ar"/>
              </w:rPr>
              <w:t>机械</w:t>
            </w:r>
            <w:r>
              <w:rPr>
                <w:rFonts w:hint="eastAsia" w:ascii="宋体" w:hAnsi="宋体" w:eastAsia="宋体" w:cs="宋体"/>
                <w:i w:val="0"/>
                <w:iCs w:val="0"/>
                <w:color w:val="000000"/>
                <w:kern w:val="0"/>
                <w:sz w:val="22"/>
                <w:szCs w:val="22"/>
                <w:u w:val="none"/>
                <w:lang w:val="en-US" w:eastAsia="zh-CN" w:bidi="ar"/>
              </w:rPr>
              <w:t>收割或人工打捞。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4、台风、大风大雨天气及强泄洪后2-3天，检查沉水植物的冲毁情况，如有冲毁，及时补植。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26525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649A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89C9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13D3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761FE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3"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C530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F39A7">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河道保洁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1、常态保洁工作，做到每日有专人进行打捞，巡回保洁，确保水面、河岸常态整洁，2人/日；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2、应急处突保洁工作，发现河道水域内有病死动物尸体时，及时打捞上岸进行无害化处理。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3、暴雨过后，及时清理河道中垃圾、杂草、障碍物，进行水质应急处理，确保河道畅通，河面、岸线干净整洁，水质达标。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6736F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0CA9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3820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62AE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F89F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3AAD22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8DA2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62B70">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电气控制柜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1、测量电压、电流和接地电阻；更换熔断器、熔芯和接触器；门锁检修；清扫灰尘等；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2、控制1台曝气风机，2台喷泉曝气机。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6EE1D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F00E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C368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9FF4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098F3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E4B5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F00F2">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管道曝气及喷泉曝气系统维护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1、设备本体以及与本体联系附件的检查、清洗、找正、就位、换油、易损件维修更换、紧固等。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2、1台曝气风机，2台喷泉曝气机。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1E0C0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F75E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C170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3E0C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4D38B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F035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0CF66">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微生态浮床维护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1、日常巡查：每周巡查两次，松动及时固定，破损及时更换，避免整个浮床连带损伤。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2、及时修剪枯黄、枯死和倒伏植株，及时清理滨岸带挺水植物周围的杂物或垃圾。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3、定期去除杂草，除草时注意不要破坏植被根系。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4、冬至后至立春萌动前应对枯萎枝叶进行修剪。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5、对于因病虫害等原因造成某个或某些植被死亡时，应将植被撤出，并进行相应的补种；当植物有严重病虫害时，应撤出后再喷洒杀虫剂处理。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529EE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F362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7126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7C91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2112F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F6BF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979CB">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余方弃置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1、废弃料品种</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一年内本项目水体内收割的植物及水面漂浮物人工装袋放垃圾车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2、运距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投标单位根据实际情况自行考虑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3、含垃圾消纳费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9CE13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m³</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9193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382</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97EC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105C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58FD4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73"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6A11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A03CE">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硝化菌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1、亚硝化单胞菌属，硝化杆菌属，营养剂等；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2、维护河道微生物生态群落；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3、有效快速降解河道氨氮指标。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4、施工方式：单次投放按面积每平方水域投放80g，按汛期6月至9月平均每月投放1次，年度总计投放4次，夜间施工水上作业，含机械搅拌、喷洒费用等；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5、如遇突发水质恶化情况，增加投放次数；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DD69B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2DCF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1222.4</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23D3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92A0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6E933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AB95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FC28B">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水质监测现场跟踪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1、使用快速氨氮检测试纸进行水质检测，平均每个点位每两天一次，雨天及有排污现象时增加检测频率；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2、共两个检测断面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919D1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EE72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365</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BE0D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BF84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0A6E3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C571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96E5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水质检测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1、委托专业监测单位进行水质监测每月1次；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2、检测指标为氨氮、总磷、COD、高锰酸盐、溶解氧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8FF32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24AC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0B0E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E0FE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50760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48"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D6C1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C35AE">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蓝藻处置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1、夏季高温期（按5个月周期计）进行蓝藻人工打捞、处置，平均2人/天，每人每天工作时长12小时（具体以当期藻类爆发情况而定）；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2、打捞后排水，排去表层水体，降低蓝藻数量；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3、投放复合枯草芽孢杆菌进行厌氧消化处理；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4、蓝藻积聚面积较大时，使用汽油泵高压水枪冲散致其下沉；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5、蓝藻巡查，使用无人机无人船对项目区进行蓝藻覆盖度巡查，从而精准快速处置；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6、水上作业施工，含搅拌、喷洒等费用。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FB67E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E8F2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3820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86FC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8267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4001C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EDEB8A">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二、蒋巷浜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993286">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D536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3532D">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53BD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6EE1D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38"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F2B4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DA142">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沉水植物的修剪、养护、更换（养护标准：三级养护）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1、及时清除水体表面的植物及非目的性沉水植物。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2、沉水植物长出水面影响景观时， 应进行人工打捞或机割。对于浮出水面的死株，应及时清除。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一年收割1次， 收割时间为枯萎1周内开始收割，收割方式为</w:t>
            </w:r>
            <w:r>
              <w:rPr>
                <w:rFonts w:hint="eastAsia" w:ascii="宋体" w:hAnsi="宋体" w:cs="宋体"/>
                <w:i w:val="0"/>
                <w:iCs w:val="0"/>
                <w:color w:val="000000"/>
                <w:kern w:val="0"/>
                <w:sz w:val="22"/>
                <w:szCs w:val="22"/>
                <w:u w:val="none"/>
                <w:lang w:val="en-US" w:eastAsia="zh-CN" w:bidi="ar"/>
              </w:rPr>
              <w:t>机械</w:t>
            </w:r>
            <w:r>
              <w:rPr>
                <w:rFonts w:hint="eastAsia" w:ascii="宋体" w:hAnsi="宋体" w:eastAsia="宋体" w:cs="宋体"/>
                <w:i w:val="0"/>
                <w:iCs w:val="0"/>
                <w:color w:val="000000"/>
                <w:kern w:val="0"/>
                <w:sz w:val="22"/>
                <w:szCs w:val="22"/>
                <w:u w:val="none"/>
                <w:lang w:val="en-US" w:eastAsia="zh-CN" w:bidi="ar"/>
              </w:rPr>
              <w:t>收割或人工打捞。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4、台风、大风大雨天气及强泄洪后2-3天，检查沉水植物的冲毁情况，如有冲毁，及时补植。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24F19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3C48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862</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7906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ABD6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1963C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95"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AAC8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0EAF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河道保洁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1、常态保洁工作，做到每日有专人进行打捞，巡回保洁，确保水面、河岸常态整洁，2人/日；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2、应急处突保洁工作，发现河道水域内有病死动物尸体时，及时打捞上岸进行无害化处理。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3、暴雨过后，及时清理河道中垃圾、杂草、障碍物，进行水质应急处理，确保河道畅通，河面、岸线干净整洁，水质达标。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4249D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5949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908</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D528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8B5F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6B750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15F3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4B57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电气控制柜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1、测量电压、电流和接地电阻；更换熔断器、熔芯和接触器；门锁检修；清扫灰尘等；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2、控制1台曝气风机，1台喷泉曝气机，2台推流曝气机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0BB69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C73B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CCA0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4350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2B8F4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6624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314BE">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曝气风机系统维护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1、设备本体以及与本体联系附件的检查、清洗、找正、就位、换油、易损件维修更换、紧固等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2、曝气风机1台，1台喷泉曝气机，2台推流曝气机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133FC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4887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F197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637B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4199A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88E0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84DF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余方弃置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1、废弃料品种</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一年内本项目水体内收割的植物及水面漂浮物人工装袋放垃圾车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2、运距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投标单位根据实际情况自行考虑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3、含垃圾消纳费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20F12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m³</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4AD6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90.8</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FB47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E4E2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75511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F306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88583">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硝化菌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1、亚硝化单胞菌属，硝化杆菌属，营养剂等；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2、维护河道微生物生态群落；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3、有效快速降解河道氨氮指标。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4、施工方式：单次投放按面积每平方水域投放80g，按汛期6月至9月平均每月投放1次，年度总计投放4次，夜间施工水上作业，含机械搅拌、喷洒费用等；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5、如遇突发水质恶化情况，增加投放次数；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78718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1C25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290.56</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6C26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C9D6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45146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6129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D35DC">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水质监测现场跟踪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1、使用快速氨氮检测试纸进行水质检测，平均每个点位每两天一次，雨天及有排污现象时增加检测频率；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2、共一个检测断面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ABE61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54E2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182</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121F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458C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5748E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9834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36CF7">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水质检测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1、委托专业监测单位进行水质监测每月1次；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2、检测指标为氨氮、总磷、COD、高锰酸盐、溶解氧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4E183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6FA1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C95D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2D11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5FCDA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35"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BBCC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0404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蓝藻处置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1、夏季高温期（按5个月周期计）进行蓝藻人工打捞、处置，平均2人/天，每人每天工作时长12小时（具体以当期藻类爆发情况而定）；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2、打捞后排水，排去表层水体，降低蓝藻数量；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3、投放复合枯草芽孢杆菌进行厌氧消化处理；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4、蓝藻积聚面积较大时，使用汽油泵高压水枪冲散致其下沉；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5、蓝藻巡查，使用无人机无人船对项目区进行蓝藻覆盖度巡查，从而精准快速处置；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6、水上作业施工，含搅拌、喷洒等费用。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87A21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0F65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908</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0090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C3B1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31EBC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061D53">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三、钱家桥浜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7D4C3E">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CE5C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86474">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FDCB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10363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63"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16AF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5AFCA">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沉水植物的修剪、养护、更换（养护标准：三级养护）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1、及时清除水体表面的植物及非目的性沉水植物。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2、沉水植物长出水面影响景观时， 应进行人工打捞或机割。对于浮出水面的死株，应及时清除。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一年收割1次， 收割时间为枯萎1周内开始收割，收割方式为</w:t>
            </w:r>
            <w:r>
              <w:rPr>
                <w:rFonts w:hint="eastAsia" w:ascii="宋体" w:hAnsi="宋体" w:cs="宋体"/>
                <w:i w:val="0"/>
                <w:iCs w:val="0"/>
                <w:color w:val="000000"/>
                <w:kern w:val="0"/>
                <w:sz w:val="22"/>
                <w:szCs w:val="22"/>
                <w:u w:val="none"/>
                <w:lang w:val="en-US" w:eastAsia="zh-CN" w:bidi="ar"/>
              </w:rPr>
              <w:t>机械</w:t>
            </w:r>
            <w:r>
              <w:rPr>
                <w:rFonts w:hint="eastAsia" w:ascii="宋体" w:hAnsi="宋体" w:eastAsia="宋体" w:cs="宋体"/>
                <w:i w:val="0"/>
                <w:iCs w:val="0"/>
                <w:color w:val="000000"/>
                <w:kern w:val="0"/>
                <w:sz w:val="22"/>
                <w:szCs w:val="22"/>
                <w:u w:val="none"/>
                <w:lang w:val="en-US" w:eastAsia="zh-CN" w:bidi="ar"/>
              </w:rPr>
              <w:t>收割或人工打捞。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4、台风、大风大雨天气及强泄洪后2-3天，检查沉水植物的冲毁情况，如有冲毁，及时补植。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360AB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1E50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7400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1C2A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3B77C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A070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8B898">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河道保洁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1、常态保洁工作，做到每日有专人进行打捞，巡回保洁，确保水面、河岸常态整洁，2人/日；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2、应急处突保洁工作，发现河道水域内有病死动物尸体时，及时打捞上岸进行无害化处理。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3、暴雨过后，及时清理河道中垃圾、杂草、障碍物，进行水质应急处理，确保河道畅通，河面、岸线干净整洁，水质达标。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1920A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924A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4300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C967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1522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26D1E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1694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973F2">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电气控制柜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1、测量电压、电流和接地电阻；更换熔断器、熔芯和接触器；门锁检修；清扫灰尘等；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2、控制1台曝气风机，3台喷泉曝气机。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DE1C7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3FD6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8851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C698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62325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FEDA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F76DD">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喷泉曝气及曝气风机系统维护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1、设备本体以及与本体联系附件的检查、清洗、找正、就位、换油、易损件维修更换、紧固等。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2、喷泉曝气机3台，曝气风机1台。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91E24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F43C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4366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3FA5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6B320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52"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C2D8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764F6">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微生态浮床维护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1、日常巡查：每周巡查两次，松动及时固定，破损及时更换，避免整个浮床连带损伤。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2、及时修剪枯黄、枯死和倒伏植株，及时清理滨岸带挺水植物周围的杂物或垃圾。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3、定期去除杂草，除草时注意不要破坏植被根系。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4、冬至后至立春萌动前应对枯萎枝叶进行修剪。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5、对于因病虫害等原因造成某个或某些植被死亡时，应将植被撤出，并进行相应的补种；当植物有严重病虫害时，应撤出后再喷洒杀虫剂处理。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1E694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695B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E3AA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088E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64011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5"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F3D8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2B3DB">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余方弃置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1、废弃料品种</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一年内本项目水体内收割的植物及水面漂浮物人工装袋放垃圾车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2、运距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投标单位根据实际情况自行考虑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3、含垃圾消纳费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A6E82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m³</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3DB4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5AA5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AAAF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7CDA8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67A7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4E37B">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硝化菌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1、亚硝化单胞菌属，硝化杆菌属，营养剂等；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2、维护河道微生物生态群落；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3、有效快速降解河道氨氮指标。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4、施工方式：单次投放按面积每平方水域投放80g，按汛期6月至9月平均每月投放1次，年度总计投放4次，夜间施工水上作业，含机械搅拌、喷洒费用等；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5、如遇突发水质恶化情况，增加投放次数；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47078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68ED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1376</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1723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31FA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6B69F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4EC7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A3F90">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水质监测现场跟踪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1、使用快速氨氮检测试纸进行水质检测，平均每个点位每两天一次，雨天及有排污现象时增加检测频率；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2、共五个检测断面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308E1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BCD5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912</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D025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3D46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18215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AE14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82F0C">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水质检测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1、委托专业监测单位进行水质监测每月1次；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2、检测指标为氨氮、总磷、COD、高锰酸盐、溶解氧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9E796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5D29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08FF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CFA3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035D7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1019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010E9">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蓝藻处置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1、夏季高温期（按5个月周期计）进行蓝藻人工打捞、处置，平均2人/天，每人每天工作时长12小时（具体以当期藻类爆发情况而定）；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2、打捞后排水，排去表层水体，降低蓝藻数量；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3、投放复合枯草芽孢杆菌进行厌氧消化处理；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4、蓝藻积聚面积较大时，使用汽油泵高压水枪冲散致其下沉；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5、蓝藻巡查，使用无人机无人船对项目区进行蓝藻覆盖度巡查，从而精准快速处置；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6、水上作业施工，含搅拌、喷洒等费用。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25358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0885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4300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AE9E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A587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34052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F2125A">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四、唐巷浜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120AD7">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EB4A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BD3CB">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FA8B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5966E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2"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AB5C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E4D3C">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沉水植物的修剪、养护、更换（养护标准：三级养护）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1、及时清除水体表面的植物及非目的性沉水植物。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2、沉水植物长出水面影响景观时， 应进行人工打捞或机割。对于浮出水面的死株，应及时清除。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一年收割1次， 收割时间为枯萎1周内开始收割，收割方式为</w:t>
            </w:r>
            <w:r>
              <w:rPr>
                <w:rFonts w:hint="eastAsia" w:ascii="宋体" w:hAnsi="宋体" w:cs="宋体"/>
                <w:i w:val="0"/>
                <w:iCs w:val="0"/>
                <w:color w:val="000000"/>
                <w:kern w:val="0"/>
                <w:sz w:val="22"/>
                <w:szCs w:val="22"/>
                <w:u w:val="none"/>
                <w:lang w:val="en-US" w:eastAsia="zh-CN" w:bidi="ar"/>
              </w:rPr>
              <w:t>机械</w:t>
            </w:r>
            <w:r>
              <w:rPr>
                <w:rFonts w:hint="eastAsia" w:ascii="宋体" w:hAnsi="宋体" w:eastAsia="宋体" w:cs="宋体"/>
                <w:i w:val="0"/>
                <w:iCs w:val="0"/>
                <w:color w:val="000000"/>
                <w:kern w:val="0"/>
                <w:sz w:val="22"/>
                <w:szCs w:val="22"/>
                <w:u w:val="none"/>
                <w:lang w:val="en-US" w:eastAsia="zh-CN" w:bidi="ar"/>
              </w:rPr>
              <w:t>收割或人工打捞。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4、台风、大风大雨天气及强泄洪后2-3天，检查沉水植物的冲毁情况，如有冲毁，及时补植。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2A021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E674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2665</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0103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5B4D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31EFF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6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2C16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DFAAB">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河道保洁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1、常态保洁工作，做到每日有专人进行打捞，巡回保洁，确保水面、河岸常态整洁，2人/日；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2、应急处突保洁工作，发现河道水域内有病死动物尸体时，及时打捞上岸进行无害化处理。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3、暴雨过后，及时清理河道中垃圾、杂草、障碍物，进行水质应急处理，确保河道畅通，河面、岸线干净整洁，水质达标。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7EA0A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1CC2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3853</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6FD0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60FA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395C7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8C2B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CC11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电气控制柜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1、测量电压、电流和接地电阻；更换熔断器、熔芯和接触器；门锁检修；清扫灰尘等；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2、控制1台曝气风机，1台喷泉曝气机。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BD9FC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6993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BCA7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1911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6EB65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E57D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7E51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喷泉曝气及曝气风机系统维护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1、设备本体以及与本体联系附件的检查、清洗、找正、就位、换油、易损件维修更换、紧固等。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2、喷泉曝气机1台，曝气风机1台。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5E659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AD64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0C96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9EB8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669E3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5A47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32D60">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微生态浮床维护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1、日常巡查：每周巡查两次，松动及时固定，破损及时更换，避免整个浮床连带损伤。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2、及时修剪枯黄、枯死和倒伏植株，及时清理滨岸带挺水植物周围的杂物或垃圾。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3、定期去除杂草，除草时注意不要破坏植被根系。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4、冬至后至立春萌动前应对枯萎枝叶进行修剪。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5、对于因病虫害等原因造成某个或某些植被死亡时，应将植被撤出，并进行相应的补种；当植物有严重病虫害时，应撤出后再喷洒杀虫剂处理。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8AA12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4D4F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B688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7802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58ADD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95"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144F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311FC">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余方弃置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1、废弃料品种</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一年内本项目水体内收割的植物及水面漂浮物人工装袋放垃圾车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2、运距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投标单位根据实际情况自行考虑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3、含垃圾消纳费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3ECBE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m³</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1A1F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385.3</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F17A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2601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21091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E398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15C76">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硝化菌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1、亚硝化单胞菌属，硝化杆菌属，营养剂等；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2、维护河道微生物生态群落；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3、有效快速降解河道氨氮指标。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4、施工方式：单次投放按面积每平方水域投放80g，按汛期6月至9月平均每月投放1次，年度总计投放4次，夜间施工水上作业，含机械搅拌、喷洒费用等；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5、如遇突发水质恶化情况，增加投放次数；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A3F24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8425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1232.96</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584F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DE16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6EABE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7660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A8EC2">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水质监测现场跟踪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1、使用快速氨氮检测试纸进行水质检测，平均每个点位每两天一次，雨天及有排污现象时增加检测频率；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2、共两个检测断面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DE655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963D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365</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34C9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2AC5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5863B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3F0E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B2C28">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水质检测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1、委托专业监测单位进行水质监测每月1次；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2、检测指标为氨氮、总磷、COD、高锰酸盐、溶解氧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A632B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D350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91C4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82E6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6A890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13"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7EC2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26F5C">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蓝藻处置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1、夏季高温期（按5个月周期计）进行蓝藻人工打捞、处置，平均2人/天，每人每天工作时长12小时（具体以当期藻类爆发情况而定）；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2、打捞后排水，排去表层水体，降低蓝藻数量；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3、投放复合枯草芽孢杆菌进行厌氧消化处理；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4、蓝藻积聚面积较大时，使用汽油泵高压水枪冲散致其下沉；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5、蓝藻巡查，使用无人机无人船对项目区进行蓝藻覆盖度巡查，从而精准快速处置；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6、水上作业施工，含搅拌、喷洒等费用。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1F841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7552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3853</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F066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BAA5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2AAD0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4E97D6">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五、庙东浜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131D5D">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C05C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1622E">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90DB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6E55A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5"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C86D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ECB4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沉水植物的修剪、养护、更换（养护标准：三级养护）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1、及时清除水体表面的植物及非目的性沉水植物。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2、沉水植物长出水面影响景观时， 应进行人工打捞或机割。对于浮出水面的死株，应及时清除。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一年收割1次， 收割时间为枯萎1周内开始收割，收割方式为</w:t>
            </w:r>
            <w:r>
              <w:rPr>
                <w:rFonts w:hint="eastAsia" w:ascii="宋体" w:hAnsi="宋体" w:cs="宋体"/>
                <w:i w:val="0"/>
                <w:iCs w:val="0"/>
                <w:color w:val="000000"/>
                <w:kern w:val="0"/>
                <w:sz w:val="22"/>
                <w:szCs w:val="22"/>
                <w:u w:val="none"/>
                <w:lang w:val="en-US" w:eastAsia="zh-CN" w:bidi="ar"/>
              </w:rPr>
              <w:t>机械</w:t>
            </w:r>
            <w:r>
              <w:rPr>
                <w:rFonts w:hint="eastAsia" w:ascii="宋体" w:hAnsi="宋体" w:eastAsia="宋体" w:cs="宋体"/>
                <w:i w:val="0"/>
                <w:iCs w:val="0"/>
                <w:color w:val="000000"/>
                <w:kern w:val="0"/>
                <w:sz w:val="22"/>
                <w:szCs w:val="22"/>
                <w:u w:val="none"/>
                <w:lang w:val="en-US" w:eastAsia="zh-CN" w:bidi="ar"/>
              </w:rPr>
              <w:t>收割或人工打捞。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4、台风、大风大雨天气及强泄洪后2-3天，检查沉水植物的冲毁情况，如有冲毁，及时补植。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20CF7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0DE7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4856</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4993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2057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7615B7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5"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5421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14872">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河道保洁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1、常态保洁工作，做到每日有专人进行打捞，巡回保洁，确保水面、河岸常态整洁，2人/日；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2、应急处突保洁工作，发现河道水域内有病死动物尸体时，及时打捞上岸进行无害化处理。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3、暴雨过后，及时清理河道中垃圾、杂草、障碍物，进行水质应急处理，确保河道畅通，河面、岸线干净整洁，水质达标。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A4E21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4394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17700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2D6E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6725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4DED4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9713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15AAA">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电气控制柜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1、测量电压、电流和接地电阻；更换熔断器、熔芯和接触器；门锁检修；清扫灰尘等；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2、控制6台曝气风机，3台喷泉曝气机。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5C01F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3CE1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4987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702B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349EB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FD42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ACA2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喷泉曝气及曝气风机系统维护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1、设备本体以及与本体联系附件的检查、清洗、找正、就位、换油、易损件维修更换、紧固等。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2、喷泉曝气机3台，曝气风机6台。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888A4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3474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19DF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D919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00F45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7A10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BD450">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微生态浮床维护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1、日常巡查：每周巡查两次，松动及时固定，破损及时更换，避免整个浮床连带损伤。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2、及时修剪枯黄、枯死和倒伏植株，及时清理滨岸带挺水植物周围的杂物或垃圾。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3、定期去除杂草，除草时注意不要破坏植被根系。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4、冬至后至立春萌动前应对枯萎枝叶进行修剪。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5、对于因病虫害等原因造成某个或某些植被死亡时，应将植被撤出，并进行相应的补种；当植物有严重病虫害时，应撤出后再喷洒杀虫剂处理。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21BCC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0812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583C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952F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04CA2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8"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F33E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00E07">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余方弃置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1、废弃料品种</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一年内本项目水体内收割的植物及水面漂浮物人工装袋放垃圾车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2、运距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投标单位根据实际情况自行考虑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3、含垃圾消纳费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C2B5C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m³</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EBEA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1770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9C91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3839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325E4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CA5E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9465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硝化菌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1、亚硝化单胞菌属，硝化杆菌属，营养剂等；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2、维护河道微生物生态群落；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3、有效快速降解河道氨氮指标。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4、施工方式：单次投放按面积每平方水域投放80g，按汛期6月至9月平均每月投放1次，年度总计投放4次，夜间施工水上作业，含机械搅拌、喷洒费用等；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5、如遇突发水质恶化情况，增加投放次数；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CF78D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E2E1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5664</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241E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1F54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17AA1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2AB7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EADF6">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水质监测现场跟踪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1、使用快速氨氮检测试纸进行水质检测，平均每个点位每两天一次，雨天及有排污现象时增加检测频率；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2、共四个检测断面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C83E3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E7B0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730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0A91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4539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166B0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D895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48</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57693">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水质检测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1、委托专业监测单位进行水质监测每月1次；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2、检测指标为氨氮、总磷、COD、高锰酸盐、溶解氧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46DC8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A301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95DC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2B96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64E82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5"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51C3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9EF1C">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蓝藻处置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1、夏季高温期（按5个月周期计）进行蓝藻人工打捞、处置，平均2人/天，每人每天工作时长12小时（具体以当期藻类爆发情况而定）；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2、打捞后排水，排去表层水体，降低蓝藻数量；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3、投放复合枯草芽孢杆菌进行厌氧消化处理；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4、蓝藻积聚面积较大时，使用汽油泵高压水枪冲散致其下沉；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5、蓝藻巡查，使用无人机无人船对项目区进行蓝藻覆盖度巡查，从而精准快速处置；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6、水上作业施工，含搅拌、喷洒等费用。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A0DE2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C784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17700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91B4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BC0B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00648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8BFE7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六、北庄河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36F218">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1757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CD8AC">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9FFC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6817F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5998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5BC5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沉水植物的修剪、养护、更换（养护标准：三级养护）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1、及时清除水体表面的植物及非目的性沉水植物。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2、沉水植物长出水面影响景观时， 应进行人工打捞或机割。对于浮出水面的死株，应及时清除。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一年收割1次， 收割时间为枯萎1周内开始收割，收割方式为</w:t>
            </w:r>
            <w:r>
              <w:rPr>
                <w:rFonts w:hint="eastAsia" w:ascii="宋体" w:hAnsi="宋体" w:cs="宋体"/>
                <w:i w:val="0"/>
                <w:iCs w:val="0"/>
                <w:color w:val="000000"/>
                <w:kern w:val="0"/>
                <w:sz w:val="22"/>
                <w:szCs w:val="22"/>
                <w:u w:val="none"/>
                <w:lang w:val="en-US" w:eastAsia="zh-CN" w:bidi="ar"/>
              </w:rPr>
              <w:t>机械</w:t>
            </w:r>
            <w:r>
              <w:rPr>
                <w:rFonts w:hint="eastAsia" w:ascii="宋体" w:hAnsi="宋体" w:eastAsia="宋体" w:cs="宋体"/>
                <w:i w:val="0"/>
                <w:iCs w:val="0"/>
                <w:color w:val="000000"/>
                <w:kern w:val="0"/>
                <w:sz w:val="22"/>
                <w:szCs w:val="22"/>
                <w:u w:val="none"/>
                <w:lang w:val="en-US" w:eastAsia="zh-CN" w:bidi="ar"/>
              </w:rPr>
              <w:t>收割或人工打捞。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4、台风、大风大雨天气及强泄洪后2-3天，检查沉水植物的冲毁情况，如有冲毁，及时补植。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D5B54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9714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1920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934C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CC72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34B87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2"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8BD3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CD26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河道保洁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1、常态保洁工作，做到每日有专人进行打捞，巡回保洁，确保水面、河岸常态整洁，2人/日；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2、应急处突保洁工作，发现河道水域内有病死动物尸体时，及时打捞上岸进行无害化处理。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3、暴雨过后，及时清理河道中垃圾、杂草、障碍物，进行水质应急处理，确保河道畅通，河面、岸线干净整洁，水质达标。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72A09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310D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2822</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3CAC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FD55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03E42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773D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3941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电气控制柜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1、测量电压、电流和接地电阻；更换熔断器、熔芯和接触器；门锁检修；清扫灰尘等；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2、控制1台曝气风机，1台喷泉曝气机。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DA552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5F4F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F976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FC8B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7B315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968C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53</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7AAD6">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喷泉曝气及曝气风机系统维护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1、设备本体以及与本体联系附件的检查、清洗、找正、就位、换油、易损件维修更换、紧固等。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2、喷泉曝气机1台，曝气风机1台。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E2735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D111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A889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5198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4472B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EB70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3307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余方弃置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1、废弃料品种</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一年内本项目水体内收割的植物及水面漂浮物人工装袋放垃圾车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2、运距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投标单位根据实际情况自行考虑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3、含垃圾消纳费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0A562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m³</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1387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282.2</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8E7E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54CA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3E634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0C65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9BB46">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硝化菌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1、亚硝化单胞菌属，硝化杆菌属，营养剂等；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2、维护河道微生物生态群落；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3、有效快速降解河道氨氮指标。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4、施工方式：单次投放按面积每平方水域投放80g，按汛期6月至9月平均每月投放1次，年度总计投放4次，夜间施工水上作业，含机械搅拌、喷洒费用等；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5、如遇突发水质恶化情况，增加投放次数；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FDE0D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C7C0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903.04</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A1B6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039D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6ADA1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95A4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F61F8">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水质监测现场跟踪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1、使用快速氨氮检测试纸进行水质检测，平均每个点位每两天一次，雨天及有排污现象时增加检测频率；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2、共两个检测断面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5A146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8F72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365</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A780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7C5F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313F2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A38F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6CADF">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水质检测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1、委托专业监测单位进行水质监测每月1次；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2、检测指标为氨氮、总磷、COD、高锰酸盐、溶解氧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8D025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84F1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0752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CD8B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4EF3E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B101D2">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七、老乌浜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26CF54">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425B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765E1">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54DA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11CCE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8"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AE82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58</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A5937">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河道保洁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1、常态保洁工作，做到每日有专人进行打捞，巡回保洁，确保水面、河岸常态整洁，2人/日；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2、应急处突保洁工作，发现河道水域内有病死动物尸体时，及时打捞上岸进行无害化处理。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3、暴雨过后，及时清理河道中垃圾、杂草、障碍物，进行水质应急处理，确保河道畅通，河面、岸线干净整洁，水质达标。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DFF24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65B6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56E6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023E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09DDA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F715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7DB0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电气控制柜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1、测量电压、电流和接地电阻；更换熔断器、熔芯和接触器；门锁检修；清扫灰尘等；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2、控制3台推流曝气机。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CCFF3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CE9C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D8C4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C3A7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13AA1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32C7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8840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喷泉曝气及曝气风机系统维护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1、设备本体以及与本体联系附件的检查、清洗、找正、就位、换油、易损件维修更换、紧固等。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2、3台推流曝气机。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96BF5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B3A1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16F3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74AB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35D2E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5E14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E5946">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余方弃置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1、废弃料品种</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一年内本项目水体内收割的植物及水面漂浮物人工装袋放垃圾车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2、运距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投标单位根据实际情况自行考虑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3、含垃圾消纳费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BB422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m³</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2A1C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0619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78F3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2D5FF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7"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EE37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8954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硝化菌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1、亚硝化单胞菌属，硝化杆菌属，营养剂等；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2、维护河道微生物生态群落；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3、有效快速降解河道氨氮指标。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4、施工方式：单次投放按面积每平方水域投放80g，按汛期6月至9月平均每月投放1次，年度总计投放4次，夜间施工水上作业，含机械搅拌、喷洒费用等；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5、如遇突发水质恶化情况，增加投放次数；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C5D77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0139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278.4</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C6C4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6491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312D2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CBD7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BC516">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水质监测现场跟踪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1、使用快速氨氮检测试纸进行水质检测，平均每个点位每两天一次，雨天及有排污现象时增加检测频率；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2、共一个检测断面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18D73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477F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182</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A998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A9FA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52FEF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1804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98AD2">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水质检测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1、委托专业监测单位进行水质监测每月1次；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2、检测指标为氨氮、总磷、COD、高锰酸盐、溶解氧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E939D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ED6E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74B0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F724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3360B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8"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CA7B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B5D3B">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蓝藻处置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1、夏季高温期（按5个月周期计）进行蓝藻人工打捞、处置，平均2人/天，每人每天工作时长12小时（具体以当期藻类爆发情况而定）；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2、打捞后排水，排去表层水体，降低蓝藻数量；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3、投放复合枯草芽孢杆菌进行厌氧消化处理；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4、蓝藻积聚面积较大时，使用汽油泵高压水枪冲散致其下沉；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5、蓝藻巡查，使用无人机无人船对项目区进行蓝藻覆盖度巡查，从而精准快速处置；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6、水上作业施工，含搅拌、喷洒等费用。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9457F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1976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EA50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8381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659FD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5E6EC9">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八、东新河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D98B58">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B40B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D8F15">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565F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29670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12"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E10D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CACCE">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沉水植物的修剪、养护、更换（养护标准：三级养护）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1、及时清除水体表面的植物及非目的性沉水植物。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2、沉水植物长出水面影响景观时， 应进行人工打捞或机割。对于浮出水面的死株，应及时清除。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一年收割1次， 收割时间为枯萎1周内开始收割，收割方式为</w:t>
            </w:r>
            <w:r>
              <w:rPr>
                <w:rFonts w:hint="eastAsia" w:ascii="宋体" w:hAnsi="宋体" w:cs="宋体"/>
                <w:i w:val="0"/>
                <w:iCs w:val="0"/>
                <w:color w:val="000000"/>
                <w:kern w:val="0"/>
                <w:sz w:val="22"/>
                <w:szCs w:val="22"/>
                <w:u w:val="none"/>
                <w:lang w:val="en-US" w:eastAsia="zh-CN" w:bidi="ar"/>
              </w:rPr>
              <w:t>机械</w:t>
            </w:r>
            <w:r>
              <w:rPr>
                <w:rFonts w:hint="eastAsia" w:ascii="宋体" w:hAnsi="宋体" w:eastAsia="宋体" w:cs="宋体"/>
                <w:i w:val="0"/>
                <w:iCs w:val="0"/>
                <w:color w:val="000000"/>
                <w:kern w:val="0"/>
                <w:sz w:val="22"/>
                <w:szCs w:val="22"/>
                <w:u w:val="none"/>
                <w:lang w:val="en-US" w:eastAsia="zh-CN" w:bidi="ar"/>
              </w:rPr>
              <w:t>收割或人工打捞。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4、台风、大风大雨天气及强泄洪后2-3天，检查沉水植物的冲毁情况，如有冲毁，及时补植。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7F09C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03CB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2800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4017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0A2E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36E3F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47"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9585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39BF6">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河道保洁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1、常态保洁工作，做到每日有专人进行打捞，巡回保洁，确保水面、河岸常态整洁，2人/日；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2、应急处突保洁工作，发现河道水域内有病死动物尸体时，及时打捞上岸进行无害化处理。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3、暴雨过后，及时清理河道中垃圾、杂草、障碍物，进行水质应急处理，确保河道畅通，河面、岸线干净整洁，水质达标。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45BA1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C149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6100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53B3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4558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234D1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9698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68</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36FD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电气控制柜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1、测量电压、电流和接地电阻；更换熔断器、熔芯和接触器；门锁检修；清扫灰尘等；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2、控制2台曝气设备。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E51D7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8FC6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D2EA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BBC1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28FCE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F126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69</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70F43">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喷泉曝气及曝气风机系统维护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1、设备本体以及与本体联系附件的检查、清洗、找正、就位、换油、易损件维修更换、紧固等。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F61C5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3803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7B42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9B41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440ED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27"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0E73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F0ED8">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微生态浮床维护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1、日常巡查：每周巡查两次，松动及时固定，破损及时更换，避免整个浮床连带损伤。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2、及时修剪枯黄、枯死和倒伏植株，及时清理滨岸带挺水植物周围的杂物或垃圾。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3、定期去除杂草，除草时注意不要破坏植被根系。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4、冬至后至立春萌动前应对枯萎枝叶进行修剪。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5、对于因病虫害等原因造成某个或某些植被死亡时，应将植被撤出，并进行相应的补种；当植物有严重病虫害时，应撤出后再喷洒杀虫剂处理。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FFC90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8784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A77B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B348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00E96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3"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4CC0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9D4A3">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余方弃置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1、废弃料品种</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一年内本项目水体内收割的植物及水面漂浮物人工装袋放垃圾车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2、运距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投标单位根据实际情况自行考虑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3、含垃圾消纳费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6E3FA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m³</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D863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1C06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90F1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73A09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48"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BF34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B89F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硝化菌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1、亚硝化单胞菌属，硝化杆菌属，营养剂等；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2、维护河道微生物生态群落；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3、有效快速降解河道氨氮指标。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4、施工方式：单次投放按面积每平方水域投放80g，按汛期6月至9月平均每月投放1次，年度总计投放4次，夜间施工水上作业，含机械搅拌、喷洒费用等；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5、如遇突发水质恶化情况，增加投放次数；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48F11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561B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1952</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2387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8474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6D337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C457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73</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9DEF0">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水质监测现场跟踪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1、使用快速氨氮检测试纸进行水质检测，平均每个点位每两天一次，雨天及有排污现象时增加检测频率；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2、共三个检测断面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65B3F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1E19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547</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631D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94B9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534B9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E225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74</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7C79B">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水质检测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1、委托专业监测单位进行水质监测每月1次；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2、检测指标为氨氮、总磷、COD、高锰酸盐、溶解氧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1B3DA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71FE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5882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6596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1101C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5349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C343E">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微纳米气泡发生器及离子发生器系统维护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1、微纳米气泡发生器定期检修，解体、清洗、检查、刮研、换油、调整、装配、无负荷试运转、复位。</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2、离子发生器动力净水系统定期检修，设备本体以及与本体联系附件的检查、清洗、找正、就位、换油、易损件维修更换、紧固等。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4ADCD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C378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AB1C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7119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0579F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1D29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21C40">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生物基床维护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1、每月清洗、维护一次。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F52FA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710D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5F8C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6139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0D8DA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0037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88F7F">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蓝藻处置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1、夏季高温期（按5个月周期计）进行蓝藻人工打捞、处置，平均2人/天，每人每天工作时长12小时（具体以当期藻类爆发情况而定）；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2、打捞后排水，排去表层水体，降低蓝藻数量；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3、投放复合枯草芽孢杆菌进行厌氧消化处理；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4、蓝藻积聚面积较大时，使用汽油泵高压水枪冲散致其下沉；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5、蓝藻巡查，使用无人机无人船对项目区进行蓝藻覆盖度巡查，从而精准快速处置；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6、水上作业施工，含搅拌、喷洒等费用。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FC4E1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9817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6100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0406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44FC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22DBA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656953">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九、河埒浜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B3D8A6">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2328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A16C7">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5B9F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405D9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5"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D9EE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78</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C3F6D">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沉水植物的修剪、养护、更换（养护标准：三级养护）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1、及时清除水体表面的植物及非目的性沉水植物。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2、沉水植物长出水面影响景观时， 应进行人工打捞或机割。对于浮出水面的死株，应及时清除。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一年收割1次， 收割时间为枯萎1周内开始收割，收割方式为</w:t>
            </w:r>
            <w:r>
              <w:rPr>
                <w:rFonts w:hint="eastAsia" w:ascii="宋体" w:hAnsi="宋体" w:cs="宋体"/>
                <w:i w:val="0"/>
                <w:iCs w:val="0"/>
                <w:color w:val="000000"/>
                <w:kern w:val="0"/>
                <w:sz w:val="22"/>
                <w:szCs w:val="22"/>
                <w:u w:val="none"/>
                <w:lang w:val="en-US" w:eastAsia="zh-CN" w:bidi="ar"/>
              </w:rPr>
              <w:t>机械</w:t>
            </w:r>
            <w:r>
              <w:rPr>
                <w:rFonts w:hint="eastAsia" w:ascii="宋体" w:hAnsi="宋体" w:eastAsia="宋体" w:cs="宋体"/>
                <w:i w:val="0"/>
                <w:iCs w:val="0"/>
                <w:color w:val="000000"/>
                <w:kern w:val="0"/>
                <w:sz w:val="22"/>
                <w:szCs w:val="22"/>
                <w:u w:val="none"/>
                <w:lang w:val="en-US" w:eastAsia="zh-CN" w:bidi="ar"/>
              </w:rPr>
              <w:t>收割或人工打捞。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4、台风、大风大雨天气及强泄洪后2-3天，检查沉水植物的冲毁情况，如有冲毁，及时补植。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22961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518C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555F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C695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41938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D0EF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79</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C3888">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河道保洁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1、常态保洁工作，做到每日有专人进行打捞，巡回保洁，确保水面、河岸常态整洁，2人/日；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2、应急处突保洁工作，发现河道水域内有病死动物尸体时，及时打捞上岸进行无害化处理。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3、暴雨过后，及时清理河道中垃圾、杂草、障碍物，进行水质应急处理，确保河道畅通，河面、岸线干净整洁，水质达标。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91E9D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EB60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3700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AD1A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AA1B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31A37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A8D4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3B0B8">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电气控制柜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1、测量电压、电流和接地电阻；更换熔断器、熔芯和接触器；门锁检修；清扫灰尘等；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8133A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2231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F53F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AFB4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0AECB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3755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81</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7327C">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喷泉曝气及曝气风机系统维护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1、设备本体以及与本体联系附件的检查、清洗、找正、就位、换油、易损件维修更换、紧固等。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95BA5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2EB5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1078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4C5F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10F5F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AE6C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7B5C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微生态浮床维护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1、日常巡查：每周巡查两次，松动及时固定，破损及时更换，避免整个浮床连带损伤。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2、及时修剪枯黄、枯死和倒伏植株，及时清理滨岸带挺水植物周围的杂物或垃圾。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3、定期去除杂草，除草时注意不要破坏植被根系。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4、冬至后至立春萌动前应对枯萎枝叶进行修剪。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5、对于因病虫害等原因造成某个或某些植被死亡时，应将植被撤出，并进行相应的补种；当植物有严重病虫害时，应撤出后再喷洒杀虫剂处理。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AA519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968B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927D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D032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204BC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CA65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83</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75B68">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余方弃置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1、废弃料品种</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一年内本项目水体内收割的植物及水面漂浮物人工装袋放垃圾车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2、运距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投标单位根据实际情况自行考虑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3、含垃圾消纳费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64FBB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m³</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6FF4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FD74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504E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703B0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B86C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F2358">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硝化菌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1、亚硝化单胞菌属，硝化杆菌属，营养剂等；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2、维护河道微生物生态群落；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3、有效快速降解河道氨氮指标。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4、施工方式：单次投放按面积每平方水域投放80g，按汛期6月至9月平均每月投放1次，年度总计投放4次，夜间施工水上作业，含机械搅拌、喷洒费用等；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5、如遇突发水质恶化情况，增加投放次数；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0DC9A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1B0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1184</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2BDB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474A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7E2CC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6D5A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85</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6E320">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水质监测现场跟踪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1、使用快速氨氮检测试纸进行水质检测，平均每个点位每两天一次，雨天及有排污现象时增加检测频率；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2、共三个检测断面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582A2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A4CB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547</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A594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7648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241A8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2A64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86</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E7D98">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水质检测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1、委托专业监测单位进行水质监测每月1次；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2、检测指标为氨氮、总磷、COD、高锰酸盐、溶解氧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D7D10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D345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2015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6E3E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08D60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6A4F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F6DCF">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微纳米气泡发生器及离子发生器系统维护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1、微纳米气泡发生器定期检修，解体、清洗、检查、刮研、换油、调整、装配、无负荷试运转、复位。</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2、离子发生器动力净水系统定期检修，设备本体以及与本体联系附件的检查、清洗、找正、就位、换油、易损件维修更换、紧固等。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9714E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8FD6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F680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77CE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26CC73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BEEF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D20E3">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潜水排污水泵维护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1、设备的起吊、解体、清洗、检查、刮研、换油、调整、装配、无负荷试运转、复位。</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2、含池底清淤、管道清堵等。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1D21E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23D7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6593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9F30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060C5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979F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89</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6372E">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生物基床维护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1、每月清洗、维护一次。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CB104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114E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7B9D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C795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673CC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F357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3830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微生物箱维护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1、定期清洗、维护。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A1164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06BD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8919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9B23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47112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2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7ADC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91</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13A2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蓝藻处置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1、夏季高温期（按5个月周期计）进行蓝藻人工打捞、处置，平均2人/天，每人每天工作时长12小时（具体以当期藻类爆发情况而定）；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2、打捞后排水，排去表层水体，降低蓝藻数量；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3、投放复合枯草芽孢杆菌进行厌氧消化处理；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4、蓝藻积聚面积较大时，使用汽油泵高压水枪冲散致其下沉；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5、蓝藻巡查，使用无人机无人船对项目区进行蓝藻覆盖度巡查，从而精准快速处置；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6、水上作业施工，含搅拌、喷洒等费用。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F1C86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9ACA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3700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A0BC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549E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73AFF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6F54AA">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十、大成浜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974E6C">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0EDC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23617">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F9E4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35930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8"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1B2B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500FB">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沉水植物的修剪、养护、更换（养护标准：三级养护）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1、及时清除水体表面的植物及非目的性沉水植物。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2、沉水植物长出水面影响景观时， 应进行人工打捞或机割。对于浮出水面的死株，应及时清除。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一年收割1次， 收割时间为枯萎1周内开始收割，收割方式为</w:t>
            </w:r>
            <w:r>
              <w:rPr>
                <w:rFonts w:hint="eastAsia" w:ascii="宋体" w:hAnsi="宋体" w:cs="宋体"/>
                <w:i w:val="0"/>
                <w:iCs w:val="0"/>
                <w:color w:val="000000"/>
                <w:kern w:val="0"/>
                <w:sz w:val="22"/>
                <w:szCs w:val="22"/>
                <w:u w:val="none"/>
                <w:lang w:val="en-US" w:eastAsia="zh-CN" w:bidi="ar"/>
              </w:rPr>
              <w:t>机械</w:t>
            </w:r>
            <w:r>
              <w:rPr>
                <w:rFonts w:hint="eastAsia" w:ascii="宋体" w:hAnsi="宋体" w:eastAsia="宋体" w:cs="宋体"/>
                <w:i w:val="0"/>
                <w:iCs w:val="0"/>
                <w:color w:val="000000"/>
                <w:kern w:val="0"/>
                <w:sz w:val="22"/>
                <w:szCs w:val="22"/>
                <w:u w:val="none"/>
                <w:lang w:val="en-US" w:eastAsia="zh-CN" w:bidi="ar"/>
              </w:rPr>
              <w:t>收割或人工打捞。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4、台风、大风大雨天气及强泄洪后2-3天，检查沉水植物的冲毁情况，如有冲毁，及时补植。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6CD65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BB62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1290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F6F7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0844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4BA57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85"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3E6B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93</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C5773">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河道保洁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1、常态保洁工作，做到每日有专人进行打捞，巡回保洁，确保水面、河岸常态整洁，2人/日；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2、应急处突保洁工作，发现河道水域内有病死动物尸体时，及时打捞上岸进行无害化处理。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3、暴雨过后，及时清理河道中垃圾、杂草、障碍物，进行水质应急处理，确保河道畅通，河面、岸线干净整洁，水质达标。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C4DCD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47FB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5744</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16A5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A082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5EE2B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0FEB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94</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DF30E">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电气控制柜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1、测量电压、电流和接地电阻；更换熔断器、熔芯和接触器；门锁检修；清扫灰尘等；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D418B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32BC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0DFB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6B7B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03414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B504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48BE0">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推流曝气及喷泉曝气系统维护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1、设备本体以及与本体联系附件的检查、清洗、找正、就位、换油、易损件维修更换、紧固等。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34362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8009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6BA2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E087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26B1A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8"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F3CE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83F23">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微生态浮床维护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1、日常巡查：每周巡查两次，松动及时固定，破损及时更换，避免整个浮床连带损伤。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2、及时修剪枯黄、枯死和倒伏植株，及时清理滨岸带挺水植物周围的杂物或垃圾。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3、定期去除杂草，除草时注意不要破坏植被根系。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4、冬至后至立春萌动前应对枯萎枝叶进行修剪。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5、对于因病虫害等原因造成某个或某些植被死亡时，应将植被撤出，并进行相应的补种；当植物有严重病虫害时，应撤出后再喷洒杀虫剂处理。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00990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31D4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214</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6DAC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EE60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6AEEB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5"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C917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0DF7F">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余方弃置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1、废弃料品种</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一年内本项目水体内收割的植物及水面漂浮物人工装袋放垃圾车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2、运距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投标单位根据实际情况自行考虑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3、含垃圾消纳费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DB638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m³</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3315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574.4</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258E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E196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548D1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73"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224D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98</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09C96">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硝化菌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1、亚硝化单胞菌属，硝化杆菌属，营养剂等；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2、维护河道微生物生态群落；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3、有效快速降解河道氨氮指标。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4、施工方式：单次投放按面积每平方水域投放80g，按汛期6月至9月平均每月投放1次，年度总计投放4次，夜间施工水上作业，含机械搅拌、喷洒费用等；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5、如遇突发水质恶化情况，增加投放次数；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2724D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38E1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1838.08</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3B04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3C83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37855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5138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BA4BF">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水质监测现场跟踪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1、使用快速氨氮检测试纸进行水质检测，平均每个点位每两天一次，雨天及有排污现象时增加检测频率；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2、共两个检测断面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93ED2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840B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365</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A316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054A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5BBCE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98EB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88CF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水质检测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1、委托专业监测单位进行水质监测每月1次；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2、检测指标为氨氮、总磷、COD、高锰酸盐、溶解氧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D8ACC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E062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00BE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9E7C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381F3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94FF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101</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A993C">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潜水排污水泵维护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1、设备的起吊、解体、清洗、检查、刮研、换油、调整、装配、无负荷试运转、复位。</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2、含池底清淤、管道清堵等。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7C72A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A1A4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722A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6DE8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13684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1FA1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8805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微生物箱维护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1、定期清洗、维护。</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E73AD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40E5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F47E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E4E0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7B48E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9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E2B6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806EE">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蓝藻处置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1、夏季高温期（按5个月周期计）进行蓝藻人工打捞、处置，平均2人/天，每人每天工作时长12小时（具体以当期藻类爆发情况而定）；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2、打捞后排水，排去表层水体，降低蓝藻数量；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3、投放复合枯草芽孢杆菌进行厌氧消化处理；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4、蓝藻积聚面积较大时，使用汽油泵高压水枪冲散致其下沉；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5、蓝藻巡查，使用无人机无人船对项目区进行蓝藻覆盖度巡查，从而精准快速处置；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6、水上作业施工，含搅拌、喷洒等费用。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FB690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4777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5744</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0910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02D8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2F998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C0A6EC">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十一、华巷浜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328146">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B2F0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D1956">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A5F1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4C60F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75"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09F2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620EF">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沉水植物的修剪、养护、更换（养护标准：三级养护）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1、及时清除水体表面的植物及非目的性沉水植物。</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2、沉水植物长出水面影响景观时， 应进行人工打捞或机割。对于浮出水面的死株，应及时清除。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 一年收割1次， 收割时间为枯萎1周内开始收割，收割方式为</w:t>
            </w:r>
            <w:r>
              <w:rPr>
                <w:rFonts w:hint="eastAsia" w:ascii="宋体" w:hAnsi="宋体" w:cs="宋体"/>
                <w:i w:val="0"/>
                <w:iCs w:val="0"/>
                <w:color w:val="000000"/>
                <w:kern w:val="0"/>
                <w:sz w:val="22"/>
                <w:szCs w:val="22"/>
                <w:u w:val="none"/>
                <w:lang w:val="en-US" w:eastAsia="zh-CN" w:bidi="ar"/>
              </w:rPr>
              <w:t>机械</w:t>
            </w:r>
            <w:r>
              <w:rPr>
                <w:rFonts w:hint="eastAsia" w:ascii="宋体" w:hAnsi="宋体" w:eastAsia="宋体" w:cs="宋体"/>
                <w:i w:val="0"/>
                <w:iCs w:val="0"/>
                <w:color w:val="000000"/>
                <w:kern w:val="0"/>
                <w:sz w:val="22"/>
                <w:szCs w:val="22"/>
                <w:u w:val="none"/>
                <w:lang w:val="en-US" w:eastAsia="zh-CN" w:bidi="ar"/>
              </w:rPr>
              <w:t>收割或人工打捞。</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4、台风、大风大雨天气及强泄洪后2-3天，检查沉水植物的冲毁情况，如有冲毁，及时补植。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A18C0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6EE2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3971</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FE34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6A21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70545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3901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C091F">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河道保洁</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1、常态保洁工作，做到每日有专人进行打捞，巡回保洁，确保水面、河岸常态整洁，2人/日；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2、应急处突保洁工作，发现河道水域内有病死动物尸体时，及时打捞上岸进行无害化处理。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3、暴雨过后，及时清理河道中垃圾、杂草、障碍物，进行水质应急处理，确保河道畅通，河面、岸线干净整洁，水质达标。</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FE350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49AB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5200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FE42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8BA7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40081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0BED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106</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63577">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电气控制柜</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1、测量电压、电流和接地电阻；更换熔断器、熔芯和接触器；门锁检修；清扫灰尘等；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2、控制2台曝气风机，1台喷泉曝气机。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03580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55FF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269E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A27F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54B5D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DEA1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107</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6A72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管道曝气及喷泉曝气系统维护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1、设备本体以及与本体联系附件的检查、清洗、找正、就位、换油、易损件维修更换、紧固等。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2、2台曝气风机，1台喷泉曝气机。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3DC88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A32D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8914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6060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0A795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3"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B59C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108</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25039">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微生态浮床维护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1、日常巡查：每周巡查两次，松动及时固定，破损及时更换，避免整个浮床连带损伤。</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2、及时修剪枯黄、枯死和倒伏植株，及时清理滨岸带挺水植物周围的杂物或垃圾。</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3、定期去除杂草，除草时注意不要破坏植被根系。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4、冬至后至立春萌动前应对枯萎枝叶进行修剪。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5、对于因病虫害等原因造成某个或某些植被死亡时，应将植被撤出，并进行相应的补种；当植物有严重病虫害时，应撤出后再喷洒杀虫剂处理。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AD6BF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D3E3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A369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3FFD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4DFD8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73A6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109</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85363">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余方弃置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1、废弃料品种</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一年内本项目水体内收割的植物及水面漂浮物人工装袋放垃圾车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2、运距</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投标单位根据实际情况自行考虑</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3、含垃圾消纳费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61239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m³</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CCB3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2FD9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2544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748D4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7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413E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CA497">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硝化菌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1、亚硝化单胞菌属，硝化杆菌属，营养剂等；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2、维护河道微生物生态群落；</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3、有效快速降解河道氨氮指标。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4、施工方式：单次投放按面积每平方水域投放80g，按汛期6月至9月平均每月投放1次，年度总计投放4次，夜间施工水上作业，含机械搅拌、喷洒费用等；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5、如遇突发水质恶化情况，增加投放次数；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4D54E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kg</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FAFD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1664</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FAB4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E984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4903D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C893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111</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FC9B0">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水质监测现场跟踪</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1、使用快速氨氮检测试纸进行水质检测，平均每个点位每两天一次，雨天及有排污现象时增加检测频率；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2、共两个检测断面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CD2CA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327D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365</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6B6F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2E95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0D8F5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5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7E9A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112</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05D4C">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水质检测</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1、委托专业监测单位进行水质监测每月1次；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2、检测指标为氨氮、总磷、COD、高锰酸盐、溶解氧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2BAD6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次</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0AF2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6D21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FB51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6F578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23"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CC35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113</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55458">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蓝藻处置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1、夏季高温期（按5个月周期计）进行蓝藻人工打捞、处置，平均2人/天，每人每天工作时长12小时（具体以当期藻类爆发情况而定）；</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2、打捞后排水，排去表层水体，降低蓝藻数量；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3、投放复合枯草芽孢杆菌进行厌氧消化处理；</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4、蓝藻积聚面积较大时，使用汽油泵高压水枪冲散致其下沉；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5、蓝藻巡查，使用无人机无人船对项目区进行蓝藻覆盖度巡查，从而精准快速处置；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6、水上作业施工，含搅拌、喷洒等费用。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7A233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m²</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C981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5200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BDCB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997A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0EBFD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D6653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十二、其他</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D80B77">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9E21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B0BBB">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9879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2BD88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0C73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114</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4CC2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标志牌</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1、河长牌规格90*150cm，警示牌50*70cm；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2、共计11个，按每季度更换一次计；</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3、具体要求符合设计，甲方及地方规范要求；</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4、含基础及安装。</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58B42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0237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1475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2684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71022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8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CA33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w:t>
            </w:r>
          </w:p>
        </w:tc>
        <w:tc>
          <w:tcPr>
            <w:tcW w:w="51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03D19">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安全警示标语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1、具体要求符合设计，甲方及地方规范要求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29D63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508E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7B9E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F236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r w14:paraId="05418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17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7E4A1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8F9D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元</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85B12">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5E1E7">
            <w:pPr>
              <w:ind w:left="0" w:leftChars="0" w:right="0" w:rightChars="0" w:firstLine="0" w:firstLineChars="0"/>
              <w:jc w:val="center"/>
              <w:rPr>
                <w:rFonts w:hint="eastAsia" w:ascii="宋体" w:hAnsi="宋体" w:eastAsia="宋体" w:cs="宋体"/>
                <w:i w:val="0"/>
                <w:iCs w:val="0"/>
                <w:color w:val="000000"/>
                <w:sz w:val="22"/>
                <w:szCs w:val="22"/>
                <w:u w:val="none"/>
              </w:rPr>
            </w:pPr>
          </w:p>
        </w:tc>
        <w:tc>
          <w:tcPr>
            <w:tcW w:w="10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E814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p>
        </w:tc>
      </w:tr>
    </w:tbl>
    <w:p w14:paraId="6C680636">
      <w:pPr>
        <w:spacing w:line="480" w:lineRule="auto"/>
        <w:rPr>
          <w:rFonts w:hint="eastAsia" w:ascii="宋体" w:hAnsi="宋体" w:eastAsia="宋体" w:cs="宋体"/>
          <w:bCs/>
          <w:color w:val="auto"/>
          <w:sz w:val="24"/>
          <w:highlight w:val="none"/>
          <w:lang w:val="en-US" w:eastAsia="zh-CN"/>
        </w:rPr>
      </w:pPr>
    </w:p>
    <w:p w14:paraId="20F9A8B0">
      <w:pPr>
        <w:spacing w:line="480" w:lineRule="auto"/>
        <w:rPr>
          <w:rFonts w:hint="eastAsia" w:ascii="宋体" w:hAnsi="宋体" w:eastAsia="宋体" w:cs="宋体"/>
          <w:bCs/>
          <w:color w:val="auto"/>
          <w:sz w:val="24"/>
          <w:highlight w:val="none"/>
          <w:lang w:val="en-US" w:eastAsia="zh-CN"/>
        </w:rPr>
      </w:pPr>
    </w:p>
    <w:p w14:paraId="4CCE8EB7">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投标</w:t>
      </w:r>
      <w:r>
        <w:rPr>
          <w:rFonts w:hint="eastAsia" w:ascii="宋体" w:hAnsi="宋体" w:eastAsia="宋体" w:cs="宋体"/>
          <w:bCs/>
          <w:color w:val="auto"/>
          <w:sz w:val="24"/>
          <w:highlight w:val="none"/>
        </w:rPr>
        <w:t>供应商（盖章）：</w:t>
      </w:r>
    </w:p>
    <w:p w14:paraId="440921FA">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法定代表人或授权代表签字或盖章：</w:t>
      </w:r>
    </w:p>
    <w:p w14:paraId="17ED8E70">
      <w:pPr>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日期：</w:t>
      </w:r>
    </w:p>
    <w:p w14:paraId="27A063D5">
      <w:pPr>
        <w:spacing w:line="48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十</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服务</w:t>
      </w:r>
      <w:r>
        <w:rPr>
          <w:rFonts w:hint="eastAsia" w:ascii="宋体" w:hAnsi="宋体" w:eastAsia="宋体" w:cs="宋体"/>
          <w:bCs/>
          <w:color w:val="auto"/>
          <w:sz w:val="24"/>
          <w:szCs w:val="24"/>
          <w:highlight w:val="none"/>
        </w:rPr>
        <w:t>偏离表（格式）：</w:t>
      </w:r>
    </w:p>
    <w:p w14:paraId="15E950BB">
      <w:pPr>
        <w:jc w:val="center"/>
        <w:outlineLvl w:val="9"/>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服务</w:t>
      </w:r>
      <w:r>
        <w:rPr>
          <w:rFonts w:hint="eastAsia" w:ascii="宋体" w:hAnsi="宋体" w:eastAsia="宋体" w:cs="宋体"/>
          <w:bCs/>
          <w:color w:val="auto"/>
          <w:sz w:val="28"/>
          <w:szCs w:val="28"/>
          <w:highlight w:val="none"/>
        </w:rPr>
        <w:t>偏离表</w:t>
      </w:r>
    </w:p>
    <w:p w14:paraId="695F6176">
      <w:pPr>
        <w:spacing w:line="400" w:lineRule="exact"/>
        <w:jc w:val="center"/>
        <w:outlineLvl w:val="9"/>
        <w:rPr>
          <w:rFonts w:hint="eastAsia" w:ascii="宋体" w:hAnsi="宋体" w:eastAsia="宋体" w:cs="宋体"/>
          <w:bCs/>
          <w:color w:val="auto"/>
          <w:sz w:val="28"/>
          <w:szCs w:val="28"/>
          <w:highlight w:val="none"/>
        </w:rPr>
      </w:pPr>
    </w:p>
    <w:p w14:paraId="0527E06B">
      <w:pPr>
        <w:spacing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投标人名称（盖章）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rPr>
          <w:rFonts w:hint="eastAsia" w:ascii="宋体" w:hAnsi="宋体" w:eastAsia="宋体" w:cs="宋体"/>
          <w:bCs/>
          <w:color w:val="auto"/>
          <w:sz w:val="24"/>
          <w:szCs w:val="24"/>
          <w:highlight w:val="none"/>
          <w:lang w:val="en-US" w:eastAsia="zh-CN"/>
        </w:rPr>
        <w:t xml:space="preserve">  </w:t>
      </w:r>
    </w:p>
    <w:tbl>
      <w:tblPr>
        <w:tblStyle w:val="36"/>
        <w:tblW w:w="0" w:type="auto"/>
        <w:tblInd w:w="-30" w:type="dxa"/>
        <w:tblLayout w:type="fixed"/>
        <w:tblCellMar>
          <w:top w:w="15" w:type="dxa"/>
          <w:left w:w="15" w:type="dxa"/>
          <w:bottom w:w="0" w:type="dxa"/>
          <w:right w:w="15" w:type="dxa"/>
        </w:tblCellMar>
      </w:tblPr>
      <w:tblGrid>
        <w:gridCol w:w="1905"/>
        <w:gridCol w:w="2835"/>
        <w:gridCol w:w="2835"/>
        <w:gridCol w:w="2310"/>
      </w:tblGrid>
      <w:tr w14:paraId="2F5D76DC">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DBC0EC9">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5D8B272">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11B56BE">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3EEA67C2">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63C2F739">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ED98750">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0DCDEE6">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D3B66DF">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2750D6EA">
            <w:pPr>
              <w:jc w:val="center"/>
              <w:rPr>
                <w:rFonts w:hint="eastAsia" w:ascii="宋体" w:hAnsi="宋体" w:eastAsia="宋体" w:cs="宋体"/>
                <w:bCs/>
                <w:color w:val="auto"/>
                <w:highlight w:val="none"/>
              </w:rPr>
            </w:pPr>
          </w:p>
        </w:tc>
      </w:tr>
      <w:tr w14:paraId="0D126316">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9BE95A4">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AF96D63">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59F9983">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3860812">
            <w:pPr>
              <w:jc w:val="center"/>
              <w:rPr>
                <w:rFonts w:hint="eastAsia" w:ascii="宋体" w:hAnsi="宋体" w:eastAsia="宋体" w:cs="宋体"/>
                <w:bCs/>
                <w:color w:val="auto"/>
                <w:highlight w:val="none"/>
              </w:rPr>
            </w:pPr>
          </w:p>
        </w:tc>
      </w:tr>
      <w:tr w14:paraId="7A0D6184">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DA6A4EB">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6DD4333">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DAA9477">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35A71EC8">
            <w:pPr>
              <w:jc w:val="center"/>
              <w:rPr>
                <w:rFonts w:hint="eastAsia" w:ascii="宋体" w:hAnsi="宋体" w:eastAsia="宋体" w:cs="宋体"/>
                <w:bCs/>
                <w:color w:val="auto"/>
                <w:highlight w:val="none"/>
              </w:rPr>
            </w:pPr>
          </w:p>
        </w:tc>
      </w:tr>
      <w:tr w14:paraId="68A0C36E">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A33D6C0">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5EDC3AB">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4FA6135">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DF0CFCA">
            <w:pPr>
              <w:jc w:val="center"/>
              <w:rPr>
                <w:rFonts w:hint="eastAsia" w:ascii="宋体" w:hAnsi="宋体" w:eastAsia="宋体" w:cs="宋体"/>
                <w:bCs/>
                <w:color w:val="auto"/>
                <w:highlight w:val="none"/>
              </w:rPr>
            </w:pPr>
          </w:p>
        </w:tc>
      </w:tr>
      <w:tr w14:paraId="66B361B2">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AE2B836">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D6D9321">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0E2D63D7">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D57A24E">
            <w:pPr>
              <w:jc w:val="center"/>
              <w:rPr>
                <w:rFonts w:hint="eastAsia" w:ascii="宋体" w:hAnsi="宋体" w:eastAsia="宋体" w:cs="宋体"/>
                <w:bCs/>
                <w:color w:val="auto"/>
                <w:highlight w:val="none"/>
              </w:rPr>
            </w:pPr>
          </w:p>
        </w:tc>
      </w:tr>
      <w:tr w14:paraId="32E51B93">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85FA112">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12BBF0B">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1DDC16F">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0AE8A67">
            <w:pPr>
              <w:jc w:val="center"/>
              <w:rPr>
                <w:rFonts w:hint="eastAsia" w:ascii="宋体" w:hAnsi="宋体" w:eastAsia="宋体" w:cs="宋体"/>
                <w:bCs/>
                <w:color w:val="auto"/>
                <w:highlight w:val="none"/>
              </w:rPr>
            </w:pPr>
          </w:p>
        </w:tc>
      </w:tr>
      <w:tr w14:paraId="4EBCBF0D">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21A346F">
            <w:pPr>
              <w:jc w:val="cente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AB43A7D">
            <w:pPr>
              <w:rPr>
                <w:rFonts w:hint="eastAsia"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687D19A">
            <w:pPr>
              <w:jc w:val="center"/>
              <w:rPr>
                <w:rFonts w:hint="eastAsia"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23DED68C">
            <w:pPr>
              <w:jc w:val="center"/>
              <w:rPr>
                <w:rFonts w:hint="eastAsia" w:ascii="宋体" w:hAnsi="宋体" w:eastAsia="宋体" w:cs="宋体"/>
                <w:bCs/>
                <w:color w:val="auto"/>
                <w:highlight w:val="none"/>
              </w:rPr>
            </w:pPr>
          </w:p>
        </w:tc>
      </w:tr>
    </w:tbl>
    <w:p w14:paraId="0CB6D46A">
      <w:pPr>
        <w:rPr>
          <w:rFonts w:hint="eastAsia" w:ascii="宋体" w:hAnsi="宋体" w:eastAsia="宋体" w:cs="宋体"/>
          <w:b/>
          <w:color w:val="auto"/>
          <w:sz w:val="24"/>
          <w:szCs w:val="24"/>
          <w:highlight w:val="none"/>
        </w:rPr>
      </w:pPr>
    </w:p>
    <w:p w14:paraId="438CABEF">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法定代表人或法定代表人授权代表签字或盖章：</w:t>
      </w:r>
    </w:p>
    <w:p w14:paraId="21D00E4C">
      <w:pPr>
        <w:rPr>
          <w:rFonts w:hint="eastAsia" w:ascii="宋体" w:hAnsi="宋体" w:eastAsia="宋体" w:cs="宋体"/>
          <w:bCs/>
          <w:color w:val="auto"/>
          <w:sz w:val="30"/>
          <w:highlight w:val="none"/>
        </w:rPr>
      </w:pPr>
    </w:p>
    <w:p w14:paraId="57B7377F">
      <w:pPr>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注：（1）本表不得删除；</w:t>
      </w:r>
    </w:p>
    <w:p w14:paraId="6F9BFB2F">
      <w:pPr>
        <w:ind w:firstLine="480"/>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（2）如无任何服务偏离，请于本表“偏离说明”中注明“无偏离”；</w:t>
      </w:r>
    </w:p>
    <w:p w14:paraId="1D7AF4BE">
      <w:pPr>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（3）如有服务偏离项，请于本表中列明偏离内容，如需要可自行延长，其余无偏离内容不须赘述。</w:t>
      </w:r>
    </w:p>
    <w:p w14:paraId="13CAF685">
      <w:pPr>
        <w:ind w:firstLine="420"/>
        <w:outlineLvl w:val="9"/>
        <w:rPr>
          <w:rFonts w:hint="eastAsia" w:ascii="宋体" w:hAnsi="宋体" w:eastAsia="宋体" w:cs="宋体"/>
          <w:bCs/>
          <w:color w:val="auto"/>
          <w:sz w:val="24"/>
          <w:szCs w:val="24"/>
          <w:highlight w:val="none"/>
        </w:rPr>
      </w:pPr>
    </w:p>
    <w:p w14:paraId="1D2D44CD">
      <w:pPr>
        <w:ind w:firstLine="420"/>
        <w:outlineLvl w:val="9"/>
        <w:rPr>
          <w:rFonts w:hint="eastAsia" w:ascii="宋体" w:hAnsi="宋体" w:eastAsia="宋体" w:cs="宋体"/>
          <w:bCs/>
          <w:color w:val="auto"/>
          <w:sz w:val="24"/>
          <w:szCs w:val="24"/>
          <w:highlight w:val="none"/>
        </w:rPr>
      </w:pPr>
    </w:p>
    <w:p w14:paraId="22FCEC42">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十一</w:t>
      </w:r>
      <w:r>
        <w:rPr>
          <w:rFonts w:hint="eastAsia" w:ascii="宋体" w:hAnsi="宋体" w:eastAsia="宋体" w:cs="宋体"/>
          <w:bCs/>
          <w:color w:val="auto"/>
          <w:sz w:val="24"/>
          <w:szCs w:val="24"/>
          <w:highlight w:val="none"/>
        </w:rPr>
        <w:t>）项目管理机构配备情况表</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格式</w:t>
      </w:r>
      <w:r>
        <w:rPr>
          <w:rFonts w:hint="eastAsia" w:ascii="宋体" w:hAnsi="宋体" w:eastAsia="宋体" w:cs="宋体"/>
          <w:bCs/>
          <w:color w:val="auto"/>
          <w:sz w:val="24"/>
          <w:szCs w:val="24"/>
          <w:highlight w:val="none"/>
          <w:lang w:eastAsia="zh-CN"/>
        </w:rPr>
        <w:t>）</w:t>
      </w:r>
    </w:p>
    <w:p w14:paraId="0FBBEC70">
      <w:pPr>
        <w:jc w:val="center"/>
        <w:rPr>
          <w:rFonts w:hint="eastAsia" w:ascii="宋体" w:hAnsi="宋体" w:eastAsia="宋体" w:cs="宋体"/>
          <w:bCs/>
          <w:color w:val="auto"/>
          <w:sz w:val="24"/>
          <w:szCs w:val="24"/>
          <w:highlight w:val="none"/>
        </w:rPr>
      </w:pPr>
    </w:p>
    <w:p w14:paraId="61B158AB">
      <w:pPr>
        <w:jc w:val="center"/>
        <w:outlineLvl w:val="9"/>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项目管理机构配备情况表</w:t>
      </w:r>
    </w:p>
    <w:p w14:paraId="394C6DC0">
      <w:pPr>
        <w:pStyle w:val="107"/>
        <w:ind w:firstLine="210"/>
        <w:rPr>
          <w:rFonts w:hint="eastAsia" w:ascii="宋体" w:hAnsi="宋体" w:eastAsia="宋体" w:cs="宋体"/>
          <w:color w:val="auto"/>
          <w:highlight w:val="none"/>
        </w:rPr>
      </w:pPr>
    </w:p>
    <w:p w14:paraId="2E1747AC">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 w:val="24"/>
          <w:szCs w:val="24"/>
          <w:highlight w:val="none"/>
        </w:rPr>
        <w:t xml:space="preserve">供应商名称（盖章）                                       项目编号： </w:t>
      </w:r>
    </w:p>
    <w:tbl>
      <w:tblPr>
        <w:tblStyle w:val="3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1"/>
        <w:gridCol w:w="1047"/>
        <w:gridCol w:w="730"/>
        <w:gridCol w:w="709"/>
        <w:gridCol w:w="1477"/>
        <w:gridCol w:w="1236"/>
        <w:gridCol w:w="1236"/>
        <w:gridCol w:w="1857"/>
        <w:gridCol w:w="932"/>
      </w:tblGrid>
      <w:tr w14:paraId="265A4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rPr>
        <w:tc>
          <w:tcPr>
            <w:tcW w:w="741" w:type="dxa"/>
            <w:noWrap/>
            <w:vAlign w:val="center"/>
          </w:tcPr>
          <w:p w14:paraId="047A4326">
            <w:pPr>
              <w:spacing w:line="300" w:lineRule="exact"/>
              <w:jc w:val="center"/>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序号</w:t>
            </w:r>
          </w:p>
        </w:tc>
        <w:tc>
          <w:tcPr>
            <w:tcW w:w="1047" w:type="dxa"/>
            <w:noWrap/>
            <w:vAlign w:val="center"/>
          </w:tcPr>
          <w:p w14:paraId="3D2B4E7C">
            <w:pPr>
              <w:spacing w:line="300" w:lineRule="exact"/>
              <w:jc w:val="center"/>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姓名</w:t>
            </w:r>
          </w:p>
        </w:tc>
        <w:tc>
          <w:tcPr>
            <w:tcW w:w="730" w:type="dxa"/>
            <w:noWrap/>
            <w:vAlign w:val="center"/>
          </w:tcPr>
          <w:p w14:paraId="674A2B35">
            <w:pPr>
              <w:spacing w:line="300" w:lineRule="exact"/>
              <w:jc w:val="center"/>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性别</w:t>
            </w:r>
          </w:p>
        </w:tc>
        <w:tc>
          <w:tcPr>
            <w:tcW w:w="709" w:type="dxa"/>
            <w:noWrap/>
            <w:vAlign w:val="center"/>
          </w:tcPr>
          <w:p w14:paraId="08594C25">
            <w:pPr>
              <w:spacing w:line="300" w:lineRule="exact"/>
              <w:jc w:val="center"/>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年龄</w:t>
            </w:r>
          </w:p>
        </w:tc>
        <w:tc>
          <w:tcPr>
            <w:tcW w:w="1477" w:type="dxa"/>
            <w:noWrap/>
            <w:vAlign w:val="center"/>
          </w:tcPr>
          <w:p w14:paraId="08B2A1C7">
            <w:pPr>
              <w:spacing w:line="300" w:lineRule="exact"/>
              <w:jc w:val="center"/>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岗位名称</w:t>
            </w:r>
          </w:p>
        </w:tc>
        <w:tc>
          <w:tcPr>
            <w:tcW w:w="1236" w:type="dxa"/>
            <w:noWrap/>
            <w:vAlign w:val="center"/>
          </w:tcPr>
          <w:p w14:paraId="5D6B635B">
            <w:pPr>
              <w:spacing w:line="300" w:lineRule="exact"/>
              <w:jc w:val="center"/>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学历</w:t>
            </w:r>
          </w:p>
        </w:tc>
        <w:tc>
          <w:tcPr>
            <w:tcW w:w="1236" w:type="dxa"/>
            <w:noWrap/>
            <w:vAlign w:val="center"/>
          </w:tcPr>
          <w:p w14:paraId="7B673BF1">
            <w:pPr>
              <w:spacing w:line="300" w:lineRule="exact"/>
              <w:jc w:val="center"/>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职称</w:t>
            </w:r>
          </w:p>
        </w:tc>
        <w:tc>
          <w:tcPr>
            <w:tcW w:w="1857" w:type="dxa"/>
            <w:noWrap/>
            <w:vAlign w:val="center"/>
          </w:tcPr>
          <w:p w14:paraId="652DB291">
            <w:pPr>
              <w:spacing w:line="300" w:lineRule="exact"/>
              <w:jc w:val="center"/>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主要资历、经验及承担过的项目</w:t>
            </w:r>
          </w:p>
        </w:tc>
        <w:tc>
          <w:tcPr>
            <w:tcW w:w="932" w:type="dxa"/>
            <w:noWrap/>
            <w:vAlign w:val="center"/>
          </w:tcPr>
          <w:p w14:paraId="6E2323C0">
            <w:pPr>
              <w:spacing w:line="300" w:lineRule="exact"/>
              <w:jc w:val="center"/>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备注</w:t>
            </w:r>
          </w:p>
        </w:tc>
      </w:tr>
      <w:tr w14:paraId="5196E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1" w:hRule="atLeast"/>
        </w:trPr>
        <w:tc>
          <w:tcPr>
            <w:tcW w:w="741" w:type="dxa"/>
            <w:noWrap/>
            <w:vAlign w:val="center"/>
          </w:tcPr>
          <w:p w14:paraId="1EC253C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47" w:type="dxa"/>
            <w:noWrap/>
            <w:vAlign w:val="center"/>
          </w:tcPr>
          <w:p w14:paraId="657B8C0C">
            <w:pPr>
              <w:spacing w:line="360" w:lineRule="auto"/>
              <w:jc w:val="center"/>
              <w:rPr>
                <w:rFonts w:hint="eastAsia" w:ascii="宋体" w:hAnsi="宋体" w:eastAsia="宋体" w:cs="宋体"/>
                <w:color w:val="auto"/>
                <w:sz w:val="24"/>
                <w:szCs w:val="24"/>
                <w:highlight w:val="none"/>
              </w:rPr>
            </w:pPr>
          </w:p>
        </w:tc>
        <w:tc>
          <w:tcPr>
            <w:tcW w:w="730" w:type="dxa"/>
            <w:noWrap/>
            <w:vAlign w:val="center"/>
          </w:tcPr>
          <w:p w14:paraId="67FE87CE">
            <w:pPr>
              <w:spacing w:line="360" w:lineRule="auto"/>
              <w:jc w:val="center"/>
              <w:rPr>
                <w:rFonts w:hint="eastAsia" w:ascii="宋体" w:hAnsi="宋体" w:eastAsia="宋体" w:cs="宋体"/>
                <w:color w:val="auto"/>
                <w:sz w:val="24"/>
                <w:szCs w:val="24"/>
                <w:highlight w:val="none"/>
              </w:rPr>
            </w:pPr>
          </w:p>
        </w:tc>
        <w:tc>
          <w:tcPr>
            <w:tcW w:w="709" w:type="dxa"/>
            <w:noWrap/>
            <w:vAlign w:val="center"/>
          </w:tcPr>
          <w:p w14:paraId="1AD724C6">
            <w:pPr>
              <w:spacing w:line="360" w:lineRule="auto"/>
              <w:jc w:val="center"/>
              <w:rPr>
                <w:rFonts w:hint="eastAsia" w:ascii="宋体" w:hAnsi="宋体" w:eastAsia="宋体" w:cs="宋体"/>
                <w:color w:val="auto"/>
                <w:sz w:val="24"/>
                <w:szCs w:val="24"/>
                <w:highlight w:val="none"/>
              </w:rPr>
            </w:pPr>
          </w:p>
        </w:tc>
        <w:tc>
          <w:tcPr>
            <w:tcW w:w="1477" w:type="dxa"/>
            <w:noWrap/>
            <w:vAlign w:val="center"/>
          </w:tcPr>
          <w:p w14:paraId="69683E53">
            <w:pPr>
              <w:spacing w:line="360" w:lineRule="auto"/>
              <w:jc w:val="center"/>
              <w:rPr>
                <w:rFonts w:hint="eastAsia" w:ascii="宋体" w:hAnsi="宋体" w:eastAsia="宋体" w:cs="宋体"/>
                <w:color w:val="auto"/>
                <w:sz w:val="24"/>
                <w:szCs w:val="24"/>
                <w:highlight w:val="none"/>
              </w:rPr>
            </w:pPr>
          </w:p>
        </w:tc>
        <w:tc>
          <w:tcPr>
            <w:tcW w:w="1236" w:type="dxa"/>
            <w:noWrap/>
            <w:vAlign w:val="center"/>
          </w:tcPr>
          <w:p w14:paraId="2A978FC7">
            <w:pPr>
              <w:spacing w:line="360" w:lineRule="auto"/>
              <w:jc w:val="center"/>
              <w:rPr>
                <w:rFonts w:hint="eastAsia" w:ascii="宋体" w:hAnsi="宋体" w:eastAsia="宋体" w:cs="宋体"/>
                <w:color w:val="auto"/>
                <w:sz w:val="24"/>
                <w:szCs w:val="24"/>
                <w:highlight w:val="none"/>
              </w:rPr>
            </w:pPr>
          </w:p>
        </w:tc>
        <w:tc>
          <w:tcPr>
            <w:tcW w:w="1236" w:type="dxa"/>
            <w:noWrap/>
            <w:vAlign w:val="center"/>
          </w:tcPr>
          <w:p w14:paraId="6140260D">
            <w:pPr>
              <w:spacing w:line="360" w:lineRule="auto"/>
              <w:jc w:val="center"/>
              <w:rPr>
                <w:rFonts w:hint="eastAsia" w:ascii="宋体" w:hAnsi="宋体" w:eastAsia="宋体" w:cs="宋体"/>
                <w:color w:val="auto"/>
                <w:sz w:val="24"/>
                <w:szCs w:val="24"/>
                <w:highlight w:val="none"/>
              </w:rPr>
            </w:pPr>
          </w:p>
        </w:tc>
        <w:tc>
          <w:tcPr>
            <w:tcW w:w="1857" w:type="dxa"/>
            <w:noWrap/>
            <w:vAlign w:val="center"/>
          </w:tcPr>
          <w:p w14:paraId="3F81E6F3">
            <w:pPr>
              <w:spacing w:line="360" w:lineRule="auto"/>
              <w:jc w:val="center"/>
              <w:rPr>
                <w:rFonts w:hint="eastAsia" w:ascii="宋体" w:hAnsi="宋体" w:eastAsia="宋体" w:cs="宋体"/>
                <w:color w:val="auto"/>
                <w:sz w:val="24"/>
                <w:szCs w:val="24"/>
                <w:highlight w:val="none"/>
              </w:rPr>
            </w:pPr>
          </w:p>
        </w:tc>
        <w:tc>
          <w:tcPr>
            <w:tcW w:w="932" w:type="dxa"/>
            <w:noWrap/>
            <w:vAlign w:val="center"/>
          </w:tcPr>
          <w:p w14:paraId="3E837098">
            <w:pPr>
              <w:spacing w:line="360" w:lineRule="auto"/>
              <w:jc w:val="center"/>
              <w:rPr>
                <w:rFonts w:hint="eastAsia" w:ascii="宋体" w:hAnsi="宋体" w:eastAsia="宋体" w:cs="宋体"/>
                <w:color w:val="auto"/>
                <w:sz w:val="24"/>
                <w:szCs w:val="24"/>
                <w:highlight w:val="none"/>
              </w:rPr>
            </w:pPr>
          </w:p>
        </w:tc>
      </w:tr>
      <w:tr w14:paraId="58E16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7" w:hRule="atLeast"/>
        </w:trPr>
        <w:tc>
          <w:tcPr>
            <w:tcW w:w="741" w:type="dxa"/>
            <w:noWrap/>
            <w:vAlign w:val="center"/>
          </w:tcPr>
          <w:p w14:paraId="7387626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047" w:type="dxa"/>
            <w:noWrap/>
            <w:vAlign w:val="center"/>
          </w:tcPr>
          <w:p w14:paraId="3AE49860">
            <w:pPr>
              <w:spacing w:line="360" w:lineRule="auto"/>
              <w:jc w:val="center"/>
              <w:rPr>
                <w:rFonts w:hint="eastAsia" w:ascii="宋体" w:hAnsi="宋体" w:eastAsia="宋体" w:cs="宋体"/>
                <w:color w:val="auto"/>
                <w:sz w:val="24"/>
                <w:szCs w:val="24"/>
                <w:highlight w:val="none"/>
              </w:rPr>
            </w:pPr>
          </w:p>
        </w:tc>
        <w:tc>
          <w:tcPr>
            <w:tcW w:w="730" w:type="dxa"/>
            <w:noWrap/>
            <w:vAlign w:val="center"/>
          </w:tcPr>
          <w:p w14:paraId="7D335110">
            <w:pPr>
              <w:spacing w:line="360" w:lineRule="auto"/>
              <w:jc w:val="center"/>
              <w:rPr>
                <w:rFonts w:hint="eastAsia" w:ascii="宋体" w:hAnsi="宋体" w:eastAsia="宋体" w:cs="宋体"/>
                <w:color w:val="auto"/>
                <w:sz w:val="24"/>
                <w:szCs w:val="24"/>
                <w:highlight w:val="none"/>
              </w:rPr>
            </w:pPr>
          </w:p>
        </w:tc>
        <w:tc>
          <w:tcPr>
            <w:tcW w:w="709" w:type="dxa"/>
            <w:noWrap/>
            <w:vAlign w:val="center"/>
          </w:tcPr>
          <w:p w14:paraId="784FF76A">
            <w:pPr>
              <w:spacing w:line="360" w:lineRule="auto"/>
              <w:jc w:val="center"/>
              <w:rPr>
                <w:rFonts w:hint="eastAsia" w:ascii="宋体" w:hAnsi="宋体" w:eastAsia="宋体" w:cs="宋体"/>
                <w:color w:val="auto"/>
                <w:sz w:val="24"/>
                <w:szCs w:val="24"/>
                <w:highlight w:val="none"/>
              </w:rPr>
            </w:pPr>
          </w:p>
        </w:tc>
        <w:tc>
          <w:tcPr>
            <w:tcW w:w="1477" w:type="dxa"/>
            <w:noWrap/>
            <w:vAlign w:val="center"/>
          </w:tcPr>
          <w:p w14:paraId="18F42C56">
            <w:pPr>
              <w:spacing w:line="360" w:lineRule="auto"/>
              <w:jc w:val="center"/>
              <w:rPr>
                <w:rFonts w:hint="eastAsia" w:ascii="宋体" w:hAnsi="宋体" w:eastAsia="宋体" w:cs="宋体"/>
                <w:color w:val="auto"/>
                <w:sz w:val="24"/>
                <w:szCs w:val="24"/>
                <w:highlight w:val="none"/>
              </w:rPr>
            </w:pPr>
          </w:p>
        </w:tc>
        <w:tc>
          <w:tcPr>
            <w:tcW w:w="1236" w:type="dxa"/>
            <w:noWrap/>
            <w:vAlign w:val="center"/>
          </w:tcPr>
          <w:p w14:paraId="76EE446E">
            <w:pPr>
              <w:spacing w:line="360" w:lineRule="auto"/>
              <w:jc w:val="center"/>
              <w:rPr>
                <w:rFonts w:hint="eastAsia" w:ascii="宋体" w:hAnsi="宋体" w:eastAsia="宋体" w:cs="宋体"/>
                <w:color w:val="auto"/>
                <w:sz w:val="24"/>
                <w:szCs w:val="24"/>
                <w:highlight w:val="none"/>
              </w:rPr>
            </w:pPr>
          </w:p>
        </w:tc>
        <w:tc>
          <w:tcPr>
            <w:tcW w:w="1236" w:type="dxa"/>
            <w:noWrap/>
            <w:vAlign w:val="center"/>
          </w:tcPr>
          <w:p w14:paraId="02AF8C9C">
            <w:pPr>
              <w:spacing w:line="360" w:lineRule="auto"/>
              <w:jc w:val="center"/>
              <w:rPr>
                <w:rFonts w:hint="eastAsia" w:ascii="宋体" w:hAnsi="宋体" w:eastAsia="宋体" w:cs="宋体"/>
                <w:color w:val="auto"/>
                <w:sz w:val="24"/>
                <w:szCs w:val="24"/>
                <w:highlight w:val="none"/>
              </w:rPr>
            </w:pPr>
          </w:p>
        </w:tc>
        <w:tc>
          <w:tcPr>
            <w:tcW w:w="1857" w:type="dxa"/>
            <w:noWrap/>
            <w:vAlign w:val="center"/>
          </w:tcPr>
          <w:p w14:paraId="2A572275">
            <w:pPr>
              <w:spacing w:line="360" w:lineRule="auto"/>
              <w:jc w:val="center"/>
              <w:rPr>
                <w:rFonts w:hint="eastAsia" w:ascii="宋体" w:hAnsi="宋体" w:eastAsia="宋体" w:cs="宋体"/>
                <w:color w:val="auto"/>
                <w:sz w:val="24"/>
                <w:szCs w:val="24"/>
                <w:highlight w:val="none"/>
              </w:rPr>
            </w:pPr>
          </w:p>
        </w:tc>
        <w:tc>
          <w:tcPr>
            <w:tcW w:w="932" w:type="dxa"/>
            <w:noWrap/>
            <w:vAlign w:val="center"/>
          </w:tcPr>
          <w:p w14:paraId="46E4B86A">
            <w:pPr>
              <w:spacing w:line="360" w:lineRule="auto"/>
              <w:jc w:val="center"/>
              <w:rPr>
                <w:rFonts w:hint="eastAsia" w:ascii="宋体" w:hAnsi="宋体" w:eastAsia="宋体" w:cs="宋体"/>
                <w:color w:val="auto"/>
                <w:sz w:val="24"/>
                <w:szCs w:val="24"/>
                <w:highlight w:val="none"/>
              </w:rPr>
            </w:pPr>
          </w:p>
        </w:tc>
      </w:tr>
      <w:tr w14:paraId="3A372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741" w:type="dxa"/>
            <w:noWrap/>
            <w:vAlign w:val="center"/>
          </w:tcPr>
          <w:p w14:paraId="403FDCC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047" w:type="dxa"/>
            <w:noWrap/>
            <w:vAlign w:val="center"/>
          </w:tcPr>
          <w:p w14:paraId="0AD11917">
            <w:pPr>
              <w:spacing w:line="360" w:lineRule="auto"/>
              <w:jc w:val="center"/>
              <w:rPr>
                <w:rFonts w:hint="eastAsia" w:ascii="宋体" w:hAnsi="宋体" w:eastAsia="宋体" w:cs="宋体"/>
                <w:color w:val="auto"/>
                <w:sz w:val="24"/>
                <w:szCs w:val="24"/>
                <w:highlight w:val="none"/>
              </w:rPr>
            </w:pPr>
          </w:p>
        </w:tc>
        <w:tc>
          <w:tcPr>
            <w:tcW w:w="730" w:type="dxa"/>
            <w:noWrap/>
            <w:vAlign w:val="center"/>
          </w:tcPr>
          <w:p w14:paraId="3DEF0A28">
            <w:pPr>
              <w:spacing w:line="360" w:lineRule="auto"/>
              <w:jc w:val="center"/>
              <w:rPr>
                <w:rFonts w:hint="eastAsia" w:ascii="宋体" w:hAnsi="宋体" w:eastAsia="宋体" w:cs="宋体"/>
                <w:color w:val="auto"/>
                <w:sz w:val="24"/>
                <w:szCs w:val="24"/>
                <w:highlight w:val="none"/>
              </w:rPr>
            </w:pPr>
          </w:p>
        </w:tc>
        <w:tc>
          <w:tcPr>
            <w:tcW w:w="709" w:type="dxa"/>
            <w:noWrap/>
            <w:vAlign w:val="center"/>
          </w:tcPr>
          <w:p w14:paraId="148D82A5">
            <w:pPr>
              <w:spacing w:line="360" w:lineRule="auto"/>
              <w:jc w:val="center"/>
              <w:rPr>
                <w:rFonts w:hint="eastAsia" w:ascii="宋体" w:hAnsi="宋体" w:eastAsia="宋体" w:cs="宋体"/>
                <w:color w:val="auto"/>
                <w:sz w:val="24"/>
                <w:szCs w:val="24"/>
                <w:highlight w:val="none"/>
              </w:rPr>
            </w:pPr>
          </w:p>
        </w:tc>
        <w:tc>
          <w:tcPr>
            <w:tcW w:w="1477" w:type="dxa"/>
            <w:noWrap/>
            <w:vAlign w:val="center"/>
          </w:tcPr>
          <w:p w14:paraId="5E388E6C">
            <w:pPr>
              <w:spacing w:line="360" w:lineRule="auto"/>
              <w:jc w:val="center"/>
              <w:rPr>
                <w:rFonts w:hint="eastAsia" w:ascii="宋体" w:hAnsi="宋体" w:eastAsia="宋体" w:cs="宋体"/>
                <w:color w:val="auto"/>
                <w:sz w:val="24"/>
                <w:szCs w:val="24"/>
                <w:highlight w:val="none"/>
              </w:rPr>
            </w:pPr>
          </w:p>
        </w:tc>
        <w:tc>
          <w:tcPr>
            <w:tcW w:w="1236" w:type="dxa"/>
            <w:noWrap/>
            <w:vAlign w:val="center"/>
          </w:tcPr>
          <w:p w14:paraId="14205949">
            <w:pPr>
              <w:spacing w:line="360" w:lineRule="auto"/>
              <w:jc w:val="center"/>
              <w:rPr>
                <w:rFonts w:hint="eastAsia" w:ascii="宋体" w:hAnsi="宋体" w:eastAsia="宋体" w:cs="宋体"/>
                <w:color w:val="auto"/>
                <w:sz w:val="24"/>
                <w:szCs w:val="24"/>
                <w:highlight w:val="none"/>
              </w:rPr>
            </w:pPr>
          </w:p>
        </w:tc>
        <w:tc>
          <w:tcPr>
            <w:tcW w:w="1236" w:type="dxa"/>
            <w:noWrap/>
            <w:vAlign w:val="center"/>
          </w:tcPr>
          <w:p w14:paraId="4FB97CB1">
            <w:pPr>
              <w:spacing w:line="360" w:lineRule="auto"/>
              <w:jc w:val="center"/>
              <w:rPr>
                <w:rFonts w:hint="eastAsia" w:ascii="宋体" w:hAnsi="宋体" w:eastAsia="宋体" w:cs="宋体"/>
                <w:color w:val="auto"/>
                <w:sz w:val="24"/>
                <w:szCs w:val="24"/>
                <w:highlight w:val="none"/>
              </w:rPr>
            </w:pPr>
          </w:p>
        </w:tc>
        <w:tc>
          <w:tcPr>
            <w:tcW w:w="1857" w:type="dxa"/>
            <w:noWrap/>
            <w:vAlign w:val="center"/>
          </w:tcPr>
          <w:p w14:paraId="645386A8">
            <w:pPr>
              <w:spacing w:line="360" w:lineRule="auto"/>
              <w:jc w:val="center"/>
              <w:rPr>
                <w:rFonts w:hint="eastAsia" w:ascii="宋体" w:hAnsi="宋体" w:eastAsia="宋体" w:cs="宋体"/>
                <w:color w:val="auto"/>
                <w:sz w:val="24"/>
                <w:szCs w:val="24"/>
                <w:highlight w:val="none"/>
              </w:rPr>
            </w:pPr>
          </w:p>
        </w:tc>
        <w:tc>
          <w:tcPr>
            <w:tcW w:w="932" w:type="dxa"/>
            <w:noWrap/>
            <w:vAlign w:val="center"/>
          </w:tcPr>
          <w:p w14:paraId="2C6BAD92">
            <w:pPr>
              <w:spacing w:line="360" w:lineRule="auto"/>
              <w:jc w:val="center"/>
              <w:rPr>
                <w:rFonts w:hint="eastAsia" w:ascii="宋体" w:hAnsi="宋体" w:eastAsia="宋体" w:cs="宋体"/>
                <w:color w:val="auto"/>
                <w:sz w:val="24"/>
                <w:szCs w:val="24"/>
                <w:highlight w:val="none"/>
              </w:rPr>
            </w:pPr>
          </w:p>
        </w:tc>
      </w:tr>
      <w:tr w14:paraId="104C9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741" w:type="dxa"/>
            <w:noWrap/>
            <w:vAlign w:val="center"/>
          </w:tcPr>
          <w:p w14:paraId="76AB20E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047" w:type="dxa"/>
            <w:noWrap/>
            <w:vAlign w:val="center"/>
          </w:tcPr>
          <w:p w14:paraId="3D1243F8">
            <w:pPr>
              <w:spacing w:line="360" w:lineRule="auto"/>
              <w:jc w:val="center"/>
              <w:rPr>
                <w:rFonts w:hint="eastAsia" w:ascii="宋体" w:hAnsi="宋体" w:eastAsia="宋体" w:cs="宋体"/>
                <w:color w:val="auto"/>
                <w:sz w:val="24"/>
                <w:szCs w:val="24"/>
                <w:highlight w:val="none"/>
              </w:rPr>
            </w:pPr>
          </w:p>
        </w:tc>
        <w:tc>
          <w:tcPr>
            <w:tcW w:w="730" w:type="dxa"/>
            <w:noWrap/>
            <w:vAlign w:val="center"/>
          </w:tcPr>
          <w:p w14:paraId="5CB4647A">
            <w:pPr>
              <w:spacing w:line="360" w:lineRule="auto"/>
              <w:jc w:val="center"/>
              <w:rPr>
                <w:rFonts w:hint="eastAsia" w:ascii="宋体" w:hAnsi="宋体" w:eastAsia="宋体" w:cs="宋体"/>
                <w:color w:val="auto"/>
                <w:sz w:val="24"/>
                <w:szCs w:val="24"/>
                <w:highlight w:val="none"/>
              </w:rPr>
            </w:pPr>
          </w:p>
        </w:tc>
        <w:tc>
          <w:tcPr>
            <w:tcW w:w="709" w:type="dxa"/>
            <w:noWrap/>
            <w:vAlign w:val="center"/>
          </w:tcPr>
          <w:p w14:paraId="6769DFC2">
            <w:pPr>
              <w:spacing w:line="360" w:lineRule="auto"/>
              <w:jc w:val="center"/>
              <w:rPr>
                <w:rFonts w:hint="eastAsia" w:ascii="宋体" w:hAnsi="宋体" w:eastAsia="宋体" w:cs="宋体"/>
                <w:color w:val="auto"/>
                <w:sz w:val="24"/>
                <w:szCs w:val="24"/>
                <w:highlight w:val="none"/>
              </w:rPr>
            </w:pPr>
          </w:p>
        </w:tc>
        <w:tc>
          <w:tcPr>
            <w:tcW w:w="1477" w:type="dxa"/>
            <w:noWrap/>
            <w:vAlign w:val="center"/>
          </w:tcPr>
          <w:p w14:paraId="35E4DD2C">
            <w:pPr>
              <w:spacing w:line="360" w:lineRule="auto"/>
              <w:jc w:val="center"/>
              <w:rPr>
                <w:rFonts w:hint="eastAsia" w:ascii="宋体" w:hAnsi="宋体" w:eastAsia="宋体" w:cs="宋体"/>
                <w:color w:val="auto"/>
                <w:sz w:val="24"/>
                <w:szCs w:val="24"/>
                <w:highlight w:val="none"/>
              </w:rPr>
            </w:pPr>
          </w:p>
        </w:tc>
        <w:tc>
          <w:tcPr>
            <w:tcW w:w="1236" w:type="dxa"/>
            <w:noWrap/>
            <w:vAlign w:val="center"/>
          </w:tcPr>
          <w:p w14:paraId="2FC968CC">
            <w:pPr>
              <w:spacing w:line="360" w:lineRule="auto"/>
              <w:jc w:val="center"/>
              <w:rPr>
                <w:rFonts w:hint="eastAsia" w:ascii="宋体" w:hAnsi="宋体" w:eastAsia="宋体" w:cs="宋体"/>
                <w:color w:val="auto"/>
                <w:sz w:val="24"/>
                <w:szCs w:val="24"/>
                <w:highlight w:val="none"/>
              </w:rPr>
            </w:pPr>
          </w:p>
        </w:tc>
        <w:tc>
          <w:tcPr>
            <w:tcW w:w="1236" w:type="dxa"/>
            <w:noWrap/>
            <w:vAlign w:val="center"/>
          </w:tcPr>
          <w:p w14:paraId="6B9C29B9">
            <w:pPr>
              <w:spacing w:line="360" w:lineRule="auto"/>
              <w:jc w:val="center"/>
              <w:rPr>
                <w:rFonts w:hint="eastAsia" w:ascii="宋体" w:hAnsi="宋体" w:eastAsia="宋体" w:cs="宋体"/>
                <w:color w:val="auto"/>
                <w:sz w:val="24"/>
                <w:szCs w:val="24"/>
                <w:highlight w:val="none"/>
              </w:rPr>
            </w:pPr>
          </w:p>
        </w:tc>
        <w:tc>
          <w:tcPr>
            <w:tcW w:w="1857" w:type="dxa"/>
            <w:noWrap/>
            <w:vAlign w:val="center"/>
          </w:tcPr>
          <w:p w14:paraId="4255AECE">
            <w:pPr>
              <w:spacing w:line="360" w:lineRule="auto"/>
              <w:jc w:val="center"/>
              <w:rPr>
                <w:rFonts w:hint="eastAsia" w:ascii="宋体" w:hAnsi="宋体" w:eastAsia="宋体" w:cs="宋体"/>
                <w:color w:val="auto"/>
                <w:sz w:val="24"/>
                <w:szCs w:val="24"/>
                <w:highlight w:val="none"/>
              </w:rPr>
            </w:pPr>
          </w:p>
        </w:tc>
        <w:tc>
          <w:tcPr>
            <w:tcW w:w="932" w:type="dxa"/>
            <w:noWrap/>
            <w:vAlign w:val="center"/>
          </w:tcPr>
          <w:p w14:paraId="4E89A7BD">
            <w:pPr>
              <w:spacing w:line="360" w:lineRule="auto"/>
              <w:jc w:val="center"/>
              <w:rPr>
                <w:rFonts w:hint="eastAsia" w:ascii="宋体" w:hAnsi="宋体" w:eastAsia="宋体" w:cs="宋体"/>
                <w:color w:val="auto"/>
                <w:sz w:val="24"/>
                <w:szCs w:val="24"/>
                <w:highlight w:val="none"/>
              </w:rPr>
            </w:pPr>
          </w:p>
        </w:tc>
      </w:tr>
      <w:tr w14:paraId="3EED0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3" w:hRule="atLeast"/>
        </w:trPr>
        <w:tc>
          <w:tcPr>
            <w:tcW w:w="741" w:type="dxa"/>
            <w:noWrap/>
            <w:vAlign w:val="center"/>
          </w:tcPr>
          <w:p w14:paraId="39B1D57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047" w:type="dxa"/>
            <w:noWrap/>
            <w:vAlign w:val="center"/>
          </w:tcPr>
          <w:p w14:paraId="4FA9FCAA">
            <w:pPr>
              <w:spacing w:line="360" w:lineRule="auto"/>
              <w:jc w:val="center"/>
              <w:rPr>
                <w:rFonts w:hint="eastAsia" w:ascii="宋体" w:hAnsi="宋体" w:eastAsia="宋体" w:cs="宋体"/>
                <w:color w:val="auto"/>
                <w:sz w:val="24"/>
                <w:szCs w:val="24"/>
                <w:highlight w:val="none"/>
              </w:rPr>
            </w:pPr>
          </w:p>
        </w:tc>
        <w:tc>
          <w:tcPr>
            <w:tcW w:w="730" w:type="dxa"/>
            <w:noWrap/>
            <w:vAlign w:val="center"/>
          </w:tcPr>
          <w:p w14:paraId="5BD181A7">
            <w:pPr>
              <w:spacing w:line="360" w:lineRule="auto"/>
              <w:jc w:val="center"/>
              <w:rPr>
                <w:rFonts w:hint="eastAsia" w:ascii="宋体" w:hAnsi="宋体" w:eastAsia="宋体" w:cs="宋体"/>
                <w:color w:val="auto"/>
                <w:sz w:val="24"/>
                <w:szCs w:val="24"/>
                <w:highlight w:val="none"/>
              </w:rPr>
            </w:pPr>
          </w:p>
        </w:tc>
        <w:tc>
          <w:tcPr>
            <w:tcW w:w="709" w:type="dxa"/>
            <w:noWrap/>
            <w:vAlign w:val="center"/>
          </w:tcPr>
          <w:p w14:paraId="6EAF63EC">
            <w:pPr>
              <w:spacing w:line="360" w:lineRule="auto"/>
              <w:jc w:val="center"/>
              <w:rPr>
                <w:rFonts w:hint="eastAsia" w:ascii="宋体" w:hAnsi="宋体" w:eastAsia="宋体" w:cs="宋体"/>
                <w:color w:val="auto"/>
                <w:sz w:val="24"/>
                <w:szCs w:val="24"/>
                <w:highlight w:val="none"/>
              </w:rPr>
            </w:pPr>
          </w:p>
        </w:tc>
        <w:tc>
          <w:tcPr>
            <w:tcW w:w="1477" w:type="dxa"/>
            <w:noWrap/>
            <w:vAlign w:val="center"/>
          </w:tcPr>
          <w:p w14:paraId="33535F6D">
            <w:pPr>
              <w:spacing w:line="360" w:lineRule="auto"/>
              <w:jc w:val="center"/>
              <w:rPr>
                <w:rFonts w:hint="eastAsia" w:ascii="宋体" w:hAnsi="宋体" w:eastAsia="宋体" w:cs="宋体"/>
                <w:color w:val="auto"/>
                <w:sz w:val="24"/>
                <w:szCs w:val="24"/>
                <w:highlight w:val="none"/>
              </w:rPr>
            </w:pPr>
          </w:p>
        </w:tc>
        <w:tc>
          <w:tcPr>
            <w:tcW w:w="1236" w:type="dxa"/>
            <w:noWrap/>
            <w:vAlign w:val="center"/>
          </w:tcPr>
          <w:p w14:paraId="0737C959">
            <w:pPr>
              <w:spacing w:line="360" w:lineRule="auto"/>
              <w:jc w:val="center"/>
              <w:rPr>
                <w:rFonts w:hint="eastAsia" w:ascii="宋体" w:hAnsi="宋体" w:eastAsia="宋体" w:cs="宋体"/>
                <w:color w:val="auto"/>
                <w:sz w:val="24"/>
                <w:szCs w:val="24"/>
                <w:highlight w:val="none"/>
              </w:rPr>
            </w:pPr>
          </w:p>
        </w:tc>
        <w:tc>
          <w:tcPr>
            <w:tcW w:w="1236" w:type="dxa"/>
            <w:noWrap/>
            <w:vAlign w:val="center"/>
          </w:tcPr>
          <w:p w14:paraId="4081FB54">
            <w:pPr>
              <w:spacing w:line="360" w:lineRule="auto"/>
              <w:jc w:val="center"/>
              <w:rPr>
                <w:rFonts w:hint="eastAsia" w:ascii="宋体" w:hAnsi="宋体" w:eastAsia="宋体" w:cs="宋体"/>
                <w:color w:val="auto"/>
                <w:sz w:val="24"/>
                <w:szCs w:val="24"/>
                <w:highlight w:val="none"/>
              </w:rPr>
            </w:pPr>
          </w:p>
        </w:tc>
        <w:tc>
          <w:tcPr>
            <w:tcW w:w="1857" w:type="dxa"/>
            <w:noWrap/>
            <w:vAlign w:val="center"/>
          </w:tcPr>
          <w:p w14:paraId="0C5C9756">
            <w:pPr>
              <w:spacing w:line="360" w:lineRule="auto"/>
              <w:jc w:val="center"/>
              <w:rPr>
                <w:rFonts w:hint="eastAsia" w:ascii="宋体" w:hAnsi="宋体" w:eastAsia="宋体" w:cs="宋体"/>
                <w:color w:val="auto"/>
                <w:sz w:val="24"/>
                <w:szCs w:val="24"/>
                <w:highlight w:val="none"/>
              </w:rPr>
            </w:pPr>
          </w:p>
        </w:tc>
        <w:tc>
          <w:tcPr>
            <w:tcW w:w="932" w:type="dxa"/>
            <w:noWrap/>
            <w:vAlign w:val="center"/>
          </w:tcPr>
          <w:p w14:paraId="0EB13415">
            <w:pPr>
              <w:spacing w:line="360" w:lineRule="auto"/>
              <w:jc w:val="center"/>
              <w:rPr>
                <w:rFonts w:hint="eastAsia" w:ascii="宋体" w:hAnsi="宋体" w:eastAsia="宋体" w:cs="宋体"/>
                <w:color w:val="auto"/>
                <w:sz w:val="24"/>
                <w:szCs w:val="24"/>
                <w:highlight w:val="none"/>
              </w:rPr>
            </w:pPr>
          </w:p>
        </w:tc>
      </w:tr>
      <w:tr w14:paraId="25F0A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741" w:type="dxa"/>
            <w:noWrap/>
            <w:vAlign w:val="center"/>
          </w:tcPr>
          <w:p w14:paraId="1483FFE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047" w:type="dxa"/>
            <w:noWrap/>
            <w:vAlign w:val="center"/>
          </w:tcPr>
          <w:p w14:paraId="20E4ABB4">
            <w:pPr>
              <w:spacing w:line="360" w:lineRule="auto"/>
              <w:jc w:val="center"/>
              <w:rPr>
                <w:rFonts w:hint="eastAsia" w:ascii="宋体" w:hAnsi="宋体" w:eastAsia="宋体" w:cs="宋体"/>
                <w:color w:val="auto"/>
                <w:sz w:val="24"/>
                <w:szCs w:val="24"/>
                <w:highlight w:val="none"/>
              </w:rPr>
            </w:pPr>
          </w:p>
        </w:tc>
        <w:tc>
          <w:tcPr>
            <w:tcW w:w="730" w:type="dxa"/>
            <w:noWrap/>
            <w:vAlign w:val="center"/>
          </w:tcPr>
          <w:p w14:paraId="3B80D9FD">
            <w:pPr>
              <w:spacing w:line="360" w:lineRule="auto"/>
              <w:jc w:val="center"/>
              <w:rPr>
                <w:rFonts w:hint="eastAsia" w:ascii="宋体" w:hAnsi="宋体" w:eastAsia="宋体" w:cs="宋体"/>
                <w:color w:val="auto"/>
                <w:sz w:val="24"/>
                <w:szCs w:val="24"/>
                <w:highlight w:val="none"/>
              </w:rPr>
            </w:pPr>
          </w:p>
        </w:tc>
        <w:tc>
          <w:tcPr>
            <w:tcW w:w="709" w:type="dxa"/>
            <w:noWrap/>
            <w:vAlign w:val="center"/>
          </w:tcPr>
          <w:p w14:paraId="6CC04C99">
            <w:pPr>
              <w:spacing w:line="360" w:lineRule="auto"/>
              <w:jc w:val="center"/>
              <w:rPr>
                <w:rFonts w:hint="eastAsia" w:ascii="宋体" w:hAnsi="宋体" w:eastAsia="宋体" w:cs="宋体"/>
                <w:color w:val="auto"/>
                <w:sz w:val="24"/>
                <w:szCs w:val="24"/>
                <w:highlight w:val="none"/>
              </w:rPr>
            </w:pPr>
          </w:p>
        </w:tc>
        <w:tc>
          <w:tcPr>
            <w:tcW w:w="1477" w:type="dxa"/>
            <w:noWrap/>
            <w:vAlign w:val="center"/>
          </w:tcPr>
          <w:p w14:paraId="5EAE3556">
            <w:pPr>
              <w:spacing w:line="360" w:lineRule="auto"/>
              <w:jc w:val="center"/>
              <w:rPr>
                <w:rFonts w:hint="eastAsia" w:ascii="宋体" w:hAnsi="宋体" w:eastAsia="宋体" w:cs="宋体"/>
                <w:color w:val="auto"/>
                <w:sz w:val="24"/>
                <w:szCs w:val="24"/>
                <w:highlight w:val="none"/>
              </w:rPr>
            </w:pPr>
          </w:p>
        </w:tc>
        <w:tc>
          <w:tcPr>
            <w:tcW w:w="1236" w:type="dxa"/>
            <w:noWrap/>
            <w:vAlign w:val="center"/>
          </w:tcPr>
          <w:p w14:paraId="39EAD617">
            <w:pPr>
              <w:spacing w:line="360" w:lineRule="auto"/>
              <w:jc w:val="center"/>
              <w:rPr>
                <w:rFonts w:hint="eastAsia" w:ascii="宋体" w:hAnsi="宋体" w:eastAsia="宋体" w:cs="宋体"/>
                <w:color w:val="auto"/>
                <w:sz w:val="24"/>
                <w:szCs w:val="24"/>
                <w:highlight w:val="none"/>
              </w:rPr>
            </w:pPr>
          </w:p>
        </w:tc>
        <w:tc>
          <w:tcPr>
            <w:tcW w:w="1236" w:type="dxa"/>
            <w:noWrap/>
            <w:vAlign w:val="center"/>
          </w:tcPr>
          <w:p w14:paraId="32D398CD">
            <w:pPr>
              <w:spacing w:line="360" w:lineRule="auto"/>
              <w:jc w:val="center"/>
              <w:rPr>
                <w:rFonts w:hint="eastAsia" w:ascii="宋体" w:hAnsi="宋体" w:eastAsia="宋体" w:cs="宋体"/>
                <w:color w:val="auto"/>
                <w:sz w:val="24"/>
                <w:szCs w:val="24"/>
                <w:highlight w:val="none"/>
              </w:rPr>
            </w:pPr>
          </w:p>
        </w:tc>
        <w:tc>
          <w:tcPr>
            <w:tcW w:w="1857" w:type="dxa"/>
            <w:noWrap/>
            <w:vAlign w:val="center"/>
          </w:tcPr>
          <w:p w14:paraId="66DD236C">
            <w:pPr>
              <w:spacing w:line="360" w:lineRule="auto"/>
              <w:jc w:val="center"/>
              <w:rPr>
                <w:rFonts w:hint="eastAsia" w:ascii="宋体" w:hAnsi="宋体" w:eastAsia="宋体" w:cs="宋体"/>
                <w:color w:val="auto"/>
                <w:sz w:val="24"/>
                <w:szCs w:val="24"/>
                <w:highlight w:val="none"/>
              </w:rPr>
            </w:pPr>
          </w:p>
        </w:tc>
        <w:tc>
          <w:tcPr>
            <w:tcW w:w="932" w:type="dxa"/>
            <w:noWrap/>
            <w:vAlign w:val="center"/>
          </w:tcPr>
          <w:p w14:paraId="09B94BEE">
            <w:pPr>
              <w:spacing w:line="360" w:lineRule="auto"/>
              <w:jc w:val="center"/>
              <w:rPr>
                <w:rFonts w:hint="eastAsia" w:ascii="宋体" w:hAnsi="宋体" w:eastAsia="宋体" w:cs="宋体"/>
                <w:color w:val="auto"/>
                <w:sz w:val="24"/>
                <w:szCs w:val="24"/>
                <w:highlight w:val="none"/>
              </w:rPr>
            </w:pPr>
          </w:p>
        </w:tc>
      </w:tr>
      <w:tr w14:paraId="4EA23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trPr>
        <w:tc>
          <w:tcPr>
            <w:tcW w:w="741" w:type="dxa"/>
            <w:noWrap/>
            <w:vAlign w:val="center"/>
          </w:tcPr>
          <w:p w14:paraId="3C32225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047" w:type="dxa"/>
            <w:noWrap/>
            <w:vAlign w:val="center"/>
          </w:tcPr>
          <w:p w14:paraId="6C5D4CA7">
            <w:pPr>
              <w:spacing w:line="360" w:lineRule="auto"/>
              <w:jc w:val="center"/>
              <w:rPr>
                <w:rFonts w:hint="eastAsia" w:ascii="宋体" w:hAnsi="宋体" w:eastAsia="宋体" w:cs="宋体"/>
                <w:color w:val="auto"/>
                <w:sz w:val="24"/>
                <w:szCs w:val="24"/>
                <w:highlight w:val="none"/>
              </w:rPr>
            </w:pPr>
          </w:p>
        </w:tc>
        <w:tc>
          <w:tcPr>
            <w:tcW w:w="730" w:type="dxa"/>
            <w:noWrap/>
            <w:vAlign w:val="center"/>
          </w:tcPr>
          <w:p w14:paraId="3D2B82F9">
            <w:pPr>
              <w:spacing w:line="360" w:lineRule="auto"/>
              <w:jc w:val="center"/>
              <w:rPr>
                <w:rFonts w:hint="eastAsia" w:ascii="宋体" w:hAnsi="宋体" w:eastAsia="宋体" w:cs="宋体"/>
                <w:color w:val="auto"/>
                <w:sz w:val="24"/>
                <w:szCs w:val="24"/>
                <w:highlight w:val="none"/>
              </w:rPr>
            </w:pPr>
          </w:p>
        </w:tc>
        <w:tc>
          <w:tcPr>
            <w:tcW w:w="709" w:type="dxa"/>
            <w:noWrap/>
            <w:vAlign w:val="center"/>
          </w:tcPr>
          <w:p w14:paraId="68399D8F">
            <w:pPr>
              <w:spacing w:line="360" w:lineRule="auto"/>
              <w:jc w:val="center"/>
              <w:rPr>
                <w:rFonts w:hint="eastAsia" w:ascii="宋体" w:hAnsi="宋体" w:eastAsia="宋体" w:cs="宋体"/>
                <w:color w:val="auto"/>
                <w:sz w:val="24"/>
                <w:szCs w:val="24"/>
                <w:highlight w:val="none"/>
              </w:rPr>
            </w:pPr>
          </w:p>
        </w:tc>
        <w:tc>
          <w:tcPr>
            <w:tcW w:w="1477" w:type="dxa"/>
            <w:noWrap/>
            <w:vAlign w:val="center"/>
          </w:tcPr>
          <w:p w14:paraId="79193F87">
            <w:pPr>
              <w:spacing w:line="360" w:lineRule="auto"/>
              <w:jc w:val="center"/>
              <w:rPr>
                <w:rFonts w:hint="eastAsia" w:ascii="宋体" w:hAnsi="宋体" w:eastAsia="宋体" w:cs="宋体"/>
                <w:color w:val="auto"/>
                <w:sz w:val="24"/>
                <w:szCs w:val="24"/>
                <w:highlight w:val="none"/>
              </w:rPr>
            </w:pPr>
          </w:p>
        </w:tc>
        <w:tc>
          <w:tcPr>
            <w:tcW w:w="1236" w:type="dxa"/>
            <w:noWrap/>
            <w:vAlign w:val="center"/>
          </w:tcPr>
          <w:p w14:paraId="5D07FCEE">
            <w:pPr>
              <w:spacing w:line="360" w:lineRule="auto"/>
              <w:jc w:val="center"/>
              <w:rPr>
                <w:rFonts w:hint="eastAsia" w:ascii="宋体" w:hAnsi="宋体" w:eastAsia="宋体" w:cs="宋体"/>
                <w:color w:val="auto"/>
                <w:sz w:val="24"/>
                <w:szCs w:val="24"/>
                <w:highlight w:val="none"/>
              </w:rPr>
            </w:pPr>
          </w:p>
        </w:tc>
        <w:tc>
          <w:tcPr>
            <w:tcW w:w="1236" w:type="dxa"/>
            <w:noWrap/>
            <w:vAlign w:val="center"/>
          </w:tcPr>
          <w:p w14:paraId="260261FF">
            <w:pPr>
              <w:spacing w:line="360" w:lineRule="auto"/>
              <w:jc w:val="center"/>
              <w:rPr>
                <w:rFonts w:hint="eastAsia" w:ascii="宋体" w:hAnsi="宋体" w:eastAsia="宋体" w:cs="宋体"/>
                <w:color w:val="auto"/>
                <w:sz w:val="24"/>
                <w:szCs w:val="24"/>
                <w:highlight w:val="none"/>
              </w:rPr>
            </w:pPr>
          </w:p>
        </w:tc>
        <w:tc>
          <w:tcPr>
            <w:tcW w:w="1857" w:type="dxa"/>
            <w:noWrap/>
            <w:vAlign w:val="center"/>
          </w:tcPr>
          <w:p w14:paraId="10E2E7CA">
            <w:pPr>
              <w:spacing w:line="360" w:lineRule="auto"/>
              <w:jc w:val="center"/>
              <w:rPr>
                <w:rFonts w:hint="eastAsia" w:ascii="宋体" w:hAnsi="宋体" w:eastAsia="宋体" w:cs="宋体"/>
                <w:color w:val="auto"/>
                <w:sz w:val="24"/>
                <w:szCs w:val="24"/>
                <w:highlight w:val="none"/>
              </w:rPr>
            </w:pPr>
          </w:p>
        </w:tc>
        <w:tc>
          <w:tcPr>
            <w:tcW w:w="932" w:type="dxa"/>
            <w:noWrap/>
            <w:vAlign w:val="center"/>
          </w:tcPr>
          <w:p w14:paraId="0670718D">
            <w:pPr>
              <w:spacing w:line="360" w:lineRule="auto"/>
              <w:jc w:val="center"/>
              <w:rPr>
                <w:rFonts w:hint="eastAsia" w:ascii="宋体" w:hAnsi="宋体" w:eastAsia="宋体" w:cs="宋体"/>
                <w:color w:val="auto"/>
                <w:sz w:val="24"/>
                <w:szCs w:val="24"/>
                <w:highlight w:val="none"/>
              </w:rPr>
            </w:pPr>
          </w:p>
        </w:tc>
      </w:tr>
      <w:tr w14:paraId="39090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741" w:type="dxa"/>
            <w:noWrap/>
            <w:vAlign w:val="center"/>
          </w:tcPr>
          <w:p w14:paraId="033D8D0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047" w:type="dxa"/>
            <w:noWrap/>
            <w:vAlign w:val="center"/>
          </w:tcPr>
          <w:p w14:paraId="29296497">
            <w:pPr>
              <w:spacing w:line="360" w:lineRule="auto"/>
              <w:jc w:val="center"/>
              <w:rPr>
                <w:rFonts w:hint="eastAsia" w:ascii="宋体" w:hAnsi="宋体" w:eastAsia="宋体" w:cs="宋体"/>
                <w:color w:val="auto"/>
                <w:sz w:val="24"/>
                <w:szCs w:val="24"/>
                <w:highlight w:val="none"/>
              </w:rPr>
            </w:pPr>
          </w:p>
        </w:tc>
        <w:tc>
          <w:tcPr>
            <w:tcW w:w="730" w:type="dxa"/>
            <w:noWrap/>
            <w:vAlign w:val="center"/>
          </w:tcPr>
          <w:p w14:paraId="0954B4ED">
            <w:pPr>
              <w:spacing w:line="360" w:lineRule="auto"/>
              <w:jc w:val="center"/>
              <w:rPr>
                <w:rFonts w:hint="eastAsia" w:ascii="宋体" w:hAnsi="宋体" w:eastAsia="宋体" w:cs="宋体"/>
                <w:color w:val="auto"/>
                <w:sz w:val="24"/>
                <w:szCs w:val="24"/>
                <w:highlight w:val="none"/>
              </w:rPr>
            </w:pPr>
          </w:p>
        </w:tc>
        <w:tc>
          <w:tcPr>
            <w:tcW w:w="709" w:type="dxa"/>
            <w:noWrap/>
            <w:vAlign w:val="center"/>
          </w:tcPr>
          <w:p w14:paraId="5EF7B13B">
            <w:pPr>
              <w:spacing w:line="360" w:lineRule="auto"/>
              <w:jc w:val="center"/>
              <w:rPr>
                <w:rFonts w:hint="eastAsia" w:ascii="宋体" w:hAnsi="宋体" w:eastAsia="宋体" w:cs="宋体"/>
                <w:color w:val="auto"/>
                <w:sz w:val="24"/>
                <w:szCs w:val="24"/>
                <w:highlight w:val="none"/>
              </w:rPr>
            </w:pPr>
          </w:p>
        </w:tc>
        <w:tc>
          <w:tcPr>
            <w:tcW w:w="1477" w:type="dxa"/>
            <w:noWrap/>
            <w:vAlign w:val="center"/>
          </w:tcPr>
          <w:p w14:paraId="2DB7836B">
            <w:pPr>
              <w:spacing w:line="360" w:lineRule="auto"/>
              <w:jc w:val="center"/>
              <w:rPr>
                <w:rFonts w:hint="eastAsia" w:ascii="宋体" w:hAnsi="宋体" w:eastAsia="宋体" w:cs="宋体"/>
                <w:color w:val="auto"/>
                <w:sz w:val="24"/>
                <w:szCs w:val="24"/>
                <w:highlight w:val="none"/>
              </w:rPr>
            </w:pPr>
          </w:p>
        </w:tc>
        <w:tc>
          <w:tcPr>
            <w:tcW w:w="1236" w:type="dxa"/>
            <w:noWrap/>
            <w:vAlign w:val="center"/>
          </w:tcPr>
          <w:p w14:paraId="4EA216C1">
            <w:pPr>
              <w:spacing w:line="360" w:lineRule="auto"/>
              <w:jc w:val="center"/>
              <w:rPr>
                <w:rFonts w:hint="eastAsia" w:ascii="宋体" w:hAnsi="宋体" w:eastAsia="宋体" w:cs="宋体"/>
                <w:color w:val="auto"/>
                <w:sz w:val="24"/>
                <w:szCs w:val="24"/>
                <w:highlight w:val="none"/>
              </w:rPr>
            </w:pPr>
          </w:p>
        </w:tc>
        <w:tc>
          <w:tcPr>
            <w:tcW w:w="1236" w:type="dxa"/>
            <w:noWrap/>
            <w:vAlign w:val="center"/>
          </w:tcPr>
          <w:p w14:paraId="0E6E32EF">
            <w:pPr>
              <w:spacing w:line="360" w:lineRule="auto"/>
              <w:jc w:val="center"/>
              <w:rPr>
                <w:rFonts w:hint="eastAsia" w:ascii="宋体" w:hAnsi="宋体" w:eastAsia="宋体" w:cs="宋体"/>
                <w:color w:val="auto"/>
                <w:sz w:val="24"/>
                <w:szCs w:val="24"/>
                <w:highlight w:val="none"/>
              </w:rPr>
            </w:pPr>
          </w:p>
        </w:tc>
        <w:tc>
          <w:tcPr>
            <w:tcW w:w="1857" w:type="dxa"/>
            <w:noWrap/>
            <w:vAlign w:val="center"/>
          </w:tcPr>
          <w:p w14:paraId="049464F6">
            <w:pPr>
              <w:spacing w:line="360" w:lineRule="auto"/>
              <w:jc w:val="center"/>
              <w:rPr>
                <w:rFonts w:hint="eastAsia" w:ascii="宋体" w:hAnsi="宋体" w:eastAsia="宋体" w:cs="宋体"/>
                <w:color w:val="auto"/>
                <w:sz w:val="24"/>
                <w:szCs w:val="24"/>
                <w:highlight w:val="none"/>
              </w:rPr>
            </w:pPr>
          </w:p>
        </w:tc>
        <w:tc>
          <w:tcPr>
            <w:tcW w:w="932" w:type="dxa"/>
            <w:noWrap/>
            <w:vAlign w:val="center"/>
          </w:tcPr>
          <w:p w14:paraId="117FA7CA">
            <w:pPr>
              <w:spacing w:line="360" w:lineRule="auto"/>
              <w:jc w:val="center"/>
              <w:rPr>
                <w:rFonts w:hint="eastAsia" w:ascii="宋体" w:hAnsi="宋体" w:eastAsia="宋体" w:cs="宋体"/>
                <w:color w:val="auto"/>
                <w:sz w:val="24"/>
                <w:szCs w:val="24"/>
                <w:highlight w:val="none"/>
              </w:rPr>
            </w:pPr>
          </w:p>
        </w:tc>
      </w:tr>
      <w:tr w14:paraId="60D4C6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 w:hRule="atLeast"/>
        </w:trPr>
        <w:tc>
          <w:tcPr>
            <w:tcW w:w="741" w:type="dxa"/>
            <w:noWrap/>
            <w:vAlign w:val="center"/>
          </w:tcPr>
          <w:p w14:paraId="3969448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047" w:type="dxa"/>
            <w:noWrap/>
            <w:vAlign w:val="center"/>
          </w:tcPr>
          <w:p w14:paraId="1EB9AEFA">
            <w:pPr>
              <w:spacing w:line="360" w:lineRule="auto"/>
              <w:jc w:val="center"/>
              <w:rPr>
                <w:rFonts w:hint="eastAsia" w:ascii="宋体" w:hAnsi="宋体" w:eastAsia="宋体" w:cs="宋体"/>
                <w:color w:val="auto"/>
                <w:sz w:val="24"/>
                <w:szCs w:val="24"/>
                <w:highlight w:val="none"/>
              </w:rPr>
            </w:pPr>
          </w:p>
        </w:tc>
        <w:tc>
          <w:tcPr>
            <w:tcW w:w="730" w:type="dxa"/>
            <w:noWrap/>
            <w:vAlign w:val="center"/>
          </w:tcPr>
          <w:p w14:paraId="2D777059">
            <w:pPr>
              <w:spacing w:line="360" w:lineRule="auto"/>
              <w:jc w:val="center"/>
              <w:rPr>
                <w:rFonts w:hint="eastAsia" w:ascii="宋体" w:hAnsi="宋体" w:eastAsia="宋体" w:cs="宋体"/>
                <w:color w:val="auto"/>
                <w:sz w:val="24"/>
                <w:szCs w:val="24"/>
                <w:highlight w:val="none"/>
              </w:rPr>
            </w:pPr>
          </w:p>
        </w:tc>
        <w:tc>
          <w:tcPr>
            <w:tcW w:w="709" w:type="dxa"/>
            <w:noWrap/>
            <w:vAlign w:val="center"/>
          </w:tcPr>
          <w:p w14:paraId="6B5B3CFD">
            <w:pPr>
              <w:spacing w:line="360" w:lineRule="auto"/>
              <w:jc w:val="center"/>
              <w:rPr>
                <w:rFonts w:hint="eastAsia" w:ascii="宋体" w:hAnsi="宋体" w:eastAsia="宋体" w:cs="宋体"/>
                <w:color w:val="auto"/>
                <w:sz w:val="24"/>
                <w:szCs w:val="24"/>
                <w:highlight w:val="none"/>
              </w:rPr>
            </w:pPr>
          </w:p>
        </w:tc>
        <w:tc>
          <w:tcPr>
            <w:tcW w:w="1477" w:type="dxa"/>
            <w:noWrap/>
            <w:vAlign w:val="center"/>
          </w:tcPr>
          <w:p w14:paraId="0153FAFA">
            <w:pPr>
              <w:spacing w:line="360" w:lineRule="auto"/>
              <w:jc w:val="center"/>
              <w:rPr>
                <w:rFonts w:hint="eastAsia" w:ascii="宋体" w:hAnsi="宋体" w:eastAsia="宋体" w:cs="宋体"/>
                <w:color w:val="auto"/>
                <w:sz w:val="24"/>
                <w:szCs w:val="24"/>
                <w:highlight w:val="none"/>
              </w:rPr>
            </w:pPr>
          </w:p>
        </w:tc>
        <w:tc>
          <w:tcPr>
            <w:tcW w:w="1236" w:type="dxa"/>
            <w:noWrap/>
            <w:vAlign w:val="center"/>
          </w:tcPr>
          <w:p w14:paraId="16E01E77">
            <w:pPr>
              <w:spacing w:line="360" w:lineRule="auto"/>
              <w:jc w:val="center"/>
              <w:rPr>
                <w:rFonts w:hint="eastAsia" w:ascii="宋体" w:hAnsi="宋体" w:eastAsia="宋体" w:cs="宋体"/>
                <w:color w:val="auto"/>
                <w:sz w:val="24"/>
                <w:szCs w:val="24"/>
                <w:highlight w:val="none"/>
              </w:rPr>
            </w:pPr>
          </w:p>
        </w:tc>
        <w:tc>
          <w:tcPr>
            <w:tcW w:w="1236" w:type="dxa"/>
            <w:noWrap/>
            <w:vAlign w:val="center"/>
          </w:tcPr>
          <w:p w14:paraId="1EABF8AE">
            <w:pPr>
              <w:spacing w:line="360" w:lineRule="auto"/>
              <w:jc w:val="center"/>
              <w:rPr>
                <w:rFonts w:hint="eastAsia" w:ascii="宋体" w:hAnsi="宋体" w:eastAsia="宋体" w:cs="宋体"/>
                <w:color w:val="auto"/>
                <w:sz w:val="24"/>
                <w:szCs w:val="24"/>
                <w:highlight w:val="none"/>
              </w:rPr>
            </w:pPr>
          </w:p>
        </w:tc>
        <w:tc>
          <w:tcPr>
            <w:tcW w:w="1857" w:type="dxa"/>
            <w:noWrap/>
            <w:vAlign w:val="center"/>
          </w:tcPr>
          <w:p w14:paraId="0DC9DCF3">
            <w:pPr>
              <w:spacing w:line="360" w:lineRule="auto"/>
              <w:jc w:val="center"/>
              <w:rPr>
                <w:rFonts w:hint="eastAsia" w:ascii="宋体" w:hAnsi="宋体" w:eastAsia="宋体" w:cs="宋体"/>
                <w:color w:val="auto"/>
                <w:sz w:val="24"/>
                <w:szCs w:val="24"/>
                <w:highlight w:val="none"/>
              </w:rPr>
            </w:pPr>
          </w:p>
        </w:tc>
        <w:tc>
          <w:tcPr>
            <w:tcW w:w="932" w:type="dxa"/>
            <w:noWrap/>
            <w:vAlign w:val="center"/>
          </w:tcPr>
          <w:p w14:paraId="4D318AEE">
            <w:pPr>
              <w:spacing w:line="360" w:lineRule="auto"/>
              <w:jc w:val="center"/>
              <w:rPr>
                <w:rFonts w:hint="eastAsia" w:ascii="宋体" w:hAnsi="宋体" w:eastAsia="宋体" w:cs="宋体"/>
                <w:color w:val="auto"/>
                <w:sz w:val="24"/>
                <w:szCs w:val="24"/>
                <w:highlight w:val="none"/>
              </w:rPr>
            </w:pPr>
          </w:p>
        </w:tc>
      </w:tr>
      <w:tr w14:paraId="65B85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7" w:hRule="atLeast"/>
        </w:trPr>
        <w:tc>
          <w:tcPr>
            <w:tcW w:w="741" w:type="dxa"/>
            <w:noWrap/>
            <w:vAlign w:val="center"/>
          </w:tcPr>
          <w:p w14:paraId="09E3D60B">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047" w:type="dxa"/>
            <w:noWrap/>
            <w:vAlign w:val="center"/>
          </w:tcPr>
          <w:p w14:paraId="60C08D16">
            <w:pPr>
              <w:spacing w:line="360" w:lineRule="auto"/>
              <w:jc w:val="center"/>
              <w:rPr>
                <w:rFonts w:hint="eastAsia" w:ascii="宋体" w:hAnsi="宋体" w:eastAsia="宋体" w:cs="宋体"/>
                <w:color w:val="auto"/>
                <w:sz w:val="24"/>
                <w:szCs w:val="24"/>
                <w:highlight w:val="none"/>
              </w:rPr>
            </w:pPr>
          </w:p>
        </w:tc>
        <w:tc>
          <w:tcPr>
            <w:tcW w:w="730" w:type="dxa"/>
            <w:noWrap/>
            <w:vAlign w:val="center"/>
          </w:tcPr>
          <w:p w14:paraId="1E7DBCF8">
            <w:pPr>
              <w:spacing w:line="360" w:lineRule="auto"/>
              <w:jc w:val="center"/>
              <w:rPr>
                <w:rFonts w:hint="eastAsia" w:ascii="宋体" w:hAnsi="宋体" w:eastAsia="宋体" w:cs="宋体"/>
                <w:color w:val="auto"/>
                <w:sz w:val="24"/>
                <w:szCs w:val="24"/>
                <w:highlight w:val="none"/>
              </w:rPr>
            </w:pPr>
          </w:p>
        </w:tc>
        <w:tc>
          <w:tcPr>
            <w:tcW w:w="709" w:type="dxa"/>
            <w:noWrap/>
            <w:vAlign w:val="center"/>
          </w:tcPr>
          <w:p w14:paraId="35DBDE24">
            <w:pPr>
              <w:spacing w:line="360" w:lineRule="auto"/>
              <w:jc w:val="center"/>
              <w:rPr>
                <w:rFonts w:hint="eastAsia" w:ascii="宋体" w:hAnsi="宋体" w:eastAsia="宋体" w:cs="宋体"/>
                <w:color w:val="auto"/>
                <w:sz w:val="24"/>
                <w:szCs w:val="24"/>
                <w:highlight w:val="none"/>
              </w:rPr>
            </w:pPr>
          </w:p>
        </w:tc>
        <w:tc>
          <w:tcPr>
            <w:tcW w:w="1477" w:type="dxa"/>
            <w:noWrap/>
            <w:vAlign w:val="center"/>
          </w:tcPr>
          <w:p w14:paraId="29F9D739">
            <w:pPr>
              <w:spacing w:line="360" w:lineRule="auto"/>
              <w:jc w:val="center"/>
              <w:rPr>
                <w:rFonts w:hint="eastAsia" w:ascii="宋体" w:hAnsi="宋体" w:eastAsia="宋体" w:cs="宋体"/>
                <w:color w:val="auto"/>
                <w:sz w:val="24"/>
                <w:szCs w:val="24"/>
                <w:highlight w:val="none"/>
              </w:rPr>
            </w:pPr>
          </w:p>
        </w:tc>
        <w:tc>
          <w:tcPr>
            <w:tcW w:w="1236" w:type="dxa"/>
            <w:noWrap/>
            <w:vAlign w:val="center"/>
          </w:tcPr>
          <w:p w14:paraId="50E804EE">
            <w:pPr>
              <w:spacing w:line="360" w:lineRule="auto"/>
              <w:jc w:val="center"/>
              <w:rPr>
                <w:rFonts w:hint="eastAsia" w:ascii="宋体" w:hAnsi="宋体" w:eastAsia="宋体" w:cs="宋体"/>
                <w:color w:val="auto"/>
                <w:sz w:val="24"/>
                <w:szCs w:val="24"/>
                <w:highlight w:val="none"/>
              </w:rPr>
            </w:pPr>
          </w:p>
        </w:tc>
        <w:tc>
          <w:tcPr>
            <w:tcW w:w="1236" w:type="dxa"/>
            <w:noWrap/>
            <w:vAlign w:val="center"/>
          </w:tcPr>
          <w:p w14:paraId="09F94E35">
            <w:pPr>
              <w:spacing w:line="360" w:lineRule="auto"/>
              <w:jc w:val="center"/>
              <w:rPr>
                <w:rFonts w:hint="eastAsia" w:ascii="宋体" w:hAnsi="宋体" w:eastAsia="宋体" w:cs="宋体"/>
                <w:color w:val="auto"/>
                <w:sz w:val="24"/>
                <w:szCs w:val="24"/>
                <w:highlight w:val="none"/>
              </w:rPr>
            </w:pPr>
          </w:p>
        </w:tc>
        <w:tc>
          <w:tcPr>
            <w:tcW w:w="1857" w:type="dxa"/>
            <w:noWrap/>
            <w:vAlign w:val="center"/>
          </w:tcPr>
          <w:p w14:paraId="2335BDE4">
            <w:pPr>
              <w:spacing w:line="360" w:lineRule="auto"/>
              <w:jc w:val="center"/>
              <w:rPr>
                <w:rFonts w:hint="eastAsia" w:ascii="宋体" w:hAnsi="宋体" w:eastAsia="宋体" w:cs="宋体"/>
                <w:color w:val="auto"/>
                <w:sz w:val="24"/>
                <w:szCs w:val="24"/>
                <w:highlight w:val="none"/>
              </w:rPr>
            </w:pPr>
          </w:p>
        </w:tc>
        <w:tc>
          <w:tcPr>
            <w:tcW w:w="932" w:type="dxa"/>
            <w:noWrap/>
            <w:vAlign w:val="center"/>
          </w:tcPr>
          <w:p w14:paraId="348CD9CF">
            <w:pPr>
              <w:spacing w:line="360" w:lineRule="auto"/>
              <w:jc w:val="center"/>
              <w:rPr>
                <w:rFonts w:hint="eastAsia" w:ascii="宋体" w:hAnsi="宋体" w:eastAsia="宋体" w:cs="宋体"/>
                <w:color w:val="auto"/>
                <w:sz w:val="24"/>
                <w:szCs w:val="24"/>
                <w:highlight w:val="none"/>
              </w:rPr>
            </w:pPr>
          </w:p>
        </w:tc>
      </w:tr>
      <w:tr w14:paraId="40F30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0" w:hRule="atLeast"/>
        </w:trPr>
        <w:tc>
          <w:tcPr>
            <w:tcW w:w="741" w:type="dxa"/>
            <w:noWrap/>
            <w:vAlign w:val="center"/>
          </w:tcPr>
          <w:p w14:paraId="6DE4B1C7">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047" w:type="dxa"/>
            <w:noWrap/>
            <w:vAlign w:val="center"/>
          </w:tcPr>
          <w:p w14:paraId="67C77265">
            <w:pPr>
              <w:spacing w:line="360" w:lineRule="auto"/>
              <w:jc w:val="center"/>
              <w:rPr>
                <w:rFonts w:hint="eastAsia" w:ascii="宋体" w:hAnsi="宋体" w:eastAsia="宋体" w:cs="宋体"/>
                <w:color w:val="auto"/>
                <w:sz w:val="24"/>
                <w:szCs w:val="24"/>
                <w:highlight w:val="none"/>
              </w:rPr>
            </w:pPr>
          </w:p>
        </w:tc>
        <w:tc>
          <w:tcPr>
            <w:tcW w:w="730" w:type="dxa"/>
            <w:noWrap/>
            <w:vAlign w:val="center"/>
          </w:tcPr>
          <w:p w14:paraId="471C1440">
            <w:pPr>
              <w:spacing w:line="360" w:lineRule="auto"/>
              <w:jc w:val="center"/>
              <w:rPr>
                <w:rFonts w:hint="eastAsia" w:ascii="宋体" w:hAnsi="宋体" w:eastAsia="宋体" w:cs="宋体"/>
                <w:color w:val="auto"/>
                <w:sz w:val="24"/>
                <w:szCs w:val="24"/>
                <w:highlight w:val="none"/>
              </w:rPr>
            </w:pPr>
          </w:p>
        </w:tc>
        <w:tc>
          <w:tcPr>
            <w:tcW w:w="709" w:type="dxa"/>
            <w:noWrap/>
            <w:vAlign w:val="center"/>
          </w:tcPr>
          <w:p w14:paraId="6AD779E5">
            <w:pPr>
              <w:spacing w:line="360" w:lineRule="auto"/>
              <w:jc w:val="center"/>
              <w:rPr>
                <w:rFonts w:hint="eastAsia" w:ascii="宋体" w:hAnsi="宋体" w:eastAsia="宋体" w:cs="宋体"/>
                <w:color w:val="auto"/>
                <w:sz w:val="24"/>
                <w:szCs w:val="24"/>
                <w:highlight w:val="none"/>
              </w:rPr>
            </w:pPr>
          </w:p>
        </w:tc>
        <w:tc>
          <w:tcPr>
            <w:tcW w:w="1477" w:type="dxa"/>
            <w:noWrap/>
            <w:vAlign w:val="center"/>
          </w:tcPr>
          <w:p w14:paraId="435ACC37">
            <w:pPr>
              <w:spacing w:line="360" w:lineRule="auto"/>
              <w:jc w:val="center"/>
              <w:rPr>
                <w:rFonts w:hint="eastAsia" w:ascii="宋体" w:hAnsi="宋体" w:eastAsia="宋体" w:cs="宋体"/>
                <w:color w:val="auto"/>
                <w:sz w:val="24"/>
                <w:szCs w:val="24"/>
                <w:highlight w:val="none"/>
              </w:rPr>
            </w:pPr>
          </w:p>
        </w:tc>
        <w:tc>
          <w:tcPr>
            <w:tcW w:w="1236" w:type="dxa"/>
            <w:noWrap/>
            <w:vAlign w:val="center"/>
          </w:tcPr>
          <w:p w14:paraId="3FDBD60A">
            <w:pPr>
              <w:spacing w:line="360" w:lineRule="auto"/>
              <w:jc w:val="center"/>
              <w:rPr>
                <w:rFonts w:hint="eastAsia" w:ascii="宋体" w:hAnsi="宋体" w:eastAsia="宋体" w:cs="宋体"/>
                <w:color w:val="auto"/>
                <w:sz w:val="24"/>
                <w:szCs w:val="24"/>
                <w:highlight w:val="none"/>
              </w:rPr>
            </w:pPr>
          </w:p>
        </w:tc>
        <w:tc>
          <w:tcPr>
            <w:tcW w:w="1236" w:type="dxa"/>
            <w:noWrap/>
            <w:vAlign w:val="center"/>
          </w:tcPr>
          <w:p w14:paraId="5C2A31A5">
            <w:pPr>
              <w:spacing w:line="360" w:lineRule="auto"/>
              <w:jc w:val="center"/>
              <w:rPr>
                <w:rFonts w:hint="eastAsia" w:ascii="宋体" w:hAnsi="宋体" w:eastAsia="宋体" w:cs="宋体"/>
                <w:color w:val="auto"/>
                <w:sz w:val="24"/>
                <w:szCs w:val="24"/>
                <w:highlight w:val="none"/>
              </w:rPr>
            </w:pPr>
          </w:p>
        </w:tc>
        <w:tc>
          <w:tcPr>
            <w:tcW w:w="1857" w:type="dxa"/>
            <w:noWrap/>
            <w:vAlign w:val="center"/>
          </w:tcPr>
          <w:p w14:paraId="2E86F36B">
            <w:pPr>
              <w:spacing w:line="360" w:lineRule="auto"/>
              <w:jc w:val="center"/>
              <w:rPr>
                <w:rFonts w:hint="eastAsia" w:ascii="宋体" w:hAnsi="宋体" w:eastAsia="宋体" w:cs="宋体"/>
                <w:color w:val="auto"/>
                <w:sz w:val="24"/>
                <w:szCs w:val="24"/>
                <w:highlight w:val="none"/>
              </w:rPr>
            </w:pPr>
          </w:p>
        </w:tc>
        <w:tc>
          <w:tcPr>
            <w:tcW w:w="932" w:type="dxa"/>
            <w:noWrap/>
            <w:vAlign w:val="center"/>
          </w:tcPr>
          <w:p w14:paraId="27C5A666">
            <w:pPr>
              <w:spacing w:line="360" w:lineRule="auto"/>
              <w:jc w:val="center"/>
              <w:rPr>
                <w:rFonts w:hint="eastAsia" w:ascii="宋体" w:hAnsi="宋体" w:eastAsia="宋体" w:cs="宋体"/>
                <w:color w:val="auto"/>
                <w:sz w:val="24"/>
                <w:szCs w:val="24"/>
                <w:highlight w:val="none"/>
              </w:rPr>
            </w:pPr>
          </w:p>
        </w:tc>
      </w:tr>
    </w:tbl>
    <w:p w14:paraId="55D0C312">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法定代表人或法定代表人授权代表签字或盖章：</w:t>
      </w:r>
    </w:p>
    <w:p w14:paraId="6CBC9CC1">
      <w:pPr>
        <w:spacing w:line="480" w:lineRule="auto"/>
        <w:rPr>
          <w:rFonts w:hint="eastAsia" w:ascii="宋体" w:hAnsi="宋体" w:eastAsia="宋体" w:cs="宋体"/>
          <w:bCs/>
          <w:color w:val="auto"/>
          <w:sz w:val="24"/>
          <w:highlight w:val="none"/>
        </w:rPr>
      </w:pPr>
    </w:p>
    <w:p w14:paraId="11956ECB">
      <w:pPr>
        <w:spacing w:line="48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注：1、上表可自行延长。</w:t>
      </w:r>
    </w:p>
    <w:p w14:paraId="3AF289DB">
      <w:pPr>
        <w:spacing w:line="46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Cs w:val="21"/>
          <w:highlight w:val="none"/>
        </w:rPr>
        <w:br w:type="page" w:clear="all"/>
      </w:r>
      <w:r>
        <w:rPr>
          <w:rFonts w:hint="eastAsia" w:ascii="宋体" w:hAnsi="宋体" w:eastAsia="宋体" w:cs="宋体"/>
          <w:bCs/>
          <w:color w:val="auto"/>
          <w:sz w:val="24"/>
          <w:szCs w:val="24"/>
          <w:highlight w:val="none"/>
        </w:rPr>
        <w:t>（十</w:t>
      </w:r>
      <w:r>
        <w:rPr>
          <w:rFonts w:hint="eastAsia" w:ascii="宋体" w:hAnsi="宋体" w:cs="宋体"/>
          <w:bCs/>
          <w:color w:val="auto"/>
          <w:sz w:val="24"/>
          <w:szCs w:val="24"/>
          <w:highlight w:val="none"/>
          <w:lang w:val="en-US" w:eastAsia="zh-CN"/>
        </w:rPr>
        <w:t>二</w:t>
      </w:r>
      <w:r>
        <w:rPr>
          <w:rFonts w:hint="eastAsia" w:ascii="宋体" w:hAnsi="宋体" w:eastAsia="宋体" w:cs="宋体"/>
          <w:bCs/>
          <w:color w:val="auto"/>
          <w:sz w:val="24"/>
          <w:szCs w:val="24"/>
          <w:highlight w:val="none"/>
        </w:rPr>
        <w:t>）项目负责人简历表（格式）</w:t>
      </w:r>
    </w:p>
    <w:p w14:paraId="36D5E834">
      <w:pPr>
        <w:jc w:val="center"/>
        <w:outlineLvl w:val="9"/>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项目负责人简历表</w:t>
      </w:r>
    </w:p>
    <w:p w14:paraId="523EB4EC">
      <w:pPr>
        <w:jc w:val="center"/>
        <w:outlineLvl w:val="9"/>
        <w:rPr>
          <w:rFonts w:hint="eastAsia" w:ascii="宋体" w:hAnsi="宋体" w:eastAsia="宋体" w:cs="宋体"/>
          <w:bCs w:val="0"/>
          <w:color w:val="auto"/>
          <w:highlight w:val="none"/>
        </w:rPr>
      </w:pPr>
    </w:p>
    <w:p w14:paraId="6A0EC91B">
      <w:pPr>
        <w:pStyle w:val="283"/>
        <w:rPr>
          <w:rFonts w:hint="eastAsia" w:ascii="宋体" w:hAnsi="宋体" w:eastAsia="宋体" w:cs="宋体"/>
          <w:bCs w:val="0"/>
          <w:color w:val="auto"/>
          <w:highlight w:val="none"/>
          <w:lang w:val="en-US" w:eastAsia="zh-CN"/>
        </w:rPr>
      </w:pPr>
      <w:r>
        <w:rPr>
          <w:rFonts w:hint="eastAsia" w:ascii="宋体" w:hAnsi="宋体" w:eastAsia="宋体" w:cs="宋体"/>
          <w:bCs w:val="0"/>
          <w:color w:val="auto"/>
          <w:highlight w:val="none"/>
        </w:rPr>
        <w:t>投标供应商名称（盖章）                             采购项目编号：</w:t>
      </w:r>
      <w:r>
        <w:rPr>
          <w:rFonts w:hint="eastAsia" w:ascii="宋体" w:hAnsi="宋体" w:eastAsia="宋体" w:cs="宋体"/>
          <w:bCs w:val="0"/>
          <w:color w:val="auto"/>
          <w:highlight w:val="none"/>
          <w:lang w:val="en-US" w:eastAsia="zh-CN"/>
        </w:rPr>
        <w:t xml:space="preserve">          </w:t>
      </w:r>
    </w:p>
    <w:tbl>
      <w:tblPr>
        <w:tblStyle w:val="3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75"/>
        <w:gridCol w:w="1851"/>
        <w:gridCol w:w="2394"/>
        <w:gridCol w:w="1083"/>
        <w:gridCol w:w="1254"/>
        <w:gridCol w:w="2358"/>
      </w:tblGrid>
      <w:tr w14:paraId="24FF3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594" w:hRule="atLeast"/>
          <w:jc w:val="center"/>
        </w:trPr>
        <w:tc>
          <w:tcPr>
            <w:tcW w:w="775" w:type="dxa"/>
            <w:noWrap/>
            <w:vAlign w:val="center"/>
          </w:tcPr>
          <w:p w14:paraId="63D271E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51" w:type="dxa"/>
            <w:noWrap/>
            <w:vAlign w:val="center"/>
          </w:tcPr>
          <w:p w14:paraId="064274D0">
            <w:pPr>
              <w:pStyle w:val="49"/>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p>
        </w:tc>
        <w:tc>
          <w:tcPr>
            <w:tcW w:w="2394" w:type="dxa"/>
            <w:noWrap/>
            <w:vAlign w:val="center"/>
          </w:tcPr>
          <w:p w14:paraId="4F00C61F">
            <w:pPr>
              <w:pStyle w:val="49"/>
              <w:ind w:firstLine="480"/>
              <w:jc w:val="center"/>
              <w:rPr>
                <w:rFonts w:hint="eastAsia" w:ascii="宋体" w:hAnsi="宋体" w:eastAsia="宋体" w:cs="宋体"/>
                <w:color w:val="auto"/>
                <w:sz w:val="24"/>
                <w:highlight w:val="none"/>
              </w:rPr>
            </w:pPr>
          </w:p>
        </w:tc>
        <w:tc>
          <w:tcPr>
            <w:tcW w:w="1083" w:type="dxa"/>
            <w:noWrap/>
            <w:vAlign w:val="center"/>
          </w:tcPr>
          <w:p w14:paraId="0CE93E21">
            <w:pPr>
              <w:pStyle w:val="49"/>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性别</w:t>
            </w:r>
          </w:p>
        </w:tc>
        <w:tc>
          <w:tcPr>
            <w:tcW w:w="3612" w:type="dxa"/>
            <w:gridSpan w:val="2"/>
            <w:noWrap/>
            <w:vAlign w:val="center"/>
          </w:tcPr>
          <w:p w14:paraId="7EC0C12E">
            <w:pPr>
              <w:pStyle w:val="49"/>
              <w:ind w:firstLine="480"/>
              <w:jc w:val="center"/>
              <w:rPr>
                <w:rFonts w:hint="eastAsia" w:ascii="宋体" w:hAnsi="宋体" w:eastAsia="宋体" w:cs="宋体"/>
                <w:color w:val="auto"/>
                <w:sz w:val="24"/>
                <w:highlight w:val="none"/>
              </w:rPr>
            </w:pPr>
          </w:p>
        </w:tc>
      </w:tr>
      <w:tr w14:paraId="143BC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5" w:hRule="atLeast"/>
          <w:jc w:val="center"/>
        </w:trPr>
        <w:tc>
          <w:tcPr>
            <w:tcW w:w="775" w:type="dxa"/>
            <w:noWrap/>
            <w:vAlign w:val="center"/>
          </w:tcPr>
          <w:p w14:paraId="16F0DF5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51" w:type="dxa"/>
            <w:noWrap/>
            <w:vAlign w:val="center"/>
          </w:tcPr>
          <w:p w14:paraId="279BE638">
            <w:pPr>
              <w:pStyle w:val="49"/>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身份证号码</w:t>
            </w:r>
          </w:p>
        </w:tc>
        <w:tc>
          <w:tcPr>
            <w:tcW w:w="3477" w:type="dxa"/>
            <w:gridSpan w:val="2"/>
            <w:noWrap/>
            <w:vAlign w:val="center"/>
          </w:tcPr>
          <w:p w14:paraId="25B22AFD">
            <w:pPr>
              <w:pStyle w:val="49"/>
              <w:ind w:firstLine="480"/>
              <w:jc w:val="center"/>
              <w:rPr>
                <w:rFonts w:hint="eastAsia" w:ascii="宋体" w:hAnsi="宋体" w:eastAsia="宋体" w:cs="宋体"/>
                <w:color w:val="auto"/>
                <w:sz w:val="24"/>
                <w:highlight w:val="none"/>
              </w:rPr>
            </w:pPr>
          </w:p>
        </w:tc>
        <w:tc>
          <w:tcPr>
            <w:tcW w:w="1254" w:type="dxa"/>
            <w:noWrap/>
            <w:vAlign w:val="center"/>
          </w:tcPr>
          <w:p w14:paraId="146BFAFE">
            <w:pPr>
              <w:pStyle w:val="49"/>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出生年月</w:t>
            </w:r>
          </w:p>
        </w:tc>
        <w:tc>
          <w:tcPr>
            <w:tcW w:w="2358" w:type="dxa"/>
            <w:noWrap/>
            <w:vAlign w:val="center"/>
          </w:tcPr>
          <w:p w14:paraId="0B06BF5C">
            <w:pPr>
              <w:pStyle w:val="49"/>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w:t>
            </w:r>
          </w:p>
        </w:tc>
      </w:tr>
      <w:tr w14:paraId="3CE61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5" w:hRule="atLeast"/>
          <w:jc w:val="center"/>
        </w:trPr>
        <w:tc>
          <w:tcPr>
            <w:tcW w:w="775" w:type="dxa"/>
            <w:noWrap/>
            <w:vAlign w:val="center"/>
          </w:tcPr>
          <w:p w14:paraId="26489E7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8940" w:type="dxa"/>
            <w:gridSpan w:val="5"/>
            <w:noWrap/>
            <w:vAlign w:val="center"/>
          </w:tcPr>
          <w:p w14:paraId="3A040B04">
            <w:pPr>
              <w:pStyle w:val="49"/>
              <w:ind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联系电话/传真：</w:t>
            </w:r>
          </w:p>
        </w:tc>
      </w:tr>
      <w:tr w14:paraId="5902E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964" w:hRule="atLeast"/>
          <w:jc w:val="center"/>
        </w:trPr>
        <w:tc>
          <w:tcPr>
            <w:tcW w:w="775" w:type="dxa"/>
            <w:noWrap/>
            <w:vAlign w:val="center"/>
          </w:tcPr>
          <w:p w14:paraId="498E27E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8940" w:type="dxa"/>
            <w:gridSpan w:val="5"/>
            <w:noWrap/>
            <w:vAlign w:val="top"/>
          </w:tcPr>
          <w:p w14:paraId="2ECC6406">
            <w:pPr>
              <w:pStyle w:val="49"/>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从事本项工作时间及工作经历：</w:t>
            </w:r>
          </w:p>
        </w:tc>
      </w:tr>
      <w:tr w14:paraId="4A565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5" w:hRule="atLeast"/>
          <w:jc w:val="center"/>
        </w:trPr>
        <w:tc>
          <w:tcPr>
            <w:tcW w:w="775" w:type="dxa"/>
            <w:noWrap/>
            <w:vAlign w:val="center"/>
          </w:tcPr>
          <w:p w14:paraId="3AB6217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8940" w:type="dxa"/>
            <w:gridSpan w:val="5"/>
            <w:noWrap/>
            <w:vAlign w:val="center"/>
          </w:tcPr>
          <w:p w14:paraId="38FD9905">
            <w:pPr>
              <w:pStyle w:val="49"/>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拥有关于本项服务方面的职称：</w:t>
            </w:r>
          </w:p>
        </w:tc>
      </w:tr>
      <w:tr w14:paraId="11020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41" w:hRule="atLeast"/>
          <w:jc w:val="center"/>
        </w:trPr>
        <w:tc>
          <w:tcPr>
            <w:tcW w:w="775" w:type="dxa"/>
            <w:noWrap/>
            <w:vAlign w:val="center"/>
          </w:tcPr>
          <w:p w14:paraId="09B4359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8940" w:type="dxa"/>
            <w:gridSpan w:val="5"/>
            <w:noWrap/>
            <w:vAlign w:val="center"/>
          </w:tcPr>
          <w:p w14:paraId="09580CE8">
            <w:pPr>
              <w:pStyle w:val="49"/>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曾获得的关于本项服务方面的奖励情况：</w:t>
            </w:r>
          </w:p>
        </w:tc>
      </w:tr>
      <w:tr w14:paraId="24947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708" w:hRule="atLeast"/>
          <w:jc w:val="center"/>
        </w:trPr>
        <w:tc>
          <w:tcPr>
            <w:tcW w:w="775" w:type="dxa"/>
            <w:noWrap/>
            <w:vAlign w:val="center"/>
          </w:tcPr>
          <w:p w14:paraId="0E6A9CC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8940" w:type="dxa"/>
            <w:gridSpan w:val="5"/>
            <w:noWrap/>
            <w:vAlign w:val="top"/>
          </w:tcPr>
          <w:p w14:paraId="6F420AC5">
            <w:pPr>
              <w:pStyle w:val="49"/>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近5年内负责的服务项目：</w:t>
            </w:r>
          </w:p>
        </w:tc>
      </w:tr>
      <w:tr w14:paraId="1A257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07" w:hRule="atLeast"/>
          <w:jc w:val="center"/>
        </w:trPr>
        <w:tc>
          <w:tcPr>
            <w:tcW w:w="775" w:type="dxa"/>
            <w:noWrap/>
            <w:vAlign w:val="center"/>
          </w:tcPr>
          <w:p w14:paraId="2EEE345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8940" w:type="dxa"/>
            <w:gridSpan w:val="5"/>
            <w:noWrap/>
            <w:vAlign w:val="center"/>
          </w:tcPr>
          <w:p w14:paraId="3B971587">
            <w:pPr>
              <w:pStyle w:val="49"/>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其他需要说明的情况</w:t>
            </w:r>
          </w:p>
        </w:tc>
      </w:tr>
    </w:tbl>
    <w:p w14:paraId="486FEECD">
      <w:pPr>
        <w:spacing w:line="360" w:lineRule="auto"/>
        <w:ind w:firstLine="3120"/>
        <w:outlineLvl w:val="9"/>
        <w:rPr>
          <w:rFonts w:hint="eastAsia" w:ascii="宋体" w:hAnsi="宋体" w:eastAsia="宋体" w:cs="宋体"/>
          <w:b/>
          <w:bCs/>
          <w:color w:val="auto"/>
          <w:sz w:val="24"/>
          <w:highlight w:val="none"/>
        </w:rPr>
      </w:pPr>
    </w:p>
    <w:p w14:paraId="4830F0CC">
      <w:pPr>
        <w:spacing w:line="360" w:lineRule="auto"/>
        <w:ind w:firstLine="3600"/>
        <w:outlineLvl w:val="9"/>
        <w:rPr>
          <w:rFonts w:hint="eastAsia" w:ascii="宋体" w:hAnsi="宋体" w:eastAsia="宋体" w:cs="宋体"/>
          <w:bCs/>
          <w:color w:val="auto"/>
          <w:szCs w:val="21"/>
          <w:highlight w:val="none"/>
        </w:rPr>
      </w:pPr>
      <w:r>
        <w:rPr>
          <w:rFonts w:hint="eastAsia" w:ascii="宋体" w:hAnsi="宋体" w:eastAsia="宋体" w:cs="宋体"/>
          <w:b/>
          <w:bCs/>
          <w:color w:val="auto"/>
          <w:sz w:val="24"/>
          <w:highlight w:val="none"/>
        </w:rPr>
        <w:t>法定代表人或法定代表人授权代表签字或盖章：</w:t>
      </w:r>
    </w:p>
    <w:p w14:paraId="15DC15FC">
      <w:pPr>
        <w:spacing w:line="360" w:lineRule="auto"/>
        <w:ind w:firstLine="240"/>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注：请附相关</w:t>
      </w:r>
      <w:r>
        <w:rPr>
          <w:rFonts w:hint="eastAsia" w:ascii="宋体" w:hAnsi="宋体" w:cs="宋体"/>
          <w:bCs/>
          <w:color w:val="auto"/>
          <w:sz w:val="24"/>
          <w:highlight w:val="none"/>
          <w:lang w:val="en-US" w:eastAsia="zh-CN"/>
        </w:rPr>
        <w:t>证明材料</w:t>
      </w:r>
      <w:r>
        <w:rPr>
          <w:rFonts w:hint="eastAsia" w:ascii="宋体" w:hAnsi="宋体" w:eastAsia="宋体" w:cs="宋体"/>
          <w:bCs/>
          <w:color w:val="auto"/>
          <w:sz w:val="24"/>
          <w:highlight w:val="none"/>
        </w:rPr>
        <w:t>扫描件。</w:t>
      </w:r>
    </w:p>
    <w:p w14:paraId="704B2BBF">
      <w:pPr>
        <w:numPr>
          <w:ilvl w:val="0"/>
          <w:numId w:val="0"/>
        </w:numPr>
        <w:spacing w:line="460" w:lineRule="exact"/>
        <w:jc w:val="left"/>
        <w:rPr>
          <w:rFonts w:hint="eastAsia" w:ascii="宋体" w:hAnsi="宋体" w:eastAsia="宋体" w:cs="宋体"/>
          <w:bCs/>
          <w:color w:val="auto"/>
          <w:szCs w:val="21"/>
          <w:highlight w:val="none"/>
          <w:lang w:eastAsia="zh-CN"/>
        </w:rPr>
      </w:pPr>
    </w:p>
    <w:p w14:paraId="381B9F0C">
      <w:pPr>
        <w:numPr>
          <w:ilvl w:val="0"/>
          <w:numId w:val="0"/>
        </w:numPr>
        <w:spacing w:line="460" w:lineRule="exact"/>
        <w:jc w:val="left"/>
        <w:rPr>
          <w:rFonts w:hint="eastAsia" w:ascii="宋体" w:hAnsi="宋体" w:eastAsia="宋体" w:cs="宋体"/>
          <w:bCs/>
          <w:color w:val="auto"/>
          <w:szCs w:val="21"/>
          <w:highlight w:val="none"/>
          <w:lang w:eastAsia="zh-CN"/>
        </w:rPr>
      </w:pPr>
    </w:p>
    <w:p w14:paraId="0F5662AA">
      <w:pPr>
        <w:numPr>
          <w:ilvl w:val="0"/>
          <w:numId w:val="0"/>
        </w:numPr>
        <w:spacing w:line="460" w:lineRule="exact"/>
        <w:jc w:val="left"/>
        <w:rPr>
          <w:rFonts w:hint="eastAsia" w:ascii="宋体" w:hAnsi="宋体" w:eastAsia="宋体" w:cs="宋体"/>
          <w:bCs/>
          <w:color w:val="auto"/>
          <w:szCs w:val="21"/>
          <w:highlight w:val="none"/>
          <w:lang w:eastAsia="zh-CN"/>
        </w:rPr>
      </w:pPr>
    </w:p>
    <w:p w14:paraId="7D63FFD3">
      <w:pPr>
        <w:numPr>
          <w:ilvl w:val="0"/>
          <w:numId w:val="0"/>
        </w:numPr>
        <w:spacing w:line="460" w:lineRule="exact"/>
        <w:jc w:val="left"/>
        <w:rPr>
          <w:rFonts w:hint="eastAsia" w:ascii="宋体" w:hAnsi="宋体" w:eastAsia="宋体" w:cs="宋体"/>
          <w:bCs/>
          <w:color w:val="auto"/>
          <w:szCs w:val="21"/>
          <w:highlight w:val="none"/>
          <w:lang w:eastAsia="zh-CN"/>
        </w:rPr>
      </w:pPr>
    </w:p>
    <w:p w14:paraId="633DA8D4">
      <w:pPr>
        <w:numPr>
          <w:ilvl w:val="0"/>
          <w:numId w:val="0"/>
        </w:numPr>
        <w:spacing w:line="460" w:lineRule="exact"/>
        <w:jc w:val="left"/>
        <w:rPr>
          <w:rFonts w:hint="eastAsia" w:ascii="宋体" w:hAnsi="宋体" w:eastAsia="宋体" w:cs="宋体"/>
          <w:bCs/>
          <w:color w:val="auto"/>
          <w:szCs w:val="21"/>
          <w:highlight w:val="none"/>
          <w:lang w:eastAsia="zh-CN"/>
        </w:rPr>
      </w:pPr>
    </w:p>
    <w:p w14:paraId="5837436B">
      <w:pPr>
        <w:numPr>
          <w:ilvl w:val="0"/>
          <w:numId w:val="0"/>
        </w:numPr>
        <w:spacing w:line="460" w:lineRule="exact"/>
        <w:jc w:val="left"/>
        <w:rPr>
          <w:rFonts w:hint="eastAsia" w:ascii="宋体" w:hAnsi="宋体" w:eastAsia="宋体" w:cs="宋体"/>
          <w:bCs/>
          <w:color w:val="auto"/>
          <w:szCs w:val="21"/>
          <w:highlight w:val="none"/>
          <w:lang w:eastAsia="zh-CN"/>
        </w:rPr>
      </w:pPr>
    </w:p>
    <w:p w14:paraId="205F1153">
      <w:pPr>
        <w:numPr>
          <w:ilvl w:val="0"/>
          <w:numId w:val="0"/>
        </w:numPr>
        <w:spacing w:line="460" w:lineRule="exact"/>
        <w:jc w:val="left"/>
        <w:rPr>
          <w:rFonts w:hint="eastAsia" w:ascii="宋体" w:hAnsi="宋体" w:eastAsia="宋体" w:cs="宋体"/>
          <w:bCs/>
          <w:color w:val="auto"/>
          <w:szCs w:val="21"/>
          <w:highlight w:val="none"/>
          <w:lang w:eastAsia="zh-CN"/>
        </w:rPr>
      </w:pPr>
    </w:p>
    <w:p w14:paraId="7A587FE8">
      <w:pPr>
        <w:numPr>
          <w:ilvl w:val="0"/>
          <w:numId w:val="0"/>
        </w:numPr>
        <w:spacing w:line="460" w:lineRule="exact"/>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Cs w:val="21"/>
          <w:highlight w:val="none"/>
          <w:lang w:eastAsia="zh-CN"/>
        </w:rPr>
        <w:t>（</w:t>
      </w:r>
      <w:r>
        <w:rPr>
          <w:rFonts w:hint="eastAsia" w:ascii="宋体" w:hAnsi="宋体" w:eastAsia="宋体" w:cs="宋体"/>
          <w:bCs/>
          <w:color w:val="auto"/>
          <w:szCs w:val="21"/>
          <w:highlight w:val="none"/>
          <w:lang w:val="en-US" w:eastAsia="zh-CN"/>
        </w:rPr>
        <w:t>十</w:t>
      </w:r>
      <w:r>
        <w:rPr>
          <w:rFonts w:hint="eastAsia" w:ascii="宋体" w:hAnsi="宋体" w:cs="宋体"/>
          <w:bCs/>
          <w:color w:val="auto"/>
          <w:szCs w:val="21"/>
          <w:highlight w:val="none"/>
          <w:lang w:val="en-US" w:eastAsia="zh-CN"/>
        </w:rPr>
        <w:t>三</w:t>
      </w:r>
      <w:r>
        <w:rPr>
          <w:rFonts w:hint="eastAsia" w:ascii="宋体" w:hAnsi="宋体" w:eastAsia="宋体" w:cs="宋体"/>
          <w:bCs/>
          <w:color w:val="auto"/>
          <w:szCs w:val="21"/>
          <w:highlight w:val="none"/>
          <w:lang w:eastAsia="zh-CN"/>
        </w:rPr>
        <w:t>）</w:t>
      </w:r>
      <w:r>
        <w:rPr>
          <w:rFonts w:hint="eastAsia" w:ascii="宋体" w:hAnsi="宋体" w:eastAsia="宋体" w:cs="宋体"/>
          <w:bCs/>
          <w:color w:val="auto"/>
          <w:sz w:val="24"/>
          <w:szCs w:val="24"/>
          <w:highlight w:val="none"/>
          <w:lang w:eastAsia="zh-CN"/>
        </w:rPr>
        <w:t>主要器具设备表（</w:t>
      </w:r>
      <w:r>
        <w:rPr>
          <w:rFonts w:hint="eastAsia" w:ascii="宋体" w:hAnsi="宋体" w:eastAsia="宋体" w:cs="宋体"/>
          <w:bCs/>
          <w:color w:val="auto"/>
          <w:sz w:val="24"/>
          <w:szCs w:val="24"/>
          <w:highlight w:val="none"/>
          <w:lang w:val="en-US" w:eastAsia="zh-CN"/>
        </w:rPr>
        <w:t>格式</w:t>
      </w:r>
      <w:r>
        <w:rPr>
          <w:rFonts w:hint="eastAsia" w:ascii="宋体" w:hAnsi="宋体" w:eastAsia="宋体" w:cs="宋体"/>
          <w:bCs/>
          <w:color w:val="auto"/>
          <w:sz w:val="24"/>
          <w:szCs w:val="24"/>
          <w:highlight w:val="none"/>
          <w:lang w:eastAsia="zh-CN"/>
        </w:rPr>
        <w:t>）</w:t>
      </w:r>
    </w:p>
    <w:p w14:paraId="615255BB">
      <w:pPr>
        <w:numPr>
          <w:ilvl w:val="0"/>
          <w:numId w:val="0"/>
        </w:numPr>
        <w:spacing w:line="460" w:lineRule="exact"/>
        <w:jc w:val="left"/>
        <w:rPr>
          <w:rFonts w:hint="eastAsia" w:ascii="宋体" w:hAnsi="宋体" w:eastAsia="宋体" w:cs="宋体"/>
          <w:bCs/>
          <w:color w:val="auto"/>
          <w:sz w:val="24"/>
          <w:szCs w:val="24"/>
          <w:highlight w:val="none"/>
          <w:lang w:eastAsia="zh-CN"/>
        </w:rPr>
      </w:pPr>
    </w:p>
    <w:p w14:paraId="3A6D72EB">
      <w:pPr>
        <w:jc w:val="center"/>
        <w:outlineLvl w:val="9"/>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eastAsia="zh-CN"/>
        </w:rPr>
        <w:t>主要器具设备表</w:t>
      </w:r>
    </w:p>
    <w:p w14:paraId="1C9FF2C2">
      <w:pPr>
        <w:rPr>
          <w:rFonts w:hint="eastAsia" w:ascii="宋体" w:hAnsi="宋体" w:eastAsia="宋体" w:cs="宋体"/>
          <w:color w:val="auto"/>
          <w:sz w:val="24"/>
          <w:highlight w:val="none"/>
        </w:rPr>
      </w:pPr>
    </w:p>
    <w:p w14:paraId="13816116">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                              </w:t>
      </w:r>
      <w:r>
        <w:rPr>
          <w:rFonts w:hint="eastAsia" w:ascii="宋体" w:hAnsi="宋体" w:eastAsia="宋体" w:cs="宋体"/>
          <w:color w:val="auto"/>
          <w:sz w:val="24"/>
          <w:highlight w:val="none"/>
          <w:lang w:val="en-US" w:eastAsia="zh-CN"/>
        </w:rPr>
        <w:t>项目</w:t>
      </w:r>
      <w:r>
        <w:rPr>
          <w:rFonts w:hint="eastAsia" w:ascii="宋体" w:hAnsi="宋体" w:eastAsia="宋体" w:cs="宋体"/>
          <w:color w:val="auto"/>
          <w:sz w:val="24"/>
          <w:highlight w:val="none"/>
        </w:rPr>
        <w:t xml:space="preserve">编号： </w:t>
      </w:r>
    </w:p>
    <w:p w14:paraId="34831B77">
      <w:pPr>
        <w:rPr>
          <w:rFonts w:hint="eastAsia" w:ascii="宋体" w:hAnsi="宋体" w:eastAsia="宋体" w:cs="宋体"/>
          <w:color w:val="auto"/>
          <w:highlight w:val="none"/>
        </w:rPr>
      </w:pPr>
    </w:p>
    <w:tbl>
      <w:tblPr>
        <w:tblStyle w:val="3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3"/>
        <w:gridCol w:w="2851"/>
        <w:gridCol w:w="2299"/>
        <w:gridCol w:w="2628"/>
        <w:gridCol w:w="1089"/>
      </w:tblGrid>
      <w:tr w14:paraId="1B6D8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exact"/>
        </w:trPr>
        <w:tc>
          <w:tcPr>
            <w:tcW w:w="544" w:type="pct"/>
            <w:noWrap w:val="0"/>
            <w:vAlign w:val="center"/>
          </w:tcPr>
          <w:p w14:paraId="0A564C66">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1432" w:type="pct"/>
            <w:noWrap w:val="0"/>
            <w:vAlign w:val="center"/>
          </w:tcPr>
          <w:p w14:paraId="795F0FE2">
            <w:pPr>
              <w:jc w:val="center"/>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船只</w:t>
            </w:r>
            <w:r>
              <w:rPr>
                <w:rFonts w:hint="eastAsia" w:ascii="宋体" w:hAnsi="宋体" w:eastAsia="宋体" w:cs="宋体"/>
                <w:b/>
                <w:bCs/>
                <w:color w:val="auto"/>
                <w:sz w:val="24"/>
                <w:highlight w:val="none"/>
              </w:rPr>
              <w:t>/设备名称</w:t>
            </w:r>
          </w:p>
        </w:tc>
        <w:tc>
          <w:tcPr>
            <w:tcW w:w="1155" w:type="pct"/>
            <w:noWrap w:val="0"/>
            <w:vAlign w:val="center"/>
          </w:tcPr>
          <w:p w14:paraId="0C960823">
            <w:pPr>
              <w:spacing w:line="360" w:lineRule="auto"/>
              <w:jc w:val="center"/>
              <w:outlineLvl w:val="9"/>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自有或租赁</w:t>
            </w:r>
          </w:p>
        </w:tc>
        <w:tc>
          <w:tcPr>
            <w:tcW w:w="1320" w:type="pct"/>
            <w:noWrap w:val="0"/>
            <w:vAlign w:val="center"/>
          </w:tcPr>
          <w:p w14:paraId="5B382A61">
            <w:pPr>
              <w:spacing w:line="360" w:lineRule="auto"/>
              <w:jc w:val="center"/>
              <w:outlineLvl w:val="9"/>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购入年份或租赁期限</w:t>
            </w:r>
          </w:p>
        </w:tc>
        <w:tc>
          <w:tcPr>
            <w:tcW w:w="547" w:type="pct"/>
            <w:noWrap w:val="0"/>
            <w:vAlign w:val="center"/>
          </w:tcPr>
          <w:p w14:paraId="253E2927">
            <w:pPr>
              <w:spacing w:line="360" w:lineRule="auto"/>
              <w:jc w:val="center"/>
              <w:outlineLvl w:val="9"/>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备注</w:t>
            </w:r>
          </w:p>
        </w:tc>
      </w:tr>
      <w:tr w14:paraId="2FA33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4" w:type="pct"/>
            <w:noWrap w:val="0"/>
            <w:vAlign w:val="center"/>
          </w:tcPr>
          <w:p w14:paraId="68CA30E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432" w:type="pct"/>
            <w:noWrap w:val="0"/>
            <w:vAlign w:val="center"/>
          </w:tcPr>
          <w:p w14:paraId="36FDDFA7">
            <w:pPr>
              <w:jc w:val="center"/>
              <w:rPr>
                <w:rFonts w:hint="eastAsia" w:ascii="宋体" w:hAnsi="宋体" w:eastAsia="宋体" w:cs="宋体"/>
                <w:color w:val="auto"/>
                <w:sz w:val="24"/>
                <w:highlight w:val="none"/>
              </w:rPr>
            </w:pPr>
          </w:p>
        </w:tc>
        <w:tc>
          <w:tcPr>
            <w:tcW w:w="1155" w:type="pct"/>
            <w:noWrap w:val="0"/>
            <w:vAlign w:val="center"/>
          </w:tcPr>
          <w:p w14:paraId="78471647">
            <w:pPr>
              <w:jc w:val="center"/>
              <w:rPr>
                <w:rFonts w:hint="eastAsia" w:ascii="宋体" w:hAnsi="宋体" w:eastAsia="宋体" w:cs="宋体"/>
                <w:color w:val="auto"/>
                <w:sz w:val="24"/>
                <w:highlight w:val="none"/>
              </w:rPr>
            </w:pPr>
          </w:p>
        </w:tc>
        <w:tc>
          <w:tcPr>
            <w:tcW w:w="1320" w:type="pct"/>
            <w:noWrap w:val="0"/>
            <w:vAlign w:val="center"/>
          </w:tcPr>
          <w:p w14:paraId="29E1733B">
            <w:pPr>
              <w:jc w:val="center"/>
              <w:rPr>
                <w:rFonts w:hint="eastAsia" w:ascii="宋体" w:hAnsi="宋体" w:eastAsia="宋体" w:cs="宋体"/>
                <w:color w:val="auto"/>
                <w:sz w:val="24"/>
                <w:highlight w:val="none"/>
              </w:rPr>
            </w:pPr>
          </w:p>
        </w:tc>
        <w:tc>
          <w:tcPr>
            <w:tcW w:w="547" w:type="pct"/>
            <w:noWrap w:val="0"/>
            <w:vAlign w:val="center"/>
          </w:tcPr>
          <w:p w14:paraId="156CFA31">
            <w:pPr>
              <w:jc w:val="center"/>
              <w:rPr>
                <w:rFonts w:hint="eastAsia" w:ascii="宋体" w:hAnsi="宋体" w:eastAsia="宋体" w:cs="宋体"/>
                <w:color w:val="auto"/>
                <w:sz w:val="24"/>
                <w:highlight w:val="none"/>
              </w:rPr>
            </w:pPr>
          </w:p>
        </w:tc>
      </w:tr>
      <w:tr w14:paraId="341F9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4" w:type="pct"/>
            <w:noWrap w:val="0"/>
            <w:vAlign w:val="center"/>
          </w:tcPr>
          <w:p w14:paraId="1931CF7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432" w:type="pct"/>
            <w:noWrap w:val="0"/>
            <w:vAlign w:val="center"/>
          </w:tcPr>
          <w:p w14:paraId="6741320F">
            <w:pPr>
              <w:jc w:val="center"/>
              <w:rPr>
                <w:rFonts w:hint="eastAsia" w:ascii="宋体" w:hAnsi="宋体" w:eastAsia="宋体" w:cs="宋体"/>
                <w:color w:val="auto"/>
                <w:sz w:val="24"/>
                <w:highlight w:val="none"/>
              </w:rPr>
            </w:pPr>
          </w:p>
        </w:tc>
        <w:tc>
          <w:tcPr>
            <w:tcW w:w="1155" w:type="pct"/>
            <w:noWrap w:val="0"/>
            <w:vAlign w:val="center"/>
          </w:tcPr>
          <w:p w14:paraId="75663D1D">
            <w:pPr>
              <w:jc w:val="center"/>
              <w:rPr>
                <w:rFonts w:hint="eastAsia" w:ascii="宋体" w:hAnsi="宋体" w:eastAsia="宋体" w:cs="宋体"/>
                <w:color w:val="auto"/>
                <w:sz w:val="24"/>
                <w:highlight w:val="none"/>
              </w:rPr>
            </w:pPr>
          </w:p>
        </w:tc>
        <w:tc>
          <w:tcPr>
            <w:tcW w:w="1320" w:type="pct"/>
            <w:noWrap w:val="0"/>
            <w:vAlign w:val="center"/>
          </w:tcPr>
          <w:p w14:paraId="226DE706">
            <w:pPr>
              <w:jc w:val="center"/>
              <w:rPr>
                <w:rFonts w:hint="eastAsia" w:ascii="宋体" w:hAnsi="宋体" w:eastAsia="宋体" w:cs="宋体"/>
                <w:color w:val="auto"/>
                <w:sz w:val="24"/>
                <w:highlight w:val="none"/>
              </w:rPr>
            </w:pPr>
          </w:p>
        </w:tc>
        <w:tc>
          <w:tcPr>
            <w:tcW w:w="547" w:type="pct"/>
            <w:noWrap w:val="0"/>
            <w:vAlign w:val="center"/>
          </w:tcPr>
          <w:p w14:paraId="0433028E">
            <w:pPr>
              <w:jc w:val="center"/>
              <w:rPr>
                <w:rFonts w:hint="eastAsia" w:ascii="宋体" w:hAnsi="宋体" w:eastAsia="宋体" w:cs="宋体"/>
                <w:color w:val="auto"/>
                <w:sz w:val="24"/>
                <w:highlight w:val="none"/>
              </w:rPr>
            </w:pPr>
          </w:p>
        </w:tc>
      </w:tr>
      <w:tr w14:paraId="6826F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4" w:type="pct"/>
            <w:noWrap w:val="0"/>
            <w:vAlign w:val="center"/>
          </w:tcPr>
          <w:p w14:paraId="1BB2E5C9">
            <w:pPr>
              <w:ind w:firstLine="376"/>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432" w:type="pct"/>
            <w:noWrap w:val="0"/>
            <w:vAlign w:val="center"/>
          </w:tcPr>
          <w:p w14:paraId="28B3D8D8">
            <w:pPr>
              <w:jc w:val="center"/>
              <w:rPr>
                <w:rFonts w:hint="eastAsia" w:ascii="宋体" w:hAnsi="宋体" w:eastAsia="宋体" w:cs="宋体"/>
                <w:color w:val="auto"/>
                <w:sz w:val="24"/>
                <w:highlight w:val="none"/>
              </w:rPr>
            </w:pPr>
          </w:p>
        </w:tc>
        <w:tc>
          <w:tcPr>
            <w:tcW w:w="1155" w:type="pct"/>
            <w:noWrap w:val="0"/>
            <w:vAlign w:val="center"/>
          </w:tcPr>
          <w:p w14:paraId="4963D5F4">
            <w:pPr>
              <w:jc w:val="center"/>
              <w:rPr>
                <w:rFonts w:hint="eastAsia" w:ascii="宋体" w:hAnsi="宋体" w:eastAsia="宋体" w:cs="宋体"/>
                <w:color w:val="auto"/>
                <w:sz w:val="24"/>
                <w:highlight w:val="none"/>
              </w:rPr>
            </w:pPr>
          </w:p>
        </w:tc>
        <w:tc>
          <w:tcPr>
            <w:tcW w:w="1320" w:type="pct"/>
            <w:noWrap w:val="0"/>
            <w:vAlign w:val="center"/>
          </w:tcPr>
          <w:p w14:paraId="3AB5A03B">
            <w:pPr>
              <w:jc w:val="center"/>
              <w:rPr>
                <w:rFonts w:hint="eastAsia" w:ascii="宋体" w:hAnsi="宋体" w:eastAsia="宋体" w:cs="宋体"/>
                <w:color w:val="auto"/>
                <w:sz w:val="24"/>
                <w:highlight w:val="none"/>
              </w:rPr>
            </w:pPr>
          </w:p>
        </w:tc>
        <w:tc>
          <w:tcPr>
            <w:tcW w:w="547" w:type="pct"/>
            <w:noWrap w:val="0"/>
            <w:vAlign w:val="center"/>
          </w:tcPr>
          <w:p w14:paraId="62EA09B1">
            <w:pPr>
              <w:jc w:val="center"/>
              <w:rPr>
                <w:rFonts w:hint="eastAsia" w:ascii="宋体" w:hAnsi="宋体" w:eastAsia="宋体" w:cs="宋体"/>
                <w:color w:val="auto"/>
                <w:sz w:val="24"/>
                <w:highlight w:val="none"/>
              </w:rPr>
            </w:pPr>
          </w:p>
        </w:tc>
      </w:tr>
      <w:tr w14:paraId="4234B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4" w:type="pct"/>
            <w:noWrap w:val="0"/>
            <w:vAlign w:val="center"/>
          </w:tcPr>
          <w:p w14:paraId="7FCBED0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432" w:type="pct"/>
            <w:noWrap w:val="0"/>
            <w:vAlign w:val="center"/>
          </w:tcPr>
          <w:p w14:paraId="0AD804DF">
            <w:pPr>
              <w:jc w:val="center"/>
              <w:rPr>
                <w:rFonts w:hint="eastAsia" w:ascii="宋体" w:hAnsi="宋体" w:eastAsia="宋体" w:cs="宋体"/>
                <w:color w:val="auto"/>
                <w:sz w:val="24"/>
                <w:highlight w:val="none"/>
              </w:rPr>
            </w:pPr>
          </w:p>
        </w:tc>
        <w:tc>
          <w:tcPr>
            <w:tcW w:w="1155" w:type="pct"/>
            <w:noWrap w:val="0"/>
            <w:vAlign w:val="center"/>
          </w:tcPr>
          <w:p w14:paraId="02D49D74">
            <w:pPr>
              <w:jc w:val="center"/>
              <w:rPr>
                <w:rFonts w:hint="eastAsia" w:ascii="宋体" w:hAnsi="宋体" w:eastAsia="宋体" w:cs="宋体"/>
                <w:color w:val="auto"/>
                <w:sz w:val="24"/>
                <w:highlight w:val="none"/>
              </w:rPr>
            </w:pPr>
          </w:p>
        </w:tc>
        <w:tc>
          <w:tcPr>
            <w:tcW w:w="1320" w:type="pct"/>
            <w:noWrap w:val="0"/>
            <w:vAlign w:val="center"/>
          </w:tcPr>
          <w:p w14:paraId="7E4C0672">
            <w:pPr>
              <w:jc w:val="center"/>
              <w:rPr>
                <w:rFonts w:hint="eastAsia" w:ascii="宋体" w:hAnsi="宋体" w:eastAsia="宋体" w:cs="宋体"/>
                <w:color w:val="auto"/>
                <w:sz w:val="24"/>
                <w:highlight w:val="none"/>
              </w:rPr>
            </w:pPr>
          </w:p>
        </w:tc>
        <w:tc>
          <w:tcPr>
            <w:tcW w:w="547" w:type="pct"/>
            <w:noWrap w:val="0"/>
            <w:vAlign w:val="center"/>
          </w:tcPr>
          <w:p w14:paraId="5FC51F91">
            <w:pPr>
              <w:jc w:val="center"/>
              <w:rPr>
                <w:rFonts w:hint="eastAsia" w:ascii="宋体" w:hAnsi="宋体" w:eastAsia="宋体" w:cs="宋体"/>
                <w:color w:val="auto"/>
                <w:sz w:val="24"/>
                <w:highlight w:val="none"/>
              </w:rPr>
            </w:pPr>
          </w:p>
        </w:tc>
      </w:tr>
      <w:tr w14:paraId="1C7E1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4" w:type="pct"/>
            <w:noWrap w:val="0"/>
            <w:vAlign w:val="center"/>
          </w:tcPr>
          <w:p w14:paraId="67B4DAB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432" w:type="pct"/>
            <w:noWrap w:val="0"/>
            <w:vAlign w:val="center"/>
          </w:tcPr>
          <w:p w14:paraId="1FAE7B96">
            <w:pPr>
              <w:jc w:val="center"/>
              <w:rPr>
                <w:rFonts w:hint="eastAsia" w:ascii="宋体" w:hAnsi="宋体" w:eastAsia="宋体" w:cs="宋体"/>
                <w:color w:val="auto"/>
                <w:sz w:val="24"/>
                <w:highlight w:val="none"/>
              </w:rPr>
            </w:pPr>
          </w:p>
        </w:tc>
        <w:tc>
          <w:tcPr>
            <w:tcW w:w="1155" w:type="pct"/>
            <w:noWrap w:val="0"/>
            <w:vAlign w:val="center"/>
          </w:tcPr>
          <w:p w14:paraId="245BB421">
            <w:pPr>
              <w:jc w:val="center"/>
              <w:rPr>
                <w:rFonts w:hint="eastAsia" w:ascii="宋体" w:hAnsi="宋体" w:eastAsia="宋体" w:cs="宋体"/>
                <w:color w:val="auto"/>
                <w:sz w:val="24"/>
                <w:highlight w:val="none"/>
              </w:rPr>
            </w:pPr>
          </w:p>
        </w:tc>
        <w:tc>
          <w:tcPr>
            <w:tcW w:w="1320" w:type="pct"/>
            <w:noWrap w:val="0"/>
            <w:vAlign w:val="center"/>
          </w:tcPr>
          <w:p w14:paraId="5B503F9E">
            <w:pPr>
              <w:jc w:val="center"/>
              <w:rPr>
                <w:rFonts w:hint="eastAsia" w:ascii="宋体" w:hAnsi="宋体" w:eastAsia="宋体" w:cs="宋体"/>
                <w:color w:val="auto"/>
                <w:sz w:val="24"/>
                <w:highlight w:val="none"/>
              </w:rPr>
            </w:pPr>
          </w:p>
        </w:tc>
        <w:tc>
          <w:tcPr>
            <w:tcW w:w="547" w:type="pct"/>
            <w:noWrap w:val="0"/>
            <w:vAlign w:val="center"/>
          </w:tcPr>
          <w:p w14:paraId="304A1AC5">
            <w:pPr>
              <w:jc w:val="center"/>
              <w:rPr>
                <w:rFonts w:hint="eastAsia" w:ascii="宋体" w:hAnsi="宋体" w:eastAsia="宋体" w:cs="宋体"/>
                <w:color w:val="auto"/>
                <w:sz w:val="24"/>
                <w:highlight w:val="none"/>
              </w:rPr>
            </w:pPr>
          </w:p>
        </w:tc>
      </w:tr>
      <w:tr w14:paraId="24322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4" w:type="pct"/>
            <w:noWrap w:val="0"/>
            <w:vAlign w:val="center"/>
          </w:tcPr>
          <w:p w14:paraId="55977685">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1432" w:type="pct"/>
            <w:noWrap w:val="0"/>
            <w:vAlign w:val="center"/>
          </w:tcPr>
          <w:p w14:paraId="3310D816">
            <w:pPr>
              <w:jc w:val="center"/>
              <w:rPr>
                <w:rFonts w:hint="eastAsia" w:ascii="宋体" w:hAnsi="宋体" w:eastAsia="宋体" w:cs="宋体"/>
                <w:color w:val="auto"/>
                <w:sz w:val="24"/>
                <w:highlight w:val="none"/>
              </w:rPr>
            </w:pPr>
          </w:p>
        </w:tc>
        <w:tc>
          <w:tcPr>
            <w:tcW w:w="1155" w:type="pct"/>
            <w:noWrap w:val="0"/>
            <w:vAlign w:val="center"/>
          </w:tcPr>
          <w:p w14:paraId="09B28E6A">
            <w:pPr>
              <w:jc w:val="center"/>
              <w:rPr>
                <w:rFonts w:hint="eastAsia" w:ascii="宋体" w:hAnsi="宋体" w:eastAsia="宋体" w:cs="宋体"/>
                <w:color w:val="auto"/>
                <w:sz w:val="24"/>
                <w:highlight w:val="none"/>
              </w:rPr>
            </w:pPr>
          </w:p>
        </w:tc>
        <w:tc>
          <w:tcPr>
            <w:tcW w:w="1320" w:type="pct"/>
            <w:noWrap w:val="0"/>
            <w:vAlign w:val="center"/>
          </w:tcPr>
          <w:p w14:paraId="57B44FE6">
            <w:pPr>
              <w:jc w:val="center"/>
              <w:rPr>
                <w:rFonts w:hint="eastAsia" w:ascii="宋体" w:hAnsi="宋体" w:eastAsia="宋体" w:cs="宋体"/>
                <w:color w:val="auto"/>
                <w:sz w:val="24"/>
                <w:highlight w:val="none"/>
              </w:rPr>
            </w:pPr>
          </w:p>
        </w:tc>
        <w:tc>
          <w:tcPr>
            <w:tcW w:w="547" w:type="pct"/>
            <w:noWrap w:val="0"/>
            <w:vAlign w:val="center"/>
          </w:tcPr>
          <w:p w14:paraId="6C150B25">
            <w:pPr>
              <w:jc w:val="center"/>
              <w:rPr>
                <w:rFonts w:hint="eastAsia" w:ascii="宋体" w:hAnsi="宋体" w:eastAsia="宋体" w:cs="宋体"/>
                <w:color w:val="auto"/>
                <w:sz w:val="24"/>
                <w:highlight w:val="none"/>
              </w:rPr>
            </w:pPr>
          </w:p>
        </w:tc>
      </w:tr>
      <w:tr w14:paraId="2AFB9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4" w:type="pct"/>
            <w:noWrap w:val="0"/>
            <w:vAlign w:val="center"/>
          </w:tcPr>
          <w:p w14:paraId="4A8A843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1432" w:type="pct"/>
            <w:noWrap w:val="0"/>
            <w:vAlign w:val="center"/>
          </w:tcPr>
          <w:p w14:paraId="1AB52937">
            <w:pPr>
              <w:jc w:val="center"/>
              <w:rPr>
                <w:rFonts w:hint="eastAsia" w:ascii="宋体" w:hAnsi="宋体" w:eastAsia="宋体" w:cs="宋体"/>
                <w:color w:val="auto"/>
                <w:sz w:val="24"/>
                <w:highlight w:val="none"/>
              </w:rPr>
            </w:pPr>
          </w:p>
        </w:tc>
        <w:tc>
          <w:tcPr>
            <w:tcW w:w="1155" w:type="pct"/>
            <w:noWrap w:val="0"/>
            <w:vAlign w:val="center"/>
          </w:tcPr>
          <w:p w14:paraId="09862670">
            <w:pPr>
              <w:jc w:val="center"/>
              <w:rPr>
                <w:rFonts w:hint="eastAsia" w:ascii="宋体" w:hAnsi="宋体" w:eastAsia="宋体" w:cs="宋体"/>
                <w:color w:val="auto"/>
                <w:sz w:val="24"/>
                <w:highlight w:val="none"/>
              </w:rPr>
            </w:pPr>
          </w:p>
        </w:tc>
        <w:tc>
          <w:tcPr>
            <w:tcW w:w="1320" w:type="pct"/>
            <w:noWrap w:val="0"/>
            <w:vAlign w:val="center"/>
          </w:tcPr>
          <w:p w14:paraId="517EDFC1">
            <w:pPr>
              <w:jc w:val="center"/>
              <w:rPr>
                <w:rFonts w:hint="eastAsia" w:ascii="宋体" w:hAnsi="宋体" w:eastAsia="宋体" w:cs="宋体"/>
                <w:color w:val="auto"/>
                <w:sz w:val="24"/>
                <w:highlight w:val="none"/>
              </w:rPr>
            </w:pPr>
          </w:p>
        </w:tc>
        <w:tc>
          <w:tcPr>
            <w:tcW w:w="547" w:type="pct"/>
            <w:noWrap w:val="0"/>
            <w:vAlign w:val="center"/>
          </w:tcPr>
          <w:p w14:paraId="74E1B11E">
            <w:pPr>
              <w:jc w:val="center"/>
              <w:rPr>
                <w:rFonts w:hint="eastAsia" w:ascii="宋体" w:hAnsi="宋体" w:eastAsia="宋体" w:cs="宋体"/>
                <w:color w:val="auto"/>
                <w:sz w:val="24"/>
                <w:highlight w:val="none"/>
              </w:rPr>
            </w:pPr>
          </w:p>
        </w:tc>
      </w:tr>
      <w:tr w14:paraId="693BF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4" w:type="pct"/>
            <w:noWrap w:val="0"/>
            <w:vAlign w:val="center"/>
          </w:tcPr>
          <w:p w14:paraId="208CDB5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1432" w:type="pct"/>
            <w:noWrap w:val="0"/>
            <w:vAlign w:val="center"/>
          </w:tcPr>
          <w:p w14:paraId="34D5C15C">
            <w:pPr>
              <w:jc w:val="center"/>
              <w:rPr>
                <w:rFonts w:hint="eastAsia" w:ascii="宋体" w:hAnsi="宋体" w:eastAsia="宋体" w:cs="宋体"/>
                <w:color w:val="auto"/>
                <w:sz w:val="24"/>
                <w:highlight w:val="none"/>
              </w:rPr>
            </w:pPr>
          </w:p>
        </w:tc>
        <w:tc>
          <w:tcPr>
            <w:tcW w:w="1155" w:type="pct"/>
            <w:noWrap w:val="0"/>
            <w:vAlign w:val="center"/>
          </w:tcPr>
          <w:p w14:paraId="5241BCFC">
            <w:pPr>
              <w:jc w:val="center"/>
              <w:rPr>
                <w:rFonts w:hint="eastAsia" w:ascii="宋体" w:hAnsi="宋体" w:eastAsia="宋体" w:cs="宋体"/>
                <w:color w:val="auto"/>
                <w:sz w:val="24"/>
                <w:highlight w:val="none"/>
              </w:rPr>
            </w:pPr>
          </w:p>
        </w:tc>
        <w:tc>
          <w:tcPr>
            <w:tcW w:w="1320" w:type="pct"/>
            <w:noWrap w:val="0"/>
            <w:vAlign w:val="center"/>
          </w:tcPr>
          <w:p w14:paraId="120F01F5">
            <w:pPr>
              <w:jc w:val="center"/>
              <w:rPr>
                <w:rFonts w:hint="eastAsia" w:ascii="宋体" w:hAnsi="宋体" w:eastAsia="宋体" w:cs="宋体"/>
                <w:color w:val="auto"/>
                <w:sz w:val="24"/>
                <w:highlight w:val="none"/>
              </w:rPr>
            </w:pPr>
          </w:p>
        </w:tc>
        <w:tc>
          <w:tcPr>
            <w:tcW w:w="547" w:type="pct"/>
            <w:noWrap w:val="0"/>
            <w:vAlign w:val="center"/>
          </w:tcPr>
          <w:p w14:paraId="16C4148D">
            <w:pPr>
              <w:jc w:val="center"/>
              <w:rPr>
                <w:rFonts w:hint="eastAsia" w:ascii="宋体" w:hAnsi="宋体" w:eastAsia="宋体" w:cs="宋体"/>
                <w:color w:val="auto"/>
                <w:sz w:val="24"/>
                <w:highlight w:val="none"/>
              </w:rPr>
            </w:pPr>
          </w:p>
        </w:tc>
      </w:tr>
      <w:tr w14:paraId="1B6C6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4" w:type="pct"/>
            <w:noWrap w:val="0"/>
            <w:vAlign w:val="center"/>
          </w:tcPr>
          <w:p w14:paraId="57B63722">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1432" w:type="pct"/>
            <w:noWrap w:val="0"/>
            <w:vAlign w:val="center"/>
          </w:tcPr>
          <w:p w14:paraId="667B09F5">
            <w:pPr>
              <w:jc w:val="center"/>
              <w:rPr>
                <w:rFonts w:hint="eastAsia" w:ascii="宋体" w:hAnsi="宋体" w:eastAsia="宋体" w:cs="宋体"/>
                <w:color w:val="auto"/>
                <w:sz w:val="24"/>
                <w:highlight w:val="none"/>
              </w:rPr>
            </w:pPr>
          </w:p>
        </w:tc>
        <w:tc>
          <w:tcPr>
            <w:tcW w:w="1155" w:type="pct"/>
            <w:noWrap w:val="0"/>
            <w:vAlign w:val="center"/>
          </w:tcPr>
          <w:p w14:paraId="0311F1FB">
            <w:pPr>
              <w:jc w:val="center"/>
              <w:rPr>
                <w:rFonts w:hint="eastAsia" w:ascii="宋体" w:hAnsi="宋体" w:eastAsia="宋体" w:cs="宋体"/>
                <w:color w:val="auto"/>
                <w:sz w:val="24"/>
                <w:highlight w:val="none"/>
              </w:rPr>
            </w:pPr>
          </w:p>
        </w:tc>
        <w:tc>
          <w:tcPr>
            <w:tcW w:w="1320" w:type="pct"/>
            <w:noWrap w:val="0"/>
            <w:vAlign w:val="center"/>
          </w:tcPr>
          <w:p w14:paraId="789C4056">
            <w:pPr>
              <w:jc w:val="center"/>
              <w:rPr>
                <w:rFonts w:hint="eastAsia" w:ascii="宋体" w:hAnsi="宋体" w:eastAsia="宋体" w:cs="宋体"/>
                <w:color w:val="auto"/>
                <w:sz w:val="24"/>
                <w:highlight w:val="none"/>
              </w:rPr>
            </w:pPr>
          </w:p>
        </w:tc>
        <w:tc>
          <w:tcPr>
            <w:tcW w:w="547" w:type="pct"/>
            <w:noWrap w:val="0"/>
            <w:vAlign w:val="center"/>
          </w:tcPr>
          <w:p w14:paraId="31F1FFEE">
            <w:pPr>
              <w:jc w:val="center"/>
              <w:rPr>
                <w:rFonts w:hint="eastAsia" w:ascii="宋体" w:hAnsi="宋体" w:eastAsia="宋体" w:cs="宋体"/>
                <w:color w:val="auto"/>
                <w:sz w:val="24"/>
                <w:highlight w:val="none"/>
              </w:rPr>
            </w:pPr>
          </w:p>
        </w:tc>
      </w:tr>
      <w:tr w14:paraId="73943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4" w:type="pct"/>
            <w:noWrap w:val="0"/>
            <w:vAlign w:val="center"/>
          </w:tcPr>
          <w:p w14:paraId="0ABB26F1">
            <w:pPr>
              <w:ind w:firstLine="24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1432" w:type="pct"/>
            <w:noWrap w:val="0"/>
            <w:vAlign w:val="center"/>
          </w:tcPr>
          <w:p w14:paraId="3BC6ED2B">
            <w:pPr>
              <w:jc w:val="center"/>
              <w:rPr>
                <w:rFonts w:hint="eastAsia" w:ascii="宋体" w:hAnsi="宋体" w:eastAsia="宋体" w:cs="宋体"/>
                <w:color w:val="auto"/>
                <w:sz w:val="24"/>
                <w:highlight w:val="none"/>
              </w:rPr>
            </w:pPr>
          </w:p>
        </w:tc>
        <w:tc>
          <w:tcPr>
            <w:tcW w:w="1155" w:type="pct"/>
            <w:noWrap w:val="0"/>
            <w:vAlign w:val="center"/>
          </w:tcPr>
          <w:p w14:paraId="09C67561">
            <w:pPr>
              <w:jc w:val="center"/>
              <w:rPr>
                <w:rFonts w:hint="eastAsia" w:ascii="宋体" w:hAnsi="宋体" w:eastAsia="宋体" w:cs="宋体"/>
                <w:color w:val="auto"/>
                <w:sz w:val="24"/>
                <w:highlight w:val="none"/>
              </w:rPr>
            </w:pPr>
          </w:p>
        </w:tc>
        <w:tc>
          <w:tcPr>
            <w:tcW w:w="1320" w:type="pct"/>
            <w:noWrap w:val="0"/>
            <w:vAlign w:val="center"/>
          </w:tcPr>
          <w:p w14:paraId="1C61DE1A">
            <w:pPr>
              <w:jc w:val="center"/>
              <w:rPr>
                <w:rFonts w:hint="eastAsia" w:ascii="宋体" w:hAnsi="宋体" w:eastAsia="宋体" w:cs="宋体"/>
                <w:color w:val="auto"/>
                <w:sz w:val="24"/>
                <w:highlight w:val="none"/>
              </w:rPr>
            </w:pPr>
          </w:p>
        </w:tc>
        <w:tc>
          <w:tcPr>
            <w:tcW w:w="547" w:type="pct"/>
            <w:noWrap w:val="0"/>
            <w:vAlign w:val="center"/>
          </w:tcPr>
          <w:p w14:paraId="23FC363B">
            <w:pPr>
              <w:jc w:val="center"/>
              <w:rPr>
                <w:rFonts w:hint="eastAsia" w:ascii="宋体" w:hAnsi="宋体" w:eastAsia="宋体" w:cs="宋体"/>
                <w:color w:val="auto"/>
                <w:sz w:val="24"/>
                <w:highlight w:val="none"/>
              </w:rPr>
            </w:pPr>
          </w:p>
        </w:tc>
      </w:tr>
      <w:tr w14:paraId="0A530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4" w:type="pct"/>
            <w:noWrap w:val="0"/>
            <w:vAlign w:val="center"/>
          </w:tcPr>
          <w:p w14:paraId="2A6B58F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11</w:t>
            </w:r>
          </w:p>
        </w:tc>
        <w:tc>
          <w:tcPr>
            <w:tcW w:w="1432" w:type="pct"/>
            <w:noWrap w:val="0"/>
            <w:vAlign w:val="center"/>
          </w:tcPr>
          <w:p w14:paraId="25148ABE">
            <w:pPr>
              <w:jc w:val="center"/>
              <w:rPr>
                <w:rFonts w:hint="eastAsia" w:ascii="宋体" w:hAnsi="宋体" w:eastAsia="宋体" w:cs="宋体"/>
                <w:color w:val="auto"/>
                <w:sz w:val="24"/>
                <w:highlight w:val="none"/>
              </w:rPr>
            </w:pPr>
          </w:p>
        </w:tc>
        <w:tc>
          <w:tcPr>
            <w:tcW w:w="1155" w:type="pct"/>
            <w:noWrap w:val="0"/>
            <w:vAlign w:val="center"/>
          </w:tcPr>
          <w:p w14:paraId="7AE48835">
            <w:pPr>
              <w:jc w:val="center"/>
              <w:rPr>
                <w:rFonts w:hint="eastAsia" w:ascii="宋体" w:hAnsi="宋体" w:eastAsia="宋体" w:cs="宋体"/>
                <w:color w:val="auto"/>
                <w:sz w:val="24"/>
                <w:highlight w:val="none"/>
              </w:rPr>
            </w:pPr>
          </w:p>
        </w:tc>
        <w:tc>
          <w:tcPr>
            <w:tcW w:w="1320" w:type="pct"/>
            <w:noWrap w:val="0"/>
            <w:vAlign w:val="center"/>
          </w:tcPr>
          <w:p w14:paraId="4CB69632">
            <w:pPr>
              <w:jc w:val="center"/>
              <w:rPr>
                <w:rFonts w:hint="eastAsia" w:ascii="宋体" w:hAnsi="宋体" w:eastAsia="宋体" w:cs="宋体"/>
                <w:color w:val="auto"/>
                <w:sz w:val="24"/>
                <w:highlight w:val="none"/>
              </w:rPr>
            </w:pPr>
          </w:p>
        </w:tc>
        <w:tc>
          <w:tcPr>
            <w:tcW w:w="547" w:type="pct"/>
            <w:noWrap w:val="0"/>
            <w:vAlign w:val="center"/>
          </w:tcPr>
          <w:p w14:paraId="7E799776">
            <w:pPr>
              <w:jc w:val="center"/>
              <w:rPr>
                <w:rFonts w:hint="eastAsia" w:ascii="宋体" w:hAnsi="宋体" w:eastAsia="宋体" w:cs="宋体"/>
                <w:color w:val="auto"/>
                <w:sz w:val="24"/>
                <w:highlight w:val="none"/>
              </w:rPr>
            </w:pPr>
          </w:p>
        </w:tc>
      </w:tr>
      <w:tr w14:paraId="53466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4" w:type="pct"/>
            <w:noWrap w:val="0"/>
            <w:vAlign w:val="center"/>
          </w:tcPr>
          <w:p w14:paraId="3C4E6889">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12</w:t>
            </w:r>
          </w:p>
        </w:tc>
        <w:tc>
          <w:tcPr>
            <w:tcW w:w="1432" w:type="pct"/>
            <w:noWrap w:val="0"/>
            <w:vAlign w:val="center"/>
          </w:tcPr>
          <w:p w14:paraId="494A74FB">
            <w:pPr>
              <w:jc w:val="center"/>
              <w:rPr>
                <w:rFonts w:hint="eastAsia" w:ascii="宋体" w:hAnsi="宋体" w:eastAsia="宋体" w:cs="宋体"/>
                <w:color w:val="auto"/>
                <w:sz w:val="24"/>
                <w:highlight w:val="none"/>
              </w:rPr>
            </w:pPr>
          </w:p>
        </w:tc>
        <w:tc>
          <w:tcPr>
            <w:tcW w:w="1155" w:type="pct"/>
            <w:noWrap w:val="0"/>
            <w:vAlign w:val="center"/>
          </w:tcPr>
          <w:p w14:paraId="36C43A77">
            <w:pPr>
              <w:jc w:val="center"/>
              <w:rPr>
                <w:rFonts w:hint="eastAsia" w:ascii="宋体" w:hAnsi="宋体" w:eastAsia="宋体" w:cs="宋体"/>
                <w:color w:val="auto"/>
                <w:sz w:val="24"/>
                <w:highlight w:val="none"/>
              </w:rPr>
            </w:pPr>
          </w:p>
        </w:tc>
        <w:tc>
          <w:tcPr>
            <w:tcW w:w="1320" w:type="pct"/>
            <w:noWrap w:val="0"/>
            <w:vAlign w:val="center"/>
          </w:tcPr>
          <w:p w14:paraId="795D7908">
            <w:pPr>
              <w:jc w:val="center"/>
              <w:rPr>
                <w:rFonts w:hint="eastAsia" w:ascii="宋体" w:hAnsi="宋体" w:eastAsia="宋体" w:cs="宋体"/>
                <w:color w:val="auto"/>
                <w:sz w:val="24"/>
                <w:highlight w:val="none"/>
              </w:rPr>
            </w:pPr>
          </w:p>
        </w:tc>
        <w:tc>
          <w:tcPr>
            <w:tcW w:w="547" w:type="pct"/>
            <w:noWrap w:val="0"/>
            <w:vAlign w:val="center"/>
          </w:tcPr>
          <w:p w14:paraId="13D8820E">
            <w:pPr>
              <w:jc w:val="center"/>
              <w:rPr>
                <w:rFonts w:hint="eastAsia" w:ascii="宋体" w:hAnsi="宋体" w:eastAsia="宋体" w:cs="宋体"/>
                <w:color w:val="auto"/>
                <w:sz w:val="24"/>
                <w:highlight w:val="none"/>
              </w:rPr>
            </w:pPr>
          </w:p>
        </w:tc>
      </w:tr>
      <w:tr w14:paraId="019F4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44" w:type="pct"/>
            <w:noWrap w:val="0"/>
            <w:vAlign w:val="center"/>
          </w:tcPr>
          <w:p w14:paraId="3B306EBD">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13</w:t>
            </w:r>
          </w:p>
        </w:tc>
        <w:tc>
          <w:tcPr>
            <w:tcW w:w="1432" w:type="pct"/>
            <w:noWrap w:val="0"/>
            <w:vAlign w:val="center"/>
          </w:tcPr>
          <w:p w14:paraId="54C0E3C7">
            <w:pPr>
              <w:jc w:val="center"/>
              <w:rPr>
                <w:rFonts w:hint="eastAsia" w:ascii="宋体" w:hAnsi="宋体" w:eastAsia="宋体" w:cs="宋体"/>
                <w:color w:val="auto"/>
                <w:sz w:val="24"/>
                <w:highlight w:val="none"/>
              </w:rPr>
            </w:pPr>
          </w:p>
        </w:tc>
        <w:tc>
          <w:tcPr>
            <w:tcW w:w="1155" w:type="pct"/>
            <w:noWrap w:val="0"/>
            <w:vAlign w:val="center"/>
          </w:tcPr>
          <w:p w14:paraId="1A38F839">
            <w:pPr>
              <w:jc w:val="center"/>
              <w:rPr>
                <w:rFonts w:hint="eastAsia" w:ascii="宋体" w:hAnsi="宋体" w:eastAsia="宋体" w:cs="宋体"/>
                <w:color w:val="auto"/>
                <w:sz w:val="24"/>
                <w:highlight w:val="none"/>
              </w:rPr>
            </w:pPr>
          </w:p>
        </w:tc>
        <w:tc>
          <w:tcPr>
            <w:tcW w:w="1320" w:type="pct"/>
            <w:noWrap w:val="0"/>
            <w:vAlign w:val="center"/>
          </w:tcPr>
          <w:p w14:paraId="58123672">
            <w:pPr>
              <w:jc w:val="center"/>
              <w:rPr>
                <w:rFonts w:hint="eastAsia" w:ascii="宋体" w:hAnsi="宋体" w:eastAsia="宋体" w:cs="宋体"/>
                <w:color w:val="auto"/>
                <w:sz w:val="24"/>
                <w:highlight w:val="none"/>
              </w:rPr>
            </w:pPr>
          </w:p>
        </w:tc>
        <w:tc>
          <w:tcPr>
            <w:tcW w:w="547" w:type="pct"/>
            <w:noWrap w:val="0"/>
            <w:vAlign w:val="center"/>
          </w:tcPr>
          <w:p w14:paraId="00466A64">
            <w:pPr>
              <w:jc w:val="center"/>
              <w:rPr>
                <w:rFonts w:hint="eastAsia" w:ascii="宋体" w:hAnsi="宋体" w:eastAsia="宋体" w:cs="宋体"/>
                <w:color w:val="auto"/>
                <w:sz w:val="24"/>
                <w:highlight w:val="none"/>
              </w:rPr>
            </w:pPr>
          </w:p>
        </w:tc>
      </w:tr>
    </w:tbl>
    <w:p w14:paraId="5C475BBA">
      <w:pPr>
        <w:pStyle w:val="19"/>
        <w:spacing w:line="360" w:lineRule="auto"/>
        <w:jc w:val="right"/>
        <w:rPr>
          <w:rFonts w:hint="eastAsia" w:ascii="宋体" w:hAnsi="宋体" w:eastAsia="宋体" w:cs="宋体"/>
          <w:color w:val="auto"/>
          <w:sz w:val="24"/>
          <w:szCs w:val="24"/>
          <w:highlight w:val="none"/>
        </w:rPr>
      </w:pPr>
    </w:p>
    <w:p w14:paraId="16A612DB">
      <w:pP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备注：表格不够可自行扩展。</w:t>
      </w:r>
    </w:p>
    <w:p w14:paraId="5AE6457B">
      <w:pP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投标供应商（公章）：                        </w:t>
      </w:r>
    </w:p>
    <w:p w14:paraId="59A76724">
      <w:pP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                    </w:t>
      </w:r>
    </w:p>
    <w:p w14:paraId="3705D825">
      <w:pP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4A5A2206">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注：1.本表对应评分标准中的设备或车辆配置情况，表格不够可自行延长。</w:t>
      </w:r>
    </w:p>
    <w:p w14:paraId="1E0E4A2C">
      <w:pPr>
        <w:spacing w:line="360" w:lineRule="auto"/>
        <w:ind w:firstLine="420"/>
        <w:rPr>
          <w:rFonts w:hint="eastAsia" w:ascii="宋体" w:hAnsi="宋体" w:eastAsia="宋体" w:cs="宋体"/>
          <w:bCs/>
          <w:color w:val="auto"/>
          <w:highlight w:val="none"/>
        </w:rPr>
      </w:pPr>
      <w:r>
        <w:rPr>
          <w:rFonts w:hint="eastAsia" w:ascii="宋体" w:hAnsi="宋体" w:eastAsia="宋体" w:cs="宋体"/>
          <w:bCs/>
          <w:color w:val="auto"/>
          <w:highlight w:val="none"/>
        </w:rPr>
        <w:t>2.进场作业时，采购人有权对投标人所提供的设备或车辆信息进行核查。</w:t>
      </w:r>
    </w:p>
    <w:p w14:paraId="6A311525">
      <w:pPr>
        <w:spacing w:line="360" w:lineRule="auto"/>
        <w:ind w:firstLine="420"/>
        <w:rPr>
          <w:rFonts w:hint="eastAsia" w:ascii="宋体" w:hAnsi="宋体" w:eastAsia="宋体" w:cs="宋体"/>
          <w:bCs/>
          <w:color w:val="auto"/>
          <w:highlight w:val="none"/>
        </w:rPr>
      </w:pPr>
      <w:r>
        <w:rPr>
          <w:rFonts w:hint="eastAsia" w:ascii="宋体" w:hAnsi="宋体" w:eastAsia="宋体" w:cs="宋体"/>
          <w:bCs/>
          <w:color w:val="auto"/>
          <w:highlight w:val="none"/>
        </w:rPr>
        <w:t>3.上表内容须按评分标准中的相关要求提供相应证明材料。</w:t>
      </w:r>
    </w:p>
    <w:p w14:paraId="0AA2E2C7">
      <w:pPr>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highlight w:val="none"/>
        </w:rPr>
        <w:t>4.证明材料均请附在本表之后。</w:t>
      </w:r>
    </w:p>
    <w:p w14:paraId="782AC7FE">
      <w:pPr>
        <w:spacing w:line="460" w:lineRule="exact"/>
        <w:jc w:val="left"/>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（十</w:t>
      </w:r>
      <w:r>
        <w:rPr>
          <w:rFonts w:hint="eastAsia" w:ascii="宋体" w:hAnsi="宋体" w:cs="宋体"/>
          <w:bCs/>
          <w:color w:val="auto"/>
          <w:sz w:val="24"/>
          <w:szCs w:val="24"/>
          <w:highlight w:val="none"/>
          <w:lang w:val="en-US" w:eastAsia="zh-CN"/>
        </w:rPr>
        <w:t>四</w:t>
      </w:r>
      <w:r>
        <w:rPr>
          <w:rFonts w:hint="eastAsia" w:ascii="宋体" w:hAnsi="宋体" w:eastAsia="宋体" w:cs="宋体"/>
          <w:bCs/>
          <w:color w:val="auto"/>
          <w:sz w:val="24"/>
          <w:szCs w:val="24"/>
          <w:highlight w:val="none"/>
        </w:rPr>
        <w:t>）投标人基本情况</w:t>
      </w:r>
      <w:r>
        <w:rPr>
          <w:rFonts w:hint="eastAsia" w:ascii="宋体" w:hAnsi="宋体" w:eastAsia="宋体" w:cs="宋体"/>
          <w:bCs/>
          <w:color w:val="auto"/>
          <w:sz w:val="24"/>
          <w:szCs w:val="24"/>
          <w:highlight w:val="none"/>
          <w:shd w:val="clear" w:color="auto" w:fill="FFFFFF"/>
        </w:rPr>
        <w:t>声</w:t>
      </w:r>
      <w:r>
        <w:rPr>
          <w:rFonts w:hint="eastAsia" w:ascii="宋体" w:hAnsi="宋体" w:eastAsia="宋体" w:cs="宋体"/>
          <w:bCs/>
          <w:color w:val="auto"/>
          <w:sz w:val="24"/>
          <w:szCs w:val="24"/>
          <w:highlight w:val="none"/>
        </w:rPr>
        <w:t>明</w:t>
      </w:r>
    </w:p>
    <w:p w14:paraId="3849C60C">
      <w:pPr>
        <w:spacing w:line="46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（内容写不完的栏目可相应扩展）</w:t>
      </w:r>
    </w:p>
    <w:p w14:paraId="5CA11E20">
      <w:pPr>
        <w:pStyle w:val="49"/>
        <w:ind w:firstLine="480"/>
        <w:rPr>
          <w:rFonts w:hint="eastAsia" w:ascii="宋体" w:hAnsi="宋体" w:eastAsia="宋体" w:cs="宋体"/>
          <w:color w:val="auto"/>
          <w:sz w:val="24"/>
          <w:highlight w:val="none"/>
        </w:rPr>
      </w:pPr>
    </w:p>
    <w:p w14:paraId="4FE511AE">
      <w:pPr>
        <w:pStyle w:val="49"/>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单位名称（盖章）</w:t>
      </w:r>
    </w:p>
    <w:tbl>
      <w:tblPr>
        <w:tblStyle w:val="36"/>
        <w:tblpPr w:leftFromText="180" w:rightFromText="180" w:vertAnchor="text" w:horzAnchor="page" w:tblpX="1470" w:tblpY="69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10"/>
        <w:gridCol w:w="2110"/>
        <w:gridCol w:w="149"/>
        <w:gridCol w:w="1757"/>
        <w:gridCol w:w="2601"/>
      </w:tblGrid>
      <w:tr w14:paraId="64B30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vAlign w:val="top"/>
          </w:tcPr>
          <w:p w14:paraId="34432110">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2259" w:type="dxa"/>
            <w:gridSpan w:val="2"/>
            <w:noWrap/>
            <w:vAlign w:val="top"/>
          </w:tcPr>
          <w:p w14:paraId="3C408FA7">
            <w:pPr>
              <w:pStyle w:val="49"/>
              <w:spacing w:line="400" w:lineRule="exact"/>
              <w:ind w:firstLine="0"/>
              <w:rPr>
                <w:rFonts w:hint="eastAsia" w:ascii="宋体" w:hAnsi="宋体" w:eastAsia="宋体" w:cs="宋体"/>
                <w:color w:val="auto"/>
                <w:sz w:val="24"/>
                <w:highlight w:val="none"/>
              </w:rPr>
            </w:pPr>
          </w:p>
        </w:tc>
        <w:tc>
          <w:tcPr>
            <w:tcW w:w="1757" w:type="dxa"/>
            <w:noWrap/>
            <w:vAlign w:val="top"/>
          </w:tcPr>
          <w:p w14:paraId="247DFA89">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成立日期</w:t>
            </w:r>
          </w:p>
        </w:tc>
        <w:tc>
          <w:tcPr>
            <w:tcW w:w="2601" w:type="dxa"/>
            <w:noWrap/>
            <w:vAlign w:val="top"/>
          </w:tcPr>
          <w:p w14:paraId="1E700EAF">
            <w:pPr>
              <w:pStyle w:val="49"/>
              <w:spacing w:line="400" w:lineRule="exact"/>
              <w:ind w:firstLine="0"/>
              <w:rPr>
                <w:rFonts w:hint="eastAsia" w:ascii="宋体" w:hAnsi="宋体" w:eastAsia="宋体" w:cs="宋体"/>
                <w:color w:val="auto"/>
                <w:sz w:val="24"/>
                <w:highlight w:val="none"/>
              </w:rPr>
            </w:pPr>
          </w:p>
        </w:tc>
      </w:tr>
      <w:tr w14:paraId="51CBE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vAlign w:val="top"/>
          </w:tcPr>
          <w:p w14:paraId="489CFB4E">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企业地址</w:t>
            </w:r>
          </w:p>
        </w:tc>
        <w:tc>
          <w:tcPr>
            <w:tcW w:w="2259" w:type="dxa"/>
            <w:gridSpan w:val="2"/>
            <w:noWrap/>
            <w:vAlign w:val="top"/>
          </w:tcPr>
          <w:p w14:paraId="15C6452C">
            <w:pPr>
              <w:pStyle w:val="49"/>
              <w:spacing w:line="400" w:lineRule="exact"/>
              <w:ind w:firstLine="0"/>
              <w:rPr>
                <w:rFonts w:hint="eastAsia" w:ascii="宋体" w:hAnsi="宋体" w:eastAsia="宋体" w:cs="宋体"/>
                <w:color w:val="auto"/>
                <w:sz w:val="24"/>
                <w:highlight w:val="none"/>
              </w:rPr>
            </w:pPr>
          </w:p>
        </w:tc>
        <w:tc>
          <w:tcPr>
            <w:tcW w:w="1757" w:type="dxa"/>
            <w:noWrap/>
            <w:vAlign w:val="top"/>
          </w:tcPr>
          <w:p w14:paraId="2F4F41AF">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注册资本</w:t>
            </w:r>
          </w:p>
        </w:tc>
        <w:tc>
          <w:tcPr>
            <w:tcW w:w="2601" w:type="dxa"/>
            <w:noWrap/>
            <w:vAlign w:val="top"/>
          </w:tcPr>
          <w:p w14:paraId="63C35736">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万元</w:t>
            </w:r>
          </w:p>
        </w:tc>
      </w:tr>
      <w:tr w14:paraId="0388E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vAlign w:val="top"/>
          </w:tcPr>
          <w:p w14:paraId="1BA64345">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经营范围</w:t>
            </w:r>
          </w:p>
        </w:tc>
        <w:tc>
          <w:tcPr>
            <w:tcW w:w="6617" w:type="dxa"/>
            <w:gridSpan w:val="4"/>
            <w:noWrap/>
            <w:vAlign w:val="top"/>
          </w:tcPr>
          <w:p w14:paraId="61E257E0">
            <w:pPr>
              <w:pStyle w:val="49"/>
              <w:spacing w:line="400" w:lineRule="exact"/>
              <w:ind w:firstLine="0"/>
              <w:rPr>
                <w:rFonts w:hint="eastAsia" w:ascii="宋体" w:hAnsi="宋体" w:eastAsia="宋体" w:cs="宋体"/>
                <w:color w:val="auto"/>
                <w:sz w:val="24"/>
                <w:highlight w:val="none"/>
              </w:rPr>
            </w:pPr>
          </w:p>
        </w:tc>
      </w:tr>
      <w:tr w14:paraId="6562E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vAlign w:val="top"/>
          </w:tcPr>
          <w:p w14:paraId="037DD393">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职工人数</w:t>
            </w:r>
          </w:p>
        </w:tc>
        <w:tc>
          <w:tcPr>
            <w:tcW w:w="2110" w:type="dxa"/>
            <w:noWrap/>
            <w:vAlign w:val="top"/>
          </w:tcPr>
          <w:p w14:paraId="11DF1E38">
            <w:pPr>
              <w:pStyle w:val="49"/>
              <w:spacing w:line="400" w:lineRule="exact"/>
              <w:ind w:firstLine="0"/>
              <w:rPr>
                <w:rFonts w:hint="eastAsia" w:ascii="宋体" w:hAnsi="宋体" w:eastAsia="宋体" w:cs="宋体"/>
                <w:color w:val="auto"/>
                <w:sz w:val="24"/>
                <w:highlight w:val="none"/>
              </w:rPr>
            </w:pPr>
          </w:p>
        </w:tc>
        <w:tc>
          <w:tcPr>
            <w:tcW w:w="4507" w:type="dxa"/>
            <w:gridSpan w:val="3"/>
            <w:noWrap/>
            <w:vAlign w:val="top"/>
          </w:tcPr>
          <w:p w14:paraId="19C90092">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其中：</w:t>
            </w:r>
          </w:p>
          <w:p w14:paraId="182B47E8">
            <w:pPr>
              <w:pStyle w:val="49"/>
              <w:spacing w:line="400" w:lineRule="exact"/>
              <w:ind w:left="478"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中级职称人数、</w:t>
            </w:r>
          </w:p>
          <w:p w14:paraId="250E66AD">
            <w:pPr>
              <w:pStyle w:val="49"/>
              <w:spacing w:line="400" w:lineRule="exact"/>
              <w:ind w:left="478"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高级职称人数</w:t>
            </w:r>
          </w:p>
        </w:tc>
      </w:tr>
      <w:tr w14:paraId="70B4D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6" w:hRule="atLeast"/>
        </w:trPr>
        <w:tc>
          <w:tcPr>
            <w:tcW w:w="2510" w:type="dxa"/>
            <w:noWrap/>
            <w:vAlign w:val="top"/>
          </w:tcPr>
          <w:p w14:paraId="0C8A996B">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年12月资产总额</w:t>
            </w:r>
          </w:p>
        </w:tc>
        <w:tc>
          <w:tcPr>
            <w:tcW w:w="2110" w:type="dxa"/>
            <w:noWrap/>
            <w:vAlign w:val="top"/>
          </w:tcPr>
          <w:p w14:paraId="5F9488F1">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万元</w:t>
            </w:r>
          </w:p>
        </w:tc>
        <w:tc>
          <w:tcPr>
            <w:tcW w:w="1906" w:type="dxa"/>
            <w:gridSpan w:val="2"/>
            <w:noWrap/>
            <w:vAlign w:val="top"/>
          </w:tcPr>
          <w:p w14:paraId="0FD230F0">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净资产</w:t>
            </w:r>
          </w:p>
        </w:tc>
        <w:tc>
          <w:tcPr>
            <w:tcW w:w="2601" w:type="dxa"/>
            <w:noWrap/>
            <w:vAlign w:val="top"/>
          </w:tcPr>
          <w:p w14:paraId="3631E874">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万元</w:t>
            </w:r>
          </w:p>
        </w:tc>
      </w:tr>
      <w:tr w14:paraId="55BAF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vAlign w:val="top"/>
          </w:tcPr>
          <w:p w14:paraId="586AF73B">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年12月股东权益</w:t>
            </w:r>
          </w:p>
        </w:tc>
        <w:tc>
          <w:tcPr>
            <w:tcW w:w="2110" w:type="dxa"/>
            <w:noWrap/>
            <w:vAlign w:val="top"/>
          </w:tcPr>
          <w:p w14:paraId="349D8EF9">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万元</w:t>
            </w:r>
          </w:p>
        </w:tc>
        <w:tc>
          <w:tcPr>
            <w:tcW w:w="1906" w:type="dxa"/>
            <w:gridSpan w:val="2"/>
            <w:noWrap/>
            <w:vAlign w:val="top"/>
          </w:tcPr>
          <w:p w14:paraId="236DA604">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年业务收入</w:t>
            </w:r>
          </w:p>
        </w:tc>
        <w:tc>
          <w:tcPr>
            <w:tcW w:w="2601" w:type="dxa"/>
            <w:noWrap/>
            <w:vAlign w:val="top"/>
          </w:tcPr>
          <w:p w14:paraId="49AE52DE">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万元</w:t>
            </w:r>
          </w:p>
        </w:tc>
      </w:tr>
      <w:tr w14:paraId="568C9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vAlign w:val="top"/>
          </w:tcPr>
          <w:p w14:paraId="6DCD701C">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202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年实现利润</w:t>
            </w:r>
          </w:p>
        </w:tc>
        <w:tc>
          <w:tcPr>
            <w:tcW w:w="2110" w:type="dxa"/>
            <w:noWrap/>
            <w:vAlign w:val="top"/>
          </w:tcPr>
          <w:p w14:paraId="24183838">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万元</w:t>
            </w:r>
          </w:p>
        </w:tc>
        <w:tc>
          <w:tcPr>
            <w:tcW w:w="1906" w:type="dxa"/>
            <w:gridSpan w:val="2"/>
            <w:noWrap/>
            <w:vAlign w:val="top"/>
          </w:tcPr>
          <w:p w14:paraId="2C35BACE">
            <w:pPr>
              <w:pStyle w:val="49"/>
              <w:spacing w:line="400" w:lineRule="exact"/>
              <w:ind w:firstLine="0"/>
              <w:rPr>
                <w:rFonts w:hint="eastAsia" w:ascii="宋体" w:hAnsi="宋体" w:eastAsia="宋体" w:cs="宋体"/>
                <w:color w:val="auto"/>
                <w:sz w:val="24"/>
                <w:highlight w:val="none"/>
              </w:rPr>
            </w:pPr>
          </w:p>
        </w:tc>
        <w:tc>
          <w:tcPr>
            <w:tcW w:w="2601" w:type="dxa"/>
            <w:noWrap/>
            <w:vAlign w:val="top"/>
          </w:tcPr>
          <w:p w14:paraId="2BCA229F">
            <w:pPr>
              <w:pStyle w:val="49"/>
              <w:spacing w:line="400" w:lineRule="exact"/>
              <w:ind w:firstLine="0"/>
              <w:rPr>
                <w:rFonts w:hint="eastAsia" w:ascii="宋体" w:hAnsi="宋体" w:eastAsia="宋体" w:cs="宋体"/>
                <w:color w:val="auto"/>
                <w:sz w:val="24"/>
                <w:highlight w:val="none"/>
              </w:rPr>
            </w:pPr>
          </w:p>
        </w:tc>
      </w:tr>
      <w:tr w14:paraId="13855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10" w:type="dxa"/>
            <w:noWrap/>
            <w:vAlign w:val="top"/>
          </w:tcPr>
          <w:p w14:paraId="3586FF2F">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办公面积</w:t>
            </w:r>
          </w:p>
          <w:p w14:paraId="37BFE2C9">
            <w:pPr>
              <w:pStyle w:val="49"/>
              <w:spacing w:line="400" w:lineRule="exact"/>
              <w:ind w:firstLine="0"/>
              <w:rPr>
                <w:rFonts w:hint="eastAsia" w:ascii="宋体" w:hAnsi="宋体" w:eastAsia="宋体" w:cs="宋体"/>
                <w:color w:val="auto"/>
                <w:sz w:val="24"/>
                <w:highlight w:val="none"/>
              </w:rPr>
            </w:pPr>
          </w:p>
        </w:tc>
        <w:tc>
          <w:tcPr>
            <w:tcW w:w="2110" w:type="dxa"/>
            <w:noWrap/>
            <w:vAlign w:val="top"/>
          </w:tcPr>
          <w:p w14:paraId="0A34CBED">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平方米</w:t>
            </w:r>
          </w:p>
        </w:tc>
        <w:tc>
          <w:tcPr>
            <w:tcW w:w="1906" w:type="dxa"/>
            <w:gridSpan w:val="2"/>
            <w:noWrap/>
            <w:vAlign w:val="top"/>
          </w:tcPr>
          <w:p w14:paraId="2806F228">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其中：</w:t>
            </w:r>
          </w:p>
        </w:tc>
        <w:tc>
          <w:tcPr>
            <w:tcW w:w="2601" w:type="dxa"/>
            <w:noWrap/>
            <w:vAlign w:val="top"/>
          </w:tcPr>
          <w:p w14:paraId="4965E246">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自有面积    平方米</w:t>
            </w:r>
          </w:p>
          <w:p w14:paraId="31A22177">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承租面积    平方米</w:t>
            </w:r>
          </w:p>
        </w:tc>
      </w:tr>
      <w:tr w14:paraId="6AA42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0" w:hRule="atLeast"/>
        </w:trPr>
        <w:tc>
          <w:tcPr>
            <w:tcW w:w="4620" w:type="dxa"/>
            <w:gridSpan w:val="2"/>
            <w:noWrap/>
            <w:vAlign w:val="center"/>
          </w:tcPr>
          <w:p w14:paraId="7F37BD76">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单位简历及内设机构情况</w:t>
            </w:r>
          </w:p>
        </w:tc>
        <w:tc>
          <w:tcPr>
            <w:tcW w:w="4507" w:type="dxa"/>
            <w:gridSpan w:val="3"/>
            <w:noWrap/>
            <w:vAlign w:val="top"/>
          </w:tcPr>
          <w:p w14:paraId="4227220D">
            <w:pPr>
              <w:pStyle w:val="49"/>
              <w:spacing w:line="400" w:lineRule="exact"/>
              <w:ind w:firstLine="0"/>
              <w:rPr>
                <w:rFonts w:hint="eastAsia" w:ascii="宋体" w:hAnsi="宋体" w:eastAsia="宋体" w:cs="宋体"/>
                <w:color w:val="auto"/>
                <w:sz w:val="24"/>
                <w:highlight w:val="none"/>
              </w:rPr>
            </w:pPr>
          </w:p>
        </w:tc>
      </w:tr>
      <w:tr w14:paraId="52929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trPr>
        <w:tc>
          <w:tcPr>
            <w:tcW w:w="4620" w:type="dxa"/>
            <w:gridSpan w:val="2"/>
            <w:noWrap/>
            <w:vAlign w:val="center"/>
          </w:tcPr>
          <w:p w14:paraId="26A4FBB0">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单位优势及特长</w:t>
            </w:r>
          </w:p>
        </w:tc>
        <w:tc>
          <w:tcPr>
            <w:tcW w:w="4507" w:type="dxa"/>
            <w:gridSpan w:val="3"/>
            <w:noWrap/>
            <w:vAlign w:val="top"/>
          </w:tcPr>
          <w:p w14:paraId="4EFB68DE">
            <w:pPr>
              <w:pStyle w:val="49"/>
              <w:spacing w:line="400" w:lineRule="exact"/>
              <w:ind w:firstLine="0"/>
              <w:rPr>
                <w:rFonts w:hint="eastAsia" w:ascii="宋体" w:hAnsi="宋体" w:eastAsia="宋体" w:cs="宋体"/>
                <w:color w:val="auto"/>
                <w:sz w:val="24"/>
                <w:highlight w:val="none"/>
              </w:rPr>
            </w:pPr>
          </w:p>
        </w:tc>
      </w:tr>
      <w:tr w14:paraId="5857D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0" w:type="dxa"/>
            <w:gridSpan w:val="2"/>
            <w:noWrap/>
            <w:vAlign w:val="center"/>
          </w:tcPr>
          <w:p w14:paraId="46C57BF4">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近三年来完成或正在履行的重大合同情况</w:t>
            </w:r>
          </w:p>
        </w:tc>
        <w:tc>
          <w:tcPr>
            <w:tcW w:w="4507" w:type="dxa"/>
            <w:gridSpan w:val="3"/>
            <w:noWrap/>
            <w:vAlign w:val="top"/>
          </w:tcPr>
          <w:p w14:paraId="1FBDE821">
            <w:pPr>
              <w:pStyle w:val="49"/>
              <w:spacing w:line="400" w:lineRule="exact"/>
              <w:ind w:firstLine="0"/>
              <w:rPr>
                <w:rFonts w:hint="eastAsia" w:ascii="宋体" w:hAnsi="宋体" w:eastAsia="宋体" w:cs="宋体"/>
                <w:color w:val="auto"/>
                <w:sz w:val="24"/>
                <w:highlight w:val="none"/>
              </w:rPr>
            </w:pPr>
          </w:p>
        </w:tc>
      </w:tr>
      <w:tr w14:paraId="1AC48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0" w:type="dxa"/>
            <w:gridSpan w:val="2"/>
            <w:noWrap/>
            <w:vAlign w:val="center"/>
          </w:tcPr>
          <w:p w14:paraId="0255497D">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bCs/>
                <w:color w:val="auto"/>
                <w:sz w:val="24"/>
                <w:highlight w:val="none"/>
              </w:rPr>
              <w:t>近三年来受行业主管部门考核评价及业主评价意见</w:t>
            </w:r>
          </w:p>
        </w:tc>
        <w:tc>
          <w:tcPr>
            <w:tcW w:w="4507" w:type="dxa"/>
            <w:gridSpan w:val="3"/>
            <w:noWrap/>
            <w:vAlign w:val="top"/>
          </w:tcPr>
          <w:p w14:paraId="5ED6A92E">
            <w:pPr>
              <w:pStyle w:val="49"/>
              <w:spacing w:line="400" w:lineRule="exact"/>
              <w:ind w:firstLine="0"/>
              <w:rPr>
                <w:rFonts w:hint="eastAsia" w:ascii="宋体" w:hAnsi="宋体" w:eastAsia="宋体" w:cs="宋体"/>
                <w:color w:val="auto"/>
                <w:sz w:val="24"/>
                <w:highlight w:val="none"/>
              </w:rPr>
            </w:pPr>
          </w:p>
        </w:tc>
      </w:tr>
      <w:tr w14:paraId="027EF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5" w:hRule="atLeast"/>
        </w:trPr>
        <w:tc>
          <w:tcPr>
            <w:tcW w:w="4620" w:type="dxa"/>
            <w:gridSpan w:val="2"/>
            <w:noWrap/>
            <w:vAlign w:val="center"/>
          </w:tcPr>
          <w:p w14:paraId="66C9A9DF">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最近3年内有无因违纪</w:t>
            </w:r>
            <w:r>
              <w:rPr>
                <w:rFonts w:hint="eastAsia" w:ascii="宋体" w:hAnsi="宋体" w:eastAsia="宋体" w:cs="宋体"/>
                <w:color w:val="auto"/>
                <w:sz w:val="24"/>
                <w:highlight w:val="none"/>
                <w:lang w:eastAsia="zh-CN"/>
              </w:rPr>
              <w:t>或</w:t>
            </w:r>
            <w:r>
              <w:rPr>
                <w:rFonts w:hint="eastAsia" w:ascii="宋体" w:hAnsi="宋体" w:eastAsia="宋体" w:cs="宋体"/>
                <w:color w:val="auto"/>
                <w:sz w:val="24"/>
                <w:highlight w:val="none"/>
              </w:rPr>
              <w:t>其他原因被投诉或起诉的情况及说明</w:t>
            </w:r>
          </w:p>
        </w:tc>
        <w:tc>
          <w:tcPr>
            <w:tcW w:w="4507" w:type="dxa"/>
            <w:gridSpan w:val="3"/>
            <w:noWrap/>
            <w:vAlign w:val="top"/>
          </w:tcPr>
          <w:p w14:paraId="3D5B0EB9">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（包括解决方式和结果）</w:t>
            </w:r>
          </w:p>
        </w:tc>
      </w:tr>
      <w:tr w14:paraId="5EBB3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4" w:hRule="atLeast"/>
        </w:trPr>
        <w:tc>
          <w:tcPr>
            <w:tcW w:w="4620" w:type="dxa"/>
            <w:gridSpan w:val="2"/>
            <w:noWrap/>
            <w:vAlign w:val="center"/>
          </w:tcPr>
          <w:p w14:paraId="63DFB8E2">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最近3年内主要负责人有无因经济犯罪被司法机关追究的情况及说明</w:t>
            </w:r>
          </w:p>
        </w:tc>
        <w:tc>
          <w:tcPr>
            <w:tcW w:w="4507" w:type="dxa"/>
            <w:gridSpan w:val="3"/>
            <w:noWrap/>
            <w:vAlign w:val="top"/>
          </w:tcPr>
          <w:p w14:paraId="60F11930">
            <w:pPr>
              <w:spacing w:line="360" w:lineRule="auto"/>
              <w:rPr>
                <w:rFonts w:hint="eastAsia" w:ascii="宋体" w:hAnsi="宋体" w:eastAsia="宋体" w:cs="宋体"/>
                <w:color w:val="auto"/>
                <w:sz w:val="24"/>
                <w:highlight w:val="none"/>
              </w:rPr>
            </w:pPr>
          </w:p>
        </w:tc>
      </w:tr>
      <w:tr w14:paraId="79D25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7" w:hRule="atLeast"/>
        </w:trPr>
        <w:tc>
          <w:tcPr>
            <w:tcW w:w="4620" w:type="dxa"/>
            <w:gridSpan w:val="2"/>
            <w:noWrap/>
            <w:vAlign w:val="center"/>
          </w:tcPr>
          <w:p w14:paraId="6FF1D323">
            <w:pPr>
              <w:pStyle w:val="49"/>
              <w:spacing w:line="400" w:lineRule="exact"/>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其他需要说明的情况</w:t>
            </w:r>
          </w:p>
        </w:tc>
        <w:tc>
          <w:tcPr>
            <w:tcW w:w="4507" w:type="dxa"/>
            <w:gridSpan w:val="3"/>
            <w:noWrap/>
            <w:vAlign w:val="top"/>
          </w:tcPr>
          <w:p w14:paraId="24D868E6">
            <w:pPr>
              <w:pStyle w:val="49"/>
              <w:spacing w:line="400" w:lineRule="exact"/>
              <w:ind w:firstLine="0"/>
              <w:rPr>
                <w:rFonts w:hint="eastAsia" w:ascii="宋体" w:hAnsi="宋体" w:eastAsia="宋体" w:cs="宋体"/>
                <w:color w:val="auto"/>
                <w:sz w:val="24"/>
                <w:highlight w:val="none"/>
              </w:rPr>
            </w:pPr>
          </w:p>
        </w:tc>
      </w:tr>
    </w:tbl>
    <w:p w14:paraId="5E2EADA1">
      <w:pPr>
        <w:pStyle w:val="49"/>
        <w:ind w:firstLine="480"/>
        <w:rPr>
          <w:rFonts w:hint="eastAsia" w:ascii="宋体" w:hAnsi="宋体" w:eastAsia="宋体" w:cs="宋体"/>
          <w:color w:val="auto"/>
          <w:sz w:val="24"/>
          <w:highlight w:val="none"/>
        </w:rPr>
      </w:pPr>
    </w:p>
    <w:p w14:paraId="02C3EA24">
      <w:pPr>
        <w:pStyle w:val="49"/>
        <w:ind w:firstLine="480"/>
        <w:rPr>
          <w:rFonts w:hint="eastAsia" w:ascii="宋体" w:hAnsi="宋体" w:eastAsia="宋体" w:cs="宋体"/>
          <w:color w:val="auto"/>
          <w:sz w:val="24"/>
          <w:highlight w:val="none"/>
        </w:rPr>
      </w:pPr>
    </w:p>
    <w:p w14:paraId="2A3D8DD3">
      <w:pPr>
        <w:pStyle w:val="49"/>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注：本表可以扩展。</w:t>
      </w:r>
    </w:p>
    <w:p w14:paraId="48B04A2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法定代表人或授权代表签字或盖章：</w:t>
      </w:r>
    </w:p>
    <w:p w14:paraId="1B4FBA8B">
      <w:pPr>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Cs w:val="21"/>
          <w:highlight w:val="none"/>
        </w:rPr>
        <w:br w:type="page" w:clear="all"/>
      </w:r>
      <w:r>
        <w:rPr>
          <w:rFonts w:hint="eastAsia" w:ascii="宋体" w:hAnsi="宋体" w:eastAsia="宋体" w:cs="宋体"/>
          <w:bCs/>
          <w:color w:val="auto"/>
          <w:sz w:val="24"/>
          <w:szCs w:val="24"/>
          <w:highlight w:val="none"/>
        </w:rPr>
        <w:t>（十</w:t>
      </w:r>
      <w:r>
        <w:rPr>
          <w:rFonts w:hint="eastAsia" w:ascii="宋体" w:hAnsi="宋体" w:cs="宋体"/>
          <w:bCs/>
          <w:color w:val="auto"/>
          <w:sz w:val="24"/>
          <w:szCs w:val="24"/>
          <w:highlight w:val="none"/>
          <w:lang w:val="en-US" w:eastAsia="zh-CN"/>
        </w:rPr>
        <w:t>五</w:t>
      </w:r>
      <w:r>
        <w:rPr>
          <w:rFonts w:hint="eastAsia" w:ascii="宋体" w:hAnsi="宋体" w:eastAsia="宋体" w:cs="宋体"/>
          <w:bCs/>
          <w:color w:val="auto"/>
          <w:sz w:val="24"/>
          <w:szCs w:val="24"/>
          <w:highlight w:val="none"/>
        </w:rPr>
        <w:t>）技术方案（格式自拟）</w:t>
      </w:r>
    </w:p>
    <w:p w14:paraId="0E7288EB">
      <w:pPr>
        <w:spacing w:line="360" w:lineRule="auto"/>
        <w:ind w:firstLine="480"/>
        <w:jc w:val="center"/>
        <w:rPr>
          <w:rFonts w:hint="eastAsia" w:ascii="宋体" w:hAnsi="宋体" w:eastAsia="宋体" w:cs="宋体"/>
          <w:bCs/>
          <w:color w:val="auto"/>
          <w:sz w:val="24"/>
          <w:szCs w:val="24"/>
          <w:highlight w:val="none"/>
        </w:rPr>
      </w:pPr>
    </w:p>
    <w:p w14:paraId="03C398DE">
      <w:pPr>
        <w:jc w:val="center"/>
        <w:outlineLvl w:val="9"/>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技术方案</w:t>
      </w:r>
    </w:p>
    <w:p w14:paraId="26E62A9B">
      <w:pPr>
        <w:pStyle w:val="16"/>
        <w:rPr>
          <w:rFonts w:hint="eastAsia"/>
          <w:highlight w:val="none"/>
        </w:rPr>
      </w:pPr>
    </w:p>
    <w:p w14:paraId="3F5C8EEF">
      <w:pPr>
        <w:pStyle w:val="281"/>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投标供应商应按评分点编制完整的服务方案，以便评审。</w:t>
      </w:r>
    </w:p>
    <w:sectPr>
      <w:headerReference r:id="rId4" w:type="first"/>
      <w:headerReference r:id="rId3" w:type="default"/>
      <w:footerReference r:id="rId5" w:type="default"/>
      <w:pgSz w:w="11906" w:h="16838"/>
      <w:pgMar w:top="1440" w:right="1080" w:bottom="1440" w:left="1080" w:header="624"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87E46">
    <w:pPr>
      <w:pStyle w:val="83"/>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1</w:t>
    </w:r>
    <w:r>
      <w:rPr>
        <w:szCs w:val="21"/>
      </w:rPr>
      <w:fldChar w:fldCharType="end"/>
    </w:r>
    <w:r>
      <w:rPr>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56999">
    <w:pPr>
      <w:pStyle w:val="85"/>
      <w:rPr>
        <w:rFonts w:hint="default"/>
        <w:lang w:val="en-US"/>
      </w:rPr>
    </w:pPr>
    <w:r>
      <w:rPr>
        <w:rFonts w:hint="eastAsia" w:ascii="宋体" w:hAnsi="宋体"/>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9C389">
    <w:pPr>
      <w:pStyle w:val="85"/>
    </w:pPr>
    <w:r>
      <w:rPr>
        <w:rFonts w:hint="eastAsia" w:ascii="宋体" w:hAnsi="宋体"/>
        <w:lang w:eastAsia="zh-CN"/>
      </w:rPr>
      <w:t>JSZC-320211-ZZZJ-G2025-0002吴大成浜、蒋巷浜等11条河道生态修复养护</w:t>
    </w:r>
    <w:r>
      <w:rPr>
        <w:rFonts w:hint="eastAsia" w:ascii="宋体" w:hAnsi="宋体"/>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312"/>
        </w:tabs>
      </w:p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abstractNum w:abstractNumId="1">
    <w:nsid w:val="94FF3C9D"/>
    <w:multiLevelType w:val="multilevel"/>
    <w:tmpl w:val="94FF3C9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A02FE40B"/>
    <w:multiLevelType w:val="singleLevel"/>
    <w:tmpl w:val="A02FE40B"/>
    <w:lvl w:ilvl="0" w:tentative="0">
      <w:start w:val="1"/>
      <w:numFmt w:val="decimal"/>
      <w:lvlText w:val="%1."/>
      <w:lvlJc w:val="left"/>
      <w:pPr>
        <w:tabs>
          <w:tab w:val="left" w:pos="312"/>
        </w:tabs>
      </w:pPr>
    </w:lvl>
  </w:abstractNum>
  <w:abstractNum w:abstractNumId="3">
    <w:nsid w:val="AB045C0C"/>
    <w:multiLevelType w:val="multilevel"/>
    <w:tmpl w:val="AB045C0C"/>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CF092B84"/>
    <w:multiLevelType w:val="multilevel"/>
    <w:tmpl w:val="CF092B84"/>
    <w:lvl w:ilvl="0" w:tentative="0">
      <w:start w:val="1"/>
      <w:numFmt w:val="bullet"/>
      <w:pStyle w:val="66"/>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5">
    <w:nsid w:val="FC9A0F51"/>
    <w:multiLevelType w:val="singleLevel"/>
    <w:tmpl w:val="FC9A0F51"/>
    <w:lvl w:ilvl="0" w:tentative="0">
      <w:start w:val="4"/>
      <w:numFmt w:val="chineseCounting"/>
      <w:suff w:val="nothing"/>
      <w:lvlText w:val="%1、"/>
      <w:lvlJc w:val="left"/>
      <w:rPr>
        <w:rFonts w:hint="eastAsia"/>
      </w:rPr>
    </w:lvl>
  </w:abstractNum>
  <w:abstractNum w:abstractNumId="6">
    <w:nsid w:val="0053208E"/>
    <w:multiLevelType w:val="multilevel"/>
    <w:tmpl w:val="0053208E"/>
    <w:lvl w:ilvl="0" w:tentative="0">
      <w:start w:val="1"/>
      <w:numFmt w:val="upperLetter"/>
      <w:pStyle w:val="52"/>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1B7227B1"/>
    <w:multiLevelType w:val="multilevel"/>
    <w:tmpl w:val="1B7227B1"/>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6"/>
  </w:num>
  <w:num w:numId="2">
    <w:abstractNumId w:val="4"/>
  </w:num>
  <w:num w:numId="3">
    <w:abstractNumId w:val="1"/>
  </w:num>
  <w:num w:numId="4">
    <w:abstractNumId w:val="5"/>
  </w:num>
  <w:num w:numId="5">
    <w:abstractNumId w:val="2"/>
  </w:num>
  <w:num w:numId="6">
    <w:abstractNumId w:val="0"/>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E3168F"/>
    <w:rsid w:val="131808C7"/>
    <w:rsid w:val="157A53C4"/>
    <w:rsid w:val="18B463E2"/>
    <w:rsid w:val="2E7546F9"/>
    <w:rsid w:val="33516E7C"/>
    <w:rsid w:val="3FF322B2"/>
    <w:rsid w:val="4302748C"/>
    <w:rsid w:val="46574A9D"/>
    <w:rsid w:val="50021CA8"/>
    <w:rsid w:val="50B138A7"/>
    <w:rsid w:val="59500A8E"/>
    <w:rsid w:val="5CD5616C"/>
    <w:rsid w:val="5F7968CA"/>
    <w:rsid w:val="67986ED7"/>
    <w:rsid w:val="6B85027E"/>
    <w:rsid w:val="6DB4217C"/>
    <w:rsid w:val="6E72344A"/>
    <w:rsid w:val="7C1C7B67"/>
    <w:rsid w:val="7ED405D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92"/>
    <w:qFormat/>
    <w:uiPriority w:val="0"/>
    <w:pPr>
      <w:widowControl w:val="0"/>
      <w:jc w:val="both"/>
    </w:pPr>
    <w:rPr>
      <w:rFonts w:hint="default" w:ascii="Times New Roman" w:hAnsi="Times New Roman" w:eastAsia="宋体" w:cs="Times New Roman"/>
      <w:sz w:val="21"/>
      <w:lang w:val="en-US" w:eastAsia="zh-CN" w:bidi="ar-SA"/>
    </w:rPr>
  </w:style>
  <w:style w:type="paragraph" w:styleId="3">
    <w:name w:val="heading 1"/>
    <w:basedOn w:val="1"/>
    <w:next w:val="1"/>
    <w:link w:val="127"/>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128"/>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129"/>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130"/>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13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13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133"/>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134"/>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135"/>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2">
    <w:name w:val="标题 411"/>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12">
    <w:name w:val="toc 7"/>
    <w:basedOn w:val="1"/>
    <w:next w:val="1"/>
    <w:unhideWhenUsed/>
    <w:qFormat/>
    <w:uiPriority w:val="39"/>
    <w:pPr>
      <w:spacing w:after="57"/>
      <w:ind w:left="1701" w:right="0" w:firstLine="0"/>
    </w:pPr>
  </w:style>
  <w:style w:type="paragraph" w:styleId="13">
    <w:name w:val="Normal Indent"/>
    <w:basedOn w:val="1"/>
    <w:unhideWhenUsed/>
    <w:qFormat/>
    <w:uiPriority w:val="0"/>
    <w:pPr>
      <w:ind w:firstLine="420"/>
    </w:pPr>
    <w:rPr>
      <w:szCs w:val="24"/>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w:basedOn w:val="1"/>
    <w:next w:val="1"/>
    <w:qFormat/>
    <w:uiPriority w:val="0"/>
    <w:rPr>
      <w:rFonts w:ascii="仿宋_GB2312" w:eastAsia="仿宋_GB2312"/>
      <w:sz w:val="28"/>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next w:val="20"/>
    <w:qFormat/>
    <w:uiPriority w:val="0"/>
    <w:rPr>
      <w:rFonts w:ascii="宋体" w:hAnsi="Courier New" w:eastAsia="宋体" w:cs="Times New Roman"/>
      <w:szCs w:val="21"/>
    </w:rPr>
  </w:style>
  <w:style w:type="paragraph" w:styleId="20">
    <w:name w:val="toc 2"/>
    <w:basedOn w:val="1"/>
    <w:next w:val="1"/>
    <w:unhideWhenUsed/>
    <w:qFormat/>
    <w:uiPriority w:val="39"/>
    <w:pPr>
      <w:spacing w:after="57"/>
      <w:ind w:left="283" w:right="0" w:firstLine="0"/>
    </w:pPr>
  </w:style>
  <w:style w:type="paragraph" w:styleId="21">
    <w:name w:val="toc 8"/>
    <w:basedOn w:val="1"/>
    <w:next w:val="1"/>
    <w:unhideWhenUsed/>
    <w:qFormat/>
    <w:uiPriority w:val="39"/>
    <w:pPr>
      <w:spacing w:after="57"/>
      <w:ind w:left="1984" w:right="0" w:firstLine="0"/>
    </w:pPr>
  </w:style>
  <w:style w:type="paragraph" w:styleId="22">
    <w:name w:val="endnote text"/>
    <w:basedOn w:val="1"/>
    <w:semiHidden/>
    <w:unhideWhenUsed/>
    <w:qFormat/>
    <w:uiPriority w:val="99"/>
    <w:pPr>
      <w:spacing w:after="0" w:line="240" w:lineRule="auto"/>
    </w:pPr>
    <w:rPr>
      <w:sz w:val="20"/>
    </w:rPr>
  </w:style>
  <w:style w:type="paragraph" w:styleId="23">
    <w:name w:val="footer"/>
    <w:basedOn w:val="1"/>
    <w:next w:val="24"/>
    <w:unhideWhenUsed/>
    <w:qFormat/>
    <w:uiPriority w:val="99"/>
    <w:pPr>
      <w:tabs>
        <w:tab w:val="center" w:pos="7143"/>
        <w:tab w:val="right" w:pos="14287"/>
      </w:tabs>
      <w:spacing w:after="0" w:line="240" w:lineRule="auto"/>
    </w:pPr>
  </w:style>
  <w:style w:type="paragraph" w:customStyle="1" w:styleId="24">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lang w:val="en-US" w:eastAsia="zh-CN" w:bidi="ar-SA"/>
    </w:rPr>
  </w:style>
  <w:style w:type="paragraph" w:styleId="25">
    <w:name w:val="header"/>
    <w:basedOn w:val="1"/>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qFormat/>
    <w:uiPriority w:val="11"/>
    <w:pPr>
      <w:spacing w:before="200" w:after="200"/>
    </w:pPr>
    <w:rPr>
      <w:sz w:val="24"/>
      <w:szCs w:val="24"/>
    </w:rPr>
  </w:style>
  <w:style w:type="paragraph" w:styleId="29">
    <w:name w:val="List"/>
    <w:basedOn w:val="1"/>
    <w:qFormat/>
    <w:uiPriority w:val="0"/>
    <w:pPr>
      <w:tabs>
        <w:tab w:val="left" w:pos="420"/>
      </w:tabs>
      <w:spacing w:after="20" w:line="288" w:lineRule="auto"/>
      <w:ind w:left="420" w:hanging="420"/>
    </w:pPr>
    <w:rPr>
      <w:lang w:val="en-GB"/>
    </w:rPr>
  </w:style>
  <w:style w:type="paragraph" w:styleId="30">
    <w:name w:val="footnote text"/>
    <w:basedOn w:val="1"/>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9"/>
    <w:basedOn w:val="1"/>
    <w:next w:val="1"/>
    <w:unhideWhenUsed/>
    <w:qFormat/>
    <w:uiPriority w:val="39"/>
    <w:pPr>
      <w:spacing w:after="57"/>
      <w:ind w:left="2268" w:right="0" w:firstLine="0"/>
    </w:pPr>
  </w:style>
  <w:style w:type="paragraph" w:styleId="34">
    <w:name w:val="Normal (Web)"/>
    <w:basedOn w:val="1"/>
    <w:qFormat/>
    <w:uiPriority w:val="0"/>
    <w:pPr>
      <w:widowControl/>
      <w:adjustRightInd w:val="0"/>
      <w:spacing w:before="100" w:beforeAutospacing="1" w:after="100" w:afterAutospacing="1" w:line="288" w:lineRule="auto"/>
      <w:ind w:firstLine="420"/>
      <w:jc w:val="left"/>
      <w:textAlignment w:val="baseline"/>
    </w:pPr>
    <w:rPr>
      <w:rFonts w:ascii="宋体" w:hAnsi="宋体"/>
      <w:sz w:val="24"/>
    </w:rPr>
  </w:style>
  <w:style w:type="paragraph" w:styleId="35">
    <w:name w:val="Title"/>
    <w:basedOn w:val="1"/>
    <w:next w:val="1"/>
    <w:qFormat/>
    <w:uiPriority w:val="10"/>
    <w:pPr>
      <w:spacing w:before="300" w:after="200"/>
      <w:contextualSpacing/>
    </w:pPr>
    <w:rPr>
      <w:sz w:val="48"/>
      <w:szCs w:val="48"/>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annotation reference"/>
    <w:basedOn w:val="38"/>
    <w:semiHidden/>
    <w:unhideWhenUsed/>
    <w:qFormat/>
    <w:uiPriority w:val="0"/>
    <w:rPr>
      <w:sz w:val="21"/>
      <w:szCs w:val="21"/>
    </w:rPr>
  </w:style>
  <w:style w:type="character" w:styleId="42">
    <w:name w:val="footnote reference"/>
    <w:unhideWhenUsed/>
    <w:qFormat/>
    <w:uiPriority w:val="99"/>
    <w:rPr>
      <w:vertAlign w:val="superscript"/>
    </w:rPr>
  </w:style>
  <w:style w:type="character" w:customStyle="1" w:styleId="43">
    <w:name w:val="标题 1 Char"/>
    <w:link w:val="44"/>
    <w:qFormat/>
    <w:uiPriority w:val="99"/>
    <w:rPr>
      <w:rFonts w:ascii="楷体_GB2312" w:hAnsi="Times New Roman" w:eastAsia="楷体_GB2312" w:cs="Times New Roman"/>
      <w:b/>
      <w:sz w:val="28"/>
      <w:szCs w:val="20"/>
    </w:rPr>
  </w:style>
  <w:style w:type="paragraph" w:customStyle="1" w:styleId="44">
    <w:name w:val="标题 11"/>
    <w:basedOn w:val="1"/>
    <w:next w:val="1"/>
    <w:link w:val="43"/>
    <w:qFormat/>
    <w:uiPriority w:val="99"/>
    <w:pPr>
      <w:keepNext/>
      <w:jc w:val="center"/>
      <w:outlineLvl w:val="0"/>
    </w:pPr>
    <w:rPr>
      <w:rFonts w:ascii="楷体_GB2312" w:eastAsia="楷体_GB2312"/>
      <w:b/>
      <w:sz w:val="28"/>
    </w:rPr>
  </w:style>
  <w:style w:type="character" w:customStyle="1" w:styleId="45">
    <w:name w:val="标题 2 Char"/>
    <w:link w:val="46"/>
    <w:qFormat/>
    <w:uiPriority w:val="99"/>
    <w:rPr>
      <w:rFonts w:ascii="楷体_GB2312" w:hAnsi="Times New Roman" w:eastAsia="楷体_GB2312" w:cs="Times New Roman"/>
      <w:b/>
      <w:bCs/>
      <w:sz w:val="18"/>
      <w:szCs w:val="20"/>
    </w:rPr>
  </w:style>
  <w:style w:type="paragraph" w:customStyle="1" w:styleId="46">
    <w:name w:val="标题 21"/>
    <w:basedOn w:val="1"/>
    <w:next w:val="1"/>
    <w:link w:val="45"/>
    <w:qFormat/>
    <w:uiPriority w:val="99"/>
    <w:pPr>
      <w:keepNext/>
      <w:jc w:val="center"/>
      <w:outlineLvl w:val="1"/>
    </w:pPr>
    <w:rPr>
      <w:rFonts w:ascii="楷体_GB2312" w:eastAsia="楷体_GB2312"/>
      <w:b/>
      <w:bCs/>
      <w:sz w:val="18"/>
    </w:rPr>
  </w:style>
  <w:style w:type="paragraph" w:customStyle="1" w:styleId="47">
    <w:name w:val="BodyText1I"/>
    <w:basedOn w:val="48"/>
    <w:qFormat/>
    <w:uiPriority w:val="99"/>
    <w:pPr>
      <w:spacing w:after="120"/>
      <w:ind w:firstLine="420"/>
    </w:pPr>
    <w:rPr>
      <w:rFonts w:ascii="Times New Roman" w:eastAsia="宋体" w:cs="Times New Roman"/>
      <w:sz w:val="20"/>
      <w:szCs w:val="20"/>
    </w:rPr>
  </w:style>
  <w:style w:type="paragraph" w:customStyle="1" w:styleId="48">
    <w:name w:val="BodyText"/>
    <w:basedOn w:val="1"/>
    <w:qFormat/>
    <w:uiPriority w:val="99"/>
    <w:rPr>
      <w:rFonts w:ascii="华文中宋" w:eastAsia="Times New Roman" w:cs="华文中宋"/>
      <w:sz w:val="28"/>
      <w:szCs w:val="28"/>
    </w:rPr>
  </w:style>
  <w:style w:type="paragraph" w:customStyle="1" w:styleId="49">
    <w:name w:val="正文缩进1"/>
    <w:basedOn w:val="1"/>
    <w:link w:val="55"/>
    <w:unhideWhenUsed/>
    <w:qFormat/>
    <w:uiPriority w:val="0"/>
    <w:pPr>
      <w:ind w:firstLine="420"/>
    </w:pPr>
    <w:rPr>
      <w:szCs w:val="24"/>
    </w:rPr>
  </w:style>
  <w:style w:type="paragraph" w:customStyle="1" w:styleId="50">
    <w:name w:val="标题 31"/>
    <w:basedOn w:val="1"/>
    <w:next w:val="1"/>
    <w:link w:val="56"/>
    <w:qFormat/>
    <w:uiPriority w:val="99"/>
    <w:pPr>
      <w:keepNext/>
      <w:jc w:val="center"/>
      <w:outlineLvl w:val="2"/>
    </w:pPr>
    <w:rPr>
      <w:rFonts w:eastAsia="楷体_GB2312"/>
      <w:b/>
      <w:bCs/>
      <w:sz w:val="15"/>
    </w:rPr>
  </w:style>
  <w:style w:type="paragraph" w:customStyle="1" w:styleId="51">
    <w:name w:val="标题 41"/>
    <w:basedOn w:val="1"/>
    <w:next w:val="49"/>
    <w:link w:val="57"/>
    <w:qFormat/>
    <w:uiPriority w:val="99"/>
    <w:pPr>
      <w:keepNext/>
      <w:jc w:val="center"/>
      <w:outlineLvl w:val="3"/>
    </w:pPr>
    <w:rPr>
      <w:rFonts w:eastAsia="楷体_GB2312"/>
      <w:b/>
      <w:bCs/>
      <w:sz w:val="13"/>
    </w:rPr>
  </w:style>
  <w:style w:type="paragraph" w:customStyle="1" w:styleId="52">
    <w:name w:val="标题 51"/>
    <w:basedOn w:val="1"/>
    <w:next w:val="1"/>
    <w:link w:val="58"/>
    <w:qFormat/>
    <w:uiPriority w:val="99"/>
    <w:pPr>
      <w:keepNext/>
      <w:numPr>
        <w:ilvl w:val="0"/>
        <w:numId w:val="1"/>
      </w:numPr>
      <w:outlineLvl w:val="4"/>
    </w:pPr>
    <w:rPr>
      <w:rFonts w:ascii="楷体_GB2312" w:eastAsia="楷体_GB2312"/>
      <w:bCs/>
      <w:sz w:val="28"/>
    </w:rPr>
  </w:style>
  <w:style w:type="character" w:customStyle="1" w:styleId="53">
    <w:name w:val="默认段落字体1"/>
    <w:link w:val="1"/>
    <w:unhideWhenUsed/>
    <w:qFormat/>
    <w:uiPriority w:val="1"/>
  </w:style>
  <w:style w:type="table" w:customStyle="1" w:styleId="54">
    <w:name w:val="普通表格1"/>
    <w:unhideWhenUsed/>
    <w:qFormat/>
    <w:uiPriority w:val="99"/>
  </w:style>
  <w:style w:type="character" w:customStyle="1" w:styleId="55">
    <w:name w:val="正文缩进 Char"/>
    <w:link w:val="49"/>
    <w:qFormat/>
    <w:uiPriority w:val="0"/>
    <w:rPr>
      <w:rFonts w:ascii="Times New Roman" w:hAnsi="Times New Roman"/>
      <w:sz w:val="21"/>
      <w:szCs w:val="24"/>
    </w:rPr>
  </w:style>
  <w:style w:type="character" w:customStyle="1" w:styleId="56">
    <w:name w:val="标题 3 Char"/>
    <w:link w:val="50"/>
    <w:qFormat/>
    <w:uiPriority w:val="99"/>
    <w:rPr>
      <w:rFonts w:ascii="Times New Roman" w:hAnsi="Times New Roman" w:eastAsia="楷体_GB2312" w:cs="Times New Roman"/>
      <w:b/>
      <w:bCs/>
      <w:sz w:val="15"/>
      <w:szCs w:val="20"/>
    </w:rPr>
  </w:style>
  <w:style w:type="character" w:customStyle="1" w:styleId="57">
    <w:name w:val="标题 4 Char"/>
    <w:link w:val="51"/>
    <w:qFormat/>
    <w:uiPriority w:val="99"/>
    <w:rPr>
      <w:rFonts w:ascii="Times New Roman" w:hAnsi="Times New Roman" w:eastAsia="楷体_GB2312" w:cs="Times New Roman"/>
      <w:b/>
      <w:bCs/>
      <w:sz w:val="13"/>
      <w:szCs w:val="20"/>
    </w:rPr>
  </w:style>
  <w:style w:type="character" w:customStyle="1" w:styleId="58">
    <w:name w:val="标题 5 Char"/>
    <w:link w:val="52"/>
    <w:qFormat/>
    <w:uiPriority w:val="99"/>
    <w:rPr>
      <w:rFonts w:ascii="楷体_GB2312" w:hAnsi="Times New Roman" w:eastAsia="楷体_GB2312" w:cs="Times New Roman"/>
      <w:bCs/>
      <w:sz w:val="28"/>
      <w:szCs w:val="20"/>
    </w:rPr>
  </w:style>
  <w:style w:type="paragraph" w:customStyle="1" w:styleId="59">
    <w:name w:val="目录 71"/>
    <w:basedOn w:val="1"/>
    <w:next w:val="1"/>
    <w:unhideWhenUsed/>
    <w:qFormat/>
    <w:uiPriority w:val="39"/>
    <w:pPr>
      <w:spacing w:after="57"/>
      <w:ind w:left="1701"/>
    </w:pPr>
  </w:style>
  <w:style w:type="paragraph" w:customStyle="1" w:styleId="60">
    <w:name w:val="索引 51"/>
    <w:basedOn w:val="1"/>
    <w:next w:val="1"/>
    <w:unhideWhenUsed/>
    <w:qFormat/>
    <w:uiPriority w:val="99"/>
    <w:pPr>
      <w:ind w:left="800"/>
    </w:pPr>
  </w:style>
  <w:style w:type="paragraph" w:customStyle="1" w:styleId="61">
    <w:name w:val="文档结构图1"/>
    <w:basedOn w:val="1"/>
    <w:next w:val="1"/>
    <w:link w:val="62"/>
    <w:semiHidden/>
    <w:qFormat/>
    <w:uiPriority w:val="99"/>
    <w:pPr>
      <w:shd w:val="clear" w:color="auto" w:fill="000080"/>
    </w:pPr>
    <w:rPr>
      <w:sz w:val="20"/>
    </w:rPr>
  </w:style>
  <w:style w:type="character" w:customStyle="1" w:styleId="62">
    <w:name w:val="文档结构图 Char"/>
    <w:link w:val="61"/>
    <w:semiHidden/>
    <w:qFormat/>
    <w:uiPriority w:val="99"/>
    <w:rPr>
      <w:rFonts w:ascii="Times New Roman" w:hAnsi="Times New Roman" w:eastAsia="宋体" w:cs="Times New Roman"/>
      <w:szCs w:val="20"/>
      <w:shd w:val="clear" w:color="auto" w:fill="000080"/>
    </w:rPr>
  </w:style>
  <w:style w:type="paragraph" w:customStyle="1" w:styleId="63">
    <w:name w:val="批注文字1"/>
    <w:basedOn w:val="1"/>
    <w:link w:val="64"/>
    <w:semiHidden/>
    <w:qFormat/>
    <w:uiPriority w:val="0"/>
    <w:pPr>
      <w:jc w:val="left"/>
    </w:pPr>
    <w:rPr>
      <w:sz w:val="20"/>
      <w:szCs w:val="24"/>
    </w:rPr>
  </w:style>
  <w:style w:type="character" w:customStyle="1" w:styleId="64">
    <w:name w:val="批注文字 Char"/>
    <w:link w:val="63"/>
    <w:semiHidden/>
    <w:qFormat/>
    <w:uiPriority w:val="0"/>
    <w:rPr>
      <w:rFonts w:ascii="Times New Roman" w:hAnsi="Times New Roman" w:eastAsia="宋体" w:cs="Times New Roman"/>
      <w:szCs w:val="24"/>
    </w:rPr>
  </w:style>
  <w:style w:type="paragraph" w:customStyle="1" w:styleId="65">
    <w:name w:val="正文文本11"/>
    <w:basedOn w:val="1"/>
    <w:next w:val="66"/>
    <w:link w:val="67"/>
    <w:qFormat/>
    <w:uiPriority w:val="99"/>
    <w:rPr>
      <w:rFonts w:ascii="华文中宋" w:eastAsia="华文中宋"/>
      <w:bCs/>
      <w:sz w:val="28"/>
    </w:rPr>
  </w:style>
  <w:style w:type="paragraph" w:customStyle="1" w:styleId="66">
    <w:name w:val="列表1"/>
    <w:basedOn w:val="1"/>
    <w:qFormat/>
    <w:uiPriority w:val="0"/>
    <w:pPr>
      <w:numPr>
        <w:ilvl w:val="0"/>
        <w:numId w:val="2"/>
      </w:numPr>
      <w:spacing w:after="20" w:line="288" w:lineRule="auto"/>
    </w:pPr>
    <w:rPr>
      <w:lang w:val="en-GB"/>
    </w:rPr>
  </w:style>
  <w:style w:type="character" w:customStyle="1" w:styleId="67">
    <w:name w:val="正文文本 Char"/>
    <w:link w:val="65"/>
    <w:qFormat/>
    <w:uiPriority w:val="99"/>
    <w:rPr>
      <w:rFonts w:ascii="华文中宋" w:hAnsi="Times New Roman" w:eastAsia="华文中宋" w:cs="Times New Roman"/>
      <w:bCs/>
      <w:sz w:val="28"/>
      <w:szCs w:val="20"/>
    </w:rPr>
  </w:style>
  <w:style w:type="paragraph" w:customStyle="1" w:styleId="68">
    <w:name w:val="正文文本缩进1"/>
    <w:basedOn w:val="1"/>
    <w:next w:val="1"/>
    <w:link w:val="69"/>
    <w:qFormat/>
    <w:uiPriority w:val="0"/>
    <w:pPr>
      <w:ind w:firstLine="576"/>
    </w:pPr>
    <w:rPr>
      <w:b/>
      <w:sz w:val="30"/>
    </w:rPr>
  </w:style>
  <w:style w:type="character" w:customStyle="1" w:styleId="69">
    <w:name w:val="正文文本缩进 Char"/>
    <w:link w:val="68"/>
    <w:qFormat/>
    <w:uiPriority w:val="0"/>
    <w:rPr>
      <w:rFonts w:ascii="Times New Roman" w:hAnsi="Times New Roman" w:eastAsia="宋体" w:cs="Times New Roman"/>
      <w:b/>
      <w:sz w:val="30"/>
      <w:szCs w:val="20"/>
    </w:rPr>
  </w:style>
  <w:style w:type="paragraph" w:customStyle="1" w:styleId="70">
    <w:name w:val="目录 51"/>
    <w:basedOn w:val="1"/>
    <w:next w:val="1"/>
    <w:unhideWhenUsed/>
    <w:qFormat/>
    <w:uiPriority w:val="39"/>
    <w:pPr>
      <w:spacing w:after="57"/>
      <w:ind w:left="1134"/>
    </w:pPr>
  </w:style>
  <w:style w:type="paragraph" w:customStyle="1" w:styleId="71">
    <w:name w:val="目录 31"/>
    <w:basedOn w:val="1"/>
    <w:next w:val="1"/>
    <w:unhideWhenUsed/>
    <w:qFormat/>
    <w:uiPriority w:val="39"/>
    <w:pPr>
      <w:spacing w:after="57"/>
      <w:ind w:left="567"/>
    </w:pPr>
  </w:style>
  <w:style w:type="paragraph" w:customStyle="1" w:styleId="72">
    <w:name w:val="纯文本11"/>
    <w:basedOn w:val="1"/>
    <w:link w:val="73"/>
    <w:qFormat/>
    <w:uiPriority w:val="0"/>
    <w:rPr>
      <w:rFonts w:ascii="宋体" w:hAnsi="Courier New"/>
      <w:szCs w:val="21"/>
    </w:rPr>
  </w:style>
  <w:style w:type="character" w:customStyle="1" w:styleId="73">
    <w:name w:val="纯文本 Char"/>
    <w:link w:val="72"/>
    <w:qFormat/>
    <w:uiPriority w:val="0"/>
    <w:rPr>
      <w:rFonts w:ascii="宋体" w:hAnsi="Courier New"/>
      <w:sz w:val="21"/>
      <w:szCs w:val="21"/>
    </w:rPr>
  </w:style>
  <w:style w:type="paragraph" w:customStyle="1" w:styleId="74">
    <w:name w:val="目录 81"/>
    <w:basedOn w:val="1"/>
    <w:next w:val="1"/>
    <w:unhideWhenUsed/>
    <w:qFormat/>
    <w:uiPriority w:val="39"/>
    <w:pPr>
      <w:spacing w:after="57"/>
      <w:ind w:left="1984"/>
    </w:pPr>
  </w:style>
  <w:style w:type="paragraph" w:customStyle="1" w:styleId="75">
    <w:name w:val="日期1"/>
    <w:basedOn w:val="1"/>
    <w:next w:val="1"/>
    <w:link w:val="76"/>
    <w:qFormat/>
    <w:uiPriority w:val="99"/>
    <w:rPr>
      <w:rFonts w:eastAsia="黑体"/>
      <w:b/>
      <w:sz w:val="36"/>
    </w:rPr>
  </w:style>
  <w:style w:type="character" w:customStyle="1" w:styleId="76">
    <w:name w:val="日期 Char"/>
    <w:link w:val="75"/>
    <w:qFormat/>
    <w:uiPriority w:val="99"/>
    <w:rPr>
      <w:rFonts w:ascii="Times New Roman" w:hAnsi="Times New Roman" w:eastAsia="黑体" w:cs="Times New Roman"/>
      <w:b/>
      <w:sz w:val="36"/>
      <w:szCs w:val="20"/>
    </w:rPr>
  </w:style>
  <w:style w:type="paragraph" w:customStyle="1" w:styleId="77">
    <w:name w:val="正文文本缩进 21"/>
    <w:basedOn w:val="1"/>
    <w:link w:val="78"/>
    <w:qFormat/>
    <w:uiPriority w:val="99"/>
    <w:pPr>
      <w:ind w:left="900"/>
    </w:pPr>
    <w:rPr>
      <w:rFonts w:ascii="楷体_GB2312" w:eastAsia="楷体_GB2312"/>
      <w:b/>
      <w:sz w:val="28"/>
    </w:rPr>
  </w:style>
  <w:style w:type="character" w:customStyle="1" w:styleId="78">
    <w:name w:val="正文文本缩进 2 Char"/>
    <w:link w:val="77"/>
    <w:qFormat/>
    <w:uiPriority w:val="99"/>
    <w:rPr>
      <w:rFonts w:ascii="楷体_GB2312" w:hAnsi="Times New Roman" w:eastAsia="楷体_GB2312" w:cs="Times New Roman"/>
      <w:b/>
      <w:sz w:val="28"/>
      <w:szCs w:val="20"/>
    </w:rPr>
  </w:style>
  <w:style w:type="paragraph" w:customStyle="1" w:styleId="79">
    <w:name w:val="尾注文本1"/>
    <w:basedOn w:val="1"/>
    <w:link w:val="80"/>
    <w:unhideWhenUsed/>
    <w:qFormat/>
    <w:uiPriority w:val="99"/>
    <w:rPr>
      <w:sz w:val="20"/>
    </w:rPr>
  </w:style>
  <w:style w:type="character" w:customStyle="1" w:styleId="80">
    <w:name w:val="尾注文本 Char"/>
    <w:link w:val="79"/>
    <w:qFormat/>
    <w:uiPriority w:val="99"/>
    <w:rPr>
      <w:sz w:val="20"/>
    </w:rPr>
  </w:style>
  <w:style w:type="paragraph" w:customStyle="1" w:styleId="81">
    <w:name w:val="批注框文本1"/>
    <w:basedOn w:val="1"/>
    <w:link w:val="82"/>
    <w:unhideWhenUsed/>
    <w:qFormat/>
    <w:uiPriority w:val="99"/>
    <w:rPr>
      <w:sz w:val="18"/>
      <w:szCs w:val="18"/>
    </w:rPr>
  </w:style>
  <w:style w:type="character" w:customStyle="1" w:styleId="82">
    <w:name w:val="批注框文本 Char"/>
    <w:link w:val="81"/>
    <w:semiHidden/>
    <w:qFormat/>
    <w:uiPriority w:val="99"/>
    <w:rPr>
      <w:rFonts w:ascii="Times New Roman" w:hAnsi="Times New Roman" w:eastAsia="宋体" w:cs="Times New Roman"/>
      <w:sz w:val="18"/>
      <w:szCs w:val="18"/>
    </w:rPr>
  </w:style>
  <w:style w:type="paragraph" w:customStyle="1" w:styleId="83">
    <w:name w:val="页脚11"/>
    <w:basedOn w:val="1"/>
    <w:link w:val="84"/>
    <w:unhideWhenUsed/>
    <w:qFormat/>
    <w:uiPriority w:val="99"/>
    <w:pPr>
      <w:tabs>
        <w:tab w:val="center" w:pos="4153"/>
        <w:tab w:val="right" w:pos="8306"/>
      </w:tabs>
      <w:jc w:val="left"/>
    </w:pPr>
    <w:rPr>
      <w:sz w:val="18"/>
      <w:szCs w:val="18"/>
    </w:rPr>
  </w:style>
  <w:style w:type="character" w:customStyle="1" w:styleId="84">
    <w:name w:val="页脚 Char"/>
    <w:link w:val="83"/>
    <w:qFormat/>
    <w:uiPriority w:val="99"/>
    <w:rPr>
      <w:sz w:val="18"/>
      <w:szCs w:val="18"/>
    </w:rPr>
  </w:style>
  <w:style w:type="paragraph" w:customStyle="1" w:styleId="85">
    <w:name w:val="页眉1"/>
    <w:basedOn w:val="1"/>
    <w:link w:val="86"/>
    <w:unhideWhenUsed/>
    <w:qFormat/>
    <w:uiPriority w:val="0"/>
    <w:pPr>
      <w:pBdr>
        <w:bottom w:val="single" w:color="000000" w:sz="6" w:space="1"/>
      </w:pBdr>
      <w:tabs>
        <w:tab w:val="center" w:pos="4153"/>
        <w:tab w:val="right" w:pos="8306"/>
      </w:tabs>
      <w:jc w:val="center"/>
    </w:pPr>
    <w:rPr>
      <w:sz w:val="18"/>
      <w:szCs w:val="18"/>
    </w:rPr>
  </w:style>
  <w:style w:type="character" w:customStyle="1" w:styleId="86">
    <w:name w:val="页眉 Char"/>
    <w:link w:val="85"/>
    <w:qFormat/>
    <w:uiPriority w:val="0"/>
    <w:rPr>
      <w:sz w:val="18"/>
      <w:szCs w:val="18"/>
    </w:rPr>
  </w:style>
  <w:style w:type="paragraph" w:customStyle="1" w:styleId="87">
    <w:name w:val="目录 11"/>
    <w:basedOn w:val="1"/>
    <w:next w:val="1"/>
    <w:unhideWhenUsed/>
    <w:qFormat/>
    <w:uiPriority w:val="39"/>
    <w:pPr>
      <w:spacing w:after="57"/>
    </w:pPr>
  </w:style>
  <w:style w:type="paragraph" w:customStyle="1" w:styleId="88">
    <w:name w:val="目录 41"/>
    <w:basedOn w:val="1"/>
    <w:next w:val="1"/>
    <w:unhideWhenUsed/>
    <w:qFormat/>
    <w:uiPriority w:val="39"/>
    <w:pPr>
      <w:spacing w:after="57"/>
      <w:ind w:left="850"/>
    </w:pPr>
  </w:style>
  <w:style w:type="paragraph" w:customStyle="1" w:styleId="89">
    <w:name w:val="副标题1"/>
    <w:basedOn w:val="1"/>
    <w:next w:val="1"/>
    <w:link w:val="90"/>
    <w:qFormat/>
    <w:uiPriority w:val="11"/>
    <w:pPr>
      <w:spacing w:before="200" w:after="200"/>
    </w:pPr>
    <w:rPr>
      <w:sz w:val="24"/>
      <w:szCs w:val="24"/>
    </w:rPr>
  </w:style>
  <w:style w:type="character" w:customStyle="1" w:styleId="90">
    <w:name w:val="副标题 Char"/>
    <w:link w:val="89"/>
    <w:qFormat/>
    <w:uiPriority w:val="11"/>
    <w:rPr>
      <w:sz w:val="24"/>
      <w:szCs w:val="24"/>
    </w:rPr>
  </w:style>
  <w:style w:type="paragraph" w:customStyle="1" w:styleId="91">
    <w:name w:val="脚注文本1"/>
    <w:basedOn w:val="1"/>
    <w:next w:val="60"/>
    <w:link w:val="119"/>
    <w:qFormat/>
    <w:uiPriority w:val="0"/>
    <w:pPr>
      <w:spacing w:before="120" w:line="360" w:lineRule="auto"/>
      <w:ind w:firstLine="425"/>
      <w:jc w:val="left"/>
    </w:pPr>
    <w:rPr>
      <w:sz w:val="18"/>
    </w:rPr>
  </w:style>
  <w:style w:type="character" w:customStyle="1" w:styleId="92">
    <w:name w:val="脚注文本 Char"/>
    <w:link w:val="91"/>
    <w:qFormat/>
    <w:uiPriority w:val="0"/>
    <w:rPr>
      <w:rFonts w:ascii="Times New Roman" w:hAnsi="Times New Roman"/>
      <w:sz w:val="18"/>
    </w:rPr>
  </w:style>
  <w:style w:type="paragraph" w:customStyle="1" w:styleId="93">
    <w:name w:val="目录 61"/>
    <w:basedOn w:val="1"/>
    <w:next w:val="1"/>
    <w:unhideWhenUsed/>
    <w:qFormat/>
    <w:uiPriority w:val="39"/>
    <w:pPr>
      <w:spacing w:after="57"/>
      <w:ind w:left="1417"/>
    </w:pPr>
  </w:style>
  <w:style w:type="paragraph" w:customStyle="1" w:styleId="94">
    <w:name w:val="正文文本缩进 31"/>
    <w:basedOn w:val="1"/>
    <w:link w:val="95"/>
    <w:qFormat/>
    <w:uiPriority w:val="99"/>
    <w:pPr>
      <w:ind w:left="359" w:firstLine="359"/>
    </w:pPr>
    <w:rPr>
      <w:sz w:val="20"/>
    </w:rPr>
  </w:style>
  <w:style w:type="character" w:customStyle="1" w:styleId="95">
    <w:name w:val="正文文本缩进 3 Char"/>
    <w:link w:val="94"/>
    <w:qFormat/>
    <w:uiPriority w:val="99"/>
    <w:rPr>
      <w:rFonts w:ascii="Times New Roman" w:hAnsi="Times New Roman" w:eastAsia="宋体" w:cs="Times New Roman"/>
      <w:szCs w:val="20"/>
    </w:rPr>
  </w:style>
  <w:style w:type="paragraph" w:customStyle="1" w:styleId="96">
    <w:name w:val="图表目录1"/>
    <w:basedOn w:val="1"/>
    <w:next w:val="1"/>
    <w:unhideWhenUsed/>
    <w:qFormat/>
    <w:uiPriority w:val="99"/>
  </w:style>
  <w:style w:type="paragraph" w:customStyle="1" w:styleId="97">
    <w:name w:val="目录 21"/>
    <w:basedOn w:val="1"/>
    <w:next w:val="1"/>
    <w:unhideWhenUsed/>
    <w:qFormat/>
    <w:uiPriority w:val="39"/>
    <w:pPr>
      <w:spacing w:after="57"/>
      <w:ind w:left="283"/>
    </w:pPr>
  </w:style>
  <w:style w:type="paragraph" w:customStyle="1" w:styleId="98">
    <w:name w:val="目录 91"/>
    <w:basedOn w:val="1"/>
    <w:next w:val="1"/>
    <w:unhideWhenUsed/>
    <w:qFormat/>
    <w:uiPriority w:val="39"/>
    <w:pPr>
      <w:spacing w:after="57"/>
      <w:ind w:left="2268"/>
    </w:pPr>
  </w:style>
  <w:style w:type="paragraph" w:customStyle="1" w:styleId="99">
    <w:name w:val="正文文本 21"/>
    <w:basedOn w:val="1"/>
    <w:link w:val="100"/>
    <w:qFormat/>
    <w:uiPriority w:val="99"/>
    <w:pPr>
      <w:spacing w:after="120" w:line="480" w:lineRule="auto"/>
    </w:pPr>
    <w:rPr>
      <w:sz w:val="20"/>
    </w:rPr>
  </w:style>
  <w:style w:type="character" w:customStyle="1" w:styleId="100">
    <w:name w:val="正文文本 2 Char"/>
    <w:link w:val="99"/>
    <w:qFormat/>
    <w:uiPriority w:val="99"/>
    <w:rPr>
      <w:rFonts w:ascii="Times New Roman" w:hAnsi="Times New Roman" w:eastAsia="宋体" w:cs="Times New Roman"/>
      <w:szCs w:val="20"/>
    </w:rPr>
  </w:style>
  <w:style w:type="paragraph" w:customStyle="1" w:styleId="101">
    <w:name w:val="普通(网站)1"/>
    <w:basedOn w:val="1"/>
    <w:link w:val="102"/>
    <w:qFormat/>
    <w:uiPriority w:val="0"/>
    <w:pPr>
      <w:widowControl/>
      <w:spacing w:before="100" w:beforeAutospacing="1" w:after="100" w:afterAutospacing="1" w:line="288" w:lineRule="auto"/>
      <w:ind w:firstLine="420"/>
      <w:jc w:val="left"/>
    </w:pPr>
    <w:rPr>
      <w:rFonts w:ascii="宋体" w:hAnsi="宋体"/>
      <w:sz w:val="24"/>
      <w:szCs w:val="24"/>
    </w:rPr>
  </w:style>
  <w:style w:type="character" w:customStyle="1" w:styleId="102">
    <w:name w:val="普通(网站) Char"/>
    <w:link w:val="101"/>
    <w:qFormat/>
    <w:uiPriority w:val="0"/>
    <w:rPr>
      <w:rFonts w:ascii="宋体" w:hAnsi="宋体"/>
      <w:sz w:val="24"/>
      <w:szCs w:val="24"/>
    </w:rPr>
  </w:style>
  <w:style w:type="paragraph" w:customStyle="1" w:styleId="103">
    <w:name w:val="标题1"/>
    <w:basedOn w:val="1"/>
    <w:next w:val="1"/>
    <w:link w:val="104"/>
    <w:qFormat/>
    <w:uiPriority w:val="10"/>
    <w:pPr>
      <w:spacing w:before="300" w:after="200"/>
      <w:contextualSpacing/>
    </w:pPr>
    <w:rPr>
      <w:sz w:val="48"/>
      <w:szCs w:val="48"/>
    </w:rPr>
  </w:style>
  <w:style w:type="character" w:customStyle="1" w:styleId="104">
    <w:name w:val="标题 Char"/>
    <w:link w:val="103"/>
    <w:qFormat/>
    <w:uiPriority w:val="10"/>
    <w:rPr>
      <w:sz w:val="48"/>
      <w:szCs w:val="48"/>
    </w:rPr>
  </w:style>
  <w:style w:type="paragraph" w:customStyle="1" w:styleId="105">
    <w:name w:val="批注主题1"/>
    <w:basedOn w:val="63"/>
    <w:next w:val="63"/>
    <w:link w:val="106"/>
    <w:semiHidden/>
    <w:qFormat/>
    <w:uiPriority w:val="0"/>
    <w:rPr>
      <w:b/>
      <w:bCs/>
    </w:rPr>
  </w:style>
  <w:style w:type="character" w:customStyle="1" w:styleId="106">
    <w:name w:val="批注主题 Char"/>
    <w:link w:val="105"/>
    <w:semiHidden/>
    <w:qFormat/>
    <w:uiPriority w:val="0"/>
    <w:rPr>
      <w:rFonts w:ascii="Times New Roman" w:hAnsi="Times New Roman" w:eastAsia="宋体" w:cs="Times New Roman"/>
      <w:b/>
      <w:bCs/>
      <w:szCs w:val="24"/>
    </w:rPr>
  </w:style>
  <w:style w:type="paragraph" w:customStyle="1" w:styleId="107">
    <w:name w:val="正文首行缩进1"/>
    <w:basedOn w:val="1"/>
    <w:link w:val="108"/>
    <w:unhideWhenUsed/>
    <w:qFormat/>
    <w:uiPriority w:val="99"/>
    <w:pPr>
      <w:spacing w:after="120"/>
      <w:ind w:firstLine="420"/>
    </w:pPr>
    <w:rPr>
      <w:rFonts w:eastAsia="华文中宋"/>
    </w:rPr>
  </w:style>
  <w:style w:type="character" w:customStyle="1" w:styleId="108">
    <w:name w:val="正文首行缩进 Char"/>
    <w:link w:val="107"/>
    <w:semiHidden/>
    <w:qFormat/>
    <w:uiPriority w:val="99"/>
    <w:rPr>
      <w:rFonts w:ascii="Times New Roman" w:hAnsi="Times New Roman" w:eastAsia="华文中宋" w:cs="Times New Roman"/>
      <w:sz w:val="21"/>
      <w:szCs w:val="20"/>
    </w:rPr>
  </w:style>
  <w:style w:type="paragraph" w:customStyle="1" w:styleId="109">
    <w:name w:val="正文首行缩进 21"/>
    <w:basedOn w:val="68"/>
    <w:qFormat/>
    <w:uiPriority w:val="0"/>
    <w:pPr>
      <w:spacing w:after="120"/>
      <w:ind w:left="420" w:firstLine="420"/>
    </w:pPr>
    <w:rPr>
      <w:rFonts w:ascii="Cambria" w:hAnsi="Cambria" w:eastAsia="华文细黑"/>
      <w:sz w:val="21"/>
    </w:rPr>
  </w:style>
  <w:style w:type="table" w:customStyle="1" w:styleId="110">
    <w:name w:val="网格型1"/>
    <w:qFormat/>
    <w:uiPriority w:val="59"/>
  </w:style>
  <w:style w:type="character" w:customStyle="1" w:styleId="111">
    <w:name w:val="要点1"/>
    <w:link w:val="1"/>
    <w:qFormat/>
    <w:uiPriority w:val="99"/>
    <w:rPr>
      <w:rFonts w:cs="Times New Roman"/>
      <w:b/>
      <w:bCs/>
    </w:rPr>
  </w:style>
  <w:style w:type="character" w:customStyle="1" w:styleId="112">
    <w:name w:val="尾注引用1"/>
    <w:link w:val="1"/>
    <w:unhideWhenUsed/>
    <w:qFormat/>
    <w:uiPriority w:val="99"/>
    <w:rPr>
      <w:vertAlign w:val="superscript"/>
    </w:rPr>
  </w:style>
  <w:style w:type="character" w:customStyle="1" w:styleId="113">
    <w:name w:val="页码1"/>
    <w:link w:val="1"/>
    <w:qFormat/>
    <w:uiPriority w:val="0"/>
    <w:rPr>
      <w:rFonts w:cs="Times New Roman"/>
    </w:rPr>
  </w:style>
  <w:style w:type="character" w:customStyle="1" w:styleId="114">
    <w:name w:val="已访问的超链接1"/>
    <w:link w:val="1"/>
    <w:qFormat/>
    <w:uiPriority w:val="99"/>
    <w:rPr>
      <w:rFonts w:cs="Times New Roman"/>
      <w:color w:val="000000"/>
      <w:u w:val="none"/>
    </w:rPr>
  </w:style>
  <w:style w:type="character" w:customStyle="1" w:styleId="115">
    <w:name w:val="HTML 打字机1"/>
    <w:link w:val="1"/>
    <w:qFormat/>
    <w:uiPriority w:val="99"/>
    <w:rPr>
      <w:rFonts w:ascii="宋体" w:hAnsi="宋体" w:eastAsia="宋体" w:cs="宋体"/>
      <w:sz w:val="24"/>
      <w:szCs w:val="24"/>
    </w:rPr>
  </w:style>
  <w:style w:type="character" w:customStyle="1" w:styleId="116">
    <w:name w:val="超链接1"/>
    <w:link w:val="1"/>
    <w:qFormat/>
    <w:uiPriority w:val="0"/>
    <w:rPr>
      <w:color w:val="000000"/>
      <w:u w:val="none"/>
    </w:rPr>
  </w:style>
  <w:style w:type="character" w:customStyle="1" w:styleId="117">
    <w:name w:val="批注引用1"/>
    <w:basedOn w:val="53"/>
    <w:link w:val="1"/>
    <w:unhideWhenUsed/>
    <w:qFormat/>
    <w:uiPriority w:val="0"/>
    <w:rPr>
      <w:sz w:val="21"/>
      <w:szCs w:val="21"/>
    </w:rPr>
  </w:style>
  <w:style w:type="character" w:customStyle="1" w:styleId="118">
    <w:name w:val="脚注引用1"/>
    <w:link w:val="1"/>
    <w:unhideWhenUsed/>
    <w:qFormat/>
    <w:uiPriority w:val="99"/>
    <w:rPr>
      <w:vertAlign w:val="superscript"/>
    </w:rPr>
  </w:style>
  <w:style w:type="character" w:customStyle="1" w:styleId="119">
    <w:name w:val="Footnote Text Char"/>
    <w:link w:val="91"/>
    <w:qFormat/>
    <w:uiPriority w:val="99"/>
    <w:rPr>
      <w:sz w:val="18"/>
    </w:rPr>
  </w:style>
  <w:style w:type="character" w:customStyle="1" w:styleId="120">
    <w:name w:val="Title Char"/>
    <w:basedOn w:val="53"/>
    <w:link w:val="1"/>
    <w:qFormat/>
    <w:uiPriority w:val="10"/>
    <w:rPr>
      <w:sz w:val="48"/>
      <w:szCs w:val="48"/>
    </w:rPr>
  </w:style>
  <w:style w:type="character" w:customStyle="1" w:styleId="121">
    <w:name w:val="Subtitle Char"/>
    <w:basedOn w:val="53"/>
    <w:link w:val="1"/>
    <w:qFormat/>
    <w:uiPriority w:val="11"/>
    <w:rPr>
      <w:sz w:val="24"/>
      <w:szCs w:val="24"/>
    </w:rPr>
  </w:style>
  <w:style w:type="character" w:customStyle="1" w:styleId="122">
    <w:name w:val="Quote Char"/>
    <w:link w:val="1"/>
    <w:qFormat/>
    <w:uiPriority w:val="29"/>
    <w:rPr>
      <w:i/>
    </w:rPr>
  </w:style>
  <w:style w:type="character" w:customStyle="1" w:styleId="123">
    <w:name w:val="Intense Quote Char"/>
    <w:link w:val="1"/>
    <w:qFormat/>
    <w:uiPriority w:val="30"/>
    <w:rPr>
      <w:i/>
    </w:rPr>
  </w:style>
  <w:style w:type="character" w:customStyle="1" w:styleId="124">
    <w:name w:val="Endnote Text Char"/>
    <w:link w:val="1"/>
    <w:qFormat/>
    <w:uiPriority w:val="99"/>
    <w:rPr>
      <w:sz w:val="20"/>
    </w:rPr>
  </w:style>
  <w:style w:type="paragraph" w:customStyle="1" w:styleId="125">
    <w:name w:val="TOC Heading"/>
    <w:unhideWhenUsed/>
    <w:qFormat/>
    <w:uiPriority w:val="39"/>
    <w:rPr>
      <w:rFonts w:hint="default" w:ascii="Times New Roman" w:hAnsi="Times New Roman" w:eastAsia="宋体" w:cs="Times New Roman"/>
    </w:rPr>
  </w:style>
  <w:style w:type="paragraph" w:customStyle="1" w:styleId="126">
    <w:name w:val="正文文本1"/>
    <w:basedOn w:val="1"/>
    <w:next w:val="66"/>
    <w:qFormat/>
    <w:uiPriority w:val="0"/>
    <w:rPr>
      <w:rFonts w:ascii="华文中宋" w:eastAsia="华文中宋"/>
      <w:bCs/>
      <w:sz w:val="28"/>
    </w:rPr>
  </w:style>
  <w:style w:type="character" w:customStyle="1" w:styleId="127">
    <w:name w:val="Heading 1 Char"/>
    <w:link w:val="3"/>
    <w:qFormat/>
    <w:uiPriority w:val="9"/>
    <w:rPr>
      <w:rFonts w:ascii="Arial" w:hAnsi="Arial" w:eastAsia="Arial" w:cs="Arial"/>
      <w:sz w:val="40"/>
      <w:szCs w:val="40"/>
    </w:rPr>
  </w:style>
  <w:style w:type="character" w:customStyle="1" w:styleId="128">
    <w:name w:val="Heading 2 Char"/>
    <w:link w:val="4"/>
    <w:qFormat/>
    <w:uiPriority w:val="9"/>
    <w:rPr>
      <w:rFonts w:ascii="Arial" w:hAnsi="Arial" w:eastAsia="Arial" w:cs="Arial"/>
      <w:sz w:val="34"/>
    </w:rPr>
  </w:style>
  <w:style w:type="character" w:customStyle="1" w:styleId="129">
    <w:name w:val="Heading 3 Char"/>
    <w:link w:val="5"/>
    <w:qFormat/>
    <w:uiPriority w:val="9"/>
    <w:rPr>
      <w:rFonts w:ascii="Arial" w:hAnsi="Arial" w:eastAsia="Arial" w:cs="Arial"/>
      <w:sz w:val="30"/>
      <w:szCs w:val="30"/>
    </w:rPr>
  </w:style>
  <w:style w:type="character" w:customStyle="1" w:styleId="130">
    <w:name w:val="Heading 4 Char"/>
    <w:link w:val="6"/>
    <w:qFormat/>
    <w:uiPriority w:val="9"/>
    <w:rPr>
      <w:rFonts w:ascii="Arial" w:hAnsi="Arial" w:eastAsia="Arial" w:cs="Arial"/>
      <w:b/>
      <w:bCs/>
      <w:sz w:val="26"/>
      <w:szCs w:val="26"/>
    </w:rPr>
  </w:style>
  <w:style w:type="character" w:customStyle="1" w:styleId="131">
    <w:name w:val="Heading 5 Char"/>
    <w:link w:val="7"/>
    <w:qFormat/>
    <w:uiPriority w:val="9"/>
    <w:rPr>
      <w:rFonts w:ascii="Arial" w:hAnsi="Arial" w:eastAsia="Arial" w:cs="Arial"/>
      <w:b/>
      <w:bCs/>
      <w:sz w:val="24"/>
      <w:szCs w:val="24"/>
    </w:rPr>
  </w:style>
  <w:style w:type="character" w:customStyle="1" w:styleId="132">
    <w:name w:val="Heading 6 Char"/>
    <w:link w:val="8"/>
    <w:qFormat/>
    <w:uiPriority w:val="9"/>
    <w:rPr>
      <w:rFonts w:ascii="Arial" w:hAnsi="Arial" w:eastAsia="Arial" w:cs="Arial"/>
      <w:b/>
      <w:bCs/>
      <w:sz w:val="22"/>
      <w:szCs w:val="22"/>
    </w:rPr>
  </w:style>
  <w:style w:type="character" w:customStyle="1" w:styleId="133">
    <w:name w:val="Heading 7 Char"/>
    <w:link w:val="9"/>
    <w:qFormat/>
    <w:uiPriority w:val="9"/>
    <w:rPr>
      <w:rFonts w:ascii="Arial" w:hAnsi="Arial" w:eastAsia="Arial" w:cs="Arial"/>
      <w:b/>
      <w:bCs/>
      <w:i/>
      <w:iCs/>
      <w:sz w:val="22"/>
      <w:szCs w:val="22"/>
    </w:rPr>
  </w:style>
  <w:style w:type="character" w:customStyle="1" w:styleId="134">
    <w:name w:val="Heading 8 Char"/>
    <w:link w:val="10"/>
    <w:qFormat/>
    <w:uiPriority w:val="9"/>
    <w:rPr>
      <w:rFonts w:ascii="Arial" w:hAnsi="Arial" w:eastAsia="Arial" w:cs="Arial"/>
      <w:i/>
      <w:iCs/>
      <w:sz w:val="22"/>
      <w:szCs w:val="22"/>
    </w:rPr>
  </w:style>
  <w:style w:type="character" w:customStyle="1" w:styleId="135">
    <w:name w:val="Heading 9 Char"/>
    <w:link w:val="11"/>
    <w:qFormat/>
    <w:uiPriority w:val="9"/>
    <w:rPr>
      <w:rFonts w:ascii="Arial" w:hAnsi="Arial" w:eastAsia="Arial" w:cs="Arial"/>
      <w:i/>
      <w:iCs/>
      <w:sz w:val="21"/>
      <w:szCs w:val="21"/>
    </w:rPr>
  </w:style>
  <w:style w:type="paragraph" w:styleId="136">
    <w:name w:val="No Spacing"/>
    <w:qFormat/>
    <w:uiPriority w:val="1"/>
    <w:rPr>
      <w:rFonts w:hint="default" w:ascii="Times New Roman" w:hAnsi="Times New Roman" w:eastAsia="宋体" w:cs="Times New Roman"/>
      <w:lang w:val="en-US" w:eastAsia="zh-CN" w:bidi="ar-SA"/>
    </w:rPr>
  </w:style>
  <w:style w:type="paragraph" w:styleId="137">
    <w:name w:val="Quote"/>
    <w:basedOn w:val="1"/>
    <w:next w:val="1"/>
    <w:link w:val="138"/>
    <w:qFormat/>
    <w:uiPriority w:val="29"/>
    <w:pPr>
      <w:ind w:left="720" w:right="720"/>
    </w:pPr>
    <w:rPr>
      <w:i/>
    </w:rPr>
  </w:style>
  <w:style w:type="character" w:customStyle="1" w:styleId="138">
    <w:name w:val="引用 Char"/>
    <w:link w:val="137"/>
    <w:qFormat/>
    <w:uiPriority w:val="29"/>
    <w:rPr>
      <w:i/>
    </w:rPr>
  </w:style>
  <w:style w:type="paragraph" w:styleId="139">
    <w:name w:val="Intense Quote"/>
    <w:basedOn w:val="1"/>
    <w:next w:val="1"/>
    <w:link w:val="14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40">
    <w:name w:val="明显引用 Char"/>
    <w:link w:val="139"/>
    <w:qFormat/>
    <w:uiPriority w:val="30"/>
    <w:rPr>
      <w:i/>
    </w:rPr>
  </w:style>
  <w:style w:type="paragraph" w:customStyle="1" w:styleId="141">
    <w:name w:val="Header1"/>
    <w:basedOn w:val="1"/>
    <w:link w:val="142"/>
    <w:unhideWhenUsed/>
    <w:qFormat/>
    <w:uiPriority w:val="99"/>
    <w:pPr>
      <w:tabs>
        <w:tab w:val="center" w:pos="7143"/>
        <w:tab w:val="right" w:pos="14287"/>
      </w:tabs>
    </w:pPr>
  </w:style>
  <w:style w:type="character" w:customStyle="1" w:styleId="142">
    <w:name w:val="Header Char"/>
    <w:link w:val="141"/>
    <w:qFormat/>
    <w:uiPriority w:val="99"/>
  </w:style>
  <w:style w:type="paragraph" w:customStyle="1" w:styleId="143">
    <w:name w:val="Footer1"/>
    <w:basedOn w:val="1"/>
    <w:link w:val="145"/>
    <w:unhideWhenUsed/>
    <w:qFormat/>
    <w:uiPriority w:val="99"/>
    <w:pPr>
      <w:tabs>
        <w:tab w:val="center" w:pos="7143"/>
        <w:tab w:val="right" w:pos="14287"/>
      </w:tabs>
    </w:pPr>
  </w:style>
  <w:style w:type="character" w:customStyle="1" w:styleId="144">
    <w:name w:val="Caption Char"/>
    <w:link w:val="143"/>
    <w:qFormat/>
    <w:uiPriority w:val="99"/>
  </w:style>
  <w:style w:type="character" w:customStyle="1" w:styleId="145">
    <w:name w:val="Footer Char"/>
    <w:link w:val="143"/>
    <w:qFormat/>
    <w:uiPriority w:val="99"/>
  </w:style>
  <w:style w:type="paragraph" w:customStyle="1" w:styleId="146">
    <w:name w:val="Caption1"/>
    <w:basedOn w:val="1"/>
    <w:next w:val="1"/>
    <w:unhideWhenUsed/>
    <w:qFormat/>
    <w:uiPriority w:val="35"/>
    <w:pPr>
      <w:spacing w:line="276" w:lineRule="auto"/>
    </w:pPr>
    <w:rPr>
      <w:b/>
      <w:bCs/>
      <w:color w:val="4F81BD"/>
      <w:sz w:val="18"/>
      <w:szCs w:val="18"/>
    </w:rPr>
  </w:style>
  <w:style w:type="table" w:customStyle="1" w:styleId="147">
    <w:name w:val="Table Grid Light"/>
    <w:qFormat/>
    <w:uiPriority w:val="59"/>
  </w:style>
  <w:style w:type="table" w:customStyle="1" w:styleId="148">
    <w:name w:val="Plain Table 1"/>
    <w:qFormat/>
    <w:uiPriority w:val="59"/>
  </w:style>
  <w:style w:type="table" w:customStyle="1" w:styleId="149">
    <w:name w:val="Plain Table 2"/>
    <w:qFormat/>
    <w:uiPriority w:val="59"/>
  </w:style>
  <w:style w:type="table" w:customStyle="1" w:styleId="150">
    <w:name w:val="Plain Table 3"/>
    <w:qFormat/>
    <w:uiPriority w:val="99"/>
  </w:style>
  <w:style w:type="table" w:customStyle="1" w:styleId="151">
    <w:name w:val="Plain Table 4"/>
    <w:qFormat/>
    <w:uiPriority w:val="99"/>
  </w:style>
  <w:style w:type="table" w:customStyle="1" w:styleId="152">
    <w:name w:val="Plain Table 5"/>
    <w:qFormat/>
    <w:uiPriority w:val="99"/>
  </w:style>
  <w:style w:type="table" w:customStyle="1" w:styleId="153">
    <w:name w:val="Grid Table 1 Light"/>
    <w:qFormat/>
    <w:uiPriority w:val="99"/>
  </w:style>
  <w:style w:type="table" w:customStyle="1" w:styleId="154">
    <w:name w:val="Grid Table 1 Light - Accent 1"/>
    <w:qFormat/>
    <w:uiPriority w:val="99"/>
  </w:style>
  <w:style w:type="table" w:customStyle="1" w:styleId="155">
    <w:name w:val="Grid Table 1 Light - Accent 2"/>
    <w:qFormat/>
    <w:uiPriority w:val="99"/>
  </w:style>
  <w:style w:type="table" w:customStyle="1" w:styleId="156">
    <w:name w:val="Grid Table 1 Light - Accent 3"/>
    <w:qFormat/>
    <w:uiPriority w:val="99"/>
  </w:style>
  <w:style w:type="table" w:customStyle="1" w:styleId="157">
    <w:name w:val="Grid Table 1 Light - Accent 4"/>
    <w:qFormat/>
    <w:uiPriority w:val="99"/>
  </w:style>
  <w:style w:type="table" w:customStyle="1" w:styleId="158">
    <w:name w:val="Grid Table 1 Light - Accent 5"/>
    <w:qFormat/>
    <w:uiPriority w:val="99"/>
  </w:style>
  <w:style w:type="table" w:customStyle="1" w:styleId="159">
    <w:name w:val="Grid Table 1 Light - Accent 6"/>
    <w:qFormat/>
    <w:uiPriority w:val="99"/>
  </w:style>
  <w:style w:type="table" w:customStyle="1" w:styleId="160">
    <w:name w:val="Grid Table 2"/>
    <w:qFormat/>
    <w:uiPriority w:val="99"/>
  </w:style>
  <w:style w:type="table" w:customStyle="1" w:styleId="161">
    <w:name w:val="Grid Table 2 - Accent 1"/>
    <w:qFormat/>
    <w:uiPriority w:val="99"/>
  </w:style>
  <w:style w:type="table" w:customStyle="1" w:styleId="162">
    <w:name w:val="Grid Table 2 - Accent 2"/>
    <w:qFormat/>
    <w:uiPriority w:val="99"/>
  </w:style>
  <w:style w:type="table" w:customStyle="1" w:styleId="163">
    <w:name w:val="Grid Table 2 - Accent 3"/>
    <w:qFormat/>
    <w:uiPriority w:val="99"/>
  </w:style>
  <w:style w:type="table" w:customStyle="1" w:styleId="164">
    <w:name w:val="Grid Table 2 - Accent 4"/>
    <w:qFormat/>
    <w:uiPriority w:val="99"/>
  </w:style>
  <w:style w:type="table" w:customStyle="1" w:styleId="165">
    <w:name w:val="Grid Table 2 - Accent 5"/>
    <w:qFormat/>
    <w:uiPriority w:val="99"/>
  </w:style>
  <w:style w:type="table" w:customStyle="1" w:styleId="166">
    <w:name w:val="Grid Table 2 - Accent 6"/>
    <w:qFormat/>
    <w:uiPriority w:val="99"/>
  </w:style>
  <w:style w:type="table" w:customStyle="1" w:styleId="167">
    <w:name w:val="Grid Table 3"/>
    <w:qFormat/>
    <w:uiPriority w:val="99"/>
  </w:style>
  <w:style w:type="table" w:customStyle="1" w:styleId="168">
    <w:name w:val="Grid Table 3 - Accent 1"/>
    <w:qFormat/>
    <w:uiPriority w:val="99"/>
  </w:style>
  <w:style w:type="table" w:customStyle="1" w:styleId="169">
    <w:name w:val="Grid Table 3 - Accent 2"/>
    <w:qFormat/>
    <w:uiPriority w:val="99"/>
  </w:style>
  <w:style w:type="table" w:customStyle="1" w:styleId="170">
    <w:name w:val="Grid Table 3 - Accent 3"/>
    <w:qFormat/>
    <w:uiPriority w:val="99"/>
  </w:style>
  <w:style w:type="table" w:customStyle="1" w:styleId="171">
    <w:name w:val="Grid Table 3 - Accent 4"/>
    <w:qFormat/>
    <w:uiPriority w:val="99"/>
  </w:style>
  <w:style w:type="table" w:customStyle="1" w:styleId="172">
    <w:name w:val="Grid Table 3 - Accent 5"/>
    <w:qFormat/>
    <w:uiPriority w:val="99"/>
  </w:style>
  <w:style w:type="table" w:customStyle="1" w:styleId="173">
    <w:name w:val="Grid Table 3 - Accent 6"/>
    <w:qFormat/>
    <w:uiPriority w:val="99"/>
  </w:style>
  <w:style w:type="table" w:customStyle="1" w:styleId="174">
    <w:name w:val="Grid Table 4"/>
    <w:qFormat/>
    <w:uiPriority w:val="59"/>
  </w:style>
  <w:style w:type="table" w:customStyle="1" w:styleId="175">
    <w:name w:val="Grid Table 4 - Accent 1"/>
    <w:qFormat/>
    <w:uiPriority w:val="59"/>
  </w:style>
  <w:style w:type="table" w:customStyle="1" w:styleId="176">
    <w:name w:val="Grid Table 4 - Accent 2"/>
    <w:qFormat/>
    <w:uiPriority w:val="59"/>
  </w:style>
  <w:style w:type="table" w:customStyle="1" w:styleId="177">
    <w:name w:val="Grid Table 4 - Accent 3"/>
    <w:qFormat/>
    <w:uiPriority w:val="59"/>
  </w:style>
  <w:style w:type="table" w:customStyle="1" w:styleId="178">
    <w:name w:val="Grid Table 4 - Accent 4"/>
    <w:qFormat/>
    <w:uiPriority w:val="59"/>
  </w:style>
  <w:style w:type="table" w:customStyle="1" w:styleId="179">
    <w:name w:val="Grid Table 4 - Accent 5"/>
    <w:qFormat/>
    <w:uiPriority w:val="59"/>
  </w:style>
  <w:style w:type="table" w:customStyle="1" w:styleId="180">
    <w:name w:val="Grid Table 4 - Accent 6"/>
    <w:qFormat/>
    <w:uiPriority w:val="59"/>
  </w:style>
  <w:style w:type="table" w:customStyle="1" w:styleId="181">
    <w:name w:val="Grid Table 5 Dark"/>
    <w:qFormat/>
    <w:uiPriority w:val="99"/>
  </w:style>
  <w:style w:type="table" w:customStyle="1" w:styleId="182">
    <w:name w:val="Grid Table 5 Dark- Accent 1"/>
    <w:qFormat/>
    <w:uiPriority w:val="99"/>
  </w:style>
  <w:style w:type="table" w:customStyle="1" w:styleId="183">
    <w:name w:val="Grid Table 5 Dark - Accent 2"/>
    <w:qFormat/>
    <w:uiPriority w:val="99"/>
  </w:style>
  <w:style w:type="table" w:customStyle="1" w:styleId="184">
    <w:name w:val="Grid Table 5 Dark - Accent 3"/>
    <w:qFormat/>
    <w:uiPriority w:val="99"/>
  </w:style>
  <w:style w:type="table" w:customStyle="1" w:styleId="185">
    <w:name w:val="Grid Table 5 Dark- Accent 4"/>
    <w:qFormat/>
    <w:uiPriority w:val="99"/>
  </w:style>
  <w:style w:type="table" w:customStyle="1" w:styleId="186">
    <w:name w:val="Grid Table 5 Dark - Accent 5"/>
    <w:qFormat/>
    <w:uiPriority w:val="99"/>
  </w:style>
  <w:style w:type="table" w:customStyle="1" w:styleId="187">
    <w:name w:val="Grid Table 5 Dark - Accent 6"/>
    <w:qFormat/>
    <w:uiPriority w:val="99"/>
  </w:style>
  <w:style w:type="table" w:customStyle="1" w:styleId="188">
    <w:name w:val="Grid Table 6 Colorful"/>
    <w:qFormat/>
    <w:uiPriority w:val="99"/>
  </w:style>
  <w:style w:type="table" w:customStyle="1" w:styleId="189">
    <w:name w:val="Grid Table 6 Colorful - Accent 1"/>
    <w:qFormat/>
    <w:uiPriority w:val="99"/>
  </w:style>
  <w:style w:type="table" w:customStyle="1" w:styleId="190">
    <w:name w:val="Grid Table 6 Colorful - Accent 2"/>
    <w:qFormat/>
    <w:uiPriority w:val="99"/>
  </w:style>
  <w:style w:type="table" w:customStyle="1" w:styleId="191">
    <w:name w:val="Grid Table 6 Colorful - Accent 3"/>
    <w:qFormat/>
    <w:uiPriority w:val="99"/>
  </w:style>
  <w:style w:type="table" w:customStyle="1" w:styleId="192">
    <w:name w:val="Grid Table 6 Colorful - Accent 4"/>
    <w:qFormat/>
    <w:uiPriority w:val="99"/>
  </w:style>
  <w:style w:type="table" w:customStyle="1" w:styleId="193">
    <w:name w:val="Grid Table 6 Colorful - Accent 5"/>
    <w:qFormat/>
    <w:uiPriority w:val="99"/>
  </w:style>
  <w:style w:type="table" w:customStyle="1" w:styleId="194">
    <w:name w:val="Grid Table 6 Colorful - Accent 6"/>
    <w:qFormat/>
    <w:uiPriority w:val="99"/>
  </w:style>
  <w:style w:type="table" w:customStyle="1" w:styleId="195">
    <w:name w:val="Grid Table 7 Colorful"/>
    <w:qFormat/>
    <w:uiPriority w:val="99"/>
  </w:style>
  <w:style w:type="table" w:customStyle="1" w:styleId="196">
    <w:name w:val="Grid Table 7 Colorful - Accent 1"/>
    <w:qFormat/>
    <w:uiPriority w:val="99"/>
  </w:style>
  <w:style w:type="table" w:customStyle="1" w:styleId="197">
    <w:name w:val="Grid Table 7 Colorful - Accent 2"/>
    <w:qFormat/>
    <w:uiPriority w:val="99"/>
  </w:style>
  <w:style w:type="table" w:customStyle="1" w:styleId="198">
    <w:name w:val="Grid Table 7 Colorful - Accent 3"/>
    <w:qFormat/>
    <w:uiPriority w:val="99"/>
  </w:style>
  <w:style w:type="table" w:customStyle="1" w:styleId="199">
    <w:name w:val="Grid Table 7 Colorful - Accent 4"/>
    <w:qFormat/>
    <w:uiPriority w:val="99"/>
  </w:style>
  <w:style w:type="table" w:customStyle="1" w:styleId="200">
    <w:name w:val="Grid Table 7 Colorful - Accent 5"/>
    <w:qFormat/>
    <w:uiPriority w:val="99"/>
  </w:style>
  <w:style w:type="table" w:customStyle="1" w:styleId="201">
    <w:name w:val="Grid Table 7 Colorful - Accent 6"/>
    <w:qFormat/>
    <w:uiPriority w:val="99"/>
  </w:style>
  <w:style w:type="table" w:customStyle="1" w:styleId="202">
    <w:name w:val="List Table 1 Light"/>
    <w:qFormat/>
    <w:uiPriority w:val="99"/>
  </w:style>
  <w:style w:type="table" w:customStyle="1" w:styleId="203">
    <w:name w:val="List Table 1 Light - Accent 1"/>
    <w:qFormat/>
    <w:uiPriority w:val="99"/>
  </w:style>
  <w:style w:type="table" w:customStyle="1" w:styleId="204">
    <w:name w:val="List Table 1 Light - Accent 2"/>
    <w:qFormat/>
    <w:uiPriority w:val="99"/>
  </w:style>
  <w:style w:type="table" w:customStyle="1" w:styleId="205">
    <w:name w:val="List Table 1 Light - Accent 3"/>
    <w:qFormat/>
    <w:uiPriority w:val="99"/>
  </w:style>
  <w:style w:type="table" w:customStyle="1" w:styleId="206">
    <w:name w:val="List Table 1 Light - Accent 4"/>
    <w:qFormat/>
    <w:uiPriority w:val="99"/>
  </w:style>
  <w:style w:type="table" w:customStyle="1" w:styleId="207">
    <w:name w:val="List Table 1 Light - Accent 5"/>
    <w:qFormat/>
    <w:uiPriority w:val="99"/>
  </w:style>
  <w:style w:type="table" w:customStyle="1" w:styleId="208">
    <w:name w:val="List Table 1 Light - Accent 6"/>
    <w:qFormat/>
    <w:uiPriority w:val="99"/>
  </w:style>
  <w:style w:type="table" w:customStyle="1" w:styleId="209">
    <w:name w:val="List Table 2"/>
    <w:qFormat/>
    <w:uiPriority w:val="99"/>
  </w:style>
  <w:style w:type="table" w:customStyle="1" w:styleId="210">
    <w:name w:val="List Table 2 - Accent 1"/>
    <w:qFormat/>
    <w:uiPriority w:val="99"/>
  </w:style>
  <w:style w:type="table" w:customStyle="1" w:styleId="211">
    <w:name w:val="List Table 2 - Accent 2"/>
    <w:qFormat/>
    <w:uiPriority w:val="99"/>
  </w:style>
  <w:style w:type="table" w:customStyle="1" w:styleId="212">
    <w:name w:val="List Table 2 - Accent 3"/>
    <w:qFormat/>
    <w:uiPriority w:val="99"/>
  </w:style>
  <w:style w:type="table" w:customStyle="1" w:styleId="213">
    <w:name w:val="List Table 2 - Accent 4"/>
    <w:qFormat/>
    <w:uiPriority w:val="99"/>
  </w:style>
  <w:style w:type="table" w:customStyle="1" w:styleId="214">
    <w:name w:val="List Table 2 - Accent 5"/>
    <w:qFormat/>
    <w:uiPriority w:val="99"/>
  </w:style>
  <w:style w:type="table" w:customStyle="1" w:styleId="215">
    <w:name w:val="List Table 2 - Accent 6"/>
    <w:qFormat/>
    <w:uiPriority w:val="99"/>
  </w:style>
  <w:style w:type="table" w:customStyle="1" w:styleId="216">
    <w:name w:val="List Table 3"/>
    <w:qFormat/>
    <w:uiPriority w:val="99"/>
  </w:style>
  <w:style w:type="table" w:customStyle="1" w:styleId="217">
    <w:name w:val="List Table 3 - Accent 1"/>
    <w:qFormat/>
    <w:uiPriority w:val="99"/>
  </w:style>
  <w:style w:type="table" w:customStyle="1" w:styleId="218">
    <w:name w:val="List Table 3 - Accent 2"/>
    <w:qFormat/>
    <w:uiPriority w:val="99"/>
  </w:style>
  <w:style w:type="table" w:customStyle="1" w:styleId="219">
    <w:name w:val="List Table 3 - Accent 3"/>
    <w:qFormat/>
    <w:uiPriority w:val="99"/>
  </w:style>
  <w:style w:type="table" w:customStyle="1" w:styleId="220">
    <w:name w:val="List Table 3 - Accent 4"/>
    <w:qFormat/>
    <w:uiPriority w:val="99"/>
  </w:style>
  <w:style w:type="table" w:customStyle="1" w:styleId="221">
    <w:name w:val="List Table 3 - Accent 5"/>
    <w:qFormat/>
    <w:uiPriority w:val="99"/>
  </w:style>
  <w:style w:type="table" w:customStyle="1" w:styleId="222">
    <w:name w:val="List Table 3 - Accent 6"/>
    <w:qFormat/>
    <w:uiPriority w:val="99"/>
  </w:style>
  <w:style w:type="table" w:customStyle="1" w:styleId="223">
    <w:name w:val="List Table 4"/>
    <w:qFormat/>
    <w:uiPriority w:val="99"/>
  </w:style>
  <w:style w:type="table" w:customStyle="1" w:styleId="224">
    <w:name w:val="List Table 4 - Accent 1"/>
    <w:qFormat/>
    <w:uiPriority w:val="99"/>
  </w:style>
  <w:style w:type="table" w:customStyle="1" w:styleId="225">
    <w:name w:val="List Table 4 - Accent 2"/>
    <w:qFormat/>
    <w:uiPriority w:val="99"/>
  </w:style>
  <w:style w:type="table" w:customStyle="1" w:styleId="226">
    <w:name w:val="List Table 4 - Accent 3"/>
    <w:qFormat/>
    <w:uiPriority w:val="99"/>
  </w:style>
  <w:style w:type="table" w:customStyle="1" w:styleId="227">
    <w:name w:val="List Table 4 - Accent 4"/>
    <w:qFormat/>
    <w:uiPriority w:val="99"/>
  </w:style>
  <w:style w:type="table" w:customStyle="1" w:styleId="228">
    <w:name w:val="List Table 4 - Accent 5"/>
    <w:qFormat/>
    <w:uiPriority w:val="99"/>
  </w:style>
  <w:style w:type="table" w:customStyle="1" w:styleId="229">
    <w:name w:val="List Table 4 - Accent 6"/>
    <w:qFormat/>
    <w:uiPriority w:val="99"/>
  </w:style>
  <w:style w:type="table" w:customStyle="1" w:styleId="230">
    <w:name w:val="List Table 5 Dark"/>
    <w:qFormat/>
    <w:uiPriority w:val="99"/>
  </w:style>
  <w:style w:type="table" w:customStyle="1" w:styleId="231">
    <w:name w:val="List Table 5 Dark - Accent 1"/>
    <w:qFormat/>
    <w:uiPriority w:val="99"/>
  </w:style>
  <w:style w:type="table" w:customStyle="1" w:styleId="232">
    <w:name w:val="List Table 5 Dark - Accent 2"/>
    <w:qFormat/>
    <w:uiPriority w:val="99"/>
  </w:style>
  <w:style w:type="table" w:customStyle="1" w:styleId="233">
    <w:name w:val="List Table 5 Dark - Accent 3"/>
    <w:qFormat/>
    <w:uiPriority w:val="99"/>
  </w:style>
  <w:style w:type="table" w:customStyle="1" w:styleId="234">
    <w:name w:val="List Table 5 Dark - Accent 4"/>
    <w:qFormat/>
    <w:uiPriority w:val="99"/>
  </w:style>
  <w:style w:type="table" w:customStyle="1" w:styleId="235">
    <w:name w:val="List Table 5 Dark - Accent 5"/>
    <w:qFormat/>
    <w:uiPriority w:val="99"/>
  </w:style>
  <w:style w:type="table" w:customStyle="1" w:styleId="236">
    <w:name w:val="List Table 5 Dark - Accent 6"/>
    <w:qFormat/>
    <w:uiPriority w:val="99"/>
  </w:style>
  <w:style w:type="table" w:customStyle="1" w:styleId="237">
    <w:name w:val="List Table 6 Colorful"/>
    <w:qFormat/>
    <w:uiPriority w:val="99"/>
  </w:style>
  <w:style w:type="table" w:customStyle="1" w:styleId="238">
    <w:name w:val="List Table 6 Colorful - Accent 1"/>
    <w:qFormat/>
    <w:uiPriority w:val="99"/>
  </w:style>
  <w:style w:type="table" w:customStyle="1" w:styleId="239">
    <w:name w:val="List Table 6 Colorful - Accent 2"/>
    <w:qFormat/>
    <w:uiPriority w:val="99"/>
  </w:style>
  <w:style w:type="table" w:customStyle="1" w:styleId="240">
    <w:name w:val="List Table 6 Colorful - Accent 3"/>
    <w:qFormat/>
    <w:uiPriority w:val="99"/>
  </w:style>
  <w:style w:type="table" w:customStyle="1" w:styleId="241">
    <w:name w:val="List Table 6 Colorful - Accent 4"/>
    <w:qFormat/>
    <w:uiPriority w:val="99"/>
  </w:style>
  <w:style w:type="table" w:customStyle="1" w:styleId="242">
    <w:name w:val="List Table 6 Colorful - Accent 5"/>
    <w:qFormat/>
    <w:uiPriority w:val="99"/>
  </w:style>
  <w:style w:type="table" w:customStyle="1" w:styleId="243">
    <w:name w:val="List Table 6 Colorful - Accent 6"/>
    <w:qFormat/>
    <w:uiPriority w:val="99"/>
  </w:style>
  <w:style w:type="table" w:customStyle="1" w:styleId="244">
    <w:name w:val="List Table 7 Colorful"/>
    <w:qFormat/>
    <w:uiPriority w:val="99"/>
  </w:style>
  <w:style w:type="table" w:customStyle="1" w:styleId="245">
    <w:name w:val="List Table 7 Colorful - Accent 1"/>
    <w:qFormat/>
    <w:uiPriority w:val="99"/>
  </w:style>
  <w:style w:type="table" w:customStyle="1" w:styleId="246">
    <w:name w:val="List Table 7 Colorful - Accent 2"/>
    <w:qFormat/>
    <w:uiPriority w:val="99"/>
  </w:style>
  <w:style w:type="table" w:customStyle="1" w:styleId="247">
    <w:name w:val="List Table 7 Colorful - Accent 3"/>
    <w:qFormat/>
    <w:uiPriority w:val="99"/>
  </w:style>
  <w:style w:type="table" w:customStyle="1" w:styleId="248">
    <w:name w:val="List Table 7 Colorful - Accent 4"/>
    <w:qFormat/>
    <w:uiPriority w:val="99"/>
  </w:style>
  <w:style w:type="table" w:customStyle="1" w:styleId="249">
    <w:name w:val="List Table 7 Colorful - Accent 5"/>
    <w:qFormat/>
    <w:uiPriority w:val="99"/>
  </w:style>
  <w:style w:type="table" w:customStyle="1" w:styleId="250">
    <w:name w:val="List Table 7 Colorful - Accent 6"/>
    <w:qFormat/>
    <w:uiPriority w:val="99"/>
  </w:style>
  <w:style w:type="table" w:customStyle="1" w:styleId="251">
    <w:name w:val="Lined - Accent"/>
    <w:qFormat/>
    <w:uiPriority w:val="99"/>
    <w:rPr>
      <w:color w:val="404040"/>
    </w:rPr>
  </w:style>
  <w:style w:type="table" w:customStyle="1" w:styleId="252">
    <w:name w:val="Lined - Accent 1"/>
    <w:qFormat/>
    <w:uiPriority w:val="99"/>
    <w:rPr>
      <w:color w:val="404040"/>
    </w:rPr>
  </w:style>
  <w:style w:type="table" w:customStyle="1" w:styleId="253">
    <w:name w:val="Lined - Accent 2"/>
    <w:qFormat/>
    <w:uiPriority w:val="99"/>
    <w:rPr>
      <w:color w:val="404040"/>
    </w:rPr>
  </w:style>
  <w:style w:type="table" w:customStyle="1" w:styleId="254">
    <w:name w:val="Lined - Accent 3"/>
    <w:qFormat/>
    <w:uiPriority w:val="99"/>
    <w:rPr>
      <w:color w:val="404040"/>
    </w:rPr>
  </w:style>
  <w:style w:type="table" w:customStyle="1" w:styleId="255">
    <w:name w:val="Lined - Accent 4"/>
    <w:qFormat/>
    <w:uiPriority w:val="99"/>
    <w:rPr>
      <w:color w:val="404040"/>
    </w:rPr>
  </w:style>
  <w:style w:type="table" w:customStyle="1" w:styleId="256">
    <w:name w:val="Lined - Accent 5"/>
    <w:qFormat/>
    <w:uiPriority w:val="99"/>
    <w:rPr>
      <w:color w:val="404040"/>
    </w:rPr>
  </w:style>
  <w:style w:type="table" w:customStyle="1" w:styleId="257">
    <w:name w:val="Lined - Accent 6"/>
    <w:qFormat/>
    <w:uiPriority w:val="99"/>
    <w:rPr>
      <w:color w:val="404040"/>
    </w:rPr>
  </w:style>
  <w:style w:type="table" w:customStyle="1" w:styleId="258">
    <w:name w:val="Bordered &amp; Lined - Accent"/>
    <w:qFormat/>
    <w:uiPriority w:val="99"/>
    <w:rPr>
      <w:color w:val="404040"/>
    </w:rPr>
  </w:style>
  <w:style w:type="table" w:customStyle="1" w:styleId="259">
    <w:name w:val="Bordered &amp; Lined - Accent 1"/>
    <w:qFormat/>
    <w:uiPriority w:val="99"/>
    <w:rPr>
      <w:color w:val="404040"/>
    </w:rPr>
  </w:style>
  <w:style w:type="table" w:customStyle="1" w:styleId="260">
    <w:name w:val="Bordered &amp; Lined - Accent 2"/>
    <w:qFormat/>
    <w:uiPriority w:val="99"/>
    <w:rPr>
      <w:color w:val="404040"/>
    </w:rPr>
  </w:style>
  <w:style w:type="table" w:customStyle="1" w:styleId="261">
    <w:name w:val="Bordered &amp; Lined - Accent 3"/>
    <w:qFormat/>
    <w:uiPriority w:val="99"/>
    <w:rPr>
      <w:color w:val="404040"/>
    </w:rPr>
  </w:style>
  <w:style w:type="table" w:customStyle="1" w:styleId="262">
    <w:name w:val="Bordered &amp; Lined - Accent 4"/>
    <w:qFormat/>
    <w:uiPriority w:val="99"/>
    <w:rPr>
      <w:color w:val="404040"/>
    </w:rPr>
  </w:style>
  <w:style w:type="table" w:customStyle="1" w:styleId="263">
    <w:name w:val="Bordered &amp; Lined - Accent 5"/>
    <w:qFormat/>
    <w:uiPriority w:val="99"/>
    <w:rPr>
      <w:color w:val="404040"/>
    </w:rPr>
  </w:style>
  <w:style w:type="table" w:customStyle="1" w:styleId="264">
    <w:name w:val="Bordered &amp; Lined - Accent 6"/>
    <w:qFormat/>
    <w:uiPriority w:val="99"/>
    <w:rPr>
      <w:color w:val="404040"/>
    </w:rPr>
  </w:style>
  <w:style w:type="table" w:customStyle="1" w:styleId="265">
    <w:name w:val="Bordered"/>
    <w:qFormat/>
    <w:uiPriority w:val="99"/>
  </w:style>
  <w:style w:type="table" w:customStyle="1" w:styleId="266">
    <w:name w:val="Bordered - Accent 1"/>
    <w:qFormat/>
    <w:uiPriority w:val="99"/>
  </w:style>
  <w:style w:type="table" w:customStyle="1" w:styleId="267">
    <w:name w:val="Bordered - Accent 2"/>
    <w:qFormat/>
    <w:uiPriority w:val="99"/>
  </w:style>
  <w:style w:type="table" w:customStyle="1" w:styleId="268">
    <w:name w:val="Bordered - Accent 3"/>
    <w:qFormat/>
    <w:uiPriority w:val="99"/>
  </w:style>
  <w:style w:type="table" w:customStyle="1" w:styleId="269">
    <w:name w:val="Bordered - Accent 4"/>
    <w:qFormat/>
    <w:uiPriority w:val="99"/>
  </w:style>
  <w:style w:type="table" w:customStyle="1" w:styleId="270">
    <w:name w:val="Bordered - Accent 5"/>
    <w:qFormat/>
    <w:uiPriority w:val="99"/>
  </w:style>
  <w:style w:type="table" w:customStyle="1" w:styleId="271">
    <w:name w:val="Bordered - Accent 6"/>
    <w:qFormat/>
    <w:uiPriority w:val="99"/>
  </w:style>
  <w:style w:type="paragraph" w:customStyle="1" w:styleId="272">
    <w:name w:val="TOC 标题1"/>
    <w:unhideWhenUsed/>
    <w:qFormat/>
    <w:uiPriority w:val="39"/>
    <w:rPr>
      <w:rFonts w:hint="default" w:ascii="Times New Roman" w:hAnsi="Times New Roman" w:eastAsia="宋体" w:cs="Times New Roman"/>
      <w:lang w:val="en-US" w:eastAsia="zh-CN" w:bidi="ar-SA"/>
    </w:rPr>
  </w:style>
  <w:style w:type="character" w:customStyle="1" w:styleId="273">
    <w:name w:val="批注框文本 Char1"/>
    <w:link w:val="1"/>
    <w:semiHidden/>
    <w:qFormat/>
    <w:uiPriority w:val="99"/>
    <w:rPr>
      <w:rFonts w:ascii="Times New Roman" w:hAnsi="Times New Roman" w:eastAsia="宋体" w:cs="Times New Roman"/>
      <w:sz w:val="18"/>
      <w:szCs w:val="18"/>
    </w:rPr>
  </w:style>
  <w:style w:type="character" w:customStyle="1" w:styleId="274">
    <w:name w:val="正文文本 2 Char1"/>
    <w:link w:val="1"/>
    <w:semiHidden/>
    <w:qFormat/>
    <w:uiPriority w:val="99"/>
    <w:rPr>
      <w:rFonts w:ascii="Times New Roman" w:hAnsi="Times New Roman" w:eastAsia="宋体" w:cs="Times New Roman"/>
      <w:szCs w:val="20"/>
    </w:rPr>
  </w:style>
  <w:style w:type="character" w:customStyle="1" w:styleId="275">
    <w:name w:val="文档结构图 Char1"/>
    <w:link w:val="1"/>
    <w:semiHidden/>
    <w:qFormat/>
    <w:uiPriority w:val="99"/>
    <w:rPr>
      <w:rFonts w:ascii="宋体" w:hAnsi="Times New Roman" w:eastAsia="宋体" w:cs="Times New Roman"/>
      <w:sz w:val="18"/>
      <w:szCs w:val="18"/>
    </w:rPr>
  </w:style>
  <w:style w:type="character" w:customStyle="1" w:styleId="276">
    <w:name w:val="正文文本缩进 Char1"/>
    <w:link w:val="1"/>
    <w:semiHidden/>
    <w:qFormat/>
    <w:uiPriority w:val="99"/>
    <w:rPr>
      <w:rFonts w:ascii="Times New Roman" w:hAnsi="Times New Roman" w:eastAsia="宋体" w:cs="Times New Roman"/>
      <w:szCs w:val="20"/>
    </w:rPr>
  </w:style>
  <w:style w:type="character" w:customStyle="1" w:styleId="277">
    <w:name w:val="15"/>
    <w:link w:val="1"/>
    <w:qFormat/>
    <w:uiPriority w:val="0"/>
    <w:rPr>
      <w:rFonts w:ascii="Times New Roman" w:hAnsi="Times New Roman" w:cs="Times New Roman"/>
    </w:rPr>
  </w:style>
  <w:style w:type="character" w:customStyle="1" w:styleId="278">
    <w:name w:val="正文文本缩进 2 Char1"/>
    <w:link w:val="1"/>
    <w:semiHidden/>
    <w:qFormat/>
    <w:uiPriority w:val="99"/>
    <w:rPr>
      <w:rFonts w:ascii="Times New Roman" w:hAnsi="Times New Roman" w:eastAsia="宋体" w:cs="Times New Roman"/>
      <w:szCs w:val="20"/>
    </w:rPr>
  </w:style>
  <w:style w:type="character" w:customStyle="1" w:styleId="279">
    <w:name w:val="日期 Char1"/>
    <w:link w:val="1"/>
    <w:semiHidden/>
    <w:qFormat/>
    <w:uiPriority w:val="99"/>
    <w:rPr>
      <w:rFonts w:ascii="Times New Roman" w:hAnsi="Times New Roman" w:eastAsia="宋体" w:cs="Times New Roman"/>
      <w:szCs w:val="20"/>
    </w:rPr>
  </w:style>
  <w:style w:type="character" w:customStyle="1" w:styleId="280">
    <w:name w:val="正文文本缩进 3 Char1"/>
    <w:link w:val="1"/>
    <w:semiHidden/>
    <w:qFormat/>
    <w:uiPriority w:val="99"/>
    <w:rPr>
      <w:rFonts w:ascii="Times New Roman" w:hAnsi="Times New Roman" w:eastAsia="宋体" w:cs="Times New Roman"/>
      <w:sz w:val="16"/>
      <w:szCs w:val="16"/>
    </w:rPr>
  </w:style>
  <w:style w:type="paragraph" w:styleId="281">
    <w:name w:val="List Paragraph"/>
    <w:basedOn w:val="1"/>
    <w:qFormat/>
    <w:uiPriority w:val="0"/>
    <w:pPr>
      <w:ind w:firstLine="420"/>
    </w:pPr>
    <w:rPr>
      <w:szCs w:val="21"/>
    </w:rPr>
  </w:style>
  <w:style w:type="paragraph" w:customStyle="1" w:styleId="282">
    <w:name w:val="普通文字"/>
    <w:basedOn w:val="1"/>
    <w:next w:val="1"/>
    <w:qFormat/>
    <w:uiPriority w:val="0"/>
    <w:rPr>
      <w:rFonts w:ascii="宋体"/>
      <w:sz w:val="24"/>
    </w:rPr>
  </w:style>
  <w:style w:type="paragraph" w:customStyle="1" w:styleId="283">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284">
    <w:name w:val="列出段落1"/>
    <w:basedOn w:val="1"/>
    <w:qFormat/>
    <w:uiPriority w:val="0"/>
    <w:pPr>
      <w:ind w:firstLine="420"/>
    </w:pPr>
    <w:rPr>
      <w:szCs w:val="24"/>
    </w:rPr>
  </w:style>
  <w:style w:type="paragraph" w:customStyle="1" w:styleId="285">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286">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287">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paragraph" w:customStyle="1" w:styleId="288">
    <w:name w:val="Other|1"/>
    <w:basedOn w:val="1"/>
    <w:qFormat/>
    <w:uiPriority w:val="0"/>
    <w:pPr>
      <w:ind w:firstLine="220"/>
    </w:pPr>
    <w:rPr>
      <w:rFonts w:ascii="宋体" w:hAnsi="宋体" w:cs="宋体"/>
      <w:sz w:val="20"/>
      <w:lang w:val="zh-TW" w:eastAsia="zh-TW" w:bidi="zh-TW"/>
    </w:rPr>
  </w:style>
  <w:style w:type="character" w:customStyle="1" w:styleId="289">
    <w:name w:val="font11"/>
    <w:link w:val="1"/>
    <w:qFormat/>
    <w:uiPriority w:val="0"/>
    <w:rPr>
      <w:rFonts w:hint="eastAsia" w:ascii="宋体" w:hAnsi="宋体" w:eastAsia="宋体" w:cs="宋体"/>
      <w:color w:val="333333"/>
      <w:sz w:val="20"/>
      <w:szCs w:val="20"/>
      <w:u w:val="none"/>
    </w:rPr>
  </w:style>
  <w:style w:type="paragraph" w:customStyle="1" w:styleId="290">
    <w:name w:val="纯文本1"/>
    <w:basedOn w:val="1"/>
    <w:qFormat/>
    <w:uiPriority w:val="0"/>
    <w:rPr>
      <w:rFonts w:ascii="宋体" w:hAnsi="Courier New" w:eastAsia="楷体_GB2312"/>
      <w:sz w:val="26"/>
    </w:rPr>
  </w:style>
  <w:style w:type="character" w:customStyle="1" w:styleId="291">
    <w:name w:val="font21"/>
    <w:link w:val="1"/>
    <w:qFormat/>
    <w:uiPriority w:val="0"/>
    <w:rPr>
      <w:rFonts w:hint="eastAsia" w:ascii="宋体" w:hAnsi="宋体" w:eastAsia="宋体" w:cs="宋体"/>
      <w:color w:val="000000"/>
      <w:sz w:val="20"/>
      <w:szCs w:val="20"/>
      <w:u w:val="none"/>
    </w:rPr>
  </w:style>
  <w:style w:type="character" w:customStyle="1" w:styleId="292">
    <w:name w:val="font01"/>
    <w:link w:val="1"/>
    <w:qFormat/>
    <w:uiPriority w:val="0"/>
    <w:rPr>
      <w:rFonts w:ascii="Tahoma" w:hAnsi="Tahoma" w:eastAsia="Tahoma" w:cs="Tahoma"/>
      <w:color w:val="333333"/>
      <w:sz w:val="20"/>
      <w:szCs w:val="20"/>
      <w:u w:val="none"/>
    </w:rPr>
  </w:style>
  <w:style w:type="paragraph" w:customStyle="1" w:styleId="293">
    <w:name w:val="列出段落2"/>
    <w:basedOn w:val="1"/>
    <w:qFormat/>
    <w:uiPriority w:val="34"/>
    <w:pPr>
      <w:ind w:firstLine="420"/>
    </w:pPr>
  </w:style>
  <w:style w:type="paragraph" w:customStyle="1" w:styleId="294">
    <w:name w:val="正文文本2"/>
    <w:basedOn w:val="1"/>
    <w:next w:val="295"/>
    <w:qFormat/>
    <w:uiPriority w:val="0"/>
    <w:rPr>
      <w:rFonts w:ascii="华文中宋" w:eastAsia="华文中宋"/>
      <w:bCs/>
      <w:sz w:val="28"/>
    </w:rPr>
  </w:style>
  <w:style w:type="paragraph" w:customStyle="1" w:styleId="295">
    <w:name w:val="列表项目符号 51"/>
    <w:basedOn w:val="1"/>
    <w:qFormat/>
    <w:uiPriority w:val="0"/>
    <w:pPr>
      <w:widowControl/>
      <w:tabs>
        <w:tab w:val="left" w:pos="2040"/>
      </w:tabs>
      <w:spacing w:line="360" w:lineRule="exact"/>
      <w:ind w:left="2040" w:hanging="360"/>
    </w:pPr>
    <w:rPr>
      <w:rFonts w:eastAsia="楷体_GB2312"/>
      <w:sz w:val="24"/>
    </w:rPr>
  </w:style>
  <w:style w:type="paragraph" w:customStyle="1" w:styleId="296">
    <w:name w:val="页脚1"/>
    <w:basedOn w:val="1"/>
    <w:next w:val="1"/>
    <w:unhideWhenUsed/>
    <w:qFormat/>
    <w:uiPriority w:val="99"/>
    <w:pPr>
      <w:tabs>
        <w:tab w:val="center" w:pos="4153"/>
        <w:tab w:val="right" w:pos="8306"/>
      </w:tabs>
      <w:jc w:val="left"/>
    </w:pPr>
    <w:rPr>
      <w:sz w:val="18"/>
      <w:szCs w:val="18"/>
    </w:rPr>
  </w:style>
  <w:style w:type="paragraph" w:customStyle="1" w:styleId="297">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8">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99">
    <w:name w:val="列表段落1"/>
    <w:basedOn w:val="1"/>
    <w:qFormat/>
    <w:uiPriority w:val="34"/>
    <w:pPr>
      <w:ind w:firstLine="420"/>
    </w:pPr>
  </w:style>
  <w:style w:type="paragraph" w:customStyle="1" w:styleId="300">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301">
    <w:name w:val="_Style 1"/>
    <w:basedOn w:val="1"/>
    <w:qFormat/>
    <w:uiPriority w:val="0"/>
    <w:pPr>
      <w:spacing w:line="360" w:lineRule="auto"/>
      <w:ind w:firstLine="420"/>
    </w:pPr>
    <w:rPr>
      <w:rFonts w:ascii="Times New Roman"/>
      <w:sz w:val="24"/>
      <w:szCs w:val="24"/>
    </w:rPr>
  </w:style>
  <w:style w:type="character" w:customStyle="1" w:styleId="302">
    <w:name w:val="font41"/>
    <w:basedOn w:val="38"/>
    <w:qFormat/>
    <w:uiPriority w:val="0"/>
    <w:rPr>
      <w:rFonts w:hint="eastAsia" w:ascii="仿宋" w:hAnsi="仿宋" w:eastAsia="仿宋" w:cs="仿宋"/>
      <w:color w:val="000000"/>
      <w:sz w:val="24"/>
      <w:szCs w:val="24"/>
      <w:u w:val="none"/>
    </w:rPr>
  </w:style>
  <w:style w:type="character" w:customStyle="1" w:styleId="303">
    <w:name w:val="font51"/>
    <w:basedOn w:val="38"/>
    <w:qFormat/>
    <w:uiPriority w:val="0"/>
    <w:rPr>
      <w:rFonts w:hint="eastAsia" w:ascii="宋体" w:hAnsi="宋体" w:eastAsia="宋体" w:cs="宋体"/>
      <w:color w:val="000000"/>
      <w:sz w:val="24"/>
      <w:szCs w:val="24"/>
      <w:u w:val="none"/>
    </w:rPr>
  </w:style>
  <w:style w:type="table" w:customStyle="1" w:styleId="304">
    <w:name w:val="网格型6"/>
    <w:basedOn w:val="36"/>
    <w:qFormat/>
    <w:uiPriority w:val="59"/>
    <w:rPr>
      <w:rFonts w:ascii="Calibri" w:hAnsi="Calibri"/>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305">
    <w:name w:val="列表段落"/>
    <w:basedOn w:val="1"/>
    <w:qFormat/>
    <w:uiPriority w:val="0"/>
    <w:pPr>
      <w:ind w:firstLine="420"/>
    </w:pPr>
    <w:rPr>
      <w:rFonts w:ascii="Calibri" w:hAnsi="Calibri"/>
      <w:sz w:val="20"/>
    </w:rPr>
  </w:style>
  <w:style w:type="character" w:customStyle="1" w:styleId="306">
    <w:name w:val="NormalCharacter1"/>
    <w:link w:val="307"/>
    <w:qFormat/>
    <w:uiPriority w:val="0"/>
  </w:style>
  <w:style w:type="paragraph" w:customStyle="1" w:styleId="307">
    <w:name w:val="UserStyle_4"/>
    <w:basedOn w:val="1"/>
    <w:link w:val="306"/>
    <w:qFormat/>
    <w:uiPriority w:val="99"/>
  </w:style>
  <w:style w:type="paragraph" w:customStyle="1" w:styleId="308">
    <w:name w:val="TOC Heading1"/>
    <w:next w:val="1"/>
    <w:qFormat/>
    <w:uiPriority w:val="0"/>
    <w:rPr>
      <w:rFonts w:hint="default" w:ascii="Times New Roman" w:hAnsi="Times New Roman" w:eastAsia="宋体" w:cs="Times New Roman"/>
      <w:sz w:val="3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c18b8d6d-2a4b-4bab-ad03-58b0f1bfc4e5</errorID>
      <errorWord>(</errorWord>
      <group>L1_Format</group>
      <groupName>格式问题</groupName>
      <ability>L2_HalfPunc</ability>
      <abilityName>全半角检查</abilityName>
      <candidateList>
        <item>（</item>
      </candidateList>
      <explain>文本全半角错误。</explain>
      <paraID>4B9D4A08</paraID>
      <start>46</start>
      <end>47</end>
      <status>modified</status>
      <modifiedWord>（</modifiedWord>
      <trackRevisions>false</trackRevisions>
    </reviewItem>
    <reviewItem>
      <errorID>1fbcf9a0-c172-4ddd-a64e-2b307801207b</errorID>
      <errorWord>导入到</errorWord>
      <group>L1_Word</group>
      <groupName>字词问题</groupName>
      <ability>L2_Typo</ability>
      <abilityName>字词错误</abilityName>
      <candidateList>
        <item>导入</item>
      </candidateList>
      <explain/>
      <paraID>6E037F07</paraID>
      <start>185</start>
      <end>188</end>
      <status>ignored</status>
      <modifiedWord/>
      <trackRevisions>false</trackRevisions>
    </reviewItem>
    <reviewItem>
      <errorID>e9ca27c4-f7a0-4739-9785-5a41b2092e2a</errorID>
      <errorWord>复印件加盖</errorWord>
      <group>L1_Word</group>
      <groupName>字词问题</groupName>
      <ability>L2_Typo</ability>
      <abilityName>字词错误</abilityName>
      <candidateList>
        <item>复印件并加盖</item>
      </candidateList>
      <explain/>
      <paraID>38A67EE4</paraID>
      <start>158</start>
      <end>163</end>
      <status>ignored</status>
      <modifiedWord/>
      <trackRevisions>false</trackRevisions>
    </reviewItem>
    <reviewItem>
      <errorID>8dd51e7e-fb7a-4604-87a3-5fc58d770976</errorID>
      <errorWord>（</errorWord>
      <group>L1_Punc</group>
      <groupName>标点问题</groupName>
      <ability>L2_Punc</ability>
      <abilityName>标点符号检查</abilityName>
      <candidateList/>
      <explain>同一形式括号套用。</explain>
      <paraID>1AC4B7AC</paraID>
      <start>107</start>
      <end>108</end>
      <status>ignored</status>
      <modifiedWord/>
      <trackRevisions>false</trackRevisions>
    </reviewItem>
    <reviewItem>
      <errorID>85cf9ff3-460b-457c-b7f8-2233a2624b02</errorID>
      <errorWord>）</errorWord>
      <group>L1_Punc</group>
      <groupName>标点问题</groupName>
      <ability>L2_Punc</ability>
      <abilityName>标点符号检查</abilityName>
      <candidateList/>
      <explain>同一形式括号套用。</explain>
      <paraID>1AC4B7AC</paraID>
      <start>109</start>
      <end>110</end>
      <status>ignored</status>
      <modifiedWord/>
      <trackRevisions>false</trackRevisions>
    </reviewItem>
    <reviewItem>
      <errorID>ebad3646-e7bc-4085-8a93-addbb1d04cbd</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22ADC629</paraID>
      <start>8</start>
      <end>17</end>
      <status>modified</status>
      <modifiedWord>2023年1月1日</modifiedWord>
      <trackRevisions>false</trackRevisions>
    </reviewItem>
    <reviewItem>
      <errorID>ec889190-3de0-46d1-ab85-a797e31d2506</errorID>
      <errorWord>)</errorWord>
      <group>L1_Format</group>
      <groupName>格式问题</groupName>
      <ability>L2_HalfPunc</ability>
      <abilityName>全半角检查</abilityName>
      <candidateList>
        <item>）</item>
      </candidateList>
      <explain>文本全半角错误。</explain>
      <paraID>12E73F1F</paraID>
      <start>18</start>
      <end>19</end>
      <status>modified</status>
      <modifiedWord>）</modifiedWord>
      <trackRevisions>false</trackRevisions>
    </reviewItem>
    <reviewItem>
      <errorID>5d254839-5a14-4848-978d-82947d04a10f</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621ED24A</paraID>
      <start>48</start>
      <end>57</end>
      <status>modified</status>
      <modifiedWord>100万—500万</modifiedWord>
      <trackRevisions>false</trackRevisions>
    </reviewItem>
    <reviewItem>
      <errorID>acf6e6ef-2f15-44b2-ae74-0343987ea706</errorID>
      <errorWord>(</errorWord>
      <group>L1_Format</group>
      <groupName>格式问题</groupName>
      <ability>L2_HalfPunc</ability>
      <abilityName>全半角检查</abilityName>
      <candidateList>
        <item>（</item>
      </candidateList>
      <explain>文本全半角错误。</explain>
      <paraID>4D659698</paraID>
      <start>39</start>
      <end>40</end>
      <status>modified</status>
      <modifiedWord>（</modifiedWord>
      <trackRevisions>false</trackRevisions>
    </reviewItem>
    <reviewItem>
      <errorID>e318ea31-b219-461c-8777-084f3f5e485d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2EEAF132</paraID>
      <start>0</start>
      <end>2</end>
      <status>modified</status>
      <modifiedWord>1.</modifiedWord>
      <trackRevisions>false</trackRevisions>
    </reviewItem>
    <reviewItem>
      <errorID>2cbac969-e949-4f80-9f49-6bc0d1229f93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27BA062D</paraID>
      <start>0</start>
      <end>2</end>
      <status>modified</status>
      <modifiedWord>2.</modifiedWord>
      <trackRevisions>false</trackRevisions>
    </reviewItem>
    <reviewItem>
      <errorID>f7df4ae5-61e6-4f02-916c-20467839d2e8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2CB1268D</paraID>
      <start>0</start>
      <end>2</end>
      <status>modified</status>
      <modifiedWord>3.</modifiedWord>
      <trackRevisions>false</trackRevisions>
    </reviewItem>
    <reviewItem>
      <errorID>f5b08f78-ee7e-47c3-b582-31a5f55f3260</errorID>
      <errorWord>(</errorWord>
      <group>L1_Format</group>
      <groupName>格式问题</groupName>
      <ability>L2_HalfPunc</ability>
      <abilityName>全半角检查</abilityName>
      <candidateList>
        <item>（</item>
      </candidateList>
      <explain>文本全半角错误。</explain>
      <paraID>2CB1268D</paraID>
      <start>64</start>
      <end>65</end>
      <status>modified</status>
      <modifiedWord>（</modifiedWord>
      <trackRevisions>false</trackRevisions>
    </reviewItem>
    <reviewItem>
      <errorID>82a61711-4277-4aaf-8a65-acf7db835441</errorID>
      <errorWord>:</errorWord>
      <group>L1_Format</group>
      <groupName>格式问题</groupName>
      <ability>L2_HalfPunc</ability>
      <abilityName>全半角检查</abilityName>
      <candidateList>
        <item>：</item>
      </candidateList>
      <explain>文本全半角错误。</explain>
      <paraID>2CB1268D</paraID>
      <start>66</start>
      <end>67</end>
      <status>modified</status>
      <modifiedWord>：</modifiedWord>
      <trackRevisions>false</trackRevisions>
    </reviewItem>
    <reviewItem>
      <errorID>397c87ee-9c4e-4bde-8016-085bbe3406f6</errorID>
      <errorWord>;</errorWord>
      <group>L1_Format</group>
      <groupName>格式问题</groupName>
      <ability>L2_HalfPunc</ability>
      <abilityName>全半角检查</abilityName>
      <candidateList>
        <item>；</item>
      </candidateList>
      <explain>文本全半角错误。</explain>
      <paraID>2CB1268D</paraID>
      <start>91</start>
      <end>92</end>
      <status>modified</status>
      <modifiedWord>；</modifiedWord>
      <trackRevisions>false</trackRevisions>
    </reviewItem>
    <reviewItem>
      <errorID>489b059d-67ab-4cbd-bf61-7de3016c25a9</errorID>
      <errorWord>)</errorWord>
      <group>L1_Format</group>
      <groupName>格式问题</groupName>
      <ability>L2_HalfPunc</ability>
      <abilityName>全半角检查</abilityName>
      <candidateList>
        <item>）</item>
      </candidateList>
      <explain>文本全半角错误。</explain>
      <paraID>2CB1268D</paraID>
      <start>133</start>
      <end>134</end>
      <status>modified</status>
      <modifiedWord>）</modifiedWord>
      <trackRevisions>false</trackRevisions>
    </reviewItem>
    <reviewItem>
      <errorID>c0b3d2b7-3f68-4f69-85e6-63b5ce8837b7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632B7EEC</paraID>
      <start>0</start>
      <end>2</end>
      <status>modified</status>
      <modifiedWord>4.</modifiedWord>
      <trackRevisions>false</trackRevisions>
    </reviewItem>
    <reviewItem>
      <errorID>a5332816-741e-45c2-90ed-90c2b5b5cb6d</errorID>
      <errorWord>III</errorWord>
      <group>L1_Knowledge</group>
      <groupName>知识性问题</groupName>
      <ability>L2_Knowledge</ability>
      <abilityName>其他知识</abilityName>
      <candidateList>
        <item>Ⅲ</item>
      </candidateList>
      <explain>中文环境下罗马数字格式错误。</explain>
      <paraID>1EDA126C</paraID>
      <start>31</start>
      <end>32</end>
      <status>modified</status>
      <modifiedWord>Ⅲ</modifiedWord>
      <trackRevisions>false</trackRevisions>
    </reviewItem>
    <reviewItem>
      <errorID>f575127a-4ddd-43de-8f1f-7274888d30bf</errorID>
      <errorWord>机</errorWord>
      <group>L1_Word</group>
      <groupName>字词问题</groupName>
      <ability>L2_Typo</ability>
      <abilityName>字词错误</abilityName>
      <candidateList>
        <item>机械</item>
      </candidateList>
      <explain/>
      <paraID>30E02C60</paraID>
      <start>125</start>
      <end>127</end>
      <status>modified</status>
      <modifiedWord>机械</modifiedWord>
      <trackRevisions>false</trackRevisions>
    </reviewItem>
    <reviewItem>
      <errorID>8afbe985-a66a-4598-9767-00eeac044eaa</errorID>
      <errorWord>2-3天</errorWord>
      <group>L1_Word</group>
      <groupName>字词问题</groupName>
      <ability>L2_Typo</ability>
      <abilityName>字词错误</abilityName>
      <candidateList>
        <item>2～3天</item>
      </candidateList>
      <explain/>
      <paraID>30E02C60</paraID>
      <start>152</start>
      <end>156</end>
      <status>ignored</status>
      <modifiedWord/>
      <trackRevisions>false</trackRevisions>
    </reviewItem>
    <reviewItem>
      <errorID>9f7697cd-02f2-447f-893e-87be4aeb8101</errorID>
      <errorWord>:</errorWord>
      <group>L1_Format</group>
      <groupName>格式问题</groupName>
      <ability>L2_HalfPunc</ability>
      <abilityName>全半角检查</abilityName>
      <candidateList>
        <item>：</item>
      </candidateList>
      <explain>文本全半角错误。</explain>
      <paraID> 6C45A88</paraID>
      <start>12</start>
      <end>13</end>
      <status>modified</status>
      <modifiedWord>：</modifiedWord>
      <trackRevisions>false</trackRevisions>
    </reviewItem>
    <reviewItem>
      <errorID>e2f28f0d-dfdd-4bb7-9476-5555172ff248</errorID>
      <errorWord>:</errorWord>
      <group>L1_Format</group>
      <groupName>格式问题</groupName>
      <ability>L2_HalfPunc</ability>
      <abilityName>全半角检查</abilityName>
      <candidateList>
        <item>：</item>
      </candidateList>
      <explain>文本全半角错误。</explain>
      <paraID> 6C45A88</paraID>
      <start>46</start>
      <end>47</end>
      <status>modified</status>
      <modifiedWord>：</modifiedWord>
      <trackRevisions>false</trackRevisions>
    </reviewItem>
    <reviewItem>
      <errorID>2e95adcb-ca4a-4aa8-b089-d4169a031346</errorID>
      <errorWord>藻类爆发</errorWord>
      <group>L1_Word</group>
      <groupName>字词问题</groupName>
      <ability>L2_Typo</ability>
      <abilityName>字词错误</abilityName>
      <candidateList>
        <item>藻类暴发</item>
      </candidateList>
      <explain/>
      <paraID>5A04FFA7</paraID>
      <start>58</start>
      <end>62</end>
      <status>ignored</status>
      <modifiedWord/>
      <trackRevisions>false</trackRevisions>
    </reviewItem>
    <reviewItem>
      <errorID>0eb4a6ae-a251-498f-b74c-298c69f69d88</errorID>
      <errorWord>机</errorWord>
      <group>L1_Word</group>
      <groupName>字词问题</groupName>
      <ability>L2_Typo</ability>
      <abilityName>字词错误</abilityName>
      <candidateList>
        <item>机械</item>
      </candidateList>
      <explain/>
      <paraID>3B8ABCA4</paraID>
      <start>125</start>
      <end>127</end>
      <status>modified</status>
      <modifiedWord>机械</modifiedWord>
      <trackRevisions>false</trackRevisions>
    </reviewItem>
    <reviewItem>
      <errorID>3afa9e74-7b3b-4445-b76d-9a6d0369dea2</errorID>
      <errorWord>2-3天</errorWord>
      <group>L1_Word</group>
      <groupName>字词问题</groupName>
      <ability>L2_Typo</ability>
      <abilityName>字词错误</abilityName>
      <candidateList>
        <item>2～3天</item>
      </candidateList>
      <explain/>
      <paraID>3B8ABCA4</paraID>
      <start>152</start>
      <end>156</end>
      <status>ignored</status>
      <modifiedWord/>
      <trackRevisions>false</trackRevisions>
    </reviewItem>
    <reviewItem>
      <errorID>57f47d15-abc1-4f1d-9241-e3eb91c893f0</errorID>
      <errorWord>:</errorWord>
      <group>L1_Format</group>
      <groupName>格式问题</groupName>
      <ability>L2_HalfPunc</ability>
      <abilityName>全半角检查</abilityName>
      <candidateList>
        <item>：</item>
      </candidateList>
      <explain>文本全半角错误。</explain>
      <paraID> 8C3DB04</paraID>
      <start>12</start>
      <end>13</end>
      <status>modified</status>
      <modifiedWord>：</modifiedWord>
      <trackRevisions>false</trackRevisions>
    </reviewItem>
    <reviewItem>
      <errorID>675c93d1-cb0e-4300-ae2b-6fa73f481ef0</errorID>
      <errorWord>:</errorWord>
      <group>L1_Format</group>
      <groupName>格式问题</groupName>
      <ability>L2_HalfPunc</ability>
      <abilityName>全半角检查</abilityName>
      <candidateList>
        <item>：</item>
      </candidateList>
      <explain>文本全半角错误。</explain>
      <paraID> 8C3DB04</paraID>
      <start>46</start>
      <end>47</end>
      <status>modified</status>
      <modifiedWord>：</modifiedWord>
      <trackRevisions>false</trackRevisions>
    </reviewItem>
    <reviewItem>
      <errorID>70a9bd3d-9486-4619-827e-cc9abd4b7d1b</errorID>
      <errorWord>、共一</errorWord>
      <group>L1_Punc</group>
      <groupName>标点问题</groupName>
      <ability>L2_Punc</ability>
      <abilityName>标点符号检查</abilityName>
      <candidateList>
        <item>共一</item>
      </candidateList>
      <explain/>
      <paraID>28BD31A7</paraID>
      <start>58</start>
      <end>61</end>
      <status>ignored</status>
      <modifiedWord/>
      <trackRevisions>false</trackRevisions>
    </reviewItem>
    <reviewItem>
      <errorID>35f980c0-dc40-42a1-9b7c-0b7d082dcf2a</errorID>
      <errorWord>藻类爆发</errorWord>
      <group>L1_Word</group>
      <groupName>字词问题</groupName>
      <ability>L2_Typo</ability>
      <abilityName>字词错误</abilityName>
      <candidateList>
        <item>藻类暴发</item>
      </candidateList>
      <explain/>
      <paraID>322012F2</paraID>
      <start>58</start>
      <end>62</end>
      <status>ignored</status>
      <modifiedWord/>
      <trackRevisions>false</trackRevisions>
    </reviewItem>
    <reviewItem>
      <errorID>546c5fb6-af97-4a9a-8844-9af6a36cef6f</errorID>
      <errorWord>机</errorWord>
      <group>L1_Word</group>
      <groupName>字词问题</groupName>
      <ability>L2_Typo</ability>
      <abilityName>字词错误</abilityName>
      <candidateList>
        <item>机械</item>
      </candidateList>
      <explain/>
      <paraID>76056ACF</paraID>
      <start>125</start>
      <end>127</end>
      <status>modified</status>
      <modifiedWord>机械</modifiedWord>
      <trackRevisions>false</trackRevisions>
    </reviewItem>
    <reviewItem>
      <errorID>32ddb550-6458-4585-b9f5-9308ccd32b2b</errorID>
      <errorWord>2-3天</errorWord>
      <group>L1_Word</group>
      <groupName>字词问题</groupName>
      <ability>L2_Typo</ability>
      <abilityName>字词错误</abilityName>
      <candidateList>
        <item>2～3天</item>
      </candidateList>
      <explain/>
      <paraID>76056ACF</paraID>
      <start>152</start>
      <end>156</end>
      <status>ignored</status>
      <modifiedWord/>
      <trackRevisions>false</trackRevisions>
    </reviewItem>
    <reviewItem>
      <errorID>f08651d7-7594-435d-b069-f12e5a5478a8</errorID>
      <errorWord>:</errorWord>
      <group>L1_Format</group>
      <groupName>格式问题</groupName>
      <ability>L2_HalfPunc</ability>
      <abilityName>全半角检查</abilityName>
      <candidateList>
        <item>：</item>
      </candidateList>
      <explain>文本全半角错误。</explain>
      <paraID>465C14AE</paraID>
      <start>12</start>
      <end>13</end>
      <status>modified</status>
      <modifiedWord>：</modifiedWord>
      <trackRevisions>false</trackRevisions>
    </reviewItem>
    <reviewItem>
      <errorID>8878d09f-58ae-4b41-a7e1-f0517e140b77</errorID>
      <errorWord>:</errorWord>
      <group>L1_Format</group>
      <groupName>格式问题</groupName>
      <ability>L2_HalfPunc</ability>
      <abilityName>全半角检查</abilityName>
      <candidateList>
        <item>：</item>
      </candidateList>
      <explain>文本全半角错误。</explain>
      <paraID>465C14AE</paraID>
      <start>46</start>
      <end>47</end>
      <status>modified</status>
      <modifiedWord>：</modifiedWord>
      <trackRevisions>false</trackRevisions>
    </reviewItem>
    <reviewItem>
      <errorID>a11229de-f43d-4202-9328-c9493ffaf5f5</errorID>
      <errorWord>、共五</errorWord>
      <group>L1_Punc</group>
      <groupName>标点问题</groupName>
      <ability>L2_Punc</ability>
      <abilityName>标点符号检查</abilityName>
      <candidateList>
        <item>共五</item>
      </candidateList>
      <explain/>
      <paraID> 214EB0D</paraID>
      <start>58</start>
      <end>61</end>
      <status>ignored</status>
      <modifiedWord/>
      <trackRevisions>false</trackRevisions>
    </reviewItem>
    <reviewItem>
      <errorID>5e0ca818-e4ed-4757-b945-42398837f699</errorID>
      <errorWord>藻类爆发</errorWord>
      <group>L1_Word</group>
      <groupName>字词问题</groupName>
      <ability>L2_Typo</ability>
      <abilityName>字词错误</abilityName>
      <candidateList>
        <item>藻类暴发</item>
      </candidateList>
      <explain/>
      <paraID>580122BC</paraID>
      <start>58</start>
      <end>62</end>
      <status>ignored</status>
      <modifiedWord/>
      <trackRevisions>false</trackRevisions>
    </reviewItem>
    <reviewItem>
      <errorID>b0971f64-6eab-4ca8-97f5-609f38f6ba34</errorID>
      <errorWord>机</errorWord>
      <group>L1_Word</group>
      <groupName>字词问题</groupName>
      <ability>L2_Typo</ability>
      <abilityName>字词错误</abilityName>
      <candidateList>
        <item>机械</item>
      </candidateList>
      <explain/>
      <paraID>10D05534</paraID>
      <start>125</start>
      <end>127</end>
      <status>modified</status>
      <modifiedWord>机械</modifiedWord>
      <trackRevisions>false</trackRevisions>
    </reviewItem>
    <reviewItem>
      <errorID>43ca875e-b080-4c44-859c-e26069b21a11</errorID>
      <errorWord>2-3天</errorWord>
      <group>L1_Word</group>
      <groupName>字词问题</groupName>
      <ability>L2_Typo</ability>
      <abilityName>字词错误</abilityName>
      <candidateList>
        <item>2～3天</item>
      </candidateList>
      <explain/>
      <paraID>10D05534</paraID>
      <start>152</start>
      <end>156</end>
      <status>ignored</status>
      <modifiedWord/>
      <trackRevisions>false</trackRevisions>
    </reviewItem>
    <reviewItem>
      <errorID>8d5b71ac-76c5-41f6-b424-a68234d40d0b</errorID>
      <errorWord>:</errorWord>
      <group>L1_Format</group>
      <groupName>格式问题</groupName>
      <ability>L2_HalfPunc</ability>
      <abilityName>全半角检查</abilityName>
      <candidateList>
        <item>：</item>
      </candidateList>
      <explain>文本全半角错误。</explain>
      <paraID>4AAC5093</paraID>
      <start>12</start>
      <end>13</end>
      <status>modified</status>
      <modifiedWord>：</modifiedWord>
      <trackRevisions>false</trackRevisions>
    </reviewItem>
    <reviewItem>
      <errorID>aec2bf2b-e53f-42ad-baa9-d09a84269ffa</errorID>
      <errorWord>:</errorWord>
      <group>L1_Format</group>
      <groupName>格式问题</groupName>
      <ability>L2_HalfPunc</ability>
      <abilityName>全半角检查</abilityName>
      <candidateList>
        <item>：</item>
      </candidateList>
      <explain>文本全半角错误。</explain>
      <paraID>4AAC5093</paraID>
      <start>46</start>
      <end>47</end>
      <status>modified</status>
      <modifiedWord>：</modifiedWord>
      <trackRevisions>false</trackRevisions>
    </reviewItem>
    <reviewItem>
      <errorID>024248e1-de8b-47f1-85fe-1bfb777fa0ec</errorID>
      <errorWord>藻类爆发</errorWord>
      <group>L1_Word</group>
      <groupName>字词问题</groupName>
      <ability>L2_Typo</ability>
      <abilityName>字词错误</abilityName>
      <candidateList>
        <item>藻类暴发</item>
      </candidateList>
      <explain/>
      <paraID>6AA88047</paraID>
      <start>58</start>
      <end>62</end>
      <status>ignored</status>
      <modifiedWord/>
      <trackRevisions>false</trackRevisions>
    </reviewItem>
    <reviewItem>
      <errorID>ed0015db-2ec3-47b9-bf21-6a0474d1ed59</errorID>
      <errorWord>机</errorWord>
      <group>L1_Word</group>
      <groupName>字词问题</groupName>
      <ability>L2_Typo</ability>
      <abilityName>字词错误</abilityName>
      <candidateList>
        <item>机械</item>
      </candidateList>
      <explain/>
      <paraID>1576A36A</paraID>
      <start>125</start>
      <end>127</end>
      <status>modified</status>
      <modifiedWord>机械</modifiedWord>
      <trackRevisions>false</trackRevisions>
    </reviewItem>
    <reviewItem>
      <errorID>826a6277-570d-4221-bef6-6d41b5eba382</errorID>
      <errorWord>2-3天</errorWord>
      <group>L1_Word</group>
      <groupName>字词问题</groupName>
      <ability>L2_Typo</ability>
      <abilityName>字词错误</abilityName>
      <candidateList>
        <item>2～3天</item>
      </candidateList>
      <explain/>
      <paraID>1576A36A</paraID>
      <start>152</start>
      <end>156</end>
      <status>ignored</status>
      <modifiedWord/>
      <trackRevisions>false</trackRevisions>
    </reviewItem>
    <reviewItem>
      <errorID>75ae4a0a-b70e-4dfd-8e23-1f5729bea57a</errorID>
      <errorWord>:</errorWord>
      <group>L1_Format</group>
      <groupName>格式问题</groupName>
      <ability>L2_HalfPunc</ability>
      <abilityName>全半角检查</abilityName>
      <candidateList>
        <item>：</item>
      </candidateList>
      <explain>文本全半角错误。</explain>
      <paraID> 899F052</paraID>
      <start>12</start>
      <end>13</end>
      <status>modified</status>
      <modifiedWord>：</modifiedWord>
      <trackRevisions>false</trackRevisions>
    </reviewItem>
    <reviewItem>
      <errorID>e4a29a7d-ea57-48ef-8b7f-c115251039b7</errorID>
      <errorWord>:</errorWord>
      <group>L1_Format</group>
      <groupName>格式问题</groupName>
      <ability>L2_HalfPunc</ability>
      <abilityName>全半角检查</abilityName>
      <candidateList>
        <item>：</item>
      </candidateList>
      <explain>文本全半角错误。</explain>
      <paraID> 899F052</paraID>
      <start>46</start>
      <end>47</end>
      <status>modified</status>
      <modifiedWord>：</modifiedWord>
      <trackRevisions>false</trackRevisions>
    </reviewItem>
    <reviewItem>
      <errorID>a7c682c9-a334-429e-85fe-b4f4e2b722ad</errorID>
      <errorWord>、共四</errorWord>
      <group>L1_Punc</group>
      <groupName>标点问题</groupName>
      <ability>L2_Punc</ability>
      <abilityName>标点符号检查</abilityName>
      <candidateList>
        <item>共四</item>
      </candidateList>
      <explain/>
      <paraID>69273A4A</paraID>
      <start>58</start>
      <end>61</end>
      <status>ignored</status>
      <modifiedWord/>
      <trackRevisions>false</trackRevisions>
    </reviewItem>
    <reviewItem>
      <errorID>c60676cf-f9ed-4ff4-9485-d87de33e2a89</errorID>
      <errorWord>藻类爆发</errorWord>
      <group>L1_Word</group>
      <groupName>字词问题</groupName>
      <ability>L2_Typo</ability>
      <abilityName>字词错误</abilityName>
      <candidateList>
        <item>藻类暴发</item>
      </candidateList>
      <explain/>
      <paraID>39FEC4F3</paraID>
      <start>58</start>
      <end>62</end>
      <status>ignored</status>
      <modifiedWord/>
      <trackRevisions>false</trackRevisions>
    </reviewItem>
    <reviewItem>
      <errorID>f2df0d97-1132-4ef1-9ad4-eb4ba1a8b065</errorID>
      <errorWord>机</errorWord>
      <group>L1_Word</group>
      <groupName>字词问题</groupName>
      <ability>L2_Typo</ability>
      <abilityName>字词错误</abilityName>
      <candidateList>
        <item>机械</item>
      </candidateList>
      <explain/>
      <paraID>7394D10F</paraID>
      <start>125</start>
      <end>127</end>
      <status>modified</status>
      <modifiedWord>机械</modifiedWord>
      <trackRevisions>false</trackRevisions>
    </reviewItem>
    <reviewItem>
      <errorID>ed12321d-484e-4feb-8692-b7ba9f87975e</errorID>
      <errorWord>2-3天</errorWord>
      <group>L1_Word</group>
      <groupName>字词问题</groupName>
      <ability>L2_Typo</ability>
      <abilityName>字词错误</abilityName>
      <candidateList>
        <item>2～3天</item>
      </candidateList>
      <explain/>
      <paraID>7394D10F</paraID>
      <start>152</start>
      <end>156</end>
      <status>ignored</status>
      <modifiedWord/>
      <trackRevisions>false</trackRevisions>
    </reviewItem>
    <reviewItem>
      <errorID>2b97e549-1625-47ca-a1cb-52a27043b03f</errorID>
      <errorWord>:</errorWord>
      <group>L1_Format</group>
      <groupName>格式问题</groupName>
      <ability>L2_HalfPunc</ability>
      <abilityName>全半角检查</abilityName>
      <candidateList>
        <item>：</item>
      </candidateList>
      <explain>文本全半角错误。</explain>
      <paraID>346B7C3E</paraID>
      <start>12</start>
      <end>13</end>
      <status>modified</status>
      <modifiedWord>：</modifiedWord>
      <trackRevisions>false</trackRevisions>
    </reviewItem>
    <reviewItem>
      <errorID>32825121-6393-4095-b0fc-329d58507bed</errorID>
      <errorWord>:</errorWord>
      <group>L1_Format</group>
      <groupName>格式问题</groupName>
      <ability>L2_HalfPunc</ability>
      <abilityName>全半角检查</abilityName>
      <candidateList>
        <item>：</item>
      </candidateList>
      <explain>文本全半角错误。</explain>
      <paraID>346B7C3E</paraID>
      <start>46</start>
      <end>47</end>
      <status>modified</status>
      <modifiedWord>：</modifiedWord>
      <trackRevisions>false</trackRevisions>
    </reviewItem>
    <reviewItem>
      <errorID>d108eea9-a8b1-4ba4-a6d8-aef536550e1e</errorID>
      <errorWord>:</errorWord>
      <group>L1_Format</group>
      <groupName>格式问题</groupName>
      <ability>L2_HalfPunc</ability>
      <abilityName>全半角检查</abilityName>
      <candidateList>
        <item>：</item>
      </candidateList>
      <explain>文本全半角错误。</explain>
      <paraID>35C5CD61</paraID>
      <start>12</start>
      <end>13</end>
      <status>modified</status>
      <modifiedWord>：</modifiedWord>
      <trackRevisions>false</trackRevisions>
    </reviewItem>
    <reviewItem>
      <errorID>2e3647c4-720b-4d41-a5ec-262a9115841b</errorID>
      <errorWord>:</errorWord>
      <group>L1_Format</group>
      <groupName>格式问题</groupName>
      <ability>L2_HalfPunc</ability>
      <abilityName>全半角检查</abilityName>
      <candidateList>
        <item>：</item>
      </candidateList>
      <explain>文本全半角错误。</explain>
      <paraID>35C5CD61</paraID>
      <start>46</start>
      <end>47</end>
      <status>modified</status>
      <modifiedWord>：</modifiedWord>
      <trackRevisions>false</trackRevisions>
    </reviewItem>
    <reviewItem>
      <errorID>f9b4963c-8f01-48c7-9086-6c55784f2ec1</errorID>
      <errorWord>、共一</errorWord>
      <group>L1_Punc</group>
      <groupName>标点问题</groupName>
      <ability>L2_Punc</ability>
      <abilityName>标点符号检查</abilityName>
      <candidateList>
        <item>共一</item>
      </candidateList>
      <explain/>
      <paraID>49C11E11</paraID>
      <start>58</start>
      <end>61</end>
      <status>ignored</status>
      <modifiedWord/>
      <trackRevisions>false</trackRevisions>
    </reviewItem>
    <reviewItem>
      <errorID>31487b1c-e5c1-4187-8b5e-922502ba9d5e</errorID>
      <errorWord>藻类爆发</errorWord>
      <group>L1_Word</group>
      <groupName>字词问题</groupName>
      <ability>L2_Typo</ability>
      <abilityName>字词错误</abilityName>
      <candidateList>
        <item>藻类暴发</item>
      </candidateList>
      <explain/>
      <paraID>63F496C1</paraID>
      <start>58</start>
      <end>62</end>
      <status>ignored</status>
      <modifiedWord/>
      <trackRevisions>false</trackRevisions>
    </reviewItem>
    <reviewItem>
      <errorID>063ce427-c691-4ec0-a2c9-ad17f0f6a364</errorID>
      <errorWord>机</errorWord>
      <group>L1_Word</group>
      <groupName>字词问题</groupName>
      <ability>L2_Typo</ability>
      <abilityName>字词错误</abilityName>
      <candidateList>
        <item>机械</item>
      </candidateList>
      <explain/>
      <paraID>32FBFDE7</paraID>
      <start>125</start>
      <end>127</end>
      <status>modified</status>
      <modifiedWord>机械</modifiedWord>
      <trackRevisions>false</trackRevisions>
    </reviewItem>
    <reviewItem>
      <errorID>e2128ced-873f-45c2-b1fd-3df68a68e7fa</errorID>
      <errorWord>2-3天</errorWord>
      <group>L1_Word</group>
      <groupName>字词问题</groupName>
      <ability>L2_Typo</ability>
      <abilityName>字词错误</abilityName>
      <candidateList>
        <item>2～3天</item>
      </candidateList>
      <explain/>
      <paraID>32FBFDE7</paraID>
      <start>152</start>
      <end>156</end>
      <status>ignored</status>
      <modifiedWord/>
      <trackRevisions>false</trackRevisions>
    </reviewItem>
    <reviewItem>
      <errorID>4411d03c-d7a8-4518-a5e5-a10fc23e0cb8</errorID>
      <errorWord>:</errorWord>
      <group>L1_Format</group>
      <groupName>格式问题</groupName>
      <ability>L2_HalfPunc</ability>
      <abilityName>全半角检查</abilityName>
      <candidateList>
        <item>：</item>
      </candidateList>
      <explain>文本全半角错误。</explain>
      <paraID>471B3396</paraID>
      <start>12</start>
      <end>13</end>
      <status>modified</status>
      <modifiedWord>：</modifiedWord>
      <trackRevisions>false</trackRevisions>
    </reviewItem>
    <reviewItem>
      <errorID>de98cb22-7c0c-477e-b232-77f549fb5965</errorID>
      <errorWord>:</errorWord>
      <group>L1_Format</group>
      <groupName>格式问题</groupName>
      <ability>L2_HalfPunc</ability>
      <abilityName>全半角检查</abilityName>
      <candidateList>
        <item>：</item>
      </candidateList>
      <explain>文本全半角错误。</explain>
      <paraID>471B3396</paraID>
      <start>46</start>
      <end>47</end>
      <status>modified</status>
      <modifiedWord>：</modifiedWord>
      <trackRevisions>false</trackRevisions>
    </reviewItem>
    <reviewItem>
      <errorID>ab7aafd1-48d2-4c02-a356-7330d4478a8b</errorID>
      <errorWord>藻类爆发</errorWord>
      <group>L1_Word</group>
      <groupName>字词问题</groupName>
      <ability>L2_Typo</ability>
      <abilityName>字词错误</abilityName>
      <candidateList>
        <item>藻类暴发</item>
      </candidateList>
      <explain/>
      <paraID>39164778</paraID>
      <start>58</start>
      <end>62</end>
      <status>ignored</status>
      <modifiedWord/>
      <trackRevisions>false</trackRevisions>
    </reviewItem>
    <reviewItem>
      <errorID>199aaf27-bbcc-4e2b-862c-568bcea60b86</errorID>
      <errorWord>机</errorWord>
      <group>L1_Word</group>
      <groupName>字词问题</groupName>
      <ability>L2_Typo</ability>
      <abilityName>字词错误</abilityName>
      <candidateList>
        <item>机械</item>
      </candidateList>
      <explain/>
      <paraID>6354C237</paraID>
      <start>125</start>
      <end>127</end>
      <status>modified</status>
      <modifiedWord>机械</modifiedWord>
      <trackRevisions>false</trackRevisions>
    </reviewItem>
    <reviewItem>
      <errorID>1395f9bc-00ec-4811-b28b-097ffb2829bc</errorID>
      <errorWord>2-3天</errorWord>
      <group>L1_Word</group>
      <groupName>字词问题</groupName>
      <ability>L2_Typo</ability>
      <abilityName>字词错误</abilityName>
      <candidateList>
        <item>2～3天</item>
      </candidateList>
      <explain/>
      <paraID>6354C237</paraID>
      <start>152</start>
      <end>156</end>
      <status>ignored</status>
      <modifiedWord/>
      <trackRevisions>false</trackRevisions>
    </reviewItem>
    <reviewItem>
      <errorID>dc15182a-3f56-47f1-b872-8593ac80a89d</errorID>
      <errorWord>:</errorWord>
      <group>L1_Format</group>
      <groupName>格式问题</groupName>
      <ability>L2_HalfPunc</ability>
      <abilityName>全半角检查</abilityName>
      <candidateList>
        <item>：</item>
      </candidateList>
      <explain>文本全半角错误。</explain>
      <paraID> AB49F58</paraID>
      <start>12</start>
      <end>13</end>
      <status>modified</status>
      <modifiedWord>：</modifiedWord>
      <trackRevisions>false</trackRevisions>
    </reviewItem>
    <reviewItem>
      <errorID>abafe9c5-4dcd-4512-9138-f2af29acf540</errorID>
      <errorWord>:</errorWord>
      <group>L1_Format</group>
      <groupName>格式问题</groupName>
      <ability>L2_HalfPunc</ability>
      <abilityName>全半角检查</abilityName>
      <candidateList>
        <item>：</item>
      </candidateList>
      <explain>文本全半角错误。</explain>
      <paraID> AB49F58</paraID>
      <start>46</start>
      <end>47</end>
      <status>modified</status>
      <modifiedWord>：</modifiedWord>
      <trackRevisions>false</trackRevisions>
    </reviewItem>
    <reviewItem>
      <errorID>f5c07850-e919-4f5e-bc49-ce4fee2d76f2</errorID>
      <errorWord>藻类爆发</errorWord>
      <group>L1_Word</group>
      <groupName>字词问题</groupName>
      <ability>L2_Typo</ability>
      <abilityName>字词错误</abilityName>
      <candidateList>
        <item>藻类暴发</item>
      </candidateList>
      <explain/>
      <paraID>7F5B730E</paraID>
      <start>58</start>
      <end>62</end>
      <status>ignored</status>
      <modifiedWord/>
      <trackRevisions>false</trackRevisions>
    </reviewItem>
    <reviewItem>
      <errorID>25336ea5-c6e4-43ba-a56d-a8ba67badb4c</errorID>
      <errorWord>机</errorWord>
      <group>L1_Word</group>
      <groupName>字词问题</groupName>
      <ability>L2_Typo</ability>
      <abilityName>字词错误</abilityName>
      <candidateList>
        <item>机械</item>
      </candidateList>
      <explain/>
      <paraID>3B0E7F4C</paraID>
      <start>125</start>
      <end>127</end>
      <status>modified</status>
      <modifiedWord>机械</modifiedWord>
      <trackRevisions>false</trackRevisions>
    </reviewItem>
    <reviewItem>
      <errorID>4f00f3e6-d7fc-4c39-9896-09d684647e72</errorID>
      <errorWord>2-3天</errorWord>
      <group>L1_Word</group>
      <groupName>字词问题</groupName>
      <ability>L2_Typo</ability>
      <abilityName>字词错误</abilityName>
      <candidateList>
        <item>2～3天</item>
      </candidateList>
      <explain/>
      <paraID>3B0E7F4C</paraID>
      <start>152</start>
      <end>156</end>
      <status>ignored</status>
      <modifiedWord/>
      <trackRevisions>false</trackRevisions>
    </reviewItem>
    <reviewItem>
      <errorID>34458e7f-ae01-43c1-a959-3d5031b2820e</errorID>
      <errorWord>:</errorWord>
      <group>L1_Format</group>
      <groupName>格式问题</groupName>
      <ability>L2_HalfPunc</ability>
      <abilityName>全半角检查</abilityName>
      <candidateList>
        <item>：</item>
      </candidateList>
      <explain>文本全半角错误。</explain>
      <paraID>62974BD0</paraID>
      <start>12</start>
      <end>13</end>
      <status>modified</status>
      <modifiedWord>：</modifiedWord>
      <trackRevisions>false</trackRevisions>
    </reviewItem>
    <reviewItem>
      <errorID>019342c7-8c90-4824-b5a0-b91398d814d1</errorID>
      <errorWord>:</errorWord>
      <group>L1_Format</group>
      <groupName>格式问题</groupName>
      <ability>L2_HalfPunc</ability>
      <abilityName>全半角检查</abilityName>
      <candidateList>
        <item>：</item>
      </candidateList>
      <explain>文本全半角错误。</explain>
      <paraID>62974BD0</paraID>
      <start>46</start>
      <end>47</end>
      <status>modified</status>
      <modifiedWord>：</modifiedWord>
      <trackRevisions>false</trackRevisions>
    </reviewItem>
    <reviewItem>
      <errorID>5b3fea26-eb96-4725-bc85-858d23c7f68a</errorID>
      <errorWord>藻类爆发</errorWord>
      <group>L1_Word</group>
      <groupName>字词问题</groupName>
      <ability>L2_Typo</ability>
      <abilityName>字词错误</abilityName>
      <candidateList>
        <item>藻类暴发</item>
      </candidateList>
      <explain/>
      <paraID>3BD056C3</paraID>
      <start>58</start>
      <end>62</end>
      <status>ignored</status>
      <modifiedWord/>
      <trackRevisions>false</trackRevisions>
    </reviewItem>
    <reviewItem>
      <errorID>d08e30e8-86d2-4682-b4ad-08b46710248a</errorID>
      <errorWord>机</errorWord>
      <group>L1_Word</group>
      <groupName>字词问题</groupName>
      <ability>L2_Typo</ability>
      <abilityName>字词错误</abilityName>
      <candidateList>
        <item>机械</item>
      </candidateList>
      <explain/>
      <paraID>4741CF13</paraID>
      <start>125</start>
      <end>127</end>
      <status>modified</status>
      <modifiedWord>机械</modifiedWord>
      <trackRevisions>false</trackRevisions>
    </reviewItem>
    <reviewItem>
      <errorID>f2360e93-2fba-4dd3-a86b-a27e14d4dc18</errorID>
      <errorWord>2-3天</errorWord>
      <group>L1_Word</group>
      <groupName>字词问题</groupName>
      <ability>L2_Typo</ability>
      <abilityName>字词错误</abilityName>
      <candidateList>
        <item>2～3天</item>
      </candidateList>
      <explain/>
      <paraID>4741CF13</paraID>
      <start>152</start>
      <end>156</end>
      <status>ignored</status>
      <modifiedWord/>
      <trackRevisions>false</trackRevisions>
    </reviewItem>
    <reviewItem>
      <errorID>20171468-c170-4ede-b370-b6e1b32ad3f9</errorID>
      <errorWord>:</errorWord>
      <group>L1_Format</group>
      <groupName>格式问题</groupName>
      <ability>L2_HalfPunc</ability>
      <abilityName>全半角检查</abilityName>
      <candidateList>
        <item>：</item>
      </candidateList>
      <explain>文本全半角错误。</explain>
      <paraID> 51E569D</paraID>
      <start>12</start>
      <end>13</end>
      <status>modified</status>
      <modifiedWord>：</modifiedWord>
      <trackRevisions>false</trackRevisions>
    </reviewItem>
    <reviewItem>
      <errorID>a8bb8ac9-bdb4-4ef2-9a3d-a99faed99091</errorID>
      <errorWord>:</errorWord>
      <group>L1_Format</group>
      <groupName>格式问题</groupName>
      <ability>L2_HalfPunc</ability>
      <abilityName>全半角检查</abilityName>
      <candidateList>
        <item>：</item>
      </candidateList>
      <explain>文本全半角错误。</explain>
      <paraID> 51E569D</paraID>
      <start>46</start>
      <end>47</end>
      <status>modified</status>
      <modifiedWord>：</modifiedWord>
      <trackRevisions>false</trackRevisions>
    </reviewItem>
    <reviewItem>
      <errorID>cf18d2fb-d74c-4a99-9b7e-33e7ea239060</errorID>
      <errorWord>藻类爆发</errorWord>
      <group>L1_Word</group>
      <groupName>字词问题</groupName>
      <ability>L2_Typo</ability>
      <abilityName>字词错误</abilityName>
      <candidateList>
        <item>藻类暴发</item>
      </candidateList>
      <explain/>
      <paraID>2180068D</paraID>
      <start>58</start>
      <end>62</end>
      <status>ignored</status>
      <modifiedWord/>
      <trackRevisions>false</trackRevisions>
    </reviewItem>
    <reviewItem>
      <errorID>9b6f047d-6288-4978-9b7e-5aa418ce1489</errorID>
      <errorWord>(</errorWord>
      <group>L1_Format</group>
      <groupName>格式问题</groupName>
      <ability>L2_HalfPunc</ability>
      <abilityName>全半角检查</abilityName>
      <candidateList>
        <item>（</item>
      </candidateList>
      <explain>文本全半角错误。</explain>
      <paraID>34DFC7A3</paraID>
      <start>46</start>
      <end>47</end>
      <status>modified</status>
      <modifiedWord>（</modifiedWord>
      <trackRevisions>false</trackRevisions>
    </reviewItem>
    <reviewItem>
      <errorID>82942156-fc46-4625-80c3-23d071c45dd0</errorID>
      <errorWord>(</errorWord>
      <group>L1_Format</group>
      <groupName>格式问题</groupName>
      <ability>L2_HalfPunc</ability>
      <abilityName>全半角检查</abilityName>
      <candidateList>
        <item>（</item>
      </candidateList>
      <explain>文本全半角错误。</explain>
      <paraID>7EC1847E</paraID>
      <start>51</start>
      <end>52</end>
      <status>modified</status>
      <modifiedWord>（</modifiedWord>
      <trackRevisions>false</trackRevisions>
    </reviewItem>
    <reviewItem>
      <errorID>f8fd18cc-62fd-492c-b054-1d9bda0f1b0d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1840BB1</paraID>
      <start>0</start>
      <end>2</end>
      <status>ignored</status>
      <modifiedWord/>
      <trackRevisions>false</trackRevisions>
    </reviewItem>
    <reviewItem>
      <errorID>ed0d00c0-9018-4b17-bbc8-43654fac5144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14349B1C</paraID>
      <start>0</start>
      <end>2</end>
      <status>ignored</status>
      <modifiedWord/>
      <trackRevisions>false</trackRevisions>
    </reviewItem>
    <reviewItem>
      <errorID>d5d5c855-e7c5-48cc-94cf-562c33e79bd2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3F1985B1</paraID>
      <start>0</start>
      <end>2</end>
      <status>ignored</status>
      <modifiedWord/>
      <trackRevisions>false</trackRevisions>
    </reviewItem>
    <reviewItem>
      <errorID>09e0d128-666e-4882-9443-b67b62ed9b52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71A9F51B</paraID>
      <start>0</start>
      <end>2</end>
      <status>ignored</status>
      <modifiedWord/>
      <trackRevisions>false</trackRevisions>
    </reviewItem>
    <reviewItem>
      <errorID>4a73926f-56a5-45e4-98db-50821c7e818b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321D8D02</paraID>
      <start>0</start>
      <end>2</end>
      <status>ignored</status>
      <modifiedWord/>
      <trackRevisions>false</trackRevisions>
    </reviewItem>
    <reviewItem>
      <errorID>c2267ec7-a76b-431d-b974-e476b118891d</errorID>
      <errorWord>(</errorWord>
      <group>L1_Format</group>
      <groupName>格式问题</groupName>
      <ability>L2_HalfPunc</ability>
      <abilityName>全半角检查</abilityName>
      <candidateList>
        <item>（</item>
      </candidateList>
      <explain>文本全半角错误。</explain>
      <paraID> C0BDF18</paraID>
      <start>49</start>
      <end>50</end>
      <status>modified</status>
      <modifiedWord>（</modifiedWord>
      <trackRevisions>false</trackRevisions>
    </reviewItem>
    <reviewItem>
      <errorID>86870190-4025-4857-ae48-478fd4572727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23ABF939</paraID>
      <start>0</start>
      <end>2</end>
      <status>ignored</status>
      <modifiedWord/>
      <trackRevisions>false</trackRevisions>
    </reviewItem>
    <reviewItem>
      <errorID>b34fcfed-d300-471b-b020-ce1a115868a1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44FA49BD</paraID>
      <start>0</start>
      <end>2</end>
      <status>ignored</status>
      <modifiedWord/>
      <trackRevisions>false</trackRevisions>
    </reviewItem>
    <reviewItem>
      <errorID>65edd067-bf00-4228-bdb8-8811c844ca8a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3B7944E5</paraID>
      <start>0</start>
      <end>2</end>
      <status>ignored</status>
      <modifiedWord/>
      <trackRevisions>false</trackRevisions>
    </reviewItem>
    <reviewItem>
      <errorID>ab090d52-a892-463c-b1e1-4efd26f1ce7e</errorID>
      <errorWord>(</errorWord>
      <group>L1_Format</group>
      <groupName>格式问题</groupName>
      <ability>L2_HalfPunc</ability>
      <abilityName>全半角检查</abilityName>
      <candidateList>
        <item>（</item>
      </candidateList>
      <explain>文本全半角错误。</explain>
      <paraID>3B7944E5</paraID>
      <start>64</start>
      <end>65</end>
      <status>modified</status>
      <modifiedWord>（</modifiedWord>
      <trackRevisions>false</trackRevisions>
    </reviewItem>
    <reviewItem>
      <errorID>e4f5827d-3fdd-42d1-8a82-44ab84437ec2</errorID>
      <errorWord>:</errorWord>
      <group>L1_Format</group>
      <groupName>格式问题</groupName>
      <ability>L2_HalfPunc</ability>
      <abilityName>全半角检查</abilityName>
      <candidateList>
        <item>：</item>
      </candidateList>
      <explain>文本全半角错误。</explain>
      <paraID>3B7944E5</paraID>
      <start>66</start>
      <end>67</end>
      <status>modified</status>
      <modifiedWord>：</modifiedWord>
      <trackRevisions>false</trackRevisions>
    </reviewItem>
    <reviewItem>
      <errorID>605e616b-1942-4951-8ca5-ede8537f23b5</errorID>
      <errorWord>;</errorWord>
      <group>L1_Format</group>
      <groupName>格式问题</groupName>
      <ability>L2_HalfPunc</ability>
      <abilityName>全半角检查</abilityName>
      <candidateList>
        <item>；</item>
      </candidateList>
      <explain>文本全半角错误。</explain>
      <paraID>3B7944E5</paraID>
      <start>91</start>
      <end>92</end>
      <status>modified</status>
      <modifiedWord>；</modifiedWord>
      <trackRevisions>false</trackRevisions>
    </reviewItem>
    <reviewItem>
      <errorID>61fcd5ec-062f-4f58-80f0-4138c50a81fd</errorID>
      <errorWord>)</errorWord>
      <group>L1_Format</group>
      <groupName>格式问题</groupName>
      <ability>L2_HalfPunc</ability>
      <abilityName>全半角检查</abilityName>
      <candidateList>
        <item>）</item>
      </candidateList>
      <explain>文本全半角错误。</explain>
      <paraID>3B7944E5</paraID>
      <start>133</start>
      <end>134</end>
      <status>modified</status>
      <modifiedWord>）</modifiedWord>
      <trackRevisions>false</trackRevisions>
    </reviewItem>
    <reviewItem>
      <errorID>e6518a2b-fd04-4d62-bcea-738437f0986e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35E1AEE6</paraID>
      <start>0</start>
      <end>2</end>
      <status>ignored</status>
      <modifiedWord/>
      <trackRevisions>false</trackRevisions>
    </reviewItem>
    <reviewItem>
      <errorID>1238c6d2-5f11-4bf9-a2dc-639db2d7f3ba</errorID>
      <errorWord>III</errorWord>
      <group>L1_Knowledge</group>
      <groupName>知识性问题</groupName>
      <ability>L2_Knowledge</ability>
      <abilityName>其他知识</abilityName>
      <candidateList>
        <item>Ⅲ</item>
      </candidateList>
      <explain>中文环境下罗马数字格式错误。</explain>
      <paraID>12B3DA5F</paraID>
      <start>30</start>
      <end>31</end>
      <status>modified</status>
      <modifiedWord>Ⅲ</modifiedWord>
      <trackRevisions>false</trackRevisions>
    </reviewItem>
    <reviewItem>
      <errorID>effbe4f4-d5a6-44d1-a8e9-31dfff7a0dae</errorID>
      <errorWord>至</errorWord>
      <group>L1_Word</group>
      <groupName>字词问题</groupName>
      <ability>L2_Typo</ability>
      <abilityName>字词错误</abilityName>
      <candidateList>
        <item>至合</item>
      </candidateList>
      <explain/>
      <paraID>21780B62</paraID>
      <start>81</start>
      <end>83</end>
      <status>modified</status>
      <modifiedWord>至合</modifiedWord>
      <trackRevisions>false</trackRevisions>
    </reviewItem>
    <reviewItem>
      <errorID>833cbb08-f48a-45d1-9046-76091acfe311</errorID>
      <errorWord>:</errorWord>
      <group>L1_Format</group>
      <groupName>格式问题</groupName>
      <ability>L2_HalfPunc</ability>
      <abilityName>全半角检查</abilityName>
      <candidateList>
        <item>：</item>
      </candidateList>
      <explain>文本全半角错误。</explain>
      <paraID>21780B62</paraID>
      <start>179</start>
      <end>180</end>
      <status>modified</status>
      <modifiedWord>：</modifiedWord>
      <trackRevisions>false</trackRevisions>
    </reviewItem>
    <reviewItem>
      <errorID>1675686d-b36b-46f7-89f5-ffc908e1fccc</errorID>
      <errorWord>甲力</errorWord>
      <group>L1_Word</group>
      <groupName>字词问题</groupName>
      <ability>L2_Typo</ability>
      <abilityName>字词错误</abilityName>
      <candidateList>
        <item>甲方</item>
      </candidateList>
      <explain>存在字形相近字词的误用。</explain>
      <paraID>21780B62</paraID>
      <start>223</start>
      <end>225</end>
      <status>modified</status>
      <modifiedWord>甲方</modifiedWord>
      <trackRevisions>false</trackRevisions>
    </reviewItem>
    <reviewItem>
      <errorID>b2d22ad1-04ac-45f7-bc14-cf5a453301dd</errorID>
      <errorWord>检</errorWord>
      <group>L1_Word</group>
      <groupName>字词问题</groupName>
      <ability>L2_Typo</ability>
      <abilityName>字词错误</abilityName>
      <candidateList>
        <item>检测</item>
      </candidateList>
      <explain/>
      <paraID>21780B62</paraID>
      <start>238</start>
      <end>240</end>
      <status>modified</status>
      <modifiedWord>检测</modifiedWord>
      <trackRevisions>false</trackRevisions>
    </reviewItem>
    <reviewItem>
      <errorID>80833925-dfbd-41dc-8115-a26c47bd608a</errorID>
      <errorWord>)</errorWord>
      <group>L1_Format</group>
      <groupName>格式问题</groupName>
      <ability>L2_HalfPunc</ability>
      <abilityName>全半角检查</abilityName>
      <candidateList>
        <item>）</item>
      </candidateList>
      <explain>文本全半角错误。</explain>
      <paraID>2F95F939</paraID>
      <start>30</start>
      <end>31</end>
      <status>modified</status>
      <modifiedWord>）</modifiedWord>
      <trackRevisions>false</trackRevisions>
    </reviewItem>
    <reviewItem>
      <errorID>bffb9c46-283f-4ca9-90d9-e404a7a3913a</errorID>
      <errorWord>)</errorWord>
      <group>L1_Format</group>
      <groupName>格式问题</groupName>
      <ability>L2_HalfPunc</ability>
      <abilityName>全半角检查</abilityName>
      <candidateList>
        <item>）</item>
      </candidateList>
      <explain>文本全半角错误。</explain>
      <paraID>7E55F8EA</paraID>
      <start>22</start>
      <end>23</end>
      <status>modified</status>
      <modifiedWord>）</modifiedWord>
      <trackRevisions>false</trackRevisions>
    </reviewItem>
    <reviewItem>
      <errorID>6e21d292-8795-4b15-a2ee-0e5a1281f294</errorID>
      <errorWord>:</errorWord>
      <group>L1_Format</group>
      <groupName>格式问题</groupName>
      <ability>L2_HalfPunc</ability>
      <abilityName>全半角检查</abilityName>
      <candidateList>
        <item>：</item>
      </candidateList>
      <explain>文本全半角错误。</explain>
      <paraID>3EBE77F3</paraID>
      <start>45</start>
      <end>46</end>
      <status>modified</status>
      <modifiedWord>：</modifiedWord>
      <trackRevisions>false</trackRevisions>
    </reviewItem>
    <reviewItem>
      <errorID>35aedaa2-69f5-46e6-9638-cd029df828c6</errorID>
      <errorWord>)</errorWord>
      <group>L1_Format</group>
      <groupName>格式问题</groupName>
      <ability>L2_HalfPunc</ability>
      <abilityName>全半角检查</abilityName>
      <candidateList>
        <item>）</item>
      </candidateList>
      <explain>文本全半角错误。</explain>
      <paraID> A02FF5B</paraID>
      <start>7</start>
      <end>8</end>
      <status>modified</status>
      <modifiedWord>）</modifiedWord>
      <trackRevisions>false</trackRevisions>
    </reviewItem>
    <reviewItem>
      <errorID>c9cc3c5f-b33b-4b9d-af19-a55acdaa1698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7279D89E</paraID>
      <start>0</start>
      <end>2</end>
      <status>ignored</status>
      <modifiedWord/>
      <trackRevisions>false</trackRevisions>
    </reviewItem>
    <reviewItem>
      <errorID>33e5f8c5-b67d-48d0-bb75-2e01a3a871fd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7279D89E</paraID>
      <start>22</start>
      <end>23</end>
      <status>modified</status>
      <modifiedWord>—</modifiedWord>
      <trackRevisions>false</trackRevisions>
    </reviewItem>
    <reviewItem>
      <errorID>49fff1a7-4303-4b24-bc1c-5012600f983b</errorID>
      <errorWord>方</errorWord>
      <group>L1_Word</group>
      <groupName>字词问题</groupName>
      <ability>L2_Typo</ability>
      <abilityName>字词错误</abilityName>
      <candidateList>
        <item>方米</item>
      </candidateList>
      <explain/>
      <paraID>1F977347</paraID>
      <start>9</start>
      <end>11</end>
      <status>modified</status>
      <modifiedWord>方米</modifiedWord>
      <trackRevisions>false</trackRevisions>
    </reviewItem>
    <reviewItem>
      <errorID>3f1ef2e2-a74f-4835-90ab-fce2370baa7e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3AAD6BA1</paraID>
      <start>0</start>
      <end>2</end>
      <status>ignored</status>
      <modifiedWord/>
      <trackRevisions>false</trackRevisions>
    </reviewItem>
    <reviewItem>
      <errorID>d66484bd-3f71-482f-9b1a-56f8ed3e36b8</errorID>
      <errorWord>)</errorWord>
      <group>L1_Format</group>
      <groupName>格式问题</groupName>
      <ability>L2_HalfPunc</ability>
      <abilityName>全半角检查</abilityName>
      <candidateList>
        <item>）</item>
      </candidateList>
      <explain>文本全半角错误。</explain>
      <paraID>7CC4ECA9</paraID>
      <start>7</start>
      <end>8</end>
      <status>modified</status>
      <modifiedWord>）</modifiedWord>
      <trackRevisions>false</trackRevisions>
    </reviewItem>
    <reviewItem>
      <errorID>396232ce-4019-4377-bb0c-7fcbb708c89b</errorID>
      <errorWord>)</errorWord>
      <group>L1_Format</group>
      <groupName>格式问题</groupName>
      <ability>L2_HalfPunc</ability>
      <abilityName>全半角检查</abilityName>
      <candidateList>
        <item>）</item>
      </candidateList>
      <explain>文本全半角错误。</explain>
      <paraID>5D62634A</paraID>
      <start>7</start>
      <end>8</end>
      <status>modified</status>
      <modifiedWord>）</modifiedWord>
      <trackRevisions>false</trackRevisions>
    </reviewItem>
    <reviewItem>
      <errorID>9340df35-cc98-4b9a-b94c-ae90fd05b308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39B3ED96</paraID>
      <start>0</start>
      <end>2</end>
      <status>ignored</status>
      <modifiedWord/>
      <trackRevisions>false</trackRevisions>
    </reviewItem>
    <reviewItem>
      <errorID>c012c2a0-afa5-4b14-ac36-d99a57622e91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6DCEDF8B</paraID>
      <start>0</start>
      <end>2</end>
      <status>ignored</status>
      <modifiedWord/>
      <trackRevisions>false</trackRevisions>
    </reviewItem>
    <reviewItem>
      <errorID>dc8b110b-173b-4c5a-8d3d-0d4c4d80b7bc</errorID>
      <errorWord>)</errorWord>
      <group>L1_Format</group>
      <groupName>格式问题</groupName>
      <ability>L2_HalfPunc</ability>
      <abilityName>全半角检查</abilityName>
      <candidateList>
        <item>）</item>
      </candidateList>
      <explain>文本全半角错误。</explain>
      <paraID>6DCEDF8B</paraID>
      <start>29</start>
      <end>30</end>
      <status>modified</status>
      <modifiedWord>）</modifiedWord>
      <trackRevisions>false</trackRevisions>
    </reviewItem>
    <reviewItem>
      <errorID>2e909aee-8895-48da-a65b-0e9a44b10141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1301C27E</paraID>
      <start>0</start>
      <end>2</end>
      <status>ignored</status>
      <modifiedWord/>
      <trackRevisions>false</trackRevisions>
    </reviewItem>
    <reviewItem>
      <errorID>ff1a63b2-5a4a-49d4-b523-ca833cc220f6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51F38042</paraID>
      <start>0</start>
      <end>2</end>
      <status>ignored</status>
      <modifiedWord/>
      <trackRevisions>false</trackRevisions>
    </reviewItem>
    <reviewItem>
      <errorID>5f94f99b-a699-40c6-9093-f63a0b2543bd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628A01B1</paraID>
      <start>0</start>
      <end>2</end>
      <status>ignored</status>
      <modifiedWord/>
      <trackRevisions>false</trackRevisions>
    </reviewItem>
    <reviewItem>
      <errorID>b2befce2-7835-41b3-a872-4e33ad2063d4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6DD5E132</paraID>
      <start>0</start>
      <end>2</end>
      <status>ignored</status>
      <modifiedWord/>
      <trackRevisions>false</trackRevisions>
    </reviewItem>
    <reviewItem>
      <errorID>d186b0bd-b822-4cce-afb9-baf19343270b</errorID>
      <errorWord>)</errorWord>
      <group>L1_Format</group>
      <groupName>格式问题</groupName>
      <ability>L2_HalfPunc</ability>
      <abilityName>全半角检查</abilityName>
      <candidateList>
        <item>）</item>
      </candidateList>
      <explain>文本全半角错误。</explain>
      <paraID>5C71001E</paraID>
      <start>7</start>
      <end>8</end>
      <status>modified</status>
      <modifiedWord>）</modifiedWord>
      <trackRevisions>false</trackRevisions>
    </reviewItem>
    <reviewItem>
      <errorID>8bd3b672-3179-403a-b77b-d177476691f7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6403204A</paraID>
      <start>0</start>
      <end>2</end>
      <status>ignored</status>
      <modifiedWord/>
      <trackRevisions>false</trackRevisions>
    </reviewItem>
    <reviewItem>
      <errorID>eacbb0d6-a597-4908-9262-73ff1ee6d02a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7B94813C</paraID>
      <start>0</start>
      <end>2</end>
      <status>ignored</status>
      <modifiedWord/>
      <trackRevisions>false</trackRevisions>
    </reviewItem>
    <reviewItem>
      <errorID>ac966dca-8448-49f3-9fa2-ba41a1823ede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4146B6C8</paraID>
      <start>0</start>
      <end>2</end>
      <status>ignored</status>
      <modifiedWord/>
      <trackRevisions>false</trackRevisions>
    </reviewItem>
    <reviewItem>
      <errorID>b7dd7493-984c-4059-a27b-fefff6cb8f1d</errorID>
      <errorWord>)</errorWord>
      <group>L1_Format</group>
      <groupName>格式问题</groupName>
      <ability>L2_HalfPunc</ability>
      <abilityName>全半角检查</abilityName>
      <candidateList>
        <item>）</item>
      </candidateList>
      <explain>文本全半角错误。</explain>
      <paraID>1D598761</paraID>
      <start>7</start>
      <end>8</end>
      <status>modified</status>
      <modifiedWord>）</modifiedWord>
      <trackRevisions>false</trackRevisions>
    </reviewItem>
    <reviewItem>
      <errorID>cb2d1bfa-60dc-49ae-81c9-36f2239b506a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71B634B7</paraID>
      <start>0</start>
      <end>2</end>
      <status>ignored</status>
      <modifiedWord/>
      <trackRevisions>false</trackRevisions>
    </reviewItem>
    <reviewItem>
      <errorID>8a01d4ec-f565-4503-b06c-b66e96ad8534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1506281F</paraID>
      <start>0</start>
      <end>2</end>
      <status>ignored</status>
      <modifiedWord/>
      <trackRevisions>false</trackRevisions>
    </reviewItem>
    <reviewItem>
      <errorID>b5e09a9c-b459-4c71-ad96-d88485b1165f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6012F9DF</paraID>
      <start>0</start>
      <end>2</end>
      <status>ignored</status>
      <modifiedWord/>
      <trackRevisions>false</trackRevisions>
    </reviewItem>
    <reviewItem>
      <errorID>d8baa0c2-3092-4e5b-9758-ad74251cb19f</errorID>
      <errorWord>)</errorWord>
      <group>L1_Format</group>
      <groupName>格式问题</groupName>
      <ability>L2_HalfPunc</ability>
      <abilityName>全半角检查</abilityName>
      <candidateList>
        <item>）</item>
      </candidateList>
      <explain>文本全半角错误。</explain>
      <paraID>6F85C0C0</paraID>
      <start>9</start>
      <end>10</end>
      <status>modified</status>
      <modifiedWord>）</modifiedWord>
      <trackRevisions>false</trackRevisions>
    </reviewItem>
    <reviewItem>
      <errorID>19a26ca8-a8ef-4126-82b4-70b9ab516dd2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7EEC24C2</paraID>
      <start>0</start>
      <end>2</end>
      <status>ignored</status>
      <modifiedWord/>
      <trackRevisions>false</trackRevisions>
    </reviewItem>
    <reviewItem>
      <errorID>24e1b37c-7514-49ad-b982-09c785048043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63B74546</paraID>
      <start>0</start>
      <end>2</end>
      <status>ignored</status>
      <modifiedWord/>
      <trackRevisions>false</trackRevisions>
    </reviewItem>
    <reviewItem>
      <errorID>ebaacf25-5bbc-462c-b20d-e794e35728e9</errorID>
      <errorWord>)</errorWord>
      <group>L1_Format</group>
      <groupName>格式问题</groupName>
      <ability>L2_HalfPunc</ability>
      <abilityName>全半角检查</abilityName>
      <candidateList>
        <item>）</item>
      </candidateList>
      <explain>文本全半角错误。</explain>
      <paraID>58BDBE48</paraID>
      <start>7</start>
      <end>8</end>
      <status>modified</status>
      <modifiedWord>）</modifiedWord>
      <trackRevisions>false</trackRevisions>
    </reviewItem>
    <reviewItem>
      <errorID>1e3a2167-9f9f-4920-8222-c4b3951e73f6</errorID>
      <errorWord>达</errorWord>
      <group>L1_Word</group>
      <groupName>字词问题</groupName>
      <ability>L2_Typo</ability>
      <abilityName>字词错误</abilityName>
      <candidateList>
        <item>达到</item>
      </candidateList>
      <explain/>
      <paraID>4150AA37</paraID>
      <start>31</start>
      <end>33</end>
      <status>modified</status>
      <modifiedWord>达到</modifiedWord>
      <trackRevisions>false</trackRevisions>
    </reviewItem>
    <reviewItem>
      <errorID>b00ca5d2-8390-414f-8c70-ab5bb5a3a458</errorID>
      <errorWord>)</errorWord>
      <group>L1_Format</group>
      <groupName>格式问题</groupName>
      <ability>L2_HalfPunc</ability>
      <abilityName>全半角检查</abilityName>
      <candidateList>
        <item>）</item>
      </candidateList>
      <explain>文本全半角错误。</explain>
      <paraID>4150AA37</paraID>
      <start>78</start>
      <end>79</end>
      <status>modified</status>
      <modifiedWord>）</modifiedWord>
      <trackRevisions>false</trackRevisions>
    </reviewItem>
    <reviewItem>
      <errorID>a4be2d45-5bba-4cd6-83aa-f258f0aa2efc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70945A96</paraID>
      <start>0</start>
      <end>2</end>
      <status>ignored</status>
      <modifiedWord/>
      <trackRevisions>false</trackRevisions>
    </reviewItem>
    <reviewItem>
      <errorID>8395125a-d1db-4fc9-bb50-cd7d472cfa5f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76CFBC23</paraID>
      <start>0</start>
      <end>2</end>
      <status>ignored</status>
      <modifiedWord/>
      <trackRevisions>false</trackRevisions>
    </reviewItem>
    <reviewItem>
      <errorID>c55baf71-a001-42e3-9503-935f336900dc</errorID>
      <errorWord>超</errorWord>
      <group>L1_Word</group>
      <groupName>字词问题</groupName>
      <ability>L2_Typo</ability>
      <abilityName>字词错误</abilityName>
      <candidateList>
        <item>超过</item>
      </candidateList>
      <explain/>
      <paraID>76CFBC23</paraID>
      <start>42</start>
      <end>44</end>
      <status>modified</status>
      <modifiedWord>超过</modifiedWord>
      <trackRevisions>false</trackRevisions>
    </reviewItem>
    <reviewItem>
      <errorID>3c9a5292-abfb-42dd-95f8-9484153748a8</errorID>
      <errorWord>:</errorWord>
      <group>L1_Format</group>
      <groupName>格式问题</groupName>
      <ability>L2_HalfPunc</ability>
      <abilityName>全半角检查</abilityName>
      <candidateList>
        <item>：</item>
      </candidateList>
      <explain>文本全半角错误。</explain>
      <paraID>1EC004F9</paraID>
      <start>6</start>
      <end>7</end>
      <status>modified</status>
      <modifiedWord>：</modifiedWord>
      <trackRevisions>false</trackRevisions>
    </reviewItem>
    <reviewItem>
      <errorID>264d7df6-06a3-4484-88a6-9f5d8044f192</errorID>
      <errorWord>:</errorWord>
      <group>L1_Format</group>
      <groupName>格式问题</groupName>
      <ability>L2_HalfPunc</ability>
      <abilityName>全半角检查</abilityName>
      <candidateList>
        <item>：</item>
      </candidateList>
      <explain>文本全半角错误。</explain>
      <paraID>2737CC48</paraID>
      <start>6</start>
      <end>7</end>
      <status>modified</status>
      <modifiedWord>：</modifiedWord>
      <trackRevisions>false</trackRevisions>
    </reviewItem>
    <reviewItem>
      <errorID>23236e5e-fe46-4e23-b76d-dc5a6b4e8bba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2737CC48</paraID>
      <start>9</start>
      <end>10</end>
      <status>modified</status>
      <modifiedWord>—</modifiedWord>
      <trackRevisions>false</trackRevisions>
    </reviewItem>
    <reviewItem>
      <errorID>49322d3c-3b16-4715-8d26-9a2c471a99cb</errorID>
      <errorWord>其它</errorWord>
      <group>L1_Word</group>
      <groupName>字词问题</groupName>
      <ability>L2_Alias</ability>
      <abilityName>也作/曾用词</abilityName>
      <candidateList>
        <item>其他</item>
      </candidateList>
      <explain>词汇[其它]为不规范表述或旧称，其规范书面表述为[其他]。</explain>
      <paraID>69091746</paraID>
      <start>2</start>
      <end>4</end>
      <status>modified</status>
      <modifiedWord>其他</modifiedWord>
      <trackRevisions>false</trackRevisions>
    </reviewItem>
    <reviewItem>
      <errorID>1d0dcf61-f555-46bd-9282-89a572940a0e</errorID>
      <errorWord>:</errorWord>
      <group>L1_Format</group>
      <groupName>格式问题</groupName>
      <ability>L2_HalfPunc</ability>
      <abilityName>全半角检查</abilityName>
      <candidateList>
        <item>：</item>
      </candidateList>
      <explain>文本全半角错误。</explain>
      <paraID>69091746</paraID>
      <start>4</start>
      <end>5</end>
      <status>modified</status>
      <modifiedWord>：</modifiedWord>
      <trackRevisions>false</trackRevisions>
    </reviewItem>
    <reviewItem>
      <errorID>7507d12d-2850-4659-b96d-45699bf62f27</errorID>
      <errorWord>受</errorWord>
      <group>L1_Word</group>
      <groupName>字词问题</groupName>
      <ability>L2_Typo</ability>
      <abilityName>字词错误</abilityName>
      <candidateList>
        <item>受到</item>
      </candidateList>
      <explain/>
      <paraID>69091746</paraID>
      <start>11</start>
      <end>13</end>
      <status>modified</status>
      <modifiedWord>受到</modifiedWord>
      <trackRevisions>false</trackRevisions>
    </reviewItem>
    <reviewItem>
      <errorID>d5add85c-b9f5-4d92-ae8f-d8f1b5ccb535</errorID>
      <errorWord>/）</errorWord>
      <group>L1_Punc</group>
      <groupName>标点问题</groupName>
      <ability>L2_Punc</ability>
      <abilityName>标点符号检查</abilityName>
      <candidateList>
        <item>）</item>
      </candidateList>
      <explain/>
      <paraID>7EDA1310</paraID>
      <start>2</start>
      <end>3</end>
      <status>modified</status>
      <modifiedWord>）</modifiedWord>
      <trackRevisions>false</trackRevisions>
    </reviewItem>
    <reviewItem>
      <errorID>facb83a4-ff0c-4184-960c-0ffb05e5a793</errorID>
      <errorWord>机</errorWord>
      <group>L1_Word</group>
      <groupName>字词问题</groupName>
      <ability>L2_Typo</ability>
      <abilityName>字词错误</abilityName>
      <candidateList>
        <item>机械</item>
      </candidateList>
      <explain/>
      <paraID>56A5D838</paraID>
      <start>125</start>
      <end>127</end>
      <status>modified</status>
      <modifiedWord>机械</modifiedWord>
      <trackRevisions>false</trackRevisions>
    </reviewItem>
    <reviewItem>
      <errorID>ed3fddaf-a0df-413b-8420-6aad257fbbb6</errorID>
      <errorWord>2-3天</errorWord>
      <group>L1_Word</group>
      <groupName>字词问题</groupName>
      <ability>L2_Typo</ability>
      <abilityName>字词错误</abilityName>
      <candidateList>
        <item>2～3天</item>
      </candidateList>
      <explain/>
      <paraID>56A5D838</paraID>
      <start>152</start>
      <end>156</end>
      <status>ignored</status>
      <modifiedWord/>
      <trackRevisions>false</trackRevisions>
    </reviewItem>
    <reviewItem>
      <errorID>cb09c43f-fa9a-4a25-bbb3-7f4a70382cd1</errorID>
      <errorWord>:</errorWord>
      <group>L1_Format</group>
      <groupName>格式问题</groupName>
      <ability>L2_HalfPunc</ability>
      <abilityName>全半角检查</abilityName>
      <candidateList>
        <item>：</item>
      </candidateList>
      <explain>文本全半角错误。</explain>
      <paraID>26D979CB</paraID>
      <start>12</start>
      <end>13</end>
      <status>modified</status>
      <modifiedWord>：</modifiedWord>
      <trackRevisions>false</trackRevisions>
    </reviewItem>
    <reviewItem>
      <errorID>4b790b28-bc7f-4d9c-91a5-94cf19c38051</errorID>
      <errorWord>:</errorWord>
      <group>L1_Format</group>
      <groupName>格式问题</groupName>
      <ability>L2_HalfPunc</ability>
      <abilityName>全半角检查</abilityName>
      <candidateList>
        <item>：</item>
      </candidateList>
      <explain>文本全半角错误。</explain>
      <paraID>26D979CB</paraID>
      <start>46</start>
      <end>47</end>
      <status>modified</status>
      <modifiedWord>：</modifiedWord>
      <trackRevisions>false</trackRevisions>
    </reviewItem>
    <reviewItem>
      <errorID>cf98d6a0-28c1-43c7-b618-42291a18af5c</errorID>
      <errorWord>藻类爆发</errorWord>
      <group>L1_Word</group>
      <groupName>字词问题</groupName>
      <ability>L2_Typo</ability>
      <abilityName>字词错误</abilityName>
      <candidateList>
        <item>藻类暴发</item>
      </candidateList>
      <explain/>
      <paraID> F2C35AE</paraID>
      <start>58</start>
      <end>62</end>
      <status>ignored</status>
      <modifiedWord/>
      <trackRevisions>false</trackRevisions>
    </reviewItem>
    <reviewItem>
      <errorID>a4cad565-7955-4055-a1a7-7f417209a8ef</errorID>
      <errorWord>机</errorWord>
      <group>L1_Word</group>
      <groupName>字词问题</groupName>
      <ability>L2_Typo</ability>
      <abilityName>字词错误</abilityName>
      <candidateList>
        <item>机械</item>
      </candidateList>
      <explain/>
      <paraID>6F8DA142</paraID>
      <start>125</start>
      <end>127</end>
      <status>modified</status>
      <modifiedWord>机械</modifiedWord>
      <trackRevisions>false</trackRevisions>
    </reviewItem>
    <reviewItem>
      <errorID>14c30afe-37bd-48b8-9427-ca480f538aee</errorID>
      <errorWord>2-3天</errorWord>
      <group>L1_Word</group>
      <groupName>字词问题</groupName>
      <ability>L2_Typo</ability>
      <abilityName>字词错误</abilityName>
      <candidateList>
        <item>2～3天</item>
      </candidateList>
      <explain/>
      <paraID>6F8DA142</paraID>
      <start>152</start>
      <end>156</end>
      <status>ignored</status>
      <modifiedWord/>
      <trackRevisions>false</trackRevisions>
    </reviewItem>
    <reviewItem>
      <errorID>b4b5e288-af7e-49d1-b46e-efd5d6b6f1d7</errorID>
      <errorWord>:</errorWord>
      <group>L1_Format</group>
      <groupName>格式问题</groupName>
      <ability>L2_HalfPunc</ability>
      <abilityName>全半角检查</abilityName>
      <candidateList>
        <item>：</item>
      </candidateList>
      <explain>文本全半角错误。</explain>
      <paraID>64D84DF1</paraID>
      <start>12</start>
      <end>13</end>
      <status>modified</status>
      <modifiedWord>：</modifiedWord>
      <trackRevisions>false</trackRevisions>
    </reviewItem>
    <reviewItem>
      <errorID>88b55ce6-9bce-40d0-b447-375f50c2964d</errorID>
      <errorWord>:</errorWord>
      <group>L1_Format</group>
      <groupName>格式问题</groupName>
      <ability>L2_HalfPunc</ability>
      <abilityName>全半角检查</abilityName>
      <candidateList>
        <item>：</item>
      </candidateList>
      <explain>文本全半角错误。</explain>
      <paraID>64D84DF1</paraID>
      <start>46</start>
      <end>47</end>
      <status>modified</status>
      <modifiedWord>：</modifiedWord>
      <trackRevisions>false</trackRevisions>
    </reviewItem>
    <reviewItem>
      <errorID>a587db2f-1876-446b-86b7-f03910c8e866</errorID>
      <errorWord>、共一</errorWord>
      <group>L1_Punc</group>
      <groupName>标点问题</groupName>
      <ability>L2_Punc</ability>
      <abilityName>标点符号检查</abilityName>
      <candidateList>
        <item>共一</item>
      </candidateList>
      <explain/>
      <paraID>697D35DC</paraID>
      <start>58</start>
      <end>61</end>
      <status>ignored</status>
      <modifiedWord/>
      <trackRevisions>false</trackRevisions>
    </reviewItem>
    <reviewItem>
      <errorID>dad276ac-ff0f-4c44-ba11-a8884dc5eb5e</errorID>
      <errorWord>藻类爆发</errorWord>
      <group>L1_Word</group>
      <groupName>字词问题</groupName>
      <ability>L2_Typo</ability>
      <abilityName>字词错误</abilityName>
      <candidateList>
        <item>藻类暴发</item>
      </candidateList>
      <explain/>
      <paraID>66904045</paraID>
      <start>58</start>
      <end>62</end>
      <status>ignored</status>
      <modifiedWord/>
      <trackRevisions>false</trackRevisions>
    </reviewItem>
    <reviewItem>
      <errorID>bb243f3e-f87c-49f5-8daf-a843a74c4080</errorID>
      <errorWord>机</errorWord>
      <group>L1_Word</group>
      <groupName>字词问题</groupName>
      <ability>L2_Typo</ability>
      <abilityName>字词错误</abilityName>
      <candidateList>
        <item>机械</item>
      </candidateList>
      <explain/>
      <paraID>6825AFCA</paraID>
      <start>125</start>
      <end>127</end>
      <status>modified</status>
      <modifiedWord>机械</modifiedWord>
      <trackRevisions>false</trackRevisions>
    </reviewItem>
    <reviewItem>
      <errorID>b7dc6f86-93ca-48e0-ade9-0d240ecbbd6e</errorID>
      <errorWord>2-3天</errorWord>
      <group>L1_Word</group>
      <groupName>字词问题</groupName>
      <ability>L2_Typo</ability>
      <abilityName>字词错误</abilityName>
      <candidateList>
        <item>2～3天</item>
      </candidateList>
      <explain/>
      <paraID>6825AFCA</paraID>
      <start>152</start>
      <end>156</end>
      <status>ignored</status>
      <modifiedWord/>
      <trackRevisions>false</trackRevisions>
    </reviewItem>
    <reviewItem>
      <errorID>1c01bec1-ed0c-488b-8632-bfe01fb4721d</errorID>
      <errorWord>:</errorWord>
      <group>L1_Format</group>
      <groupName>格式问题</groupName>
      <ability>L2_HalfPunc</ability>
      <abilityName>全半角检查</abilityName>
      <candidateList>
        <item>：</item>
      </candidateList>
      <explain>文本全半角错误。</explain>
      <paraID>5872B3DB</paraID>
      <start>12</start>
      <end>13</end>
      <status>modified</status>
      <modifiedWord>：</modifiedWord>
      <trackRevisions>false</trackRevisions>
    </reviewItem>
    <reviewItem>
      <errorID>e8e98ec6-bed3-492f-8670-2697fcc539e0</errorID>
      <errorWord>:</errorWord>
      <group>L1_Format</group>
      <groupName>格式问题</groupName>
      <ability>L2_HalfPunc</ability>
      <abilityName>全半角检查</abilityName>
      <candidateList>
        <item>：</item>
      </candidateList>
      <explain>文本全半角错误。</explain>
      <paraID>5872B3DB</paraID>
      <start>46</start>
      <end>47</end>
      <status>modified</status>
      <modifiedWord>：</modifiedWord>
      <trackRevisions>false</trackRevisions>
    </reviewItem>
    <reviewItem>
      <errorID>a12ce216-b0d4-48b7-b7e5-3fe6de8aafb2</errorID>
      <errorWord>、共五</errorWord>
      <group>L1_Punc</group>
      <groupName>标点问题</groupName>
      <ability>L2_Punc</ability>
      <abilityName>标点符号检查</abilityName>
      <candidateList>
        <item>共五</item>
      </candidateList>
      <explain/>
      <paraID>325A3F90</paraID>
      <start>58</start>
      <end>61</end>
      <status>ignored</status>
      <modifiedWord/>
      <trackRevisions>false</trackRevisions>
    </reviewItem>
    <reviewItem>
      <errorID>187a1f8e-d72f-4d45-8894-c1fb4ad3afdc</errorID>
      <errorWord>藻类爆发</errorWord>
      <group>L1_Word</group>
      <groupName>字词问题</groupName>
      <ability>L2_Typo</ability>
      <abilityName>字词错误</abilityName>
      <candidateList>
        <item>藻类暴发</item>
      </candidateList>
      <explain/>
      <paraID>7FB010E9</paraID>
      <start>58</start>
      <end>62</end>
      <status>ignored</status>
      <modifiedWord/>
      <trackRevisions>false</trackRevisions>
    </reviewItem>
    <reviewItem>
      <errorID>032f83ee-1e26-4b80-be85-26d3e4919e27</errorID>
      <errorWord>机</errorWord>
      <group>L1_Word</group>
      <groupName>字词问题</groupName>
      <ability>L2_Typo</ability>
      <abilityName>字词错误</abilityName>
      <candidateList>
        <item>机械</item>
      </candidateList>
      <explain/>
      <paraID>203E4D3C</paraID>
      <start>125</start>
      <end>127</end>
      <status>modified</status>
      <modifiedWord>机械</modifiedWord>
      <trackRevisions>false</trackRevisions>
    </reviewItem>
    <reviewItem>
      <errorID>addc197f-9c4e-4f13-9eea-ab79cae8a974</errorID>
      <errorWord>2-3天</errorWord>
      <group>L1_Word</group>
      <groupName>字词问题</groupName>
      <ability>L2_Typo</ability>
      <abilityName>字词错误</abilityName>
      <candidateList>
        <item>2～3天</item>
      </candidateList>
      <explain/>
      <paraID>203E4D3C</paraID>
      <start>152</start>
      <end>156</end>
      <status>ignored</status>
      <modifiedWord/>
      <trackRevisions>false</trackRevisions>
    </reviewItem>
    <reviewItem>
      <errorID>605ea580-7ab6-4c15-9f01-faf01deec59a</errorID>
      <errorWord>:</errorWord>
      <group>L1_Format</group>
      <groupName>格式问题</groupName>
      <ability>L2_HalfPunc</ability>
      <abilityName>全半角检查</abilityName>
      <candidateList>
        <item>：</item>
      </candidateList>
      <explain>文本全半角错误。</explain>
      <paraID>6AF311FC</paraID>
      <start>12</start>
      <end>13</end>
      <status>modified</status>
      <modifiedWord>：</modifiedWord>
      <trackRevisions>false</trackRevisions>
    </reviewItem>
    <reviewItem>
      <errorID>3f40302b-484f-4149-8ecc-6eddca774ad9</errorID>
      <errorWord>:</errorWord>
      <group>L1_Format</group>
      <groupName>格式问题</groupName>
      <ability>L2_HalfPunc</ability>
      <abilityName>全半角检查</abilityName>
      <candidateList>
        <item>：</item>
      </candidateList>
      <explain>文本全半角错误。</explain>
      <paraID>6AF311FC</paraID>
      <start>46</start>
      <end>47</end>
      <status>modified</status>
      <modifiedWord>：</modifiedWord>
      <trackRevisions>false</trackRevisions>
    </reviewItem>
    <reviewItem>
      <errorID>e003e6a3-019a-4517-857d-30d754206a0d</errorID>
      <errorWord>藻类爆发</errorWord>
      <group>L1_Word</group>
      <groupName>字词问题</groupName>
      <ability>L2_Typo</ability>
      <abilityName>字词错误</abilityName>
      <candidateList>
        <item>藻类暴发</item>
      </candidateList>
      <explain/>
      <paraID> 5626F5C</paraID>
      <start>58</start>
      <end>62</end>
      <status>ignored</status>
      <modifiedWord/>
      <trackRevisions>false</trackRevisions>
    </reviewItem>
    <reviewItem>
      <errorID>da7ccc64-7dbe-4635-9d13-3b3e9f385b8f</errorID>
      <errorWord>机</errorWord>
      <group>L1_Word</group>
      <groupName>字词问题</groupName>
      <ability>L2_Typo</ability>
      <abilityName>字词错误</abilityName>
      <candidateList>
        <item>机械</item>
      </candidateList>
      <explain/>
      <paraID>3F8ECB41</paraID>
      <start>125</start>
      <end>127</end>
      <status>modified</status>
      <modifiedWord>机械</modifiedWord>
      <trackRevisions>false</trackRevisions>
    </reviewItem>
    <reviewItem>
      <errorID>9951568c-dd97-4b55-9c2c-e9190bd2d456</errorID>
      <errorWord>2-3天</errorWord>
      <group>L1_Word</group>
      <groupName>字词问题</groupName>
      <ability>L2_Typo</ability>
      <abilityName>字词错误</abilityName>
      <candidateList>
        <item>2～3天</item>
      </candidateList>
      <explain/>
      <paraID>3F8ECB41</paraID>
      <start>152</start>
      <end>156</end>
      <status>ignored</status>
      <modifiedWord/>
      <trackRevisions>false</trackRevisions>
    </reviewItem>
    <reviewItem>
      <errorID>347bccdc-7efa-4c6b-b955-27c07ecf38ac</errorID>
      <errorWord>:</errorWord>
      <group>L1_Format</group>
      <groupName>格式问题</groupName>
      <ability>L2_HalfPunc</ability>
      <abilityName>全半角检查</abilityName>
      <candidateList>
        <item>：</item>
      </candidateList>
      <explain>文本全半角错误。</explain>
      <paraID>3A500E07</paraID>
      <start>12</start>
      <end>13</end>
      <status>modified</status>
      <modifiedWord>：</modifiedWord>
      <trackRevisions>false</trackRevisions>
    </reviewItem>
    <reviewItem>
      <errorID>62e1b4e3-10e4-4547-aad2-85d3a4510a1a</errorID>
      <errorWord>:</errorWord>
      <group>L1_Format</group>
      <groupName>格式问题</groupName>
      <ability>L2_HalfPunc</ability>
      <abilityName>全半角检查</abilityName>
      <candidateList>
        <item>：</item>
      </candidateList>
      <explain>文本全半角错误。</explain>
      <paraID>3A500E07</paraID>
      <start>46</start>
      <end>47</end>
      <status>modified</status>
      <modifiedWord>：</modifiedWord>
      <trackRevisions>false</trackRevisions>
    </reviewItem>
    <reviewItem>
      <errorID>72d9dd5e-bc33-4cd2-983a-ad16344b9dfd</errorID>
      <errorWord>、共四</errorWord>
      <group>L1_Punc</group>
      <groupName>标点问题</groupName>
      <ability>L2_Punc</ability>
      <abilityName>标点符号检查</abilityName>
      <candidateList>
        <item>共四</item>
      </candidateList>
      <explain/>
      <paraID>7B7EADF6</paraID>
      <start>58</start>
      <end>61</end>
      <status>ignored</status>
      <modifiedWord/>
      <trackRevisions>false</trackRevisions>
    </reviewItem>
    <reviewItem>
      <errorID>0bfa9229-87cc-40da-89c4-8629baca376b</errorID>
      <errorWord>藻类爆发</errorWord>
      <group>L1_Word</group>
      <groupName>字词问题</groupName>
      <ability>L2_Typo</ability>
      <abilityName>字词错误</abilityName>
      <candidateList>
        <item>藻类暴发</item>
      </candidateList>
      <explain/>
      <paraID>21F9EF1C</paraID>
      <start>58</start>
      <end>62</end>
      <status>ignored</status>
      <modifiedWord/>
      <trackRevisions>false</trackRevisions>
    </reviewItem>
    <reviewItem>
      <errorID>ca4413ed-2753-48f5-8340-ab7479e1c959</errorID>
      <errorWord>机</errorWord>
      <group>L1_Word</group>
      <groupName>字词问题</groupName>
      <ability>L2_Typo</ability>
      <abilityName>字词错误</abilityName>
      <candidateList>
        <item>机械</item>
      </candidateList>
      <explain/>
      <paraID>3555BC51</paraID>
      <start>125</start>
      <end>127</end>
      <status>modified</status>
      <modifiedWord>机械</modifiedWord>
      <trackRevisions>false</trackRevisions>
    </reviewItem>
    <reviewItem>
      <errorID>a6f8e079-9fad-4d48-aa41-644c62ed9cda</errorID>
      <errorWord>2-3天</errorWord>
      <group>L1_Word</group>
      <groupName>字词问题</groupName>
      <ability>L2_Typo</ability>
      <abilityName>字词错误</abilityName>
      <candidateList>
        <item>2～3天</item>
      </candidateList>
      <explain/>
      <paraID>3555BC51</paraID>
      <start>152</start>
      <end>156</end>
      <status>ignored</status>
      <modifiedWord/>
      <trackRevisions>false</trackRevisions>
    </reviewItem>
    <reviewItem>
      <errorID>3e813090-b246-4a78-917c-974c7c7647f6</errorID>
      <errorWord>:</errorWord>
      <group>L1_Format</group>
      <groupName>格式问题</groupName>
      <ability>L2_HalfPunc</ability>
      <abilityName>全半角检查</abilityName>
      <candidateList>
        <item>：</item>
      </candidateList>
      <explain>文本全半角错误。</explain>
      <paraID> 7933071</paraID>
      <start>12</start>
      <end>13</end>
      <status>modified</status>
      <modifiedWord>：</modifiedWord>
      <trackRevisions>false</trackRevisions>
    </reviewItem>
    <reviewItem>
      <errorID>dbe0bb5c-be9f-4ccc-91a2-818facd3ab02</errorID>
      <errorWord>:</errorWord>
      <group>L1_Format</group>
      <groupName>格式问题</groupName>
      <ability>L2_HalfPunc</ability>
      <abilityName>全半角检查</abilityName>
      <candidateList>
        <item>：</item>
      </candidateList>
      <explain>文本全半角错误。</explain>
      <paraID> 7933071</paraID>
      <start>46</start>
      <end>47</end>
      <status>modified</status>
      <modifiedWord>：</modifiedWord>
      <trackRevisions>false</trackRevisions>
    </reviewItem>
    <reviewItem>
      <errorID>069a0d54-265c-4fca-9662-093aa90bdca2</errorID>
      <errorWord>:</errorWord>
      <group>L1_Format</group>
      <groupName>格式问题</groupName>
      <ability>L2_HalfPunc</ability>
      <abilityName>全半角检查</abilityName>
      <candidateList>
        <item>：</item>
      </candidateList>
      <explain>文本全半角错误。</explain>
      <paraID>7E5E5946</paraID>
      <start>12</start>
      <end>13</end>
      <status>modified</status>
      <modifiedWord>：</modifiedWord>
      <trackRevisions>false</trackRevisions>
    </reviewItem>
    <reviewItem>
      <errorID>7aa5a2bd-67d4-4b1b-843e-04cbdecaf1b0</errorID>
      <errorWord>:</errorWord>
      <group>L1_Format</group>
      <groupName>格式问题</groupName>
      <ability>L2_HalfPunc</ability>
      <abilityName>全半角检查</abilityName>
      <candidateList>
        <item>：</item>
      </candidateList>
      <explain>文本全半角错误。</explain>
      <paraID>7E5E5946</paraID>
      <start>46</start>
      <end>47</end>
      <status>modified</status>
      <modifiedWord>：</modifiedWord>
      <trackRevisions>false</trackRevisions>
    </reviewItem>
    <reviewItem>
      <errorID>78f0ff24-99e7-4a8b-9ead-35ba2aa843cb</errorID>
      <errorWord>、共一</errorWord>
      <group>L1_Punc</group>
      <groupName>标点问题</groupName>
      <ability>L2_Punc</ability>
      <abilityName>标点符号检查</abilityName>
      <candidateList>
        <item>共一</item>
      </candidateList>
      <explain/>
      <paraID>2E6BC516</paraID>
      <start>58</start>
      <end>61</end>
      <status>ignored</status>
      <modifiedWord/>
      <trackRevisions>false</trackRevisions>
    </reviewItem>
    <reviewItem>
      <errorID>1ac400eb-436d-46cf-ae2d-c66c37f9cf60</errorID>
      <errorWord>藻类爆发</errorWord>
      <group>L1_Word</group>
      <groupName>字词问题</groupName>
      <ability>L2_Typo</ability>
      <abilityName>字词错误</abilityName>
      <candidateList>
        <item>藻类暴发</item>
      </candidateList>
      <explain/>
      <paraID>172B5D3B</paraID>
      <start>58</start>
      <end>62</end>
      <status>ignored</status>
      <modifiedWord/>
      <trackRevisions>false</trackRevisions>
    </reviewItem>
    <reviewItem>
      <errorID>ae3515f9-fc3c-4522-b6db-95d047180c33</errorID>
      <errorWord>机</errorWord>
      <group>L1_Word</group>
      <groupName>字词问题</groupName>
      <ability>L2_Typo</ability>
      <abilityName>字词错误</abilityName>
      <candidateList>
        <item>机械</item>
      </candidateList>
      <explain/>
      <paraID>4BECACCE</paraID>
      <start>125</start>
      <end>127</end>
      <status>modified</status>
      <modifiedWord>机械</modifiedWord>
      <trackRevisions>false</trackRevisions>
    </reviewItem>
    <reviewItem>
      <errorID>459c763e-50c8-495f-bb91-a263c022d47c</errorID>
      <errorWord>2-3天</errorWord>
      <group>L1_Word</group>
      <groupName>字词问题</groupName>
      <ability>L2_Typo</ability>
      <abilityName>字词错误</abilityName>
      <candidateList>
        <item>2～3天</item>
      </candidateList>
      <explain/>
      <paraID>4BECACCE</paraID>
      <start>152</start>
      <end>156</end>
      <status>ignored</status>
      <modifiedWord/>
      <trackRevisions>false</trackRevisions>
    </reviewItem>
    <reviewItem>
      <errorID>614cef34-bf1b-4a17-888a-4d9964c590d6</errorID>
      <errorWord>:</errorWord>
      <group>L1_Format</group>
      <groupName>格式问题</groupName>
      <ability>L2_HalfPunc</ability>
      <abilityName>全半角检查</abilityName>
      <candidateList>
        <item>：</item>
      </candidateList>
      <explain>文本全半角错误。</explain>
      <paraID>5B19D4A3</paraID>
      <start>12</start>
      <end>13</end>
      <status>modified</status>
      <modifiedWord>：</modifiedWord>
      <trackRevisions>false</trackRevisions>
    </reviewItem>
    <reviewItem>
      <errorID>e9bce75f-9e48-4138-b388-1926cada378d</errorID>
      <errorWord>:</errorWord>
      <group>L1_Format</group>
      <groupName>格式问题</groupName>
      <ability>L2_HalfPunc</ability>
      <abilityName>全半角检查</abilityName>
      <candidateList>
        <item>：</item>
      </candidateList>
      <explain>文本全半角错误。</explain>
      <paraID>5B19D4A3</paraID>
      <start>46</start>
      <end>47</end>
      <status>modified</status>
      <modifiedWord>：</modifiedWord>
      <trackRevisions>false</trackRevisions>
    </reviewItem>
    <reviewItem>
      <errorID>51f8b673-dc26-4b91-9789-ade34b023751</errorID>
      <errorWord>藻类爆发</errorWord>
      <group>L1_Word</group>
      <groupName>字词问题</groupName>
      <ability>L2_Typo</ability>
      <abilityName>字词错误</abilityName>
      <candidateList>
        <item>藻类暴发</item>
      </candidateList>
      <explain/>
      <paraID>1BB88F7F</paraID>
      <start>58</start>
      <end>62</end>
      <status>ignored</status>
      <modifiedWord/>
      <trackRevisions>false</trackRevisions>
    </reviewItem>
    <reviewItem>
      <errorID>0595c1c3-192d-4121-b904-c3b3adc0c6af</errorID>
      <errorWord>机</errorWord>
      <group>L1_Word</group>
      <groupName>字词问题</groupName>
      <ability>L2_Typo</ability>
      <abilityName>字词错误</abilityName>
      <candidateList>
        <item>机械</item>
      </candidateList>
      <explain/>
      <paraID>653C3F6D</paraID>
      <start>125</start>
      <end>127</end>
      <status>modified</status>
      <modifiedWord>机械</modifiedWord>
      <trackRevisions>false</trackRevisions>
    </reviewItem>
    <reviewItem>
      <errorID>25a5afe4-5286-4894-82d8-caf5a9656603</errorID>
      <errorWord>2-3天</errorWord>
      <group>L1_Word</group>
      <groupName>字词问题</groupName>
      <ability>L2_Typo</ability>
      <abilityName>字词错误</abilityName>
      <candidateList>
        <item>2～3天</item>
      </candidateList>
      <explain/>
      <paraID>653C3F6D</paraID>
      <start>152</start>
      <end>156</end>
      <status>ignored</status>
      <modifiedWord/>
      <trackRevisions>false</trackRevisions>
    </reviewItem>
    <reviewItem>
      <errorID>84c63060-94ef-4d6b-9a57-38273a414fd4</errorID>
      <errorWord>:</errorWord>
      <group>L1_Format</group>
      <groupName>格式问题</groupName>
      <ability>L2_HalfPunc</ability>
      <abilityName>全半角检查</abilityName>
      <candidateList>
        <item>：</item>
      </candidateList>
      <explain>文本全半角错误。</explain>
      <paraID>1AD75B68</paraID>
      <start>12</start>
      <end>13</end>
      <status>modified</status>
      <modifiedWord>：</modifiedWord>
      <trackRevisions>false</trackRevisions>
    </reviewItem>
    <reviewItem>
      <errorID>12dce44d-406e-47a4-80b7-fa50a97de480</errorID>
      <errorWord>:</errorWord>
      <group>L1_Format</group>
      <groupName>格式问题</groupName>
      <ability>L2_HalfPunc</ability>
      <abilityName>全半角检查</abilityName>
      <candidateList>
        <item>：</item>
      </candidateList>
      <explain>文本全半角错误。</explain>
      <paraID>1AD75B68</paraID>
      <start>46</start>
      <end>47</end>
      <status>modified</status>
      <modifiedWord>：</modifiedWord>
      <trackRevisions>false</trackRevisions>
    </reviewItem>
    <reviewItem>
      <errorID>b099e026-8ed3-4e28-a7bc-89dfc051a95d</errorID>
      <errorWord>藻类爆发</errorWord>
      <group>L1_Word</group>
      <groupName>字词问题</groupName>
      <ability>L2_Typo</ability>
      <abilityName>字词错误</abilityName>
      <candidateList>
        <item>藻类暴发</item>
      </candidateList>
      <explain/>
      <paraID>4E113A24</paraID>
      <start>58</start>
      <end>62</end>
      <status>ignored</status>
      <modifiedWord/>
      <trackRevisions>false</trackRevisions>
    </reviewItem>
    <reviewItem>
      <errorID>f9d82679-b90c-4d5a-a4d9-9e0b8be938bd</errorID>
      <errorWord>机</errorWord>
      <group>L1_Word</group>
      <groupName>字词问题</groupName>
      <ability>L2_Typo</ability>
      <abilityName>字词错误</abilityName>
      <candidateList>
        <item>机械</item>
      </candidateList>
      <explain/>
      <paraID>4AE500FB</paraID>
      <start>125</start>
      <end>127</end>
      <status>modified</status>
      <modifiedWord>机械</modifiedWord>
      <trackRevisions>false</trackRevisions>
    </reviewItem>
    <reviewItem>
      <errorID>fec065f2-1a7e-4af7-a22f-861911ed57b4</errorID>
      <errorWord>2-3天</errorWord>
      <group>L1_Word</group>
      <groupName>字词问题</groupName>
      <ability>L2_Typo</ability>
      <abilityName>字词错误</abilityName>
      <candidateList>
        <item>2～3天</item>
      </candidateList>
      <explain/>
      <paraID>4AE500FB</paraID>
      <start>152</start>
      <end>156</end>
      <status>ignored</status>
      <modifiedWord/>
      <trackRevisions>false</trackRevisions>
    </reviewItem>
    <reviewItem>
      <errorID>a3bc6625-1777-4140-852f-56b4cd9afd00</errorID>
      <errorWord>:</errorWord>
      <group>L1_Format</group>
      <groupName>格式问题</groupName>
      <ability>L2_HalfPunc</ability>
      <abilityName>全半角检查</abilityName>
      <candidateList>
        <item>：</item>
      </candidateList>
      <explain>文本全半角错误。</explain>
      <paraID>6D90DF7F</paraID>
      <start>12</start>
      <end>13</end>
      <status>modified</status>
      <modifiedWord>：</modifiedWord>
      <trackRevisions>false</trackRevisions>
    </reviewItem>
    <reviewItem>
      <errorID>9705bbe9-9fba-4200-b84a-74c3c57124b3</errorID>
      <errorWord>:</errorWord>
      <group>L1_Format</group>
      <groupName>格式问题</groupName>
      <ability>L2_HalfPunc</ability>
      <abilityName>全半角检查</abilityName>
      <candidateList>
        <item>：</item>
      </candidateList>
      <explain>文本全半角错误。</explain>
      <paraID>6D90DF7F</paraID>
      <start>46</start>
      <end>47</end>
      <status>modified</status>
      <modifiedWord>：</modifiedWord>
      <trackRevisions>false</trackRevisions>
    </reviewItem>
    <reviewItem>
      <errorID>56260915-c970-460a-8e04-bf78c05dbd07</errorID>
      <errorWord>藻类爆发</errorWord>
      <group>L1_Word</group>
      <groupName>字词问题</groupName>
      <ability>L2_Typo</ability>
      <abilityName>字词错误</abilityName>
      <candidateList>
        <item>藻类暴发</item>
      </candidateList>
      <explain/>
      <paraID>75B806EE</paraID>
      <start>58</start>
      <end>62</end>
      <status>ignored</status>
      <modifiedWord/>
      <trackRevisions>false</trackRevisions>
    </reviewItem>
    <reviewItem>
      <errorID>82764285-38f4-4e48-af94-4aaaf00c0532</errorID>
      <errorWord>机</errorWord>
      <group>L1_Word</group>
      <groupName>字词问题</groupName>
      <ability>L2_Typo</ability>
      <abilityName>字词错误</abilityName>
      <candidateList>
        <item>机械</item>
      </candidateList>
      <explain/>
      <paraID>446620EF</paraID>
      <start>125</start>
      <end>127</end>
      <status>modified</status>
      <modifiedWord>机械</modifiedWord>
      <trackRevisions>false</trackRevisions>
    </reviewItem>
    <reviewItem>
      <errorID>3053d1a6-8611-4034-b047-716438cf1d14</errorID>
      <errorWord>2-3天</errorWord>
      <group>L1_Word</group>
      <groupName>字词问题</groupName>
      <ability>L2_Typo</ability>
      <abilityName>字词错误</abilityName>
      <candidateList>
        <item>2～3天</item>
      </candidateList>
      <explain/>
      <paraID>446620EF</paraID>
      <start>152</start>
      <end>156</end>
      <status>ignored</status>
      <modifiedWord/>
      <trackRevisions>false</trackRevisions>
    </reviewItem>
    <reviewItem>
      <errorID>4a229fa4-df0d-4a05-99ac-6c3d0b32ad5e</errorID>
      <errorWord>:</errorWord>
      <group>L1_Format</group>
      <groupName>格式问题</groupName>
      <ability>L2_HalfPunc</ability>
      <abilityName>全半角检查</abilityName>
      <candidateList>
        <item>：</item>
      </candidateList>
      <explain>文本全半角错误。</explain>
      <paraID>2F585363</paraID>
      <start>12</start>
      <end>13</end>
      <status>modified</status>
      <modifiedWord>：</modifiedWord>
      <trackRevisions>false</trackRevisions>
    </reviewItem>
    <reviewItem>
      <errorID>4c0d529c-373d-4917-8313-05d8605a5dd9</errorID>
      <errorWord>:</errorWord>
      <group>L1_Format</group>
      <groupName>格式问题</groupName>
      <ability>L2_HalfPunc</ability>
      <abilityName>全半角检查</abilityName>
      <candidateList>
        <item>：</item>
      </candidateList>
      <explain>文本全半角错误。</explain>
      <paraID>2F585363</paraID>
      <start>46</start>
      <end>47</end>
      <status>modified</status>
      <modifiedWord>：</modifiedWord>
      <trackRevisions>false</trackRevisions>
    </reviewItem>
    <reviewItem>
      <errorID>17b05521-ae18-4db7-89d2-0615fffdd274</errorID>
      <errorWord>藻类爆发</errorWord>
      <group>L1_Word</group>
      <groupName>字词问题</groupName>
      <ability>L2_Typo</ability>
      <abilityName>字词错误</abilityName>
      <candidateList>
        <item>藻类暴发</item>
      </candidateList>
      <explain/>
      <paraID>63A55458</paraID>
      <start>58</start>
      <end>62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68d70c0-3ba0-459c-a974-57b72e53259b}">
  <ds:schemaRefs/>
</ds:datastoreItem>
</file>

<file path=docProps/app.xml><?xml version="1.0" encoding="utf-8"?>
<Properties xmlns="http://schemas.openxmlformats.org/officeDocument/2006/extended-properties" xmlns:vt="http://schemas.openxmlformats.org/officeDocument/2006/docPropsVTypes">
  <Template>Normal</Template>
  <Company>Micr</Company>
  <Pages>92</Pages>
  <Words>8173</Words>
  <Characters>8687</Characters>
  <TotalTime>1</TotalTime>
  <ScaleCrop>false</ScaleCrop>
  <LinksUpToDate>false</LinksUpToDate>
  <CharactersWithSpaces>8722</CharactersWithSpaces>
  <Application>WPS Office_12.1.0.26988_F1E327BC-269C-435d-A152-05C5408002CA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2024-06-03T00:57:00Z</dcterms:created>
  <dc:creator>时</dc:creator>
  <cp:lastModifiedBy>瞎掰</cp:lastModifiedBy>
  <dcterms:modified xsi:type="dcterms:W3CDTF">2026-09-08T03:33:16Z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mcheck_markmode">
    <vt:i4>0</vt:i4>
  </property>
  <property fmtid="{D5CDD505-2E9C-101B-9397-08002B2CF9AE}" pid="3" name="hmcheck_taskpanetype">
    <vt:i4>1</vt:i4>
  </property>
  <property fmtid="{D5CDD505-2E9C-101B-9397-08002B2CF9AE}" pid="4" name="KSOProductBuildVer">
    <vt:lpwstr>2052-12.1.0.26988</vt:lpwstr>
  </property>
  <property fmtid="{D5CDD505-2E9C-101B-9397-08002B2CF9AE}" pid="5" name="ICV">
    <vt:lpwstr>DBA79F42810B49A9ABBB0B17403B2A79_13</vt:lpwstr>
  </property>
  <property fmtid="{D5CDD505-2E9C-101B-9397-08002B2CF9AE}" pid="6" name="KSOTemplateDocerSaveRecord">
    <vt:lpwstr>eyJoZGlkIjoiYTc2ZGZiNzZiNDVlOGViOWVmM2JhOTY0NGJkNjUyYzgiLCJ1c2VySWQiOiIzNTAwMDA4OTIifQ==</vt:lpwstr>
  </property>
</Properties>
</file>