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4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4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43"/>
        <w:jc w:val="center"/>
        <w:spacing w:line="360" w:lineRule="auto"/>
        <w:rPr>
          <w:rFonts w:hint="eastAsia" w:ascii="宋体" w:hAnsi="宋体" w:eastAsia="宋体" w:cs="宋体"/>
          <w:bCs/>
          <w:color w:val="000000"/>
          <w:sz w:val="84"/>
          <w:szCs w:val="84"/>
          <w:highlight w:val="none"/>
        </w:rPr>
      </w:pPr>
      <w:r>
        <w:rPr>
          <w:rFonts w:hint="eastAsia" w:ascii="宋体" w:hAnsi="宋体" w:eastAsia="宋体" w:cs="宋体"/>
          <w:bCs/>
          <w:color w:val="000000"/>
          <w:sz w:val="84"/>
          <w:szCs w:val="84"/>
          <w:highlight w:val="none"/>
        </w:rPr>
        <w:t xml:space="preserve">苏州市政府采购</w:t>
      </w:r>
      <w:r>
        <w:rPr>
          <w:rFonts w:hint="eastAsia" w:ascii="宋体" w:hAnsi="宋体" w:eastAsia="宋体" w:cs="宋体"/>
          <w:bCs/>
          <w:color w:val="000000"/>
          <w:sz w:val="84"/>
          <w:szCs w:val="84"/>
          <w:highlight w:val="none"/>
        </w:rPr>
      </w:r>
      <w:r/>
    </w:p>
    <w:p>
      <w:pPr>
        <w:pStyle w:val="943"/>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84"/>
          <w:szCs w:val="84"/>
          <w:highlight w:val="none"/>
        </w:rPr>
        <w:t xml:space="preserve">竞争性磋商文件</w:t>
      </w:r>
      <w:r>
        <w:rPr>
          <w:rFonts w:hint="eastAsia" w:ascii="宋体" w:hAnsi="宋体" w:eastAsia="宋体" w:cs="宋体"/>
          <w:bCs/>
          <w:color w:val="000000"/>
          <w:sz w:val="32"/>
          <w:szCs w:val="32"/>
          <w:highlight w:val="none"/>
        </w:rPr>
      </w:r>
      <w:r/>
    </w:p>
    <w:p>
      <w:pPr>
        <w:pStyle w:val="943"/>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943"/>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mc:AlternateContent>
          <mc:Choice Requires="wpg">
            <w:drawing>
              <wp:inline xmlns:wp="http://schemas.openxmlformats.org/drawingml/2006/wordprocessingDrawing" distT="0" distB="0" distL="0" distR="0">
                <wp:extent cx="1364742" cy="137083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364742" cy="13708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7.5pt;height:107.9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bCs/>
          <w:color w:val="000000"/>
          <w:sz w:val="21"/>
          <w:szCs w:val="21"/>
          <w:highlight w:val="none"/>
        </w:rPr>
      </w:r>
      <w:r/>
    </w:p>
    <w:p>
      <w:pPr>
        <w:pStyle w:val="943"/>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3"/>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943"/>
        <w:ind w:firstLine="900"/>
        <w:jc w:val="left"/>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 购 人：</w:t>
      </w:r>
      <w:r>
        <w:rPr>
          <w:rFonts w:hint="eastAsia" w:ascii="宋体" w:hAnsi="宋体" w:eastAsia="宋体" w:cs="宋体"/>
          <w:bCs/>
          <w:color w:val="000000"/>
          <w:sz w:val="30"/>
          <w:szCs w:val="30"/>
          <w:highlight w:val="none"/>
          <w:lang w:eastAsia="zh-CN"/>
        </w:rPr>
        <w:t xml:space="preserve">苏州市姑苏区教育体育和文化旅游委员会</w:t>
      </w:r>
      <w:r>
        <w:rPr>
          <w:rFonts w:hint="eastAsia" w:ascii="宋体" w:hAnsi="宋体" w:eastAsia="宋体" w:cs="宋体"/>
          <w:bCs/>
          <w:color w:val="000000"/>
          <w:sz w:val="30"/>
          <w:szCs w:val="30"/>
          <w:highlight w:val="none"/>
          <w:lang w:eastAsia="zh-CN"/>
        </w:rPr>
      </w:r>
      <w:r/>
    </w:p>
    <w:p>
      <w:pPr>
        <w:pStyle w:val="943"/>
        <w:ind w:firstLine="900"/>
        <w:spacing w:line="360" w:lineRule="auto"/>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项目编号：</w:t>
      </w:r>
      <w:r>
        <w:rPr>
          <w:rFonts w:hint="eastAsia" w:ascii="宋体" w:hAnsi="宋体" w:eastAsia="宋体" w:cs="宋体"/>
          <w:bCs/>
          <w:color w:val="000000"/>
          <w:sz w:val="30"/>
          <w:szCs w:val="30"/>
          <w:highlight w:val="none"/>
          <w:lang w:eastAsia="zh-CN"/>
        </w:rPr>
        <w:t xml:space="preserve">JSZC-320508-SZZJ-C2026-0032</w:t>
      </w:r>
      <w:r>
        <w:rPr>
          <w:rFonts w:hint="eastAsia" w:ascii="宋体" w:hAnsi="宋体" w:eastAsia="宋体" w:cs="宋体"/>
          <w:bCs/>
          <w:color w:val="000000"/>
          <w:sz w:val="30"/>
          <w:szCs w:val="30"/>
          <w:highlight w:val="none"/>
          <w:lang w:eastAsia="zh-CN"/>
        </w:rPr>
      </w:r>
      <w:r/>
    </w:p>
    <w:p>
      <w:pPr>
        <w:pStyle w:val="943"/>
        <w:ind w:firstLine="900"/>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项目名称：2026年姑苏智慧教育云运营服务</w:t>
      </w:r>
      <w:r>
        <w:rPr>
          <w:rFonts w:hint="eastAsia" w:ascii="宋体" w:hAnsi="宋体" w:eastAsia="宋体" w:cs="宋体"/>
          <w:bCs/>
          <w:color w:val="000000"/>
          <w:sz w:val="30"/>
          <w:szCs w:val="30"/>
          <w:highlight w:val="none"/>
        </w:rPr>
      </w:r>
      <w:r/>
    </w:p>
    <w:p>
      <w:pPr>
        <w:pStyle w:val="943"/>
        <w:ind w:firstLine="900"/>
        <w:jc w:val="left"/>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采购类别：服务类</w:t>
      </w:r>
      <w:r>
        <w:rPr>
          <w:rFonts w:hint="eastAsia" w:ascii="宋体" w:hAnsi="宋体" w:eastAsia="宋体" w:cs="宋体"/>
          <w:bCs/>
          <w:color w:val="000000"/>
          <w:sz w:val="30"/>
          <w:szCs w:val="30"/>
          <w:highlight w:val="none"/>
        </w:rPr>
      </w:r>
      <w:r/>
    </w:p>
    <w:p>
      <w:pPr>
        <w:pStyle w:val="943"/>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43"/>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43"/>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43"/>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苏州正杰招投标咨询服务有限公司</w:t>
      </w:r>
      <w:r>
        <w:rPr>
          <w:rFonts w:hint="eastAsia" w:ascii="宋体" w:hAnsi="宋体" w:eastAsia="宋体" w:cs="宋体"/>
          <w:bCs/>
          <w:color w:val="000000"/>
          <w:sz w:val="30"/>
          <w:szCs w:val="30"/>
          <w:highlight w:val="none"/>
        </w:rPr>
      </w:r>
      <w:r/>
    </w:p>
    <w:p>
      <w:pPr>
        <w:pStyle w:val="969"/>
        <w:ind w:firstLine="0"/>
        <w:jc w:val="center"/>
        <w:spacing w:line="36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2026年</w:t>
      </w:r>
      <w:r>
        <w:rPr>
          <w:rFonts w:hint="eastAsia" w:ascii="宋体" w:hAnsi="宋体" w:eastAsia="宋体" w:cs="宋体"/>
          <w:bCs/>
          <w:color w:val="000000"/>
          <w:sz w:val="30"/>
          <w:szCs w:val="30"/>
          <w:highlight w:val="none"/>
          <w:lang w:val="en-US" w:eastAsia="zh-CN"/>
        </w:rPr>
        <w:t xml:space="preserve">1</w:t>
      </w:r>
      <w:r>
        <w:rPr>
          <w:rFonts w:hint="eastAsia" w:ascii="宋体" w:hAnsi="宋体" w:eastAsia="宋体" w:cs="宋体"/>
          <w:bCs/>
          <w:color w:val="000000"/>
          <w:sz w:val="30"/>
          <w:szCs w:val="30"/>
          <w:highlight w:val="none"/>
          <w:lang w:val="en-US" w:eastAsia="zh-CN"/>
        </w:rPr>
        <w:t xml:space="preserve">0</w:t>
      </w:r>
      <w:r>
        <w:rPr>
          <w:rFonts w:hint="eastAsia" w:ascii="宋体" w:hAnsi="宋体" w:eastAsia="宋体" w:cs="宋体"/>
          <w:bCs/>
          <w:color w:val="000000"/>
          <w:sz w:val="30"/>
          <w:szCs w:val="30"/>
          <w:highlight w:val="none"/>
        </w:rPr>
        <w:t xml:space="preserve">月</w:t>
      </w:r>
      <w:r>
        <w:rPr>
          <w:rFonts w:hint="eastAsia" w:ascii="宋体" w:hAnsi="宋体" w:eastAsia="宋体" w:cs="宋体"/>
          <w:bCs/>
          <w:color w:val="000000"/>
          <w:sz w:val="30"/>
          <w:szCs w:val="30"/>
          <w:highlight w:val="none"/>
        </w:rPr>
      </w:r>
      <w:r/>
    </w:p>
    <w:p>
      <w:pPr>
        <w:pStyle w:val="969"/>
        <w:ind w:firstLine="0"/>
        <w:jc w:val="center"/>
        <w:spacing w:line="360" w:lineRule="auto"/>
        <w:rPr>
          <w:rFonts w:hint="eastAsia" w:ascii="宋体" w:hAnsi="宋体" w:eastAsia="宋体" w:cs="宋体"/>
          <w:b/>
          <w:color w:val="000000"/>
          <w:sz w:val="32"/>
          <w:szCs w:val="32"/>
          <w:highlight w:val="none"/>
        </w:rPr>
        <w:sectPr>
          <w:headerReference w:type="default" r:id="rId9"/>
          <w:headerReference w:type="even" r:id="rId10"/>
          <w:footerReference w:type="default" r:id="rId11"/>
          <w:footerReference w:type="even" r:id="rId12"/>
          <w:footnotePr/>
          <w:endnotePr/>
          <w:type w:val="nextPage"/>
          <w:pgSz w:w="11906" w:h="16838" w:orient="portrait"/>
          <w:pgMar w:top="1134" w:right="1134" w:bottom="1134" w:left="1134" w:header="851" w:footer="567" w:gutter="0"/>
          <w:cols w:num="1" w:sep="0" w:space="1701" w:equalWidth="1"/>
          <w:docGrid w:linePitch="360"/>
          <w:titlePg/>
        </w:sectPr>
      </w:pPr>
      <w:r>
        <w:rPr>
          <w:rFonts w:hint="eastAsia" w:ascii="宋体" w:hAnsi="宋体" w:eastAsia="宋体" w:cs="宋体"/>
          <w:b/>
          <w:color w:val="000000"/>
          <w:sz w:val="32"/>
          <w:szCs w:val="32"/>
          <w:highlight w:val="none"/>
        </w:rPr>
      </w:r>
      <w:r/>
    </w:p>
    <w:p>
      <w:pPr>
        <w:pStyle w:val="969"/>
        <w:ind w:firstLine="0"/>
        <w:jc w:val="center"/>
        <w:spacing w:line="360" w:lineRule="auto"/>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 xml:space="preserve">目  录</w:t>
      </w:r>
      <w:r>
        <w:rPr>
          <w:rFonts w:hint="eastAsia" w:ascii="宋体" w:hAnsi="宋体" w:eastAsia="宋体" w:cs="宋体"/>
          <w:b/>
          <w:color w:val="000000"/>
          <w:sz w:val="52"/>
          <w:szCs w:val="52"/>
          <w:highlight w:val="none"/>
        </w:rPr>
      </w:r>
      <w:r/>
    </w:p>
    <w:p>
      <w:pPr>
        <w:pStyle w:val="969"/>
        <w:ind w:firstLine="0"/>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999"/>
        <w:ind w:firstLine="0"/>
        <w:jc w:val="center"/>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fldChar w:fldCharType="begin"/>
      </w:r>
      <w:r>
        <w:rPr>
          <w:rFonts w:hint="eastAsia" w:ascii="宋体" w:hAnsi="宋体" w:eastAsia="宋体" w:cs="宋体"/>
          <w:bCs/>
          <w:color w:val="000000"/>
          <w:sz w:val="32"/>
          <w:szCs w:val="32"/>
          <w:highlight w:val="none"/>
        </w:rPr>
        <w:instrText xml:space="preserve"> TOC \o "1-1" </w:instrText>
      </w:r>
      <w:r>
        <w:rPr>
          <w:rFonts w:hint="eastAsia" w:ascii="宋体" w:hAnsi="宋体" w:eastAsia="宋体" w:cs="宋体"/>
          <w:bCs/>
          <w:color w:val="000000"/>
          <w:sz w:val="32"/>
          <w:szCs w:val="32"/>
          <w:highlight w:val="none"/>
        </w:rPr>
        <w:fldChar w:fldCharType="separate"/>
      </w:r>
      <w:r>
        <w:rPr>
          <w:rFonts w:hint="eastAsia" w:ascii="宋体" w:hAnsi="宋体" w:eastAsia="宋体" w:cs="宋体"/>
          <w:bCs/>
          <w:color w:val="000000"/>
          <w:sz w:val="32"/>
          <w:szCs w:val="32"/>
          <w:highlight w:val="none"/>
        </w:rPr>
        <w:t xml:space="preserve">第一章 竞争性磋商邀请函</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999"/>
        <w:ind w:firstLine="0"/>
        <w:jc w:val="center"/>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第二章 响应须知</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999"/>
        <w:ind w:firstLine="0"/>
        <w:jc w:val="center"/>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第三章 响应文件格式</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999"/>
        <w:ind w:firstLine="0"/>
        <w:jc w:val="center"/>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第四章 采购需求</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999"/>
        <w:ind w:firstLine="0"/>
        <w:jc w:val="center"/>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第五章 合同文本</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999"/>
        <w:ind w:firstLine="0"/>
        <w:jc w:val="center"/>
        <w:tabs>
          <w:tab w:val="right" w:pos="9538" w:leader="dot"/>
        </w:tabs>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第六章 评审方法及评审标准</w:t>
      </w:r>
      <w:r>
        <w:rPr>
          <w:rFonts w:hint="eastAsia" w:ascii="宋体" w:hAnsi="宋体" w:eastAsia="宋体" w:cs="宋体"/>
          <w:bCs/>
          <w:color w:val="000000"/>
          <w:sz w:val="32"/>
          <w:szCs w:val="32"/>
          <w:highlight w:val="none"/>
        </w:rPr>
        <w:tab/>
      </w:r>
      <w:r>
        <w:rPr>
          <w:rFonts w:hint="eastAsia" w:ascii="宋体" w:hAnsi="宋体" w:eastAsia="宋体" w:cs="宋体"/>
          <w:bCs/>
          <w:color w:val="000000"/>
          <w:sz w:val="32"/>
          <w:szCs w:val="32"/>
          <w:highlight w:val="none"/>
        </w:rPr>
      </w:r>
      <w:r/>
    </w:p>
    <w:p>
      <w:pPr>
        <w:pStyle w:val="943"/>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32"/>
          <w:szCs w:val="32"/>
          <w:highlight w:val="none"/>
        </w:rPr>
        <w:fldChar w:fldCharType="end"/>
      </w:r>
      <w:r>
        <w:rPr>
          <w:rFonts w:hint="eastAsia" w:ascii="宋体" w:hAnsi="宋体" w:eastAsia="宋体" w:cs="宋体"/>
          <w:bCs/>
          <w:color w:val="000000"/>
          <w:sz w:val="21"/>
          <w:szCs w:val="21"/>
          <w:highlight w:val="none"/>
        </w:rPr>
      </w:r>
      <w:r/>
    </w:p>
    <w:p>
      <w:pPr>
        <w:pStyle w:val="943"/>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3"/>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3"/>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3"/>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3"/>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3"/>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3"/>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3"/>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3"/>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3"/>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3"/>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3"/>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3"/>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3"/>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3"/>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44"/>
        <w:jc w:val="center"/>
        <w:spacing w:line="360" w:lineRule="auto"/>
        <w:rPr>
          <w:rFonts w:hint="eastAsia" w:ascii="宋体" w:hAnsi="宋体" w:eastAsia="宋体" w:cs="宋体"/>
          <w:b w:val="0"/>
          <w:bCs/>
          <w:color w:val="000000"/>
          <w:sz w:val="52"/>
          <w:szCs w:val="52"/>
          <w:highlight w:val="none"/>
        </w:rPr>
        <w:sectPr>
          <w:footerReference w:type="default" r:id="rId13"/>
          <w:footerReference w:type="first" r:id="rId14"/>
          <w:footnotePr/>
          <w:endnotePr/>
          <w:type w:val="nextPage"/>
          <w:pgSz w:w="11906" w:h="16838" w:orient="portrait"/>
          <w:pgMar w:top="1134" w:right="1134" w:bottom="1134" w:left="1134" w:header="851" w:footer="567" w:gutter="0"/>
          <w:pgNumType w:start="1"/>
          <w:cols w:num="1" w:sep="0" w:space="1701" w:equalWidth="1"/>
          <w:docGrid w:linePitch="360"/>
        </w:sectPr>
      </w:pPr>
      <w:r/>
      <w:bookmarkStart w:id="0" w:name="_第一章_谈判邀请函"/>
      <w:r/>
      <w:bookmarkEnd w:id="0"/>
      <w:r/>
      <w:bookmarkStart w:id="1" w:name="_Toc301856546"/>
      <w:r>
        <w:rPr>
          <w:rFonts w:hint="eastAsia" w:ascii="宋体" w:hAnsi="宋体" w:eastAsia="宋体" w:cs="宋体"/>
          <w:b w:val="0"/>
          <w:bCs/>
          <w:color w:val="000000"/>
          <w:sz w:val="52"/>
          <w:szCs w:val="52"/>
          <w:highlight w:val="none"/>
        </w:rPr>
      </w:r>
      <w:r/>
    </w:p>
    <w:p>
      <w:pPr>
        <w:pStyle w:val="943"/>
        <w:ind w:firstLine="482"/>
        <w:jc w:val="center"/>
        <w:spacing w:line="360" w:lineRule="auto"/>
        <w:rPr>
          <w:rFonts w:hint="eastAsia" w:ascii="宋体" w:hAnsi="宋体" w:eastAsia="宋体" w:cs="宋体"/>
          <w:b/>
          <w:color w:val="000000"/>
          <w:sz w:val="24"/>
          <w:szCs w:val="24"/>
          <w:highlight w:val="none"/>
        </w:rPr>
      </w:pPr>
      <w:r/>
      <w:bookmarkEnd w:id="1"/>
      <w:r>
        <w:rPr>
          <w:rFonts w:hint="eastAsia" w:ascii="宋体" w:hAnsi="宋体" w:eastAsia="宋体" w:cs="宋体"/>
          <w:b/>
          <w:color w:val="000000"/>
          <w:sz w:val="24"/>
          <w:szCs w:val="24"/>
          <w:highlight w:val="none"/>
        </w:rPr>
        <w:t xml:space="preserve">第一章 竞争性磋商邀请函</w:t>
      </w:r>
      <w:r>
        <w:rPr>
          <w:rFonts w:hint="eastAsia" w:ascii="宋体" w:hAnsi="宋体" w:eastAsia="宋体" w:cs="宋体"/>
          <w:b/>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苏州正杰招投标咨询服务有限公司受</w:t>
      </w:r>
      <w:r>
        <w:rPr>
          <w:rFonts w:hint="eastAsia" w:ascii="宋体" w:hAnsi="宋体" w:eastAsia="宋体" w:cs="宋体"/>
          <w:color w:val="000000"/>
          <w:sz w:val="24"/>
          <w:szCs w:val="24"/>
          <w:highlight w:val="none"/>
          <w:lang w:eastAsia="zh-CN"/>
        </w:rPr>
        <w:t xml:space="preserve">苏州市姑苏区教育体育和文化旅游委员会</w:t>
      </w:r>
      <w:r>
        <w:rPr>
          <w:rFonts w:hint="eastAsia" w:ascii="宋体" w:hAnsi="宋体" w:eastAsia="宋体" w:cs="宋体"/>
          <w:color w:val="000000"/>
          <w:sz w:val="24"/>
          <w:szCs w:val="24"/>
          <w:highlight w:val="none"/>
        </w:rPr>
        <w:t xml:space="preserve">的委托，就其所需的</w:t>
      </w:r>
      <w:r>
        <w:rPr>
          <w:rFonts w:hint="eastAsia" w:ascii="宋体" w:hAnsi="宋体" w:eastAsia="宋体" w:cs="宋体"/>
          <w:color w:val="000000"/>
          <w:sz w:val="24"/>
          <w:szCs w:val="24"/>
          <w:highlight w:val="none"/>
          <w:lang w:eastAsia="zh-CN"/>
        </w:rPr>
        <w:t xml:space="preserve">2026年姑苏智慧教育云运营服务</w:t>
      </w:r>
      <w:r>
        <w:rPr>
          <w:rFonts w:hint="eastAsia" w:ascii="宋体" w:hAnsi="宋体" w:eastAsia="宋体" w:cs="宋体"/>
          <w:color w:val="000000"/>
          <w:sz w:val="24"/>
          <w:szCs w:val="24"/>
          <w:highlight w:val="none"/>
        </w:rPr>
        <w:t xml:space="preserve">项目以竞争性磋商方式组织政府采购，欢迎符合条件的供应商参加。</w:t>
      </w:r>
      <w:r>
        <w:rPr>
          <w:rFonts w:hint="eastAsia" w:ascii="宋体" w:hAnsi="宋体" w:eastAsia="宋体" w:cs="宋体"/>
          <w:color w:val="000000"/>
          <w:sz w:val="24"/>
          <w:szCs w:val="24"/>
          <w:highlight w:val="none"/>
        </w:rPr>
      </w:r>
      <w:r/>
    </w:p>
    <w:p>
      <w:pPr>
        <w:pStyle w:val="943"/>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一、项目基本情况</w:t>
      </w:r>
      <w:r>
        <w:rPr>
          <w:rFonts w:hint="eastAsia" w:ascii="宋体" w:hAnsi="宋体" w:eastAsia="宋体" w:cs="宋体"/>
          <w:b/>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JSZC-320508-SZZJ-C2026-0032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2026年姑苏智慧教育云运营服务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采购方式：竞争性磋商。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rPr>
        <w:t xml:space="preserve">人民币壹佰叁拾捌万捌仟伍佰元整（￥1,</w:t>
      </w:r>
      <w:r>
        <w:rPr>
          <w:rFonts w:hint="eastAsia" w:ascii="宋体" w:hAnsi="宋体" w:eastAsia="宋体" w:cs="宋体"/>
          <w:color w:val="000000"/>
          <w:sz w:val="24"/>
          <w:szCs w:val="24"/>
          <w:highlight w:val="none"/>
          <w:lang w:val="en-US" w:eastAsia="zh-CN"/>
        </w:rPr>
        <w:t xml:space="preserve">388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00.00元）。</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rPr>
        <w:t xml:space="preserve">人民币壹佰叁拾捌万捌仟伍佰元整（￥1,</w:t>
      </w:r>
      <w:r>
        <w:rPr>
          <w:rFonts w:hint="eastAsia" w:ascii="宋体" w:hAnsi="宋体" w:eastAsia="宋体" w:cs="宋体"/>
          <w:color w:val="000000"/>
          <w:sz w:val="24"/>
          <w:szCs w:val="24"/>
          <w:highlight w:val="none"/>
          <w:lang w:val="en-US" w:eastAsia="zh-CN"/>
        </w:rPr>
        <w:t xml:space="preserve">388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00.00元）。</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1、标的的名称：</w:t>
      </w:r>
      <w:r>
        <w:rPr>
          <w:rFonts w:hint="eastAsia" w:ascii="宋体" w:hAnsi="宋体" w:eastAsia="宋体" w:cs="宋体"/>
          <w:color w:val="000000"/>
          <w:sz w:val="24"/>
          <w:szCs w:val="24"/>
          <w:highlight w:val="none"/>
          <w:lang w:eastAsia="zh-CN"/>
        </w:rPr>
        <w:t xml:space="preserve">2026年姑苏智慧教育云运营服务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2、数量：1项。</w:t>
      </w:r>
      <w:r>
        <w:rPr>
          <w:rFonts w:hint="eastAsia" w:ascii="宋体" w:hAnsi="宋体" w:eastAsia="宋体" w:cs="宋体"/>
          <w:color w:val="000000"/>
          <w:sz w:val="24"/>
          <w:szCs w:val="24"/>
          <w:highlight w:val="none"/>
        </w:rPr>
      </w:r>
      <w:r/>
    </w:p>
    <w:p>
      <w:pPr>
        <w:pStyle w:val="943"/>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3、简要技术需求或服务要求等：</w:t>
      </w:r>
      <w:r>
        <w:rPr>
          <w:rFonts w:hint="eastAsia" w:ascii="宋体" w:hAnsi="宋体" w:eastAsia="宋体" w:cs="宋体"/>
          <w:bCs/>
          <w:color w:val="000000"/>
          <w:sz w:val="24"/>
          <w:szCs w:val="24"/>
          <w:highlight w:val="none"/>
        </w:rPr>
        <w:t xml:space="preserve">保障姑苏智慧教育云平台正常运行，提供数据中台、学业大数据及决策数据运营服务，提供平台各业务模块的阶段运营工作。具体详见采购文件采购需求。</w:t>
      </w:r>
      <w:r>
        <w:rPr>
          <w:rFonts w:hint="eastAsia" w:ascii="宋体" w:hAnsi="宋体" w:eastAsia="宋体" w:cs="宋体"/>
          <w:color w:val="000000"/>
          <w:sz w:val="24"/>
          <w:szCs w:val="24"/>
          <w:highlight w:val="none"/>
        </w:rPr>
      </w:r>
      <w:r/>
    </w:p>
    <w:p>
      <w:pPr>
        <w:pStyle w:val="969"/>
        <w:ind w:left="0"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合同</w:t>
      </w:r>
      <w:r>
        <w:rPr>
          <w:rFonts w:hint="eastAsia" w:ascii="宋体" w:hAnsi="宋体" w:eastAsia="宋体" w:cs="宋体"/>
          <w:color w:val="000000"/>
          <w:sz w:val="24"/>
          <w:szCs w:val="24"/>
          <w:highlight w:val="none"/>
        </w:rPr>
        <w:t xml:space="preserve">履行期限：自合同签订之日起壹年。</w:t>
      </w:r>
      <w:r>
        <w:rPr>
          <w:rFonts w:hint="eastAsia" w:ascii="宋体" w:hAnsi="宋体" w:eastAsia="宋体" w:cs="宋体"/>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w:t>
      </w:r>
      <w:r>
        <w:rPr>
          <w:rFonts w:hint="eastAsia" w:ascii="宋体" w:hAnsi="宋体" w:eastAsia="宋体" w:cs="宋体"/>
          <w:color w:val="000000"/>
          <w:sz w:val="24"/>
          <w:szCs w:val="24"/>
          <w:highlight w:val="none"/>
        </w:rPr>
      </w:r>
      <w:r/>
    </w:p>
    <w:p>
      <w:pPr>
        <w:pStyle w:val="943"/>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二、申请人的资格要求：</w:t>
      </w:r>
      <w:r>
        <w:rPr>
          <w:rFonts w:hint="eastAsia" w:ascii="宋体" w:hAnsi="宋体" w:eastAsia="宋体" w:cs="宋体"/>
          <w:b/>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（5）参加政府采购活动前三年内，在经营活动中没有重大违法记录；</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（6）法律、行政法规规定的其他条件。</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b/>
          <w:bCs/>
          <w:color w:val="000000"/>
          <w:sz w:val="24"/>
          <w:szCs w:val="24"/>
          <w:highlight w:val="none"/>
        </w:rPr>
        <w:t xml:space="preserve">根据《政府采购促进中小企业发展管理办法》的相关规定，本项目</w:t>
      </w:r>
      <w:r>
        <w:rPr>
          <w:rFonts w:hint="eastAsia" w:ascii="宋体" w:hAnsi="宋体" w:eastAsia="宋体" w:cs="宋体"/>
          <w:b/>
          <w:bCs/>
          <w:color w:val="000000"/>
          <w:sz w:val="24"/>
          <w:szCs w:val="24"/>
          <w:highlight w:val="none"/>
        </w:rPr>
        <w:t xml:space="preserve">专门面向中小企业</w:t>
      </w:r>
      <w:r>
        <w:rPr>
          <w:rFonts w:hint="eastAsia" w:ascii="宋体" w:hAnsi="宋体" w:eastAsia="宋体" w:cs="宋体"/>
          <w:b/>
          <w:bCs/>
          <w:color w:val="000000"/>
          <w:sz w:val="24"/>
          <w:szCs w:val="24"/>
          <w:highlight w:val="none"/>
        </w:rPr>
        <w:t xml:space="preserve">，所属行业为</w:t>
      </w:r>
      <w:r>
        <w:rPr>
          <w:rFonts w:hint="eastAsia" w:ascii="宋体" w:hAnsi="宋体" w:eastAsia="宋体" w:cs="宋体"/>
          <w:b/>
          <w:bCs/>
          <w:color w:val="000000"/>
          <w:sz w:val="24"/>
          <w:szCs w:val="24"/>
          <w:highlight w:val="none"/>
          <w:lang w:eastAsia="zh-CN"/>
        </w:rPr>
        <w:t xml:space="preserve">软件和信息技术服务业</w:t>
      </w:r>
      <w:r>
        <w:rPr>
          <w:rFonts w:hint="eastAsia" w:ascii="宋体" w:hAnsi="宋体" w:eastAsia="宋体" w:cs="宋体"/>
          <w:b/>
          <w:bCs/>
          <w:color w:val="000000"/>
          <w:sz w:val="24"/>
          <w:szCs w:val="24"/>
          <w:highlight w:val="none"/>
        </w:rPr>
        <w:t xml:space="preserve">，供应商应为中小微企业、监狱企业、残疾人福利性单位。</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3、本项目的特定资格要求：无。</w:t>
      </w:r>
      <w:r>
        <w:rPr>
          <w:rFonts w:hint="eastAsia" w:ascii="宋体" w:hAnsi="宋体" w:eastAsia="宋体" w:cs="宋体"/>
          <w:color w:val="000000"/>
          <w:sz w:val="24"/>
          <w:szCs w:val="24"/>
          <w:highlight w:val="none"/>
        </w:rPr>
      </w:r>
      <w:r/>
    </w:p>
    <w:p>
      <w:pPr>
        <w:pStyle w:val="943"/>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三、获取采购文件</w:t>
      </w:r>
      <w:r>
        <w:rPr>
          <w:rFonts w:hint="eastAsia" w:ascii="宋体" w:hAnsi="宋体" w:eastAsia="宋体" w:cs="宋体"/>
          <w:b/>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时间：自磋商文件公告发布之日起5个工作日。</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地点：“苏采云”系统自行下载采购文件。</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方式（网上报名）：</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（1）CA办理：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（2）参与采购活动：</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color w:val="000000"/>
          <w:sz w:val="24"/>
          <w:szCs w:val="24"/>
          <w:highlight w:val="none"/>
        </w:rPr>
      </w:r>
      <w:r/>
    </w:p>
    <w:p>
      <w:pPr>
        <w:pStyle w:val="96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（3）电子投标准备：</w:t>
      </w:r>
      <w:r>
        <w:rPr>
          <w:rFonts w:hint="eastAsia" w:ascii="宋体" w:hAnsi="宋体" w:eastAsia="宋体" w:cs="宋体"/>
          <w:color w:val="000000"/>
          <w:szCs w:val="24"/>
          <w:highlight w:val="none"/>
        </w:rPr>
      </w:r>
      <w:r/>
    </w:p>
    <w:p>
      <w:pPr>
        <w:pStyle w:val="96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eastAsia="宋体" w:cs="宋体"/>
          <w:color w:val="000000"/>
          <w:szCs w:val="24"/>
          <w:highlight w:val="none"/>
        </w:rPr>
      </w:r>
      <w:r/>
    </w:p>
    <w:p>
      <w:pPr>
        <w:pStyle w:val="96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在系统操作过程中如有疑问，请按以下方式联系：</w:t>
      </w:r>
      <w:r>
        <w:rPr>
          <w:rFonts w:hint="eastAsia" w:ascii="宋体" w:hAnsi="宋体" w:eastAsia="宋体" w:cs="宋体"/>
          <w:color w:val="000000"/>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注册咨询：13914088964；</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CA技术咨询服务电话：400-608-6099；</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电子签章技术咨询服务电话025-83633811、025-83633812、15380932027、15371015030；</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苏州市及区县“苏采云”系统使用指导与咨询：联系电话：13914088964、0512-69820854；智能客服：登录苏采云系统后，联系系统右下方智能客服图标进行咨询。</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售价：本项目免费下载电子采购文件。</w:t>
      </w:r>
      <w:r>
        <w:rPr>
          <w:rFonts w:hint="eastAsia" w:ascii="宋体" w:hAnsi="宋体" w:eastAsia="宋体" w:cs="宋体"/>
          <w:color w:val="000000"/>
          <w:sz w:val="24"/>
          <w:szCs w:val="24"/>
          <w:highlight w:val="none"/>
        </w:rPr>
      </w:r>
      <w:r/>
    </w:p>
    <w:p>
      <w:pPr>
        <w:pStyle w:val="943"/>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四、响应文件提交</w:t>
      </w:r>
      <w:r>
        <w:rPr>
          <w:rFonts w:hint="eastAsia" w:ascii="宋体" w:hAnsi="宋体" w:eastAsia="宋体" w:cs="宋体"/>
          <w:b/>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1、截止时间：</w:t>
      </w:r>
      <w:r>
        <w:rPr>
          <w:rFonts w:hint="eastAsia" w:ascii="宋体" w:hAnsi="宋体" w:eastAsia="宋体" w:cs="宋体"/>
          <w:b/>
          <w:bCs/>
          <w:color w:val="000000"/>
          <w:sz w:val="24"/>
          <w:szCs w:val="24"/>
          <w:highlight w:val="none"/>
        </w:rPr>
        <w:t xml:space="preserve">2026年</w:t>
      </w:r>
      <w:r>
        <w:rPr>
          <w:rFonts w:hint="eastAsia" w:ascii="宋体" w:hAnsi="宋体" w:eastAsia="宋体" w:cs="宋体"/>
          <w:b/>
          <w:bCs/>
          <w:color w:val="000000"/>
          <w:sz w:val="24"/>
          <w:szCs w:val="24"/>
          <w:highlight w:val="none"/>
        </w:rPr>
        <w:t xml:space="preserve">10月26</w:t>
      </w:r>
      <w:r>
        <w:rPr>
          <w:rFonts w:hint="eastAsia" w:ascii="宋体" w:hAnsi="宋体" w:eastAsia="宋体" w:cs="宋体"/>
          <w:b/>
          <w:bCs/>
          <w:color w:val="000000"/>
          <w:sz w:val="24"/>
          <w:szCs w:val="24"/>
          <w:highlight w:val="none"/>
        </w:rPr>
        <w:t xml:space="preserve">日13点30分</w:t>
      </w:r>
      <w:r>
        <w:rPr>
          <w:rFonts w:hint="eastAsia" w:ascii="宋体" w:hAnsi="宋体" w:eastAsia="宋体" w:cs="宋体"/>
          <w:b/>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96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w:t>
      </w:r>
      <w:r>
        <w:rPr>
          <w:rFonts w:hint="eastAsia" w:ascii="宋体" w:hAnsi="宋体" w:eastAsia="宋体" w:cs="宋体"/>
          <w:color w:val="000000"/>
          <w:szCs w:val="24"/>
          <w:highlight w:val="none"/>
        </w:rPr>
        <w:fldChar w:fldCharType="begin"/>
      </w:r>
      <w:r>
        <w:rPr>
          <w:rFonts w:hint="eastAsia" w:ascii="宋体" w:hAnsi="宋体" w:eastAsia="宋体" w:cs="宋体"/>
          <w:color w:val="000000"/>
          <w:szCs w:val="24"/>
          <w:highlight w:val="none"/>
        </w:rPr>
        <w:instrText xml:space="preserve"> HYPERLINK "http://jszfcg.jsczt.cn/）\“开标大厅\”。" </w:instrText>
      </w:r>
      <w:r>
        <w:rPr>
          <w:rFonts w:hint="eastAsia" w:ascii="宋体" w:hAnsi="宋体" w:eastAsia="宋体" w:cs="宋体"/>
          <w:color w:val="000000"/>
          <w:szCs w:val="24"/>
          <w:highlight w:val="none"/>
        </w:rPr>
        <w:fldChar w:fldCharType="separate"/>
      </w:r>
      <w:r>
        <w:rPr>
          <w:rFonts w:hint="eastAsia" w:ascii="宋体" w:hAnsi="宋体" w:eastAsia="宋体" w:cs="宋体"/>
          <w:color w:val="000000"/>
          <w:szCs w:val="24"/>
          <w:highlight w:val="none"/>
        </w:rPr>
        <w:t xml:space="preserve">http：//jszfcg.jsczt.cn/）。</w:t>
      </w:r>
      <w:r>
        <w:rPr>
          <w:rFonts w:hint="eastAsia" w:ascii="宋体" w:hAnsi="宋体" w:eastAsia="宋体" w:cs="宋体"/>
          <w:color w:val="000000"/>
          <w:szCs w:val="24"/>
          <w:highlight w:val="none"/>
        </w:rPr>
        <w:fldChar w:fldCharType="end"/>
      </w:r>
      <w:r>
        <w:rPr>
          <w:rFonts w:hint="eastAsia" w:ascii="宋体" w:hAnsi="宋体" w:eastAsia="宋体" w:cs="宋体"/>
          <w:color w:val="000000"/>
          <w:szCs w:val="24"/>
          <w:highlight w:val="none"/>
        </w:rPr>
      </w:r>
      <w:r/>
    </w:p>
    <w:p>
      <w:pPr>
        <w:pStyle w:val="96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3、方式：响应文件网上递交，不需要现场参加采购活动。</w:t>
      </w:r>
      <w:r>
        <w:rPr>
          <w:rFonts w:hint="eastAsia" w:ascii="宋体" w:hAnsi="宋体" w:eastAsia="宋体" w:cs="宋体"/>
          <w:color w:val="000000"/>
          <w:szCs w:val="24"/>
          <w:highlight w:val="none"/>
        </w:rPr>
      </w:r>
      <w:r/>
    </w:p>
    <w:p>
      <w:pPr>
        <w:pStyle w:val="969"/>
        <w:ind w:firstLine="48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五、开启</w:t>
      </w:r>
      <w:r>
        <w:rPr>
          <w:rFonts w:hint="eastAsia" w:ascii="宋体" w:hAnsi="宋体" w:eastAsia="宋体" w:cs="宋体"/>
          <w:b/>
          <w:color w:val="000000"/>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w:t>
      </w:r>
      <w:r>
        <w:rPr>
          <w:rFonts w:hint="eastAsia" w:ascii="宋体" w:hAnsi="宋体" w:eastAsia="宋体" w:cs="宋体"/>
          <w:b/>
          <w:bCs/>
          <w:color w:val="000000"/>
          <w:sz w:val="24"/>
          <w:szCs w:val="24"/>
          <w:highlight w:val="none"/>
        </w:rPr>
        <w:t xml:space="preserve">2026年10</w:t>
      </w:r>
      <w:r>
        <w:rPr>
          <w:rFonts w:hint="eastAsia" w:ascii="宋体" w:hAnsi="宋体" w:eastAsia="宋体" w:cs="宋体"/>
          <w:b/>
          <w:bCs/>
          <w:color w:val="000000"/>
          <w:sz w:val="24"/>
          <w:szCs w:val="24"/>
          <w:highlight w:val="none"/>
        </w:rPr>
        <w:t xml:space="preserve">月26</w:t>
      </w:r>
      <w:r>
        <w:rPr>
          <w:rFonts w:hint="eastAsia" w:ascii="宋体" w:hAnsi="宋体" w:eastAsia="宋体" w:cs="宋体"/>
          <w:b/>
          <w:bCs/>
          <w:color w:val="000000"/>
          <w:sz w:val="24"/>
          <w:szCs w:val="24"/>
          <w:highlight w:val="none"/>
        </w:rPr>
        <w:t xml:space="preserve">日13点30分</w:t>
      </w:r>
      <w:r>
        <w:rPr>
          <w:rFonts w:hint="eastAsia" w:ascii="宋体" w:hAnsi="宋体" w:eastAsia="宋体" w:cs="宋体"/>
          <w:b/>
          <w:color w:val="000000"/>
          <w:sz w:val="24"/>
          <w:szCs w:val="24"/>
          <w:highlight w:val="none"/>
        </w:rPr>
        <w:t xml:space="preserve">（北京时间）</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r>
      <w:r/>
    </w:p>
    <w:p>
      <w:pPr>
        <w:pStyle w:val="96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w:t>
      </w:r>
      <w:r>
        <w:rPr>
          <w:rFonts w:hint="eastAsia" w:ascii="宋体" w:hAnsi="宋体" w:eastAsia="宋体" w:cs="宋体"/>
          <w:color w:val="000000"/>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3、线上参加开标（开启）会方式：供应商登录“苏采云”系统，点击“开标大厅”，选择对应项目，点击进入不见面开标系统。 </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本项目为不见面开标（开启）项目，</w:t>
      </w:r>
      <w:r>
        <w:rPr>
          <w:rFonts w:hint="eastAsia" w:ascii="宋体" w:hAnsi="宋体" w:eastAsia="宋体" w:cs="宋体"/>
          <w:b/>
          <w:bCs/>
          <w:color w:val="000000"/>
          <w:sz w:val="24"/>
          <w:szCs w:val="24"/>
          <w:highlight w:val="none"/>
        </w:rPr>
        <w:t xml:space="preserve">开启阶段供应商在【解密环节】必须使用 CA证书解密电子投标（响应）文件，如在“苏采云”系统规定的时间内未能成功解密的视为放弃参与本项目，投标无效。 </w:t>
      </w:r>
      <w:r>
        <w:rPr>
          <w:rFonts w:hint="eastAsia" w:ascii="宋体" w:hAnsi="宋体" w:eastAsia="宋体" w:cs="宋体"/>
          <w:b/>
          <w:bCs/>
          <w:color w:val="000000"/>
          <w:sz w:val="24"/>
          <w:szCs w:val="24"/>
          <w:highlight w:val="none"/>
        </w:rPr>
      </w:r>
      <w:r/>
    </w:p>
    <w:p>
      <w:pPr>
        <w:pStyle w:val="96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请供应商确保电脑、系统及其他设备（视频输入输出设备等）无误，且开启直至项目结束始终保持系统在线状态。</w:t>
      </w:r>
      <w:r>
        <w:rPr>
          <w:rFonts w:hint="eastAsia" w:ascii="宋体" w:hAnsi="宋体" w:eastAsia="宋体" w:cs="宋体"/>
          <w:color w:val="000000"/>
          <w:szCs w:val="24"/>
          <w:highlight w:val="none"/>
        </w:rPr>
      </w:r>
      <w:r/>
    </w:p>
    <w:p>
      <w:pPr>
        <w:pStyle w:val="943"/>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六、公告期限</w:t>
      </w:r>
      <w:r>
        <w:rPr>
          <w:rFonts w:hint="eastAsia" w:ascii="宋体" w:hAnsi="宋体" w:eastAsia="宋体" w:cs="宋体"/>
          <w:b/>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自本公告发布之日起3个工作日。</w:t>
      </w:r>
      <w:r>
        <w:rPr>
          <w:rFonts w:hint="eastAsia" w:ascii="宋体" w:hAnsi="宋体" w:eastAsia="宋体" w:cs="宋体"/>
          <w:color w:val="000000"/>
          <w:sz w:val="24"/>
          <w:szCs w:val="24"/>
          <w:highlight w:val="none"/>
        </w:rPr>
      </w:r>
      <w:r/>
    </w:p>
    <w:p>
      <w:pPr>
        <w:pStyle w:val="943"/>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七、其他补充事宜</w:t>
      </w:r>
      <w:r>
        <w:rPr>
          <w:rFonts w:hint="eastAsia" w:ascii="宋体" w:hAnsi="宋体" w:eastAsia="宋体" w:cs="宋体"/>
          <w:b/>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1、采购项目需要落实的政府采购政策：</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促进中小企业发展管理办法》（财库〔2020〕46号）、《关于做好政府采购支持企业发展有关事项的通知》（苏财购〔2020〕52号）及《关于印发＜苏州市政府采购促进中小企业发展实施意见&gt;的通知》（苏财购〔2022〕16号）的规定。</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《关于政府采购支持监狱企业发展有关问题的通知》（财库〔2014〕68号）。</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《关于促进残疾人就业政府采购政策的通知》（财库〔2017〕141号）。</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根据苏州市财政局《关于深入开展苏州市政府采购合同信用融资业务的通知》相关要求，本项目支持政府采购合同信用融资。</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开评标过程中如有问题采购代理机构工作人员会及时通过报名时在投标确认函模块留存的手机号与供应商联系。此号码在开标截止之前可修改，以响应文件中投标函保存的最新号码为准，请供应商确保该手机号开评标当日通讯畅通，否则导致的对供应商不利的后果由供应商自行承担。</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、如不同供应商使用同一台电脑制作的电子响应文件的，双方“文件制作机器码”一致的，则其响应文件将被认定为无效响应。</w:t>
      </w:r>
      <w:r>
        <w:rPr>
          <w:rFonts w:hint="eastAsia" w:ascii="宋体" w:hAnsi="宋体" w:eastAsia="宋体" w:cs="宋体"/>
          <w:color w:val="000000"/>
          <w:sz w:val="24"/>
          <w:szCs w:val="24"/>
          <w:highlight w:val="none"/>
          <w:lang w:val="zh-CN"/>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、本项目获取采购文件截止日期之后仍可以下载采购文件，但截止日期之后下载的采购文件，视为非有效方式且不作为供应商权益受到损害的证明材料和依据。</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、政府采购监督电话：0512-68616651。</w:t>
      </w:r>
      <w:r>
        <w:rPr>
          <w:rFonts w:hint="eastAsia" w:ascii="宋体" w:hAnsi="宋体" w:eastAsia="宋体" w:cs="宋体"/>
          <w:b/>
          <w:bCs/>
          <w:color w:val="000000"/>
          <w:sz w:val="24"/>
          <w:szCs w:val="24"/>
          <w:highlight w:val="none"/>
        </w:rPr>
      </w:r>
      <w:r/>
    </w:p>
    <w:p>
      <w:pPr>
        <w:pStyle w:val="943"/>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八、凡对本次采购提出询问，请按以下方式联系。</w:t>
      </w:r>
      <w:r>
        <w:rPr>
          <w:rFonts w:hint="eastAsia" w:ascii="宋体" w:hAnsi="宋体" w:eastAsia="宋体" w:cs="宋体"/>
          <w:b/>
          <w:bCs/>
          <w:color w:val="000000"/>
          <w:sz w:val="24"/>
          <w:szCs w:val="24"/>
          <w:highlight w:val="none"/>
        </w:rPr>
      </w:r>
      <w:r/>
    </w:p>
    <w:p>
      <w:pPr>
        <w:pStyle w:val="943"/>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1、采购人信息：</w:t>
      </w:r>
      <w:r>
        <w:rPr>
          <w:rFonts w:ascii="宋体" w:hAnsi="宋体" w:eastAsia="宋体"/>
          <w:color w:val="000000"/>
          <w:sz w:val="24"/>
          <w:szCs w:val="24"/>
          <w:highlight w:val="none"/>
        </w:rPr>
      </w:r>
      <w:r/>
    </w:p>
    <w:p>
      <w:pPr>
        <w:pStyle w:val="943"/>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名称：</w:t>
      </w:r>
      <w:r>
        <w:rPr>
          <w:rFonts w:hint="eastAsia" w:ascii="宋体" w:hAnsi="宋体" w:eastAsia="宋体"/>
          <w:color w:val="000000"/>
          <w:sz w:val="24"/>
          <w:szCs w:val="24"/>
          <w:highlight w:val="none"/>
          <w:lang w:eastAsia="zh-CN"/>
        </w:rPr>
        <w:t xml:space="preserve">苏州市姑苏区教育体育和文化旅游委员会</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943"/>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w:t>
      </w:r>
      <w:r>
        <w:rPr>
          <w:rFonts w:hint="eastAsia" w:ascii="宋体" w:hAnsi="宋体" w:eastAsia="宋体" w:cs="Times New Roman"/>
          <w:color w:val="000000"/>
          <w:sz w:val="24"/>
          <w:szCs w:val="24"/>
          <w:highlight w:val="none"/>
          <w:lang w:eastAsia="zh-CN"/>
        </w:rPr>
        <w:t xml:space="preserve">苏州市姑苏区平川路510号</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943"/>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联系方式：</w:t>
      </w:r>
      <w:r>
        <w:rPr>
          <w:rFonts w:hint="eastAsia" w:ascii="宋体" w:hAnsi="宋体" w:eastAsia="宋体" w:cs="Times New Roman"/>
          <w:color w:val="000000"/>
          <w:sz w:val="24"/>
          <w:szCs w:val="24"/>
          <w:highlight w:val="none"/>
          <w:lang w:eastAsia="zh-CN"/>
        </w:rPr>
        <w:t xml:space="preserve">电话13511605594。</w:t>
      </w:r>
      <w:r>
        <w:rPr>
          <w:rFonts w:ascii="宋体" w:hAnsi="宋体" w:eastAsia="宋体"/>
          <w:color w:val="000000"/>
          <w:sz w:val="24"/>
          <w:szCs w:val="24"/>
          <w:highlight w:val="none"/>
        </w:rPr>
      </w:r>
      <w:r/>
    </w:p>
    <w:p>
      <w:pPr>
        <w:pStyle w:val="943"/>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2、采购代理机构信息：</w:t>
      </w:r>
      <w:r>
        <w:rPr>
          <w:rFonts w:ascii="宋体" w:hAnsi="宋体" w:eastAsia="宋体"/>
          <w:color w:val="000000"/>
          <w:sz w:val="24"/>
          <w:szCs w:val="24"/>
          <w:highlight w:val="none"/>
        </w:rPr>
      </w:r>
      <w:r/>
    </w:p>
    <w:p>
      <w:pPr>
        <w:pStyle w:val="943"/>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名称：苏州正杰招投标咨询服务有限公司。</w:t>
      </w:r>
      <w:r>
        <w:rPr>
          <w:rFonts w:ascii="宋体" w:hAnsi="宋体" w:eastAsia="宋体"/>
          <w:color w:val="000000"/>
          <w:sz w:val="24"/>
          <w:szCs w:val="24"/>
          <w:highlight w:val="none"/>
        </w:rPr>
      </w:r>
      <w:r/>
    </w:p>
    <w:p>
      <w:pPr>
        <w:pStyle w:val="943"/>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地址：苏州市平泷路251号苏州城市生活广场B座1557室。</w:t>
      </w:r>
      <w:r>
        <w:rPr>
          <w:rFonts w:ascii="宋体" w:hAnsi="宋体" w:eastAsia="宋体"/>
          <w:color w:val="000000"/>
          <w:sz w:val="24"/>
          <w:szCs w:val="24"/>
          <w:highlight w:val="none"/>
        </w:rPr>
      </w:r>
      <w:r/>
    </w:p>
    <w:p>
      <w:pPr>
        <w:pStyle w:val="943"/>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联系方式：电话0512-62826523。</w:t>
      </w:r>
      <w:r>
        <w:rPr>
          <w:rFonts w:ascii="宋体" w:hAnsi="宋体" w:eastAsia="宋体"/>
          <w:color w:val="000000"/>
          <w:sz w:val="24"/>
          <w:szCs w:val="24"/>
          <w:highlight w:val="none"/>
        </w:rPr>
      </w:r>
      <w:r/>
    </w:p>
    <w:p>
      <w:pPr>
        <w:pStyle w:val="943"/>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3、项目联系方式</w:t>
      </w:r>
      <w:r>
        <w:rPr>
          <w:rFonts w:ascii="宋体" w:hAnsi="宋体" w:eastAsia="宋体"/>
          <w:color w:val="000000"/>
          <w:sz w:val="24"/>
          <w:szCs w:val="24"/>
          <w:highlight w:val="none"/>
        </w:rPr>
      </w:r>
      <w:r/>
    </w:p>
    <w:p>
      <w:pPr>
        <w:pStyle w:val="943"/>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（1）采购人：</w:t>
      </w:r>
      <w:r>
        <w:rPr>
          <w:rFonts w:ascii="宋体" w:hAnsi="宋体" w:eastAsia="宋体"/>
          <w:color w:val="000000"/>
          <w:sz w:val="24"/>
          <w:szCs w:val="24"/>
          <w:highlight w:val="none"/>
        </w:rPr>
      </w:r>
      <w:r/>
    </w:p>
    <w:p>
      <w:pPr>
        <w:pStyle w:val="943"/>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项目联系人：沈敏华。</w:t>
      </w:r>
      <w:r>
        <w:rPr>
          <w:rFonts w:hint="eastAsia" w:ascii="宋体" w:hAnsi="宋体" w:eastAsia="宋体" w:cs="Times New Roman"/>
          <w:color w:val="000000"/>
          <w:sz w:val="24"/>
          <w:szCs w:val="24"/>
          <w:highlight w:val="none"/>
        </w:rPr>
      </w:r>
      <w:r/>
    </w:p>
    <w:p>
      <w:pPr>
        <w:pStyle w:val="943"/>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电话：</w:t>
      </w:r>
      <w:r>
        <w:rPr>
          <w:rFonts w:hint="eastAsia" w:ascii="宋体" w:hAnsi="宋体" w:eastAsia="宋体" w:cs="Times New Roman"/>
          <w:color w:val="000000"/>
          <w:sz w:val="24"/>
          <w:szCs w:val="24"/>
          <w:highlight w:val="none"/>
          <w:lang w:eastAsia="zh-CN"/>
        </w:rPr>
        <w:t xml:space="preserve">13511605594</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943"/>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（2）采购代理机构：</w:t>
      </w:r>
      <w:r>
        <w:rPr>
          <w:rFonts w:ascii="宋体" w:hAnsi="宋体" w:eastAsia="宋体"/>
          <w:color w:val="000000"/>
          <w:sz w:val="24"/>
          <w:szCs w:val="24"/>
          <w:highlight w:val="none"/>
        </w:rPr>
      </w:r>
      <w:r/>
    </w:p>
    <w:p>
      <w:pPr>
        <w:pStyle w:val="943"/>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项目联系人：</w:t>
      </w:r>
      <w:r>
        <w:rPr>
          <w:rFonts w:hint="eastAsia" w:ascii="宋体" w:hAnsi="宋体" w:eastAsia="宋体" w:cs="宋体"/>
          <w:color w:val="000000"/>
          <w:sz w:val="24"/>
          <w:szCs w:val="24"/>
          <w:highlight w:val="none"/>
        </w:rPr>
        <w:t xml:space="preserve">沈鹰、陈晓梦、徐杰、刘木兰</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977"/>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olor w:val="000000"/>
          <w:sz w:val="24"/>
          <w:szCs w:val="24"/>
          <w:highlight w:val="none"/>
        </w:rPr>
        <w:t xml:space="preserve">电话：0512-62826523。</w:t>
      </w:r>
      <w:r>
        <w:rPr>
          <w:rFonts w:hint="eastAsia" w:ascii="宋体" w:hAnsi="宋体" w:eastAsia="宋体" w:cs="宋体"/>
          <w:b/>
          <w:bCs/>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numPr>
          <w:ilvl w:val="0"/>
          <w:numId w:val="1"/>
        </w:num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响应须知</w:t>
      </w:r>
      <w:r>
        <w:rPr>
          <w:rFonts w:hint="eastAsia" w:ascii="宋体" w:hAnsi="宋体" w:eastAsia="宋体" w:cs="宋体"/>
          <w:b/>
          <w:bCs/>
          <w:color w:val="000000"/>
          <w:sz w:val="24"/>
          <w:szCs w:val="24"/>
          <w:highlight w:val="none"/>
        </w:rPr>
      </w:r>
      <w:r/>
    </w:p>
    <w:p>
      <w:pPr>
        <w:pStyle w:val="977"/>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1、总则</w:t>
      </w:r>
      <w:r>
        <w:rPr>
          <w:rFonts w:hint="eastAsia" w:ascii="宋体" w:hAnsi="宋体" w:eastAsia="宋体" w:cs="宋体"/>
          <w:b/>
          <w:bCs/>
          <w:color w:val="000000"/>
          <w:sz w:val="24"/>
          <w:szCs w:val="24"/>
          <w:highlight w:val="none"/>
        </w:rPr>
      </w:r>
      <w:r/>
    </w:p>
    <w:p>
      <w:pPr>
        <w:pStyle w:val="943"/>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1.1响应单位资格要求</w:t>
      </w:r>
      <w:r>
        <w:rPr>
          <w:rFonts w:hint="eastAsia" w:ascii="宋体" w:hAnsi="宋体" w:eastAsia="宋体" w:cs="宋体"/>
          <w:b/>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1.1.1详见第一章</w:t>
      </w:r>
      <w:r>
        <w:rPr>
          <w:rFonts w:hint="eastAsia" w:ascii="宋体" w:hAnsi="宋体" w:eastAsia="宋体" w:cs="宋体"/>
          <w:bCs/>
          <w:color w:val="000000"/>
          <w:sz w:val="24"/>
          <w:szCs w:val="24"/>
          <w:highlight w:val="none"/>
        </w:rPr>
        <w:t xml:space="preserve">竞争性磋商邀请函</w:t>
      </w:r>
      <w:r>
        <w:rPr>
          <w:rFonts w:hint="eastAsia" w:ascii="宋体" w:hAnsi="宋体" w:eastAsia="宋体" w:cs="宋体"/>
          <w:color w:val="000000"/>
          <w:sz w:val="24"/>
          <w:szCs w:val="24"/>
          <w:highlight w:val="none"/>
        </w:rPr>
        <w:t xml:space="preserve">中“二、申请人的资格要求”。</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1.1.2响应单位不得存在下列情形之一：</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（1）苏州市财政局《关于印发苏州市市级政府采购信用记录查询和使用工作试行办法的通知》（苏财购（2017）11号）文件规定应拒绝的失信信息。</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（2）为采购项目提供整体设计、规范编制或者项目管理、监理、监测等服务的供应商，不得再参加该采购项目的其他采购活动；本项目的此类供应商是：无。</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1.1.3联合体投标：若第一章竞争性磋商邀请函规定接受联合体投标的，联合体除应符合上述资格要求外，还应遵守以下规定：</w:t>
      </w:r>
      <w:r>
        <w:rPr>
          <w:rFonts w:hint="eastAsia" w:ascii="宋体" w:hAnsi="宋体" w:eastAsia="宋体" w:cs="宋体"/>
          <w:color w:val="000000"/>
          <w:sz w:val="24"/>
          <w:szCs w:val="24"/>
          <w:highlight w:val="none"/>
        </w:rPr>
      </w:r>
      <w:r/>
    </w:p>
    <w:p>
      <w:pPr>
        <w:pStyle w:val="943"/>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（1）联合体各方应当向采购人提交联合体协议书，载明联合体各方承担的工作和义务，否则投标无效。</w:t>
      </w:r>
      <w:r>
        <w:rPr>
          <w:rFonts w:hint="eastAsia" w:ascii="宋体" w:hAnsi="宋体" w:eastAsia="宋体" w:cs="宋体"/>
          <w:b/>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（2）联合体中有同类资质的供应商按照联合体分工承担相同工作的，应当按照资质等级较低的供应商确定资质等级。</w:t>
      </w:r>
      <w:r>
        <w:rPr>
          <w:rFonts w:hint="eastAsia" w:ascii="宋体" w:hAnsi="宋体" w:eastAsia="宋体" w:cs="宋体"/>
          <w:color w:val="000000"/>
          <w:sz w:val="24"/>
          <w:szCs w:val="24"/>
          <w:highlight w:val="none"/>
        </w:rPr>
      </w:r>
      <w:r/>
    </w:p>
    <w:p>
      <w:pPr>
        <w:pStyle w:val="943"/>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（3）联合体各方不得再单独参加或者与其他供应商另外组成联合体参加同一合同项下的政府采购活动，否则各相关投标均无效。</w:t>
      </w:r>
      <w:r>
        <w:rPr>
          <w:rFonts w:hint="eastAsia" w:ascii="宋体" w:hAnsi="宋体" w:eastAsia="宋体" w:cs="宋体"/>
          <w:b/>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（4）联合体各方应当共同与采购人签订采购合同，就采购合同约定的事项对采购人承担连带责任。</w:t>
      </w:r>
      <w:r>
        <w:rPr>
          <w:rFonts w:hint="eastAsia" w:ascii="宋体" w:hAnsi="宋体" w:eastAsia="宋体" w:cs="宋体"/>
          <w:color w:val="000000"/>
          <w:sz w:val="24"/>
          <w:szCs w:val="24"/>
          <w:highlight w:val="none"/>
        </w:rPr>
      </w:r>
      <w:r/>
    </w:p>
    <w:p>
      <w:pPr>
        <w:pStyle w:val="943"/>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 转包</w:t>
      </w:r>
      <w:r>
        <w:rPr>
          <w:rFonts w:hint="eastAsia" w:ascii="宋体" w:hAnsi="宋体" w:eastAsia="宋体" w:cs="宋体"/>
          <w:b/>
          <w:bCs/>
          <w:color w:val="000000"/>
          <w:sz w:val="24"/>
          <w:szCs w:val="24"/>
          <w:highlight w:val="none"/>
        </w:rPr>
      </w:r>
      <w:r/>
    </w:p>
    <w:p>
      <w:pPr>
        <w:pStyle w:val="943"/>
        <w:ind w:left="525"/>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本项目不允许转包。</w:t>
      </w:r>
      <w:r>
        <w:rPr>
          <w:rFonts w:hint="eastAsia" w:ascii="宋体" w:hAnsi="宋体" w:eastAsia="宋体" w:cs="宋体"/>
          <w:color w:val="000000"/>
          <w:sz w:val="24"/>
          <w:szCs w:val="24"/>
          <w:highlight w:val="none"/>
        </w:rPr>
      </w:r>
      <w:r/>
    </w:p>
    <w:p>
      <w:pPr>
        <w:pStyle w:val="943"/>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1.3投标费用</w:t>
      </w:r>
      <w:r>
        <w:rPr>
          <w:rFonts w:hint="eastAsia" w:ascii="宋体" w:hAnsi="宋体" w:eastAsia="宋体" w:cs="宋体"/>
          <w:b/>
          <w:bCs/>
          <w:color w:val="000000"/>
          <w:sz w:val="24"/>
          <w:szCs w:val="24"/>
          <w:highlight w:val="none"/>
        </w:rPr>
      </w:r>
      <w:r/>
    </w:p>
    <w:p>
      <w:pPr>
        <w:pStyle w:val="943"/>
        <w:ind w:left="525"/>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1.3.1供应商应自行承担所有准备及参加投标的相关费用。</w:t>
      </w:r>
      <w:r>
        <w:rPr>
          <w:rFonts w:hint="eastAsia" w:ascii="宋体" w:hAnsi="宋体" w:eastAsia="宋体" w:cs="宋体"/>
          <w:color w:val="000000"/>
          <w:sz w:val="24"/>
          <w:szCs w:val="24"/>
          <w:highlight w:val="none"/>
        </w:rPr>
      </w:r>
      <w:r/>
    </w:p>
    <w:p>
      <w:pPr>
        <w:pStyle w:val="943"/>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 保密</w:t>
      </w:r>
      <w:r>
        <w:rPr>
          <w:rFonts w:hint="eastAsia" w:ascii="宋体" w:hAnsi="宋体" w:eastAsia="宋体" w:cs="宋体"/>
          <w:b/>
          <w:bCs/>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参与采购活动的各方应对采购文件和响应文件中的商业和技术等秘密保密，否则应承担相应的法律责任。</w:t>
      </w:r>
      <w:r>
        <w:rPr>
          <w:rFonts w:hint="eastAsia" w:ascii="宋体" w:hAnsi="宋体" w:eastAsia="宋体" w:cs="宋体"/>
          <w:color w:val="000000"/>
          <w:sz w:val="24"/>
          <w:szCs w:val="24"/>
          <w:highlight w:val="none"/>
        </w:rPr>
      </w:r>
      <w:r/>
    </w:p>
    <w:p>
      <w:pPr>
        <w:pStyle w:val="943"/>
        <w:ind w:left="525"/>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 语言文字</w:t>
      </w:r>
      <w:r>
        <w:rPr>
          <w:rFonts w:hint="eastAsia" w:ascii="宋体" w:hAnsi="宋体" w:eastAsia="宋体" w:cs="宋体"/>
          <w:b/>
          <w:bCs/>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采购文件响应文件使用的语言文字为中文。使用外文的，应附有中文注释或译本，对不同文本响应文件的解释发生异议的，以中文文本为准。因未附注释或译本引起的对供应商不利的后果由供应商自行承担。</w:t>
      </w:r>
      <w:r>
        <w:rPr>
          <w:rFonts w:hint="eastAsia" w:ascii="宋体" w:hAnsi="宋体" w:eastAsia="宋体" w:cs="宋体"/>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1.6计量单位</w:t>
      </w:r>
      <w:r>
        <w:rPr>
          <w:rFonts w:hint="eastAsia" w:ascii="宋体" w:hAnsi="宋体" w:eastAsia="宋体" w:cs="宋体"/>
          <w:b/>
          <w:bCs/>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除采购文件有特殊要求外，所有计量均采用中华人民共和国法定计量单位。</w:t>
      </w:r>
      <w:r>
        <w:rPr>
          <w:rFonts w:hint="eastAsia" w:ascii="宋体" w:hAnsi="宋体" w:eastAsia="宋体" w:cs="宋体"/>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1.7知识产权</w:t>
      </w:r>
      <w:r>
        <w:rPr>
          <w:rFonts w:hint="eastAsia" w:ascii="宋体" w:hAnsi="宋体" w:eastAsia="宋体" w:cs="宋体"/>
          <w:b/>
          <w:bCs/>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rPr>
          <w:rFonts w:hint="eastAsia" w:ascii="宋体" w:hAnsi="宋体" w:eastAsia="宋体" w:cs="宋体"/>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2.采购文件的说明</w:t>
      </w:r>
      <w:r>
        <w:rPr>
          <w:rFonts w:hint="eastAsia" w:ascii="宋体" w:hAnsi="宋体" w:eastAsia="宋体" w:cs="宋体"/>
          <w:b/>
          <w:bCs/>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2.1采购文件的获取</w:t>
      </w:r>
      <w:r>
        <w:rPr>
          <w:rFonts w:hint="eastAsia" w:ascii="宋体" w:hAnsi="宋体" w:eastAsia="宋体" w:cs="宋体"/>
          <w:b/>
          <w:bCs/>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见第一章竞争性磋商邀请函。</w:t>
      </w:r>
      <w:r>
        <w:rPr>
          <w:rFonts w:hint="eastAsia" w:ascii="宋体" w:hAnsi="宋体" w:eastAsia="宋体" w:cs="宋体"/>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2.2采购文件的询问</w:t>
      </w:r>
      <w:r>
        <w:rPr>
          <w:rFonts w:hint="eastAsia" w:ascii="宋体" w:hAnsi="宋体" w:eastAsia="宋体" w:cs="宋体"/>
          <w:b/>
          <w:bCs/>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供应商在收到磋商文件后，若有问题需要询问，应于下载磋商文件后，可通过公告中的联系方式及时提出，采购人或采购代理机构将予以解答。</w:t>
      </w:r>
      <w:r>
        <w:rPr>
          <w:rFonts w:hint="eastAsia" w:ascii="宋体" w:hAnsi="宋体" w:eastAsia="宋体" w:cs="宋体"/>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2.3采购文件的澄清或修改</w:t>
      </w:r>
      <w:r>
        <w:rPr>
          <w:rFonts w:hint="eastAsia" w:ascii="宋体" w:hAnsi="宋体" w:eastAsia="宋体" w:cs="宋体"/>
          <w:b/>
          <w:bCs/>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采购人或采购代理机构无论出于自己的考虑，还是出于对供应商提问的澄清，均可对已发出的采购文件用补充通知（包括更正公告）的方式进行澄清或者修改，并通过苏州市政府采购网对外进行发布，但不得改变采购标的和资格条件。澄清或者修改的内容作为采购文件的组成部分，对所有供应商具有约束力。</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2.3.2为保证供应商有足够时间修正响应文件，或出于其他合理原因，采购人或采购代理机构可依法顺延响应截止时间和开启时间。</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2.3.4采购文件的澄清、修改、补充等内容均以苏州市政府采购网上发布的内容为准。</w:t>
      </w:r>
      <w:r>
        <w:rPr>
          <w:rFonts w:hint="eastAsia" w:ascii="宋体" w:hAnsi="宋体" w:eastAsia="宋体" w:cs="宋体"/>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3.响应文件说明</w:t>
      </w:r>
      <w:r>
        <w:rPr>
          <w:rFonts w:hint="eastAsia" w:ascii="宋体" w:hAnsi="宋体" w:eastAsia="宋体" w:cs="宋体"/>
          <w:b/>
          <w:bCs/>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响应单位应详细阅读采购文件的全部内容，不按采购文件的要求提供的响应文件和资料，其风险由响应单位自行承担，并根据有关条款规定，可能导致响应无效。</w:t>
      </w:r>
      <w:r>
        <w:rPr>
          <w:rFonts w:hint="eastAsia" w:ascii="宋体" w:hAnsi="宋体" w:eastAsia="宋体" w:cs="宋体"/>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3.1磋商保证金：无。</w:t>
      </w:r>
      <w:r>
        <w:rPr>
          <w:rFonts w:hint="eastAsia" w:ascii="宋体" w:hAnsi="宋体" w:eastAsia="宋体" w:cs="宋体"/>
          <w:b/>
          <w:bCs/>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3.2响应文件的组成</w:t>
      </w:r>
      <w:r>
        <w:rPr>
          <w:rFonts w:hint="eastAsia" w:ascii="宋体" w:hAnsi="宋体" w:eastAsia="宋体" w:cs="宋体"/>
          <w:b/>
          <w:bCs/>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3.2.1封面；</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3.2.2开标一览表（格式见第三章）；</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3.2.3磋商响应明细报价表（格式见第三章）；</w:t>
      </w:r>
      <w:r>
        <w:rPr>
          <w:rFonts w:hint="eastAsia" w:ascii="宋体" w:hAnsi="宋体" w:eastAsia="宋体" w:cs="宋体"/>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3.2.4资格审查响应文件：</w:t>
      </w:r>
      <w:r>
        <w:rPr>
          <w:rFonts w:hint="eastAsia" w:ascii="宋体" w:hAnsi="宋体" w:eastAsia="宋体" w:cs="宋体"/>
          <w:b/>
          <w:bCs/>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3.2.4.1供应商的资格要求：</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（1）具有独立承担民事责任的能力的材料复印件：包括法人或者其他组织的营业执照等证明文件，自然人的身份证明；</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（2）具有良好的商业信誉和健全的财务会计制度的材料：包括但不限于法人提供2025年度经审计的财务报告或基本开户银行在本年度内出具的资信证明复印件；</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（3）具有履行合同所必需的设备和专业技术能力的证明材料复印件或承诺；</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（5）参加政府采购活动前三年内，在经营活动中没有出现重大违法记录的书面声明函；</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（6）按照相关法律法规参与本项目所必须取得国家有关主管部门的行政许可证明资料复印件（如有须提供）；</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（7）《中小企业声明函》或《残疾人福利性单位声明函》或由省级以上监狱管理局、戒毒管理局（含新疆生产建设兵团）出具的属于监狱企业的证明文件；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3.2.4.2其他有关资格证明的文件（若有）。</w:t>
      </w:r>
      <w:r>
        <w:rPr>
          <w:rFonts w:hint="eastAsia" w:ascii="宋体" w:hAnsi="宋体" w:eastAsia="宋体" w:cs="宋体"/>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3.2.5符合性审查响应文件：</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3.2.5.1磋商响应函（格式见第三章）；</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3.2.5.2关于资格文件的声明函（格式见第三章）；</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3.2.5.3法定代表人身份证复印件；</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3.2.5.4法定代表人授权委托书及授权委托人身份证复印件（如有授权，格式见第三章）；</w:t>
      </w:r>
      <w:r>
        <w:rPr>
          <w:rFonts w:hint="eastAsia" w:ascii="宋体" w:hAnsi="宋体" w:eastAsia="宋体" w:cs="宋体"/>
          <w:b/>
          <w:bCs/>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3.2.5.5未被“信用中国”及“中国政府采购网”列入失信被执行人、重大税收违法案件当事人名单、政府采购严重失信行为记录名单的查询记录页面截图；</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3.2.5.6对属于《节能产品政府采购品目清单》政府强制采购产品的，须提供该产品有效期内的认证等相关证明材料（若有）；</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3.2.5.7其他有关符合性证明的文件（若有）。</w:t>
      </w:r>
      <w:r>
        <w:rPr>
          <w:rFonts w:hint="eastAsia" w:ascii="宋体" w:hAnsi="宋体" w:eastAsia="宋体" w:cs="宋体"/>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3.2.6综合评审响应文件（见第六章）；</w:t>
      </w:r>
      <w:r>
        <w:rPr>
          <w:rFonts w:hint="eastAsia" w:ascii="宋体" w:hAnsi="宋体" w:eastAsia="宋体" w:cs="宋体"/>
          <w:b/>
          <w:bCs/>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3.2.7与本次采购相关的其他证明材料。</w:t>
      </w:r>
      <w:r>
        <w:rPr>
          <w:rFonts w:hint="eastAsia" w:ascii="宋体" w:hAnsi="宋体" w:eastAsia="宋体" w:cs="宋体"/>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以上3.2.2-3.2.3项为供应商报价的依据，响应供应商必须提供并加盖电子公章，否则，磋商响应文件将被认定为未实质性响应。</w:t>
      </w:r>
      <w:r>
        <w:rPr>
          <w:rFonts w:hint="eastAsia" w:ascii="宋体" w:hAnsi="宋体" w:eastAsia="宋体" w:cs="宋体"/>
          <w:b/>
          <w:bCs/>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以上3.2.4.1-3.2.4.2项为资格审查提供的资料，是作为对供应商资格审查、质疑身份认定的依据，响应供应商必须提供并加盖电子公章，否则，磋商响应文件将被认定为不符合资格审查要求。</w:t>
      </w:r>
      <w:r>
        <w:rPr>
          <w:rFonts w:hint="eastAsia" w:ascii="宋体" w:hAnsi="宋体" w:eastAsia="宋体" w:cs="宋体"/>
          <w:b/>
          <w:bCs/>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以上3.2.5.1-3.2.5.4为符合性审查必须提供的资料，响应供应商必须提供并加盖电子公章，否则，磋商响应文件将被认定为未实质性响应。</w:t>
      </w:r>
      <w:r>
        <w:rPr>
          <w:rFonts w:hint="eastAsia" w:ascii="宋体" w:hAnsi="宋体" w:eastAsia="宋体" w:cs="宋体"/>
          <w:b/>
          <w:bCs/>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制作电子响应文件时需与响应文件制作软件目录一一对应，将相关资料上传至相应模块。</w:t>
      </w:r>
      <w:r>
        <w:rPr>
          <w:rFonts w:hint="eastAsia" w:ascii="宋体" w:hAnsi="宋体" w:eastAsia="宋体" w:cs="宋体"/>
          <w:b/>
          <w:bCs/>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供应商应保证上传的响应文件完整、清晰可辨认，若因上传资料过小或模糊不清等无法辨认的都视为该资料未提供。</w:t>
      </w:r>
      <w:r>
        <w:rPr>
          <w:rFonts w:hint="eastAsia" w:ascii="宋体" w:hAnsi="宋体" w:eastAsia="宋体" w:cs="宋体"/>
          <w:b/>
          <w:bCs/>
          <w:color w:val="000000"/>
          <w:sz w:val="24"/>
          <w:szCs w:val="24"/>
          <w:highlight w:val="none"/>
        </w:rPr>
      </w:r>
      <w:r/>
    </w:p>
    <w:p>
      <w:pPr>
        <w:pStyle w:val="943"/>
        <w:ind w:firstLine="472"/>
        <w:spacing w:line="360" w:lineRule="auto"/>
        <w:tabs>
          <w:tab w:val="left" w:pos="540" w:leader="none"/>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如供应商响应文件中某些条款不响应磋商文件提出的全部服务内容与要求，须在响应文件中逐条列出，未列出的视同响应。</w:t>
      </w:r>
      <w:r>
        <w:rPr>
          <w:rFonts w:hint="eastAsia" w:ascii="宋体" w:hAnsi="宋体" w:eastAsia="宋体" w:cs="宋体"/>
          <w:b/>
          <w:bCs/>
          <w:color w:val="000000"/>
          <w:sz w:val="24"/>
          <w:szCs w:val="24"/>
          <w:highlight w:val="none"/>
        </w:rPr>
      </w:r>
      <w:r/>
    </w:p>
    <w:p>
      <w:pPr>
        <w:pStyle w:val="943"/>
        <w:ind w:firstLine="482"/>
        <w:spacing w:line="360" w:lineRule="auto"/>
        <w:tabs>
          <w:tab w:val="left" w:pos="142" w:leader="none"/>
          <w:tab w:val="left" w:pos="600" w:leader="none"/>
        </w:tabs>
        <w:rPr>
          <w:rFonts w:hint="eastAsia" w:ascii="宋体" w:hAnsi="宋体" w:eastAsia="宋体" w:cs="宋体"/>
          <w:color w:val="000000"/>
          <w:highlight w:val="none"/>
        </w:rPr>
      </w:pPr>
      <w:r>
        <w:rPr>
          <w:rFonts w:hint="eastAsia" w:ascii="宋体" w:hAnsi="宋体" w:eastAsia="宋体" w:cs="宋体"/>
          <w:b/>
          <w:color w:val="000000"/>
          <w:sz w:val="24"/>
          <w:szCs w:val="24"/>
          <w:highlight w:val="none"/>
        </w:rPr>
        <w:t xml:space="preserve">如不同供应商使用同一台电脑制作的电子响应文件的，双方“文件制作机器码”一致的，则其响应文件将被认定为无效响应。</w:t>
      </w:r>
      <w:r>
        <w:rPr>
          <w:rFonts w:hint="eastAsia" w:ascii="宋体" w:hAnsi="宋体" w:eastAsia="宋体" w:cs="宋体"/>
          <w:color w:val="000000"/>
          <w:highlight w:val="none"/>
        </w:rPr>
      </w:r>
      <w:r/>
    </w:p>
    <w:p>
      <w:pPr>
        <w:pStyle w:val="943"/>
        <w:ind w:left="525"/>
        <w:spacing w:line="360" w:lineRule="auto"/>
        <w:tabs>
          <w:tab w:val="left" w:pos="142" w:leader="none"/>
          <w:tab w:val="left" w:pos="600" w:leader="none"/>
        </w:tabs>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3.3响应报价</w:t>
      </w:r>
      <w:r>
        <w:rPr>
          <w:rFonts w:hint="eastAsia" w:ascii="宋体" w:hAnsi="宋体" w:eastAsia="宋体" w:cs="宋体"/>
          <w:bCs/>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3.3.1响应报价应包括完成本采购项目全部内容的一切费用，除非合同条款中另有规定，响应单位所报价格在合同实施期间不因市场变化因素而变动。</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3.3.2如果采购文件要求分标段投标的，则供应商可以根据自身经营许可范围，选择响应其中部分或者全部标段，但各标段应分别计算填写单价和总价。</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3.3.3供应商应对所投项目的全部内容进行报价，只对其中部分内容报价的，其响应无效。</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3.3.4一项采购内容只允许一个报价，任何有选择性响应报价的，其响应无效。</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3.2.5响应文件报价中的单价和总价全部采用人民币表示，除非另有规定。</w:t>
      </w:r>
      <w:r>
        <w:rPr>
          <w:rFonts w:hint="eastAsia" w:ascii="宋体" w:hAnsi="宋体" w:eastAsia="宋体" w:cs="宋体"/>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3.3.6任意一次报价（包括首次报价、最后报价）超过磋商文件中规定的预算金额或者最高限价的，其响应文件按无效文件处理。</w:t>
      </w:r>
      <w:r>
        <w:rPr>
          <w:rFonts w:hint="eastAsia" w:ascii="宋体" w:hAnsi="宋体" w:eastAsia="宋体" w:cs="宋体"/>
          <w:b/>
          <w:bCs/>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3.3.7除因磋商文件修改导致成本增加外，供应商最后报价超过首次报价的（响应文件中的报价），其响应文件按无效文件处理。</w:t>
      </w:r>
      <w:r>
        <w:rPr>
          <w:rFonts w:hint="eastAsia" w:ascii="宋体" w:hAnsi="宋体" w:eastAsia="宋体" w:cs="宋体"/>
          <w:b/>
          <w:bCs/>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3.3.8报价的大写金额和小写金额不一致的，以大写金额为准。</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3.3.9单价金额小数点或者百分比有明显错位的，以该次报价总价为准。</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3.3.10总价金额与按单价汇总金额不一致的，以单价金额计算结果为准。</w:t>
      </w:r>
      <w:r>
        <w:rPr>
          <w:rFonts w:hint="eastAsia" w:ascii="宋体" w:hAnsi="宋体" w:eastAsia="宋体" w:cs="宋体"/>
          <w:color w:val="000000"/>
          <w:sz w:val="24"/>
          <w:szCs w:val="24"/>
          <w:highlight w:val="none"/>
        </w:rPr>
      </w:r>
      <w:r/>
    </w:p>
    <w:p>
      <w:pPr>
        <w:pStyle w:val="943"/>
        <w:ind w:left="525"/>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3.4电子响应文件的编制与提交</w:t>
      </w:r>
      <w:r>
        <w:rPr>
          <w:rFonts w:hint="eastAsia" w:ascii="宋体" w:hAnsi="宋体" w:eastAsia="宋体" w:cs="宋体"/>
          <w:b/>
          <w:color w:val="000000"/>
          <w:sz w:val="24"/>
          <w:szCs w:val="24"/>
          <w:highlight w:val="none"/>
        </w:rPr>
      </w:r>
      <w:r/>
    </w:p>
    <w:p>
      <w:pPr>
        <w:pStyle w:val="943"/>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3.4.1响应文件编制要求：本项目为网上招投标项目，请供应商插入CA 证书登录“苏采云”系统下载客户端（参与项目页面可下载客户端及客户端使用说明），在客户端编制电子响应文件并进行CA加密。操作步骤详见“苏采云”系统页面提示和《操作手册》。</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3.4.2电子响应文件递交：供应商应当按照《操作手册》指引，在响应文件提交截止时间前完成电子响应文件的上传，未按要求成功上传的响应文件视为未递交。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注：（1）请供应商务必保管好编制递交电子响应文件时使用的CA，如因丢失、损坏等原因更换CA锁时，需重新制作电子响应文件并递交，否则可能无法解密，因此导致的响应失败等不利后果由供应商自行承担。</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本项目在政府采购信息发布媒体上发布了更正（补充）公告，请供应商务必在“苏采云”系统中下载更正（补充）资料，根据更正后的采购文件重新编制电子响应文件并递交，否则可能无法解密，因此导致的响应失败等不利后果由供应商自行承担。</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3.4.3响应文件未按照磋商文件要求加盖CA电子公章的，响应无效。</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3.5响应文件的开启（解密）</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3.5.1线上参加（观看）开标（开启）会方式：登录苏采云系统，点击“开标大厅”，选择对应项目。</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3.5.2供应商应当按照《操作手册》规定，在苏采云系统规定的时间内对磋商响应文件进行解密。等待开标流程进入“解锁环境”，点击“点击立即解密”进行标书解密，解锁完成后及时关注开标大厅，等待后续报价、答疑澄清等提示，</w:t>
      </w:r>
      <w:r>
        <w:rPr>
          <w:rFonts w:hint="eastAsia" w:ascii="宋体" w:hAnsi="宋体" w:eastAsia="宋体" w:cs="宋体"/>
          <w:b/>
          <w:bCs/>
          <w:color w:val="000000"/>
          <w:sz w:val="24"/>
          <w:szCs w:val="24"/>
          <w:highlight w:val="none"/>
        </w:rPr>
        <w:t xml:space="preserve">否则导致的对供应商不利的后果由供应商自行承担。</w:t>
      </w:r>
      <w:r>
        <w:rPr>
          <w:rFonts w:hint="eastAsia" w:ascii="宋体" w:hAnsi="宋体" w:eastAsia="宋体" w:cs="宋体"/>
          <w:b/>
          <w:bCs/>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bookmarkStart w:id="2" w:name="_Hlk154589874"/>
      <w:r>
        <w:rPr>
          <w:rFonts w:hint="eastAsia" w:ascii="宋体" w:hAnsi="宋体" w:eastAsia="宋体" w:cs="宋体"/>
          <w:b/>
          <w:bCs/>
          <w:color w:val="000000"/>
          <w:sz w:val="24"/>
          <w:szCs w:val="24"/>
          <w:highlight w:val="none"/>
        </w:rPr>
        <w:t xml:space="preserve">3.5.3供应商在苏采云系统规定的时间内未成功解密电子响应文件的，响应无效。</w:t>
      </w:r>
      <w:r>
        <w:rPr>
          <w:rFonts w:hint="eastAsia" w:ascii="宋体" w:hAnsi="宋体" w:eastAsia="宋体" w:cs="宋体"/>
          <w:b/>
          <w:bCs/>
          <w:color w:val="000000"/>
          <w:sz w:val="24"/>
          <w:szCs w:val="24"/>
          <w:highlight w:val="none"/>
        </w:rPr>
      </w:r>
      <w:r/>
    </w:p>
    <w:p>
      <w:pPr>
        <w:pStyle w:val="943"/>
        <w:ind w:left="5" w:firstLine="520"/>
        <w:spacing w:line="360" w:lineRule="auto"/>
        <w:tabs>
          <w:tab w:val="left" w:pos="85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供应商在制作、上传、解密电子标书过程中若遇到问题，请及时联系CA技术人员或“苏采云”系统客服热线，否则由此产生的后果由供应商自行负责。</w:t>
      </w:r>
      <w:r>
        <w:rPr>
          <w:rFonts w:hint="eastAsia" w:ascii="宋体" w:hAnsi="宋体" w:eastAsia="宋体" w:cs="宋体"/>
          <w:b/>
          <w:bCs/>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3.5.4供应商电脑环境最低要求：谷歌浏览器，版本可直接网上下载最新版本即可。如需收听现场语音需配置放音设备，如视频直播、互动交流使用异常，请刷新网页，如仍无法解决，请联系技术支持。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bookmarkEnd w:id="2"/>
      <w:r>
        <w:rPr>
          <w:rFonts w:hint="eastAsia" w:ascii="宋体" w:hAnsi="宋体" w:eastAsia="宋体" w:cs="宋体"/>
          <w:color w:val="000000"/>
          <w:sz w:val="24"/>
          <w:szCs w:val="24"/>
          <w:highlight w:val="none"/>
        </w:rPr>
        <w:t xml:space="preserve">3.5.5 CA技术咨询服务电话：400-608-6099；</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电子签章技术咨询服务电话025-83633811、025-83633812、15380932027、15371015030；</w:t>
      </w:r>
      <w:r>
        <w:rPr>
          <w:rFonts w:hint="eastAsia" w:ascii="宋体" w:hAnsi="宋体" w:eastAsia="宋体" w:cs="宋体"/>
          <w:color w:val="000000"/>
          <w:sz w:val="24"/>
          <w:szCs w:val="24"/>
          <w:highlight w:val="none"/>
        </w:rPr>
      </w:r>
      <w:r/>
    </w:p>
    <w:p>
      <w:pPr>
        <w:pStyle w:val="943"/>
        <w:ind w:left="5" w:firstLine="518"/>
        <w:spacing w:line="360" w:lineRule="auto"/>
        <w:tabs>
          <w:tab w:val="left" w:pos="85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苏州市及区县“苏采云”系统使用指导与咨询：联系电话：13914088964、0512-69820854；智能客服：登录苏采云系统后，联系系统右下方智能客服图标进行咨询。</w:t>
      </w:r>
      <w:r>
        <w:rPr>
          <w:rFonts w:hint="eastAsia" w:ascii="宋体" w:hAnsi="宋体" w:eastAsia="宋体" w:cs="宋体"/>
          <w:color w:val="000000"/>
          <w:sz w:val="24"/>
          <w:szCs w:val="24"/>
          <w:highlight w:val="none"/>
        </w:rPr>
      </w:r>
      <w:r/>
    </w:p>
    <w:p>
      <w:pPr>
        <w:pStyle w:val="943"/>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3.6响应文件的修改和撤回</w:t>
      </w:r>
      <w:r>
        <w:rPr>
          <w:rFonts w:hint="eastAsia" w:ascii="宋体" w:hAnsi="宋体" w:eastAsia="宋体" w:cs="宋体"/>
          <w:b/>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3.6.1供应商在提交响应文件截止时间前，可以对所递交的响应文件进行补充、修改或者撤回，具体操作方法见《操作手册》。提交响应文件截止时间后供应商不得撤回响应文件。</w:t>
      </w:r>
      <w:r>
        <w:rPr>
          <w:rFonts w:hint="eastAsia" w:ascii="宋体" w:hAnsi="宋体" w:eastAsia="宋体" w:cs="宋体"/>
          <w:color w:val="000000"/>
          <w:sz w:val="24"/>
          <w:szCs w:val="24"/>
          <w:highlight w:val="none"/>
        </w:rPr>
      </w:r>
      <w:r/>
    </w:p>
    <w:p>
      <w:pPr>
        <w:pStyle w:val="943"/>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4.磋商程序</w:t>
      </w:r>
      <w:r>
        <w:rPr>
          <w:rFonts w:hint="eastAsia" w:ascii="宋体" w:hAnsi="宋体" w:eastAsia="宋体" w:cs="宋体"/>
          <w:b/>
          <w:color w:val="000000"/>
          <w:sz w:val="24"/>
          <w:szCs w:val="24"/>
          <w:highlight w:val="none"/>
        </w:rPr>
      </w:r>
      <w:r/>
    </w:p>
    <w:p>
      <w:pPr>
        <w:pStyle w:val="943"/>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4.1磋商小组</w:t>
      </w:r>
      <w:r>
        <w:rPr>
          <w:rFonts w:hint="eastAsia" w:ascii="宋体" w:hAnsi="宋体" w:eastAsia="宋体" w:cs="宋体"/>
          <w:b/>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4.1.1采购代理机构负责组织评审工作；磋商小组由相关专家及采购人代表组成，负责具体评审事务，并独立履行法律、法规规定的职责。</w:t>
      </w:r>
      <w:r>
        <w:rPr>
          <w:rFonts w:hint="eastAsia" w:ascii="宋体" w:hAnsi="宋体" w:eastAsia="宋体" w:cs="宋体"/>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4.1.2磋商小组与参加采购活动的供应商存在下列利害关系之一的，应当回避：</w:t>
      </w:r>
      <w:r>
        <w:rPr>
          <w:rFonts w:hint="eastAsia" w:ascii="宋体" w:hAnsi="宋体" w:eastAsia="宋体" w:cs="宋体"/>
          <w:color w:val="000000"/>
          <w:sz w:val="24"/>
          <w:szCs w:val="24"/>
          <w:highlight w:val="none"/>
        </w:rPr>
      </w:r>
      <w:r/>
    </w:p>
    <w:p>
      <w:pPr>
        <w:pStyle w:val="943"/>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（一）参加采购活动前三年内，与供应商存在劳动关系，或者担任过供应商的董事、监事，或者是供应商的控股股东或实际控制人；</w:t>
      </w:r>
      <w:r>
        <w:rPr>
          <w:rFonts w:hint="eastAsia" w:ascii="宋体" w:hAnsi="宋体" w:eastAsia="宋体" w:cs="宋体"/>
          <w:color w:val="000000"/>
          <w:sz w:val="24"/>
          <w:szCs w:val="24"/>
          <w:highlight w:val="none"/>
        </w:rPr>
      </w:r>
      <w:r/>
    </w:p>
    <w:p>
      <w:pPr>
        <w:pStyle w:val="943"/>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（二）与供应商的法定代表人或者负责人有夫妻、直系血亲、三代以内旁系血亲或者近姻亲关系；</w:t>
      </w:r>
      <w:r>
        <w:rPr>
          <w:rFonts w:hint="eastAsia" w:ascii="宋体" w:hAnsi="宋体" w:eastAsia="宋体" w:cs="宋体"/>
          <w:color w:val="000000"/>
          <w:sz w:val="24"/>
          <w:szCs w:val="24"/>
          <w:highlight w:val="none"/>
        </w:rPr>
      </w:r>
      <w:r/>
    </w:p>
    <w:p>
      <w:pPr>
        <w:pStyle w:val="943"/>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（三）与供应商有其他可能影响政府采购活动公平、公正进行的关系。</w:t>
      </w:r>
      <w:r>
        <w:rPr>
          <w:rFonts w:hint="eastAsia" w:ascii="宋体" w:hAnsi="宋体" w:eastAsia="宋体" w:cs="宋体"/>
          <w:color w:val="000000"/>
          <w:sz w:val="24"/>
          <w:szCs w:val="24"/>
          <w:highlight w:val="none"/>
        </w:rPr>
      </w:r>
      <w:r/>
    </w:p>
    <w:p>
      <w:pPr>
        <w:pStyle w:val="943"/>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磋商小组发现本人与参加采购活动的供应商有利害关系的，应当主动提出回避。采购人或者采购代理机构发现磋商小组与参加采购活动的供应商有利害关系的，应当要求其回避。</w:t>
      </w:r>
      <w:r>
        <w:rPr>
          <w:rFonts w:hint="eastAsia" w:ascii="宋体" w:hAnsi="宋体" w:eastAsia="宋体" w:cs="宋体"/>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rPr>
          <w:rFonts w:hint="eastAsia" w:ascii="宋体" w:hAnsi="宋体" w:eastAsia="宋体" w:cs="宋体"/>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4.1.4磋商小组成员应当按照客观、公正、审慎的原则，根据采购文件规定的评审程序、评审方法和评审标准进行独立评审。</w:t>
      </w:r>
      <w:r>
        <w:rPr>
          <w:rFonts w:hint="eastAsia" w:ascii="宋体" w:hAnsi="宋体" w:eastAsia="宋体" w:cs="宋体"/>
          <w:color w:val="000000"/>
          <w:sz w:val="24"/>
          <w:szCs w:val="24"/>
          <w:highlight w:val="none"/>
        </w:rPr>
      </w:r>
      <w:r/>
    </w:p>
    <w:p>
      <w:pPr>
        <w:pStyle w:val="943"/>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4.2资格审查</w:t>
      </w:r>
      <w:r>
        <w:rPr>
          <w:rFonts w:hint="eastAsia" w:ascii="宋体" w:hAnsi="宋体" w:eastAsia="宋体" w:cs="宋体"/>
          <w:b/>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4.2.1由磋商小组按磋商文件的资格条件进行资格性审查，</w:t>
      </w:r>
      <w:r>
        <w:rPr>
          <w:rFonts w:hint="eastAsia" w:ascii="宋体" w:hAnsi="宋体" w:eastAsia="宋体" w:cs="宋体"/>
          <w:b/>
          <w:color w:val="000000"/>
          <w:sz w:val="24"/>
          <w:szCs w:val="24"/>
          <w:highlight w:val="none"/>
        </w:rPr>
        <w:t xml:space="preserve">未通过资格审查的响应无效。</w:t>
      </w:r>
      <w:r>
        <w:rPr>
          <w:rFonts w:hint="eastAsia" w:ascii="宋体" w:hAnsi="宋体" w:eastAsia="宋体" w:cs="宋体"/>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4.2.2根据政府采购法及相关法规，以及苏州市财政局《关于印发苏州市市级政府采购信用记录查询和使用工作试行办法的通知》（苏财购（2017）11号）文件的规定，将对供应商进行信用查询。</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（1）查询时间：响应文件递交截止时间。</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（2）查询渠道：通过“信用中国”及“中国政府采购网” 上的信用信息查询供应商的信用记录。</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rPr>
          <w:rFonts w:hint="eastAsia" w:ascii="宋体" w:hAnsi="宋体" w:eastAsia="宋体" w:cs="宋体"/>
          <w:color w:val="000000"/>
          <w:sz w:val="24"/>
          <w:szCs w:val="24"/>
          <w:highlight w:val="none"/>
        </w:rPr>
      </w:r>
      <w:r/>
    </w:p>
    <w:p>
      <w:pPr>
        <w:pStyle w:val="943"/>
        <w:ind w:firstLine="42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000000"/>
          <w:sz w:val="24"/>
          <w:szCs w:val="24"/>
          <w:highlight w:val="none"/>
        </w:rPr>
        <w:t xml:space="preserve">信用记录属于应依法拒绝供应商参加政府采购的失信信息，存在此类失信信息</w:t>
      </w:r>
      <w:r>
        <w:rPr>
          <w:rFonts w:hint="eastAsia" w:ascii="宋体" w:hAnsi="宋体" w:eastAsia="宋体" w:cs="宋体"/>
          <w:b/>
          <w:color w:val="000000"/>
          <w:sz w:val="24"/>
          <w:szCs w:val="24"/>
          <w:highlight w:val="none"/>
        </w:rPr>
        <w:t xml:space="preserve">的供应商的响应文件应按无效文件处理。</w:t>
      </w:r>
      <w:r>
        <w:rPr>
          <w:rFonts w:hint="eastAsia" w:ascii="宋体" w:hAnsi="宋体" w:eastAsia="宋体" w:cs="宋体"/>
          <w:b/>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4.2.3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rPr>
          <w:rFonts w:hint="eastAsia" w:ascii="宋体" w:hAnsi="宋体" w:eastAsia="宋体" w:cs="宋体"/>
          <w:color w:val="000000"/>
          <w:sz w:val="24"/>
          <w:szCs w:val="24"/>
          <w:highlight w:val="none"/>
        </w:rPr>
      </w:r>
      <w:r/>
    </w:p>
    <w:p>
      <w:pPr>
        <w:pStyle w:val="943"/>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4.3磋商</w:t>
      </w:r>
      <w:r>
        <w:rPr>
          <w:rFonts w:hint="eastAsia" w:ascii="宋体" w:hAnsi="宋体" w:eastAsia="宋体" w:cs="宋体"/>
          <w:b/>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4.3.1本项目采用线上磋商，磋商小组通过苏采云系统向供应商发布“磋商函”，供应商可通过查看【磋商响应】菜单中的待办信息，应当按照要求在苏采云系统提交“磋商响应函”并加盖CA电子公章，</w:t>
      </w:r>
      <w:r>
        <w:rPr>
          <w:rFonts w:hint="eastAsia" w:ascii="宋体" w:hAnsi="宋体" w:eastAsia="宋体" w:cs="宋体"/>
          <w:color w:val="000000"/>
          <w:sz w:val="24"/>
          <w:szCs w:val="24"/>
          <w:highlight w:val="none"/>
          <w:lang w:val="zh-CN"/>
        </w:rPr>
        <w:t xml:space="preserve">具体操作方式见《操作手册》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4.3.2</w:t>
      </w:r>
      <w:r>
        <w:rPr>
          <w:rFonts w:hint="eastAsia" w:ascii="宋体" w:hAnsi="宋体" w:eastAsia="宋体" w:cs="宋体"/>
          <w:color w:val="000000"/>
          <w:sz w:val="24"/>
          <w:szCs w:val="24"/>
          <w:highlight w:val="none"/>
          <w:lang w:val="zh-CN"/>
        </w:rPr>
        <w:t xml:space="preserve">磋商小组认为有必要与供应商进行磋商的，</w:t>
      </w:r>
      <w:r>
        <w:rPr>
          <w:rFonts w:hint="eastAsia" w:ascii="宋体" w:hAnsi="宋体" w:eastAsia="宋体" w:cs="宋体"/>
          <w:color w:val="000000"/>
          <w:sz w:val="24"/>
          <w:szCs w:val="24"/>
          <w:highlight w:val="none"/>
        </w:rPr>
        <w:t xml:space="preserve">磋商供应商按顺序进行磋商。磋商小组所有成员应当集中与单一供应商分别进行磋商，并给予所有参加磋商的供应商平等的磋商机会。</w:t>
      </w:r>
      <w:r>
        <w:rPr>
          <w:rFonts w:hint="eastAsia" w:ascii="宋体" w:hAnsi="宋体" w:eastAsia="宋体" w:cs="宋体"/>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4.3.3在磋商过程中，磋商小组可以根据磋商文件和磋商情况实质性变动采购需求中的技术、服务要求以及合同草案条款，但不得变动磋商文件中的其他内容。实质性变动的内容，须经采购人代表确认。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rPr>
          <w:rFonts w:hint="eastAsia" w:ascii="宋体" w:hAnsi="宋体" w:eastAsia="宋体" w:cs="宋体"/>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4.3.5供应商应当在规定时间内按照磋商文件的变动情况和磋商小组的要求在苏采云系统中重新提交响应文件，并加盖CA电子公章。重新提交的响应文件按磋商文件进行评审。</w:t>
      </w:r>
      <w:r>
        <w:rPr>
          <w:rFonts w:hint="eastAsia" w:ascii="宋体" w:hAnsi="宋体" w:eastAsia="宋体" w:cs="宋体"/>
          <w:color w:val="000000"/>
          <w:sz w:val="24"/>
          <w:szCs w:val="24"/>
          <w:highlight w:val="none"/>
          <w:lang w:val="zh-CN"/>
        </w:rPr>
        <w:t xml:space="preserve">未按要求重新提交响应文件的按响应无效处理。</w:t>
      </w:r>
      <w:r>
        <w:rPr>
          <w:rFonts w:hint="eastAsia" w:ascii="宋体" w:hAnsi="宋体" w:eastAsia="宋体" w:cs="宋体"/>
          <w:color w:val="000000"/>
          <w:sz w:val="24"/>
          <w:szCs w:val="24"/>
          <w:highlight w:val="none"/>
        </w:rPr>
      </w:r>
      <w:r/>
    </w:p>
    <w:p>
      <w:pPr>
        <w:pStyle w:val="943"/>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4.4澄清</w:t>
      </w:r>
      <w:r>
        <w:rPr>
          <w:rFonts w:hint="eastAsia" w:ascii="宋体" w:hAnsi="宋体" w:eastAsia="宋体" w:cs="宋体"/>
          <w:b/>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4.4.1本项目采用线上澄清。</w:t>
      </w:r>
      <w:r>
        <w:rPr>
          <w:rFonts w:hint="eastAsia" w:ascii="宋体" w:hAnsi="宋体" w:eastAsia="宋体" w:cs="宋体"/>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4.4.2</w:t>
      </w:r>
      <w:r>
        <w:rPr>
          <w:rFonts w:hint="eastAsia" w:ascii="宋体" w:hAnsi="宋体" w:eastAsia="宋体" w:cs="宋体"/>
          <w:color w:val="000000"/>
          <w:sz w:val="24"/>
          <w:szCs w:val="24"/>
          <w:highlight w:val="none"/>
          <w:lang w:val="zh-CN"/>
        </w:rPr>
        <w:t xml:space="preserve">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rPr>
          <w:rFonts w:hint="eastAsia" w:ascii="宋体" w:hAnsi="宋体" w:eastAsia="宋体" w:cs="宋体"/>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4.4.3接到磋商小组澄清、说明和更正要求的供应商如未按规定做出澄清、说明和更正，其风险由供应商自行承担。</w:t>
      </w:r>
      <w:r>
        <w:rPr>
          <w:rFonts w:hint="eastAsia" w:ascii="宋体" w:hAnsi="宋体" w:eastAsia="宋体" w:cs="宋体"/>
          <w:color w:val="000000"/>
          <w:sz w:val="24"/>
          <w:szCs w:val="24"/>
          <w:highlight w:val="none"/>
        </w:rPr>
      </w:r>
      <w:r/>
    </w:p>
    <w:p>
      <w:pPr>
        <w:pStyle w:val="943"/>
        <w:ind w:left="525"/>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4.5最后报价</w:t>
      </w:r>
      <w:r>
        <w:rPr>
          <w:rFonts w:hint="eastAsia" w:ascii="宋体" w:hAnsi="宋体" w:eastAsia="宋体" w:cs="宋体"/>
          <w:b/>
          <w:color w:val="000000"/>
          <w:sz w:val="24"/>
          <w:szCs w:val="24"/>
          <w:highlight w:val="none"/>
        </w:rPr>
      </w:r>
      <w:r/>
    </w:p>
    <w:p>
      <w:pPr>
        <w:pStyle w:val="943"/>
        <w:ind w:left="5" w:firstLine="518"/>
        <w:spacing w:line="360" w:lineRule="auto"/>
        <w:tabs>
          <w:tab w:val="left" w:pos="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4.5.1磋商结束后，磋商小组应当要求所有继续参加磋商的供应商在规定时间内提交最后报价，最后报价作为评审价格（各磋商供应商可提供最后报价总价或最后报价总价的明细报价；若未提供明细报价的则合同单价按最终报价与第一次报价总价的下浮比例同比例下浮）。</w:t>
      </w:r>
      <w:r>
        <w:rPr>
          <w:rFonts w:hint="eastAsia" w:ascii="宋体" w:hAnsi="宋体" w:eastAsia="宋体" w:cs="宋体"/>
          <w:color w:val="000000"/>
          <w:sz w:val="24"/>
          <w:szCs w:val="24"/>
          <w:highlight w:val="none"/>
          <w:lang w:val="zh-CN"/>
        </w:rPr>
        <w:t xml:space="preserve">最后报价是供应商响应文件的有效组成部分。</w:t>
      </w:r>
      <w:r>
        <w:rPr>
          <w:rFonts w:hint="eastAsia" w:ascii="宋体" w:hAnsi="宋体" w:eastAsia="宋体" w:cs="宋体"/>
          <w:color w:val="000000"/>
          <w:sz w:val="24"/>
          <w:szCs w:val="24"/>
          <w:highlight w:val="none"/>
          <w:lang w:val="zh-CN"/>
        </w:rPr>
      </w:r>
      <w:r/>
    </w:p>
    <w:p>
      <w:pPr>
        <w:pStyle w:val="943"/>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4.5.2本项目采用线上最后报价：磋商小组将在苏采云系统中向符合条件的供应商发布“最后报价要求函”及分项报价表，要求其在规定时间内提交最后报价。因供应商自身原因导致线上报价失败的后果由供应商自行承担。</w:t>
      </w:r>
      <w:r>
        <w:rPr>
          <w:rFonts w:hint="eastAsia" w:ascii="宋体" w:hAnsi="宋体" w:eastAsia="宋体" w:cs="宋体"/>
          <w:b/>
          <w:bCs/>
          <w:color w:val="000000"/>
          <w:sz w:val="24"/>
          <w:szCs w:val="24"/>
          <w:highlight w:val="none"/>
        </w:rPr>
        <w:t xml:space="preserve">供应商未在磋商小组规定的时间内在苏采云系统中提交最后报价的视为放弃磋商，其响应文件按无效响应处理，提交最后报价须加盖CA电子公章，否则视为未提交最后报价。</w:t>
      </w:r>
      <w:r>
        <w:rPr>
          <w:rFonts w:hint="eastAsia" w:ascii="宋体" w:hAnsi="宋体" w:eastAsia="宋体" w:cs="宋体"/>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highlight w:val="none"/>
        </w:rPr>
      </w:r>
      <w:r/>
    </w:p>
    <w:p>
      <w:pPr>
        <w:pStyle w:val="943"/>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提前熟悉线上报价操作方法：若评审组长发起最后报价，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rPr>
          <w:rFonts w:hint="eastAsia" w:ascii="宋体" w:hAnsi="宋体" w:eastAsia="宋体" w:cs="宋体"/>
          <w:color w:val="000000"/>
          <w:sz w:val="24"/>
          <w:szCs w:val="24"/>
          <w:highlight w:val="none"/>
        </w:rPr>
      </w:r>
      <w:r/>
    </w:p>
    <w:p>
      <w:pPr>
        <w:pStyle w:val="943"/>
        <w:ind w:left="5" w:firstLine="518"/>
        <w:spacing w:line="360" w:lineRule="auto"/>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4.5.3</w:t>
      </w:r>
      <w:r>
        <w:rPr>
          <w:rFonts w:ascii="宋体" w:hAnsi="宋体" w:eastAsia="宋体" w:cs="宋体"/>
          <w:color w:val="000000"/>
          <w:sz w:val="24"/>
          <w:szCs w:val="24"/>
          <w:highlight w:val="none"/>
        </w:rPr>
        <w:t xml:space="preserve">评审过程中出现下列情形之一的，评审委员会</w:t>
      </w:r>
      <w:r>
        <w:rPr>
          <w:rFonts w:hint="eastAsia" w:ascii="宋体" w:hAnsi="宋体" w:eastAsia="宋体" w:cs="宋体"/>
          <w:color w:val="000000"/>
          <w:sz w:val="24"/>
          <w:szCs w:val="24"/>
          <w:highlight w:val="none"/>
        </w:rPr>
        <w:t xml:space="preserve">（磋商小组）</w:t>
      </w:r>
      <w:r>
        <w:rPr>
          <w:rFonts w:ascii="宋体" w:hAnsi="宋体" w:eastAsia="宋体" w:cs="宋体"/>
          <w:color w:val="000000"/>
          <w:sz w:val="24"/>
          <w:szCs w:val="24"/>
          <w:highlight w:val="none"/>
        </w:rPr>
        <w:t xml:space="preserve">应当启动异常低价投标（响应）审查程序：</w:t>
      </w:r>
      <w:r>
        <w:rPr>
          <w:rFonts w:ascii="宋体" w:hAnsi="宋体" w:eastAsia="宋体" w:cs="宋体"/>
          <w:color w:val="000000"/>
          <w:sz w:val="24"/>
          <w:szCs w:val="24"/>
          <w:highlight w:val="none"/>
        </w:rPr>
      </w:r>
      <w:r/>
    </w:p>
    <w:p>
      <w:pPr>
        <w:pStyle w:val="943"/>
        <w:ind w:left="5" w:firstLine="518"/>
        <w:spacing w:line="360" w:lineRule="auto"/>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①投标(响应)报价低于全部通过符合性审查供应商投标(响应)报价平均值50％的，即投标(响应)报价＜全部通过符合性审查供应商投标(响应)报价平均值×50％</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943"/>
        <w:ind w:left="5" w:firstLine="518"/>
        <w:spacing w:line="360" w:lineRule="auto"/>
        <w:tabs>
          <w:tab w:val="left" w:pos="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②投标(响应)报价低于通过符合性审查的次低报价供应商投标(响应)报价50％的，即投标(响应)报价＜通过符合性审查的次低报价供应商投标(响应)报价×50％</w:t>
      </w:r>
      <w:r>
        <w:rPr>
          <w:rFonts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p>
      <w:pPr>
        <w:pStyle w:val="943"/>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③投标(响应)报价低于采购项目最高限价45％的，即投标(响应)报价＜采购项目最高限价×45％；</w:t>
      </w:r>
      <w:r>
        <w:rPr>
          <w:rFonts w:hint="eastAsia" w:ascii="宋体" w:hAnsi="宋体" w:eastAsia="宋体" w:cs="宋体"/>
          <w:color w:val="000000"/>
          <w:sz w:val="24"/>
          <w:szCs w:val="24"/>
          <w:highlight w:val="none"/>
        </w:rPr>
      </w:r>
      <w:r/>
    </w:p>
    <w:p>
      <w:pPr>
        <w:pStyle w:val="943"/>
        <w:ind w:left="5" w:firstLine="518"/>
        <w:spacing w:line="360" w:lineRule="auto"/>
        <w:tabs>
          <w:tab w:val="left" w:pos="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④评审委员会</w:t>
      </w:r>
      <w:r>
        <w:rPr>
          <w:rFonts w:hint="eastAsia" w:ascii="宋体" w:hAnsi="宋体" w:eastAsia="宋体" w:cs="宋体"/>
          <w:color w:val="000000"/>
          <w:sz w:val="24"/>
          <w:szCs w:val="24"/>
          <w:highlight w:val="none"/>
        </w:rPr>
        <w:t xml:space="preserve">（磋商小组）</w:t>
      </w:r>
      <w:r>
        <w:rPr>
          <w:rFonts w:ascii="宋体" w:hAnsi="宋体" w:eastAsia="宋体" w:cs="宋体"/>
          <w:color w:val="000000"/>
          <w:sz w:val="24"/>
          <w:szCs w:val="24"/>
          <w:highlight w:val="none"/>
        </w:rPr>
        <w:t xml:space="preserve">基于专业判断，认为供应商报价过低，有可能影响产品质量或者不能诚信履约的其他情形</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943"/>
        <w:ind w:left="5" w:firstLine="518"/>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4.5.4启动异常低价投标审查后，评标委员会（磋商小组）应当要求相关供应商在评标现场合理的时间内对投标价格作出解释，提供项目具体成本测算等与报价合理性相关的书面说明及相关证明材料，包括但不限于原材料成本、人工成本、制造费用等，给予相关供应商的合理时间一般不少于30分钟。其中，属于4.5.3第③项情形，供应商已随投标文件一并提交相关书面说明及必要的证明材料的，在评审现场可不再重复提交。</w:t>
      </w:r>
      <w:r>
        <w:rPr>
          <w:rFonts w:hint="eastAsia" w:ascii="宋体" w:hAnsi="宋体" w:eastAsia="宋体" w:cs="宋体"/>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4.5.5评标委员会（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投标处理。</w:t>
      </w:r>
      <w:r>
        <w:rPr>
          <w:rFonts w:hint="eastAsia" w:ascii="宋体" w:hAnsi="宋体" w:eastAsia="宋体" w:cs="宋体"/>
          <w:color w:val="000000"/>
          <w:sz w:val="24"/>
          <w:szCs w:val="24"/>
          <w:highlight w:val="none"/>
        </w:rPr>
      </w:r>
      <w:r/>
    </w:p>
    <w:p>
      <w:pPr>
        <w:pStyle w:val="943"/>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4.5.6异常低价投标（响应）审查的启动原因、审查意见和审查结果应当在评审报告中记录，并随供应商提供的相关书面说明及证明材料等一并归档。</w:t>
      </w:r>
      <w:r>
        <w:rPr>
          <w:rFonts w:hint="eastAsia" w:ascii="宋体" w:hAnsi="宋体" w:eastAsia="宋体" w:cs="宋体"/>
          <w:color w:val="000000"/>
          <w:sz w:val="24"/>
          <w:szCs w:val="24"/>
          <w:highlight w:val="none"/>
        </w:rPr>
      </w:r>
      <w:r/>
    </w:p>
    <w:p>
      <w:pPr>
        <w:pStyle w:val="1085"/>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4.5.7评标委员会（磋商小组）成员对需要共同认定的事项存在争议的，应当按照少数服从多数的原则作出结论。持不同意见的评标委员会成员应当在评标报告上签署不同意见及理由，否则视为同意评标报告。</w:t>
      </w:r>
      <w:r>
        <w:rPr>
          <w:rFonts w:ascii="宋体" w:hAnsi="宋体" w:eastAsia="宋体" w:cs="宋体"/>
          <w:color w:val="000000"/>
          <w:sz w:val="24"/>
          <w:szCs w:val="24"/>
          <w:highlight w:val="none"/>
        </w:rPr>
      </w:r>
      <w:r/>
    </w:p>
    <w:p>
      <w:pPr>
        <w:pStyle w:val="1085"/>
        <w:ind w:left="42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4.5.8未在规定时间提交最后报价的，响应文件按无效处理。</w:t>
      </w:r>
      <w:r>
        <w:rPr>
          <w:rFonts w:hint="eastAsia" w:ascii="宋体" w:hAnsi="宋体" w:eastAsia="宋体" w:cs="宋体"/>
          <w:color w:val="000000"/>
          <w:sz w:val="24"/>
          <w:szCs w:val="24"/>
          <w:highlight w:val="none"/>
        </w:rPr>
      </w:r>
      <w:r/>
    </w:p>
    <w:p>
      <w:pPr>
        <w:pStyle w:val="1085"/>
        <w:ind w:left="42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4.5.9在规定时间内提交最后报价的供应商少于3家的，项目终止。</w:t>
      </w:r>
      <w:r>
        <w:rPr>
          <w:rFonts w:hint="eastAsia" w:ascii="宋体" w:hAnsi="宋体" w:eastAsia="宋体" w:cs="宋体"/>
          <w:color w:val="000000"/>
          <w:sz w:val="24"/>
          <w:szCs w:val="24"/>
          <w:highlight w:val="none"/>
        </w:rPr>
      </w:r>
      <w:r/>
    </w:p>
    <w:p>
      <w:pPr>
        <w:pStyle w:val="108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4.5.10如磋商过程中出现本磋商文件未尽事宜，由磋商小组根据政府采购有关法律、法规讨论决定。</w:t>
      </w:r>
      <w:r>
        <w:rPr>
          <w:rFonts w:hint="eastAsia" w:ascii="宋体" w:hAnsi="宋体" w:eastAsia="宋体" w:cs="宋体"/>
          <w:color w:val="000000"/>
          <w:sz w:val="24"/>
          <w:szCs w:val="24"/>
          <w:highlight w:val="none"/>
        </w:rPr>
      </w:r>
      <w:r/>
    </w:p>
    <w:p>
      <w:pPr>
        <w:pStyle w:val="943"/>
        <w:ind w:left="525"/>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5.成交</w:t>
      </w:r>
      <w:r>
        <w:rPr>
          <w:rFonts w:hint="eastAsia" w:ascii="宋体" w:hAnsi="宋体" w:eastAsia="宋体" w:cs="宋体"/>
          <w:b/>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本项目评标方法采用综合评分法，即指响应文件满足采购文件全部实质性要求，且按照评审因素的量化指标评审得分最高的供应商为成交候选人的评标方法。磋商小组应当根据综合评分情况，按照评审得分由高到底顺序推荐3名以上成交候选供应商，评审得分相同的，按照最后报价由低到高的顺序推荐，评审得分且最后报价相同的，则由磋商小组组织抽签确定成交候选人顺序。</w:t>
      </w:r>
      <w:r>
        <w:rPr>
          <w:rFonts w:hint="eastAsia" w:ascii="宋体" w:hAnsi="宋体" w:eastAsia="宋体" w:cs="宋体"/>
          <w:color w:val="000000"/>
          <w:sz w:val="24"/>
          <w:szCs w:val="24"/>
          <w:highlight w:val="none"/>
        </w:rPr>
      </w:r>
      <w:r/>
    </w:p>
    <w:p>
      <w:pPr>
        <w:pStyle w:val="108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5.2本项目由采购人书面授权磋商小组直接确定成交供应商，并将结果通知所有参加磋商的供应商。</w:t>
      </w:r>
      <w:r>
        <w:rPr>
          <w:rFonts w:hint="eastAsia" w:ascii="宋体" w:hAnsi="宋体" w:eastAsia="宋体" w:cs="宋体"/>
          <w:color w:val="000000"/>
          <w:sz w:val="24"/>
          <w:szCs w:val="24"/>
          <w:highlight w:val="none"/>
        </w:rPr>
      </w:r>
      <w:r/>
    </w:p>
    <w:p>
      <w:pPr>
        <w:pStyle w:val="108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5.3采购人或者采购代理机构应当在成交供应商确定后2个工作日内，在政府采购信息媒体上发布成交结果，成交公告期限为1个工作日。</w:t>
      </w:r>
      <w:r>
        <w:rPr>
          <w:rFonts w:hint="eastAsia" w:ascii="宋体" w:hAnsi="宋体" w:eastAsia="宋体" w:cs="宋体"/>
          <w:color w:val="000000"/>
          <w:sz w:val="24"/>
          <w:szCs w:val="24"/>
          <w:highlight w:val="none"/>
        </w:rPr>
      </w:r>
      <w:r/>
    </w:p>
    <w:p>
      <w:pPr>
        <w:pStyle w:val="108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5.4采购人或采购代理机构根据相关规定发布成交公告，成交公告发出的同时应当向成交供应商发出《成交通知书》</w:t>
      </w:r>
      <w:bookmarkStart w:id="3" w:name="_Hlk132385577"/>
      <w:r/>
      <w:bookmarkStart w:id="4" w:name="_Hlk132385599"/>
      <w:r/>
      <w:bookmarkStart w:id="5" w:name="_Hlk132389804"/>
      <w:r>
        <w:rPr>
          <w:rFonts w:hint="eastAsia" w:ascii="宋体" w:hAnsi="宋体" w:eastAsia="宋体" w:cs="宋体"/>
          <w:color w:val="000000"/>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3"/>
      <w:r/>
      <w:bookmarkEnd w:id="4"/>
      <w:r/>
      <w:bookmarkEnd w:id="5"/>
      <w:r>
        <w:rPr>
          <w:rFonts w:hint="eastAsia" w:ascii="宋体" w:hAnsi="宋体" w:eastAsia="宋体" w:cs="宋体"/>
          <w:color w:val="000000"/>
          <w:sz w:val="24"/>
          <w:szCs w:val="24"/>
          <w:highlight w:val="none"/>
        </w:rPr>
        <w:t xml:space="preserve">对未通过资格性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rFonts w:hint="eastAsia" w:ascii="宋体" w:hAnsi="宋体" w:eastAsia="宋体" w:cs="宋体"/>
          <w:color w:val="000000"/>
          <w:sz w:val="24"/>
          <w:szCs w:val="24"/>
          <w:highlight w:val="none"/>
        </w:rPr>
      </w:r>
      <w:r/>
    </w:p>
    <w:p>
      <w:pPr>
        <w:pStyle w:val="108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5.5成交通知书发出后，采购人不得违法改变成交结果，成交供应商无正当理由不得放弃成交。</w:t>
      </w:r>
      <w:r>
        <w:rPr>
          <w:rFonts w:hint="eastAsia" w:ascii="宋体" w:hAnsi="宋体" w:eastAsia="宋体" w:cs="宋体"/>
          <w:color w:val="000000"/>
          <w:sz w:val="24"/>
          <w:szCs w:val="24"/>
          <w:highlight w:val="none"/>
        </w:rPr>
      </w:r>
      <w:r/>
    </w:p>
    <w:p>
      <w:pPr>
        <w:pStyle w:val="943"/>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6.履约保证金：</w:t>
      </w:r>
      <w:r>
        <w:rPr>
          <w:rFonts w:hint="eastAsia" w:ascii="宋体" w:hAnsi="宋体" w:eastAsia="宋体" w:cs="宋体"/>
          <w:b/>
          <w:color w:val="000000"/>
          <w:sz w:val="24"/>
          <w:szCs w:val="24"/>
          <w:highlight w:val="none"/>
        </w:rPr>
      </w:r>
      <w:r/>
    </w:p>
    <w:p>
      <w:pPr>
        <w:pStyle w:val="943"/>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见第五章合同文本履约保证金条款。</w:t>
      </w:r>
      <w:r>
        <w:rPr>
          <w:rFonts w:hint="eastAsia" w:ascii="宋体" w:hAnsi="宋体" w:eastAsia="宋体" w:cs="宋体"/>
          <w:color w:val="000000"/>
          <w:sz w:val="24"/>
          <w:szCs w:val="24"/>
          <w:highlight w:val="none"/>
        </w:rPr>
      </w:r>
      <w:r/>
    </w:p>
    <w:p>
      <w:pPr>
        <w:pStyle w:val="943"/>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7.项目终止</w:t>
      </w:r>
      <w:r>
        <w:rPr>
          <w:rFonts w:hint="eastAsia" w:ascii="宋体" w:hAnsi="宋体" w:eastAsia="宋体" w:cs="宋体"/>
          <w:b/>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出现下列情形之一的，采购人或者采购代理机构应当终止竞争性磋商采购活动，发布项目终止公告并说明原因，重新开展采购活动：</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1、因情况变化，不再符合规定的竞争性磋商采购方式适用情形的；</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3、在采购过程中符合竞争要求的供应商或者报价未超过采购预算的供应商不足3家的，但符合《政府采购竞争性磋商采购方式管理暂行办法》第三条第四项的情形除外。</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项目终止后，采购代理机构应当将项目终止的理由告知所有供应商。</w:t>
      </w:r>
      <w:r>
        <w:rPr>
          <w:rFonts w:hint="eastAsia" w:ascii="宋体" w:hAnsi="宋体" w:eastAsia="宋体" w:cs="宋体"/>
          <w:color w:val="000000"/>
          <w:sz w:val="24"/>
          <w:szCs w:val="24"/>
          <w:highlight w:val="none"/>
        </w:rPr>
      </w:r>
      <w:r/>
    </w:p>
    <w:p>
      <w:pPr>
        <w:pStyle w:val="943"/>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8.合同</w:t>
      </w:r>
      <w:r>
        <w:rPr>
          <w:rFonts w:hint="eastAsia" w:ascii="宋体" w:hAnsi="宋体" w:eastAsia="宋体" w:cs="宋体"/>
          <w:b/>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8.1采购人应当自成交通知书发出之日起15日内（最迟30日内</w:t>
      </w:r>
      <w:r>
        <w:rPr>
          <w:rFonts w:hint="eastAsia" w:ascii="宋体" w:hAnsi="宋体" w:eastAsia="宋体" w:cs="宋体"/>
          <w:color w:val="000000"/>
          <w:szCs w:val="21"/>
          <w:highlight w:val="none"/>
        </w:rPr>
        <w:t xml:space="preserve">）</w:t>
      </w:r>
      <w:r>
        <w:rPr>
          <w:rFonts w:hint="eastAsia" w:ascii="宋体" w:hAnsi="宋体" w:eastAsia="宋体" w:cs="宋体"/>
          <w:color w:val="000000"/>
          <w:sz w:val="24"/>
          <w:szCs w:val="24"/>
          <w:highlight w:val="none"/>
        </w:rPr>
        <w:t xml:space="preserve">，按照采购文件及响应文件规定与成交单位签订书面合同。</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 采购人不得向成交供应商提出任何不合理的要求作为签订合同的条件，不得与成交供应商私下订立背离合同实质性内容的协议。</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8.4依据《政府采购促进中小企业发展管理办法》（财库〔2020〕46号）规定，享受扶持政策获得政府采购合同的，小微企业不得将合同分包给大中型企业，中型企业不得将合同分包给大型企业。</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8.5成交供应商无正当理由不得放弃成交。</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4"/>
          <w:szCs w:val="24"/>
          <w:highlight w:val="none"/>
        </w:rPr>
      </w:r>
      <w:r/>
    </w:p>
    <w:p>
      <w:pPr>
        <w:pStyle w:val="943"/>
        <w:ind w:firstLine="482"/>
        <w:spacing w:line="360" w:lineRule="auto"/>
        <w:tabs>
          <w:tab w:val="left" w:pos="142" w:leader="none"/>
          <w:tab w:val="left" w:pos="60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9.质疑</w:t>
      </w:r>
      <w:r>
        <w:rPr>
          <w:rFonts w:hint="eastAsia" w:ascii="宋体" w:hAnsi="宋体" w:eastAsia="宋体" w:cs="宋体"/>
          <w:b/>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9.1质疑及答复遵守《政府采购质疑和投诉办法》（中华人民共和国财政部令第94号）规定。</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供应商认为采购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color w:val="000000"/>
          <w:sz w:val="24"/>
          <w:szCs w:val="24"/>
          <w:highlight w:val="none"/>
        </w:rPr>
      </w:r>
      <w:r/>
    </w:p>
    <w:p>
      <w:pPr>
        <w:pStyle w:val="943"/>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9.4对采购文件内容质疑时，需提供在苏采云系统中下载本项目磋商文件的《投标供应商确认函》，未提供的视为未依照采购公告要求获取磋商文件的供应商，不具备对该政府采购项目提出质疑的法定权利。</w:t>
      </w:r>
      <w:r>
        <w:rPr>
          <w:rFonts w:hint="eastAsia" w:ascii="宋体" w:hAnsi="宋体" w:eastAsia="宋体" w:cs="宋体"/>
          <w:b/>
          <w:bCs/>
          <w:color w:val="000000"/>
          <w:sz w:val="24"/>
          <w:szCs w:val="24"/>
          <w:highlight w:val="none"/>
        </w:rPr>
      </w:r>
      <w:r/>
    </w:p>
    <w:p>
      <w:pPr>
        <w:pStyle w:val="943"/>
        <w:ind w:firstLine="480"/>
        <w:spacing w:line="360" w:lineRule="auto"/>
        <w:tabs>
          <w:tab w:val="left" w:pos="142" w:leader="none"/>
          <w:tab w:val="left" w:pos="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9.5接收质疑函的方式为书面形式（当场送达或邮寄方式）</w:t>
      </w:r>
      <w:r>
        <w:rPr>
          <w:rFonts w:hint="eastAsia" w:ascii="宋体" w:hAnsi="宋体" w:eastAsia="宋体" w:cs="宋体"/>
          <w:bCs/>
          <w:color w:val="000000"/>
          <w:sz w:val="24"/>
          <w:szCs w:val="24"/>
          <w:highlight w:val="none"/>
        </w:rPr>
        <w:t xml:space="preserve">向采购人、采购代理机构提出质疑，联系人、联系电话和通讯地址等信息以采购公告中本次采购活动联系事项为准</w:t>
      </w:r>
      <w:r>
        <w:rPr>
          <w:rFonts w:hint="eastAsia" w:ascii="宋体" w:hAnsi="宋体" w:eastAsia="宋体" w:cs="宋体"/>
          <w:color w:val="000000"/>
          <w:sz w:val="24"/>
          <w:szCs w:val="24"/>
          <w:highlight w:val="none"/>
        </w:rPr>
        <w:t xml:space="preserve">。供应商质疑函范本格式请参照“苏州市政府采购”网站——“下载中心”——“</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政府采购供应商质疑函范本</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3"/>
        <w:ind w:firstLine="52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10.响应文件的有效期</w:t>
      </w:r>
      <w:r>
        <w:rPr>
          <w:rFonts w:hint="eastAsia" w:ascii="宋体" w:hAnsi="宋体" w:eastAsia="宋体" w:cs="宋体"/>
          <w:b/>
          <w:color w:val="000000"/>
          <w:sz w:val="24"/>
          <w:szCs w:val="24"/>
          <w:highlight w:val="none"/>
        </w:rPr>
      </w:r>
      <w:r/>
    </w:p>
    <w:p>
      <w:pPr>
        <w:pStyle w:val="943"/>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10.1响应文件的有效期自提交响应文件的截止之日起九十天，响应文件应保持有效。响应文件的有效期不明确或短于上述规定期限的，响应文件无效。</w:t>
      </w:r>
      <w:r>
        <w:rPr>
          <w:rFonts w:hint="eastAsia" w:ascii="宋体" w:hAnsi="宋体" w:eastAsia="宋体" w:cs="宋体"/>
          <w:bCs/>
          <w:color w:val="000000"/>
          <w:sz w:val="24"/>
          <w:szCs w:val="24"/>
          <w:highlight w:val="none"/>
        </w:rPr>
      </w:r>
      <w:r/>
    </w:p>
    <w:p>
      <w:pPr>
        <w:pStyle w:val="943"/>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10.2在特殊情况下，采购人可与供应商协商延长响应文件的有效期，这种要求和答复都应以书面形式进行。</w:t>
      </w:r>
      <w:r>
        <w:rPr>
          <w:rFonts w:hint="eastAsia" w:ascii="宋体" w:hAnsi="宋体" w:eastAsia="宋体" w:cs="宋体"/>
          <w:bCs/>
          <w:color w:val="000000"/>
          <w:sz w:val="24"/>
          <w:szCs w:val="24"/>
          <w:highlight w:val="none"/>
        </w:rPr>
      </w:r>
      <w:r/>
    </w:p>
    <w:p>
      <w:pPr>
        <w:pStyle w:val="943"/>
        <w:ind w:firstLine="52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11.代理服务费：本项目代理服务费</w:t>
      </w:r>
      <w:r>
        <w:rPr>
          <w:rFonts w:hint="eastAsia" w:ascii="宋体" w:hAnsi="宋体" w:eastAsia="宋体" w:cs="宋体"/>
          <w:b/>
          <w:color w:val="000000"/>
          <w:sz w:val="24"/>
          <w:szCs w:val="24"/>
          <w:highlight w:val="none"/>
          <w:lang w:val="en-US" w:eastAsia="zh-CN"/>
        </w:rPr>
        <w:t xml:space="preserve">由采购人支付。</w:t>
      </w:r>
      <w:r>
        <w:rPr>
          <w:rFonts w:hint="eastAsia" w:ascii="宋体" w:hAnsi="宋体" w:eastAsia="宋体" w:cs="宋体"/>
          <w:b/>
          <w:color w:val="000000"/>
          <w:sz w:val="24"/>
          <w:szCs w:val="24"/>
          <w:highlight w:val="none"/>
        </w:rPr>
      </w:r>
      <w:r/>
    </w:p>
    <w:p>
      <w:pPr>
        <w:pStyle w:val="943"/>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11.1代理服务费以采购预算金额为基数依据，按如下规定的标准和差额定率累进法进行计算</w:t>
      </w:r>
      <w:r>
        <w:rPr>
          <w:rFonts w:hint="eastAsia" w:ascii="宋体" w:hAnsi="宋体" w:eastAsia="宋体" w:cs="宋体"/>
          <w:bCs/>
          <w:color w:val="000000"/>
          <w:sz w:val="24"/>
          <w:szCs w:val="24"/>
          <w:highlight w:val="none"/>
          <w:lang w:val="en-US" w:eastAsia="zh-CN"/>
        </w:rPr>
        <w:t xml:space="preserve">折价</w:t>
      </w:r>
      <w:r>
        <w:rPr>
          <w:rFonts w:hint="eastAsia" w:ascii="宋体" w:hAnsi="宋体" w:eastAsia="宋体" w:cs="宋体"/>
          <w:bCs/>
          <w:color w:val="000000"/>
          <w:sz w:val="24"/>
          <w:szCs w:val="24"/>
          <w:highlight w:val="none"/>
        </w:rPr>
        <w:t xml:space="preserve">收取：</w:t>
      </w:r>
      <w:r>
        <w:rPr>
          <w:rFonts w:hint="eastAsia" w:ascii="宋体" w:hAnsi="宋体" w:eastAsia="宋体" w:cs="宋体"/>
          <w:bCs/>
          <w:color w:val="000000"/>
          <w:sz w:val="24"/>
          <w:szCs w:val="24"/>
          <w:highlight w:val="none"/>
        </w:rPr>
      </w:r>
      <w:r/>
    </w:p>
    <w:p>
      <w:pPr>
        <w:pStyle w:val="943"/>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预算金额100万元以下部分，费率为该部分预算金额的1.5％；</w:t>
      </w:r>
      <w:r>
        <w:rPr>
          <w:rFonts w:hint="eastAsia" w:ascii="宋体" w:hAnsi="宋体" w:eastAsia="宋体" w:cs="宋体"/>
          <w:bCs/>
          <w:color w:val="000000"/>
          <w:sz w:val="24"/>
          <w:szCs w:val="24"/>
          <w:highlight w:val="none"/>
        </w:rPr>
      </w:r>
      <w:r/>
    </w:p>
    <w:p>
      <w:pPr>
        <w:pStyle w:val="943"/>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预算金额100万元（含）－500万元部分，费率为该部分预算金额的1.1％；</w:t>
      </w:r>
      <w:r>
        <w:rPr>
          <w:rFonts w:hint="eastAsia" w:ascii="宋体" w:hAnsi="宋体" w:eastAsia="宋体" w:cs="宋体"/>
          <w:bCs/>
          <w:color w:val="000000"/>
          <w:sz w:val="24"/>
          <w:szCs w:val="24"/>
          <w:highlight w:val="none"/>
        </w:rPr>
      </w:r>
      <w:r/>
    </w:p>
    <w:p>
      <w:pPr>
        <w:pStyle w:val="943"/>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预算金额500万元（含）</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1000万元部分，费率为该部分预算金额的0.8％；</w:t>
      </w:r>
      <w:r>
        <w:rPr>
          <w:rFonts w:hint="eastAsia" w:ascii="宋体" w:hAnsi="宋体" w:eastAsia="宋体" w:cs="宋体"/>
          <w:bCs/>
          <w:color w:val="000000"/>
          <w:sz w:val="24"/>
          <w:szCs w:val="24"/>
          <w:highlight w:val="none"/>
        </w:rPr>
      </w:r>
      <w:r/>
    </w:p>
    <w:p>
      <w:pPr>
        <w:pStyle w:val="943"/>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预算金额1000万元（含）</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5000万元部分，费率为该部分预算金额的0.5％；</w:t>
      </w:r>
      <w:r>
        <w:rPr>
          <w:rFonts w:hint="eastAsia" w:ascii="宋体" w:hAnsi="宋体" w:eastAsia="宋体" w:cs="宋体"/>
          <w:bCs/>
          <w:color w:val="000000"/>
          <w:sz w:val="24"/>
          <w:szCs w:val="24"/>
          <w:highlight w:val="none"/>
        </w:rPr>
      </w:r>
      <w:r/>
    </w:p>
    <w:p>
      <w:pPr>
        <w:pStyle w:val="943"/>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预算金额5000万元以上部分，费率为该部分预算金额的0.25％。</w:t>
      </w:r>
      <w:r>
        <w:rPr>
          <w:rFonts w:hint="eastAsia" w:ascii="宋体" w:hAnsi="宋体" w:eastAsia="宋体" w:cs="宋体"/>
          <w:bCs/>
          <w:color w:val="000000"/>
          <w:sz w:val="24"/>
          <w:szCs w:val="24"/>
          <w:highlight w:val="none"/>
        </w:rPr>
      </w:r>
      <w:r/>
    </w:p>
    <w:p>
      <w:pPr>
        <w:pStyle w:val="943"/>
        <w:ind w:firstLine="52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本项目代理服务费（人民币）：</w:t>
      </w:r>
      <w:r>
        <w:rPr>
          <w:rFonts w:hint="eastAsia" w:ascii="宋体" w:hAnsi="宋体" w:eastAsia="宋体" w:cs="宋体"/>
          <w:b/>
          <w:bCs w:val="0"/>
          <w:color w:val="000000"/>
          <w:sz w:val="24"/>
          <w:szCs w:val="24"/>
          <w:highlight w:val="none"/>
          <w:lang w:val="en-US" w:eastAsia="zh-CN"/>
        </w:rPr>
        <w:t xml:space="preserve">10000</w:t>
      </w:r>
      <w:r>
        <w:rPr>
          <w:rFonts w:hint="eastAsia" w:ascii="宋体" w:hAnsi="宋体" w:eastAsia="宋体" w:cs="宋体"/>
          <w:b/>
          <w:bCs w:val="0"/>
          <w:color w:val="000000"/>
          <w:sz w:val="24"/>
          <w:szCs w:val="24"/>
          <w:highlight w:val="none"/>
        </w:rPr>
        <w:t xml:space="preserve">.00元。</w:t>
      </w:r>
      <w:r>
        <w:rPr>
          <w:rFonts w:hint="eastAsia" w:ascii="宋体" w:hAnsi="宋体" w:eastAsia="宋体" w:cs="宋体"/>
          <w:b/>
          <w:bCs w:val="0"/>
          <w:color w:val="000000"/>
          <w:sz w:val="24"/>
          <w:szCs w:val="24"/>
          <w:highlight w:val="none"/>
        </w:rPr>
      </w:r>
      <w:r/>
    </w:p>
    <w:p>
      <w:pPr>
        <w:pStyle w:val="943"/>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11.2采购代理机构服务费账号如下：</w:t>
      </w:r>
      <w:r>
        <w:rPr>
          <w:rFonts w:hint="eastAsia" w:ascii="宋体" w:hAnsi="宋体" w:eastAsia="宋体" w:cs="宋体"/>
          <w:bCs/>
          <w:color w:val="000000"/>
          <w:sz w:val="24"/>
          <w:szCs w:val="24"/>
          <w:highlight w:val="none"/>
        </w:rPr>
      </w:r>
      <w:r/>
    </w:p>
    <w:p>
      <w:pPr>
        <w:pStyle w:val="943"/>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收款单位：苏州正杰招投标咨询服务有限公司。</w:t>
      </w:r>
      <w:r>
        <w:rPr>
          <w:rFonts w:hint="eastAsia" w:ascii="宋体" w:hAnsi="宋体" w:eastAsia="宋体" w:cs="宋体"/>
          <w:bCs/>
          <w:color w:val="000000"/>
          <w:sz w:val="24"/>
          <w:szCs w:val="24"/>
          <w:highlight w:val="none"/>
        </w:rPr>
      </w:r>
      <w:r/>
    </w:p>
    <w:p>
      <w:pPr>
        <w:pStyle w:val="943"/>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银行账号：89190154740002582。</w:t>
      </w:r>
      <w:r>
        <w:rPr>
          <w:rFonts w:hint="eastAsia" w:ascii="宋体" w:hAnsi="宋体" w:eastAsia="宋体" w:cs="宋体"/>
          <w:bCs/>
          <w:color w:val="000000"/>
          <w:sz w:val="24"/>
          <w:szCs w:val="24"/>
          <w:highlight w:val="none"/>
        </w:rPr>
      </w:r>
      <w:r/>
    </w:p>
    <w:p>
      <w:pPr>
        <w:pStyle w:val="943"/>
        <w:ind w:firstLine="518"/>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开户银行：上海浦东发展银行苏州姑苏支行。</w:t>
      </w:r>
      <w:r>
        <w:rPr>
          <w:rFonts w:hint="eastAsia" w:ascii="宋体" w:hAnsi="宋体" w:eastAsia="宋体" w:cs="宋体"/>
          <w:bCs/>
          <w:color w:val="000000"/>
          <w:sz w:val="24"/>
          <w:szCs w:val="24"/>
          <w:highlight w:val="none"/>
        </w:rPr>
      </w:r>
      <w:r/>
    </w:p>
    <w:p>
      <w:pPr>
        <w:pStyle w:val="943"/>
        <w:ind w:firstLine="520"/>
        <w:spacing w:line="360" w:lineRule="auto"/>
        <w:rPr>
          <w:rFonts w:hint="eastAsia" w:ascii="宋体" w:hAnsi="宋体" w:eastAsia="宋体" w:cs="宋体"/>
          <w:b/>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12</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t xml:space="preserve">专家评审费：本项目</w:t>
      </w:r>
      <w:r>
        <w:rPr>
          <w:rFonts w:hint="eastAsia" w:ascii="宋体" w:hAnsi="宋体" w:eastAsia="宋体" w:cs="宋体"/>
          <w:b/>
          <w:bCs w:val="0"/>
          <w:color w:val="000000"/>
          <w:sz w:val="24"/>
          <w:szCs w:val="24"/>
          <w:highlight w:val="none"/>
        </w:rPr>
        <w:t xml:space="preserve">专家评审费</w:t>
      </w:r>
      <w:r>
        <w:rPr>
          <w:rFonts w:hint="eastAsia" w:ascii="宋体" w:hAnsi="宋体" w:eastAsia="宋体" w:cs="宋体"/>
          <w:b/>
          <w:bCs w:val="0"/>
          <w:color w:val="000000"/>
          <w:sz w:val="24"/>
          <w:szCs w:val="24"/>
          <w:highlight w:val="none"/>
          <w:lang w:val="en-US" w:eastAsia="zh-CN"/>
        </w:rPr>
        <w:t xml:space="preserve">由采购人承担。</w:t>
      </w:r>
      <w:r>
        <w:rPr>
          <w:rFonts w:hint="eastAsia" w:ascii="宋体" w:hAnsi="宋体" w:eastAsia="宋体" w:cs="宋体"/>
          <w:b/>
          <w:color w:val="000000"/>
          <w:sz w:val="24"/>
          <w:szCs w:val="24"/>
          <w:highlight w:val="none"/>
        </w:rPr>
      </w:r>
      <w:r/>
    </w:p>
    <w:p>
      <w:pPr>
        <w:pStyle w:val="943"/>
        <w:ind w:firstLine="520"/>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13、</w:t>
      </w:r>
      <w:r>
        <w:rPr>
          <w:rFonts w:hint="eastAsia" w:ascii="宋体" w:hAnsi="宋体" w:eastAsia="宋体" w:cs="宋体"/>
          <w:b/>
          <w:color w:val="000000"/>
          <w:sz w:val="24"/>
          <w:szCs w:val="24"/>
          <w:highlight w:val="none"/>
        </w:rPr>
        <w:t xml:space="preserve">其他事项</w:t>
      </w:r>
      <w:r>
        <w:rPr>
          <w:rFonts w:ascii="宋体" w:hAnsi="宋体" w:eastAsia="宋体" w:cs="宋体"/>
          <w:b/>
          <w:color w:val="000000"/>
          <w:sz w:val="24"/>
          <w:szCs w:val="24"/>
          <w:highlight w:val="none"/>
        </w:rPr>
      </w:r>
      <w:r/>
    </w:p>
    <w:p>
      <w:pPr>
        <w:pStyle w:val="943"/>
        <w:ind w:firstLine="518"/>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按《中华人民共和国政府采购法》及其他有关法律法规的规定执行。</w:t>
      </w:r>
      <w:r>
        <w:rPr>
          <w:rFonts w:ascii="宋体" w:hAnsi="宋体" w:eastAsia="宋体" w:cs="宋体"/>
          <w:color w:val="000000"/>
          <w:sz w:val="24"/>
          <w:szCs w:val="24"/>
          <w:highlight w:val="none"/>
        </w:rPr>
      </w:r>
      <w:r/>
    </w:p>
    <w:p>
      <w:pPr>
        <w:pStyle w:val="969"/>
        <w:ind w:firstLine="0"/>
        <w:jc w:val="center"/>
        <w:spacing w:line="360" w:lineRule="auto"/>
        <w:rPr>
          <w:rFonts w:hint="eastAsia" w:ascii="宋体" w:hAnsi="宋体" w:eastAsia="宋体" w:cs="宋体"/>
          <w:b/>
          <w:color w:val="000000"/>
          <w:szCs w:val="24"/>
          <w:highlight w:val="none"/>
        </w:rPr>
        <w:sectPr>
          <w:footerReference w:type="default" r:id="rId15"/>
          <w:footnotePr/>
          <w:endnotePr/>
          <w:type w:val="nextPage"/>
          <w:pgSz w:w="11906" w:h="16838" w:orient="portrait"/>
          <w:pgMar w:top="1134" w:right="1134" w:bottom="1134" w:left="1134" w:header="851" w:footer="567" w:gutter="0"/>
          <w:pgNumType w:start="1"/>
          <w:cols w:num="1" w:sep="0" w:space="1701" w:equalWidth="1"/>
          <w:docGrid w:linePitch="360"/>
        </w:sectPr>
      </w:pPr>
      <w:r>
        <w:rPr>
          <w:rFonts w:hint="eastAsia" w:ascii="宋体" w:hAnsi="宋体" w:eastAsia="宋体" w:cs="宋体"/>
          <w:b/>
          <w:color w:val="000000"/>
          <w:szCs w:val="24"/>
          <w:highlight w:val="none"/>
        </w:rPr>
      </w:r>
      <w:r/>
    </w:p>
    <w:p>
      <w:pPr>
        <w:pStyle w:val="969"/>
        <w:ind w:firstLine="0"/>
        <w:jc w:val="center"/>
        <w:spacing w:line="360" w:lineRule="auto"/>
        <w:rPr>
          <w:rFonts w:hint="eastAsia" w:ascii="宋体" w:hAnsi="宋体" w:eastAsia="宋体" w:cs="宋体"/>
          <w:b/>
          <w:color w:val="000000"/>
          <w:szCs w:val="24"/>
          <w:highlight w:val="none"/>
          <w:lang w:val="zh-CN"/>
        </w:rPr>
      </w:pPr>
      <w:r>
        <w:rPr>
          <w:rFonts w:hint="eastAsia" w:ascii="宋体" w:hAnsi="宋体" w:eastAsia="宋体" w:cs="宋体"/>
          <w:b/>
          <w:color w:val="000000"/>
          <w:szCs w:val="24"/>
          <w:highlight w:val="none"/>
        </w:rPr>
        <w:t xml:space="preserve">第三章  </w:t>
      </w:r>
      <w:r>
        <w:rPr>
          <w:rFonts w:hint="eastAsia" w:ascii="宋体" w:hAnsi="宋体" w:eastAsia="宋体" w:cs="宋体"/>
          <w:b/>
          <w:color w:val="000000"/>
          <w:szCs w:val="24"/>
          <w:highlight w:val="none"/>
          <w:lang w:val="zh-CN"/>
        </w:rPr>
        <w:t xml:space="preserve">响应文件格式</w:t>
      </w:r>
      <w:r>
        <w:rPr>
          <w:rFonts w:hint="eastAsia" w:ascii="宋体" w:hAnsi="宋体" w:eastAsia="宋体" w:cs="宋体"/>
          <w:b/>
          <w:color w:val="000000"/>
          <w:szCs w:val="24"/>
          <w:highlight w:val="none"/>
          <w:lang w:val="zh-CN"/>
        </w:rPr>
      </w:r>
      <w:r/>
    </w:p>
    <w:p>
      <w:pPr>
        <w:pStyle w:val="969"/>
        <w:ind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1、磋商响应函</w:t>
      </w:r>
      <w:r>
        <w:rPr>
          <w:rFonts w:hint="eastAsia" w:ascii="宋体" w:hAnsi="宋体" w:eastAsia="宋体" w:cs="宋体"/>
          <w:b/>
          <w:bCs/>
          <w:color w:val="000000"/>
          <w:szCs w:val="24"/>
          <w:highlight w:val="none"/>
        </w:rPr>
      </w:r>
      <w:r/>
    </w:p>
    <w:p>
      <w:pPr>
        <w:pStyle w:val="1051"/>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苏州正杰招投标咨询服务有限公司：</w:t>
      </w:r>
      <w:r>
        <w:rPr>
          <w:rFonts w:hint="eastAsia" w:hAnsi="宋体" w:eastAsia="宋体" w:cs="宋体"/>
          <w:color w:val="000000"/>
          <w:sz w:val="24"/>
          <w:szCs w:val="24"/>
          <w:highlight w:val="none"/>
        </w:rPr>
      </w:r>
      <w:r/>
    </w:p>
    <w:p>
      <w:pPr>
        <w:pStyle w:val="1051"/>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我们收到贵公司</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号采购文件，经仔细阅读和研究，我们决定参加采购活动。</w:t>
      </w:r>
      <w:r>
        <w:rPr>
          <w:rFonts w:hint="eastAsia" w:hAnsi="宋体" w:eastAsia="宋体" w:cs="宋体"/>
          <w:color w:val="000000"/>
          <w:sz w:val="24"/>
          <w:szCs w:val="24"/>
          <w:highlight w:val="none"/>
        </w:rPr>
      </w:r>
      <w:r/>
    </w:p>
    <w:p>
      <w:pPr>
        <w:pStyle w:val="1051"/>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w:t>
      </w:r>
      <w:r>
        <w:rPr>
          <w:rFonts w:hint="eastAsia" w:hAnsi="宋体" w:eastAsia="宋体" w:cs="宋体"/>
          <w:color w:val="000000"/>
          <w:sz w:val="24"/>
          <w:szCs w:val="24"/>
          <w:highlight w:val="none"/>
          <w:lang w:val="en-US" w:eastAsia="zh-CN"/>
        </w:rPr>
        <w:t xml:space="preserve">  </w:t>
      </w:r>
      <w:r>
        <w:rPr>
          <w:rFonts w:hint="eastAsia" w:hAnsi="宋体" w:eastAsia="宋体" w:cs="宋体"/>
          <w:color w:val="000000"/>
          <w:sz w:val="24"/>
          <w:szCs w:val="24"/>
          <w:highlight w:val="none"/>
        </w:rPr>
        <w:t xml:space="preserve">1、我们愿意按照采购文件的一切要求，提供完成该项目的全部内容，我们的报价包括</w:t>
      </w:r>
      <w:r>
        <w:rPr>
          <w:rFonts w:hint="eastAsia" w:hAnsi="宋体" w:eastAsia="宋体" w:cs="宋体"/>
          <w:color w:val="000000"/>
          <w:sz w:val="24"/>
          <w:szCs w:val="24"/>
          <w:highlight w:val="none"/>
          <w:lang w:val="zh-CN"/>
        </w:rPr>
        <w:t xml:space="preserve">完成所有采购内容以及本项目所需的劳务支出、保险、配套费用、税费及服务相关等所发生的全部费用以及企业利润、税金和政策性文件规定及合同包含的所有风险、责任等各项应有费用</w:t>
      </w:r>
      <w:r>
        <w:rPr>
          <w:rFonts w:hint="eastAsia" w:hAnsi="宋体" w:eastAsia="宋体" w:cs="宋体"/>
          <w:color w:val="000000"/>
          <w:sz w:val="24"/>
          <w:szCs w:val="24"/>
          <w:highlight w:val="none"/>
        </w:rPr>
        <w:t xml:space="preserve">。</w:t>
      </w:r>
      <w:r>
        <w:rPr>
          <w:rFonts w:hint="eastAsia" w:hAnsi="宋体" w:eastAsia="宋体" w:cs="宋体"/>
          <w:color w:val="000000"/>
          <w:sz w:val="24"/>
          <w:szCs w:val="24"/>
          <w:highlight w:val="none"/>
        </w:rPr>
      </w:r>
      <w:r/>
    </w:p>
    <w:p>
      <w:pPr>
        <w:pStyle w:val="1051"/>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2、如果我们的响应文件被接受，我们将严格履行采购文件中规定的每一项要求，按期、按质、按量履行合同的义务。</w:t>
      </w:r>
      <w:r>
        <w:rPr>
          <w:rFonts w:hint="eastAsia" w:hAnsi="宋体" w:eastAsia="宋体" w:cs="宋体"/>
          <w:color w:val="000000"/>
          <w:sz w:val="24"/>
          <w:szCs w:val="24"/>
          <w:highlight w:val="none"/>
        </w:rPr>
      </w:r>
      <w:r/>
    </w:p>
    <w:p>
      <w:pPr>
        <w:pStyle w:val="1051"/>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3、我们同意按采购文件规定，响应文件有效期限为自</w:t>
      </w:r>
      <w:r>
        <w:rPr>
          <w:rFonts w:hint="eastAsia" w:hAnsi="宋体" w:eastAsia="宋体" w:cs="宋体"/>
          <w:bCs/>
          <w:color w:val="000000"/>
          <w:sz w:val="24"/>
          <w:szCs w:val="24"/>
          <w:highlight w:val="none"/>
          <w:lang w:val="zh-CN"/>
        </w:rPr>
        <w:t xml:space="preserve">响应文件提交截止之日</w:t>
      </w:r>
      <w:r>
        <w:rPr>
          <w:rFonts w:hint="eastAsia" w:hAnsi="宋体" w:eastAsia="宋体" w:cs="宋体"/>
          <w:color w:val="000000"/>
          <w:sz w:val="24"/>
          <w:szCs w:val="24"/>
          <w:highlight w:val="none"/>
        </w:rPr>
        <w:t xml:space="preserve">起</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天。如果我们在开标后规定的有效期内撤回，我们愿承担一切责任。</w:t>
      </w:r>
      <w:r>
        <w:rPr>
          <w:rFonts w:hint="eastAsia" w:hAnsi="宋体" w:eastAsia="宋体" w:cs="宋体"/>
          <w:color w:val="000000"/>
          <w:sz w:val="24"/>
          <w:szCs w:val="24"/>
          <w:highlight w:val="none"/>
        </w:rPr>
      </w:r>
      <w:r/>
      <w:r>
        <w:rPr>
          <w:rFonts w:hint="eastAsia" w:hAnsi="宋体" w:eastAsia="宋体" w:cs="宋体"/>
          <w:color w:val="000000"/>
          <w:sz w:val="24"/>
          <w:szCs w:val="24"/>
          <w:highlight w:val="none"/>
        </w:rPr>
      </w:r>
    </w:p>
    <w:p>
      <w:pPr>
        <w:pStyle w:val="1051"/>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4、我们愿意提供采购人在采购文件中要求的所有资料，也同意向贵方提供贵方可能另外要求的与其有关的任何证据或资料，并保证所提供的资料全部是真实的、有效的，若有虚假，我们愿承担一切责任。</w:t>
      </w:r>
      <w:r>
        <w:rPr>
          <w:rFonts w:hint="eastAsia" w:hAnsi="宋体" w:eastAsia="宋体" w:cs="宋体"/>
          <w:color w:val="000000"/>
          <w:sz w:val="24"/>
          <w:szCs w:val="24"/>
          <w:highlight w:val="none"/>
        </w:rPr>
      </w:r>
      <w:r/>
    </w:p>
    <w:p>
      <w:pPr>
        <w:pStyle w:val="1051"/>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5、我们认为你们有权决定供应商，还认为你们有权接受或拒绝所有的供应商。</w:t>
      </w:r>
      <w:r>
        <w:rPr>
          <w:rFonts w:hint="eastAsia" w:hAnsi="宋体" w:eastAsia="宋体" w:cs="宋体"/>
          <w:color w:val="000000"/>
          <w:sz w:val="24"/>
          <w:szCs w:val="24"/>
          <w:highlight w:val="none"/>
        </w:rPr>
      </w:r>
      <w:r/>
    </w:p>
    <w:p>
      <w:pPr>
        <w:pStyle w:val="1051"/>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6、我们愿意遵守采购文件中所列的收费标准。</w:t>
      </w:r>
      <w:r>
        <w:rPr>
          <w:rFonts w:hint="eastAsia" w:hAnsi="宋体" w:eastAsia="宋体" w:cs="宋体"/>
          <w:color w:val="000000"/>
          <w:sz w:val="24"/>
          <w:szCs w:val="24"/>
          <w:highlight w:val="none"/>
        </w:rPr>
      </w:r>
      <w:r/>
    </w:p>
    <w:p>
      <w:pPr>
        <w:pStyle w:val="1051"/>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7、我们承诺本响应文件在磋商开始后的全过程中保持有效，不作任何更改和变动。我们同意</w:t>
      </w:r>
      <w:r>
        <w:rPr>
          <w:rFonts w:hint="eastAsia" w:hAnsi="宋体" w:eastAsia="宋体" w:cs="宋体"/>
          <w:color w:val="000000"/>
          <w:sz w:val="24"/>
          <w:szCs w:val="24"/>
          <w:highlight w:val="none"/>
          <w:lang w:val="zh-CN"/>
        </w:rPr>
        <w:t xml:space="preserve">成交</w:t>
      </w:r>
      <w:r>
        <w:rPr>
          <w:rFonts w:hint="eastAsia" w:hAnsi="宋体" w:eastAsia="宋体" w:cs="宋体"/>
          <w:color w:val="000000"/>
          <w:sz w:val="24"/>
          <w:szCs w:val="24"/>
          <w:highlight w:val="none"/>
        </w:rPr>
        <w:t xml:space="preserve">后若不履行响应文件的内容要求和各项承诺及义务的即被视为违约，我们愿承担一切责任。</w:t>
      </w:r>
      <w:r>
        <w:rPr>
          <w:rFonts w:hint="eastAsia" w:hAnsi="宋体" w:eastAsia="宋体" w:cs="宋体"/>
          <w:color w:val="000000"/>
          <w:sz w:val="24"/>
          <w:szCs w:val="24"/>
          <w:highlight w:val="none"/>
        </w:rPr>
      </w:r>
      <w:r/>
    </w:p>
    <w:p>
      <w:pPr>
        <w:pStyle w:val="1051"/>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8、</w:t>
      </w:r>
      <w:r>
        <w:rPr>
          <w:rFonts w:hint="eastAsia" w:hAnsi="宋体" w:eastAsia="宋体" w:cs="宋体"/>
          <w:color w:val="000000"/>
          <w:sz w:val="24"/>
          <w:szCs w:val="24"/>
          <w:highlight w:val="none"/>
        </w:rPr>
        <w:t xml:space="preserve">本函填写的电子邮箱为我方此次采购活动中的授权邮箱，该邮箱发至采购人或代理机构的函件无论是否签字或盖章，均视为我方的意思表示，我方均予以承认并承担相应后果。</w:t>
      </w:r>
      <w:r/>
      <w:r>
        <w:rPr>
          <w:rFonts w:hint="eastAsia" w:hAnsi="宋体" w:eastAsia="宋体" w:cs="宋体"/>
          <w:color w:val="000000"/>
          <w:sz w:val="24"/>
          <w:szCs w:val="24"/>
          <w:highlight w:val="none"/>
        </w:rPr>
      </w:r>
    </w:p>
    <w:p>
      <w:pPr>
        <w:pStyle w:val="1051"/>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9、与本次磋商有关的通讯地址：</w:t>
      </w:r>
      <w:r>
        <w:rPr>
          <w:rFonts w:hint="eastAsia" w:hAnsi="宋体" w:eastAsia="宋体" w:cs="宋体"/>
          <w:color w:val="000000"/>
          <w:sz w:val="24"/>
          <w:szCs w:val="24"/>
          <w:highlight w:val="none"/>
        </w:rPr>
      </w:r>
      <w:r/>
    </w:p>
    <w:p>
      <w:pPr>
        <w:pStyle w:val="1051"/>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单位名称：                                 联系人员：</w:t>
      </w:r>
      <w:r>
        <w:rPr>
          <w:rFonts w:hint="eastAsia" w:hAnsi="宋体" w:eastAsia="宋体" w:cs="宋体"/>
          <w:color w:val="000000"/>
          <w:sz w:val="24"/>
          <w:szCs w:val="24"/>
          <w:highlight w:val="none"/>
        </w:rPr>
      </w:r>
      <w:r/>
    </w:p>
    <w:p>
      <w:pPr>
        <w:pStyle w:val="1051"/>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单位地址：                                 邮政编码：</w:t>
      </w:r>
      <w:r>
        <w:rPr>
          <w:rFonts w:hint="eastAsia" w:hAnsi="宋体" w:eastAsia="宋体" w:cs="宋体"/>
          <w:color w:val="000000"/>
          <w:sz w:val="24"/>
          <w:szCs w:val="24"/>
          <w:highlight w:val="none"/>
        </w:rPr>
      </w:r>
      <w:r/>
    </w:p>
    <w:p>
      <w:pPr>
        <w:pStyle w:val="1051"/>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联系电话：                                 传真号码：</w:t>
      </w:r>
      <w:r>
        <w:rPr>
          <w:rFonts w:hint="eastAsia" w:hAnsi="宋体" w:eastAsia="宋体" w:cs="宋体"/>
          <w:color w:val="000000"/>
          <w:sz w:val="24"/>
          <w:szCs w:val="24"/>
          <w:highlight w:val="none"/>
        </w:rPr>
      </w:r>
      <w:r/>
    </w:p>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供应商：（单位盖章）                       电子邮箱：</w:t>
      </w:r>
      <w:r>
        <w:rPr>
          <w:rFonts w:hint="eastAsia" w:ascii="宋体" w:hAnsi="宋体" w:eastAsia="宋体" w:cs="宋体"/>
          <w:color w:val="000000"/>
          <w:szCs w:val="24"/>
          <w:highlight w:val="none"/>
        </w:rPr>
      </w:r>
      <w:r/>
    </w:p>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法定代表人或代理人：（签字或盖章）</w:t>
      </w:r>
      <w:r>
        <w:rPr>
          <w:rFonts w:hint="eastAsia" w:ascii="宋体" w:hAnsi="宋体" w:eastAsia="宋体" w:cs="宋体"/>
          <w:color w:val="000000"/>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943"/>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Cs w:val="21"/>
          <w:highlight w:val="none"/>
        </w:rPr>
        <w:br w:type="page" w:clear="all"/>
      </w:r>
      <w:r>
        <w:rPr>
          <w:rFonts w:hint="eastAsia" w:ascii="宋体" w:hAnsi="宋体" w:eastAsia="宋体" w:cs="宋体"/>
          <w:b/>
          <w:color w:val="000000"/>
          <w:szCs w:val="21"/>
          <w:highlight w:val="none"/>
        </w:rPr>
        <w:t xml:space="preserve">2、</w:t>
      </w:r>
      <w:r>
        <w:rPr>
          <w:rFonts w:hint="eastAsia" w:ascii="宋体" w:hAnsi="宋体" w:eastAsia="宋体" w:cs="宋体"/>
          <w:b/>
          <w:color w:val="000000"/>
          <w:sz w:val="24"/>
          <w:szCs w:val="24"/>
          <w:highlight w:val="none"/>
          <w:lang w:val="zh-CN"/>
        </w:rPr>
        <w:t xml:space="preserve">法定代表人授权委托书</w:t>
      </w:r>
      <w:r>
        <w:rPr>
          <w:rFonts w:hint="eastAsia" w:ascii="宋体" w:hAnsi="宋体" w:eastAsia="宋体" w:cs="宋体"/>
          <w:b/>
          <w:color w:val="000000"/>
          <w:sz w:val="24"/>
          <w:szCs w:val="24"/>
          <w:highlight w:val="none"/>
          <w:lang w:val="zh-CN"/>
        </w:rPr>
      </w:r>
      <w:r/>
    </w:p>
    <w:p>
      <w:pPr>
        <w:pStyle w:val="969"/>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74"/>
        <w:ind w:firstLine="48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本授权委托书声明：我</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（姓名）系</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（供应商名称）的法定代表人，现授权委托</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（姓名为我公司代理人，以本公司的名义参加</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（采购人名称）组织实施的编号为</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号的采购活动。代理人在投标、开标、评标、合同订立和履行过程中所签署的一切文件和处理与这有关的一切事务，我均予以承认。</w:t>
      </w:r>
      <w:r>
        <w:rPr>
          <w:rFonts w:hint="eastAsia" w:hAnsi="宋体" w:eastAsia="宋体" w:cs="宋体"/>
          <w:color w:val="000000"/>
          <w:sz w:val="24"/>
          <w:szCs w:val="24"/>
          <w:highlight w:val="none"/>
        </w:rPr>
      </w:r>
      <w:r/>
    </w:p>
    <w:p>
      <w:pPr>
        <w:pStyle w:val="1074"/>
        <w:ind w:firstLine="48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代理人在授权委托书有效期内签署的所有文件不因授权委托的撤销而失效，除非有撤销授权委托的书面通知，本授权委托书自投标开始至合同履行完毕止。</w:t>
      </w:r>
      <w:r>
        <w:rPr>
          <w:rFonts w:hint="eastAsia" w:hAnsi="宋体" w:eastAsia="宋体" w:cs="宋体"/>
          <w:color w:val="000000"/>
          <w:sz w:val="24"/>
          <w:szCs w:val="24"/>
          <w:highlight w:val="none"/>
        </w:rPr>
      </w:r>
      <w:r/>
    </w:p>
    <w:p>
      <w:pPr>
        <w:pStyle w:val="1074"/>
        <w:ind w:firstLine="48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代理人无转委托权。特此委托。</w:t>
      </w:r>
      <w:r>
        <w:rPr>
          <w:rFonts w:hint="eastAsia" w:hAnsi="宋体" w:eastAsia="宋体" w:cs="宋体"/>
          <w:color w:val="000000"/>
          <w:sz w:val="24"/>
          <w:szCs w:val="24"/>
          <w:highlight w:val="none"/>
        </w:rPr>
      </w:r>
      <w:r/>
    </w:p>
    <w:p>
      <w:pPr>
        <w:pStyle w:val="1074"/>
        <w:ind w:firstLine="484"/>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w:t>
      </w:r>
      <w:r>
        <w:rPr>
          <w:rFonts w:hint="eastAsia" w:hAnsi="宋体" w:eastAsia="宋体" w:cs="宋体"/>
          <w:color w:val="000000"/>
          <w:sz w:val="24"/>
          <w:szCs w:val="24"/>
          <w:highlight w:val="none"/>
        </w:rPr>
      </w:r>
      <w:r/>
    </w:p>
    <w:p>
      <w:pPr>
        <w:pStyle w:val="1015"/>
        <w:ind w:firstLine="480"/>
        <w:jc w:val="both"/>
        <w:spacing w:line="360" w:lineRule="auto"/>
        <w:rPr>
          <w:rFonts w:cs="宋体"/>
          <w:color w:val="000000"/>
          <w:highlight w:val="none"/>
        </w:rPr>
      </w:pPr>
      <w:r>
        <w:rPr>
          <w:rFonts w:cs="宋体"/>
          <w:color w:val="000000"/>
          <w:highlight w:val="none"/>
        </w:rPr>
        <w:t xml:space="preserve">供应商（单位盖章）：</w:t>
      </w:r>
      <w:r>
        <w:rPr>
          <w:rFonts w:cs="宋体"/>
          <w:color w:val="000000"/>
          <w:highlight w:val="none"/>
        </w:rPr>
      </w:r>
      <w:r/>
    </w:p>
    <w:p>
      <w:pPr>
        <w:pStyle w:val="1015"/>
        <w:ind w:firstLine="480"/>
        <w:jc w:val="both"/>
        <w:spacing w:line="360" w:lineRule="auto"/>
        <w:rPr>
          <w:rFonts w:cs="宋体"/>
          <w:color w:val="000000"/>
          <w:highlight w:val="none"/>
        </w:rPr>
      </w:pPr>
      <w:r>
        <w:rPr>
          <w:rFonts w:cs="宋体"/>
          <w:color w:val="000000"/>
          <w:highlight w:val="none"/>
        </w:rPr>
        <w:t xml:space="preserve">法定代表人（签字或盖章）：</w:t>
      </w:r>
      <w:r>
        <w:rPr>
          <w:rFonts w:cs="宋体"/>
          <w:color w:val="000000"/>
          <w:highlight w:val="none"/>
        </w:rPr>
      </w:r>
      <w:r/>
    </w:p>
    <w:p>
      <w:pPr>
        <w:pStyle w:val="1015"/>
        <w:ind w:firstLine="480"/>
        <w:jc w:val="both"/>
        <w:spacing w:line="360" w:lineRule="auto"/>
        <w:rPr>
          <w:rFonts w:cs="宋体"/>
          <w:color w:val="000000"/>
          <w:highlight w:val="none"/>
        </w:rPr>
      </w:pPr>
      <w:r>
        <w:rPr>
          <w:rFonts w:cs="宋体"/>
          <w:color w:val="000000"/>
          <w:highlight w:val="none"/>
        </w:rPr>
        <w:t xml:space="preserve">代理人（签字或盖章）：</w:t>
      </w:r>
      <w:r>
        <w:rPr>
          <w:rFonts w:cs="宋体"/>
          <w:color w:val="000000"/>
          <w:highlight w:val="none"/>
        </w:rPr>
      </w:r>
      <w:r/>
    </w:p>
    <w:p>
      <w:pPr>
        <w:pStyle w:val="1015"/>
        <w:ind w:firstLine="480"/>
        <w:jc w:val="both"/>
        <w:spacing w:line="360" w:lineRule="auto"/>
        <w:rPr>
          <w:rFonts w:cs="宋体"/>
          <w:color w:val="000000"/>
          <w:highlight w:val="none"/>
        </w:rPr>
      </w:pPr>
      <w:r>
        <w:rPr>
          <w:rFonts w:cs="宋体"/>
          <w:color w:val="000000"/>
          <w:highlight w:val="none"/>
        </w:rPr>
        <w:t xml:space="preserve">日 期： </w:t>
      </w:r>
      <w:r>
        <w:rPr>
          <w:rFonts w:cs="宋体"/>
          <w:color w:val="000000"/>
          <w:highlight w:val="none"/>
        </w:rPr>
      </w:r>
      <w:r/>
    </w:p>
    <w:p>
      <w:pPr>
        <w:pStyle w:val="943"/>
        <w:ind w:firstLine="5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69"/>
        <w:ind w:firstLine="48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注：本授权委托书仅限于法人性质供应商投标，响应文件中必须提供法定代表人和代理人身份证复印件。非法人性质供应商投标，授权委托书格式自拟，但必须同时提供受托双方身份证复印件。</w:t>
      </w:r>
      <w:r>
        <w:rPr>
          <w:rFonts w:hint="eastAsia" w:ascii="宋体" w:hAnsi="宋体" w:eastAsia="宋体" w:cs="宋体"/>
          <w:b/>
          <w:color w:val="000000"/>
          <w:szCs w:val="24"/>
          <w:highlight w:val="none"/>
        </w:rPr>
      </w:r>
      <w:r/>
    </w:p>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69"/>
        <w:ind w:right="420"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br w:type="page" w:clear="all"/>
      </w:r>
      <w:r>
        <w:rPr>
          <w:rFonts w:hint="eastAsia" w:ascii="宋体" w:hAnsi="宋体" w:eastAsia="宋体" w:cs="宋体"/>
          <w:b/>
          <w:bCs/>
          <w:color w:val="000000"/>
          <w:szCs w:val="24"/>
          <w:highlight w:val="none"/>
        </w:rPr>
        <w:t xml:space="preserve">3、关于资格文件的声明函</w:t>
      </w:r>
      <w:r>
        <w:rPr>
          <w:rFonts w:hint="eastAsia" w:ascii="宋体" w:hAnsi="宋体" w:eastAsia="宋体" w:cs="宋体"/>
          <w:b/>
          <w:bCs/>
          <w:color w:val="000000"/>
          <w:szCs w:val="24"/>
          <w:highlight w:val="none"/>
        </w:rPr>
      </w:r>
      <w:r/>
    </w:p>
    <w:p>
      <w:pPr>
        <w:pStyle w:val="969"/>
        <w:ind w:firstLine="0"/>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苏州正杰招投标咨询服务有限公司：</w:t>
      </w:r>
      <w:r>
        <w:rPr>
          <w:rFonts w:hint="eastAsia" w:ascii="宋体" w:hAnsi="宋体" w:eastAsia="宋体" w:cs="宋体"/>
          <w:color w:val="000000"/>
          <w:szCs w:val="24"/>
          <w:highlight w:val="none"/>
        </w:rPr>
      </w:r>
      <w:r/>
    </w:p>
    <w:p>
      <w:pPr>
        <w:pStyle w:val="969"/>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公司愿就由贵公司组织实施的项目编号为_________号的采购活动进行响应。本公司所提交的商务、技术及报价文件中所有关于资格的文件、证明和陈述均是真实的、准确的和有效的。若与事实情况不符，本公司愿意承担由此而产生的一切后果。</w:t>
      </w:r>
      <w:r>
        <w:rPr>
          <w:rFonts w:hint="eastAsia" w:ascii="宋体" w:hAnsi="宋体" w:eastAsia="宋体" w:cs="宋体"/>
          <w:color w:val="000000"/>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供应商（单位盖章）：</w:t>
      </w:r>
      <w:r>
        <w:rPr>
          <w:rFonts w:hint="eastAsia" w:ascii="宋体" w:hAnsi="宋体" w:eastAsia="宋体" w:cs="宋体"/>
          <w:color w:val="000000"/>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法定代表人或代理人（签字或盖章）；</w:t>
      </w:r>
      <w:r>
        <w:rPr>
          <w:rFonts w:hint="eastAsia" w:ascii="宋体" w:hAnsi="宋体" w:eastAsia="宋体" w:cs="宋体"/>
          <w:color w:val="000000"/>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969"/>
        <w:ind w:right="420" w:firstLine="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1082"/>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69"/>
        <w:ind w:right="420" w:firstLine="0"/>
        <w:spacing w:line="360" w:lineRule="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4、开标一览表</w:t>
      </w:r>
      <w:r>
        <w:rPr>
          <w:rFonts w:hint="eastAsia" w:ascii="宋体" w:hAnsi="宋体" w:eastAsia="宋体" w:cs="宋体"/>
          <w:b/>
          <w:bCs/>
          <w:color w:val="000000"/>
          <w:szCs w:val="24"/>
          <w:highlight w:val="none"/>
        </w:rPr>
      </w:r>
      <w:r/>
    </w:p>
    <w:p>
      <w:pPr>
        <w:pStyle w:val="94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开标一览表（投标总价）</w:t>
      </w:r>
      <w:r>
        <w:rPr>
          <w:rFonts w:hint="eastAsia" w:ascii="宋体" w:hAnsi="宋体" w:eastAsia="宋体" w:cs="宋体"/>
          <w:b/>
          <w:color w:val="000000"/>
          <w:sz w:val="24"/>
          <w:szCs w:val="24"/>
          <w:highlight w:val="none"/>
        </w:rPr>
      </w:r>
      <w:r/>
    </w:p>
    <w:tbl>
      <w:tblPr>
        <w:tblW w:w="4952"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57"/>
        <w:gridCol w:w="7102"/>
      </w:tblGrid>
      <w:tr>
        <w:trPr>
          <w:cantSplit/>
          <w:trHeight w:val="832"/>
        </w:trPr>
        <w:tc>
          <w:tcPr>
            <w:tcW w:w="1361" w:type="dxa"/>
            <w:vAlign w:val="center"/>
            <w:textDirection w:val="lrTb"/>
            <w:noWrap w:val="false"/>
          </w:tcPr>
          <w:p>
            <w:pPr>
              <w:pStyle w:val="94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3638" w:type="dxa"/>
            <w:vAlign w:val="center"/>
            <w:textDirection w:val="lrTb"/>
            <w:noWrap w:val="false"/>
          </w:tcPr>
          <w:p>
            <w:pPr>
              <w:pStyle w:val="94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投标总价</w:t>
            </w:r>
            <w:r>
              <w:rPr>
                <w:rFonts w:hint="eastAsia" w:ascii="宋体" w:hAnsi="宋体" w:eastAsia="宋体" w:cs="宋体"/>
                <w:color w:val="000000"/>
                <w:sz w:val="24"/>
                <w:szCs w:val="24"/>
                <w:highlight w:val="none"/>
              </w:rPr>
            </w:r>
            <w:r/>
          </w:p>
        </w:tc>
      </w:tr>
      <w:tr>
        <w:trPr>
          <w:cantSplit/>
          <w:trHeight w:val="960"/>
        </w:trPr>
        <w:tc>
          <w:tcPr>
            <w:tcW w:w="1361" w:type="dxa"/>
            <w:vAlign w:val="center"/>
            <w:textDirection w:val="lrTb"/>
            <w:noWrap w:val="false"/>
          </w:tcPr>
          <w:p>
            <w:pPr>
              <w:pStyle w:val="943"/>
              <w:spacing w:line="360" w:lineRule="auto"/>
              <w:rPr>
                <w:rFonts w:hint="eastAsia" w:ascii="宋体" w:hAnsi="宋体" w:eastAsia="宋体" w:cs="宋体"/>
                <w:color w:val="000000"/>
                <w:sz w:val="24"/>
                <w:szCs w:val="24"/>
                <w:highlight w:val="none"/>
              </w:rPr>
            </w:pPr>
            <w:r/>
            <w:bookmarkStart w:id="6" w:name="XMMC"/>
            <w:r/>
            <w:bookmarkEnd w:id="6"/>
            <w:r>
              <w:rPr>
                <w:rFonts w:hint="eastAsia" w:ascii="宋体" w:hAnsi="宋体" w:eastAsia="宋体" w:cs="宋体"/>
                <w:color w:val="000000"/>
                <w:sz w:val="24"/>
                <w:szCs w:val="24"/>
                <w:highlight w:val="none"/>
              </w:rPr>
            </w:r>
            <w:r/>
          </w:p>
        </w:tc>
        <w:tc>
          <w:tcPr>
            <w:tcW w:w="3638" w:type="dxa"/>
            <w:vAlign w:val="center"/>
            <w:textDirection w:val="lrTb"/>
            <w:noWrap w:val="false"/>
          </w:tcPr>
          <w:p>
            <w:pPr>
              <w:pStyle w:val="94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人民币小写：</w:t>
            </w:r>
            <w:bookmarkStart w:id="7" w:name="JEXX"/>
            <w:r/>
            <w:bookmarkEnd w:id="7"/>
            <w:r>
              <w:rPr>
                <w:rFonts w:hint="eastAsia" w:ascii="宋体" w:hAnsi="宋体" w:eastAsia="宋体" w:cs="宋体"/>
                <w:color w:val="000000"/>
                <w:sz w:val="24"/>
                <w:szCs w:val="24"/>
                <w:highlight w:val="none"/>
              </w:rPr>
              <w:t xml:space="preserve">                                      （元）</w:t>
            </w:r>
            <w:r>
              <w:rPr>
                <w:rFonts w:hint="eastAsia" w:ascii="宋体" w:hAnsi="宋体" w:eastAsia="宋体" w:cs="宋体"/>
                <w:color w:val="000000"/>
                <w:sz w:val="24"/>
                <w:szCs w:val="24"/>
                <w:highlight w:val="none"/>
              </w:rPr>
            </w:r>
            <w:r/>
          </w:p>
        </w:tc>
      </w:tr>
    </w:tbl>
    <w:p>
      <w:pPr>
        <w:pStyle w:val="94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4"/>
        <w:ind w:firstLine="480"/>
        <w:jc w:val="left"/>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供应商（单位盖章）：</w:t>
      </w:r>
      <w:r>
        <w:rPr>
          <w:rFonts w:hint="eastAsia" w:hAnsi="宋体" w:eastAsia="宋体" w:cs="宋体"/>
          <w:color w:val="000000"/>
          <w:sz w:val="24"/>
          <w:szCs w:val="24"/>
          <w:highlight w:val="none"/>
        </w:rPr>
      </w:r>
      <w:r/>
    </w:p>
    <w:p>
      <w:pPr>
        <w:pStyle w:val="984"/>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法定代表人或代理人（签字或盖章）：</w:t>
      </w:r>
      <w:r>
        <w:rPr>
          <w:rFonts w:hint="eastAsia" w:hAnsi="宋体" w:eastAsia="宋体" w:cs="宋体"/>
          <w:color w:val="000000"/>
          <w:sz w:val="24"/>
          <w:szCs w:val="24"/>
          <w:highlight w:val="none"/>
        </w:rPr>
      </w:r>
      <w:r/>
    </w:p>
    <w:p>
      <w:pPr>
        <w:pStyle w:val="984"/>
        <w:ind w:firstLine="480"/>
        <w:spacing w:line="360" w:lineRule="auto"/>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rPr>
        <w:t xml:space="preserve">日期：     年     月     日</w:t>
      </w:r>
      <w:r>
        <w:rPr>
          <w:rFonts w:hint="eastAsia" w:hAnsi="宋体" w:eastAsia="宋体" w:cs="宋体"/>
          <w:color w:val="000000"/>
          <w:sz w:val="24"/>
          <w:szCs w:val="24"/>
          <w:highlight w:val="none"/>
          <w:lang w:val="zh-CN"/>
        </w:rPr>
      </w:r>
      <w:r/>
    </w:p>
    <w:p>
      <w:pPr>
        <w:pStyle w:val="1082"/>
        <w:spacing w:line="360" w:lineRule="auto"/>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1082"/>
        <w:spacing w:line="360" w:lineRule="auto"/>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1082"/>
        <w:spacing w:line="360" w:lineRule="auto"/>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r>
      <w:r/>
    </w:p>
    <w:p>
      <w:pPr>
        <w:pStyle w:val="1082"/>
        <w:spacing w:line="360" w:lineRule="auto"/>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br w:type="page" w:clear="all"/>
      </w:r>
      <w:r>
        <w:rPr>
          <w:rFonts w:hint="eastAsia" w:hAnsi="宋体" w:eastAsia="宋体" w:cs="宋体"/>
          <w:b/>
          <w:bCs/>
          <w:color w:val="000000"/>
          <w:sz w:val="24"/>
          <w:szCs w:val="24"/>
          <w:highlight w:val="none"/>
        </w:rPr>
        <w:t xml:space="preserve">5、磋商响应明细报价表</w:t>
      </w:r>
      <w:r>
        <w:rPr>
          <w:rFonts w:hint="eastAsia" w:hAnsi="宋体" w:eastAsia="宋体" w:cs="宋体"/>
          <w:b/>
          <w:bCs/>
          <w:color w:val="000000"/>
          <w:sz w:val="24"/>
          <w:szCs w:val="24"/>
          <w:highlight w:val="none"/>
        </w:rPr>
      </w:r>
      <w:r/>
    </w:p>
    <w:p>
      <w:pPr>
        <w:pStyle w:val="1082"/>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项目磋商响应明细报价表</w:t>
      </w:r>
      <w:r>
        <w:rPr>
          <w:rFonts w:hint="eastAsia" w:hAnsi="宋体" w:eastAsia="宋体" w:cs="宋体"/>
          <w:color w:val="000000"/>
          <w:sz w:val="24"/>
          <w:szCs w:val="24"/>
          <w:highlight w:val="none"/>
        </w:rPr>
      </w:r>
      <w:r/>
    </w:p>
    <w:tbl>
      <w:tblPr>
        <w:tblW w:w="96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5"/>
        <w:gridCol w:w="3780"/>
        <w:gridCol w:w="870"/>
        <w:gridCol w:w="810"/>
        <w:gridCol w:w="990"/>
        <w:gridCol w:w="1050"/>
        <w:gridCol w:w="1189"/>
      </w:tblGrid>
      <w:tr>
        <w:trPr>
          <w:trHeight w:val="567"/>
        </w:trPr>
        <w:tc>
          <w:tcPr>
            <w:tcW w:w="965" w:type="dxa"/>
            <w:vAlign w:val="center"/>
            <w:textDirection w:val="lrTb"/>
            <w:noWrap w:val="false"/>
          </w:tcPr>
          <w:p>
            <w:pPr>
              <w:pStyle w:val="94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序号</w:t>
            </w:r>
            <w:r>
              <w:rPr>
                <w:rFonts w:hint="eastAsia" w:ascii="宋体" w:hAnsi="宋体" w:eastAsia="宋体" w:cs="宋体"/>
                <w:color w:val="000000"/>
                <w:sz w:val="24"/>
                <w:szCs w:val="24"/>
                <w:highlight w:val="none"/>
              </w:rPr>
            </w:r>
            <w:r/>
          </w:p>
        </w:tc>
        <w:tc>
          <w:tcPr>
            <w:tcW w:w="3780" w:type="dxa"/>
            <w:vAlign w:val="center"/>
            <w:textDirection w:val="lrTb"/>
            <w:noWrap w:val="false"/>
          </w:tcPr>
          <w:p>
            <w:pPr>
              <w:pStyle w:val="94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费用条目</w:t>
            </w:r>
            <w:r>
              <w:rPr>
                <w:rFonts w:hint="eastAsia" w:ascii="宋体" w:hAnsi="宋体" w:eastAsia="宋体" w:cs="宋体"/>
                <w:color w:val="000000"/>
                <w:sz w:val="24"/>
                <w:szCs w:val="24"/>
                <w:highlight w:val="none"/>
              </w:rPr>
            </w:r>
            <w:r/>
          </w:p>
        </w:tc>
        <w:tc>
          <w:tcPr>
            <w:tcW w:w="870" w:type="dxa"/>
            <w:vAlign w:val="center"/>
            <w:textDirection w:val="lrTb"/>
            <w:noWrap w:val="false"/>
          </w:tcPr>
          <w:p>
            <w:pPr>
              <w:pStyle w:val="94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单位</w:t>
            </w:r>
            <w:r>
              <w:rPr>
                <w:rFonts w:hint="eastAsia" w:ascii="宋体" w:hAnsi="宋体" w:eastAsia="宋体" w:cs="宋体"/>
                <w:color w:val="000000"/>
                <w:sz w:val="24"/>
                <w:szCs w:val="24"/>
                <w:highlight w:val="none"/>
              </w:rPr>
            </w:r>
            <w:r/>
          </w:p>
        </w:tc>
        <w:tc>
          <w:tcPr>
            <w:tcW w:w="810" w:type="dxa"/>
            <w:vAlign w:val="center"/>
            <w:textDirection w:val="lrTb"/>
            <w:noWrap w:val="false"/>
          </w:tcPr>
          <w:p>
            <w:pPr>
              <w:pStyle w:val="94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color w:val="000000"/>
                <w:sz w:val="24"/>
                <w:szCs w:val="24"/>
                <w:highlight w:val="none"/>
              </w:rPr>
            </w:r>
            <w:r/>
          </w:p>
        </w:tc>
        <w:tc>
          <w:tcPr>
            <w:tcW w:w="990" w:type="dxa"/>
            <w:vAlign w:val="center"/>
            <w:textDirection w:val="lrTb"/>
            <w:noWrap w:val="false"/>
          </w:tcPr>
          <w:p>
            <w:pPr>
              <w:pStyle w:val="94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单价</w:t>
            </w:r>
            <w:r>
              <w:rPr>
                <w:rFonts w:hint="eastAsia" w:ascii="宋体" w:hAnsi="宋体" w:eastAsia="宋体" w:cs="宋体"/>
                <w:color w:val="000000"/>
                <w:sz w:val="24"/>
                <w:szCs w:val="24"/>
                <w:highlight w:val="none"/>
              </w:rPr>
            </w:r>
            <w:r/>
          </w:p>
        </w:tc>
        <w:tc>
          <w:tcPr>
            <w:tcW w:w="1050" w:type="dxa"/>
            <w:vAlign w:val="center"/>
            <w:textDirection w:val="lrTb"/>
            <w:noWrap w:val="false"/>
          </w:tcPr>
          <w:p>
            <w:pPr>
              <w:pStyle w:val="94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总价</w:t>
            </w:r>
            <w:r>
              <w:rPr>
                <w:rFonts w:hint="eastAsia" w:ascii="宋体" w:hAnsi="宋体" w:eastAsia="宋体" w:cs="宋体"/>
                <w:color w:val="000000"/>
                <w:sz w:val="24"/>
                <w:szCs w:val="24"/>
                <w:highlight w:val="none"/>
              </w:rPr>
            </w:r>
            <w:r/>
          </w:p>
        </w:tc>
        <w:tc>
          <w:tcPr>
            <w:tcW w:w="1189" w:type="dxa"/>
            <w:vAlign w:val="center"/>
            <w:textDirection w:val="lrTb"/>
            <w:noWrap w:val="false"/>
          </w:tcPr>
          <w:p>
            <w:pPr>
              <w:pStyle w:val="94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67"/>
        </w:trPr>
        <w:tc>
          <w:tcPr>
            <w:tcW w:w="965" w:type="dxa"/>
            <w:vAlign w:val="center"/>
            <w:textDirection w:val="lrTb"/>
            <w:noWrap w:val="false"/>
          </w:tcPr>
          <w:p>
            <w:pPr>
              <w:pStyle w:val="943"/>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ascii="宋体" w:hAnsi="宋体" w:eastAsia="宋体" w:cs="宋体"/>
                <w:bCs/>
                <w:color w:val="000000"/>
                <w:sz w:val="24"/>
                <w:szCs w:val="24"/>
                <w:highlight w:val="none"/>
              </w:rPr>
            </w:r>
            <w:r/>
          </w:p>
        </w:tc>
        <w:tc>
          <w:tcPr>
            <w:tcW w:w="378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7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1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9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05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9"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567"/>
        </w:trPr>
        <w:tc>
          <w:tcPr>
            <w:tcW w:w="965" w:type="dxa"/>
            <w:vAlign w:val="center"/>
            <w:textDirection w:val="lrTb"/>
            <w:noWrap w:val="false"/>
          </w:tcPr>
          <w:p>
            <w:pPr>
              <w:pStyle w:val="943"/>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ascii="宋体" w:hAnsi="宋体" w:eastAsia="宋体" w:cs="宋体"/>
                <w:bCs/>
                <w:color w:val="000000"/>
                <w:sz w:val="24"/>
                <w:szCs w:val="24"/>
                <w:highlight w:val="none"/>
              </w:rPr>
            </w:r>
            <w:r/>
          </w:p>
        </w:tc>
        <w:tc>
          <w:tcPr>
            <w:tcW w:w="378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7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1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9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05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9"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567"/>
        </w:trPr>
        <w:tc>
          <w:tcPr>
            <w:tcW w:w="965" w:type="dxa"/>
            <w:vAlign w:val="center"/>
            <w:textDirection w:val="lrTb"/>
            <w:noWrap w:val="false"/>
          </w:tcPr>
          <w:p>
            <w:pPr>
              <w:pStyle w:val="943"/>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ascii="宋体" w:hAnsi="宋体" w:eastAsia="宋体" w:cs="宋体"/>
                <w:bCs/>
                <w:color w:val="000000"/>
                <w:sz w:val="24"/>
                <w:szCs w:val="24"/>
                <w:highlight w:val="none"/>
              </w:rPr>
            </w:r>
            <w:r/>
          </w:p>
        </w:tc>
        <w:tc>
          <w:tcPr>
            <w:tcW w:w="378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7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1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9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05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9"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567"/>
        </w:trPr>
        <w:tc>
          <w:tcPr>
            <w:tcW w:w="965" w:type="dxa"/>
            <w:vAlign w:val="center"/>
            <w:textDirection w:val="lrTb"/>
            <w:noWrap w:val="false"/>
          </w:tcPr>
          <w:p>
            <w:pPr>
              <w:pStyle w:val="943"/>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ascii="宋体" w:hAnsi="宋体" w:eastAsia="宋体" w:cs="宋体"/>
                <w:bCs/>
                <w:color w:val="000000"/>
                <w:sz w:val="24"/>
                <w:szCs w:val="24"/>
                <w:highlight w:val="none"/>
              </w:rPr>
            </w:r>
            <w:r/>
          </w:p>
        </w:tc>
        <w:tc>
          <w:tcPr>
            <w:tcW w:w="378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7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1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9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05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9"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567"/>
        </w:trPr>
        <w:tc>
          <w:tcPr>
            <w:tcW w:w="965" w:type="dxa"/>
            <w:vAlign w:val="center"/>
            <w:textDirection w:val="lrTb"/>
            <w:noWrap w:val="false"/>
          </w:tcPr>
          <w:p>
            <w:pPr>
              <w:pStyle w:val="943"/>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rPr>
                <w:rFonts w:ascii="宋体" w:hAnsi="宋体" w:eastAsia="宋体" w:cs="宋体"/>
                <w:bCs/>
                <w:color w:val="000000"/>
                <w:sz w:val="24"/>
                <w:szCs w:val="24"/>
                <w:highlight w:val="none"/>
              </w:rPr>
            </w:r>
            <w:r/>
          </w:p>
        </w:tc>
        <w:tc>
          <w:tcPr>
            <w:tcW w:w="378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7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1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9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05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9"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567"/>
        </w:trPr>
        <w:tc>
          <w:tcPr>
            <w:tcW w:w="965"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r>
            <w:r/>
          </w:p>
        </w:tc>
        <w:tc>
          <w:tcPr>
            <w:tcW w:w="378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7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1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99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050"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89" w:type="dxa"/>
            <w:vAlign w:val="center"/>
            <w:textDirection w:val="lrTb"/>
            <w:noWrap w:val="false"/>
          </w:tcPr>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567"/>
        </w:trPr>
        <w:tc>
          <w:tcPr>
            <w:gridSpan w:val="2"/>
            <w:tcW w:w="4745" w:type="dxa"/>
            <w:vAlign w:val="center"/>
            <w:textDirection w:val="lrTb"/>
            <w:noWrap w:val="false"/>
          </w:tcPr>
          <w:p>
            <w:pPr>
              <w:pStyle w:val="969"/>
              <w:ind w:right="420"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合计金额</w:t>
            </w:r>
            <w:r>
              <w:rPr>
                <w:rFonts w:hint="eastAsia" w:ascii="宋体" w:hAnsi="宋体" w:eastAsia="宋体" w:cs="宋体"/>
                <w:color w:val="000000"/>
                <w:szCs w:val="24"/>
                <w:highlight w:val="none"/>
              </w:rPr>
            </w:r>
            <w:r/>
          </w:p>
        </w:tc>
        <w:tc>
          <w:tcPr>
            <w:gridSpan w:val="5"/>
            <w:tcW w:w="4909" w:type="dxa"/>
            <w:vAlign w:val="center"/>
            <w:textDirection w:val="lrTb"/>
            <w:noWrap w:val="false"/>
          </w:tcPr>
          <w:p>
            <w:pPr>
              <w:pStyle w:val="969"/>
              <w:ind w:right="420"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人民币</w:t>
            </w:r>
            <w:r>
              <w:rPr>
                <w:rFonts w:hint="eastAsia" w:ascii="宋体" w:hAnsi="宋体" w:eastAsia="宋体" w:cs="宋体"/>
                <w:color w:val="000000"/>
                <w:szCs w:val="24"/>
                <w:highlight w:val="none"/>
                <w:u w:val="single"/>
              </w:rPr>
              <w:t xml:space="preserve">（大写）</w:t>
            </w:r>
            <w:r>
              <w:rPr>
                <w:rFonts w:hint="eastAsia" w:ascii="宋体" w:hAnsi="宋体" w:eastAsia="宋体" w:cs="宋体"/>
                <w:color w:val="000000"/>
                <w:szCs w:val="24"/>
                <w:highlight w:val="none"/>
              </w:rPr>
              <w:t xml:space="preserve">元（¥</w:t>
            </w:r>
            <w:r>
              <w:rPr>
                <w:rFonts w:hint="eastAsia" w:ascii="宋体" w:hAnsi="宋体" w:eastAsia="宋体" w:cs="宋体"/>
                <w:color w:val="000000"/>
                <w:szCs w:val="24"/>
                <w:highlight w:val="none"/>
                <w:u w:val="single"/>
              </w:rPr>
              <w:t xml:space="preserve">（小写）</w:t>
            </w:r>
            <w:r>
              <w:rPr>
                <w:rFonts w:hint="eastAsia" w:ascii="宋体" w:hAnsi="宋体" w:eastAsia="宋体" w:cs="宋体"/>
                <w:color w:val="000000"/>
                <w:szCs w:val="24"/>
                <w:highlight w:val="none"/>
              </w:rPr>
              <w:t xml:space="preserve">元）</w:t>
            </w:r>
            <w:r>
              <w:rPr>
                <w:rFonts w:hint="eastAsia" w:ascii="宋体" w:hAnsi="宋体" w:eastAsia="宋体" w:cs="宋体"/>
                <w:color w:val="000000"/>
                <w:szCs w:val="24"/>
                <w:highlight w:val="none"/>
              </w:rPr>
            </w:r>
            <w:r/>
          </w:p>
        </w:tc>
      </w:tr>
    </w:tbl>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注：</w:t>
      </w:r>
      <w:r>
        <w:rPr>
          <w:rFonts w:hint="eastAsia" w:ascii="宋体" w:hAnsi="宋体" w:eastAsia="宋体" w:cs="宋体"/>
          <w:color w:val="000000"/>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1、供应商应根据此表格式按项目分别填写报价详细清单，如表格内容不够，可自行添加。</w:t>
      </w:r>
      <w:r>
        <w:rPr>
          <w:rFonts w:hint="eastAsia" w:ascii="宋体" w:hAnsi="宋体" w:eastAsia="宋体" w:cs="宋体"/>
          <w:color w:val="000000"/>
          <w:szCs w:val="24"/>
          <w:highlight w:val="none"/>
        </w:rPr>
      </w:r>
      <w:r/>
    </w:p>
    <w:p>
      <w:pPr>
        <w:pStyle w:val="969"/>
        <w:ind w:right="118"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2、供应商须对全部采购内容进行报价。本表中合计金额应与“开标一览表”投标总价一致，否则，以《开标一览表》为准。</w:t>
      </w:r>
      <w:r>
        <w:rPr>
          <w:rFonts w:hint="eastAsia" w:ascii="宋体" w:hAnsi="宋体" w:eastAsia="宋体" w:cs="宋体"/>
          <w:color w:val="000000"/>
          <w:szCs w:val="24"/>
          <w:highlight w:val="none"/>
        </w:rPr>
      </w:r>
      <w:r/>
    </w:p>
    <w:p>
      <w:pPr>
        <w:pStyle w:val="969"/>
        <w:ind w:right="118"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3、报价包括</w:t>
      </w:r>
      <w:r>
        <w:rPr>
          <w:rFonts w:hint="eastAsia" w:ascii="宋体" w:hAnsi="宋体" w:eastAsia="宋体" w:cs="宋体"/>
          <w:color w:val="000000"/>
          <w:szCs w:val="24"/>
          <w:highlight w:val="none"/>
          <w:lang w:val="zh-CN"/>
        </w:rPr>
        <w:t xml:space="preserve">完成所有采购内容以及本项目所需的劳务支出、保险、配套费用、税费及服务相关等所发生的全部费用以及企业利润、税金和政策性文件规定及合同包含的所有风险、责任等各项应有费用</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供应商（单位盖章）：</w:t>
      </w:r>
      <w:r>
        <w:rPr>
          <w:rFonts w:hint="eastAsia" w:ascii="宋体" w:hAnsi="宋体" w:eastAsia="宋体" w:cs="宋体"/>
          <w:color w:val="000000"/>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法定代表人或代理人（签字或盖章）：</w:t>
      </w:r>
      <w:r>
        <w:rPr>
          <w:rFonts w:hint="eastAsia" w:ascii="宋体" w:hAnsi="宋体" w:eastAsia="宋体" w:cs="宋体"/>
          <w:color w:val="000000"/>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984"/>
        <w:ind w:firstLine="480"/>
        <w:jc w:val="left"/>
        <w:spacing w:line="360" w:lineRule="auto"/>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r>
      <w:r/>
    </w:p>
    <w:p>
      <w:pPr>
        <w:pStyle w:val="984"/>
        <w:jc w:val="left"/>
        <w:spacing w:line="360" w:lineRule="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r>
      <w:r/>
    </w:p>
    <w:p>
      <w:pPr>
        <w:pStyle w:val="984"/>
        <w:jc w:val="left"/>
        <w:spacing w:line="360" w:lineRule="auto"/>
        <w:rPr>
          <w:rFonts w:hint="eastAsia" w:hAnsi="宋体" w:eastAsia="宋体" w:cs="宋体"/>
          <w:b/>
          <w:bCs/>
          <w:color w:val="000000"/>
          <w:sz w:val="24"/>
          <w:szCs w:val="24"/>
          <w:highlight w:val="none"/>
        </w:rPr>
        <w:sectPr>
          <w:footnotePr/>
          <w:endnotePr/>
          <w:type w:val="nextPage"/>
          <w:pgSz w:w="11906" w:h="16838" w:orient="portrait"/>
          <w:pgMar w:top="1134" w:right="1134" w:bottom="1134" w:left="1134" w:header="851" w:footer="567" w:gutter="0"/>
          <w:cols w:num="1" w:sep="0" w:space="1701" w:equalWidth="1"/>
          <w:docGrid w:linePitch="360"/>
        </w:sectPr>
      </w:pPr>
      <w:r>
        <w:rPr>
          <w:rFonts w:hint="eastAsia" w:hAnsi="宋体" w:eastAsia="宋体" w:cs="宋体"/>
          <w:b/>
          <w:bCs/>
          <w:color w:val="000000"/>
          <w:sz w:val="24"/>
          <w:szCs w:val="24"/>
          <w:highlight w:val="none"/>
        </w:rPr>
      </w:r>
      <w:r/>
    </w:p>
    <w:p>
      <w:pPr>
        <w:pStyle w:val="984"/>
        <w:jc w:val="left"/>
        <w:spacing w:line="360" w:lineRule="auto"/>
        <w:rPr>
          <w:rFonts w:hint="eastAsia" w:hAnsi="宋体" w:eastAsia="宋体" w:cs="宋体"/>
          <w:b/>
          <w:color w:val="000000"/>
          <w:sz w:val="24"/>
          <w:szCs w:val="24"/>
          <w:highlight w:val="none"/>
          <w:lang w:val="zh-CN"/>
        </w:rPr>
      </w:pPr>
      <w:r>
        <w:rPr>
          <w:rFonts w:hint="eastAsia" w:hAnsi="宋体" w:eastAsia="宋体" w:cs="宋体"/>
          <w:b/>
          <w:color w:val="000000"/>
          <w:sz w:val="24"/>
          <w:szCs w:val="24"/>
          <w:highlight w:val="none"/>
        </w:rPr>
        <w:t xml:space="preserve">6</w:t>
      </w:r>
      <w:r>
        <w:rPr>
          <w:rFonts w:hint="eastAsia" w:hAnsi="宋体" w:eastAsia="宋体" w:cs="宋体"/>
          <w:b/>
          <w:color w:val="000000"/>
          <w:sz w:val="24"/>
          <w:szCs w:val="24"/>
          <w:highlight w:val="none"/>
          <w:lang w:val="zh-CN"/>
        </w:rPr>
        <w:t xml:space="preserve">、中小企业声明函</w:t>
      </w:r>
      <w:r>
        <w:rPr>
          <w:rFonts w:hint="eastAsia" w:hAnsi="宋体" w:eastAsia="宋体" w:cs="宋体"/>
          <w:b/>
          <w:color w:val="000000"/>
          <w:sz w:val="24"/>
          <w:szCs w:val="24"/>
          <w:highlight w:val="none"/>
          <w:lang w:val="zh-CN"/>
        </w:rPr>
      </w:r>
      <w:r/>
    </w:p>
    <w:p>
      <w:pPr>
        <w:pStyle w:val="943"/>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苏州正杰招投标咨询服务有限公司</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43"/>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本公司郑重声明，根据《政府采购促进中小企业发展管理办法》（财库﹝2020﹞46 号）的规定，本公司参加</w:t>
      </w:r>
      <w:r>
        <w:rPr>
          <w:rFonts w:hint="eastAsia" w:ascii="宋体" w:hAnsi="宋体" w:eastAsia="宋体" w:cs="宋体"/>
          <w:color w:val="000000"/>
          <w:sz w:val="24"/>
          <w:szCs w:val="24"/>
          <w:highlight w:val="none"/>
          <w:u w:val="single"/>
          <w:lang w:val="zh-CN"/>
        </w:rPr>
        <w:t xml:space="preserve">（单位名称）</w:t>
      </w:r>
      <w:r>
        <w:rPr>
          <w:rFonts w:hint="eastAsia" w:ascii="宋体" w:hAnsi="宋体" w:eastAsia="宋体" w:cs="宋体"/>
          <w:color w:val="000000"/>
          <w:sz w:val="24"/>
          <w:szCs w:val="24"/>
          <w:highlight w:val="none"/>
          <w:lang w:val="zh-CN"/>
        </w:rPr>
        <w:t xml:space="preserve">的</w:t>
      </w:r>
      <w:r>
        <w:rPr>
          <w:rFonts w:hint="eastAsia" w:ascii="宋体" w:hAnsi="宋体" w:eastAsia="宋体" w:cs="宋体"/>
          <w:color w:val="000000"/>
          <w:sz w:val="24"/>
          <w:szCs w:val="24"/>
          <w:highlight w:val="none"/>
          <w:u w:val="single"/>
          <w:lang w:val="zh-CN"/>
        </w:rPr>
        <w:t xml:space="preserve">（项目名称）</w:t>
      </w:r>
      <w:r>
        <w:rPr>
          <w:rFonts w:hint="eastAsia" w:ascii="宋体" w:hAnsi="宋体" w:eastAsia="宋体" w:cs="宋体"/>
          <w:color w:val="000000"/>
          <w:sz w:val="24"/>
          <w:szCs w:val="24"/>
          <w:highlight w:val="none"/>
          <w:lang w:val="zh-CN"/>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color w:val="000000"/>
          <w:sz w:val="24"/>
          <w:szCs w:val="24"/>
          <w:highlight w:val="none"/>
          <w:lang w:val="zh-CN"/>
        </w:rPr>
      </w:r>
      <w:r/>
    </w:p>
    <w:p>
      <w:pPr>
        <w:pStyle w:val="943"/>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u w:val="single"/>
          <w:lang w:val="zh-CN"/>
        </w:rPr>
        <w:t xml:space="preserve">（标的名称）</w:t>
      </w:r>
      <w:r>
        <w:rPr>
          <w:rFonts w:hint="eastAsia" w:ascii="宋体" w:hAnsi="宋体" w:eastAsia="宋体" w:cs="宋体"/>
          <w:color w:val="000000"/>
          <w:sz w:val="24"/>
          <w:szCs w:val="24"/>
          <w:highlight w:val="none"/>
          <w:lang w:val="zh-CN"/>
        </w:rPr>
        <w:t xml:space="preserve">，属于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（采购文件中明确的所属行业）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val="zh-CN"/>
        </w:rPr>
        <w:t xml:space="preserve">；承接企业为</w:t>
      </w:r>
      <w:r>
        <w:rPr>
          <w:rFonts w:hint="eastAsia" w:ascii="宋体" w:hAnsi="宋体" w:eastAsia="宋体" w:cs="宋体"/>
          <w:color w:val="000000"/>
          <w:sz w:val="24"/>
          <w:szCs w:val="24"/>
          <w:highlight w:val="none"/>
          <w:u w:val="single"/>
          <w:lang w:val="zh-CN"/>
        </w:rPr>
        <w:t xml:space="preserve">（企业名称）</w:t>
      </w:r>
      <w:r>
        <w:rPr>
          <w:rFonts w:hint="eastAsia" w:ascii="宋体" w:hAnsi="宋体" w:eastAsia="宋体" w:cs="宋体"/>
          <w:color w:val="000000"/>
          <w:sz w:val="24"/>
          <w:szCs w:val="24"/>
          <w:highlight w:val="none"/>
          <w:lang w:val="zh-CN"/>
        </w:rPr>
        <w:t xml:space="preserve">，从业人员</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人，营业收入为</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万元，资产总额为</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万元，属于</w:t>
      </w:r>
      <w:r>
        <w:rPr>
          <w:rFonts w:hint="eastAsia" w:ascii="宋体" w:hAnsi="宋体" w:eastAsia="宋体" w:cs="宋体"/>
          <w:color w:val="000000"/>
          <w:sz w:val="24"/>
          <w:szCs w:val="24"/>
          <w:highlight w:val="none"/>
          <w:u w:val="single"/>
          <w:lang w:val="zh-CN"/>
        </w:rPr>
        <w:t xml:space="preserve">      （中型企业、小型企业、微型企业）</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43"/>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u w:val="single"/>
          <w:lang w:val="zh-CN"/>
        </w:rPr>
        <w:t xml:space="preserve">（标的名称）</w:t>
      </w:r>
      <w:r>
        <w:rPr>
          <w:rFonts w:hint="eastAsia" w:ascii="宋体" w:hAnsi="宋体" w:eastAsia="宋体" w:cs="宋体"/>
          <w:color w:val="000000"/>
          <w:sz w:val="24"/>
          <w:szCs w:val="24"/>
          <w:highlight w:val="none"/>
          <w:lang w:val="zh-CN"/>
        </w:rPr>
        <w:t xml:space="preserve">，属于</w:t>
      </w:r>
      <w:r>
        <w:rPr>
          <w:rFonts w:hint="eastAsia" w:ascii="宋体" w:hAnsi="宋体" w:eastAsia="宋体" w:cs="宋体"/>
          <w:color w:val="000000"/>
          <w:sz w:val="24"/>
          <w:szCs w:val="24"/>
          <w:highlight w:val="none"/>
          <w:u w:val="single"/>
          <w:lang w:val="zh-CN"/>
        </w:rPr>
        <w:t xml:space="preserve">（采购文件中明确的所属行业）</w:t>
      </w:r>
      <w:r>
        <w:rPr>
          <w:rFonts w:hint="eastAsia" w:ascii="宋体" w:hAnsi="宋体" w:eastAsia="宋体" w:cs="宋体"/>
          <w:color w:val="000000"/>
          <w:sz w:val="24"/>
          <w:szCs w:val="24"/>
          <w:highlight w:val="none"/>
          <w:lang w:val="zh-CN"/>
        </w:rPr>
        <w:t xml:space="preserve">；承接企业为</w:t>
      </w:r>
      <w:r>
        <w:rPr>
          <w:rFonts w:hint="eastAsia" w:ascii="宋体" w:hAnsi="宋体" w:eastAsia="宋体" w:cs="宋体"/>
          <w:color w:val="000000"/>
          <w:sz w:val="24"/>
          <w:szCs w:val="24"/>
          <w:highlight w:val="none"/>
          <w:u w:val="single"/>
          <w:lang w:val="zh-CN"/>
        </w:rPr>
        <w:t xml:space="preserve">（企业名称）</w:t>
      </w:r>
      <w:r>
        <w:rPr>
          <w:rFonts w:hint="eastAsia" w:ascii="宋体" w:hAnsi="宋体" w:eastAsia="宋体" w:cs="宋体"/>
          <w:color w:val="000000"/>
          <w:sz w:val="24"/>
          <w:szCs w:val="24"/>
          <w:highlight w:val="none"/>
          <w:lang w:val="zh-CN"/>
        </w:rPr>
        <w:t xml:space="preserve">，从业人员</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人，营业收入为</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万元，资产总额为</w:t>
      </w:r>
      <w:r>
        <w:rPr>
          <w:rFonts w:hint="eastAsia" w:ascii="宋体" w:hAnsi="宋体" w:eastAsia="宋体" w:cs="宋体"/>
          <w:color w:val="000000"/>
          <w:sz w:val="24"/>
          <w:szCs w:val="24"/>
          <w:highlight w:val="none"/>
        </w:rPr>
        <w:t xml:space="preserve">________</w:t>
      </w:r>
      <w:r>
        <w:rPr>
          <w:rFonts w:hint="eastAsia" w:ascii="宋体" w:hAnsi="宋体" w:eastAsia="宋体" w:cs="宋体"/>
          <w:color w:val="000000"/>
          <w:sz w:val="24"/>
          <w:szCs w:val="24"/>
          <w:highlight w:val="none"/>
          <w:lang w:val="zh-CN"/>
        </w:rPr>
        <w:t xml:space="preserve">万元，属于</w:t>
      </w:r>
      <w:r>
        <w:rPr>
          <w:rFonts w:hint="eastAsia" w:ascii="宋体" w:hAnsi="宋体" w:eastAsia="宋体" w:cs="宋体"/>
          <w:color w:val="000000"/>
          <w:sz w:val="24"/>
          <w:szCs w:val="24"/>
          <w:highlight w:val="none"/>
          <w:u w:val="single"/>
          <w:lang w:val="zh-CN"/>
        </w:rPr>
        <w:t xml:space="preserve">       （中型企业、小型企业、微型企业）</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43"/>
        <w:ind w:firstLine="7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43"/>
        <w:ind w:firstLine="7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lang w:val="zh-CN"/>
        </w:rPr>
      </w:r>
      <w:r/>
    </w:p>
    <w:p>
      <w:pPr>
        <w:pStyle w:val="943"/>
        <w:ind w:firstLine="7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本企业对上述声明内容的真实性负责。如有虚假，将依法承担相应责任。</w:t>
      </w:r>
      <w:r>
        <w:rPr>
          <w:rFonts w:hint="eastAsia" w:ascii="宋体" w:hAnsi="宋体" w:eastAsia="宋体" w:cs="宋体"/>
          <w:color w:val="000000"/>
          <w:sz w:val="24"/>
          <w:szCs w:val="24"/>
          <w:highlight w:val="none"/>
          <w:lang w:val="zh-CN"/>
        </w:rPr>
      </w:r>
      <w:r/>
    </w:p>
    <w:p>
      <w:pPr>
        <w:pStyle w:val="943"/>
        <w:ind w:firstLine="49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企业名称（盖章）：</w:t>
      </w:r>
      <w:r>
        <w:rPr>
          <w:rFonts w:hint="eastAsia" w:ascii="宋体" w:hAnsi="宋体" w:eastAsia="宋体" w:cs="宋体"/>
          <w:color w:val="000000"/>
          <w:sz w:val="24"/>
          <w:szCs w:val="24"/>
          <w:highlight w:val="none"/>
          <w:lang w:val="zh-CN"/>
        </w:rPr>
      </w:r>
      <w:r/>
    </w:p>
    <w:p>
      <w:pPr>
        <w:pStyle w:val="943"/>
        <w:ind w:firstLine="49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日期：</w:t>
      </w:r>
      <w:r>
        <w:rPr>
          <w:rFonts w:hint="eastAsia" w:ascii="宋体" w:hAnsi="宋体" w:eastAsia="宋体" w:cs="宋体"/>
          <w:color w:val="000000"/>
          <w:sz w:val="24"/>
          <w:szCs w:val="24"/>
          <w:highlight w:val="none"/>
        </w:rPr>
      </w:r>
      <w:r/>
    </w:p>
    <w:p>
      <w:pPr>
        <w:pStyle w:val="943"/>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rPr>
          <w:rFonts w:hint="eastAsia" w:ascii="宋体" w:hAnsi="宋体" w:eastAsia="宋体" w:cs="宋体"/>
          <w:b/>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从业人员、营业收入、资产总额填报上一年度数据，无上一年度数据的新成立企业可不填报；</w:t>
      </w:r>
      <w:r>
        <w:rPr>
          <w:rFonts w:hint="eastAsia" w:ascii="宋体" w:hAnsi="宋体" w:eastAsia="宋体" w:cs="宋体"/>
          <w:color w:val="000000"/>
          <w:sz w:val="24"/>
          <w:szCs w:val="24"/>
          <w:highlight w:val="none"/>
          <w:lang w:val="zh-CN"/>
        </w:rPr>
      </w:r>
      <w:r/>
    </w:p>
    <w:p>
      <w:pPr>
        <w:pStyle w:val="943"/>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若供应商未在此函中对（中型企业、小型企业、微型企业）明确选择，视为非中小企业，不享受中小企业扶持政策；</w:t>
      </w:r>
      <w:r>
        <w:rPr>
          <w:rFonts w:hint="eastAsia" w:ascii="宋体" w:hAnsi="宋体" w:eastAsia="宋体" w:cs="宋体"/>
          <w:color w:val="000000"/>
          <w:sz w:val="24"/>
          <w:szCs w:val="24"/>
          <w:highlight w:val="none"/>
          <w:lang w:val="zh-CN"/>
        </w:rPr>
      </w:r>
      <w:r/>
    </w:p>
    <w:p>
      <w:pPr>
        <w:pStyle w:val="943"/>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若供应商提供的“中小企业声明函”内容不实的，属于提供虚假材料谋取中标、成交，依照《中华人民共和国政府采购法》等国家有关规定追究相应责任。</w:t>
      </w:r>
      <w:r>
        <w:rPr>
          <w:rFonts w:hint="eastAsia" w:ascii="宋体" w:hAnsi="宋体" w:eastAsia="宋体" w:cs="宋体"/>
          <w:color w:val="000000"/>
          <w:sz w:val="24"/>
          <w:szCs w:val="24"/>
          <w:highlight w:val="none"/>
          <w:lang w:val="zh-CN"/>
        </w:rPr>
      </w:r>
      <w:r/>
    </w:p>
    <w:p>
      <w:pPr>
        <w:pStyle w:val="943"/>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szCs w:val="24"/>
          <w:highlight w:val="none"/>
          <w:lang w:val="zh-CN"/>
        </w:rPr>
      </w:r>
      <w:r/>
    </w:p>
    <w:p>
      <w:pPr>
        <w:pStyle w:val="943"/>
        <w:ind w:firstLine="480"/>
        <w:spacing w:line="44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5、成交供应商为中小企业的，《中小企业声明函》将随成交结果同时公告。</w:t>
      </w:r>
      <w:r>
        <w:rPr>
          <w:rFonts w:hint="eastAsia" w:ascii="宋体" w:hAnsi="宋体" w:eastAsia="宋体" w:cs="宋体"/>
          <w:color w:val="000000"/>
          <w:sz w:val="24"/>
          <w:szCs w:val="24"/>
          <w:highlight w:val="none"/>
        </w:rPr>
        <w:br w:type="page" w:clear="all"/>
      </w:r>
      <w:r>
        <w:rPr>
          <w:rFonts w:hint="eastAsia" w:ascii="宋体" w:hAnsi="宋体" w:eastAsia="宋体" w:cs="宋体"/>
          <w:b/>
          <w:color w:val="000000"/>
          <w:sz w:val="24"/>
          <w:szCs w:val="24"/>
          <w:highlight w:val="none"/>
        </w:rPr>
        <w:t xml:space="preserve">附：中小企业划型标准规定</w:t>
      </w:r>
      <w:r>
        <w:rPr>
          <w:rFonts w:hint="eastAsia" w:ascii="宋体" w:hAnsi="宋体" w:eastAsia="宋体" w:cs="宋体"/>
          <w:b/>
          <w:color w:val="000000"/>
          <w:sz w:val="24"/>
          <w:szCs w:val="24"/>
          <w:highlight w:val="none"/>
        </w:rPr>
      </w:r>
      <w:r/>
    </w:p>
    <w:p>
      <w:pPr>
        <w:pStyle w:val="943"/>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（一）农、林、牧、渔业。</w:t>
      </w:r>
      <w:r>
        <w:rPr>
          <w:rFonts w:hint="eastAsia" w:ascii="宋体" w:hAnsi="宋体" w:eastAsia="宋体" w:cs="宋体"/>
          <w:color w:val="000000"/>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4"/>
          <w:szCs w:val="24"/>
          <w:highlight w:val="none"/>
        </w:rPr>
      </w:r>
      <w:r/>
    </w:p>
    <w:p>
      <w:pPr>
        <w:pStyle w:val="943"/>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（二）工业。</w:t>
      </w:r>
      <w:r>
        <w:rPr>
          <w:rFonts w:hint="eastAsia" w:ascii="宋体" w:hAnsi="宋体" w:eastAsia="宋体" w:cs="宋体"/>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4"/>
          <w:szCs w:val="24"/>
          <w:highlight w:val="none"/>
        </w:rPr>
      </w:r>
      <w:r/>
    </w:p>
    <w:p>
      <w:pPr>
        <w:pStyle w:val="943"/>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（三）建筑业。</w:t>
      </w:r>
      <w:r>
        <w:rPr>
          <w:rFonts w:hint="eastAsia" w:ascii="宋体" w:hAnsi="宋体" w:eastAsia="宋体" w:cs="宋体"/>
          <w:color w:val="000000"/>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4"/>
          <w:szCs w:val="24"/>
          <w:highlight w:val="none"/>
        </w:rPr>
      </w:r>
      <w:r/>
    </w:p>
    <w:p>
      <w:pPr>
        <w:pStyle w:val="943"/>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（四）批发业。</w:t>
      </w:r>
      <w:r>
        <w:rPr>
          <w:rFonts w:hint="eastAsia" w:ascii="宋体" w:hAnsi="宋体" w:eastAsia="宋体" w:cs="宋体"/>
          <w:color w:val="000000"/>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4"/>
          <w:szCs w:val="24"/>
          <w:highlight w:val="none"/>
        </w:rPr>
      </w:r>
      <w:r/>
    </w:p>
    <w:p>
      <w:pPr>
        <w:pStyle w:val="943"/>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（五）零售业。</w:t>
      </w:r>
      <w:r>
        <w:rPr>
          <w:rFonts w:hint="eastAsia" w:ascii="宋体" w:hAnsi="宋体" w:eastAsia="宋体" w:cs="宋体"/>
          <w:color w:val="000000"/>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43"/>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（六）交通运输业。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4"/>
          <w:szCs w:val="24"/>
          <w:highlight w:val="none"/>
        </w:rPr>
      </w:r>
      <w:r/>
    </w:p>
    <w:p>
      <w:pPr>
        <w:pStyle w:val="943"/>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（七）仓储业。</w:t>
      </w:r>
      <w:r>
        <w:rPr>
          <w:rFonts w:hint="eastAsia" w:ascii="宋体" w:hAnsi="宋体" w:eastAsia="宋体" w:cs="宋体"/>
          <w:color w:val="000000"/>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highlight w:val="none"/>
        </w:rPr>
      </w:r>
      <w:r/>
    </w:p>
    <w:p>
      <w:pPr>
        <w:pStyle w:val="943"/>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（八）邮政业。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highlight w:val="none"/>
        </w:rPr>
      </w:r>
      <w:r/>
    </w:p>
    <w:p>
      <w:pPr>
        <w:pStyle w:val="943"/>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（九）住宿业。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43"/>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（十）餐饮业。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43"/>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（十一）信息传输业。</w:t>
      </w:r>
      <w:r>
        <w:rPr>
          <w:rFonts w:hint="eastAsia" w:ascii="宋体" w:hAnsi="宋体" w:eastAsia="宋体" w:cs="宋体"/>
          <w:color w:val="000000"/>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43"/>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（十二）软件和信息技术服务业。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4"/>
          <w:szCs w:val="24"/>
          <w:highlight w:val="none"/>
        </w:rPr>
      </w:r>
      <w:r/>
    </w:p>
    <w:p>
      <w:pPr>
        <w:pStyle w:val="943"/>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（十三）房地产开发经营。</w:t>
      </w:r>
      <w:r>
        <w:rPr>
          <w:rFonts w:hint="eastAsia" w:ascii="宋体" w:hAnsi="宋体" w:eastAsia="宋体" w:cs="宋体"/>
          <w:color w:val="000000"/>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4"/>
          <w:szCs w:val="24"/>
          <w:highlight w:val="none"/>
        </w:rPr>
      </w:r>
      <w:r/>
    </w:p>
    <w:p>
      <w:pPr>
        <w:pStyle w:val="943"/>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（十四）物业管理。</w:t>
      </w:r>
      <w:r>
        <w:rPr>
          <w:rFonts w:hint="eastAsia" w:ascii="宋体" w:hAnsi="宋体" w:eastAsia="宋体" w:cs="宋体"/>
          <w:color w:val="000000"/>
          <w:sz w:val="24"/>
          <w:szCs w:val="24"/>
          <w:highlight w:val="none"/>
        </w:rPr>
        <w:t xml:space="preserve">从业人员1000人以下或营业收入5000万元以下的为中小微型企业。其中，从业人员</w:t>
      </w:r>
      <w:r>
        <w:rPr>
          <w:rFonts w:hint="eastAsia" w:ascii="宋体" w:hAnsi="宋体" w:eastAsia="宋体" w:cs="宋体"/>
          <w:color w:val="000000"/>
          <w:sz w:val="24"/>
          <w:szCs w:val="24"/>
          <w:highlight w:val="none"/>
        </w:rPr>
      </w:r>
      <w:r/>
    </w:p>
    <w:p>
      <w:pPr>
        <w:pStyle w:val="943"/>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4"/>
          <w:szCs w:val="24"/>
          <w:highlight w:val="none"/>
        </w:rPr>
      </w:r>
      <w:r/>
    </w:p>
    <w:p>
      <w:pPr>
        <w:pStyle w:val="943"/>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（十五）租赁和商务服务业。</w:t>
      </w:r>
      <w:r>
        <w:rPr>
          <w:rFonts w:hint="eastAsia" w:ascii="宋体" w:hAnsi="宋体" w:eastAsia="宋体" w:cs="宋体"/>
          <w:color w:val="000000"/>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4"/>
          <w:szCs w:val="24"/>
          <w:highlight w:val="none"/>
        </w:rPr>
      </w:r>
      <w:r/>
    </w:p>
    <w:p>
      <w:pPr>
        <w:pStyle w:val="943"/>
        <w:ind w:firstLine="482"/>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（十六）其他未列明行业。</w:t>
      </w:r>
      <w:r>
        <w:rPr>
          <w:rFonts w:hint="eastAsia" w:ascii="宋体" w:hAnsi="宋体" w:eastAsia="宋体" w:cs="宋体"/>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4"/>
          <w:szCs w:val="24"/>
          <w:highlight w:val="none"/>
        </w:rPr>
      </w:r>
      <w:r/>
    </w:p>
    <w:p>
      <w:pPr>
        <w:pStyle w:val="943"/>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color w:val="000000"/>
          <w:sz w:val="24"/>
          <w:szCs w:val="24"/>
          <w:highlight w:val="none"/>
        </w:rPr>
        <w:br w:type="page" w:clear="all"/>
      </w:r>
      <w:r>
        <w:rPr>
          <w:rFonts w:hint="eastAsia" w:ascii="宋体" w:hAnsi="宋体" w:eastAsia="宋体" w:cs="宋体"/>
          <w:b/>
          <w:bCs/>
          <w:color w:val="000000"/>
          <w:sz w:val="24"/>
          <w:szCs w:val="24"/>
          <w:highlight w:val="none"/>
        </w:rPr>
        <w:t xml:space="preserve">7、残疾人福利性单位声明函</w:t>
      </w:r>
      <w:r>
        <w:rPr>
          <w:rFonts w:hint="eastAsia" w:ascii="宋体" w:hAnsi="宋体" w:eastAsia="宋体" w:cs="宋体"/>
          <w:b/>
          <w:bCs/>
          <w:color w:val="000000"/>
          <w:sz w:val="24"/>
          <w:szCs w:val="24"/>
          <w:highlight w:val="none"/>
        </w:rPr>
      </w:r>
      <w:r/>
    </w:p>
    <w:p>
      <w:pPr>
        <w:pStyle w:val="943"/>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3"/>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由本单位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943"/>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3"/>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本单位对上述声明的真实性负责。如有虚假，将依法承担相应责任。</w:t>
      </w:r>
      <w:r>
        <w:rPr>
          <w:rFonts w:hint="eastAsia" w:ascii="宋体" w:hAnsi="宋体" w:eastAsia="宋体" w:cs="宋体"/>
          <w:color w:val="000000"/>
          <w:sz w:val="24"/>
          <w:szCs w:val="24"/>
          <w:highlight w:val="none"/>
        </w:rPr>
      </w:r>
      <w:r/>
    </w:p>
    <w:p>
      <w:pPr>
        <w:pStyle w:val="943"/>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供应商（单位盖章）：</w:t>
      </w:r>
      <w:r>
        <w:rPr>
          <w:rFonts w:hint="eastAsia" w:ascii="宋体" w:hAnsi="宋体" w:eastAsia="宋体" w:cs="宋体"/>
          <w:color w:val="000000"/>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法定代表人或代理人（签字或盖章）：</w:t>
      </w:r>
      <w:r>
        <w:rPr>
          <w:rFonts w:hint="eastAsia" w:ascii="宋体" w:hAnsi="宋体" w:eastAsia="宋体" w:cs="宋体"/>
          <w:color w:val="000000"/>
          <w:szCs w:val="24"/>
          <w:highlight w:val="none"/>
        </w:rPr>
      </w:r>
      <w:r/>
    </w:p>
    <w:p>
      <w:pPr>
        <w:pStyle w:val="969"/>
        <w:ind w:right="420"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943"/>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color w:val="000000"/>
          <w:sz w:val="24"/>
          <w:szCs w:val="24"/>
          <w:highlight w:val="none"/>
        </w:rPr>
        <w:t xml:space="preserve">第四章 采购需求</w:t>
      </w:r>
      <w:r>
        <w:rPr>
          <w:rFonts w:hint="eastAsia" w:ascii="宋体" w:hAnsi="宋体" w:eastAsia="宋体" w:cs="宋体"/>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bookmarkStart w:id="8" w:name="_Toc13642116"/>
      <w:r>
        <w:rPr>
          <w:rFonts w:hint="eastAsia" w:ascii="宋体" w:hAnsi="宋体" w:eastAsia="宋体" w:cs="宋体"/>
          <w:bCs/>
          <w:color w:val="000000"/>
          <w:sz w:val="24"/>
          <w:szCs w:val="24"/>
          <w:highlight w:val="none"/>
        </w:rPr>
        <w:t xml:space="preserve">苏州正杰招投标咨询服务有限公司受</w:t>
      </w:r>
      <w:r>
        <w:rPr>
          <w:rFonts w:hint="eastAsia" w:ascii="宋体" w:hAnsi="宋体" w:eastAsia="宋体" w:cs="宋体"/>
          <w:bCs/>
          <w:color w:val="000000"/>
          <w:sz w:val="24"/>
          <w:szCs w:val="24"/>
          <w:highlight w:val="none"/>
          <w:lang w:eastAsia="zh-CN"/>
        </w:rPr>
        <w:t xml:space="preserve">苏州市姑苏区教育体育和文化旅游委员会</w:t>
      </w:r>
      <w:r>
        <w:rPr>
          <w:rFonts w:hint="eastAsia" w:ascii="宋体" w:hAnsi="宋体" w:eastAsia="宋体" w:cs="宋体"/>
          <w:bCs/>
          <w:color w:val="000000"/>
          <w:sz w:val="24"/>
          <w:szCs w:val="24"/>
          <w:highlight w:val="none"/>
        </w:rPr>
        <w:t xml:space="preserve">的委托，就其所需的</w:t>
      </w:r>
      <w:r>
        <w:rPr>
          <w:rFonts w:hint="eastAsia" w:ascii="宋体" w:hAnsi="宋体" w:eastAsia="宋体" w:cs="宋体"/>
          <w:color w:val="000000"/>
          <w:sz w:val="24"/>
          <w:szCs w:val="24"/>
          <w:highlight w:val="none"/>
          <w:lang w:eastAsia="zh-CN"/>
        </w:rPr>
        <w:t xml:space="preserve">2026年姑苏智慧教育云运营服务</w:t>
      </w:r>
      <w:r>
        <w:rPr>
          <w:rFonts w:hint="eastAsia" w:ascii="宋体" w:hAnsi="宋体" w:eastAsia="宋体" w:cs="宋体"/>
          <w:color w:val="000000"/>
          <w:sz w:val="24"/>
          <w:szCs w:val="24"/>
          <w:highlight w:val="none"/>
        </w:rPr>
        <w:t xml:space="preserve">项目</w:t>
      </w:r>
      <w:r>
        <w:rPr>
          <w:rFonts w:hint="eastAsia" w:ascii="宋体" w:hAnsi="宋体" w:eastAsia="宋体" w:cs="宋体"/>
          <w:bCs/>
          <w:color w:val="000000"/>
          <w:sz w:val="24"/>
          <w:szCs w:val="24"/>
          <w:highlight w:val="none"/>
        </w:rPr>
        <w:t xml:space="preserve">以竞争性磋商方式组织政府采购，欢迎符合条件的供应商参加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一、项目编号：</w:t>
      </w:r>
      <w:r>
        <w:rPr>
          <w:rFonts w:hint="eastAsia" w:ascii="宋体" w:hAnsi="宋体" w:eastAsia="宋体" w:cs="宋体"/>
          <w:b/>
          <w:bCs/>
          <w:color w:val="000000"/>
          <w:sz w:val="24"/>
          <w:szCs w:val="24"/>
          <w:highlight w:val="none"/>
          <w:lang w:eastAsia="zh-CN"/>
        </w:rPr>
        <w:t xml:space="preserve">JSZC-320508-SZZJ-C2026-0032</w:t>
      </w:r>
      <w:r>
        <w:rPr>
          <w:rFonts w:hint="eastAsia" w:ascii="宋体" w:hAnsi="宋体" w:eastAsia="宋体" w:cs="宋体"/>
          <w:b/>
          <w:bCs/>
          <w:color w:val="000000"/>
          <w:sz w:val="24"/>
          <w:szCs w:val="24"/>
          <w:highlight w:val="none"/>
        </w:rPr>
        <w:t xml:space="preserve">号。</w:t>
      </w:r>
      <w:r>
        <w:rPr>
          <w:rFonts w:hint="eastAsia" w:ascii="宋体" w:hAnsi="宋体" w:eastAsia="宋体" w:cs="宋体"/>
          <w:b/>
          <w:bCs/>
          <w:color w:val="000000"/>
          <w:sz w:val="24"/>
          <w:szCs w:val="24"/>
          <w:highlight w:val="none"/>
        </w:rPr>
      </w:r>
      <w:r/>
    </w:p>
    <w:p>
      <w:pPr>
        <w:pStyle w:val="943"/>
        <w:ind w:firstLine="472"/>
        <w:spacing w:line="360" w:lineRule="auto"/>
        <w:rPr>
          <w:rFonts w:hint="eastAsia" w:ascii="宋体" w:hAnsi="宋体" w:eastAsia="宋体" w:cs="宋体"/>
          <w:b/>
          <w:bCs/>
          <w:color w:val="000000"/>
          <w:sz w:val="24"/>
          <w:szCs w:val="24"/>
          <w:highlight w:val="none"/>
        </w:rPr>
      </w:pPr>
      <w:r/>
      <w:bookmarkEnd w:id="8"/>
      <w:r>
        <w:rPr>
          <w:rFonts w:hint="eastAsia" w:ascii="宋体" w:hAnsi="宋体" w:eastAsia="宋体" w:cs="宋体"/>
          <w:b/>
          <w:bCs/>
          <w:color w:val="000000"/>
          <w:sz w:val="24"/>
          <w:szCs w:val="24"/>
          <w:highlight w:val="none"/>
        </w:rPr>
        <w:t xml:space="preserve">二、采购需求：</w:t>
      </w:r>
      <w:r>
        <w:rPr>
          <w:rFonts w:hint="eastAsia" w:ascii="宋体" w:hAnsi="宋体" w:eastAsia="宋体" w:cs="宋体"/>
          <w:b/>
          <w:bCs/>
          <w:color w:val="000000"/>
          <w:sz w:val="24"/>
          <w:szCs w:val="24"/>
          <w:highlight w:val="none"/>
        </w:rPr>
      </w:r>
      <w:r/>
    </w:p>
    <w:p>
      <w:pPr>
        <w:pStyle w:val="943"/>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（一）采购内容</w:t>
      </w:r>
      <w:r>
        <w:rPr>
          <w:rFonts w:hint="eastAsia" w:ascii="宋体" w:hAnsi="宋体" w:eastAsia="宋体" w:cs="宋体"/>
          <w:color w:val="000000"/>
          <w:sz w:val="24"/>
          <w:szCs w:val="24"/>
          <w:highlight w:val="none"/>
        </w:rPr>
      </w:r>
      <w:r/>
    </w:p>
    <w:p>
      <w:pPr>
        <w:pStyle w:val="943"/>
        <w:ind w:firstLine="470"/>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姑苏区智慧教育大数据运营服务项目旨在，为姑苏智慧教育往期、苏慧教育教学资源管理、智慧体育综合监管等系统提供运维保障，对学业大数据、教育决策大数据、教师招聘、职称评定、人才考核、幼儿招生等业务平台提供运营服务，提供姑苏区老年大学在线报名平台项目租赁服务，实现教育数据价值最大化利用，满足教育决策、教学改进和教育研究的需求，提升教育质量和效果。</w:t>
      </w:r>
      <w:r>
        <w:rPr>
          <w:rFonts w:hint="eastAsia" w:ascii="宋体" w:hAnsi="宋体" w:eastAsia="宋体" w:cs="宋体"/>
          <w:color w:val="000000"/>
          <w:sz w:val="24"/>
          <w:szCs w:val="24"/>
          <w:highlight w:val="none"/>
          <w:lang w:val="en-US"/>
        </w:rPr>
      </w:r>
      <w:r/>
    </w:p>
    <w:p>
      <w:pPr>
        <w:pStyle w:val="943"/>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（二）服务对象</w:t>
      </w:r>
      <w:r>
        <w:rPr>
          <w:rFonts w:hint="eastAsia" w:ascii="宋体" w:hAnsi="宋体" w:eastAsia="宋体" w:cs="宋体"/>
          <w:color w:val="000000"/>
          <w:sz w:val="24"/>
          <w:szCs w:val="24"/>
          <w:highlight w:val="none"/>
        </w:rPr>
      </w:r>
      <w:r/>
    </w:p>
    <w:p>
      <w:pPr>
        <w:pStyle w:val="943"/>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姑苏区义务教育阶段中小学师生</w:t>
      </w:r>
      <w:r>
        <w:rPr>
          <w:rFonts w:hint="eastAsia" w:ascii="宋体" w:hAnsi="宋体" w:eastAsia="宋体" w:cs="宋体"/>
          <w:color w:val="000000"/>
          <w:sz w:val="24"/>
          <w:szCs w:val="24"/>
          <w:highlight w:val="none"/>
          <w:lang w:val="en-US" w:eastAsia="zh-CN"/>
        </w:rPr>
        <w:t xml:space="preserve">、老年大学师生及教体文旅管理者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3"/>
        <w:ind w:firstLine="470"/>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（三）采购清单</w:t>
      </w:r>
      <w:r>
        <w:rPr>
          <w:rFonts w:hint="eastAsia" w:ascii="宋体" w:hAnsi="宋体" w:eastAsia="宋体" w:cs="宋体"/>
          <w:color w:val="000000"/>
          <w:sz w:val="24"/>
          <w:szCs w:val="24"/>
          <w:highlight w:val="none"/>
          <w:lang w:val="en-US"/>
        </w:rPr>
      </w:r>
      <w:r/>
    </w:p>
    <w:tbl>
      <w:tblPr>
        <w:tblW w:w="4999" w:type="pct"/>
        <w:tblInd w:w="-108" w:type="dxa"/>
        <w:tblLayout w:type="fixed"/>
        <w:tblCellMar>
          <w:left w:w="108" w:type="dxa"/>
          <w:top w:w="0" w:type="dxa"/>
          <w:right w:w="108" w:type="dxa"/>
          <w:bottom w:w="0" w:type="dxa"/>
        </w:tblCellMar>
        <w:tblLook w:val="04A0" w:firstRow="1" w:lastRow="0" w:firstColumn="1" w:lastColumn="0" w:noHBand="0" w:noVBand="1"/>
      </w:tblPr>
      <w:tblGrid>
        <w:gridCol w:w="852"/>
        <w:gridCol w:w="3650"/>
        <w:gridCol w:w="4476"/>
        <w:gridCol w:w="875"/>
      </w:tblGrid>
      <w:tr>
        <w:trPr>
          <w:trHeight w:val="312"/>
        </w:trPr>
        <w:tc>
          <w:tcPr>
            <w:shd w:val="clear" w:color="000000" w:fill="d9d9d9"/>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val="false"/>
          </w:tcPr>
          <w:p>
            <w:pPr>
              <w:pStyle w:val="943"/>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shd w:val="clear" w:color="000000" w:fill="d9d9d9"/>
            <w:tcBorders>
              <w:top w:val="single" w:color="000000" w:sz="4" w:space="0"/>
              <w:left w:val="single" w:color="000000" w:sz="4" w:space="0"/>
              <w:bottom w:val="single" w:color="000000" w:sz="4" w:space="0"/>
              <w:right w:val="single" w:color="000000" w:sz="4" w:space="0"/>
            </w:tcBorders>
            <w:tcW w:w="1852" w:type="dxa"/>
            <w:vAlign w:val="center"/>
            <w:vMerge w:val="restart"/>
            <w:textDirection w:val="lrTb"/>
            <w:noWrap w:val="false"/>
          </w:tcPr>
          <w:p>
            <w:pPr>
              <w:pStyle w:val="943"/>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采购内容</w:t>
            </w:r>
            <w:r>
              <w:rPr>
                <w:rFonts w:hint="eastAsia" w:ascii="宋体" w:hAnsi="宋体" w:eastAsia="宋体" w:cs="宋体"/>
                <w:color w:val="000000"/>
                <w:sz w:val="24"/>
                <w:szCs w:val="24"/>
                <w:highlight w:val="none"/>
              </w:rPr>
            </w:r>
            <w:r/>
          </w:p>
        </w:tc>
        <w:tc>
          <w:tcPr>
            <w:shd w:val="clear" w:color="000000" w:fill="d9d9d9"/>
            <w:tcBorders>
              <w:top w:val="single" w:color="000000" w:sz="4" w:space="0"/>
              <w:left w:val="single" w:color="000000" w:sz="4" w:space="0"/>
              <w:bottom w:val="single" w:color="000000" w:sz="4" w:space="0"/>
              <w:right w:val="single" w:color="000000" w:sz="4" w:space="0"/>
            </w:tcBorders>
            <w:tcW w:w="2271" w:type="dxa"/>
            <w:vAlign w:val="center"/>
            <w:vMerge w:val="restart"/>
            <w:textDirection w:val="lrTb"/>
            <w:noWrap w:val="false"/>
          </w:tcPr>
          <w:p>
            <w:pPr>
              <w:pStyle w:val="943"/>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技术参数</w:t>
            </w:r>
            <w:r>
              <w:rPr>
                <w:rFonts w:hint="eastAsia" w:ascii="宋体" w:hAnsi="宋体" w:eastAsia="宋体" w:cs="宋体"/>
                <w:color w:val="000000"/>
                <w:sz w:val="24"/>
                <w:szCs w:val="24"/>
                <w:highlight w:val="none"/>
              </w:rPr>
            </w:r>
            <w:r/>
          </w:p>
        </w:tc>
        <w:tc>
          <w:tcPr>
            <w:shd w:val="clear" w:color="000000" w:fill="d9d9d9"/>
            <w:tcBorders>
              <w:top w:val="single" w:color="000000" w:sz="4" w:space="0"/>
              <w:left w:val="single" w:color="000000" w:sz="4" w:space="0"/>
              <w:bottom w:val="single" w:color="000000" w:sz="4" w:space="0"/>
              <w:right w:val="single" w:color="000000" w:sz="4" w:space="0"/>
            </w:tcBorders>
            <w:tcW w:w="444" w:type="dxa"/>
            <w:vAlign w:val="center"/>
            <w:vMerge w:val="restart"/>
            <w:textDirection w:val="lrTb"/>
            <w:noWrap w:val="false"/>
          </w:tcPr>
          <w:p>
            <w:pPr>
              <w:pStyle w:val="943"/>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r>
      <w:tr>
        <w:trPr>
          <w:trHeight w:val="285"/>
        </w:trPr>
        <w:tc>
          <w:tcPr>
            <w:tcBorders>
              <w:top w:val="none" w:color="000000" w:sz="4" w:space="0"/>
              <w:left w:val="single" w:color="000000" w:sz="4" w:space="0"/>
              <w:bottom w:val="single" w:color="000000" w:sz="4" w:space="0"/>
              <w:right w:val="single" w:color="000000" w:sz="4" w:space="0"/>
            </w:tcBorders>
            <w:tcW w:w="432" w:type="dxa"/>
            <w:vAlign w:val="center"/>
            <w:textDirection w:val="lrTb"/>
            <w:noWrap/>
          </w:tcPr>
          <w:p>
            <w:pPr>
              <w:pStyle w:val="943"/>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852" w:type="dxa"/>
            <w:vAlign w:val="center"/>
            <w:textDirection w:val="lrTb"/>
            <w:noWrap/>
          </w:tcPr>
          <w:p>
            <w:pPr>
              <w:pStyle w:val="969"/>
              <w:ind w:left="0" w:firstLine="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2026年姑苏智慧教育云运营服务</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271" w:type="dxa"/>
            <w:vAlign w:val="center"/>
            <w:textDirection w:val="lrTb"/>
            <w:noWrap w:val="false"/>
          </w:tcPr>
          <w:p>
            <w:pPr>
              <w:pStyle w:val="969"/>
              <w:ind w:left="0" w:firstLine="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姑苏区姑苏智慧</w:t>
            </w:r>
            <w:r>
              <w:rPr>
                <w:rFonts w:hint="eastAsia" w:ascii="宋体" w:hAnsi="宋体" w:eastAsia="宋体" w:cs="宋体"/>
                <w:color w:val="000000"/>
                <w:sz w:val="24"/>
                <w:szCs w:val="24"/>
                <w:highlight w:val="none"/>
                <w:lang w:val="en-US" w:eastAsia="zh-CN"/>
              </w:rPr>
              <w:t xml:space="preserve">教育往</w:t>
            </w:r>
            <w:r>
              <w:rPr>
                <w:rFonts w:hint="eastAsia" w:ascii="宋体" w:hAnsi="宋体" w:eastAsia="宋体" w:cs="宋体"/>
                <w:color w:val="000000"/>
                <w:sz w:val="24"/>
                <w:szCs w:val="24"/>
                <w:highlight w:val="none"/>
              </w:rPr>
              <w:t xml:space="preserve">期、苏慧教育教学资源管理、智慧体育综合监管等系统</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运维保障；</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学业大数据、决策大数据、教师招聘、职称评定、人才考核、幼儿招生相关业务平台运营</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；提供姑苏区老年大学在线报名平台项目租赁服务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943"/>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1年</w:t>
            </w:r>
            <w:r>
              <w:rPr>
                <w:rFonts w:hint="eastAsia" w:ascii="宋体" w:hAnsi="宋体" w:eastAsia="宋体" w:cs="宋体"/>
                <w:color w:val="000000"/>
                <w:sz w:val="24"/>
                <w:szCs w:val="24"/>
                <w:highlight w:val="none"/>
              </w:rPr>
            </w:r>
            <w:r/>
          </w:p>
        </w:tc>
      </w:tr>
    </w:tbl>
    <w:p>
      <w:pPr>
        <w:pStyle w:val="943"/>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（四）详细要求</w:t>
      </w:r>
      <w:r>
        <w:rPr>
          <w:rFonts w:hint="eastAsia" w:ascii="宋体" w:hAnsi="宋体" w:eastAsia="宋体" w:cs="宋体"/>
          <w:color w:val="000000"/>
          <w:sz w:val="24"/>
          <w:szCs w:val="24"/>
          <w:highlight w:val="none"/>
        </w:rPr>
      </w:r>
      <w:r/>
    </w:p>
    <w:p>
      <w:pPr>
        <w:pStyle w:val="943"/>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1、技术客服服务</w:t>
      </w:r>
      <w:r>
        <w:rPr>
          <w:rFonts w:hint="eastAsia" w:ascii="宋体" w:hAnsi="宋体" w:eastAsia="宋体" w:cs="宋体"/>
          <w:color w:val="000000"/>
          <w:sz w:val="24"/>
          <w:szCs w:val="24"/>
          <w:highlight w:val="none"/>
        </w:rPr>
      </w:r>
      <w:r/>
    </w:p>
    <w:p>
      <w:pPr>
        <w:pStyle w:val="943"/>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1.1服务内容</w:t>
      </w:r>
      <w:r>
        <w:rPr>
          <w:rFonts w:hint="eastAsia" w:ascii="宋体" w:hAnsi="宋体" w:eastAsia="宋体" w:cs="宋体"/>
          <w:color w:val="000000"/>
          <w:sz w:val="24"/>
          <w:szCs w:val="24"/>
          <w:highlight w:val="none"/>
        </w:rPr>
      </w:r>
      <w:r/>
    </w:p>
    <w:p>
      <w:pPr>
        <w:pStyle w:val="943"/>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为</w:t>
      </w:r>
      <w:r>
        <w:rPr>
          <w:rFonts w:hint="eastAsia" w:ascii="宋体" w:hAnsi="宋体" w:eastAsia="宋体" w:cs="宋体"/>
          <w:color w:val="000000"/>
          <w:sz w:val="24"/>
          <w:szCs w:val="24"/>
          <w:highlight w:val="none"/>
        </w:rPr>
        <w:t xml:space="preserve">智慧教育</w:t>
      </w:r>
      <w:r>
        <w:rPr>
          <w:rFonts w:hint="eastAsia" w:ascii="宋体" w:hAnsi="宋体" w:eastAsia="宋体" w:cs="宋体"/>
          <w:color w:val="000000"/>
          <w:sz w:val="24"/>
          <w:szCs w:val="24"/>
          <w:highlight w:val="none"/>
          <w:lang w:val="en-US" w:eastAsia="zh-CN"/>
        </w:rPr>
        <w:t xml:space="preserve">往期</w:t>
      </w:r>
      <w:r>
        <w:rPr>
          <w:rFonts w:hint="eastAsia" w:ascii="宋体" w:hAnsi="宋体" w:eastAsia="宋体" w:cs="宋体"/>
          <w:color w:val="000000"/>
          <w:sz w:val="24"/>
          <w:szCs w:val="24"/>
          <w:highlight w:val="none"/>
        </w:rPr>
        <w:t xml:space="preserve">平台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苏慧教育教学资源管理、智慧体育综合监管</w:t>
      </w:r>
      <w:r>
        <w:rPr>
          <w:rFonts w:hint="eastAsia" w:ascii="宋体" w:hAnsi="宋体" w:eastAsia="宋体" w:cs="宋体"/>
          <w:color w:val="000000"/>
          <w:sz w:val="24"/>
          <w:szCs w:val="24"/>
          <w:highlight w:val="none"/>
          <w:lang w:val="en-US" w:eastAsia="zh-CN"/>
        </w:rPr>
        <w:t xml:space="preserve">等系统提供必须的常态化系统运维服务。</w:t>
      </w:r>
      <w:r>
        <w:rPr>
          <w:rFonts w:hint="eastAsia" w:ascii="宋体" w:hAnsi="宋体" w:eastAsia="宋体" w:cs="宋体"/>
          <w:color w:val="000000"/>
          <w:sz w:val="24"/>
          <w:szCs w:val="24"/>
          <w:highlight w:val="none"/>
          <w:lang w:val="en-US" w:eastAsia="zh-CN"/>
        </w:rPr>
      </w:r>
      <w:r/>
    </w:p>
    <w:p>
      <w:pPr>
        <w:pStyle w:val="943"/>
        <w:ind w:firstLine="47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按需提供数据运营工程师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开展区域教育教学资源专项指导服务</w:t>
      </w:r>
      <w:r>
        <w:rPr>
          <w:rFonts w:hint="eastAsia" w:ascii="宋体" w:hAnsi="宋体" w:eastAsia="宋体" w:cs="宋体"/>
          <w:color w:val="000000"/>
          <w:sz w:val="24"/>
          <w:szCs w:val="24"/>
          <w:highlight w:val="none"/>
          <w:lang w:eastAsia="zh-CN"/>
        </w:rPr>
        <w:t xml:space="preserve">，为教师</w:t>
      </w:r>
      <w:r>
        <w:rPr>
          <w:rFonts w:hint="eastAsia" w:ascii="宋体" w:hAnsi="宋体" w:eastAsia="宋体" w:cs="宋体"/>
          <w:color w:val="000000"/>
          <w:sz w:val="24"/>
          <w:szCs w:val="24"/>
          <w:highlight w:val="none"/>
          <w:lang w:val="en-US" w:eastAsia="zh-CN"/>
        </w:rPr>
        <w:t xml:space="preserve">习题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练习卷</w:t>
      </w:r>
      <w:r>
        <w:rPr>
          <w:rFonts w:hint="eastAsia" w:ascii="宋体" w:hAnsi="宋体" w:eastAsia="宋体" w:cs="宋体"/>
          <w:color w:val="000000"/>
          <w:sz w:val="24"/>
          <w:szCs w:val="24"/>
          <w:highlight w:val="none"/>
          <w:lang w:eastAsia="zh-CN"/>
        </w:rPr>
        <w:t xml:space="preserve">、教学资源</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lang w:eastAsia="zh-CN"/>
        </w:rPr>
        <w:t xml:space="preserve">上传</w:t>
      </w:r>
      <w:r>
        <w:rPr>
          <w:rFonts w:hint="eastAsia" w:ascii="宋体" w:hAnsi="宋体" w:eastAsia="宋体" w:cs="宋体"/>
          <w:color w:val="000000"/>
          <w:sz w:val="24"/>
          <w:szCs w:val="24"/>
          <w:highlight w:val="none"/>
          <w:lang w:val="en-US" w:eastAsia="zh-CN"/>
        </w:rPr>
        <w:t xml:space="preserve">应用</w:t>
      </w:r>
      <w:r>
        <w:rPr>
          <w:rFonts w:hint="eastAsia" w:ascii="宋体" w:hAnsi="宋体" w:eastAsia="宋体" w:cs="宋体"/>
          <w:color w:val="000000"/>
          <w:sz w:val="24"/>
          <w:szCs w:val="24"/>
          <w:highlight w:val="none"/>
          <w:lang w:eastAsia="zh-CN"/>
        </w:rPr>
        <w:t xml:space="preserve">提供咨询答疑，</w:t>
      </w:r>
      <w:r>
        <w:rPr>
          <w:rFonts w:hint="eastAsia" w:ascii="宋体" w:hAnsi="宋体" w:eastAsia="宋体" w:cs="宋体"/>
          <w:color w:val="000000"/>
          <w:sz w:val="24"/>
          <w:szCs w:val="24"/>
          <w:highlight w:val="none"/>
        </w:rPr>
        <w:t xml:space="preserve">为学校学业大数据</w:t>
      </w:r>
      <w:r>
        <w:rPr>
          <w:rFonts w:hint="eastAsia" w:ascii="宋体" w:hAnsi="宋体" w:eastAsia="宋体" w:cs="宋体"/>
          <w:color w:val="000000"/>
          <w:sz w:val="24"/>
          <w:szCs w:val="24"/>
          <w:highlight w:val="none"/>
          <w:lang w:val="en-US" w:eastAsia="zh-CN"/>
        </w:rPr>
        <w:t xml:space="preserve">应用</w:t>
      </w:r>
      <w:r>
        <w:rPr>
          <w:rFonts w:hint="eastAsia" w:ascii="宋体" w:hAnsi="宋体" w:eastAsia="宋体" w:cs="宋体"/>
          <w:color w:val="000000"/>
          <w:sz w:val="24"/>
          <w:szCs w:val="24"/>
          <w:highlight w:val="none"/>
        </w:rPr>
        <w:t xml:space="preserve">提供必要的线下服务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解决处理数据中台与决策大数据平台日常使用过程中的数据分析与处理工作，辅助日常教育管理工作和决策支持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完成年度教师招聘、职称评定、人才考核、幼儿招生业务平台</w:t>
      </w:r>
      <w:r>
        <w:rPr>
          <w:rFonts w:hint="eastAsia" w:ascii="宋体" w:hAnsi="宋体" w:eastAsia="宋体" w:cs="宋体"/>
          <w:color w:val="000000"/>
          <w:sz w:val="24"/>
          <w:szCs w:val="24"/>
          <w:highlight w:val="none"/>
          <w:lang w:val="en-US" w:eastAsia="zh-CN"/>
        </w:rPr>
        <w:t xml:space="preserve">运营支撑服务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3"/>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姑苏区老年大学在线报名平台项目租赁服务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完成</w:t>
      </w:r>
      <w:r>
        <w:rPr>
          <w:rFonts w:hint="eastAsia" w:ascii="宋体" w:hAnsi="宋体" w:eastAsia="宋体" w:cs="宋体"/>
          <w:color w:val="000000"/>
          <w:sz w:val="24"/>
          <w:szCs w:val="24"/>
          <w:highlight w:val="none"/>
        </w:rPr>
        <w:t xml:space="preserve">平台配套技术保障</w:t>
      </w:r>
      <w:r>
        <w:rPr>
          <w:rFonts w:hint="eastAsia" w:ascii="宋体" w:hAnsi="宋体" w:eastAsia="宋体" w:cs="宋体"/>
          <w:color w:val="000000"/>
          <w:sz w:val="24"/>
          <w:szCs w:val="24"/>
          <w:highlight w:val="none"/>
          <w:lang w:val="en-US" w:eastAsia="zh-CN"/>
        </w:rPr>
        <w:t xml:space="preserve">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w:t>
      </w:r>
      <w:r>
        <w:rPr>
          <w:rFonts w:hint="eastAsia" w:ascii="宋体" w:hAnsi="宋体" w:eastAsia="宋体" w:cs="宋体"/>
          <w:color w:val="000000"/>
          <w:sz w:val="24"/>
          <w:szCs w:val="24"/>
          <w:highlight w:val="none"/>
          <w:lang w:val="en-US" w:eastAsia="zh-CN"/>
        </w:rPr>
        <w:t xml:space="preserve">为姑苏智慧教育</w:t>
      </w: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lang w:val="en-US" w:eastAsia="zh-CN"/>
        </w:rPr>
        <w:t xml:space="preserve">必要的</w:t>
      </w:r>
      <w:r>
        <w:rPr>
          <w:rFonts w:hint="eastAsia" w:ascii="宋体" w:hAnsi="宋体" w:eastAsia="宋体" w:cs="宋体"/>
          <w:color w:val="000000"/>
          <w:sz w:val="24"/>
          <w:szCs w:val="24"/>
          <w:highlight w:val="none"/>
        </w:rPr>
        <w:t xml:space="preserve">现场技术培训支持及相关系统巡检工作。</w:t>
      </w:r>
      <w:r>
        <w:rPr>
          <w:rFonts w:hint="eastAsia" w:ascii="宋体" w:hAnsi="宋体" w:eastAsia="宋体" w:cs="宋体"/>
          <w:color w:val="000000"/>
          <w:sz w:val="24"/>
          <w:szCs w:val="24"/>
          <w:highlight w:val="none"/>
          <w:lang w:val="en-US" w:eastAsia="zh-CN"/>
        </w:rPr>
      </w:r>
      <w:r/>
    </w:p>
    <w:p>
      <w:pPr>
        <w:pStyle w:val="943"/>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1.2服务方式</w:t>
      </w:r>
      <w:r>
        <w:rPr>
          <w:rFonts w:hint="eastAsia" w:ascii="宋体" w:hAnsi="宋体" w:eastAsia="宋体" w:cs="宋体"/>
          <w:color w:val="000000"/>
          <w:sz w:val="24"/>
          <w:szCs w:val="24"/>
          <w:highlight w:val="none"/>
        </w:rPr>
      </w:r>
      <w:r/>
    </w:p>
    <w:p>
      <w:pPr>
        <w:pStyle w:val="943"/>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①服务方式包括现场技术服务和线上咨询服务。</w:t>
      </w:r>
      <w:r>
        <w:rPr>
          <w:rFonts w:hint="eastAsia" w:ascii="宋体" w:hAnsi="宋体" w:eastAsia="宋体" w:cs="宋体"/>
          <w:color w:val="000000"/>
          <w:sz w:val="24"/>
          <w:szCs w:val="24"/>
          <w:highlight w:val="none"/>
          <w:lang w:val="en-US" w:eastAsia="zh-CN"/>
        </w:rPr>
      </w:r>
      <w:r/>
    </w:p>
    <w:p>
      <w:pPr>
        <w:pStyle w:val="943"/>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②现场技术服务包括基于需求进行数据的采集、汇聚、分析等，最终达到补充完善学业大数据平台和决策平台的目的，并进行现场日常平台协助使用。</w:t>
      </w:r>
      <w:r>
        <w:rPr>
          <w:rFonts w:hint="eastAsia" w:ascii="宋体" w:hAnsi="宋体" w:eastAsia="宋体" w:cs="宋体"/>
          <w:color w:val="000000"/>
          <w:sz w:val="24"/>
          <w:szCs w:val="24"/>
          <w:highlight w:val="none"/>
          <w:lang w:val="en-US" w:eastAsia="zh-CN"/>
        </w:rPr>
      </w:r>
      <w:r/>
    </w:p>
    <w:p>
      <w:pPr>
        <w:pStyle w:val="943"/>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③技术服务人员要求二年以上教育信息化相关服务经验，具有对这些系统的服务经验，能够熟练解决业务、技术和操作上的相关问题；</w:t>
      </w:r>
      <w:r>
        <w:rPr>
          <w:rFonts w:hint="eastAsia" w:ascii="宋体" w:hAnsi="宋体" w:eastAsia="宋体" w:cs="宋体"/>
          <w:color w:val="000000"/>
          <w:sz w:val="24"/>
          <w:szCs w:val="24"/>
          <w:highlight w:val="none"/>
          <w:lang w:val="en-US" w:eastAsia="zh-CN"/>
        </w:rPr>
      </w:r>
      <w:r/>
    </w:p>
    <w:p>
      <w:pPr>
        <w:pStyle w:val="943"/>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④技术服务人员必须具备大数据分析与建模能力，参与教育行业产品线至少二年及以上，能够具备需求转化为具体落地方案的能力，并按流程进行数据采集、汇聚、计算、决策全流程服务。</w:t>
      </w:r>
      <w:r>
        <w:rPr>
          <w:rFonts w:hint="eastAsia" w:ascii="宋体" w:hAnsi="宋体" w:eastAsia="宋体" w:cs="宋体"/>
          <w:color w:val="000000"/>
          <w:sz w:val="24"/>
          <w:szCs w:val="24"/>
          <w:highlight w:val="none"/>
          <w:lang w:val="en-US" w:eastAsia="zh-CN"/>
        </w:rPr>
      </w:r>
      <w:r/>
    </w:p>
    <w:p>
      <w:pPr>
        <w:pStyle w:val="943"/>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⑤设立本地服务负责人，制定适合姑苏区教育服务工作特点的详细工作服务流程与方案，制定对服务人员的考核办法。</w:t>
      </w:r>
      <w:r>
        <w:rPr>
          <w:rFonts w:hint="eastAsia" w:ascii="宋体" w:hAnsi="宋体" w:eastAsia="宋体" w:cs="宋体"/>
          <w:color w:val="000000"/>
          <w:sz w:val="24"/>
          <w:szCs w:val="24"/>
          <w:highlight w:val="none"/>
          <w:lang w:val="en-US" w:eastAsia="zh-CN"/>
        </w:rPr>
      </w:r>
      <w:r/>
    </w:p>
    <w:p>
      <w:pPr>
        <w:pStyle w:val="943"/>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⑥服务团队人员必须具备相应的技术能力。</w:t>
      </w:r>
      <w:r>
        <w:rPr>
          <w:rFonts w:hint="eastAsia" w:ascii="宋体" w:hAnsi="宋体" w:eastAsia="宋体" w:cs="宋体"/>
          <w:color w:val="000000"/>
          <w:sz w:val="24"/>
          <w:szCs w:val="24"/>
          <w:highlight w:val="none"/>
          <w:lang w:val="en-US" w:eastAsia="zh-CN"/>
        </w:rPr>
      </w:r>
      <w:r/>
    </w:p>
    <w:p>
      <w:pPr>
        <w:pStyle w:val="943"/>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⑦加强对服务人员的管理与培训，并保证核心服务人员的稳定性，未经教育局允许不得擅自更换从事核心服务的人员。</w:t>
      </w:r>
      <w:r>
        <w:rPr>
          <w:rFonts w:hint="eastAsia" w:ascii="宋体" w:hAnsi="宋体" w:eastAsia="宋体" w:cs="宋体"/>
          <w:color w:val="000000"/>
          <w:sz w:val="24"/>
          <w:szCs w:val="24"/>
          <w:highlight w:val="none"/>
          <w:lang w:val="en-US" w:eastAsia="zh-CN"/>
        </w:rPr>
      </w:r>
      <w:r/>
    </w:p>
    <w:p>
      <w:pPr>
        <w:pStyle w:val="943"/>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⑧服务人员要遵守教育局的劳动纪律及其它相关规章制度，接受教育局的工作安排与指导，做好本职工作。</w:t>
      </w:r>
      <w:r>
        <w:rPr>
          <w:rFonts w:hint="eastAsia" w:ascii="宋体" w:hAnsi="宋体" w:eastAsia="宋体" w:cs="宋体"/>
          <w:color w:val="000000"/>
          <w:sz w:val="24"/>
          <w:szCs w:val="24"/>
          <w:highlight w:val="none"/>
          <w:lang w:val="en-US" w:eastAsia="zh-CN"/>
        </w:rPr>
      </w:r>
      <w:r/>
    </w:p>
    <w:p>
      <w:pPr>
        <w:pStyle w:val="943"/>
        <w:ind w:firstLine="47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⑨服务人员必须做好相关信息保密工作，不得对外透露在工作中接触到的涉密信息用户个人隐私信息。</w:t>
      </w:r>
      <w:r>
        <w:rPr>
          <w:rFonts w:hint="eastAsia" w:ascii="宋体" w:hAnsi="宋体" w:eastAsia="宋体" w:cs="宋体"/>
          <w:color w:val="000000"/>
          <w:sz w:val="24"/>
          <w:szCs w:val="24"/>
          <w:highlight w:val="none"/>
          <w:lang w:val="en-US" w:eastAsia="zh-CN"/>
        </w:rPr>
      </w:r>
      <w:r/>
    </w:p>
    <w:p>
      <w:pPr>
        <w:pStyle w:val="943"/>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2、其他要求</w:t>
      </w:r>
      <w:r>
        <w:rPr>
          <w:rFonts w:hint="eastAsia" w:ascii="宋体" w:hAnsi="宋体" w:eastAsia="宋体" w:cs="宋体"/>
          <w:color w:val="000000"/>
          <w:sz w:val="24"/>
          <w:szCs w:val="24"/>
          <w:highlight w:val="none"/>
        </w:rPr>
      </w:r>
      <w:r/>
    </w:p>
    <w:p>
      <w:pPr>
        <w:pStyle w:val="943"/>
        <w:ind w:firstLine="4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提供日常的线上咨询服务，包括平台使用过程中的常态化应用问题的反馈响应与处理，总服务人员不少于12人。现场技术服务人员不少于1人，具体工作时间根据各业务处室和部门实际需求而定。</w:t>
      </w:r>
      <w:r>
        <w:rPr>
          <w:rFonts w:hint="eastAsia" w:ascii="宋体" w:hAnsi="宋体" w:eastAsia="宋体" w:cs="宋体"/>
          <w:color w:val="000000"/>
          <w:sz w:val="24"/>
          <w:szCs w:val="24"/>
          <w:highlight w:val="none"/>
        </w:rPr>
      </w:r>
      <w:r/>
    </w:p>
    <w:p>
      <w:pPr>
        <w:pStyle w:val="943"/>
        <w:ind w:firstLine="482"/>
        <w:spacing w:line="360" w:lineRule="auto"/>
        <w:tabs>
          <w:tab w:val="left" w:pos="567"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三、有关说明：</w:t>
      </w:r>
      <w:r>
        <w:rPr>
          <w:rFonts w:ascii="宋体" w:hAnsi="宋体" w:eastAsia="宋体" w:cs="宋体"/>
          <w:b/>
          <w:bCs/>
          <w:color w:val="000000"/>
          <w:sz w:val="24"/>
          <w:szCs w:val="24"/>
          <w:highlight w:val="none"/>
        </w:rPr>
      </w:r>
      <w:r/>
    </w:p>
    <w:p>
      <w:pPr>
        <w:pStyle w:val="943"/>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实施质量必须严格按照国家规范及江苏省、苏州市相应地方规范、采购文件的技术规范的有关要求执行，如果在合同履行过程中有新的国家或行业（部）规范和标准出台的，则供应商应确保其合同标的物达到并符合新的国家或行业（部）规范和标准，因此而增加的费用及风险由供应商自行承担。</w:t>
      </w:r>
      <w:r>
        <w:rPr>
          <w:rFonts w:ascii="宋体" w:hAnsi="宋体" w:eastAsia="宋体" w:cs="宋体"/>
          <w:color w:val="000000"/>
          <w:sz w:val="24"/>
          <w:szCs w:val="24"/>
          <w:highlight w:val="none"/>
        </w:rPr>
      </w:r>
      <w:r/>
    </w:p>
    <w:p>
      <w:pPr>
        <w:pStyle w:val="943"/>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2、供应商须在项目实施前把详细的实施方案报送采购人审批，经批准同意后方可以组织实施。在项目实施期间供应商应遵守项目现场及采购人的各项规章制度。</w:t>
      </w:r>
      <w:r>
        <w:rPr>
          <w:rFonts w:ascii="宋体" w:hAnsi="宋体" w:eastAsia="宋体" w:cs="宋体"/>
          <w:color w:val="000000"/>
          <w:sz w:val="24"/>
          <w:szCs w:val="24"/>
          <w:highlight w:val="none"/>
        </w:rPr>
      </w:r>
      <w:r/>
    </w:p>
    <w:p>
      <w:pPr>
        <w:pStyle w:val="943"/>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3、供应商在项目实施期间应无条件的接受采购人的监督管理，提出的质量问题要及时整改，整改完毕后通知采购人检查验收，合格后书面报送采购人备案。</w:t>
      </w:r>
      <w:r>
        <w:rPr>
          <w:rFonts w:ascii="宋体" w:hAnsi="宋体" w:eastAsia="宋体" w:cs="宋体"/>
          <w:color w:val="000000"/>
          <w:sz w:val="24"/>
          <w:szCs w:val="24"/>
          <w:highlight w:val="none"/>
        </w:rPr>
      </w:r>
      <w:r/>
    </w:p>
    <w:p>
      <w:pPr>
        <w:pStyle w:val="943"/>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人使用供应商的货物、技术、资料、服务或其他任何一部分时，享有无偿使用权，并免受第三方提出的侵犯其专利权、著作权、商标权或其他知识产权的起诉。如果第三方提出侵权指控，供应商应承担由此而引起的一切法律责任和费用。</w:t>
      </w:r>
      <w:r>
        <w:rPr>
          <w:rFonts w:ascii="宋体" w:hAnsi="宋体" w:eastAsia="宋体" w:cs="宋体"/>
          <w:color w:val="000000"/>
          <w:sz w:val="24"/>
          <w:szCs w:val="24"/>
          <w:highlight w:val="none"/>
        </w:rPr>
      </w:r>
      <w:r/>
    </w:p>
    <w:p>
      <w:pPr>
        <w:pStyle w:val="943"/>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5、与本次采购项目有关的质量、安全问题均由供应商负责，相关的人员、财产责任风险均由供应商承担。</w:t>
      </w:r>
      <w:r>
        <w:rPr>
          <w:rFonts w:ascii="宋体" w:hAnsi="宋体" w:eastAsia="宋体" w:cs="宋体"/>
          <w:color w:val="000000"/>
          <w:sz w:val="24"/>
          <w:szCs w:val="24"/>
          <w:highlight w:val="none"/>
        </w:rPr>
      </w:r>
      <w:r/>
    </w:p>
    <w:p>
      <w:pPr>
        <w:pStyle w:val="943"/>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本次采购人拟采购的产品均不属于《节能产品政府采购品目清单》范围内的政府强制采购产品，也均不属于《节能产品政府采购品目清单》、《环境标志产品政府采购品目清单》范围内优先采购的产品（不包含政府强制采购产品）。</w:t>
      </w:r>
      <w:r>
        <w:rPr>
          <w:rFonts w:ascii="宋体" w:hAnsi="宋体" w:eastAsia="宋体" w:cs="宋体"/>
          <w:color w:val="000000"/>
          <w:sz w:val="24"/>
          <w:szCs w:val="24"/>
          <w:highlight w:val="none"/>
        </w:rPr>
      </w:r>
      <w:r/>
    </w:p>
    <w:p>
      <w:pPr>
        <w:pStyle w:val="943"/>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响应产品如属于国家认证认可监督管理委员会现行《强制性产品认证目录描述与界定表》管理的强制性认证产品，供应商在提请采购人验收时须提供上述产品的对应证书，否则采购人有权不予验收，且供应商应承担由此而引起的一切法律责任和费用。</w:t>
      </w:r>
      <w:r>
        <w:rPr>
          <w:rFonts w:ascii="宋体" w:hAnsi="宋体" w:eastAsia="宋体" w:cs="宋体"/>
          <w:color w:val="000000"/>
          <w:sz w:val="24"/>
          <w:szCs w:val="24"/>
          <w:highlight w:val="none"/>
        </w:rPr>
      </w:r>
      <w:r/>
    </w:p>
    <w:p>
      <w:pPr>
        <w:pStyle w:val="943"/>
        <w:ind w:firstLine="482"/>
        <w:spacing w:line="360" w:lineRule="auto"/>
        <w:tabs>
          <w:tab w:val="left" w:pos="567"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四、综合要求：</w:t>
      </w:r>
      <w:r>
        <w:rPr>
          <w:rFonts w:ascii="宋体" w:hAnsi="宋体" w:eastAsia="宋体" w:cs="宋体"/>
          <w:b/>
          <w:bCs/>
          <w:color w:val="000000"/>
          <w:sz w:val="24"/>
          <w:szCs w:val="24"/>
          <w:highlight w:val="none"/>
        </w:rPr>
      </w:r>
      <w:r/>
    </w:p>
    <w:p>
      <w:pPr>
        <w:pStyle w:val="943"/>
        <w:ind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、若采购文件中涉及品牌或品牌导向，则仅作参考。</w:t>
      </w:r>
      <w:r>
        <w:rPr>
          <w:rFonts w:ascii="宋体" w:hAnsi="宋体" w:eastAsia="宋体" w:cs="宋体"/>
          <w:color w:val="000000"/>
          <w:sz w:val="24"/>
          <w:szCs w:val="24"/>
          <w:highlight w:val="none"/>
        </w:rPr>
      </w:r>
      <w:r/>
    </w:p>
    <w:p>
      <w:pPr>
        <w:pStyle w:val="943"/>
        <w:ind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、响应文件须如实进行响应，量化指标必须列明具体数值。供应商在其响应文件中对于采购文件要求提供的货物或服务情况均须进行完整的阐述和说明。</w:t>
      </w:r>
      <w:r>
        <w:rPr>
          <w:rFonts w:ascii="宋体" w:hAnsi="宋体" w:eastAsia="宋体" w:cs="宋体"/>
          <w:color w:val="000000"/>
          <w:sz w:val="24"/>
          <w:szCs w:val="24"/>
          <w:highlight w:val="none"/>
        </w:rPr>
      </w:r>
      <w:r/>
    </w:p>
    <w:p>
      <w:pPr>
        <w:pStyle w:val="943"/>
        <w:ind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t xml:space="preserve">、供应商提供的响应文件内容须真实、准确、有效，如提供虚假材料或对采购文件所要求说明的情况故意隐瞒或虚报，视为不实质性响应采购要求，其响应文件将被拒绝。已中标的将取消中标资格，并按《中华人民共和国政府采购法》第七十七条的相关办法处理。</w:t>
      </w:r>
      <w:r>
        <w:rPr>
          <w:rFonts w:ascii="宋体" w:hAnsi="宋体" w:eastAsia="宋体" w:cs="宋体"/>
          <w:color w:val="000000"/>
          <w:sz w:val="24"/>
          <w:szCs w:val="24"/>
          <w:highlight w:val="none"/>
        </w:rPr>
      </w:r>
      <w:r/>
    </w:p>
    <w:p>
      <w:pPr>
        <w:pStyle w:val="943"/>
        <w:ind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t xml:space="preserve">、供应商须在响应报价中对所要采购的全部内容进行报价，只投其中部分内容者，其响应文件将被拒绝，采购人除支付本次采购项目的成交金额外不再</w:t>
      </w:r>
      <w:r>
        <w:rPr>
          <w:rFonts w:hint="eastAsia" w:ascii="宋体" w:hAnsi="宋体" w:eastAsia="宋体" w:cs="宋体"/>
          <w:color w:val="000000"/>
          <w:sz w:val="24"/>
          <w:szCs w:val="24"/>
          <w:highlight w:val="none"/>
          <w:lang w:val="en-US" w:eastAsia="zh-CN"/>
        </w:rPr>
        <w:t xml:space="preserve">对供应商</w:t>
      </w:r>
      <w:r>
        <w:rPr>
          <w:rFonts w:hint="eastAsia" w:ascii="宋体" w:hAnsi="宋体" w:eastAsia="宋体" w:cs="宋体"/>
          <w:color w:val="000000"/>
          <w:sz w:val="24"/>
          <w:szCs w:val="24"/>
          <w:highlight w:val="none"/>
        </w:rPr>
        <w:t xml:space="preserve">承担其他任何费用。</w:t>
      </w:r>
      <w:r>
        <w:rPr>
          <w:rFonts w:ascii="宋体" w:hAnsi="宋体" w:eastAsia="宋体" w:cs="宋体"/>
          <w:color w:val="000000"/>
          <w:sz w:val="24"/>
          <w:szCs w:val="24"/>
          <w:highlight w:val="none"/>
        </w:rPr>
      </w:r>
      <w:r/>
    </w:p>
    <w:p>
      <w:pPr>
        <w:pStyle w:val="943"/>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5、项目地点：采购人指定地点（苏州大市范围内）。</w:t>
      </w:r>
      <w:r>
        <w:rPr>
          <w:rFonts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lang w:val="zh-CN"/>
        </w:rPr>
      </w:pPr>
      <w:r>
        <w:rPr>
          <w:rFonts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t xml:space="preserve">服务要求：</w:t>
      </w:r>
      <w:r>
        <w:rPr>
          <w:rFonts w:hint="eastAsia" w:ascii="宋体" w:hAnsi="宋体" w:eastAsia="宋体" w:cs="宋体"/>
          <w:color w:val="000000"/>
          <w:sz w:val="24"/>
          <w:szCs w:val="24"/>
          <w:highlight w:val="none"/>
          <w:lang w:val="zh-CN"/>
        </w:rPr>
        <w:t xml:space="preserve">供应商</w:t>
      </w:r>
      <w:r>
        <w:rPr>
          <w:rFonts w:hint="eastAsia" w:ascii="宋体" w:hAnsi="宋体" w:eastAsia="宋体" w:cs="宋体"/>
          <w:color w:val="000000"/>
          <w:sz w:val="24"/>
          <w:szCs w:val="24"/>
          <w:highlight w:val="none"/>
        </w:rPr>
        <w:t xml:space="preserve">在接到采购人修正报告的服务要求时，须及时响应和解决。在</w:t>
      </w:r>
      <w:r>
        <w:rPr>
          <w:rFonts w:hint="eastAsia" w:ascii="宋体" w:hAnsi="宋体" w:eastAsia="宋体" w:cs="宋体"/>
          <w:color w:val="000000"/>
          <w:sz w:val="24"/>
          <w:szCs w:val="24"/>
          <w:highlight w:val="none"/>
          <w:lang w:val="zh-CN"/>
        </w:rPr>
        <w:t xml:space="preserve">2小时内必须响应（电话或远程服务），紧急情况下按照采购人需求，予以修正和解决采购人提出的服务要求。</w:t>
      </w:r>
      <w:r>
        <w:rPr>
          <w:rFonts w:hint="eastAsia" w:ascii="宋体" w:hAnsi="宋体" w:eastAsia="宋体" w:cs="宋体"/>
          <w:color w:val="000000"/>
          <w:sz w:val="24"/>
          <w:szCs w:val="24"/>
          <w:highlight w:val="none"/>
          <w:lang w:val="zh-CN"/>
        </w:rPr>
      </w:r>
      <w:r/>
    </w:p>
    <w:p>
      <w:pPr>
        <w:pStyle w:val="943"/>
        <w:ind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t xml:space="preserve">验收要求：按国家相关法律法规、行业相关标准及采购文件要求和成交单位的承诺进行验收。</w:t>
      </w:r>
      <w:r>
        <w:rPr>
          <w:rFonts w:ascii="宋体" w:hAnsi="宋体" w:eastAsia="宋体" w:cs="宋体"/>
          <w:color w:val="000000"/>
          <w:sz w:val="24"/>
          <w:szCs w:val="24"/>
          <w:highlight w:val="none"/>
        </w:rPr>
      </w:r>
      <w:r/>
    </w:p>
    <w:p>
      <w:pPr>
        <w:pStyle w:val="943"/>
        <w:ind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t xml:space="preserve">、凡涉及本项目的补充说明和修改，均以苏州政府采购网上发布的信息为准。</w:t>
      </w:r>
      <w:r>
        <w:rPr>
          <w:rFonts w:ascii="宋体" w:hAnsi="宋体" w:eastAsia="宋体" w:cs="宋体"/>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第五章 合同主要条款</w:t>
      </w:r>
      <w:r>
        <w:rPr>
          <w:rFonts w:hint="eastAsia" w:ascii="宋体" w:hAnsi="宋体" w:eastAsia="宋体" w:cs="宋体"/>
          <w:b/>
          <w:color w:val="000000"/>
          <w:sz w:val="24"/>
          <w:szCs w:val="24"/>
          <w:highlight w:val="none"/>
        </w:rPr>
      </w:r>
      <w:r/>
    </w:p>
    <w:p>
      <w:pPr>
        <w:pStyle w:val="94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项目名称：                       </w:t>
      </w:r>
      <w:r>
        <w:rPr>
          <w:rFonts w:hint="eastAsia" w:ascii="宋体" w:hAnsi="宋体" w:eastAsia="宋体" w:cs="宋体"/>
          <w:b/>
          <w:color w:val="000000"/>
          <w:sz w:val="24"/>
          <w:szCs w:val="24"/>
          <w:highlight w:val="none"/>
        </w:rPr>
      </w:r>
      <w:r/>
    </w:p>
    <w:p>
      <w:pPr>
        <w:pStyle w:val="943"/>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项目编号：</w:t>
      </w:r>
      <w:r>
        <w:rPr>
          <w:rFonts w:hint="eastAsia" w:ascii="宋体" w:hAnsi="宋体" w:eastAsia="宋体" w:cs="宋体"/>
          <w:color w:val="000000"/>
          <w:sz w:val="24"/>
          <w:szCs w:val="24"/>
          <w:highlight w:val="none"/>
        </w:rPr>
      </w:r>
      <w:r/>
    </w:p>
    <w:p>
      <w:pPr>
        <w:pStyle w:val="943"/>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3"/>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甲方（项目采购人）：</w:t>
      </w:r>
      <w:r>
        <w:rPr>
          <w:rFonts w:hint="eastAsia" w:ascii="宋体" w:hAnsi="宋体" w:eastAsia="宋体" w:cs="宋体"/>
          <w:b/>
          <w:color w:val="000000"/>
          <w:sz w:val="24"/>
          <w:szCs w:val="24"/>
          <w:highlight w:val="none"/>
        </w:rPr>
      </w:r>
      <w:r/>
    </w:p>
    <w:p>
      <w:pPr>
        <w:pStyle w:val="94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94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 </w:t>
      </w:r>
      <w:r>
        <w:rPr>
          <w:rFonts w:hint="eastAsia" w:ascii="宋体" w:hAnsi="宋体" w:eastAsia="宋体" w:cs="宋体"/>
          <w:color w:val="000000"/>
          <w:sz w:val="24"/>
          <w:szCs w:val="24"/>
          <w:highlight w:val="none"/>
        </w:rPr>
      </w:r>
      <w:r/>
    </w:p>
    <w:p>
      <w:pPr>
        <w:pStyle w:val="94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943"/>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43"/>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乙方（成交供应商）：</w:t>
      </w:r>
      <w:r>
        <w:rPr>
          <w:rFonts w:hint="eastAsia" w:ascii="宋体" w:hAnsi="宋体" w:eastAsia="宋体" w:cs="宋体"/>
          <w:b/>
          <w:color w:val="000000"/>
          <w:sz w:val="24"/>
          <w:szCs w:val="24"/>
          <w:highlight w:val="none"/>
        </w:rPr>
      </w:r>
      <w:r/>
    </w:p>
    <w:p>
      <w:pPr>
        <w:pStyle w:val="94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94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 </w:t>
      </w:r>
      <w:r>
        <w:rPr>
          <w:rFonts w:hint="eastAsia" w:ascii="宋体" w:hAnsi="宋体" w:eastAsia="宋体" w:cs="宋体"/>
          <w:color w:val="000000"/>
          <w:sz w:val="24"/>
          <w:szCs w:val="24"/>
          <w:highlight w:val="none"/>
        </w:rPr>
      </w:r>
      <w:r/>
    </w:p>
    <w:p>
      <w:pPr>
        <w:pStyle w:val="94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943"/>
        <w:spacing w:before="120"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rFonts w:hint="eastAsia" w:ascii="宋体" w:hAnsi="宋体" w:eastAsia="宋体" w:cs="宋体"/>
          <w:color w:val="000000"/>
          <w:sz w:val="24"/>
          <w:szCs w:val="24"/>
          <w:highlight w:val="none"/>
        </w:rPr>
      </w:r>
      <w:r/>
    </w:p>
    <w:p>
      <w:pPr>
        <w:pStyle w:val="943"/>
        <w:ind w:left="0" w:firstLine="422"/>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一、定义</w:t>
      </w:r>
      <w:r>
        <w:rPr>
          <w:rFonts w:hint="eastAsia" w:ascii="宋体" w:hAnsi="宋体" w:eastAsia="宋体" w:cs="宋体"/>
          <w:b/>
          <w:color w:val="000000"/>
          <w:sz w:val="24"/>
          <w:szCs w:val="24"/>
          <w:highlight w:val="none"/>
        </w:rPr>
      </w:r>
      <w:r/>
    </w:p>
    <w:p>
      <w:pPr>
        <w:pStyle w:val="943"/>
        <w:ind w:left="0" w:firstLine="422"/>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以下术语有特定的含义：</w:t>
      </w:r>
      <w:r>
        <w:rPr>
          <w:rFonts w:hint="eastAsia" w:ascii="宋体" w:hAnsi="宋体" w:eastAsia="宋体" w:cs="宋体"/>
          <w:b/>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服务是指根据合同规定乙方应承担</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等工作和合同中规定乙方应承担的其它义务。</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合同价款是指根据成交单位的</w:t>
      </w:r>
      <w:r>
        <w:rPr>
          <w:rFonts w:hint="eastAsia" w:ascii="宋体" w:hAnsi="宋体" w:eastAsia="宋体" w:cs="宋体"/>
          <w:color w:val="000000"/>
          <w:sz w:val="24"/>
          <w:szCs w:val="24"/>
          <w:highlight w:val="none"/>
        </w:rPr>
        <w:t xml:space="preserve">响应文</w:t>
      </w:r>
      <w:r>
        <w:rPr>
          <w:rFonts w:hint="eastAsia" w:ascii="宋体" w:hAnsi="宋体" w:eastAsia="宋体" w:cs="宋体"/>
          <w:color w:val="000000"/>
          <w:sz w:val="24"/>
          <w:szCs w:val="24"/>
          <w:highlight w:val="none"/>
        </w:rPr>
        <w:t xml:space="preserve">件和合同规定，乙方在正确地履行合同义务后甲方应支付给乙方的价款。</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甲方是指合同中明确规定的实际购买和接受服务的单位。</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乙方是指合同中规定的提供服务的单位。</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损失是指合同一方因不履行合同义务而导致另一方及第三方的各种损失的费用，还包括守约方为减轻损失或维护权利而需支付的各种调查费用、车旅费用、律师费用等。</w:t>
      </w:r>
      <w:r>
        <w:rPr>
          <w:rFonts w:hint="eastAsia" w:ascii="宋体" w:hAnsi="宋体" w:eastAsia="宋体" w:cs="宋体"/>
          <w:b/>
          <w:color w:val="000000"/>
          <w:sz w:val="24"/>
          <w:szCs w:val="24"/>
          <w:highlight w:val="none"/>
        </w:rPr>
      </w:r>
      <w:r/>
    </w:p>
    <w:p>
      <w:pPr>
        <w:pStyle w:val="943"/>
        <w:ind w:left="0" w:firstLine="422"/>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二、合同项目及期限</w:t>
      </w:r>
      <w:r>
        <w:rPr>
          <w:rFonts w:hint="eastAsia" w:ascii="宋体" w:hAnsi="宋体" w:eastAsia="宋体" w:cs="宋体"/>
          <w:b/>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2.1乙方负责</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的服务工作。</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2.2服务期限：</w:t>
      </w:r>
      <w:r>
        <w:rPr>
          <w:rFonts w:hint="eastAsia" w:ascii="宋体" w:hAnsi="宋体" w:eastAsia="宋体" w:cs="宋体"/>
          <w:color w:val="000000"/>
          <w:sz w:val="24"/>
          <w:szCs w:val="24"/>
          <w:highlight w:val="none"/>
        </w:rPr>
        <w:t xml:space="preserve">自合同签订之日起壹年。</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2.3服务地点：根据甲方指定地点。</w:t>
      </w:r>
      <w:r>
        <w:rPr>
          <w:rFonts w:hint="eastAsia" w:ascii="宋体" w:hAnsi="宋体" w:eastAsia="宋体" w:cs="宋体"/>
          <w:color w:val="000000"/>
          <w:sz w:val="24"/>
          <w:szCs w:val="24"/>
          <w:highlight w:val="none"/>
        </w:rPr>
      </w:r>
      <w:r/>
    </w:p>
    <w:p>
      <w:pPr>
        <w:pStyle w:val="943"/>
        <w:ind w:left="0" w:firstLine="422"/>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三、合同总价款：</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元整，小写￥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eastAsia="宋体" w:cs="宋体"/>
          <w:color w:val="000000"/>
          <w:sz w:val="24"/>
          <w:szCs w:val="24"/>
          <w:highlight w:val="none"/>
        </w:rPr>
      </w:r>
      <w:r/>
    </w:p>
    <w:p>
      <w:pPr>
        <w:pStyle w:val="943"/>
        <w:ind w:left="0" w:firstLine="422"/>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四、付款方式</w:t>
      </w:r>
      <w:r>
        <w:rPr>
          <w:rFonts w:hint="eastAsia" w:ascii="宋体" w:hAnsi="宋体" w:eastAsia="宋体" w:cs="宋体"/>
          <w:b/>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1.付款步骤：</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（1）本项目使用数字人民币支付</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1）合同签订后的30天内，采购人向中标人支付合同总价的30%作为预付款。</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2）服务期满半年后，经甲方确认考核合格后（月度考核合格线为90分，含90分，90分以下为不合格，考核不合格，甲方有权终止支付合同余款），30天内采购人向中标人支付合同总价的40%。（考核表详见合同附件）</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3）余款30%待项目验收通过后经甲方确认服务期内无重大问题发生，并持甲方的确认单一次性付清。</w:t>
      </w:r>
      <w:r>
        <w:rPr>
          <w:rFonts w:hint="eastAsia" w:ascii="宋体" w:hAnsi="宋体" w:eastAsia="宋体" w:cs="宋体"/>
          <w:color w:val="000000"/>
          <w:sz w:val="24"/>
          <w:szCs w:val="24"/>
          <w:highlight w:val="none"/>
        </w:rPr>
      </w:r>
      <w:r/>
    </w:p>
    <w:p>
      <w:pPr>
        <w:pStyle w:val="943"/>
        <w:ind w:left="0" w:firstLine="422"/>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eastAsia="宋体" w:cs="宋体"/>
          <w:b/>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2.根据国家现行税法对甲方征收的与本合同有关的税费均由甲方承担；根据国家现行税法对乙方征收的与本合同有关的一切税费均由乙方承担。如乙方在履约过程中产生额外的收益，归甲方所有。</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3.支付方式：本次货款以数字人民币形式支付。乙方账户信息如下：</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开户名称：</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数字人民币账户（数币钱包ID）：</w:t>
      </w:r>
      <w:r>
        <w:rPr>
          <w:rFonts w:hint="eastAsia" w:ascii="宋体" w:hAnsi="宋体" w:eastAsia="宋体" w:cs="宋体"/>
          <w:color w:val="000000"/>
          <w:sz w:val="24"/>
          <w:szCs w:val="24"/>
          <w:highlight w:val="none"/>
        </w:rPr>
      </w:r>
      <w:r/>
    </w:p>
    <w:p>
      <w:pPr>
        <w:pStyle w:val="943"/>
        <w:ind w:left="0" w:firstLine="422"/>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五、甲、乙双方的责任</w:t>
      </w:r>
      <w:r>
        <w:rPr>
          <w:rFonts w:hint="eastAsia" w:ascii="宋体" w:hAnsi="宋体" w:eastAsia="宋体" w:cs="宋体"/>
          <w:b/>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1.甲方责任：</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1.1依本合同约定按期支付合同款项；</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1.2依本合同约定及时组织验收；</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1.3协助乙方进行项目的相关协调工作及约定期限内提供相关资料以利于开展项目。</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2.乙方责任：</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乙方负责完成本次采购要求的全部服务工作，乙方应按采购文件以及合同约定的技术规范、标准进行实施，并保证按期、保质保量完成项目的实施工作，对提交的项目质量负责。</w:t>
      </w:r>
      <w:r>
        <w:rPr>
          <w:rFonts w:hint="eastAsia" w:ascii="宋体" w:hAnsi="宋体" w:eastAsia="宋体" w:cs="宋体"/>
          <w:color w:val="000000"/>
          <w:sz w:val="24"/>
          <w:szCs w:val="24"/>
          <w:highlight w:val="none"/>
        </w:rPr>
      </w:r>
      <w:r/>
    </w:p>
    <w:p>
      <w:pPr>
        <w:pStyle w:val="943"/>
        <w:ind w:left="0" w:firstLine="422"/>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六、履约验收标准</w:t>
      </w:r>
      <w:r>
        <w:rPr>
          <w:rFonts w:hint="eastAsia" w:ascii="宋体" w:hAnsi="宋体" w:eastAsia="宋体" w:cs="宋体"/>
          <w:b/>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1.甲方负责组织验收小组，负责整个验收工作，乙方在验收小组指导监督下开展验收工作。</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任一项验收不合格的，乙方应负责在甲方限定的期限内完成整改，因整改而导致的费用和损失由乙方自行承担，整改后仍不能通过验收的，甲方有权聘请第三方进行整改，由此产生的费用由乙方承担，若导致项目逾期，乙方承担逾期违约责任。</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3.除非甲方书面明示通过验收，否则任何其他行为均不代表甲方已验收合格，当项目验收不合格，甲方有权终止支付合同余款，且不承担任何违约责任。</w:t>
      </w:r>
      <w:r>
        <w:rPr>
          <w:rFonts w:hint="eastAsia" w:ascii="宋体" w:hAnsi="宋体" w:eastAsia="宋体" w:cs="宋体"/>
          <w:color w:val="000000"/>
          <w:sz w:val="24"/>
          <w:szCs w:val="24"/>
          <w:highlight w:val="none"/>
        </w:rPr>
      </w:r>
      <w:r/>
    </w:p>
    <w:p>
      <w:pPr>
        <w:pStyle w:val="943"/>
        <w:ind w:left="0" w:firstLine="422"/>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七、违约责任</w:t>
      </w:r>
      <w:r>
        <w:rPr>
          <w:rFonts w:hint="eastAsia" w:ascii="宋体" w:hAnsi="宋体" w:eastAsia="宋体" w:cs="宋体"/>
          <w:b/>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1.甲方违约责任：</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1.1在合同生效后，甲方无故要求解除合同的，应向乙方偿付合同总价款5%的违约金，违约金不足以补偿损失的，乙方有权要求甲方补足。</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1.2甲方逾期付款的应按照逾期付款金额的每天万分之四支付逾期付款违约金，总额不超总价款的5%。</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2.乙方的违约责任：</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在合同生效后，乙方无故要求解除合同的，应向甲方偿付合同总价款5%的违约金，违约金不足以补偿损失的，甲方有权要求乙方补足。</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2.2乙方未按合同规定的质量要求提供服务，不能完成合同时，甲方有权解除合同，乙方向甲方偿付合同总价款5%的违约金，违约金不足以补偿损失的甲方有权要求乙方补足。</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2.3乙方必须自己完成合同内容，不得自行分包，否则，甲方有权按乙方不能完成合同处理。</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2.4乙方应执行国家有关规定（如苏州最低工资标准和其他规定），负责乙方员工的生病、事故、伤残、死亡和劳务纠纷，甲方不承担任何相关责任。</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2.5乙方负有对自己员工的安全责任，甲方不承担任何相关责任。</w:t>
      </w:r>
      <w:r>
        <w:rPr>
          <w:rFonts w:hint="eastAsia" w:ascii="宋体" w:hAnsi="宋体" w:eastAsia="宋体" w:cs="宋体"/>
          <w:color w:val="000000"/>
          <w:sz w:val="24"/>
          <w:szCs w:val="24"/>
          <w:highlight w:val="none"/>
        </w:rPr>
      </w:r>
      <w:r/>
    </w:p>
    <w:p>
      <w:pPr>
        <w:pStyle w:val="943"/>
        <w:ind w:left="0" w:firstLine="422"/>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八、不可抗力</w:t>
      </w:r>
      <w:r>
        <w:rPr>
          <w:rFonts w:hint="eastAsia" w:ascii="宋体" w:hAnsi="宋体" w:eastAsia="宋体" w:cs="宋体"/>
          <w:b/>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2.本条所述的“不可抗力”系指那些双方无法控制，不可预见的事件，但不包括双方的违约或疏忽。这些事件包括但不限于：战争、严重火灾、洪水、台风、地震以及其它双方商定的事件。 </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hint="eastAsia" w:ascii="宋体" w:hAnsi="宋体" w:eastAsia="宋体" w:cs="宋体"/>
          <w:color w:val="000000"/>
          <w:sz w:val="24"/>
          <w:szCs w:val="24"/>
          <w:highlight w:val="none"/>
        </w:rPr>
      </w:r>
      <w:r/>
    </w:p>
    <w:p>
      <w:pPr>
        <w:pStyle w:val="943"/>
        <w:ind w:left="0" w:firstLine="422"/>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九、争端的解决 </w:t>
      </w:r>
      <w:r>
        <w:rPr>
          <w:rFonts w:hint="eastAsia" w:ascii="宋体" w:hAnsi="宋体" w:eastAsia="宋体" w:cs="宋体"/>
          <w:b/>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1.甲方和乙方应通过友好协商，解决在执行本合同过程中所发生的或与本合同有关的一切争端。如从协商开始十天内仍不能解决，可向有关合同管理部门提请调解。 </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2.如果调解不成，双方中的任何一方可向人民法院提起诉讼。诉讼由合同签订地人民法院管辖。 </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3.诉讼费由败诉方负担。</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4.因合同部分履行引发诉讼的，在诉讼期间，除正在进行诉讼的部分外，本合同的其它部分应继续执行。</w:t>
      </w:r>
      <w:r>
        <w:rPr>
          <w:rFonts w:hint="eastAsia" w:ascii="宋体" w:hAnsi="宋体" w:eastAsia="宋体" w:cs="宋体"/>
          <w:color w:val="000000"/>
          <w:sz w:val="24"/>
          <w:szCs w:val="24"/>
          <w:highlight w:val="none"/>
        </w:rPr>
      </w:r>
      <w:r/>
    </w:p>
    <w:p>
      <w:pPr>
        <w:pStyle w:val="943"/>
        <w:ind w:left="0" w:firstLine="422"/>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十、违约终止合同</w:t>
      </w:r>
      <w:r>
        <w:rPr>
          <w:rFonts w:hint="eastAsia" w:ascii="宋体" w:hAnsi="宋体" w:eastAsia="宋体" w:cs="宋体"/>
          <w:b/>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1.在甲方因乙方违约而按合同约定采取的任何补救措施不受影响的情况下，甲方可在下列情况下向乙方发出书面通知，提出终止部分或全部合同。</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如果乙方未能在合同规定的限期或甲方同意延长的限期内提供部分或全部服务。</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如果乙方未能履行合同规定的其它任何义务。</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3.如果甲方违约，应承担相应的违约责任。 </w:t>
      </w:r>
      <w:r>
        <w:rPr>
          <w:rFonts w:hint="eastAsia" w:ascii="宋体" w:hAnsi="宋体" w:eastAsia="宋体" w:cs="宋体"/>
          <w:color w:val="000000"/>
          <w:sz w:val="24"/>
          <w:szCs w:val="24"/>
          <w:highlight w:val="none"/>
        </w:rPr>
      </w:r>
      <w:r/>
    </w:p>
    <w:p>
      <w:pPr>
        <w:pStyle w:val="943"/>
        <w:ind w:left="0" w:firstLine="422"/>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十一、破产终止合同：</w:t>
      </w:r>
      <w:r>
        <w:rPr>
          <w:rFonts w:hint="eastAsia" w:ascii="宋体" w:hAnsi="宋体" w:eastAsia="宋体" w:cs="宋体"/>
          <w:color w:val="000000"/>
          <w:sz w:val="24"/>
          <w:szCs w:val="24"/>
          <w:highlight w:val="none"/>
        </w:rPr>
        <w:t xml:space="preserve">如果乙方破产或丧失清偿能力，甲方可在任何时候以书面形式通知乙方终止合同而不给乙方补偿。该终止合同将不损害或影响甲方已经采取或将要采取任何补救措施的权力。 </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3"/>
        <w:ind w:left="0" w:firstLine="422"/>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十二、政府采购法对政府采购合同变更终止的规定：</w:t>
      </w:r>
      <w:r>
        <w:rPr>
          <w:rFonts w:hint="eastAsia" w:ascii="宋体" w:hAnsi="宋体" w:eastAsia="宋体" w:cs="宋体"/>
          <w:color w:val="000000"/>
          <w:sz w:val="24"/>
          <w:szCs w:val="24"/>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hint="eastAsia" w:ascii="宋体" w:hAnsi="宋体" w:eastAsia="宋体" w:cs="宋体"/>
          <w:color w:val="000000"/>
          <w:sz w:val="24"/>
          <w:szCs w:val="24"/>
          <w:highlight w:val="none"/>
        </w:rPr>
      </w:r>
      <w:r/>
    </w:p>
    <w:p>
      <w:pPr>
        <w:pStyle w:val="943"/>
        <w:ind w:left="0" w:firstLine="422"/>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十三、合同转让和分包：</w:t>
      </w:r>
      <w:r>
        <w:rPr>
          <w:rFonts w:hint="eastAsia" w:ascii="宋体" w:hAnsi="宋体" w:eastAsia="宋体" w:cs="宋体"/>
          <w:color w:val="000000"/>
          <w:sz w:val="24"/>
          <w:szCs w:val="24"/>
          <w:highlight w:val="none"/>
        </w:rPr>
        <w:t xml:space="preserve">本项目不得转让和分包。</w:t>
      </w:r>
      <w:r>
        <w:rPr>
          <w:rFonts w:hint="eastAsia" w:ascii="宋体" w:hAnsi="宋体" w:eastAsia="宋体" w:cs="宋体"/>
          <w:color w:val="000000"/>
          <w:sz w:val="24"/>
          <w:szCs w:val="24"/>
          <w:highlight w:val="none"/>
        </w:rPr>
      </w:r>
      <w:r/>
    </w:p>
    <w:p>
      <w:pPr>
        <w:pStyle w:val="943"/>
        <w:ind w:left="0" w:firstLine="422"/>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十四、需要补充的合同条款：</w:t>
      </w:r>
      <w:r>
        <w:rPr>
          <w:rFonts w:hint="eastAsia" w:ascii="宋体" w:hAnsi="宋体" w:eastAsia="宋体" w:cs="宋体"/>
          <w:color w:val="000000"/>
          <w:sz w:val="24"/>
          <w:szCs w:val="24"/>
          <w:highlight w:val="none"/>
        </w:rPr>
        <w:t xml:space="preserve">（根据评审过程中或者商务谈判时商定的条款和条件在订立合同时标明）。</w:t>
      </w:r>
      <w:r>
        <w:rPr>
          <w:rFonts w:hint="eastAsia" w:ascii="宋体" w:hAnsi="宋体" w:eastAsia="宋体" w:cs="宋体"/>
          <w:color w:val="000000"/>
          <w:sz w:val="24"/>
          <w:szCs w:val="24"/>
          <w:highlight w:val="none"/>
        </w:rPr>
      </w:r>
      <w:r/>
    </w:p>
    <w:p>
      <w:pPr>
        <w:pStyle w:val="943"/>
        <w:ind w:left="0" w:firstLine="422"/>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十五、合同生效</w:t>
      </w:r>
      <w:r>
        <w:rPr>
          <w:rFonts w:hint="eastAsia" w:ascii="宋体" w:hAnsi="宋体" w:eastAsia="宋体" w:cs="宋体"/>
          <w:b/>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1.双方签约人为各自法定代表人或被授权代表。</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2.本合同系指本文件及其附件中的所有部分，采购文件、成交单位的响应文件、成交通知书、成交单位在采购过程中的澄清和承诺等为本合同不可缺少的组成部分。</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3.本合同自甲乙双方签字盖章之日起生效。</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4.本合同壹式</w:t>
      </w:r>
      <w:r>
        <w:rPr>
          <w:rFonts w:hint="eastAsia" w:ascii="宋体" w:hAnsi="宋体" w:eastAsia="宋体" w:cs="宋体"/>
          <w:b/>
          <w:color w:val="000000"/>
          <w:sz w:val="24"/>
          <w:szCs w:val="24"/>
          <w:highlight w:val="none"/>
        </w:rPr>
        <w:t xml:space="preserve">肆</w:t>
      </w:r>
      <w:r>
        <w:rPr>
          <w:rFonts w:hint="eastAsia" w:ascii="宋体" w:hAnsi="宋体" w:eastAsia="宋体" w:cs="宋体"/>
          <w:color w:val="000000"/>
          <w:sz w:val="24"/>
          <w:szCs w:val="24"/>
          <w:highlight w:val="none"/>
        </w:rPr>
        <w:t xml:space="preserve">份，甲乙双方各执</w:t>
      </w:r>
      <w:r>
        <w:rPr>
          <w:rFonts w:hint="eastAsia" w:ascii="宋体" w:hAnsi="宋体" w:eastAsia="宋体" w:cs="宋体"/>
          <w:b/>
          <w:color w:val="000000"/>
          <w:sz w:val="24"/>
          <w:szCs w:val="24"/>
          <w:highlight w:val="none"/>
        </w:rPr>
        <w:t xml:space="preserve">贰</w:t>
      </w:r>
      <w:r>
        <w:rPr>
          <w:rFonts w:hint="eastAsia" w:ascii="宋体" w:hAnsi="宋体" w:eastAsia="宋体" w:cs="宋体"/>
          <w:color w:val="000000"/>
          <w:sz w:val="24"/>
          <w:szCs w:val="24"/>
          <w:highlight w:val="none"/>
        </w:rPr>
        <w:t xml:space="preserve">份，各份具有同等法律效力。</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5.本合同应按照中华人民共和国的现行法律进行解释。</w:t>
      </w:r>
      <w:r>
        <w:rPr>
          <w:rFonts w:hint="eastAsia" w:ascii="宋体" w:hAnsi="宋体" w:eastAsia="宋体" w:cs="宋体"/>
          <w:color w:val="000000"/>
          <w:sz w:val="24"/>
          <w:szCs w:val="24"/>
          <w:highlight w:val="none"/>
        </w:rPr>
      </w:r>
      <w:r/>
    </w:p>
    <w:p>
      <w:pPr>
        <w:pStyle w:val="943"/>
        <w:ind w:left="0" w:firstLine="42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6.合同修改：除甲乙双方签署书面修改、补充协议，并成为本合同不可分割的一部分之外，本合同条件不得有任何变化或修改。 </w:t>
      </w:r>
      <w:r>
        <w:rPr>
          <w:rFonts w:hint="eastAsia" w:ascii="宋体" w:hAnsi="宋体" w:eastAsia="宋体" w:cs="宋体"/>
          <w:color w:val="000000"/>
          <w:sz w:val="24"/>
          <w:szCs w:val="24"/>
          <w:highlight w:val="none"/>
        </w:rPr>
      </w:r>
      <w:r/>
    </w:p>
    <w:p>
      <w:pPr>
        <w:pStyle w:val="943"/>
        <w:ind w:left="400" w:firstLine="420"/>
        <w:spacing w:after="12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3"/>
        <w:ind w:left="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甲方（公章）：                              乙方（公章）：</w:t>
      </w:r>
      <w:r>
        <w:rPr>
          <w:rFonts w:hint="eastAsia" w:ascii="宋体" w:hAnsi="宋体" w:eastAsia="宋体" w:cs="宋体"/>
          <w:color w:val="000000"/>
          <w:sz w:val="24"/>
          <w:szCs w:val="24"/>
          <w:highlight w:val="none"/>
        </w:rPr>
      </w:r>
      <w:r/>
    </w:p>
    <w:p>
      <w:pPr>
        <w:pStyle w:val="943"/>
        <w:ind w:left="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        法定代表人或授权代表（签字或盖章）： </w:t>
      </w:r>
      <w:r>
        <w:rPr>
          <w:rFonts w:hint="eastAsia" w:ascii="宋体" w:hAnsi="宋体" w:eastAsia="宋体" w:cs="宋体"/>
          <w:color w:val="000000"/>
          <w:sz w:val="24"/>
          <w:szCs w:val="24"/>
          <w:highlight w:val="none"/>
        </w:rPr>
      </w:r>
      <w:r/>
    </w:p>
    <w:p>
      <w:pPr>
        <w:pStyle w:val="943"/>
        <w:ind w:left="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签约日期：                                  签约日期： </w:t>
      </w:r>
      <w:r>
        <w:rPr>
          <w:rFonts w:hint="eastAsia" w:ascii="宋体" w:hAnsi="宋体" w:eastAsia="宋体" w:cs="宋体"/>
          <w:color w:val="000000"/>
          <w:sz w:val="24"/>
          <w:szCs w:val="24"/>
          <w:highlight w:val="none"/>
        </w:rPr>
      </w:r>
      <w:r/>
    </w:p>
    <w:p>
      <w:pPr>
        <w:pStyle w:val="943"/>
        <w:ind w:left="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合同签定地：</w:t>
      </w:r>
      <w:r>
        <w:rPr>
          <w:rFonts w:hint="eastAsia" w:ascii="宋体" w:hAnsi="宋体" w:eastAsia="宋体" w:cs="宋体"/>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r/>
    </w:p>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43"/>
        <w:ind w:left="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附件：考核表</w:t>
      </w:r>
      <w:r>
        <w:rPr>
          <w:rFonts w:hint="eastAsia" w:ascii="宋体" w:hAnsi="宋体" w:eastAsia="宋体" w:cs="宋体"/>
          <w:b/>
          <w:color w:val="000000"/>
          <w:sz w:val="24"/>
          <w:szCs w:val="24"/>
          <w:highlight w:val="none"/>
        </w:rPr>
      </w:r>
      <w:r/>
    </w:p>
    <w:p>
      <w:pPr>
        <w:pStyle w:val="943"/>
        <w:ind w:left="0"/>
        <w:jc w:val="center"/>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2026年姑苏智慧教育云运营服务项目</w:t>
      </w:r>
      <w:r>
        <w:rPr>
          <w:rFonts w:hint="eastAsia" w:ascii="宋体" w:hAnsi="宋体" w:eastAsia="宋体" w:cs="宋体"/>
          <w:b/>
          <w:color w:val="000000"/>
          <w:sz w:val="24"/>
          <w:szCs w:val="24"/>
          <w:highlight w:val="none"/>
        </w:rPr>
      </w:r>
      <w:r/>
    </w:p>
    <w:tbl>
      <w:tblPr>
        <w:tblStyle w:val="1022"/>
        <w:tblW w:w="99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47"/>
        <w:gridCol w:w="2840"/>
        <w:gridCol w:w="565"/>
        <w:gridCol w:w="1703"/>
        <w:gridCol w:w="587"/>
        <w:gridCol w:w="788"/>
        <w:gridCol w:w="888"/>
      </w:tblGrid>
      <w:tr>
        <w:trPr>
          <w:trHeight w:val="630"/>
        </w:trPr>
        <w:tc>
          <w:tcPr>
            <w:shd w:val="clear" w:color="auto" w:fill="d8d8d8"/>
            <w:tcW w:w="2547" w:type="dxa"/>
            <w:vAlign w:val="center"/>
            <w:textDirection w:val="lrTb"/>
            <w:noWrap w:val="false"/>
          </w:tcPr>
          <w:p>
            <w:pPr>
              <w:pStyle w:val="943"/>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服务运维单位</w:t>
            </w:r>
            <w:r>
              <w:rPr>
                <w:rFonts w:hint="eastAsia" w:ascii="宋体" w:hAnsi="宋体" w:eastAsia="宋体" w:cs="宋体"/>
                <w:b/>
                <w:bCs/>
                <w:color w:val="000000"/>
                <w:sz w:val="24"/>
                <w:szCs w:val="24"/>
                <w:highlight w:val="none"/>
              </w:rPr>
            </w:r>
            <w:r/>
          </w:p>
        </w:tc>
        <w:tc>
          <w:tcPr>
            <w:gridSpan w:val="2"/>
            <w:tcW w:w="3405" w:type="dxa"/>
            <w:vAlign w:val="center"/>
            <w:textDirection w:val="lrTb"/>
            <w:noWrap w:val="false"/>
          </w:tcPr>
          <w:p>
            <w:pPr>
              <w:pStyle w:val="943"/>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shd w:val="clear" w:color="auto" w:fill="d8d8d8"/>
            <w:tcW w:w="1703" w:type="dxa"/>
            <w:vAlign w:val="center"/>
            <w:textDirection w:val="lrTb"/>
            <w:noWrap w:val="false"/>
          </w:tcPr>
          <w:p>
            <w:pPr>
              <w:pStyle w:val="943"/>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对接负责人</w:t>
            </w:r>
            <w:r>
              <w:rPr>
                <w:rFonts w:hint="eastAsia" w:ascii="宋体" w:hAnsi="宋体" w:eastAsia="宋体" w:cs="宋体"/>
                <w:b/>
                <w:bCs/>
                <w:color w:val="000000"/>
                <w:sz w:val="24"/>
                <w:szCs w:val="24"/>
                <w:highlight w:val="none"/>
              </w:rPr>
            </w:r>
            <w:r/>
          </w:p>
        </w:tc>
        <w:tc>
          <w:tcPr>
            <w:gridSpan w:val="3"/>
            <w:tcW w:w="2263" w:type="dxa"/>
            <w:vAlign w:val="center"/>
            <w:textDirection w:val="lrTb"/>
            <w:noWrap w:val="false"/>
          </w:tcPr>
          <w:p>
            <w:pPr>
              <w:pStyle w:val="943"/>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630"/>
        </w:trPr>
        <w:tc>
          <w:tcPr>
            <w:shd w:val="clear" w:color="auto" w:fill="d8d8d8"/>
            <w:tcW w:w="2547" w:type="dxa"/>
            <w:vAlign w:val="center"/>
            <w:textDirection w:val="lrTb"/>
            <w:noWrap w:val="false"/>
          </w:tcPr>
          <w:p>
            <w:pPr>
              <w:pStyle w:val="943"/>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阶段考核周期</w:t>
            </w:r>
            <w:r>
              <w:rPr>
                <w:rFonts w:hint="eastAsia" w:ascii="宋体" w:hAnsi="宋体" w:eastAsia="宋体" w:cs="宋体"/>
                <w:b/>
                <w:bCs/>
                <w:color w:val="000000"/>
                <w:sz w:val="24"/>
                <w:szCs w:val="24"/>
                <w:highlight w:val="none"/>
              </w:rPr>
            </w:r>
            <w:r/>
          </w:p>
        </w:tc>
        <w:tc>
          <w:tcPr>
            <w:gridSpan w:val="6"/>
            <w:tcW w:w="7371" w:type="dxa"/>
            <w:vAlign w:val="center"/>
            <w:textDirection w:val="lrTb"/>
            <w:noWrap w:val="false"/>
          </w:tcPr>
          <w:p>
            <w:pPr>
              <w:pStyle w:val="943"/>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trHeight w:val="688"/>
        </w:trPr>
        <w:tc>
          <w:tcPr>
            <w:shd w:val="clear" w:color="auto" w:fill="d8d8d8"/>
            <w:tcW w:w="2547" w:type="dxa"/>
            <w:vAlign w:val="center"/>
            <w:textDirection w:val="lrTb"/>
            <w:noWrap w:val="false"/>
          </w:tcPr>
          <w:p>
            <w:pPr>
              <w:pStyle w:val="943"/>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考核类别及标准分</w:t>
            </w:r>
            <w:r>
              <w:rPr>
                <w:rFonts w:hint="eastAsia" w:ascii="宋体" w:hAnsi="宋体" w:eastAsia="宋体" w:cs="宋体"/>
                <w:b/>
                <w:bCs/>
                <w:color w:val="000000"/>
                <w:sz w:val="24"/>
                <w:szCs w:val="24"/>
                <w:highlight w:val="none"/>
              </w:rPr>
            </w:r>
            <w:r/>
          </w:p>
        </w:tc>
        <w:tc>
          <w:tcPr>
            <w:gridSpan w:val="4"/>
            <w:shd w:val="clear" w:color="auto" w:fill="d8d8d8"/>
            <w:tcW w:w="5695" w:type="dxa"/>
            <w:vAlign w:val="center"/>
            <w:textDirection w:val="lrTb"/>
            <w:noWrap w:val="false"/>
          </w:tcPr>
          <w:p>
            <w:pPr>
              <w:pStyle w:val="943"/>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考核评分项</w:t>
            </w:r>
            <w:r>
              <w:rPr>
                <w:rFonts w:hint="eastAsia" w:ascii="宋体" w:hAnsi="宋体" w:eastAsia="宋体" w:cs="宋体"/>
                <w:b/>
                <w:bCs/>
                <w:color w:val="000000"/>
                <w:sz w:val="24"/>
                <w:szCs w:val="24"/>
                <w:highlight w:val="none"/>
              </w:rPr>
            </w:r>
            <w:r/>
          </w:p>
        </w:tc>
        <w:tc>
          <w:tcPr>
            <w:shd w:val="clear" w:color="auto" w:fill="d8d8d8"/>
            <w:tcW w:w="788" w:type="dxa"/>
            <w:vAlign w:val="center"/>
            <w:textDirection w:val="lrTb"/>
            <w:noWrap w:val="false"/>
          </w:tcPr>
          <w:p>
            <w:pPr>
              <w:pStyle w:val="943"/>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分值</w:t>
            </w:r>
            <w:r>
              <w:rPr>
                <w:rFonts w:hint="eastAsia" w:ascii="宋体" w:hAnsi="宋体" w:eastAsia="宋体" w:cs="宋体"/>
                <w:b/>
                <w:bCs/>
                <w:color w:val="000000"/>
                <w:sz w:val="24"/>
                <w:szCs w:val="24"/>
                <w:highlight w:val="none"/>
              </w:rPr>
            </w:r>
            <w:r/>
          </w:p>
        </w:tc>
        <w:tc>
          <w:tcPr>
            <w:shd w:val="clear" w:color="auto" w:fill="d8d8d8"/>
            <w:tcW w:w="888" w:type="dxa"/>
            <w:vAlign w:val="center"/>
            <w:textDirection w:val="lrTb"/>
            <w:noWrap w:val="false"/>
          </w:tcPr>
          <w:p>
            <w:pPr>
              <w:pStyle w:val="943"/>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w:t>
            </w:r>
            <w:r>
              <w:rPr>
                <w:rFonts w:hint="eastAsia" w:ascii="宋体" w:hAnsi="宋体" w:eastAsia="宋体" w:cs="宋体"/>
                <w:b/>
                <w:bCs/>
                <w:color w:val="000000"/>
                <w:sz w:val="24"/>
                <w:szCs w:val="24"/>
                <w:highlight w:val="none"/>
              </w:rPr>
            </w:r>
            <w:r/>
          </w:p>
        </w:tc>
      </w:tr>
      <w:tr>
        <w:trPr>
          <w:trHeight w:val="709"/>
        </w:trPr>
        <w:tc>
          <w:tcPr>
            <w:tcW w:w="2547" w:type="dxa"/>
            <w:vAlign w:val="center"/>
            <w:vMerge w:val="restart"/>
            <w:textDirection w:val="lrTb"/>
            <w:noWrap w:val="false"/>
          </w:tcPr>
          <w:p>
            <w:pPr>
              <w:pStyle w:val="943"/>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2026年姑苏智慧教育云运营服务项目</w:t>
            </w:r>
            <w:r>
              <w:rPr>
                <w:rFonts w:hint="eastAsia" w:ascii="宋体" w:hAnsi="宋体" w:eastAsia="宋体" w:cs="宋体"/>
                <w:color w:val="000000"/>
                <w:sz w:val="24"/>
                <w:szCs w:val="24"/>
                <w:highlight w:val="none"/>
              </w:rPr>
            </w:r>
            <w:r/>
          </w:p>
        </w:tc>
        <w:tc>
          <w:tcPr>
            <w:gridSpan w:val="4"/>
            <w:tcW w:w="5695" w:type="dxa"/>
            <w:vAlign w:val="center"/>
            <w:textDirection w:val="lrTb"/>
            <w:noWrap w:val="false"/>
          </w:tcPr>
          <w:p>
            <w:pPr>
              <w:pStyle w:val="943"/>
              <w:ind w:left="0"/>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1.姑苏智慧教育往期平台运维保障</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943"/>
              <w:ind w:left="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888" w:type="dxa"/>
            <w:vAlign w:val="top"/>
            <w:textDirection w:val="lrTb"/>
            <w:noWrap w:val="false"/>
          </w:tcPr>
          <w:p>
            <w:pPr>
              <w:pStyle w:val="943"/>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9"/>
        </w:trPr>
        <w:tc>
          <w:tcPr>
            <w:tcW w:w="2547" w:type="dxa"/>
            <w:vAlign w:val="center"/>
            <w:vMerge w:val="continue"/>
            <w:textDirection w:val="lrTb"/>
            <w:noWrap w:val="false"/>
          </w:tcPr>
          <w:p>
            <w:pPr>
              <w:pStyle w:val="943"/>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5695" w:type="dxa"/>
            <w:vAlign w:val="center"/>
            <w:textDirection w:val="lrTb"/>
            <w:noWrap w:val="false"/>
          </w:tcPr>
          <w:p>
            <w:pPr>
              <w:pStyle w:val="943"/>
              <w:ind w:left="0"/>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2.学校及相关用户的</w:t>
            </w:r>
            <w:r>
              <w:rPr>
                <w:rFonts w:hint="eastAsia" w:ascii="宋体" w:hAnsi="宋体" w:eastAsia="宋体" w:cs="宋体"/>
                <w:color w:val="000000"/>
                <w:sz w:val="24"/>
                <w:szCs w:val="24"/>
                <w:highlight w:val="none"/>
                <w:lang w:val="en-US" w:eastAsia="zh-CN"/>
              </w:rPr>
              <w:t xml:space="preserve">业务系统</w:t>
            </w:r>
            <w:r>
              <w:rPr>
                <w:rFonts w:hint="eastAsia" w:ascii="宋体" w:hAnsi="宋体" w:eastAsia="宋体" w:cs="宋体"/>
                <w:color w:val="000000"/>
                <w:sz w:val="24"/>
                <w:szCs w:val="24"/>
                <w:highlight w:val="none"/>
              </w:rPr>
              <w:t xml:space="preserve">操作培训</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943"/>
              <w:ind w:left="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888" w:type="dxa"/>
            <w:vAlign w:val="top"/>
            <w:textDirection w:val="lrTb"/>
            <w:noWrap w:val="false"/>
          </w:tcPr>
          <w:p>
            <w:pPr>
              <w:pStyle w:val="943"/>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9"/>
        </w:trPr>
        <w:tc>
          <w:tcPr>
            <w:tcW w:w="2547" w:type="dxa"/>
            <w:vAlign w:val="center"/>
            <w:vMerge w:val="continue"/>
            <w:textDirection w:val="lrTb"/>
            <w:noWrap w:val="false"/>
          </w:tcPr>
          <w:p>
            <w:pPr>
              <w:pStyle w:val="943"/>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5695" w:type="dxa"/>
            <w:vAlign w:val="center"/>
            <w:textDirection w:val="lrTb"/>
            <w:noWrap w:val="false"/>
          </w:tcPr>
          <w:p>
            <w:pPr>
              <w:pStyle w:val="943"/>
              <w:ind w:left="0"/>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3.配合业务进行日常操作问题处理和答疑</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943"/>
              <w:ind w:left="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888" w:type="dxa"/>
            <w:vAlign w:val="top"/>
            <w:textDirection w:val="lrTb"/>
            <w:noWrap w:val="false"/>
          </w:tcPr>
          <w:p>
            <w:pPr>
              <w:pStyle w:val="943"/>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9"/>
        </w:trPr>
        <w:tc>
          <w:tcPr>
            <w:tcW w:w="2547" w:type="dxa"/>
            <w:vAlign w:val="center"/>
            <w:vMerge w:val="continue"/>
            <w:textDirection w:val="lrTb"/>
            <w:noWrap w:val="false"/>
          </w:tcPr>
          <w:p>
            <w:pPr>
              <w:pStyle w:val="943"/>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5695" w:type="dxa"/>
            <w:vAlign w:val="center"/>
            <w:textDirection w:val="lrTb"/>
            <w:noWrap w:val="false"/>
          </w:tcPr>
          <w:p>
            <w:pPr>
              <w:pStyle w:val="943"/>
              <w:ind w:left="0"/>
              <w:jc w:val="left"/>
              <w:spacing w:line="288"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学业大数据教学资源数据准备服务</w:t>
            </w:r>
            <w:r>
              <w:rPr>
                <w:rFonts w:hint="eastAsia" w:ascii="宋体" w:hAnsi="宋体" w:eastAsia="宋体" w:cs="宋体"/>
                <w:color w:val="000000"/>
                <w:sz w:val="24"/>
                <w:szCs w:val="24"/>
                <w:highlight w:val="none"/>
                <w:lang w:val="en-US" w:eastAsia="zh-CN"/>
              </w:rPr>
            </w:r>
            <w:r/>
          </w:p>
        </w:tc>
        <w:tc>
          <w:tcPr>
            <w:tcW w:w="788" w:type="dxa"/>
            <w:vAlign w:val="center"/>
            <w:textDirection w:val="lrTb"/>
            <w:noWrap w:val="false"/>
          </w:tcPr>
          <w:p>
            <w:pPr>
              <w:pStyle w:val="943"/>
              <w:ind w:left="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888" w:type="dxa"/>
            <w:vAlign w:val="top"/>
            <w:textDirection w:val="lrTb"/>
            <w:noWrap w:val="false"/>
          </w:tcPr>
          <w:p>
            <w:pPr>
              <w:pStyle w:val="943"/>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9"/>
        </w:trPr>
        <w:tc>
          <w:tcPr>
            <w:tcW w:w="2547" w:type="dxa"/>
            <w:vAlign w:val="center"/>
            <w:vMerge w:val="continue"/>
            <w:textDirection w:val="lrTb"/>
            <w:noWrap w:val="false"/>
          </w:tcPr>
          <w:p>
            <w:pPr>
              <w:pStyle w:val="943"/>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5695" w:type="dxa"/>
            <w:vAlign w:val="center"/>
            <w:textDirection w:val="lrTb"/>
            <w:noWrap w:val="false"/>
          </w:tcPr>
          <w:p>
            <w:pPr>
              <w:pStyle w:val="943"/>
              <w:ind w:left="0"/>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.学业大数据业务</w:t>
            </w:r>
            <w:r>
              <w:rPr>
                <w:rFonts w:hint="eastAsia" w:ascii="宋体" w:hAnsi="宋体" w:eastAsia="宋体" w:cs="宋体"/>
                <w:color w:val="000000"/>
                <w:sz w:val="24"/>
                <w:szCs w:val="24"/>
                <w:highlight w:val="none"/>
                <w:lang w:val="en-US" w:eastAsia="zh-CN"/>
              </w:rPr>
              <w:t xml:space="preserve">支撑</w:t>
            </w:r>
            <w:r>
              <w:rPr>
                <w:rFonts w:hint="eastAsia" w:ascii="宋体" w:hAnsi="宋体" w:eastAsia="宋体" w:cs="宋体"/>
                <w:color w:val="000000"/>
                <w:sz w:val="24"/>
                <w:szCs w:val="24"/>
                <w:highlight w:val="none"/>
              </w:rPr>
              <w:t xml:space="preserve">及数据回流服务</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943"/>
              <w:ind w:left="0"/>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888" w:type="dxa"/>
            <w:vAlign w:val="top"/>
            <w:textDirection w:val="lrTb"/>
            <w:noWrap w:val="false"/>
          </w:tcPr>
          <w:p>
            <w:pPr>
              <w:pStyle w:val="943"/>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9"/>
        </w:trPr>
        <w:tc>
          <w:tcPr>
            <w:tcW w:w="2547" w:type="dxa"/>
            <w:vAlign w:val="center"/>
            <w:vMerge w:val="continue"/>
            <w:textDirection w:val="lrTb"/>
            <w:noWrap w:val="false"/>
          </w:tcPr>
          <w:p>
            <w:pPr>
              <w:pStyle w:val="943"/>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5695" w:type="dxa"/>
            <w:vAlign w:val="center"/>
            <w:textDirection w:val="lrTb"/>
            <w:noWrap w:val="false"/>
          </w:tcPr>
          <w:p>
            <w:pPr>
              <w:pStyle w:val="943"/>
              <w:ind w:left="0"/>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.系统数据对接、教育部门各业务条线数据汇聚</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943"/>
              <w:ind w:left="0"/>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88" w:type="dxa"/>
            <w:vAlign w:val="top"/>
            <w:textDirection w:val="lrTb"/>
            <w:noWrap w:val="false"/>
          </w:tcPr>
          <w:p>
            <w:pPr>
              <w:pStyle w:val="943"/>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9"/>
        </w:trPr>
        <w:tc>
          <w:tcPr>
            <w:tcW w:w="2547" w:type="dxa"/>
            <w:vAlign w:val="center"/>
            <w:vMerge w:val="continue"/>
            <w:textDirection w:val="lrTb"/>
            <w:noWrap w:val="false"/>
          </w:tcPr>
          <w:p>
            <w:pPr>
              <w:pStyle w:val="943"/>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5695" w:type="dxa"/>
            <w:vAlign w:val="center"/>
            <w:textDirection w:val="lrTb"/>
            <w:noWrap w:val="false"/>
          </w:tcPr>
          <w:p>
            <w:pPr>
              <w:pStyle w:val="943"/>
              <w:ind w:left="0"/>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.各业务条线数据采集、汇聚与分析服务</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943"/>
              <w:ind w:left="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888" w:type="dxa"/>
            <w:vAlign w:val="top"/>
            <w:textDirection w:val="lrTb"/>
            <w:noWrap w:val="false"/>
          </w:tcPr>
          <w:p>
            <w:pPr>
              <w:pStyle w:val="943"/>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9"/>
        </w:trPr>
        <w:tc>
          <w:tcPr>
            <w:tcW w:w="2547" w:type="dxa"/>
            <w:vAlign w:val="center"/>
            <w:vMerge w:val="continue"/>
            <w:textDirection w:val="lrTb"/>
            <w:noWrap w:val="false"/>
          </w:tcPr>
          <w:p>
            <w:pPr>
              <w:pStyle w:val="943"/>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5695" w:type="dxa"/>
            <w:vAlign w:val="center"/>
            <w:textDirection w:val="lrTb"/>
            <w:noWrap w:val="false"/>
          </w:tcPr>
          <w:p>
            <w:pPr>
              <w:pStyle w:val="943"/>
              <w:ind w:left="0"/>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初中校教育决策分析技术支持服务</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943"/>
              <w:ind w:left="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888" w:type="dxa"/>
            <w:vAlign w:val="top"/>
            <w:textDirection w:val="lrTb"/>
            <w:noWrap w:val="false"/>
          </w:tcPr>
          <w:p>
            <w:pPr>
              <w:pStyle w:val="943"/>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9"/>
        </w:trPr>
        <w:tc>
          <w:tcPr>
            <w:tcW w:w="2547" w:type="dxa"/>
            <w:vAlign w:val="center"/>
            <w:vMerge w:val="continue"/>
            <w:textDirection w:val="lrTb"/>
            <w:noWrap w:val="false"/>
          </w:tcPr>
          <w:p>
            <w:pPr>
              <w:pStyle w:val="943"/>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5695" w:type="dxa"/>
            <w:vAlign w:val="center"/>
            <w:textDirection w:val="lrTb"/>
            <w:noWrap w:val="false"/>
          </w:tcPr>
          <w:p>
            <w:pPr>
              <w:pStyle w:val="943"/>
              <w:ind w:left="0"/>
              <w:jc w:val="left"/>
              <w:spacing w:line="288"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.学生生源分析服务</w:t>
            </w:r>
            <w:r>
              <w:rPr>
                <w:rFonts w:hint="eastAsia" w:ascii="宋体" w:hAnsi="宋体" w:eastAsia="宋体" w:cs="宋体"/>
                <w:color w:val="000000"/>
                <w:sz w:val="24"/>
                <w:szCs w:val="24"/>
                <w:highlight w:val="none"/>
                <w:lang w:val="en-US" w:eastAsia="zh-CN"/>
              </w:rPr>
            </w:r>
            <w:r/>
          </w:p>
        </w:tc>
        <w:tc>
          <w:tcPr>
            <w:tcW w:w="788" w:type="dxa"/>
            <w:vAlign w:val="center"/>
            <w:textDirection w:val="lrTb"/>
            <w:noWrap w:val="false"/>
          </w:tcPr>
          <w:p>
            <w:pPr>
              <w:pStyle w:val="943"/>
              <w:ind w:left="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888" w:type="dxa"/>
            <w:vAlign w:val="top"/>
            <w:textDirection w:val="lrTb"/>
            <w:noWrap w:val="false"/>
          </w:tcPr>
          <w:p>
            <w:pPr>
              <w:pStyle w:val="943"/>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9"/>
        </w:trPr>
        <w:tc>
          <w:tcPr>
            <w:tcW w:w="2547" w:type="dxa"/>
            <w:vAlign w:val="center"/>
            <w:vMerge w:val="continue"/>
            <w:textDirection w:val="lrTb"/>
            <w:noWrap w:val="false"/>
          </w:tcPr>
          <w:p>
            <w:pPr>
              <w:pStyle w:val="943"/>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5695" w:type="dxa"/>
            <w:vAlign w:val="center"/>
            <w:textDirection w:val="lrTb"/>
            <w:noWrap w:val="false"/>
          </w:tcPr>
          <w:p>
            <w:pPr>
              <w:pStyle w:val="943"/>
              <w:ind w:left="0"/>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.教师招聘系统技术支持服务</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943"/>
              <w:ind w:left="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888" w:type="dxa"/>
            <w:vAlign w:val="top"/>
            <w:textDirection w:val="lrTb"/>
            <w:noWrap w:val="false"/>
          </w:tcPr>
          <w:p>
            <w:pPr>
              <w:pStyle w:val="943"/>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9"/>
        </w:trPr>
        <w:tc>
          <w:tcPr>
            <w:tcW w:w="2547" w:type="dxa"/>
            <w:vAlign w:val="center"/>
            <w:vMerge w:val="continue"/>
            <w:textDirection w:val="lrTb"/>
            <w:noWrap w:val="false"/>
          </w:tcPr>
          <w:p>
            <w:pPr>
              <w:pStyle w:val="943"/>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5695" w:type="dxa"/>
            <w:vAlign w:val="center"/>
            <w:textDirection w:val="lrTb"/>
            <w:noWrap w:val="false"/>
          </w:tcPr>
          <w:p>
            <w:pPr>
              <w:pStyle w:val="943"/>
              <w:ind w:left="0"/>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.职称评定技术支持服务</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943"/>
              <w:ind w:left="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888" w:type="dxa"/>
            <w:vAlign w:val="top"/>
            <w:textDirection w:val="lrTb"/>
            <w:noWrap w:val="false"/>
          </w:tcPr>
          <w:p>
            <w:pPr>
              <w:pStyle w:val="943"/>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9"/>
        </w:trPr>
        <w:tc>
          <w:tcPr>
            <w:tcW w:w="2547" w:type="dxa"/>
            <w:vAlign w:val="center"/>
            <w:vMerge w:val="continue"/>
            <w:textDirection w:val="lrTb"/>
            <w:noWrap w:val="false"/>
          </w:tcPr>
          <w:p>
            <w:pPr>
              <w:pStyle w:val="943"/>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5695" w:type="dxa"/>
            <w:vAlign w:val="center"/>
            <w:textDirection w:val="lrTb"/>
            <w:noWrap w:val="false"/>
          </w:tcPr>
          <w:p>
            <w:pPr>
              <w:pStyle w:val="943"/>
              <w:ind w:left="0"/>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.人才考核技术支持服务</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943"/>
              <w:ind w:left="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888" w:type="dxa"/>
            <w:vAlign w:val="top"/>
            <w:textDirection w:val="lrTb"/>
            <w:noWrap w:val="false"/>
          </w:tcPr>
          <w:p>
            <w:pPr>
              <w:pStyle w:val="943"/>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9"/>
        </w:trPr>
        <w:tc>
          <w:tcPr>
            <w:tcW w:w="2547" w:type="dxa"/>
            <w:vAlign w:val="center"/>
            <w:vMerge w:val="continue"/>
            <w:textDirection w:val="lrTb"/>
            <w:noWrap w:val="false"/>
          </w:tcPr>
          <w:p>
            <w:pPr>
              <w:pStyle w:val="943"/>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5695" w:type="dxa"/>
            <w:vAlign w:val="center"/>
            <w:textDirection w:val="lrTb"/>
            <w:noWrap w:val="false"/>
          </w:tcPr>
          <w:p>
            <w:pPr>
              <w:pStyle w:val="943"/>
              <w:ind w:left="0"/>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幼儿</w:t>
            </w:r>
            <w:r>
              <w:rPr>
                <w:rFonts w:hint="eastAsia" w:ascii="宋体" w:hAnsi="宋体" w:eastAsia="宋体" w:cs="宋体"/>
                <w:color w:val="000000"/>
                <w:sz w:val="24"/>
                <w:szCs w:val="24"/>
                <w:highlight w:val="none"/>
              </w:rPr>
              <w:t xml:space="preserve">招生运营技术支持服务</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943"/>
              <w:ind w:left="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888" w:type="dxa"/>
            <w:vAlign w:val="top"/>
            <w:textDirection w:val="lrTb"/>
            <w:noWrap w:val="false"/>
          </w:tcPr>
          <w:p>
            <w:pPr>
              <w:pStyle w:val="943"/>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9"/>
        </w:trPr>
        <w:tc>
          <w:tcPr>
            <w:tcW w:w="2547" w:type="dxa"/>
            <w:vAlign w:val="center"/>
            <w:textDirection w:val="lrTb"/>
            <w:noWrap w:val="false"/>
          </w:tcPr>
          <w:p>
            <w:pPr>
              <w:pStyle w:val="943"/>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5695" w:type="dxa"/>
            <w:vAlign w:val="center"/>
            <w:textDirection w:val="lrTb"/>
            <w:noWrap w:val="false"/>
          </w:tcPr>
          <w:p>
            <w:pPr>
              <w:pStyle w:val="943"/>
              <w:ind w:left="0"/>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姑苏区老年大学在线报名平台项目租赁服务</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943"/>
              <w:ind w:left="0"/>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88" w:type="dxa"/>
            <w:vAlign w:val="top"/>
            <w:textDirection w:val="lrTb"/>
            <w:noWrap w:val="false"/>
          </w:tcPr>
          <w:p>
            <w:pPr>
              <w:pStyle w:val="943"/>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5"/>
        </w:trPr>
        <w:tc>
          <w:tcPr>
            <w:gridSpan w:val="5"/>
            <w:tcW w:w="8242" w:type="dxa"/>
            <w:vAlign w:val="center"/>
            <w:textDirection w:val="lrTb"/>
            <w:noWrap w:val="false"/>
          </w:tcPr>
          <w:p>
            <w:pPr>
              <w:pStyle w:val="943"/>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评分合计</w:t>
            </w:r>
            <w:r>
              <w:rPr>
                <w:rFonts w:hint="eastAsia" w:ascii="宋体" w:hAnsi="宋体" w:eastAsia="宋体" w:cs="宋体"/>
                <w:b/>
                <w:bCs/>
                <w:color w:val="000000"/>
                <w:sz w:val="24"/>
                <w:szCs w:val="24"/>
                <w:highlight w:val="none"/>
              </w:rPr>
            </w:r>
            <w:r/>
          </w:p>
        </w:tc>
        <w:tc>
          <w:tcPr>
            <w:tcW w:w="788" w:type="dxa"/>
            <w:vAlign w:val="center"/>
            <w:textDirection w:val="lrTb"/>
            <w:noWrap w:val="false"/>
          </w:tcPr>
          <w:p>
            <w:pPr>
              <w:pStyle w:val="943"/>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tc>
        <w:tc>
          <w:tcPr>
            <w:tcW w:w="888" w:type="dxa"/>
            <w:vAlign w:val="top"/>
            <w:textDirection w:val="lrTb"/>
            <w:noWrap w:val="false"/>
          </w:tcPr>
          <w:p>
            <w:pPr>
              <w:pStyle w:val="943"/>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75"/>
        </w:trPr>
        <w:tc>
          <w:tcPr>
            <w:gridSpan w:val="2"/>
            <w:shd w:val="clear" w:color="auto" w:fill="d8d8d8"/>
            <w:tcW w:w="5387" w:type="dxa"/>
            <w:vAlign w:val="center"/>
            <w:textDirection w:val="lrTb"/>
            <w:noWrap w:val="false"/>
          </w:tcPr>
          <w:p>
            <w:pPr>
              <w:pStyle w:val="943"/>
              <w:ind w:left="0"/>
              <w:jc w:val="center"/>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客户</w:t>
            </w:r>
            <w:r>
              <w:rPr>
                <w:rFonts w:hint="eastAsia" w:ascii="宋体" w:hAnsi="宋体" w:eastAsia="宋体" w:cs="宋体"/>
                <w:b/>
                <w:bCs/>
                <w:color w:val="000000"/>
                <w:sz w:val="24"/>
                <w:szCs w:val="24"/>
                <w:highlight w:val="none"/>
                <w:lang w:val="en-US" w:eastAsia="zh-CN"/>
              </w:rPr>
              <w:t xml:space="preserve">联系</w:t>
            </w:r>
            <w:r>
              <w:rPr>
                <w:rFonts w:hint="eastAsia" w:ascii="宋体" w:hAnsi="宋体" w:eastAsia="宋体" w:cs="宋体"/>
                <w:b/>
                <w:bCs/>
                <w:color w:val="000000"/>
                <w:sz w:val="24"/>
                <w:szCs w:val="24"/>
                <w:highlight w:val="none"/>
              </w:rPr>
              <w:t xml:space="preserve">人（签字盖章）</w:t>
            </w:r>
            <w:r>
              <w:rPr>
                <w:rFonts w:hint="eastAsia" w:ascii="宋体" w:hAnsi="宋体" w:eastAsia="宋体" w:cs="宋体"/>
                <w:b/>
                <w:bCs/>
                <w:color w:val="000000"/>
                <w:sz w:val="24"/>
                <w:szCs w:val="24"/>
                <w:highlight w:val="none"/>
              </w:rPr>
            </w:r>
            <w:r/>
          </w:p>
        </w:tc>
        <w:tc>
          <w:tcPr>
            <w:gridSpan w:val="5"/>
            <w:tcW w:w="4531" w:type="dxa"/>
            <w:vAlign w:val="center"/>
            <w:textDirection w:val="lrTb"/>
            <w:noWrap w:val="false"/>
          </w:tcPr>
          <w:p>
            <w:pPr>
              <w:pStyle w:val="943"/>
              <w:ind w:left="0"/>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7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第六章 评审方法及评审标准</w:t>
      </w:r>
      <w:r>
        <w:rPr>
          <w:rFonts w:hint="eastAsia" w:ascii="宋体" w:hAnsi="宋体" w:eastAsia="宋体" w:cs="宋体"/>
          <w:b/>
          <w:bCs/>
          <w:color w:val="000000"/>
          <w:sz w:val="24"/>
          <w:szCs w:val="24"/>
          <w:highlight w:val="none"/>
        </w:rPr>
      </w:r>
      <w:r/>
    </w:p>
    <w:p>
      <w:pPr>
        <w:pStyle w:val="94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一、评审方法</w:t>
      </w:r>
      <w:r>
        <w:rPr>
          <w:rFonts w:hint="eastAsia" w:ascii="宋体" w:hAnsi="宋体" w:eastAsia="宋体" w:cs="宋体"/>
          <w:b/>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1、本次评审方法采用综合评分法，即在满足磋商文件实质性要求前提下，按照磋商文件中规定的评审标准和各项因素进行综合评审，以评审总得分最高的供应商作为成交候选人。</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综合评分的主要因素为：价格、人员配备、技术力量、项目方案、服务保障、供应商的综合情况、业绩、服务、承诺、对磋商文件的响应程度，以及相应的比重或者数值等。总分值为100分，评审因素及各比重如下：价格分值占总分值的比重为</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％（权重），技术与质量及其它占</w:t>
      </w:r>
      <w:r>
        <w:rPr>
          <w:rFonts w:hint="eastAsia" w:ascii="宋体" w:hAnsi="宋体" w:eastAsia="宋体" w:cs="宋体"/>
          <w:color w:val="000000"/>
          <w:sz w:val="24"/>
          <w:szCs w:val="24"/>
          <w:highlight w:val="none"/>
          <w:lang w:val="en-US" w:eastAsia="zh-CN"/>
        </w:rPr>
        <w:t xml:space="preserve">70</w:t>
      </w:r>
      <w:r>
        <w:rPr>
          <w:rFonts w:hint="eastAsia" w:ascii="宋体" w:hAnsi="宋体" w:eastAsia="宋体" w:cs="宋体"/>
          <w:color w:val="000000"/>
          <w:sz w:val="24"/>
          <w:szCs w:val="24"/>
          <w:highlight w:val="none"/>
        </w:rPr>
        <w:t xml:space="preserve">％（权重）。</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评审时，磋商小组各成员应当独立对每个有效响应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资质评审得分和价格标得分相加即为供应商的总得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提供相同品牌产品且实质性响应的不同供应商参加同一合同项下磋商项目的，按一家供应商计算，评审后得分最高的同品牌供应商获得成交供应商推荐资格；评审得分相同的，由报价较低的供应商获得成交供应商推荐资格，如报价也相同，则采取随机抽取方式确定，其他同品牌供应商不作为成交供应商。非单一产品采购项目，多家供应商提供的核心产品（标注）品牌相同的，按上述规定处理。（如涉及）</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出现评审总得分最高的供应商有两个或两个以上的，以实际最后报价较低者优先作为成交供应商，如果最后报价也相同的，以提供优先采购产品最多的供应商优先中标（如属优先采购产品），否则由磋商小组组织以抽签方式确定成交供应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6、磋商小组对最后报价进行复核，报价以大写为准。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w:t>
      </w:r>
      <w:r>
        <w:rPr>
          <w:rFonts w:hint="eastAsia" w:ascii="宋体" w:hAnsi="宋体" w:eastAsia="宋体" w:cs="宋体"/>
          <w:b/>
          <w:bCs/>
          <w:color w:val="000000"/>
          <w:sz w:val="24"/>
          <w:szCs w:val="24"/>
          <w:highlight w:val="none"/>
        </w:rPr>
        <w:t xml:space="preserve">评分标准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总分值为100分，评审因素及各比重如下：价格分值占总分值的比重为</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％（权重），</w:t>
      </w:r>
      <w:r>
        <w:rPr>
          <w:rFonts w:hint="eastAsia" w:ascii="宋体" w:hAnsi="宋体" w:eastAsia="宋体" w:cs="宋体"/>
          <w:color w:val="000000"/>
          <w:sz w:val="24"/>
          <w:szCs w:val="24"/>
          <w:highlight w:val="none"/>
        </w:rPr>
        <w:t xml:space="preserve">技术及其他分值占总分值的比重为</w:t>
      </w:r>
      <w:r>
        <w:rPr>
          <w:rFonts w:hint="eastAsia" w:ascii="宋体" w:hAnsi="宋体" w:eastAsia="宋体" w:cs="宋体"/>
          <w:color w:val="000000"/>
          <w:sz w:val="24"/>
          <w:szCs w:val="24"/>
          <w:highlight w:val="none"/>
          <w:lang w:val="en-US" w:eastAsia="zh-CN"/>
        </w:rPr>
        <w:t xml:space="preserve">70</w:t>
      </w:r>
      <w:r>
        <w:rPr>
          <w:rFonts w:hint="eastAsia" w:ascii="宋体" w:hAnsi="宋体" w:eastAsia="宋体" w:cs="宋体"/>
          <w:color w:val="000000"/>
          <w:sz w:val="24"/>
          <w:szCs w:val="24"/>
          <w:highlight w:val="none"/>
        </w:rPr>
        <w:t xml:space="preserve">％（权重）。</w:t>
      </w:r>
      <w:r>
        <w:rPr>
          <w:rFonts w:hint="eastAsia" w:ascii="宋体" w:hAnsi="宋体" w:eastAsia="宋体" w:cs="宋体"/>
          <w:color w:val="000000"/>
          <w:highlight w:val="none"/>
        </w:rPr>
      </w:r>
      <w:r/>
    </w:p>
    <w:p>
      <w:pPr>
        <w:pStyle w:val="943"/>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（一）价格得分（</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第一步：响应报价（最终报价）不超过采购预算价格及最高限价的为有效报价，超出此范围的响应报价视为无效，其响应文件不进行评审，也不得标。</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第二步：以满足采购文件实质性要求且响应价格最低的有效报价为评标基准价，其价格分为满分，其他有效报价的价格分统一按照下列公式计算（计算结果四舍五入保留两位小数）：</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响应报价得分＝（评标基准价/最终报价）×价格权值×100％。</w:t>
      </w:r>
      <w:r>
        <w:rPr>
          <w:rFonts w:hint="eastAsia" w:ascii="宋体" w:hAnsi="宋体" w:eastAsia="宋体" w:cs="宋体"/>
          <w:color w:val="000000"/>
          <w:sz w:val="24"/>
          <w:szCs w:val="24"/>
          <w:highlight w:val="none"/>
        </w:rPr>
      </w:r>
      <w:r/>
    </w:p>
    <w:p>
      <w:pPr>
        <w:pStyle w:val="943"/>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（二）项目需求理解（</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供应商能准确理解姑苏智慧教育往期、苏慧教育教学资源管理、智慧体育综合监管等系统建设现状，能准确理解各层级业务需求，熟悉姑苏智慧教育往期、苏慧教育教学资源管理、智慧体育综合监管等系统应用情况、业务流程、数据流转和业务使用场景等相关详情。综合评定优秀：方案理解准确，分析透彻，方案详细，可操作性好的得</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分；综合评定一般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方案理解缺乏，可操作性一般得4</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综合评定差：方案理解上存在偏差，分析简单片面，方案缺乏可操作性的，不提供不得分。</w:t>
      </w:r>
      <w:r>
        <w:rPr>
          <w:rFonts w:hint="eastAsia" w:ascii="宋体" w:hAnsi="宋体" w:eastAsia="宋体" w:cs="宋体"/>
          <w:color w:val="000000"/>
          <w:sz w:val="24"/>
          <w:szCs w:val="24"/>
          <w:highlight w:val="none"/>
        </w:rPr>
      </w:r>
      <w:r/>
    </w:p>
    <w:p>
      <w:pPr>
        <w:pStyle w:val="943"/>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（三）技术方案：</w:t>
      </w:r>
      <w:r>
        <w:rPr>
          <w:rFonts w:hint="eastAsia" w:ascii="宋体" w:hAnsi="宋体" w:eastAsia="宋体" w:cs="宋体"/>
          <w:b/>
          <w:bCs/>
          <w:color w:val="000000"/>
          <w:sz w:val="24"/>
          <w:szCs w:val="24"/>
          <w:highlight w:val="none"/>
          <w:lang w:val="en-US" w:eastAsia="zh-CN"/>
        </w:rPr>
        <w:t xml:space="preserve">46</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lang w:val="en-US" w:eastAsia="zh-CN"/>
        </w:rPr>
        <w:outlineLvl w:val="2"/>
      </w:pPr>
      <w:r/>
      <w:bookmarkStart w:id="9" w:name="_Hlk106108656"/>
      <w:r>
        <w:rPr>
          <w:rFonts w:hint="eastAsia" w:ascii="宋体" w:hAnsi="宋体" w:eastAsia="宋体" w:cs="宋体"/>
          <w:color w:val="000000"/>
          <w:sz w:val="24"/>
          <w:szCs w:val="24"/>
          <w:highlight w:val="none"/>
        </w:rPr>
        <w:t xml:space="preserve">1、智慧</w:t>
      </w:r>
      <w:r>
        <w:rPr>
          <w:rFonts w:hint="eastAsia" w:ascii="宋体" w:hAnsi="宋体" w:eastAsia="宋体" w:cs="宋体"/>
          <w:color w:val="000000"/>
          <w:sz w:val="24"/>
          <w:szCs w:val="24"/>
          <w:highlight w:val="none"/>
          <w:lang w:val="en-US" w:eastAsia="zh-CN"/>
        </w:rPr>
        <w:t xml:space="preserve">教育往</w:t>
      </w:r>
      <w:r>
        <w:rPr>
          <w:rFonts w:hint="eastAsia" w:ascii="宋体" w:hAnsi="宋体" w:eastAsia="宋体" w:cs="宋体"/>
          <w:color w:val="000000"/>
          <w:sz w:val="24"/>
          <w:szCs w:val="24"/>
          <w:highlight w:val="none"/>
        </w:rPr>
        <w:t xml:space="preserve">期、苏慧教育教学资源管理、智慧体育综合监管等系统运维</w:t>
      </w:r>
      <w:r>
        <w:rPr>
          <w:rFonts w:hint="eastAsia" w:ascii="宋体" w:hAnsi="宋体" w:eastAsia="宋体" w:cs="宋体"/>
          <w:color w:val="000000"/>
          <w:sz w:val="24"/>
          <w:szCs w:val="24"/>
          <w:highlight w:val="none"/>
          <w:lang w:val="en-US" w:eastAsia="zh-CN"/>
        </w:rPr>
        <w:t xml:space="preserve">方案：6分</w:t>
      </w:r>
      <w:r>
        <w:rPr>
          <w:rFonts w:hint="eastAsia" w:ascii="宋体" w:hAnsi="宋体" w:eastAsia="宋体" w:cs="宋体"/>
          <w:color w:val="000000"/>
          <w:sz w:val="24"/>
          <w:szCs w:val="24"/>
          <w:highlight w:val="none"/>
          <w:lang w:val="en-US" w:eastAsia="zh-CN"/>
        </w:rPr>
      </w:r>
      <w:r/>
    </w:p>
    <w:p>
      <w:pPr>
        <w:pStyle w:val="943"/>
        <w:ind w:firstLine="480"/>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响应供应商能够准确理解智慧教育往期、苏慧教育教学资源管理、智慧体育综合监管等系统</w:t>
      </w:r>
      <w:r>
        <w:rPr>
          <w:rFonts w:hint="eastAsia" w:ascii="宋体" w:hAnsi="宋体" w:eastAsia="宋体" w:cs="宋体"/>
          <w:color w:val="000000"/>
          <w:sz w:val="24"/>
          <w:szCs w:val="24"/>
          <w:highlight w:val="none"/>
          <w:lang w:val="en-US" w:eastAsia="zh-CN"/>
        </w:rPr>
        <w:t xml:space="preserve">运维情况</w:t>
      </w:r>
      <w:r>
        <w:rPr>
          <w:rFonts w:hint="eastAsia" w:ascii="宋体" w:hAnsi="宋体" w:eastAsia="宋体" w:cs="宋体"/>
          <w:color w:val="000000"/>
          <w:sz w:val="24"/>
          <w:szCs w:val="24"/>
          <w:highlight w:val="none"/>
        </w:rPr>
        <w:t xml:space="preserve">，方案中系统日常运行保障方案设计详细</w:t>
      </w:r>
      <w:r>
        <w:rPr>
          <w:rFonts w:hint="eastAsia" w:ascii="宋体" w:hAnsi="宋体" w:eastAsia="宋体" w:cs="宋体"/>
          <w:color w:val="000000"/>
          <w:sz w:val="24"/>
          <w:szCs w:val="24"/>
          <w:highlight w:val="none"/>
          <w:lang w:eastAsia="zh-CN"/>
        </w:rPr>
        <w:t xml:space="preserve">，系统业务支撑方案</w:t>
      </w:r>
      <w:r>
        <w:rPr>
          <w:rFonts w:hint="eastAsia" w:ascii="宋体" w:hAnsi="宋体" w:eastAsia="宋体" w:cs="宋体"/>
          <w:color w:val="000000"/>
          <w:sz w:val="24"/>
          <w:szCs w:val="24"/>
          <w:highlight w:val="none"/>
        </w:rPr>
        <w:t xml:space="preserve">设计合理，提供科学合理的系统运维过程管理方案。综合评定优秀：方案理解准确，分析透彻，方案详细，可操作性好的得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分；综合评定一般：方案理解缺乏，可操作性一般得</w:t>
      </w:r>
      <w:r>
        <w:rPr>
          <w:rFonts w:hint="eastAsia" w:ascii="宋体" w:hAnsi="宋体" w:eastAsia="宋体" w:cs="宋体"/>
          <w:color w:val="000000"/>
          <w:sz w:val="24"/>
          <w:szCs w:val="24"/>
          <w:highlight w:val="none"/>
          <w:lang w:val="en-US" w:eastAsia="zh-CN"/>
        </w:rPr>
        <w:t xml:space="preserve">3分</w:t>
      </w:r>
      <w:r>
        <w:rPr>
          <w:rFonts w:hint="eastAsia" w:ascii="宋体" w:hAnsi="宋体" w:eastAsia="宋体" w:cs="宋体"/>
          <w:color w:val="000000"/>
          <w:sz w:val="24"/>
          <w:szCs w:val="24"/>
          <w:highlight w:val="none"/>
        </w:rPr>
        <w:t xml:space="preserve">；综合评定差：方案理解上存在偏差，分析简单片面，方案缺乏可操作性的，不提供不得分。</w:t>
      </w:r>
      <w:r>
        <w:rPr>
          <w:rFonts w:hint="eastAsia" w:ascii="宋体" w:hAnsi="宋体" w:eastAsia="宋体" w:cs="宋体"/>
          <w:color w:val="000000"/>
          <w:sz w:val="24"/>
          <w:szCs w:val="24"/>
          <w:highlight w:val="none"/>
          <w:lang w:val="en-US"/>
        </w:rPr>
      </w:r>
      <w:r/>
    </w:p>
    <w:p>
      <w:pPr>
        <w:pStyle w:val="943"/>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学业大数据运营服务方案：</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bookmarkEnd w:id="9"/>
      <w:r>
        <w:rPr>
          <w:rFonts w:hint="eastAsia" w:ascii="宋体" w:hAnsi="宋体" w:eastAsia="宋体" w:cs="宋体"/>
          <w:color w:val="000000"/>
          <w:sz w:val="24"/>
          <w:szCs w:val="24"/>
          <w:highlight w:val="none"/>
        </w:rPr>
        <w:t xml:space="preserve">响应供应商能够准确理解学业大数据</w:t>
      </w:r>
      <w:r>
        <w:rPr>
          <w:rFonts w:hint="eastAsia" w:ascii="宋体" w:hAnsi="宋体" w:eastAsia="宋体" w:cs="宋体"/>
          <w:color w:val="000000"/>
          <w:sz w:val="24"/>
          <w:szCs w:val="24"/>
          <w:highlight w:val="none"/>
          <w:lang w:val="en-US" w:eastAsia="zh-CN"/>
        </w:rPr>
        <w:t xml:space="preserve">相关</w:t>
      </w:r>
      <w:r>
        <w:rPr>
          <w:rFonts w:hint="eastAsia" w:ascii="宋体" w:hAnsi="宋体" w:eastAsia="宋体" w:cs="宋体"/>
          <w:color w:val="000000"/>
          <w:sz w:val="24"/>
          <w:szCs w:val="24"/>
          <w:highlight w:val="none"/>
        </w:rPr>
        <w:t xml:space="preserve">系统业务流程、使用场景等详细情况，方案中学业大数据教学资源数据准备服务方案设计详细</w:t>
      </w:r>
      <w:r>
        <w:rPr>
          <w:rFonts w:hint="eastAsia" w:ascii="宋体" w:hAnsi="宋体" w:eastAsia="宋体" w:cs="宋体"/>
          <w:color w:val="000000"/>
          <w:sz w:val="24"/>
          <w:szCs w:val="24"/>
          <w:highlight w:val="none"/>
          <w:lang w:eastAsia="zh-CN"/>
        </w:rPr>
        <w:t xml:space="preserve">，学业</w:t>
      </w:r>
      <w:r>
        <w:rPr>
          <w:rFonts w:hint="eastAsia" w:ascii="宋体" w:hAnsi="宋体" w:eastAsia="宋体" w:cs="宋体"/>
          <w:color w:val="000000"/>
          <w:sz w:val="24"/>
          <w:szCs w:val="24"/>
          <w:highlight w:val="none"/>
          <w:lang w:val="en-US" w:eastAsia="zh-CN"/>
        </w:rPr>
        <w:t xml:space="preserve">大数据</w:t>
      </w:r>
      <w:r>
        <w:rPr>
          <w:rFonts w:hint="eastAsia" w:ascii="宋体" w:hAnsi="宋体" w:eastAsia="宋体" w:cs="宋体"/>
          <w:color w:val="000000"/>
          <w:sz w:val="24"/>
          <w:szCs w:val="24"/>
          <w:highlight w:val="none"/>
          <w:lang w:eastAsia="zh-CN"/>
        </w:rPr>
        <w:t xml:space="preserve">业务支撑和数据运营等服务方案</w:t>
      </w:r>
      <w:r>
        <w:rPr>
          <w:rFonts w:hint="eastAsia" w:ascii="宋体" w:hAnsi="宋体" w:eastAsia="宋体" w:cs="宋体"/>
          <w:color w:val="000000"/>
          <w:sz w:val="24"/>
          <w:szCs w:val="24"/>
          <w:highlight w:val="none"/>
        </w:rPr>
        <w:t xml:space="preserve">设计合理，提供科学合理的学业数据回流决策平台数据分析服务方案。综合评定优秀：方案理解准确，分析透彻，方案详细，可操作性好的得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分；综合评定一般：方案理解缺乏，可操作性一般得</w:t>
      </w:r>
      <w:r>
        <w:rPr>
          <w:rFonts w:hint="eastAsia" w:ascii="宋体" w:hAnsi="宋体" w:eastAsia="宋体" w:cs="宋体"/>
          <w:color w:val="000000"/>
          <w:sz w:val="24"/>
          <w:szCs w:val="24"/>
          <w:highlight w:val="none"/>
          <w:lang w:val="en-US" w:eastAsia="zh-CN"/>
        </w:rPr>
        <w:t xml:space="preserve">3分</w:t>
      </w:r>
      <w:r>
        <w:rPr>
          <w:rFonts w:hint="eastAsia" w:ascii="宋体" w:hAnsi="宋体" w:eastAsia="宋体" w:cs="宋体"/>
          <w:color w:val="000000"/>
          <w:sz w:val="24"/>
          <w:szCs w:val="24"/>
          <w:highlight w:val="none"/>
        </w:rPr>
        <w:t xml:space="preserve">；综合评定差：方案理解上存在偏差，分析简单片面，方案缺乏可操作性的，不提供不得分。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、教育决策大数据运营服务方案：</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响应供应商能准确掌握教育场景下各层级业务决策需求和各业务条线数据流转情况，方案中教育场景下各层级平台数据互通方案设计详细，各业务条线数据采集、汇聚与分析服务方案设计</w:t>
      </w:r>
      <w:r>
        <w:rPr>
          <w:rFonts w:hint="eastAsia" w:ascii="宋体" w:hAnsi="宋体" w:eastAsia="宋体" w:cs="宋体"/>
          <w:color w:val="000000"/>
          <w:sz w:val="24"/>
          <w:szCs w:val="24"/>
          <w:highlight w:val="none"/>
          <w:lang w:val="en-US" w:eastAsia="zh-CN"/>
        </w:rPr>
        <w:t xml:space="preserve">合理，初中校教育决策分析服务方案设计详细，</w:t>
      </w:r>
      <w:r>
        <w:rPr>
          <w:rFonts w:hint="eastAsia" w:ascii="宋体" w:hAnsi="宋体" w:eastAsia="宋体" w:cs="宋体"/>
          <w:color w:val="000000"/>
          <w:sz w:val="24"/>
          <w:szCs w:val="24"/>
          <w:highlight w:val="none"/>
        </w:rPr>
        <w:t xml:space="preserve">提供科学合理的</w:t>
      </w:r>
      <w:r>
        <w:rPr>
          <w:rFonts w:hint="eastAsia" w:ascii="宋体" w:hAnsi="宋体" w:eastAsia="宋体" w:cs="宋体"/>
          <w:color w:val="000000"/>
          <w:sz w:val="24"/>
          <w:szCs w:val="24"/>
          <w:highlight w:val="none"/>
          <w:lang w:val="en-US" w:eastAsia="zh-CN"/>
        </w:rPr>
        <w:t xml:space="preserve">学生生源分析服务方案。</w:t>
      </w:r>
      <w:r>
        <w:rPr>
          <w:rFonts w:hint="eastAsia" w:ascii="宋体" w:hAnsi="宋体" w:eastAsia="宋体" w:cs="宋体"/>
          <w:color w:val="000000"/>
          <w:sz w:val="24"/>
          <w:szCs w:val="24"/>
          <w:highlight w:val="none"/>
        </w:rPr>
        <w:t xml:space="preserve">综合评定优秀：方案理解准确，分析透彻，方案详细，可操作性好的得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分；综合评定一般：方案理解缺乏，可操作性一般得</w:t>
      </w:r>
      <w:r>
        <w:rPr>
          <w:rFonts w:hint="eastAsia" w:ascii="宋体" w:hAnsi="宋体" w:eastAsia="宋体" w:cs="宋体"/>
          <w:color w:val="000000"/>
          <w:sz w:val="24"/>
          <w:szCs w:val="24"/>
          <w:highlight w:val="none"/>
          <w:lang w:val="en-US" w:eastAsia="zh-CN"/>
        </w:rPr>
        <w:t xml:space="preserve">4分</w:t>
      </w:r>
      <w:r>
        <w:rPr>
          <w:rFonts w:hint="eastAsia" w:ascii="宋体" w:hAnsi="宋体" w:eastAsia="宋体" w:cs="宋体"/>
          <w:color w:val="000000"/>
          <w:sz w:val="24"/>
          <w:szCs w:val="24"/>
          <w:highlight w:val="none"/>
        </w:rPr>
        <w:t xml:space="preserve">；综合评定差：方案理解上存在偏差，分析简单片面，方案缺乏可操作性的，不提供不得分。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、教师招聘、职称评定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人才考核</w:t>
      </w:r>
      <w:r>
        <w:rPr>
          <w:rFonts w:hint="eastAsia" w:ascii="宋体" w:hAnsi="宋体" w:eastAsia="宋体" w:cs="宋体"/>
          <w:color w:val="000000"/>
          <w:sz w:val="24"/>
          <w:szCs w:val="24"/>
          <w:highlight w:val="none"/>
        </w:rPr>
        <w:t xml:space="preserve">和</w:t>
      </w:r>
      <w:r>
        <w:rPr>
          <w:rFonts w:hint="eastAsia" w:ascii="宋体" w:hAnsi="宋体" w:eastAsia="宋体" w:cs="宋体"/>
          <w:color w:val="000000"/>
          <w:sz w:val="24"/>
          <w:szCs w:val="24"/>
          <w:highlight w:val="none"/>
          <w:lang w:val="en-US" w:eastAsia="zh-CN"/>
        </w:rPr>
        <w:t xml:space="preserve">幼儿</w:t>
      </w:r>
      <w:r>
        <w:rPr>
          <w:rFonts w:hint="eastAsia" w:ascii="宋体" w:hAnsi="宋体" w:eastAsia="宋体" w:cs="宋体"/>
          <w:color w:val="000000"/>
          <w:sz w:val="24"/>
          <w:szCs w:val="24"/>
          <w:highlight w:val="none"/>
        </w:rPr>
        <w:t xml:space="preserve">招生运营服务方案：</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响应供应商能准确掌握教师招聘、职称评定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人才考核</w:t>
      </w:r>
      <w:r>
        <w:rPr>
          <w:rFonts w:hint="eastAsia" w:ascii="宋体" w:hAnsi="宋体" w:eastAsia="宋体" w:cs="宋体"/>
          <w:color w:val="000000"/>
          <w:sz w:val="24"/>
          <w:szCs w:val="24"/>
          <w:highlight w:val="none"/>
        </w:rPr>
        <w:t xml:space="preserve">和幼儿招生平台建设情况，方案中教师招聘过程环节详细服务方案设计详细，职称评定与人才考核过程环节详细服务方案</w:t>
      </w:r>
      <w:r>
        <w:rPr>
          <w:rFonts w:hint="eastAsia" w:ascii="宋体" w:hAnsi="宋体" w:eastAsia="宋体" w:cs="宋体"/>
          <w:color w:val="000000"/>
          <w:sz w:val="24"/>
          <w:szCs w:val="24"/>
          <w:highlight w:val="none"/>
          <w:lang w:val="en-US" w:eastAsia="zh-CN"/>
        </w:rPr>
        <w:t xml:space="preserve">设计合理，提供科学合理的幼儿招生过程环节详细服务方案</w:t>
      </w:r>
      <w:r>
        <w:rPr>
          <w:rFonts w:hint="eastAsia" w:ascii="宋体" w:hAnsi="宋体" w:eastAsia="宋体" w:cs="宋体"/>
          <w:color w:val="000000"/>
          <w:sz w:val="24"/>
          <w:szCs w:val="24"/>
          <w:highlight w:val="none"/>
        </w:rPr>
        <w:t xml:space="preserve">。综合评定优秀：方案理解准确，分析透彻，方案详细，可操作性好的得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分；综合评定一般：方案理解缺乏，可操作性一般得</w:t>
      </w:r>
      <w:r>
        <w:rPr>
          <w:rFonts w:hint="eastAsia" w:ascii="宋体" w:hAnsi="宋体" w:eastAsia="宋体" w:cs="宋体"/>
          <w:color w:val="000000"/>
          <w:sz w:val="24"/>
          <w:szCs w:val="24"/>
          <w:highlight w:val="none"/>
          <w:lang w:val="en-US" w:eastAsia="zh-CN"/>
        </w:rPr>
        <w:t xml:space="preserve">3分</w:t>
      </w:r>
      <w:r>
        <w:rPr>
          <w:rFonts w:hint="eastAsia" w:ascii="宋体" w:hAnsi="宋体" w:eastAsia="宋体" w:cs="宋体"/>
          <w:color w:val="000000"/>
          <w:sz w:val="24"/>
          <w:szCs w:val="24"/>
          <w:highlight w:val="none"/>
        </w:rPr>
        <w:t xml:space="preserve">；综合评定差：方案理解上存在偏差，分析简单片面，方案缺乏可操作性的，不提供不得分。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、姑苏区老年大学在线报名平台项目租赁服务方案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6分</w:t>
      </w:r>
      <w:r>
        <w:rPr>
          <w:rFonts w:hint="eastAsia" w:ascii="宋体" w:hAnsi="宋体" w:eastAsia="宋体" w:cs="宋体"/>
          <w:color w:val="000000"/>
          <w:sz w:val="24"/>
          <w:szCs w:val="24"/>
          <w:highlight w:val="none"/>
          <w:lang w:val="en-US" w:eastAsia="zh-CN"/>
        </w:rPr>
      </w:r>
      <w:r/>
    </w:p>
    <w:p>
      <w:pPr>
        <w:pStyle w:val="94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响应供应商能提供详细全面的平台业务支撑和数据运营服务方案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提供科学合理的平台运行情况监控和培训服务方案</w:t>
      </w:r>
      <w:r>
        <w:rPr>
          <w:rFonts w:hint="eastAsia" w:ascii="宋体" w:hAnsi="宋体" w:eastAsia="宋体" w:cs="宋体"/>
          <w:color w:val="000000"/>
          <w:sz w:val="24"/>
          <w:szCs w:val="24"/>
          <w:highlight w:val="none"/>
        </w:rPr>
        <w:t xml:space="preserve">。综合评定优秀：方案理解准确，分析透彻，方案详细，可操作性好的得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分；综合评定一般：方案理解缺乏，可操作性一般得</w:t>
      </w:r>
      <w:r>
        <w:rPr>
          <w:rFonts w:hint="eastAsia" w:ascii="宋体" w:hAnsi="宋体" w:eastAsia="宋体" w:cs="宋体"/>
          <w:color w:val="000000"/>
          <w:sz w:val="24"/>
          <w:szCs w:val="24"/>
          <w:highlight w:val="none"/>
          <w:lang w:val="en-US" w:eastAsia="zh-CN"/>
        </w:rPr>
        <w:t xml:space="preserve">4分</w:t>
      </w:r>
      <w:r>
        <w:rPr>
          <w:rFonts w:hint="eastAsia" w:ascii="宋体" w:hAnsi="宋体" w:eastAsia="宋体" w:cs="宋体"/>
          <w:color w:val="000000"/>
          <w:sz w:val="24"/>
          <w:szCs w:val="24"/>
          <w:highlight w:val="none"/>
        </w:rPr>
        <w:t xml:space="preserve">；综合评定差：方案理解上存在偏差，分析简单片面，方案缺乏可操作性的，不提供不得分。</w:t>
      </w:r>
      <w:r>
        <w:rPr>
          <w:rFonts w:hint="eastAsia" w:ascii="宋体" w:hAnsi="宋体" w:eastAsia="宋体" w:cs="宋体"/>
          <w:color w:val="000000"/>
          <w:sz w:val="24"/>
          <w:szCs w:val="24"/>
          <w:highlight w:val="none"/>
          <w:lang w:val="en-US" w:eastAsia="zh-CN"/>
        </w:rPr>
      </w:r>
      <w:r/>
    </w:p>
    <w:p>
      <w:pPr>
        <w:pStyle w:val="943"/>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项目实施方案（</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响应供应商能提供的详细全面的项目计划与进度安排、实施方案、培训方案和</w:t>
      </w:r>
      <w:r>
        <w:rPr>
          <w:rFonts w:hint="eastAsia" w:ascii="宋体" w:hAnsi="宋体" w:eastAsia="宋体" w:cs="宋体"/>
          <w:color w:val="000000"/>
          <w:sz w:val="24"/>
          <w:szCs w:val="24"/>
          <w:highlight w:val="none"/>
          <w:lang w:val="en-US" w:eastAsia="zh-CN"/>
        </w:rPr>
        <w:t xml:space="preserve">运营质量控制</w:t>
      </w:r>
      <w:r>
        <w:rPr>
          <w:rFonts w:hint="eastAsia" w:ascii="宋体" w:hAnsi="宋体" w:eastAsia="宋体" w:cs="宋体"/>
          <w:color w:val="000000"/>
          <w:sz w:val="24"/>
          <w:szCs w:val="24"/>
          <w:highlight w:val="none"/>
        </w:rPr>
        <w:t xml:space="preserve">方案。综合评定优秀：方案理解准确，分析透彻，方案详细，可操作性好的得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分；综合评定一般：方案理解缺乏，可操作性一般得</w:t>
      </w:r>
      <w:r>
        <w:rPr>
          <w:rFonts w:hint="eastAsia" w:ascii="宋体" w:hAnsi="宋体" w:eastAsia="宋体" w:cs="宋体"/>
          <w:color w:val="000000"/>
          <w:sz w:val="24"/>
          <w:szCs w:val="24"/>
          <w:highlight w:val="none"/>
          <w:lang w:val="en-US" w:eastAsia="zh-CN"/>
        </w:rPr>
        <w:t xml:space="preserve">2分</w:t>
      </w:r>
      <w:r>
        <w:rPr>
          <w:rFonts w:hint="eastAsia" w:ascii="宋体" w:hAnsi="宋体" w:eastAsia="宋体" w:cs="宋体"/>
          <w:color w:val="000000"/>
          <w:sz w:val="24"/>
          <w:szCs w:val="24"/>
          <w:highlight w:val="none"/>
        </w:rPr>
        <w:t xml:space="preserve">；综合评定差：方案理解上存在偏差，分析简单片面，方案缺乏可操作性的，不提供不得分。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项目维护方案（</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响应供应商能够针对本项目提供详细的平台维护和</w:t>
      </w:r>
      <w:r>
        <w:rPr>
          <w:rFonts w:hint="eastAsia" w:ascii="宋体" w:hAnsi="宋体" w:eastAsia="宋体" w:cs="宋体"/>
          <w:color w:val="000000"/>
          <w:sz w:val="24"/>
          <w:szCs w:val="24"/>
          <w:highlight w:val="none"/>
          <w:lang w:val="en-US" w:eastAsia="zh-CN"/>
        </w:rPr>
        <w:t xml:space="preserve">安全实施</w:t>
      </w:r>
      <w:r>
        <w:rPr>
          <w:rFonts w:hint="eastAsia" w:ascii="宋体" w:hAnsi="宋体" w:eastAsia="宋体" w:cs="宋体"/>
          <w:color w:val="000000"/>
          <w:sz w:val="24"/>
          <w:szCs w:val="24"/>
          <w:highlight w:val="none"/>
        </w:rPr>
        <w:t xml:space="preserve">方案。综合评定优秀：方案理解准确，分析透彻，方案详细，可操作性好的得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分；综合评定一般：方案理解缺乏，可操作性一般得</w:t>
      </w:r>
      <w:r>
        <w:rPr>
          <w:rFonts w:hint="eastAsia" w:ascii="宋体" w:hAnsi="宋体" w:eastAsia="宋体" w:cs="宋体"/>
          <w:color w:val="000000"/>
          <w:sz w:val="24"/>
          <w:szCs w:val="24"/>
          <w:highlight w:val="none"/>
          <w:lang w:val="en-US" w:eastAsia="zh-CN"/>
        </w:rPr>
        <w:t xml:space="preserve">4分</w:t>
      </w:r>
      <w:r>
        <w:rPr>
          <w:rFonts w:hint="eastAsia" w:ascii="宋体" w:hAnsi="宋体" w:eastAsia="宋体" w:cs="宋体"/>
          <w:color w:val="000000"/>
          <w:sz w:val="24"/>
          <w:szCs w:val="24"/>
          <w:highlight w:val="none"/>
        </w:rPr>
        <w:t xml:space="preserve">；综合评定差：方案理解上存在偏差，分析简单片面，方案缺乏可操作性的，不提供不得分。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、应急保障方案（</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根据响应供应商制定的应急保障方案，包括响应时间、故障处理、应急方案等进行评分；综合评定优秀：方案理解准确，分析透彻，方案详细，可操作性好的得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分；综合评定一般：方案理解缺乏，可操作性一般得</w:t>
      </w:r>
      <w:r>
        <w:rPr>
          <w:rFonts w:hint="eastAsia" w:ascii="宋体" w:hAnsi="宋体" w:eastAsia="宋体" w:cs="宋体"/>
          <w:color w:val="000000"/>
          <w:sz w:val="24"/>
          <w:szCs w:val="24"/>
          <w:highlight w:val="none"/>
          <w:lang w:val="en-US" w:eastAsia="zh-CN"/>
        </w:rPr>
        <w:t xml:space="preserve">2分</w:t>
      </w:r>
      <w:r>
        <w:rPr>
          <w:rFonts w:hint="eastAsia" w:ascii="宋体" w:hAnsi="宋体" w:eastAsia="宋体" w:cs="宋体"/>
          <w:color w:val="000000"/>
          <w:sz w:val="24"/>
          <w:szCs w:val="24"/>
          <w:highlight w:val="none"/>
        </w:rPr>
        <w:t xml:space="preserve">；综合评定差：方案理解上存在偏差，分析简单片面，方案缺乏可操作性的，不提供不得分。</w:t>
      </w:r>
      <w:r>
        <w:rPr>
          <w:rFonts w:hint="eastAsia" w:ascii="宋体" w:hAnsi="宋体" w:eastAsia="宋体" w:cs="宋体"/>
          <w:color w:val="000000"/>
          <w:sz w:val="24"/>
          <w:szCs w:val="24"/>
          <w:highlight w:val="none"/>
        </w:rPr>
      </w:r>
      <w:r/>
    </w:p>
    <w:p>
      <w:pPr>
        <w:pStyle w:val="943"/>
        <w:ind w:firstLine="482"/>
        <w:spacing w:line="360" w:lineRule="auto"/>
        <w:rPr>
          <w:rFonts w:hint="eastAsia" w:ascii="宋体" w:hAnsi="宋体" w:eastAsia="宋体" w:cs="宋体"/>
          <w:b/>
          <w:bCs/>
          <w:color w:val="000000"/>
          <w:sz w:val="24"/>
          <w:szCs w:val="24"/>
          <w:highlight w:val="none"/>
        </w:rPr>
        <w:outlineLvl w:val="1"/>
      </w:pPr>
      <w:r/>
      <w:bookmarkStart w:id="10" w:name="_Toc102811854"/>
      <w:r>
        <w:rPr>
          <w:rFonts w:hint="eastAsia" w:ascii="宋体" w:hAnsi="宋体" w:eastAsia="宋体" w:cs="宋体"/>
          <w:b/>
          <w:bCs/>
          <w:color w:val="000000"/>
          <w:sz w:val="24"/>
          <w:szCs w:val="24"/>
          <w:highlight w:val="none"/>
        </w:rPr>
        <w:t xml:space="preserve">（四）投入本项目人员综合配置（</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分）</w:t>
      </w:r>
      <w:bookmarkEnd w:id="10"/>
      <w:r>
        <w:rPr>
          <w:rFonts w:hint="eastAsia" w:ascii="宋体" w:hAnsi="宋体" w:eastAsia="宋体" w:cs="宋体"/>
          <w:b/>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1、项目负责人（</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本项目配备的项目核心团队成员具有与项目相关系统集成项目管理工程师、信息系统管理工程师，具备一个得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分。不具备不得分。</w:t>
      </w:r>
      <w:r>
        <w:rPr>
          <w:rFonts w:hint="eastAsia" w:ascii="宋体" w:hAnsi="宋体" w:eastAsia="宋体" w:cs="宋体"/>
          <w:color w:val="000000"/>
          <w:sz w:val="24"/>
          <w:szCs w:val="24"/>
          <w:highlight w:val="none"/>
        </w:rPr>
      </w:r>
      <w:r/>
    </w:p>
    <w:p>
      <w:pPr>
        <w:pStyle w:val="943"/>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（注：响应文件中须提供相关人员证书、证明复印件以及响应单位为其缴纳的最近一期社保证明复印件并加盖投标单位公章，未提供不得分。）</w:t>
      </w:r>
      <w:r>
        <w:rPr>
          <w:rFonts w:hint="eastAsia" w:ascii="宋体" w:hAnsi="宋体" w:eastAsia="宋体" w:cs="宋体"/>
          <w:color w:val="000000"/>
          <w:sz w:val="24"/>
          <w:szCs w:val="24"/>
          <w:highlight w:val="none"/>
        </w:rPr>
      </w:r>
      <w:r/>
    </w:p>
    <w:p>
      <w:pPr>
        <w:pStyle w:val="943"/>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（五）投标单位体系认证情况（</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投标单位具备有效期内的质量管理体系认证证书、环境管理体系认证证书、职业健康安全管理体系认证证书，每提供一个得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响应单位具备有效期内的信息安全管理体系认证证书得2分。</w:t>
      </w:r>
      <w:r>
        <w:rPr>
          <w:rFonts w:hint="eastAsia" w:ascii="宋体" w:hAnsi="宋体" w:eastAsia="宋体" w:cs="宋体"/>
          <w:color w:val="000000"/>
          <w:sz w:val="24"/>
          <w:szCs w:val="24"/>
          <w:highlight w:val="none"/>
        </w:rPr>
      </w:r>
      <w:r/>
    </w:p>
    <w:p>
      <w:pPr>
        <w:pStyle w:val="943"/>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（注：投标文件中须提供以上证书复印件并加盖投标单位公章或中国国家认证认可监督管理委员会网站上查询的完整页面截图并加盖投标单位公章，未提供不得分。）</w:t>
      </w:r>
      <w:r>
        <w:rPr>
          <w:rFonts w:hint="eastAsia" w:ascii="宋体" w:hAnsi="宋体" w:eastAsia="宋体" w:cs="宋体"/>
          <w:b/>
          <w:bCs/>
          <w:color w:val="000000"/>
          <w:sz w:val="24"/>
          <w:szCs w:val="24"/>
          <w:highlight w:val="none"/>
        </w:rPr>
      </w:r>
      <w:r/>
    </w:p>
    <w:p>
      <w:pPr>
        <w:pStyle w:val="943"/>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（六）类似项目业绩（6分）</w:t>
      </w:r>
      <w:r>
        <w:rPr>
          <w:rFonts w:hint="eastAsia" w:ascii="宋体" w:hAnsi="宋体" w:eastAsia="宋体" w:cs="宋体"/>
          <w:b/>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投标单位提供项目业绩案例，每提供一个得2分，最高6分。</w:t>
      </w:r>
      <w:r>
        <w:rPr>
          <w:rFonts w:hint="eastAsia" w:ascii="宋体" w:hAnsi="宋体" w:eastAsia="宋体" w:cs="宋体"/>
          <w:color w:val="000000"/>
          <w:sz w:val="24"/>
          <w:szCs w:val="24"/>
          <w:highlight w:val="none"/>
        </w:rPr>
      </w:r>
      <w:r/>
    </w:p>
    <w:p>
      <w:pPr>
        <w:pStyle w:val="94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（注：投标文件中须提供合同复印件并加盖投标单位公章，不提供不得分。类似业绩日期认定：以签订合同日期为准）</w:t>
      </w:r>
      <w:r>
        <w:rPr>
          <w:rFonts w:hint="eastAsia" w:ascii="宋体" w:hAnsi="宋体" w:eastAsia="宋体" w:cs="宋体"/>
          <w:b/>
          <w:color w:val="000000"/>
          <w:sz w:val="24"/>
          <w:szCs w:val="24"/>
          <w:highlight w:val="none"/>
        </w:rPr>
      </w:r>
      <w:r/>
    </w:p>
    <w:p>
      <w:pPr>
        <w:pStyle w:val="943"/>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备注：</w:t>
      </w:r>
      <w:r>
        <w:rPr>
          <w:rFonts w:hint="eastAsia" w:ascii="宋体" w:hAnsi="宋体" w:eastAsia="宋体" w:cs="宋体"/>
          <w:b w:val="0"/>
          <w:bCs/>
          <w:color w:val="000000"/>
          <w:sz w:val="24"/>
          <w:szCs w:val="24"/>
          <w:highlight w:val="none"/>
        </w:rPr>
      </w:r>
      <w:r/>
    </w:p>
    <w:p>
      <w:pPr>
        <w:pStyle w:val="943"/>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1.针对评分标准中评分的每一条，供应商均应提供相关资料并作出相应说明供评委评判，不提供相关资料的视为不具备该项得分的条件。</w:t>
      </w:r>
      <w:r>
        <w:rPr>
          <w:rFonts w:hint="eastAsia" w:ascii="宋体" w:hAnsi="宋体" w:eastAsia="宋体" w:cs="宋体"/>
          <w:b w:val="0"/>
          <w:bCs/>
          <w:color w:val="000000"/>
          <w:sz w:val="24"/>
          <w:szCs w:val="24"/>
          <w:highlight w:val="none"/>
        </w:rPr>
      </w:r>
      <w:r/>
    </w:p>
    <w:p>
      <w:pPr>
        <w:pStyle w:val="943"/>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2.响应文件中如出现前后不一致时，评委有权请供应商澄清说明，澄清说明事项涉及评分时，评委有权酌情扣分。</w:t>
      </w:r>
      <w:r>
        <w:rPr>
          <w:rFonts w:hint="eastAsia" w:ascii="宋体" w:hAnsi="宋体" w:eastAsia="宋体" w:cs="宋体"/>
          <w:b w:val="0"/>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highlight w:val="none"/>
        </w:rPr>
        <w:t xml:space="preserve">3.供应商必须保证全部响应资料的真实性，如有虚假或对采购文件所要求说明的情况故意隐瞒或虚报，视为不实质性响应采购文件，为无效响应，已成交的将取消成交资格，按“提供虚假材料谋取成交”相关处理办。</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评审说明：其他评审未尽事宜由评审委员会根据有关规定讨论决定。</w:t>
      </w:r>
      <w:r>
        <w:rPr>
          <w:rFonts w:hint="eastAsia" w:ascii="宋体" w:hAnsi="宋体" w:eastAsia="宋体" w:cs="宋体"/>
          <w:color w:val="000000"/>
          <w:sz w:val="24"/>
          <w:szCs w:val="24"/>
          <w:highlight w:val="none"/>
        </w:rPr>
      </w:r>
      <w:r/>
    </w:p>
    <w:p>
      <w:pPr>
        <w:pStyle w:val="94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3"/>
        <w:ind w:firstLine="482"/>
        <w:spacing w:line="360" w:lineRule="auto"/>
        <w:rPr>
          <w:rStyle w:val="1130"/>
          <w:rFonts w:hint="eastAsia" w:ascii="宋体" w:hAnsi="宋体" w:eastAsia="宋体" w:cs="宋体"/>
          <w:b/>
          <w:color w:val="000000"/>
          <w:sz w:val="24"/>
          <w:szCs w:val="24"/>
          <w:highlight w:val="none"/>
        </w:rPr>
      </w:pPr>
      <w:r>
        <w:rPr>
          <w:rStyle w:val="1130"/>
          <w:rFonts w:hint="eastAsia" w:ascii="宋体" w:hAnsi="宋体" w:eastAsia="宋体" w:cs="宋体"/>
          <w:b/>
          <w:color w:val="000000"/>
          <w:sz w:val="24"/>
          <w:szCs w:val="24"/>
          <w:highlight w:val="none"/>
        </w:rPr>
        <w:t xml:space="preserve">三、政府采购政策： </w:t>
      </w:r>
      <w:r>
        <w:rPr>
          <w:rStyle w:val="1130"/>
          <w:rFonts w:hint="eastAsia" w:ascii="宋体" w:hAnsi="宋体" w:eastAsia="宋体" w:cs="宋体"/>
          <w:b/>
          <w:color w:val="000000"/>
          <w:sz w:val="24"/>
          <w:szCs w:val="24"/>
          <w:highlight w:val="none"/>
        </w:rPr>
      </w:r>
      <w:r/>
    </w:p>
    <w:p>
      <w:pPr>
        <w:pStyle w:val="943"/>
        <w:ind w:firstLine="480"/>
        <w:spacing w:line="360" w:lineRule="auto"/>
        <w:tabs>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1、针对中小型企业的评审：</w:t>
      </w:r>
      <w:r>
        <w:rPr>
          <w:rFonts w:hint="eastAsia" w:ascii="宋体" w:hAnsi="宋体" w:eastAsia="宋体" w:cs="宋体"/>
          <w:color w:val="000000"/>
          <w:sz w:val="24"/>
          <w:szCs w:val="24"/>
          <w:highlight w:val="none"/>
        </w:rPr>
      </w:r>
      <w:r/>
    </w:p>
    <w:p>
      <w:pPr>
        <w:pStyle w:val="94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（1）本项目专门面向中小企业采购。</w:t>
      </w:r>
      <w:r>
        <w:rPr>
          <w:rFonts w:hint="eastAsia" w:ascii="宋体" w:hAnsi="宋体" w:eastAsia="宋体" w:cs="宋体"/>
          <w:b/>
          <w:color w:val="000000"/>
          <w:sz w:val="24"/>
          <w:szCs w:val="24"/>
          <w:highlight w:val="none"/>
        </w:rPr>
      </w:r>
      <w:r/>
    </w:p>
    <w:p>
      <w:pPr>
        <w:pStyle w:val="94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Cs/>
          <w:color w:val="000000"/>
          <w:sz w:val="24"/>
          <w:szCs w:val="24"/>
          <w:highlight w:val="none"/>
        </w:rPr>
      </w:r>
      <w:r/>
    </w:p>
    <w:p>
      <w:pPr>
        <w:pStyle w:val="943"/>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（3）本项目采购标的对应的中小企业划型标准规定所属行业为：</w:t>
      </w:r>
      <w:r>
        <w:rPr>
          <w:rFonts w:hint="eastAsia" w:ascii="宋体" w:hAnsi="宋体" w:eastAsia="宋体" w:cs="宋体"/>
          <w:b/>
          <w:bCs/>
          <w:color w:val="000000"/>
          <w:sz w:val="24"/>
          <w:szCs w:val="24"/>
          <w:highlight w:val="none"/>
          <w:lang w:eastAsia="zh-CN"/>
        </w:rPr>
        <w:t xml:space="preserve">软件和信息技术服务业</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94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Style w:val="1130"/>
          <w:rFonts w:hint="eastAsia" w:ascii="宋体" w:hAnsi="宋体" w:eastAsia="宋体" w:cs="宋体"/>
          <w:bCs/>
          <w:color w:val="000000"/>
          <w:sz w:val="24"/>
          <w:szCs w:val="24"/>
          <w:highlight w:val="none"/>
        </w:rPr>
        <w:t xml:space="preserve">中小企业参加政府采购活动，应当出具《政府采购促进中小企业发展管理办法》附件规定《中小企业声明函》，否则不得享受相关中小企业扶持政策。</w:t>
      </w:r>
      <w:r>
        <w:rPr>
          <w:rFonts w:hint="eastAsia" w:ascii="宋体" w:hAnsi="宋体" w:eastAsia="宋体" w:cs="宋体"/>
          <w:bCs/>
          <w:color w:val="000000"/>
          <w:sz w:val="24"/>
          <w:szCs w:val="24"/>
          <w:highlight w:val="none"/>
        </w:rPr>
      </w:r>
      <w:r/>
    </w:p>
    <w:p>
      <w:pPr>
        <w:pStyle w:val="94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rPr>
          <w:rFonts w:hint="eastAsia" w:ascii="宋体" w:hAnsi="宋体" w:eastAsia="宋体" w:cs="宋体"/>
          <w:bCs/>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未按本项目采购标的对应的中小企业划型标准规定所属行业承诺的《中小企业声明函》为无效《中小企业声明函》。</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3、针对监狱企业的评审：</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根据财政部、司法部《关于政府采购支持监狱企业发展有关问题的通知》（财库〔2014〕68号）的规定，对属于监狱企业的供应商给予评审：</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4、针对残疾人福利性单位的评审：</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根据财政部、民政部、中国残疾人联合会《关于促进残疾人就业政府采购政策的通知》（财库〔2017〕141号）</w:t>
      </w:r>
      <w:r>
        <w:rPr>
          <w:rFonts w:hint="eastAsia" w:ascii="宋体" w:hAnsi="宋体" w:eastAsia="宋体" w:cs="宋体"/>
          <w:bCs/>
          <w:color w:val="000000"/>
          <w:sz w:val="24"/>
          <w:szCs w:val="24"/>
          <w:highlight w:val="none"/>
        </w:rPr>
        <w:t xml:space="preserve">的规定</w:t>
      </w:r>
      <w:r>
        <w:rPr>
          <w:rFonts w:hint="eastAsia" w:ascii="宋体" w:hAnsi="宋体" w:eastAsia="宋体" w:cs="宋体"/>
          <w:color w:val="000000"/>
          <w:sz w:val="24"/>
          <w:szCs w:val="24"/>
          <w:highlight w:val="none"/>
        </w:rPr>
        <w:t xml:space="preserve">，对属于残疾人福利性单位的供应商给予评审：</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根据供应商提供的《残疾人福利性单位声明函》。</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（1）供应商对上述声明的真实性负责，若供应商提供的《残疾人福利性单位声明函》与事实不符的，依照《政府采购法》第七十七条第一款的规定追究法律责任。</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（2）供应商为残疾人福利性单位的，采购代理机构将随中标结果同时公告其《残疾人福利性单位声明函》，接受社会监督。</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5、上述针对中小型企业、监狱企业和残疾人福利性单位的评审政策不重复享受</w:t>
      </w:r>
      <w:r>
        <w:rPr>
          <w:rFonts w:hint="eastAsia" w:ascii="宋体" w:hAnsi="宋体" w:eastAsia="宋体" w:cs="宋体"/>
          <w:color w:val="000000"/>
          <w:sz w:val="24"/>
          <w:szCs w:val="24"/>
          <w:highlight w:val="none"/>
          <w:lang w:eastAsia="zh-CN"/>
        </w:rPr>
        <w:t xml:space="preserve">。</w:t>
      </w:r>
      <w:r/>
    </w:p>
    <w:sectPr>
      <w:footnotePr/>
      <w:endnotePr/>
      <w:type w:val="nextPage"/>
      <w:pgSz w:w="11906" w:h="16838" w:orient="portrait"/>
      <w:pgMar w:top="1134" w:right="1134" w:bottom="1134" w:left="1134" w:header="851"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libri">
    <w:panose1 w:val="020F0502020204030204"/>
  </w:font>
  <w:font w:name="微软雅黑">
    <w:panose1 w:val="020B0503020204020204"/>
  </w:font>
  <w:font w:name="Batang">
    <w:panose1 w:val="02010600040101010101"/>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Tms Rmn">
    <w:panose1 w:val="020B0503020202020204"/>
  </w:font>
  <w:font w:name="楷体_GB2312">
    <w:panose1 w:val="02010609060101010101"/>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43"/>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4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ind w:right="360"/>
      <w:tabs>
        <w:tab w:val="center" w:pos="4819"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- 37 -</w:t>
                          </w:r>
                          <w:r>
                            <w:fldChar w:fldCharType="end"/>
                          </w:r>
                          <w:r/>
                        </w:p>
                        <w:p>
                          <w:pPr>
                            <w:pStyle w:val="94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- 37 -</w:t>
                    </w:r>
                    <w:r>
                      <w:fldChar w:fldCharType="end"/>
                    </w:r>
                    <w:r/>
                  </w:p>
                  <w:p>
                    <w:pPr>
                      <w:pStyle w:val="94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left"/>
      <w:tabs>
        <w:tab w:val="center" w:pos="4153" w:leader="none"/>
        <w:tab w:val="right" w:pos="8306" w:leader="none"/>
      </w:tabs>
      <w:rPr>
        <w:rFonts w:hint="eastAsia" w:ascii="宋体" w:hAnsi="宋体" w:eastAsia="宋体" w:cs="宋体"/>
        <w:lang w:eastAsia="zh-CN"/>
      </w:rPr>
    </w:pPr>
    <w:r>
      <w:rPr>
        <w:rFonts w:hint="eastAsia" w:ascii="宋体" w:hAnsi="宋体" w:cs="宋体"/>
      </w:rPr>
      <w:t xml:space="preserve">政府采购文件                                                        </w:t>
    </w:r>
    <w:r>
      <w:rPr>
        <w:rFonts w:ascii="宋体" w:hAnsi="宋体"/>
      </w:rPr>
      <w:t xml:space="preserve"> </w:t>
    </w:r>
    <w:r>
      <w:rPr>
        <w:rFonts w:hint="eastAsia" w:ascii="宋体" w:hAnsi="宋体"/>
      </w:rPr>
      <w:t xml:space="preserve">项目编号：</w:t>
    </w:r>
    <w:r>
      <w:rPr>
        <w:rFonts w:hint="eastAsia" w:ascii="宋体" w:hAnsi="宋体" w:cs="宋体"/>
        <w:lang w:eastAsia="zh-CN"/>
      </w:rPr>
      <w:t xml:space="preserve">JSZC-320508-SZZJ-C2026-0032</w:t>
    </w:r>
    <w:r>
      <w:rPr>
        <w:rFonts w:hint="eastAsia" w:ascii="宋体" w:hAnsi="宋体" w:eastAsia="宋体" w:cs="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pStyle w:val="94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name w:val="Heading 1"/>
    <w:basedOn w:val="943"/>
    <w:next w:val="943"/>
    <w:link w:val="767"/>
    <w:uiPriority w:val="9"/>
    <w:qFormat/>
    <w:pPr>
      <w:keepLines/>
      <w:keepNext/>
      <w:spacing w:before="480" w:after="200"/>
      <w:outlineLvl w:val="0"/>
    </w:pPr>
    <w:rPr>
      <w:rFonts w:ascii="Arial" w:hAnsi="Arial" w:eastAsia="Arial" w:cs="Arial"/>
      <w:sz w:val="40"/>
      <w:szCs w:val="40"/>
    </w:rPr>
  </w:style>
  <w:style w:type="character" w:styleId="767">
    <w:name w:val="Heading 1 Char"/>
    <w:link w:val="766"/>
    <w:uiPriority w:val="9"/>
    <w:rPr>
      <w:rFonts w:ascii="Arial" w:hAnsi="Arial" w:eastAsia="Arial" w:cs="Arial"/>
      <w:sz w:val="40"/>
      <w:szCs w:val="40"/>
    </w:rPr>
  </w:style>
  <w:style w:type="paragraph" w:styleId="768">
    <w:name w:val="Heading 2"/>
    <w:basedOn w:val="943"/>
    <w:next w:val="943"/>
    <w:link w:val="769"/>
    <w:uiPriority w:val="9"/>
    <w:unhideWhenUsed/>
    <w:qFormat/>
    <w:pPr>
      <w:keepLines/>
      <w:keepNext/>
      <w:spacing w:before="360" w:after="200"/>
      <w:outlineLvl w:val="1"/>
    </w:pPr>
    <w:rPr>
      <w:rFonts w:ascii="Arial" w:hAnsi="Arial" w:eastAsia="Arial" w:cs="Arial"/>
      <w:sz w:val="34"/>
    </w:rPr>
  </w:style>
  <w:style w:type="character" w:styleId="769">
    <w:name w:val="Heading 2 Char"/>
    <w:link w:val="768"/>
    <w:uiPriority w:val="9"/>
    <w:rPr>
      <w:rFonts w:ascii="Arial" w:hAnsi="Arial" w:eastAsia="Arial" w:cs="Arial"/>
      <w:sz w:val="34"/>
    </w:rPr>
  </w:style>
  <w:style w:type="paragraph" w:styleId="770">
    <w:name w:val="Heading 3"/>
    <w:basedOn w:val="943"/>
    <w:next w:val="943"/>
    <w:link w:val="771"/>
    <w:uiPriority w:val="9"/>
    <w:unhideWhenUsed/>
    <w:qFormat/>
    <w:pPr>
      <w:keepLines/>
      <w:keepNext/>
      <w:spacing w:before="320" w:after="200"/>
      <w:outlineLvl w:val="2"/>
    </w:pPr>
    <w:rPr>
      <w:rFonts w:ascii="Arial" w:hAnsi="Arial" w:eastAsia="Arial" w:cs="Arial"/>
      <w:sz w:val="30"/>
      <w:szCs w:val="30"/>
    </w:rPr>
  </w:style>
  <w:style w:type="character" w:styleId="771">
    <w:name w:val="Heading 3 Char"/>
    <w:link w:val="770"/>
    <w:uiPriority w:val="9"/>
    <w:rPr>
      <w:rFonts w:ascii="Arial" w:hAnsi="Arial" w:eastAsia="Arial" w:cs="Arial"/>
      <w:sz w:val="30"/>
      <w:szCs w:val="30"/>
    </w:rPr>
  </w:style>
  <w:style w:type="paragraph" w:styleId="772">
    <w:name w:val="Heading 4"/>
    <w:basedOn w:val="943"/>
    <w:next w:val="943"/>
    <w:link w:val="773"/>
    <w:uiPriority w:val="9"/>
    <w:unhideWhenUsed/>
    <w:qFormat/>
    <w:pPr>
      <w:keepLines/>
      <w:keepNext/>
      <w:spacing w:before="320" w:after="200"/>
      <w:outlineLvl w:val="3"/>
    </w:pPr>
    <w:rPr>
      <w:rFonts w:ascii="Arial" w:hAnsi="Arial" w:eastAsia="Arial" w:cs="Arial"/>
      <w:b/>
      <w:bCs/>
      <w:sz w:val="26"/>
      <w:szCs w:val="26"/>
    </w:rPr>
  </w:style>
  <w:style w:type="character" w:styleId="773">
    <w:name w:val="Heading 4 Char"/>
    <w:link w:val="772"/>
    <w:uiPriority w:val="9"/>
    <w:rPr>
      <w:rFonts w:ascii="Arial" w:hAnsi="Arial" w:eastAsia="Arial" w:cs="Arial"/>
      <w:b/>
      <w:bCs/>
      <w:sz w:val="26"/>
      <w:szCs w:val="26"/>
    </w:rPr>
  </w:style>
  <w:style w:type="paragraph" w:styleId="774">
    <w:name w:val="Heading 5"/>
    <w:basedOn w:val="943"/>
    <w:next w:val="943"/>
    <w:link w:val="775"/>
    <w:uiPriority w:val="9"/>
    <w:unhideWhenUsed/>
    <w:qFormat/>
    <w:pPr>
      <w:keepLines/>
      <w:keepNext/>
      <w:spacing w:before="320" w:after="200"/>
      <w:outlineLvl w:val="4"/>
    </w:pPr>
    <w:rPr>
      <w:rFonts w:ascii="Arial" w:hAnsi="Arial" w:eastAsia="Arial" w:cs="Arial"/>
      <w:b/>
      <w:bCs/>
      <w:sz w:val="24"/>
      <w:szCs w:val="24"/>
    </w:rPr>
  </w:style>
  <w:style w:type="character" w:styleId="775">
    <w:name w:val="Heading 5 Char"/>
    <w:link w:val="774"/>
    <w:uiPriority w:val="9"/>
    <w:rPr>
      <w:rFonts w:ascii="Arial" w:hAnsi="Arial" w:eastAsia="Arial" w:cs="Arial"/>
      <w:b/>
      <w:bCs/>
      <w:sz w:val="24"/>
      <w:szCs w:val="24"/>
    </w:rPr>
  </w:style>
  <w:style w:type="paragraph" w:styleId="776">
    <w:name w:val="Heading 6"/>
    <w:basedOn w:val="943"/>
    <w:next w:val="943"/>
    <w:link w:val="777"/>
    <w:uiPriority w:val="9"/>
    <w:unhideWhenUsed/>
    <w:qFormat/>
    <w:pPr>
      <w:keepLines/>
      <w:keepNext/>
      <w:spacing w:before="320" w:after="200"/>
      <w:outlineLvl w:val="5"/>
    </w:pPr>
    <w:rPr>
      <w:rFonts w:ascii="Arial" w:hAnsi="Arial" w:eastAsia="Arial" w:cs="Arial"/>
      <w:b/>
      <w:bCs/>
      <w:sz w:val="22"/>
      <w:szCs w:val="22"/>
    </w:rPr>
  </w:style>
  <w:style w:type="character" w:styleId="777">
    <w:name w:val="Heading 6 Char"/>
    <w:link w:val="776"/>
    <w:uiPriority w:val="9"/>
    <w:rPr>
      <w:rFonts w:ascii="Arial" w:hAnsi="Arial" w:eastAsia="Arial" w:cs="Arial"/>
      <w:b/>
      <w:bCs/>
      <w:sz w:val="22"/>
      <w:szCs w:val="22"/>
    </w:rPr>
  </w:style>
  <w:style w:type="paragraph" w:styleId="778">
    <w:name w:val="Heading 7"/>
    <w:basedOn w:val="943"/>
    <w:next w:val="943"/>
    <w:link w:val="779"/>
    <w:uiPriority w:val="9"/>
    <w:unhideWhenUsed/>
    <w:qFormat/>
    <w:pPr>
      <w:keepLines/>
      <w:keepNext/>
      <w:spacing w:before="320" w:after="200"/>
      <w:outlineLvl w:val="6"/>
    </w:pPr>
    <w:rPr>
      <w:rFonts w:ascii="Arial" w:hAnsi="Arial" w:eastAsia="Arial" w:cs="Arial"/>
      <w:b/>
      <w:bCs/>
      <w:i/>
      <w:iCs/>
      <w:sz w:val="22"/>
      <w:szCs w:val="22"/>
    </w:rPr>
  </w:style>
  <w:style w:type="character" w:styleId="779">
    <w:name w:val="Heading 7 Char"/>
    <w:link w:val="778"/>
    <w:uiPriority w:val="9"/>
    <w:rPr>
      <w:rFonts w:ascii="Arial" w:hAnsi="Arial" w:eastAsia="Arial" w:cs="Arial"/>
      <w:b/>
      <w:bCs/>
      <w:i/>
      <w:iCs/>
      <w:sz w:val="22"/>
      <w:szCs w:val="22"/>
    </w:rPr>
  </w:style>
  <w:style w:type="paragraph" w:styleId="780">
    <w:name w:val="Heading 8"/>
    <w:basedOn w:val="943"/>
    <w:next w:val="943"/>
    <w:link w:val="781"/>
    <w:uiPriority w:val="9"/>
    <w:unhideWhenUsed/>
    <w:qFormat/>
    <w:pPr>
      <w:keepLines/>
      <w:keepNext/>
      <w:spacing w:before="320" w:after="200"/>
      <w:outlineLvl w:val="7"/>
    </w:pPr>
    <w:rPr>
      <w:rFonts w:ascii="Arial" w:hAnsi="Arial" w:eastAsia="Arial" w:cs="Arial"/>
      <w:i/>
      <w:iCs/>
      <w:sz w:val="22"/>
      <w:szCs w:val="22"/>
    </w:rPr>
  </w:style>
  <w:style w:type="character" w:styleId="781">
    <w:name w:val="Heading 8 Char"/>
    <w:link w:val="780"/>
    <w:uiPriority w:val="9"/>
    <w:rPr>
      <w:rFonts w:ascii="Arial" w:hAnsi="Arial" w:eastAsia="Arial" w:cs="Arial"/>
      <w:i/>
      <w:iCs/>
      <w:sz w:val="22"/>
      <w:szCs w:val="22"/>
    </w:rPr>
  </w:style>
  <w:style w:type="paragraph" w:styleId="782">
    <w:name w:val="Heading 9"/>
    <w:basedOn w:val="943"/>
    <w:next w:val="943"/>
    <w:link w:val="783"/>
    <w:uiPriority w:val="9"/>
    <w:unhideWhenUsed/>
    <w:qFormat/>
    <w:pPr>
      <w:keepLines/>
      <w:keepNext/>
      <w:spacing w:before="320" w:after="200"/>
      <w:outlineLvl w:val="8"/>
    </w:pPr>
    <w:rPr>
      <w:rFonts w:ascii="Arial" w:hAnsi="Arial" w:eastAsia="Arial" w:cs="Arial"/>
      <w:i/>
      <w:iCs/>
      <w:sz w:val="21"/>
      <w:szCs w:val="21"/>
    </w:rPr>
  </w:style>
  <w:style w:type="character" w:styleId="783">
    <w:name w:val="Heading 9 Char"/>
    <w:link w:val="782"/>
    <w:uiPriority w:val="9"/>
    <w:rPr>
      <w:rFonts w:ascii="Arial" w:hAnsi="Arial" w:eastAsia="Arial" w:cs="Arial"/>
      <w:i/>
      <w:iCs/>
      <w:sz w:val="21"/>
      <w:szCs w:val="21"/>
    </w:rPr>
  </w:style>
  <w:style w:type="paragraph" w:styleId="784">
    <w:name w:val="No Spacing"/>
    <w:uiPriority w:val="1"/>
    <w:qFormat/>
    <w:pPr>
      <w:spacing w:before="0" w:after="0" w:line="240" w:lineRule="auto"/>
    </w:pPr>
  </w:style>
  <w:style w:type="paragraph" w:styleId="785">
    <w:name w:val="Title"/>
    <w:basedOn w:val="943"/>
    <w:next w:val="943"/>
    <w:link w:val="786"/>
    <w:uiPriority w:val="10"/>
    <w:qFormat/>
    <w:pPr>
      <w:contextualSpacing/>
      <w:spacing w:before="300" w:after="200"/>
    </w:pPr>
    <w:rPr>
      <w:sz w:val="48"/>
      <w:szCs w:val="48"/>
    </w:rPr>
  </w:style>
  <w:style w:type="character" w:styleId="786">
    <w:name w:val="Title Char"/>
    <w:link w:val="785"/>
    <w:uiPriority w:val="10"/>
    <w:rPr>
      <w:sz w:val="48"/>
      <w:szCs w:val="48"/>
    </w:rPr>
  </w:style>
  <w:style w:type="paragraph" w:styleId="787">
    <w:name w:val="Subtitle"/>
    <w:basedOn w:val="943"/>
    <w:next w:val="943"/>
    <w:link w:val="788"/>
    <w:uiPriority w:val="11"/>
    <w:qFormat/>
    <w:pPr>
      <w:spacing w:before="200" w:after="200"/>
    </w:pPr>
    <w:rPr>
      <w:sz w:val="24"/>
      <w:szCs w:val="24"/>
    </w:rPr>
  </w:style>
  <w:style w:type="character" w:styleId="788">
    <w:name w:val="Subtitle Char"/>
    <w:link w:val="787"/>
    <w:uiPriority w:val="11"/>
    <w:rPr>
      <w:sz w:val="24"/>
      <w:szCs w:val="24"/>
    </w:rPr>
  </w:style>
  <w:style w:type="paragraph" w:styleId="789">
    <w:name w:val="Quote"/>
    <w:basedOn w:val="943"/>
    <w:next w:val="943"/>
    <w:link w:val="790"/>
    <w:uiPriority w:val="29"/>
    <w:qFormat/>
    <w:pPr>
      <w:ind w:left="720" w:right="720"/>
    </w:pPr>
    <w:rPr>
      <w:i/>
    </w:rPr>
  </w:style>
  <w:style w:type="character" w:styleId="790">
    <w:name w:val="Quote Char"/>
    <w:link w:val="789"/>
    <w:uiPriority w:val="29"/>
    <w:rPr>
      <w:i/>
    </w:rPr>
  </w:style>
  <w:style w:type="paragraph" w:styleId="791">
    <w:name w:val="Intense Quote"/>
    <w:basedOn w:val="943"/>
    <w:next w:val="943"/>
    <w:link w:val="7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name w:val="Intense Quote Char"/>
    <w:link w:val="791"/>
    <w:uiPriority w:val="30"/>
    <w:rPr>
      <w:i/>
    </w:rPr>
  </w:style>
  <w:style w:type="paragraph" w:styleId="793">
    <w:name w:val="Header"/>
    <w:basedOn w:val="943"/>
    <w:link w:val="794"/>
    <w:uiPriority w:val="99"/>
    <w:unhideWhenUsed/>
    <w:pPr>
      <w:spacing w:after="0" w:line="240" w:lineRule="auto"/>
      <w:tabs>
        <w:tab w:val="center" w:pos="7143" w:leader="none"/>
        <w:tab w:val="right" w:pos="14287" w:leader="none"/>
      </w:tabs>
    </w:pPr>
  </w:style>
  <w:style w:type="character" w:styleId="794">
    <w:name w:val="Header Char"/>
    <w:link w:val="793"/>
    <w:uiPriority w:val="99"/>
  </w:style>
  <w:style w:type="paragraph" w:styleId="795">
    <w:name w:val="Footer"/>
    <w:basedOn w:val="943"/>
    <w:link w:val="798"/>
    <w:uiPriority w:val="99"/>
    <w:unhideWhenUsed/>
    <w:pPr>
      <w:spacing w:after="0" w:line="240" w:lineRule="auto"/>
      <w:tabs>
        <w:tab w:val="center" w:pos="7143" w:leader="none"/>
        <w:tab w:val="right" w:pos="14287" w:leader="none"/>
      </w:tabs>
    </w:pPr>
  </w:style>
  <w:style w:type="character" w:styleId="796">
    <w:name w:val="Footer Char"/>
    <w:link w:val="795"/>
    <w:uiPriority w:val="99"/>
  </w:style>
  <w:style w:type="paragraph" w:styleId="797">
    <w:name w:val="Caption"/>
    <w:basedOn w:val="943"/>
    <w:next w:val="943"/>
    <w:uiPriority w:val="35"/>
    <w:semiHidden/>
    <w:unhideWhenUsed/>
    <w:qFormat/>
    <w:pPr>
      <w:spacing w:line="276" w:lineRule="auto"/>
    </w:pPr>
    <w:rPr>
      <w:b/>
      <w:bCs/>
      <w:color w:val="4f81bd" w:themeColor="accent1"/>
      <w:sz w:val="18"/>
      <w:szCs w:val="18"/>
    </w:rPr>
  </w:style>
  <w:style w:type="character" w:styleId="798">
    <w:name w:val="Caption Char"/>
    <w:basedOn w:val="797"/>
    <w:link w:val="795"/>
    <w:uiPriority w:val="99"/>
  </w:style>
  <w:style w:type="table" w:styleId="79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5">
    <w:name w:val="Hyperlink"/>
    <w:uiPriority w:val="99"/>
    <w:unhideWhenUsed/>
    <w:rPr>
      <w:color w:val="0000ff" w:themeColor="hyperlink"/>
      <w:u w:val="single"/>
    </w:rPr>
  </w:style>
  <w:style w:type="paragraph" w:styleId="926">
    <w:name w:val="footnote text"/>
    <w:basedOn w:val="943"/>
    <w:link w:val="927"/>
    <w:uiPriority w:val="99"/>
    <w:semiHidden/>
    <w:unhideWhenUsed/>
    <w:pPr>
      <w:spacing w:after="40" w:line="240" w:lineRule="auto"/>
    </w:pPr>
    <w:rPr>
      <w:sz w:val="18"/>
    </w:rPr>
  </w:style>
  <w:style w:type="character" w:styleId="927">
    <w:name w:val="Footnote Text Char"/>
    <w:link w:val="926"/>
    <w:uiPriority w:val="99"/>
    <w:rPr>
      <w:sz w:val="18"/>
    </w:rPr>
  </w:style>
  <w:style w:type="character" w:styleId="928">
    <w:name w:val="footnote reference"/>
    <w:uiPriority w:val="99"/>
    <w:unhideWhenUsed/>
    <w:rPr>
      <w:vertAlign w:val="superscript"/>
    </w:rPr>
  </w:style>
  <w:style w:type="paragraph" w:styleId="929">
    <w:name w:val="endnote text"/>
    <w:basedOn w:val="943"/>
    <w:link w:val="930"/>
    <w:uiPriority w:val="99"/>
    <w:semiHidden/>
    <w:unhideWhenUsed/>
    <w:pPr>
      <w:spacing w:after="0" w:line="240" w:lineRule="auto"/>
    </w:pPr>
    <w:rPr>
      <w:sz w:val="20"/>
    </w:rPr>
  </w:style>
  <w:style w:type="character" w:styleId="930">
    <w:name w:val="Endnote Text Char"/>
    <w:link w:val="929"/>
    <w:uiPriority w:val="99"/>
    <w:rPr>
      <w:sz w:val="20"/>
    </w:rPr>
  </w:style>
  <w:style w:type="character" w:styleId="931">
    <w:name w:val="endnote reference"/>
    <w:uiPriority w:val="99"/>
    <w:semiHidden/>
    <w:unhideWhenUsed/>
    <w:rPr>
      <w:vertAlign w:val="superscript"/>
    </w:rPr>
  </w:style>
  <w:style w:type="paragraph" w:styleId="932">
    <w:name w:val="toc 1"/>
    <w:basedOn w:val="943"/>
    <w:next w:val="943"/>
    <w:uiPriority w:val="39"/>
    <w:unhideWhenUsed/>
    <w:pPr>
      <w:ind w:left="0" w:right="0" w:firstLine="0"/>
      <w:spacing w:after="57"/>
    </w:pPr>
  </w:style>
  <w:style w:type="paragraph" w:styleId="933">
    <w:name w:val="toc 2"/>
    <w:basedOn w:val="943"/>
    <w:next w:val="943"/>
    <w:uiPriority w:val="39"/>
    <w:unhideWhenUsed/>
    <w:pPr>
      <w:ind w:left="283" w:right="0" w:firstLine="0"/>
      <w:spacing w:after="57"/>
    </w:pPr>
  </w:style>
  <w:style w:type="paragraph" w:styleId="934">
    <w:name w:val="toc 3"/>
    <w:basedOn w:val="943"/>
    <w:next w:val="943"/>
    <w:uiPriority w:val="39"/>
    <w:unhideWhenUsed/>
    <w:pPr>
      <w:ind w:left="567" w:right="0" w:firstLine="0"/>
      <w:spacing w:after="57"/>
    </w:pPr>
  </w:style>
  <w:style w:type="paragraph" w:styleId="935">
    <w:name w:val="toc 4"/>
    <w:basedOn w:val="943"/>
    <w:next w:val="943"/>
    <w:uiPriority w:val="39"/>
    <w:unhideWhenUsed/>
    <w:pPr>
      <w:ind w:left="850" w:right="0" w:firstLine="0"/>
      <w:spacing w:after="57"/>
    </w:pPr>
  </w:style>
  <w:style w:type="paragraph" w:styleId="936">
    <w:name w:val="toc 5"/>
    <w:basedOn w:val="943"/>
    <w:next w:val="943"/>
    <w:uiPriority w:val="39"/>
    <w:unhideWhenUsed/>
    <w:pPr>
      <w:ind w:left="1134" w:right="0" w:firstLine="0"/>
      <w:spacing w:after="57"/>
    </w:pPr>
  </w:style>
  <w:style w:type="paragraph" w:styleId="937">
    <w:name w:val="toc 6"/>
    <w:basedOn w:val="943"/>
    <w:next w:val="943"/>
    <w:uiPriority w:val="39"/>
    <w:unhideWhenUsed/>
    <w:pPr>
      <w:ind w:left="1417" w:right="0" w:firstLine="0"/>
      <w:spacing w:after="57"/>
    </w:pPr>
  </w:style>
  <w:style w:type="paragraph" w:styleId="938">
    <w:name w:val="toc 7"/>
    <w:basedOn w:val="943"/>
    <w:next w:val="943"/>
    <w:uiPriority w:val="39"/>
    <w:unhideWhenUsed/>
    <w:pPr>
      <w:ind w:left="1701" w:right="0" w:firstLine="0"/>
      <w:spacing w:after="57"/>
    </w:pPr>
  </w:style>
  <w:style w:type="paragraph" w:styleId="939">
    <w:name w:val="toc 8"/>
    <w:basedOn w:val="943"/>
    <w:next w:val="943"/>
    <w:uiPriority w:val="39"/>
    <w:unhideWhenUsed/>
    <w:pPr>
      <w:ind w:left="1984" w:right="0" w:firstLine="0"/>
      <w:spacing w:after="57"/>
    </w:pPr>
  </w:style>
  <w:style w:type="paragraph" w:styleId="940">
    <w:name w:val="toc 9"/>
    <w:basedOn w:val="943"/>
    <w:next w:val="943"/>
    <w:uiPriority w:val="39"/>
    <w:unhideWhenUsed/>
    <w:pPr>
      <w:ind w:left="2268" w:right="0" w:firstLine="0"/>
      <w:spacing w:after="57"/>
    </w:pPr>
  </w:style>
  <w:style w:type="paragraph" w:styleId="941">
    <w:name w:val="TOC Heading"/>
    <w:uiPriority w:val="39"/>
    <w:unhideWhenUsed/>
  </w:style>
  <w:style w:type="paragraph" w:styleId="942">
    <w:name w:val="table of figures"/>
    <w:basedOn w:val="943"/>
    <w:next w:val="943"/>
    <w:uiPriority w:val="99"/>
    <w:unhideWhenUsed/>
    <w:pPr>
      <w:spacing w:after="0" w:afterAutospacing="0"/>
    </w:pPr>
  </w:style>
  <w:style w:type="paragraph" w:styleId="943" w:default="1">
    <w:name w:val="Normal"/>
    <w:next w:val="955"/>
    <w:link w:val="943"/>
    <w:qFormat/>
    <w:pPr>
      <w:jc w:val="both"/>
      <w:widowControl w:val="off"/>
    </w:pPr>
    <w:rPr>
      <w:rFonts w:eastAsia="楷体_GB2312"/>
      <w:sz w:val="26"/>
      <w:lang w:val="en-US" w:eastAsia="zh-CN" w:bidi="ar-SA"/>
    </w:rPr>
  </w:style>
  <w:style w:type="paragraph" w:styleId="944">
    <w:name w:val="标题 1"/>
    <w:basedOn w:val="943"/>
    <w:next w:val="943"/>
    <w:link w:val="957"/>
    <w:qFormat/>
    <w:pPr>
      <w:keepLines/>
      <w:keepNext/>
      <w:spacing w:before="340" w:after="330" w:line="578" w:lineRule="auto"/>
      <w:outlineLvl w:val="0"/>
    </w:pPr>
    <w:rPr>
      <w:b/>
      <w:sz w:val="44"/>
    </w:rPr>
  </w:style>
  <w:style w:type="paragraph" w:styleId="945">
    <w:name w:val="标题 2"/>
    <w:basedOn w:val="943"/>
    <w:next w:val="943"/>
    <w:link w:val="958"/>
    <w:qFormat/>
    <w:pPr>
      <w:jc w:val="left"/>
      <w:keepLines/>
      <w:keepNext/>
      <w:outlineLvl w:val="1"/>
    </w:pPr>
    <w:rPr>
      <w:rFonts w:ascii="宋体" w:hAnsi="宋体"/>
      <w:b/>
    </w:rPr>
  </w:style>
  <w:style w:type="paragraph" w:styleId="946">
    <w:name w:val="标题 3"/>
    <w:basedOn w:val="943"/>
    <w:next w:val="943"/>
    <w:link w:val="959"/>
    <w:qFormat/>
    <w:pPr>
      <w:jc w:val="left"/>
      <w:keepLines/>
      <w:keepNext/>
      <w:outlineLvl w:val="2"/>
    </w:pPr>
    <w:rPr>
      <w:b/>
    </w:rPr>
  </w:style>
  <w:style w:type="paragraph" w:styleId="947">
    <w:name w:val="标题 4"/>
    <w:basedOn w:val="943"/>
    <w:next w:val="943"/>
    <w:link w:val="960"/>
    <w:qFormat/>
    <w:pPr>
      <w:keepLines/>
      <w:keepNext/>
      <w:spacing w:before="280" w:after="290" w:line="376" w:lineRule="auto"/>
      <w:outlineLvl w:val="3"/>
    </w:pPr>
    <w:rPr>
      <w:rFonts w:ascii="Arial" w:hAnsi="Arial" w:eastAsia="黑体"/>
      <w:b/>
      <w:bCs/>
      <w:sz w:val="28"/>
      <w:szCs w:val="28"/>
    </w:rPr>
  </w:style>
  <w:style w:type="paragraph" w:styleId="948">
    <w:name w:val="标题 5"/>
    <w:basedOn w:val="943"/>
    <w:next w:val="943"/>
    <w:link w:val="961"/>
    <w:qFormat/>
    <w:pPr>
      <w:jc w:val="left"/>
      <w:keepLines/>
      <w:keepNext/>
      <w:spacing w:before="280" w:after="290" w:line="376" w:lineRule="atLeast"/>
      <w:outlineLvl w:val="4"/>
    </w:pPr>
    <w:rPr>
      <w:rFonts w:ascii="宋体" w:hAnsi="Tms Rmn" w:eastAsia="宋体"/>
      <w:b/>
      <w:sz w:val="28"/>
    </w:rPr>
  </w:style>
  <w:style w:type="paragraph" w:styleId="949">
    <w:name w:val="标题 6"/>
    <w:basedOn w:val="943"/>
    <w:next w:val="943"/>
    <w:link w:val="962"/>
    <w:qFormat/>
    <w:pPr>
      <w:jc w:val="left"/>
      <w:keepLines/>
      <w:keepNext/>
      <w:spacing w:before="240" w:after="64" w:line="320" w:lineRule="atLeast"/>
      <w:outlineLvl w:val="5"/>
    </w:pPr>
    <w:rPr>
      <w:rFonts w:ascii="黑体" w:hAnsi="Tms Rmn" w:eastAsia="黑体"/>
      <w:b/>
      <w:sz w:val="24"/>
    </w:rPr>
  </w:style>
  <w:style w:type="paragraph" w:styleId="950">
    <w:name w:val="标题 7"/>
    <w:basedOn w:val="943"/>
    <w:next w:val="943"/>
    <w:link w:val="963"/>
    <w:qFormat/>
    <w:pPr>
      <w:jc w:val="left"/>
      <w:keepLines/>
      <w:keepNext/>
      <w:spacing w:before="240" w:after="64" w:line="320" w:lineRule="atLeast"/>
      <w:outlineLvl w:val="6"/>
    </w:pPr>
    <w:rPr>
      <w:rFonts w:ascii="宋体" w:hAnsi="Tms Rmn" w:eastAsia="宋体"/>
      <w:b/>
      <w:sz w:val="24"/>
    </w:rPr>
  </w:style>
  <w:style w:type="paragraph" w:styleId="951">
    <w:name w:val="标题 8"/>
    <w:basedOn w:val="943"/>
    <w:next w:val="943"/>
    <w:link w:val="964"/>
    <w:qFormat/>
    <w:pPr>
      <w:keepLines/>
      <w:keepNext/>
      <w:spacing w:before="240" w:after="64" w:line="320" w:lineRule="auto"/>
      <w:outlineLvl w:val="7"/>
    </w:pPr>
    <w:rPr>
      <w:rFonts w:ascii="Arial" w:hAnsi="Arial" w:eastAsia="黑体"/>
      <w:sz w:val="24"/>
      <w:szCs w:val="24"/>
    </w:rPr>
  </w:style>
  <w:style w:type="paragraph" w:styleId="952">
    <w:name w:val="标题 9"/>
    <w:basedOn w:val="943"/>
    <w:next w:val="943"/>
    <w:link w:val="965"/>
    <w:qFormat/>
    <w:pPr>
      <w:keepLines/>
      <w:keepNext/>
      <w:spacing w:before="240" w:after="64" w:line="320" w:lineRule="auto"/>
      <w:outlineLvl w:val="8"/>
    </w:pPr>
    <w:rPr>
      <w:rFonts w:ascii="Arial" w:hAnsi="Arial" w:eastAsia="黑体"/>
      <w:sz w:val="24"/>
      <w:szCs w:val="21"/>
    </w:rPr>
  </w:style>
  <w:style w:type="character" w:styleId="953">
    <w:name w:val="默认段落字体"/>
    <w:next w:val="953"/>
    <w:link w:val="943"/>
    <w:rPr>
      <w:rFonts w:ascii="Tahoma" w:hAnsi="Tahoma" w:eastAsia="宋体"/>
      <w:sz w:val="24"/>
    </w:rPr>
  </w:style>
  <w:style w:type="table" w:styleId="954">
    <w:name w:val="普通表格"/>
    <w:next w:val="954"/>
    <w:link w:val="943"/>
    <w:uiPriority w:val="99"/>
    <w:unhideWhenUsed/>
    <w:tblPr/>
  </w:style>
  <w:style w:type="paragraph" w:styleId="955">
    <w:name w:val="正文文本缩进"/>
    <w:basedOn w:val="943"/>
    <w:next w:val="943"/>
    <w:link w:val="956"/>
    <w:pPr>
      <w:ind w:left="570"/>
      <w:spacing w:line="520" w:lineRule="exact"/>
    </w:pPr>
    <w:rPr>
      <w:rFonts w:ascii="方正仿宋简体" w:hAnsi="创艺简仿宋" w:eastAsia="方正仿宋简体"/>
      <w:sz w:val="24"/>
    </w:rPr>
  </w:style>
  <w:style w:type="character" w:styleId="956">
    <w:name w:val="正文文本缩进 字符"/>
    <w:next w:val="956"/>
    <w:link w:val="955"/>
    <w:rPr>
      <w:rFonts w:ascii="方正仿宋简体" w:hAnsi="创艺简仿宋" w:eastAsia="方正仿宋简体" w:cs="Times New Roman"/>
      <w:sz w:val="24"/>
      <w:szCs w:val="20"/>
    </w:rPr>
  </w:style>
  <w:style w:type="character" w:styleId="957">
    <w:name w:val="标题 1 字符"/>
    <w:next w:val="957"/>
    <w:link w:val="944"/>
    <w:rPr>
      <w:rFonts w:ascii="Times New Roman" w:hAnsi="Times New Roman" w:eastAsia="楷体_GB2312" w:cs="Times New Roman"/>
      <w:b/>
      <w:sz w:val="44"/>
      <w:szCs w:val="20"/>
    </w:rPr>
  </w:style>
  <w:style w:type="character" w:styleId="958">
    <w:name w:val="标题 2 字符"/>
    <w:next w:val="958"/>
    <w:link w:val="945"/>
    <w:rPr>
      <w:rFonts w:ascii="宋体" w:hAnsi="宋体" w:eastAsia="楷体_GB2312" w:cs="Times New Roman"/>
      <w:b/>
      <w:sz w:val="26"/>
      <w:szCs w:val="20"/>
    </w:rPr>
  </w:style>
  <w:style w:type="character" w:styleId="959">
    <w:name w:val="标题 3 字符"/>
    <w:next w:val="959"/>
    <w:link w:val="946"/>
    <w:rPr>
      <w:rFonts w:ascii="Times New Roman" w:hAnsi="Times New Roman" w:eastAsia="楷体_GB2312" w:cs="Times New Roman"/>
      <w:b/>
      <w:sz w:val="26"/>
      <w:szCs w:val="20"/>
    </w:rPr>
  </w:style>
  <w:style w:type="character" w:styleId="960">
    <w:name w:val="标题 4 字符"/>
    <w:next w:val="960"/>
    <w:link w:val="947"/>
    <w:rPr>
      <w:rFonts w:ascii="Arial" w:hAnsi="Arial" w:eastAsia="黑体" w:cs="Times New Roman"/>
      <w:b/>
      <w:bCs/>
      <w:sz w:val="28"/>
      <w:szCs w:val="28"/>
    </w:rPr>
  </w:style>
  <w:style w:type="character" w:styleId="961">
    <w:name w:val="标题 5 字符"/>
    <w:next w:val="961"/>
    <w:link w:val="948"/>
    <w:rPr>
      <w:rFonts w:ascii="宋体" w:hAnsi="Tms Rmn" w:eastAsia="宋体" w:cs="Times New Roman"/>
      <w:b/>
      <w:sz w:val="28"/>
      <w:szCs w:val="20"/>
    </w:rPr>
  </w:style>
  <w:style w:type="character" w:styleId="962">
    <w:name w:val="标题 6 字符"/>
    <w:next w:val="962"/>
    <w:link w:val="949"/>
    <w:rPr>
      <w:rFonts w:ascii="黑体" w:hAnsi="Tms Rmn" w:eastAsia="黑体" w:cs="Times New Roman"/>
      <w:b/>
      <w:sz w:val="24"/>
      <w:szCs w:val="20"/>
    </w:rPr>
  </w:style>
  <w:style w:type="character" w:styleId="963">
    <w:name w:val="标题 7 字符"/>
    <w:next w:val="963"/>
    <w:link w:val="950"/>
    <w:rPr>
      <w:rFonts w:ascii="宋体" w:hAnsi="Tms Rmn" w:eastAsia="宋体" w:cs="Times New Roman"/>
      <w:b/>
      <w:sz w:val="24"/>
      <w:szCs w:val="20"/>
    </w:rPr>
  </w:style>
  <w:style w:type="character" w:styleId="964">
    <w:name w:val="标题 8 字符"/>
    <w:next w:val="964"/>
    <w:link w:val="951"/>
    <w:rPr>
      <w:rFonts w:ascii="Arial" w:hAnsi="Arial" w:eastAsia="黑体" w:cs="Times New Roman"/>
      <w:sz w:val="24"/>
      <w:szCs w:val="24"/>
    </w:rPr>
  </w:style>
  <w:style w:type="character" w:styleId="965">
    <w:name w:val="标题 9 字符"/>
    <w:next w:val="965"/>
    <w:link w:val="952"/>
    <w:rPr>
      <w:rFonts w:ascii="Arial" w:hAnsi="Arial" w:eastAsia="黑体" w:cs="Times New Roman"/>
      <w:sz w:val="24"/>
      <w:szCs w:val="21"/>
    </w:rPr>
  </w:style>
  <w:style w:type="paragraph" w:styleId="966">
    <w:name w:val="目录 7"/>
    <w:basedOn w:val="944"/>
    <w:next w:val="943"/>
    <w:link w:val="943"/>
    <w:pPr>
      <w:ind w:left="2520"/>
    </w:pPr>
  </w:style>
  <w:style w:type="paragraph" w:styleId="967">
    <w:name w:val="索引 8"/>
    <w:basedOn w:val="943"/>
    <w:next w:val="943"/>
    <w:link w:val="943"/>
    <w:pPr>
      <w:ind w:left="2940"/>
    </w:pPr>
  </w:style>
  <w:style w:type="paragraph" w:styleId="968">
    <w:name w:val="列表编号"/>
    <w:basedOn w:val="943"/>
    <w:next w:val="968"/>
    <w:link w:val="943"/>
    <w:pPr>
      <w:ind w:left="1125" w:hanging="555"/>
      <w:tabs>
        <w:tab w:val="left" w:pos="1125" w:leader="none"/>
      </w:tabs>
    </w:pPr>
    <w:rPr>
      <w:rFonts w:eastAsia="宋体"/>
      <w:sz w:val="21"/>
      <w:szCs w:val="24"/>
    </w:rPr>
  </w:style>
  <w:style w:type="paragraph" w:styleId="969">
    <w:name w:val="正文缩进"/>
    <w:basedOn w:val="943"/>
    <w:next w:val="943"/>
    <w:link w:val="970"/>
    <w:qFormat/>
    <w:pPr>
      <w:ind w:firstLine="420"/>
      <w:jc w:val="left"/>
    </w:pPr>
    <w:rPr>
      <w:sz w:val="24"/>
    </w:rPr>
  </w:style>
  <w:style w:type="character" w:styleId="970">
    <w:name w:val="正文缩进 字符"/>
    <w:next w:val="970"/>
    <w:link w:val="969"/>
    <w:qFormat/>
    <w:rPr>
      <w:rFonts w:eastAsia="楷体_GB2312"/>
      <w:sz w:val="24"/>
    </w:rPr>
  </w:style>
  <w:style w:type="paragraph" w:styleId="971">
    <w:name w:val="索引 5"/>
    <w:basedOn w:val="943"/>
    <w:next w:val="943"/>
    <w:link w:val="943"/>
    <w:pPr>
      <w:ind w:left="1680"/>
    </w:pPr>
  </w:style>
  <w:style w:type="paragraph" w:styleId="972">
    <w:name w:val="文档结构图"/>
    <w:basedOn w:val="943"/>
    <w:next w:val="972"/>
    <w:link w:val="973"/>
    <w:pPr>
      <w:shd w:val="clear" w:color="auto" w:fill="000080"/>
    </w:pPr>
    <w:rPr>
      <w:rFonts w:eastAsia="宋体"/>
      <w:sz w:val="24"/>
      <w:shd w:val="clear" w:color="auto" w:fill="000080"/>
    </w:rPr>
  </w:style>
  <w:style w:type="character" w:styleId="973">
    <w:name w:val="文档结构图 字符"/>
    <w:next w:val="973"/>
    <w:link w:val="972"/>
    <w:rPr>
      <w:rFonts w:ascii="Times New Roman" w:hAnsi="Times New Roman" w:eastAsia="宋体" w:cs="Times New Roman"/>
      <w:sz w:val="24"/>
      <w:szCs w:val="20"/>
      <w:shd w:val="clear" w:color="auto" w:fill="000080"/>
    </w:rPr>
  </w:style>
  <w:style w:type="paragraph" w:styleId="974">
    <w:name w:val="批注文字"/>
    <w:basedOn w:val="943"/>
    <w:next w:val="974"/>
    <w:link w:val="975"/>
    <w:pPr>
      <w:jc w:val="left"/>
    </w:pPr>
  </w:style>
  <w:style w:type="character" w:styleId="975">
    <w:name w:val="批注文字 字符1"/>
    <w:next w:val="975"/>
    <w:link w:val="974"/>
    <w:rPr>
      <w:rFonts w:ascii="Times New Roman" w:hAnsi="Times New Roman" w:eastAsia="楷体_GB2312" w:cs="Times New Roman"/>
      <w:sz w:val="26"/>
      <w:szCs w:val="20"/>
    </w:rPr>
  </w:style>
  <w:style w:type="paragraph" w:styleId="976">
    <w:name w:val="索引 6"/>
    <w:basedOn w:val="943"/>
    <w:next w:val="943"/>
    <w:link w:val="943"/>
    <w:pPr>
      <w:ind w:left="2100"/>
    </w:pPr>
  </w:style>
  <w:style w:type="paragraph" w:styleId="977">
    <w:name w:val="正文文本"/>
    <w:basedOn w:val="943"/>
    <w:next w:val="977"/>
    <w:link w:val="978"/>
    <w:pPr>
      <w:spacing w:line="400" w:lineRule="exact"/>
    </w:pPr>
    <w:rPr>
      <w:rFonts w:ascii="楷体_GB2312"/>
      <w:sz w:val="28"/>
    </w:rPr>
  </w:style>
  <w:style w:type="character" w:styleId="978">
    <w:name w:val="正文文本 字符"/>
    <w:next w:val="978"/>
    <w:link w:val="977"/>
    <w:rPr>
      <w:rFonts w:ascii="楷体_GB2312" w:hAnsi="Times New Roman" w:eastAsia="楷体_GB2312" w:cs="Times New Roman"/>
      <w:sz w:val="28"/>
      <w:szCs w:val="20"/>
    </w:rPr>
  </w:style>
  <w:style w:type="paragraph" w:styleId="979">
    <w:name w:val="列表 2"/>
    <w:basedOn w:val="944"/>
    <w:next w:val="966"/>
    <w:link w:val="943"/>
    <w:qFormat/>
    <w:pPr>
      <w:ind w:left="100" w:firstLine="3640"/>
      <w:spacing w:before="0" w:after="0" w:line="240" w:lineRule="auto"/>
    </w:pPr>
    <w:rPr>
      <w:rFonts w:ascii="Times New Roman" w:hAnsi="Times New Roman" w:cs="Times New Roman"/>
    </w:rPr>
  </w:style>
  <w:style w:type="paragraph" w:styleId="980">
    <w:name w:val="文本块"/>
    <w:basedOn w:val="943"/>
    <w:next w:val="980"/>
    <w:link w:val="943"/>
    <w:pPr>
      <w:ind w:left="630" w:right="-609" w:firstLine="420"/>
      <w:spacing w:line="360" w:lineRule="auto"/>
    </w:pPr>
    <w:rPr>
      <w:rFonts w:ascii="仿宋_GB2312" w:eastAsia="仿宋_GB2312"/>
      <w:sz w:val="21"/>
    </w:rPr>
  </w:style>
  <w:style w:type="paragraph" w:styleId="981">
    <w:name w:val="索引 4"/>
    <w:basedOn w:val="943"/>
    <w:next w:val="943"/>
    <w:link w:val="943"/>
    <w:pPr>
      <w:ind w:left="1260"/>
    </w:pPr>
  </w:style>
  <w:style w:type="paragraph" w:styleId="982">
    <w:name w:val="目录 5"/>
    <w:basedOn w:val="943"/>
    <w:next w:val="943"/>
    <w:link w:val="943"/>
    <w:pPr>
      <w:ind w:left="1680"/>
    </w:pPr>
  </w:style>
  <w:style w:type="paragraph" w:styleId="983">
    <w:name w:val="目录 3"/>
    <w:basedOn w:val="943"/>
    <w:next w:val="943"/>
    <w:link w:val="943"/>
    <w:pPr>
      <w:ind w:left="840"/>
    </w:pPr>
  </w:style>
  <w:style w:type="paragraph" w:styleId="984">
    <w:name w:val="纯文本"/>
    <w:basedOn w:val="943"/>
    <w:next w:val="984"/>
    <w:link w:val="985"/>
    <w:qFormat/>
    <w:rPr>
      <w:rFonts w:ascii="宋体" w:hAnsi="Courier New"/>
    </w:rPr>
  </w:style>
  <w:style w:type="character" w:styleId="985">
    <w:name w:val="纯文本 字符"/>
    <w:next w:val="985"/>
    <w:link w:val="984"/>
    <w:qFormat/>
    <w:rPr>
      <w:rFonts w:ascii="宋体" w:hAnsi="Courier New" w:eastAsia="楷体_GB2312"/>
      <w:sz w:val="26"/>
    </w:rPr>
  </w:style>
  <w:style w:type="paragraph" w:styleId="986">
    <w:name w:val="目录 8"/>
    <w:basedOn w:val="943"/>
    <w:next w:val="943"/>
    <w:link w:val="943"/>
    <w:pPr>
      <w:ind w:left="2940"/>
    </w:pPr>
  </w:style>
  <w:style w:type="paragraph" w:styleId="987">
    <w:name w:val="索引 3"/>
    <w:basedOn w:val="943"/>
    <w:next w:val="943"/>
    <w:link w:val="943"/>
    <w:pPr>
      <w:ind w:left="840"/>
    </w:pPr>
  </w:style>
  <w:style w:type="paragraph" w:styleId="988">
    <w:name w:val="日期"/>
    <w:basedOn w:val="943"/>
    <w:next w:val="943"/>
    <w:link w:val="989"/>
    <w:rPr>
      <w:rFonts w:ascii="宋体" w:hAnsi="宋体"/>
      <w:sz w:val="24"/>
    </w:rPr>
  </w:style>
  <w:style w:type="character" w:styleId="989">
    <w:name w:val="日期 字符"/>
    <w:next w:val="989"/>
    <w:link w:val="988"/>
    <w:rPr>
      <w:rFonts w:ascii="宋体" w:hAnsi="宋体" w:eastAsia="楷体_GB2312" w:cs="Times New Roman"/>
      <w:sz w:val="24"/>
      <w:szCs w:val="20"/>
    </w:rPr>
  </w:style>
  <w:style w:type="paragraph" w:styleId="990">
    <w:name w:val="正文文本缩进 2"/>
    <w:basedOn w:val="943"/>
    <w:next w:val="990"/>
    <w:link w:val="991"/>
    <w:pPr>
      <w:ind w:firstLine="502"/>
      <w:spacing w:line="360" w:lineRule="auto"/>
      <w:tabs>
        <w:tab w:val="left" w:pos="0" w:leader="none"/>
      </w:tabs>
    </w:pPr>
    <w:rPr>
      <w:rFonts w:ascii="宋体" w:eastAsia="宋体"/>
      <w:b/>
      <w:bCs/>
      <w:sz w:val="24"/>
    </w:rPr>
  </w:style>
  <w:style w:type="character" w:styleId="991">
    <w:name w:val="正文文本缩进 2 字符"/>
    <w:next w:val="991"/>
    <w:link w:val="990"/>
    <w:rPr>
      <w:rFonts w:ascii="宋体" w:hAnsi="Times New Roman" w:eastAsia="宋体" w:cs="Times New Roman"/>
      <w:b/>
      <w:bCs/>
      <w:sz w:val="24"/>
      <w:szCs w:val="20"/>
    </w:rPr>
  </w:style>
  <w:style w:type="paragraph" w:styleId="992">
    <w:name w:val="批注框文本"/>
    <w:basedOn w:val="943"/>
    <w:next w:val="992"/>
    <w:link w:val="993"/>
    <w:rPr>
      <w:sz w:val="18"/>
      <w:szCs w:val="18"/>
    </w:rPr>
  </w:style>
  <w:style w:type="character" w:styleId="993">
    <w:name w:val="批注框文本 字符"/>
    <w:next w:val="993"/>
    <w:link w:val="992"/>
    <w:rPr>
      <w:rFonts w:ascii="Times New Roman" w:hAnsi="Times New Roman" w:eastAsia="楷体_GB2312" w:cs="Times New Roman"/>
      <w:sz w:val="18"/>
      <w:szCs w:val="18"/>
    </w:rPr>
  </w:style>
  <w:style w:type="paragraph" w:styleId="994">
    <w:name w:val="页脚"/>
    <w:basedOn w:val="943"/>
    <w:next w:val="994"/>
    <w:link w:val="995"/>
    <w:uiPriority w:val="99"/>
    <w:pPr>
      <w:jc w:val="left"/>
      <w:tabs>
        <w:tab w:val="center" w:pos="4153" w:leader="none"/>
        <w:tab w:val="right" w:pos="8306" w:leader="none"/>
      </w:tabs>
    </w:pPr>
    <w:rPr>
      <w:rFonts w:ascii="Tahoma" w:hAnsi="Tahoma" w:eastAsia="宋体"/>
      <w:sz w:val="18"/>
      <w:szCs w:val="18"/>
    </w:rPr>
  </w:style>
  <w:style w:type="character" w:styleId="995">
    <w:name w:val="页脚 字符"/>
    <w:next w:val="995"/>
    <w:link w:val="994"/>
    <w:uiPriority w:val="99"/>
    <w:rPr>
      <w:rFonts w:ascii="Tahoma" w:hAnsi="Tahoma" w:eastAsia="宋体"/>
      <w:sz w:val="18"/>
      <w:szCs w:val="18"/>
    </w:rPr>
  </w:style>
  <w:style w:type="paragraph" w:styleId="996">
    <w:name w:val="寄信人地址"/>
    <w:basedOn w:val="943"/>
    <w:next w:val="996"/>
    <w:link w:val="943"/>
    <w:qFormat/>
    <w:rPr>
      <w:rFonts w:ascii="Arial" w:hAnsi="Arial"/>
    </w:rPr>
  </w:style>
  <w:style w:type="paragraph" w:styleId="997">
    <w:name w:val="页眉"/>
    <w:basedOn w:val="943"/>
    <w:next w:val="997"/>
    <w:link w:val="998"/>
    <w:qFormat/>
    <w:pPr>
      <w:jc w:val="center"/>
      <w:tabs>
        <w:tab w:val="center" w:pos="4153" w:leader="none"/>
        <w:tab w:val="right" w:pos="8306" w:leader="none"/>
      </w:tabs>
      <w:pBdr>
        <w:bottom w:val="single" w:color="000000" w:sz="6" w:space="1"/>
      </w:pBdr>
    </w:pPr>
    <w:rPr>
      <w:rFonts w:ascii="Tahoma" w:hAnsi="Tahoma" w:eastAsia="宋体"/>
      <w:sz w:val="18"/>
      <w:szCs w:val="18"/>
    </w:rPr>
  </w:style>
  <w:style w:type="character" w:styleId="998">
    <w:name w:val="页眉 字符"/>
    <w:next w:val="998"/>
    <w:link w:val="997"/>
    <w:qFormat/>
    <w:rPr>
      <w:rFonts w:ascii="Tahoma" w:hAnsi="Tahoma" w:eastAsia="宋体"/>
      <w:sz w:val="18"/>
      <w:szCs w:val="18"/>
    </w:rPr>
  </w:style>
  <w:style w:type="paragraph" w:styleId="999">
    <w:name w:val="目录 1"/>
    <w:basedOn w:val="943"/>
    <w:next w:val="943"/>
    <w:link w:val="943"/>
    <w:pPr>
      <w:ind w:firstLine="751"/>
      <w:jc w:val="left"/>
      <w:spacing w:line="360" w:lineRule="auto"/>
      <w:tabs>
        <w:tab w:val="right" w:pos="9538" w:leader="dot"/>
      </w:tabs>
    </w:pPr>
    <w:rPr>
      <w:sz w:val="24"/>
    </w:rPr>
  </w:style>
  <w:style w:type="paragraph" w:styleId="1000">
    <w:name w:val="目录 4"/>
    <w:basedOn w:val="943"/>
    <w:next w:val="943"/>
    <w:link w:val="943"/>
    <w:pPr>
      <w:ind w:left="1260"/>
    </w:pPr>
  </w:style>
  <w:style w:type="paragraph" w:styleId="1001">
    <w:name w:val="索引标题"/>
    <w:basedOn w:val="943"/>
    <w:next w:val="1002"/>
    <w:link w:val="943"/>
  </w:style>
  <w:style w:type="paragraph" w:styleId="1002">
    <w:name w:val="索引 1"/>
    <w:basedOn w:val="943"/>
    <w:next w:val="943"/>
    <w:link w:val="943"/>
  </w:style>
  <w:style w:type="paragraph" w:styleId="1003">
    <w:name w:val="脚注文本"/>
    <w:basedOn w:val="943"/>
    <w:next w:val="1003"/>
    <w:link w:val="1004"/>
    <w:pPr>
      <w:jc w:val="left"/>
    </w:pPr>
    <w:rPr>
      <w:sz w:val="18"/>
    </w:rPr>
  </w:style>
  <w:style w:type="character" w:styleId="1004">
    <w:name w:val="脚注文本 字符"/>
    <w:next w:val="1004"/>
    <w:link w:val="1003"/>
    <w:rPr>
      <w:rFonts w:ascii="Times New Roman" w:hAnsi="Times New Roman" w:eastAsia="楷体_GB2312" w:cs="Times New Roman"/>
      <w:sz w:val="18"/>
      <w:szCs w:val="20"/>
    </w:rPr>
  </w:style>
  <w:style w:type="paragraph" w:styleId="1005">
    <w:name w:val="目录 6"/>
    <w:basedOn w:val="943"/>
    <w:next w:val="943"/>
    <w:link w:val="943"/>
    <w:pPr>
      <w:ind w:left="2100"/>
    </w:pPr>
  </w:style>
  <w:style w:type="paragraph" w:styleId="1006">
    <w:name w:val="正文文本缩进 3"/>
    <w:basedOn w:val="943"/>
    <w:next w:val="1006"/>
    <w:link w:val="1007"/>
    <w:pPr>
      <w:ind w:firstLine="617"/>
      <w:spacing w:line="360" w:lineRule="auto"/>
    </w:pPr>
    <w:rPr>
      <w:rFonts w:eastAsia="宋体"/>
      <w:sz w:val="24"/>
      <w:szCs w:val="24"/>
    </w:rPr>
  </w:style>
  <w:style w:type="character" w:styleId="1007">
    <w:name w:val="正文文本缩进 3 字符"/>
    <w:next w:val="1007"/>
    <w:link w:val="1006"/>
    <w:rPr>
      <w:rFonts w:ascii="Times New Roman" w:hAnsi="Times New Roman" w:eastAsia="宋体" w:cs="Times New Roman"/>
      <w:sz w:val="24"/>
      <w:szCs w:val="24"/>
    </w:rPr>
  </w:style>
  <w:style w:type="paragraph" w:styleId="1008">
    <w:name w:val="索引 7"/>
    <w:basedOn w:val="943"/>
    <w:next w:val="943"/>
    <w:link w:val="943"/>
    <w:pPr>
      <w:ind w:left="2520"/>
    </w:pPr>
  </w:style>
  <w:style w:type="paragraph" w:styleId="1009">
    <w:name w:val="索引 9"/>
    <w:basedOn w:val="943"/>
    <w:next w:val="943"/>
    <w:link w:val="943"/>
    <w:pPr>
      <w:ind w:left="3360"/>
    </w:pPr>
  </w:style>
  <w:style w:type="paragraph" w:styleId="1010">
    <w:name w:val="图表目录"/>
    <w:basedOn w:val="943"/>
    <w:next w:val="943"/>
    <w:link w:val="943"/>
    <w:pPr>
      <w:ind w:left="420" w:hanging="420"/>
      <w:jc w:val="left"/>
    </w:pPr>
    <w:rPr>
      <w:smallCaps/>
      <w:sz w:val="24"/>
    </w:rPr>
  </w:style>
  <w:style w:type="paragraph" w:styleId="1011">
    <w:name w:val="目录 2"/>
    <w:basedOn w:val="943"/>
    <w:next w:val="943"/>
    <w:link w:val="943"/>
    <w:pPr>
      <w:ind w:left="420"/>
    </w:pPr>
  </w:style>
  <w:style w:type="paragraph" w:styleId="1012">
    <w:name w:val="目录 9"/>
    <w:basedOn w:val="943"/>
    <w:next w:val="943"/>
    <w:link w:val="943"/>
    <w:pPr>
      <w:ind w:left="3360"/>
    </w:pPr>
  </w:style>
  <w:style w:type="paragraph" w:styleId="1013">
    <w:name w:val="HTML 预设格式"/>
    <w:basedOn w:val="943"/>
    <w:next w:val="1013"/>
    <w:link w:val="101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14">
    <w:name w:val="HTML 预设格式 字符"/>
    <w:next w:val="1014"/>
    <w:link w:val="1013"/>
    <w:rPr>
      <w:rFonts w:ascii="黑体" w:hAnsi="Courier New" w:eastAsia="黑体" w:cs="楷体_GB2312"/>
      <w:sz w:val="20"/>
      <w:szCs w:val="20"/>
    </w:rPr>
  </w:style>
  <w:style w:type="paragraph" w:styleId="1015">
    <w:name w:val="普通(网站)"/>
    <w:basedOn w:val="943"/>
    <w:next w:val="979"/>
    <w:link w:val="943"/>
    <w:uiPriority w:val="99"/>
    <w:qFormat/>
    <w:pPr>
      <w:jc w:val="left"/>
      <w:spacing w:before="100" w:beforeAutospacing="1" w:after="100" w:afterAutospacing="1"/>
      <w:widowControl/>
    </w:pPr>
    <w:rPr>
      <w:rFonts w:hint="eastAsia" w:ascii="宋体" w:hAnsi="宋体" w:eastAsia="宋体"/>
      <w:sz w:val="24"/>
      <w:szCs w:val="24"/>
    </w:rPr>
  </w:style>
  <w:style w:type="paragraph" w:styleId="1016">
    <w:name w:val="索引 2"/>
    <w:basedOn w:val="943"/>
    <w:next w:val="943"/>
    <w:link w:val="943"/>
    <w:pPr>
      <w:ind w:left="420"/>
    </w:pPr>
  </w:style>
  <w:style w:type="paragraph" w:styleId="1017">
    <w:name w:val="批注主题"/>
    <w:basedOn w:val="974"/>
    <w:next w:val="974"/>
    <w:link w:val="1018"/>
    <w:rPr>
      <w:b/>
      <w:bCs/>
    </w:rPr>
  </w:style>
  <w:style w:type="character" w:styleId="1018">
    <w:name w:val="批注主题 字符"/>
    <w:next w:val="1018"/>
    <w:link w:val="1017"/>
    <w:rPr>
      <w:rFonts w:ascii="Times New Roman" w:hAnsi="Times New Roman" w:eastAsia="楷体_GB2312" w:cs="Times New Roman"/>
      <w:b/>
      <w:bCs/>
      <w:sz w:val="26"/>
      <w:szCs w:val="20"/>
    </w:rPr>
  </w:style>
  <w:style w:type="paragraph" w:styleId="1019">
    <w:name w:val="正文首行缩进"/>
    <w:basedOn w:val="977"/>
    <w:next w:val="1019"/>
    <w:link w:val="1020"/>
    <w:pPr>
      <w:ind w:firstLine="420"/>
      <w:spacing w:after="120" w:line="240" w:lineRule="auto"/>
    </w:pPr>
    <w:rPr>
      <w:rFonts w:ascii="Times New Roman"/>
      <w:sz w:val="26"/>
    </w:rPr>
  </w:style>
  <w:style w:type="character" w:styleId="1020">
    <w:name w:val="正文文本首行缩进 字符"/>
    <w:next w:val="1020"/>
    <w:link w:val="1019"/>
    <w:rPr>
      <w:rFonts w:ascii="Times New Roman" w:hAnsi="Times New Roman" w:eastAsia="楷体_GB2312" w:cs="Times New Roman"/>
      <w:sz w:val="26"/>
      <w:szCs w:val="20"/>
    </w:rPr>
  </w:style>
  <w:style w:type="paragraph" w:styleId="1021">
    <w:name w:val="正文首行缩进 2"/>
    <w:basedOn w:val="955"/>
    <w:next w:val="1021"/>
    <w:link w:val="943"/>
    <w:qFormat/>
    <w:pPr>
      <w:ind w:firstLine="420"/>
    </w:pPr>
  </w:style>
  <w:style w:type="table" w:styleId="1022">
    <w:name w:val="网格型"/>
    <w:basedOn w:val="954"/>
    <w:next w:val="1022"/>
    <w:link w:val="943"/>
    <w:uiPriority w:val="59"/>
    <w:unhideWhenUsed/>
    <w:qFormat/>
    <w:pPr>
      <w:jc w:val="both"/>
      <w:widowControl w:val="off"/>
    </w:pPr>
    <w:tblPr/>
  </w:style>
  <w:style w:type="character" w:styleId="1023">
    <w:name w:val="要点"/>
    <w:next w:val="1023"/>
    <w:link w:val="943"/>
    <w:qFormat/>
    <w:rPr>
      <w:rFonts w:ascii="Tahoma" w:hAnsi="Tahoma" w:eastAsia="宋体"/>
      <w:b/>
      <w:sz w:val="24"/>
    </w:rPr>
  </w:style>
  <w:style w:type="character" w:styleId="1024">
    <w:name w:val="页码"/>
    <w:next w:val="1024"/>
    <w:link w:val="943"/>
  </w:style>
  <w:style w:type="character" w:styleId="1025">
    <w:name w:val="强调"/>
    <w:next w:val="1025"/>
    <w:link w:val="943"/>
    <w:uiPriority w:val="20"/>
    <w:qFormat/>
    <w:rPr>
      <w:b/>
      <w:bCs/>
      <w:i w:val="0"/>
      <w:iCs w:val="0"/>
    </w:rPr>
  </w:style>
  <w:style w:type="character" w:styleId="1026">
    <w:name w:val="HTML 定义"/>
    <w:next w:val="1026"/>
    <w:link w:val="943"/>
    <w:uiPriority w:val="99"/>
    <w:unhideWhenUsed/>
    <w:rPr>
      <w:i w:val="0"/>
      <w:iCs w:val="0"/>
    </w:rPr>
  </w:style>
  <w:style w:type="character" w:styleId="1027">
    <w:name w:val="HTML 打字机"/>
    <w:next w:val="1027"/>
    <w:link w:val="943"/>
    <w:uiPriority w:val="99"/>
    <w:unhideWhenUsed/>
    <w:rPr>
      <w:rFonts w:ascii="monospace" w:hAnsi="monospace" w:eastAsia="monospace" w:cs="monospace"/>
      <w:sz w:val="20"/>
    </w:rPr>
  </w:style>
  <w:style w:type="character" w:styleId="1028">
    <w:name w:val="HTML 缩写"/>
    <w:next w:val="1028"/>
    <w:link w:val="943"/>
    <w:uiPriority w:val="99"/>
    <w:unhideWhenUsed/>
  </w:style>
  <w:style w:type="character" w:styleId="1029">
    <w:name w:val="HTML 变量"/>
    <w:next w:val="1029"/>
    <w:link w:val="943"/>
    <w:uiPriority w:val="99"/>
    <w:unhideWhenUsed/>
    <w:rPr>
      <w:i w:val="0"/>
      <w:iCs w:val="0"/>
    </w:rPr>
  </w:style>
  <w:style w:type="character" w:styleId="1030">
    <w:name w:val="超链接"/>
    <w:next w:val="1030"/>
    <w:link w:val="943"/>
    <w:rPr>
      <w:color w:val="0000ff"/>
      <w:u w:val="none"/>
    </w:rPr>
  </w:style>
  <w:style w:type="character" w:styleId="1031">
    <w:name w:val="HTML 代码"/>
    <w:next w:val="1031"/>
    <w:link w:val="943"/>
    <w:uiPriority w:val="99"/>
    <w:unhideWhenUsed/>
    <w:rPr>
      <w:rFonts w:ascii="monospace" w:hAnsi="monospace" w:eastAsia="monospace" w:cs="monospace"/>
      <w:i w:val="0"/>
      <w:iCs w:val="0"/>
      <w:sz w:val="20"/>
    </w:rPr>
  </w:style>
  <w:style w:type="character" w:styleId="1032">
    <w:name w:val="批注引用"/>
    <w:next w:val="1032"/>
    <w:link w:val="943"/>
    <w:rPr>
      <w:sz w:val="21"/>
      <w:szCs w:val="21"/>
    </w:rPr>
  </w:style>
  <w:style w:type="character" w:styleId="1033">
    <w:name w:val="HTML 引文"/>
    <w:next w:val="1033"/>
    <w:link w:val="943"/>
    <w:uiPriority w:val="99"/>
    <w:unhideWhenUsed/>
    <w:rPr>
      <w:i w:val="0"/>
      <w:iCs w:val="0"/>
    </w:rPr>
  </w:style>
  <w:style w:type="character" w:styleId="1034">
    <w:name w:val="脚注引用"/>
    <w:next w:val="1034"/>
    <w:link w:val="943"/>
    <w:rPr>
      <w:vertAlign w:val="superscript"/>
    </w:rPr>
  </w:style>
  <w:style w:type="character" w:styleId="1035">
    <w:name w:val="HTML 键盘"/>
    <w:next w:val="1035"/>
    <w:link w:val="943"/>
    <w:uiPriority w:val="99"/>
    <w:unhideWhenUsed/>
    <w:rPr>
      <w:rFonts w:ascii="monospace" w:hAnsi="monospace" w:eastAsia="monospace" w:cs="monospace"/>
      <w:sz w:val="20"/>
    </w:rPr>
  </w:style>
  <w:style w:type="character" w:styleId="1036">
    <w:name w:val="HTML 样本"/>
    <w:next w:val="1036"/>
    <w:link w:val="943"/>
    <w:uiPriority w:val="99"/>
    <w:unhideWhenUsed/>
    <w:rPr>
      <w:rFonts w:ascii="monospace" w:hAnsi="monospace" w:eastAsia="monospace" w:cs="monospace"/>
    </w:rPr>
  </w:style>
  <w:style w:type="paragraph" w:styleId="1037">
    <w:name w:val="正文首行缩进 211"/>
    <w:basedOn w:val="1038"/>
    <w:next w:val="1037"/>
    <w:link w:val="943"/>
    <w:qFormat/>
    <w:pPr>
      <w:ind w:left="420"/>
      <w:spacing w:after="120" w:line="240" w:lineRule="auto"/>
    </w:pPr>
    <w:rPr>
      <w:rFonts w:ascii="Times New Roman" w:hAnsi="Times New Roman"/>
      <w:sz w:val="21"/>
      <w:szCs w:val="20"/>
      <w:lang w:val="en-US" w:eastAsia="zh-CN"/>
    </w:rPr>
  </w:style>
  <w:style w:type="paragraph" w:styleId="1038">
    <w:name w:val="正文文本缩进11"/>
    <w:basedOn w:val="943"/>
    <w:next w:val="943"/>
    <w:link w:val="943"/>
    <w:qFormat/>
    <w:pPr>
      <w:ind w:firstLine="420"/>
      <w:spacing w:line="360" w:lineRule="exact"/>
    </w:pPr>
    <w:rPr>
      <w:sz w:val="24"/>
    </w:rPr>
  </w:style>
  <w:style w:type="paragraph" w:styleId="1039">
    <w:name w:val="段"/>
    <w:next w:val="943"/>
    <w:link w:val="943"/>
    <w:uiPriority w:val="99"/>
    <w:pPr>
      <w:ind w:firstLine="200"/>
      <w:jc w:val="both"/>
      <w:spacing w:line="360" w:lineRule="auto"/>
    </w:pPr>
    <w:rPr>
      <w:rFonts w:ascii="宋体" w:hAnsi="Calibri"/>
      <w:sz w:val="24"/>
      <w:szCs w:val="22"/>
      <w:lang w:val="en-US" w:eastAsia="zh-CN" w:bidi="ar-SA"/>
    </w:rPr>
  </w:style>
  <w:style w:type="character" w:styleId="1040">
    <w:name w:val="font121"/>
    <w:next w:val="1040"/>
    <w:link w:val="943"/>
    <w:rPr>
      <w:rFonts w:ascii="微软雅黑" w:hAnsi="微软雅黑" w:eastAsia="微软雅黑" w:cs="微软雅黑"/>
      <w:i w:val="0"/>
      <w:color w:val="000000"/>
      <w:sz w:val="21"/>
      <w:szCs w:val="21"/>
      <w:u w:val="none"/>
    </w:rPr>
  </w:style>
  <w:style w:type="character" w:styleId="1041">
    <w:name w:val="font91"/>
    <w:next w:val="1041"/>
    <w:link w:val="943"/>
    <w:rPr>
      <w:rFonts w:ascii="微软雅黑" w:hAnsi="微软雅黑" w:eastAsia="微软雅黑" w:cs="微软雅黑"/>
      <w:i w:val="0"/>
      <w:color w:val="ff0000"/>
      <w:sz w:val="21"/>
      <w:szCs w:val="21"/>
      <w:u w:val="none"/>
    </w:rPr>
  </w:style>
  <w:style w:type="character" w:styleId="1042">
    <w:name w:val="font191"/>
    <w:next w:val="1042"/>
    <w:link w:val="943"/>
    <w:rPr>
      <w:rFonts w:hint="eastAsia" w:ascii="宋体" w:hAnsi="宋体" w:eastAsia="宋体" w:cs="宋体"/>
      <w:i w:val="0"/>
      <w:color w:val="000000"/>
      <w:sz w:val="21"/>
      <w:szCs w:val="21"/>
      <w:u w:val="none"/>
    </w:rPr>
  </w:style>
  <w:style w:type="character" w:styleId="1043">
    <w:name w:val="纯文本 Char1"/>
    <w:next w:val="1043"/>
    <w:link w:val="943"/>
    <w:rPr>
      <w:rFonts w:ascii="宋体" w:hAnsi="Courier New" w:eastAsia="宋体" w:cs="Courier New"/>
      <w:sz w:val="24"/>
      <w:szCs w:val="21"/>
    </w:rPr>
  </w:style>
  <w:style w:type="character" w:styleId="1044">
    <w:name w:val="font161"/>
    <w:next w:val="1044"/>
    <w:link w:val="943"/>
    <w:rPr>
      <w:rFonts w:hint="eastAsia" w:ascii="宋体" w:hAnsi="宋体" w:eastAsia="宋体" w:cs="宋体"/>
      <w:i w:val="0"/>
      <w:color w:val="333333"/>
      <w:sz w:val="20"/>
      <w:szCs w:val="20"/>
      <w:u w:val="none"/>
    </w:rPr>
  </w:style>
  <w:style w:type="character" w:styleId="1045">
    <w:name w:val="font51"/>
    <w:next w:val="1045"/>
    <w:link w:val="943"/>
    <w:rPr>
      <w:rFonts w:ascii="Times New Roman" w:hAnsi="Times New Roman" w:eastAsia="宋体" w:cs="Times New Roman"/>
      <w:i w:val="0"/>
      <w:color w:val="000000"/>
      <w:sz w:val="21"/>
      <w:szCs w:val="21"/>
      <w:u w:val="none"/>
    </w:rPr>
  </w:style>
  <w:style w:type="character" w:styleId="1046">
    <w:name w:val="font101"/>
    <w:next w:val="1046"/>
    <w:link w:val="943"/>
    <w:rPr>
      <w:rFonts w:hint="eastAsia" w:ascii="宋体" w:hAnsi="宋体" w:eastAsia="宋体" w:cs="宋体"/>
      <w:i w:val="0"/>
      <w:color w:val="000000"/>
      <w:sz w:val="21"/>
      <w:szCs w:val="21"/>
      <w:u w:val="none"/>
    </w:rPr>
  </w:style>
  <w:style w:type="character" w:styleId="1047">
    <w:name w:val="font151"/>
    <w:next w:val="1047"/>
    <w:link w:val="943"/>
    <w:rPr>
      <w:rFonts w:ascii="Times New Roman" w:hAnsi="Times New Roman" w:eastAsia="宋体" w:cs="Times New Roman"/>
      <w:i w:val="0"/>
      <w:color w:val="dd0806"/>
      <w:sz w:val="21"/>
      <w:szCs w:val="21"/>
      <w:u w:val="none"/>
    </w:rPr>
  </w:style>
  <w:style w:type="character" w:styleId="1048">
    <w:name w:val="font31"/>
    <w:next w:val="1048"/>
    <w:link w:val="943"/>
    <w:rPr>
      <w:rFonts w:ascii="微软雅黑" w:hAnsi="微软雅黑" w:eastAsia="微软雅黑" w:cs="微软雅黑"/>
      <w:i w:val="0"/>
      <w:color w:val="000000"/>
      <w:sz w:val="21"/>
      <w:szCs w:val="21"/>
      <w:u w:val="none"/>
    </w:rPr>
  </w:style>
  <w:style w:type="character" w:styleId="1049">
    <w:name w:val="mini-outputtext1"/>
    <w:next w:val="1049"/>
    <w:link w:val="943"/>
  </w:style>
  <w:style w:type="character" w:styleId="1050">
    <w:name w:val="Plain Text Char1"/>
    <w:next w:val="1050"/>
    <w:link w:val="1051"/>
    <w:qFormat/>
    <w:rPr>
      <w:rFonts w:ascii="宋体" w:hAnsi="Courier New" w:eastAsia="楷体_GB2312"/>
      <w:sz w:val="26"/>
    </w:rPr>
  </w:style>
  <w:style w:type="paragraph" w:styleId="1051">
    <w:name w:val="纯文本1"/>
    <w:basedOn w:val="943"/>
    <w:next w:val="1051"/>
    <w:link w:val="1050"/>
    <w:qFormat/>
    <w:rPr>
      <w:rFonts w:ascii="宋体" w:hAnsi="Courier New"/>
    </w:rPr>
  </w:style>
  <w:style w:type="character" w:styleId="1052">
    <w:name w:val="font71"/>
    <w:next w:val="1052"/>
    <w:link w:val="943"/>
    <w:rPr>
      <w:rFonts w:ascii="Times New Roman" w:hAnsi="Times New Roman" w:eastAsia="宋体" w:cs="Times New Roman"/>
      <w:i w:val="0"/>
      <w:color w:val="000000"/>
      <w:sz w:val="21"/>
      <w:szCs w:val="21"/>
      <w:u w:val="none"/>
    </w:rPr>
  </w:style>
  <w:style w:type="character" w:styleId="1053">
    <w:name w:val="批注文字 字符"/>
    <w:next w:val="1053"/>
    <w:link w:val="943"/>
    <w:rPr>
      <w:rFonts w:ascii="Times New Roman" w:hAnsi="Times New Roman" w:eastAsia="楷体_GB2312" w:cs="Times New Roman"/>
      <w:sz w:val="26"/>
      <w:szCs w:val="20"/>
    </w:rPr>
  </w:style>
  <w:style w:type="character" w:styleId="1054">
    <w:name w:val="font81"/>
    <w:next w:val="1054"/>
    <w:link w:val="943"/>
    <w:rPr>
      <w:rFonts w:ascii="微软雅黑" w:hAnsi="微软雅黑" w:eastAsia="微软雅黑" w:cs="微软雅黑"/>
      <w:i w:val="0"/>
      <w:color w:val="000000"/>
      <w:sz w:val="21"/>
      <w:szCs w:val="21"/>
      <w:u w:val="none"/>
    </w:rPr>
  </w:style>
  <w:style w:type="character" w:styleId="1055">
    <w:name w:val="font181"/>
    <w:next w:val="1055"/>
    <w:link w:val="943"/>
    <w:rPr>
      <w:rFonts w:ascii="Times New Roman" w:hAnsi="Times New Roman" w:eastAsia="宋体" w:cs="Times New Roman"/>
      <w:i w:val="0"/>
      <w:color w:val="000000"/>
      <w:sz w:val="21"/>
      <w:szCs w:val="21"/>
      <w:u w:val="none"/>
      <w:vertAlign w:val="subscript"/>
    </w:rPr>
  </w:style>
  <w:style w:type="character" w:styleId="1056">
    <w:name w:val="apple-style-span"/>
    <w:next w:val="1056"/>
    <w:link w:val="943"/>
  </w:style>
  <w:style w:type="character" w:styleId="1057">
    <w:name w:val="font21"/>
    <w:next w:val="1057"/>
    <w:link w:val="943"/>
    <w:rPr>
      <w:rFonts w:hint="eastAsia" w:ascii="宋体" w:hAnsi="宋体" w:eastAsia="宋体" w:cs="宋体"/>
      <w:b/>
      <w:i w:val="0"/>
      <w:color w:val="000000"/>
      <w:sz w:val="22"/>
      <w:szCs w:val="22"/>
      <w:u w:val="none"/>
    </w:rPr>
  </w:style>
  <w:style w:type="character" w:styleId="1058">
    <w:name w:val="hover2"/>
    <w:next w:val="1058"/>
    <w:link w:val="943"/>
    <w:rPr>
      <w:color w:val="2590eb"/>
    </w:rPr>
  </w:style>
  <w:style w:type="character" w:styleId="1059">
    <w:name w:val="font171"/>
    <w:next w:val="1059"/>
    <w:link w:val="943"/>
    <w:rPr>
      <w:rFonts w:ascii="微软雅黑" w:hAnsi="微软雅黑" w:eastAsia="微软雅黑" w:cs="微软雅黑"/>
      <w:i w:val="0"/>
      <w:color w:val="000000"/>
      <w:sz w:val="21"/>
      <w:szCs w:val="21"/>
      <w:u w:val="none"/>
    </w:rPr>
  </w:style>
  <w:style w:type="character" w:styleId="1060">
    <w:name w:val="font01"/>
    <w:next w:val="1060"/>
    <w:link w:val="943"/>
    <w:rPr>
      <w:rFonts w:hint="eastAsia" w:ascii="宋体" w:hAnsi="宋体" w:eastAsia="宋体" w:cs="宋体"/>
      <w:i w:val="0"/>
      <w:color w:val="333333"/>
      <w:sz w:val="24"/>
      <w:szCs w:val="24"/>
      <w:u w:val="none"/>
    </w:rPr>
  </w:style>
  <w:style w:type="character" w:styleId="1061">
    <w:name w:val="font131"/>
    <w:next w:val="1061"/>
    <w:link w:val="943"/>
    <w:rPr>
      <w:rFonts w:ascii="Times New Roman" w:hAnsi="Times New Roman" w:eastAsia="宋体" w:cs="Times New Roman"/>
      <w:i w:val="0"/>
      <w:color w:val="333333"/>
      <w:sz w:val="20"/>
      <w:szCs w:val="20"/>
      <w:u w:val="none"/>
    </w:rPr>
  </w:style>
  <w:style w:type="character" w:styleId="1062">
    <w:name w:val="font11"/>
    <w:next w:val="1062"/>
    <w:link w:val="943"/>
    <w:rPr>
      <w:rFonts w:hint="eastAsia" w:ascii="宋体" w:hAnsi="宋体" w:eastAsia="宋体" w:cs="宋体"/>
      <w:i w:val="0"/>
      <w:color w:val="000000"/>
      <w:sz w:val="24"/>
      <w:szCs w:val="24"/>
      <w:u w:val="none"/>
    </w:rPr>
  </w:style>
  <w:style w:type="character" w:styleId="1063">
    <w:name w:val="hover1"/>
    <w:next w:val="1063"/>
    <w:link w:val="943"/>
    <w:rPr>
      <w:color w:val="2590eb"/>
    </w:rPr>
  </w:style>
  <w:style w:type="character" w:styleId="1064">
    <w:name w:val="无间隔 字符"/>
    <w:next w:val="1064"/>
    <w:link w:val="1065"/>
    <w:rPr>
      <w:sz w:val="22"/>
      <w:szCs w:val="22"/>
      <w:lang w:val="en-US" w:eastAsia="en-US" w:bidi="ar-SA"/>
    </w:rPr>
  </w:style>
  <w:style w:type="paragraph" w:styleId="1065">
    <w:name w:val="无间隔"/>
    <w:next w:val="1065"/>
    <w:link w:val="1064"/>
    <w:qFormat/>
    <w:rPr>
      <w:sz w:val="22"/>
      <w:szCs w:val="22"/>
      <w:lang w:val="en-US" w:eastAsia="en-US" w:bidi="ar-SA"/>
    </w:rPr>
  </w:style>
  <w:style w:type="character" w:styleId="1066">
    <w:name w:val="hover"/>
    <w:next w:val="1066"/>
    <w:link w:val="943"/>
  </w:style>
  <w:style w:type="character" w:styleId="1067">
    <w:name w:val="font61"/>
    <w:next w:val="1067"/>
    <w:link w:val="943"/>
    <w:rPr>
      <w:rFonts w:ascii="Batang" w:hAnsi="Batang" w:eastAsia="Batang" w:cs="Batang"/>
      <w:i w:val="0"/>
      <w:color w:val="000000"/>
      <w:sz w:val="21"/>
      <w:szCs w:val="21"/>
      <w:u w:val="none"/>
    </w:rPr>
  </w:style>
  <w:style w:type="character" w:styleId="1068">
    <w:name w:val="表正文,正文非缩进,特点,缩进,ALT+Z,标题4,四号,正文小标题,段1,正文不缩进,正文顶格悬挂,正文缩进 Char1,正文缩进 Char Char,首行缩进,正文编号,正文（首行缩进两字） Char,正文缩进 Char,正文文字3,正文对齐,identication,水上软件,正文文字 Char,Normal Indent Char,表正文 Char,正文非缩进 Char,特点 Char,标题4 Char Char Char,body text,鋘drad,???änd,图表标题"/>
    <w:next w:val="1068"/>
    <w:link w:val="943"/>
    <w:qFormat/>
    <w:rPr>
      <w:rFonts w:ascii="楷体_GB2312" w:hAnsi="Tahoma" w:eastAsia="宋体"/>
      <w:sz w:val="21"/>
      <w:lang w:val="en-US" w:eastAsia="zh-CN" w:bidi="ar-SA"/>
    </w:rPr>
  </w:style>
  <w:style w:type="character" w:styleId="1069">
    <w:name w:val="font141"/>
    <w:next w:val="1069"/>
    <w:link w:val="943"/>
    <w:rPr>
      <w:rFonts w:ascii="Times New Roman" w:hAnsi="Times New Roman" w:eastAsia="宋体" w:cs="Times New Roman"/>
      <w:i w:val="0"/>
      <w:color w:val="000000"/>
      <w:sz w:val="21"/>
      <w:szCs w:val="21"/>
      <w:u w:val="none"/>
      <w:vertAlign w:val="superscript"/>
    </w:rPr>
  </w:style>
  <w:style w:type="character" w:styleId="1070">
    <w:name w:val="font111"/>
    <w:next w:val="1070"/>
    <w:link w:val="943"/>
    <w:rPr>
      <w:rFonts w:ascii="Times New Roman" w:hAnsi="Times New Roman" w:eastAsia="宋体" w:cs="Times New Roman"/>
      <w:i w:val="0"/>
      <w:color w:val="000000"/>
      <w:sz w:val="21"/>
      <w:szCs w:val="21"/>
      <w:u w:val="none"/>
      <w:vertAlign w:val="subscript"/>
    </w:rPr>
  </w:style>
  <w:style w:type="character" w:styleId="1071">
    <w:name w:val="font41"/>
    <w:next w:val="1071"/>
    <w:link w:val="943"/>
    <w:qFormat/>
    <w:rPr>
      <w:rFonts w:hint="eastAsia" w:ascii="宋体" w:hAnsi="宋体" w:eastAsia="宋体" w:cs="宋体"/>
      <w:color w:val="000000"/>
      <w:sz w:val="18"/>
      <w:szCs w:val="18"/>
      <w:u w:val="none"/>
    </w:rPr>
  </w:style>
  <w:style w:type="paragraph" w:styleId="1072">
    <w:name w:val="xl54"/>
    <w:basedOn w:val="943"/>
    <w:next w:val="1072"/>
    <w:link w:val="9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3">
    <w:name w:val="Char Char Char1 Char Char Char Char"/>
    <w:basedOn w:val="943"/>
    <w:next w:val="1073"/>
    <w:link w:val="943"/>
    <w:pPr>
      <w:jc w:val="left"/>
      <w:spacing w:after="160" w:line="240" w:lineRule="exact"/>
      <w:widowControl/>
    </w:pPr>
    <w:rPr>
      <w:rFonts w:eastAsia="宋体"/>
      <w:sz w:val="24"/>
      <w:szCs w:val="24"/>
    </w:rPr>
  </w:style>
  <w:style w:type="paragraph" w:styleId="1074">
    <w:name w:val="纯文本4"/>
    <w:basedOn w:val="943"/>
    <w:next w:val="1074"/>
    <w:link w:val="943"/>
    <w:qFormat/>
    <w:rPr>
      <w:rFonts w:ascii="宋体" w:hAnsi="Courier New" w:eastAsia="楷体_GB2312"/>
      <w:sz w:val="26"/>
      <w:szCs w:val="20"/>
    </w:rPr>
  </w:style>
  <w:style w:type="paragraph" w:styleId="1075">
    <w:name w:val="Char Char1 Char Char Char Char Char Char Char Char Char Char Char Char Char Char Char Char"/>
    <w:basedOn w:val="943"/>
    <w:next w:val="1075"/>
    <w:link w:val="943"/>
    <w:pPr>
      <w:jc w:val="left"/>
      <w:spacing w:after="160" w:line="240" w:lineRule="exact"/>
      <w:widowControl/>
    </w:pPr>
    <w:rPr>
      <w:rFonts w:ascii="Verdana" w:hAnsi="Verdana" w:eastAsia="宋体"/>
      <w:sz w:val="20"/>
      <w:lang w:eastAsia="en-US"/>
    </w:rPr>
  </w:style>
  <w:style w:type="paragraph" w:styleId="1076">
    <w:name w:val="msolistparagraph"/>
    <w:basedOn w:val="943"/>
    <w:next w:val="1076"/>
    <w:link w:val="943"/>
    <w:qFormat/>
    <w:pPr>
      <w:ind w:firstLine="420"/>
    </w:pPr>
    <w:rPr>
      <w:szCs w:val="21"/>
    </w:rPr>
  </w:style>
  <w:style w:type="paragraph" w:styleId="1077">
    <w:name w:val="xl66"/>
    <w:basedOn w:val="943"/>
    <w:next w:val="1077"/>
    <w:link w:val="9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8">
    <w:name w:val="xl65"/>
    <w:basedOn w:val="943"/>
    <w:next w:val="1078"/>
    <w:link w:val="9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79">
    <w:name w:val="Plain Text"/>
    <w:basedOn w:val="943"/>
    <w:next w:val="1079"/>
    <w:link w:val="943"/>
    <w:rPr>
      <w:rFonts w:ascii="宋体" w:hAnsi="Courier New"/>
      <w:sz w:val="28"/>
    </w:rPr>
  </w:style>
  <w:style w:type="paragraph" w:styleId="1080">
    <w:name w:val="分标题"/>
    <w:basedOn w:val="943"/>
    <w:next w:val="969"/>
    <w:link w:val="943"/>
    <w:pPr>
      <w:ind w:left="567" w:hanging="567"/>
      <w:spacing w:before="120" w:after="120" w:line="360" w:lineRule="exact"/>
      <w:tabs>
        <w:tab w:val="left" w:pos="567" w:leader="none"/>
      </w:tabs>
      <w:outlineLvl w:val="3"/>
    </w:pPr>
    <w:rPr>
      <w:rFonts w:ascii="宋体" w:hAnsi="宋体" w:eastAsia="宋体"/>
      <w:b/>
      <w:sz w:val="24"/>
      <w:szCs w:val="24"/>
    </w:rPr>
  </w:style>
  <w:style w:type="paragraph" w:styleId="1081">
    <w:name w:val="xl47"/>
    <w:basedOn w:val="943"/>
    <w:next w:val="1081"/>
    <w:link w:val="9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82">
    <w:name w:val="纯文本2"/>
    <w:basedOn w:val="943"/>
    <w:next w:val="1082"/>
    <w:link w:val="943"/>
    <w:qFormat/>
    <w:rPr>
      <w:rFonts w:ascii="宋体" w:hAnsi="Courier New"/>
      <w:sz w:val="28"/>
    </w:rPr>
  </w:style>
  <w:style w:type="paragraph" w:styleId="1083">
    <w:name w:val="+正文"/>
    <w:basedOn w:val="943"/>
    <w:next w:val="1083"/>
    <w:link w:val="943"/>
    <w:pPr>
      <w:ind w:firstLine="200"/>
      <w:spacing w:line="360" w:lineRule="auto"/>
    </w:pPr>
    <w:rPr>
      <w:rFonts w:eastAsia="宋体"/>
      <w:sz w:val="24"/>
      <w:szCs w:val="28"/>
    </w:rPr>
  </w:style>
  <w:style w:type="paragraph" w:styleId="1084">
    <w:name w:val="000左齐平"/>
    <w:basedOn w:val="943"/>
    <w:next w:val="1084"/>
    <w:link w:val="943"/>
    <w:qFormat/>
    <w:pPr>
      <w:ind w:firstLine="0"/>
      <w:jc w:val="left"/>
    </w:pPr>
    <w:rPr>
      <w:color w:val="000000"/>
    </w:rPr>
  </w:style>
  <w:style w:type="paragraph" w:styleId="1085">
    <w:name w:val="列表段落"/>
    <w:basedOn w:val="943"/>
    <w:next w:val="1085"/>
    <w:link w:val="943"/>
    <w:qFormat/>
    <w:pPr>
      <w:ind w:firstLine="420"/>
    </w:pPr>
  </w:style>
  <w:style w:type="paragraph" w:styleId="1086">
    <w:name w:val="xl52"/>
    <w:basedOn w:val="943"/>
    <w:next w:val="1086"/>
    <w:link w:val="9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87">
    <w:name w:val="xl62"/>
    <w:basedOn w:val="943"/>
    <w:next w:val="1087"/>
    <w:link w:val="9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88">
    <w:name w:val="并列样式"/>
    <w:basedOn w:val="943"/>
    <w:next w:val="943"/>
    <w:link w:val="943"/>
    <w:pPr>
      <w:ind w:left="839" w:hanging="419"/>
      <w:spacing w:before="120" w:after="120" w:line="360" w:lineRule="exact"/>
      <w:tabs>
        <w:tab w:val="left" w:pos="839" w:leader="none"/>
      </w:tabs>
    </w:pPr>
    <w:rPr>
      <w:rFonts w:eastAsia="宋体"/>
      <w:sz w:val="24"/>
    </w:rPr>
  </w:style>
  <w:style w:type="paragraph" w:styleId="1089">
    <w:name w:val="xl61"/>
    <w:basedOn w:val="943"/>
    <w:next w:val="1089"/>
    <w:link w:val="9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90">
    <w:name w:val="正文 A"/>
    <w:next w:val="1090"/>
    <w:link w:val="943"/>
    <w:qFormat/>
    <w:pPr>
      <w:jc w:val="both"/>
      <w:widowControl w:val="off"/>
      <w:framePr w:wrap="around" w:vAnchor="margin" w:hAnchor="text" w:y="1"/>
    </w:pPr>
    <w:rPr>
      <w:rFonts w:hAnsi="Arial Unicode MS" w:eastAsia="Arial Unicode MS" w:cs="Arial Unicode MS"/>
      <w:color w:val="000000"/>
      <w:sz w:val="21"/>
      <w:szCs w:val="21"/>
      <w:lang w:val="en-US" w:eastAsia="zh-CN" w:bidi="ar-SA"/>
    </w:rPr>
  </w:style>
  <w:style w:type="paragraph" w:styleId="1091">
    <w:name w:val="Char Char1 Char Char Char Char Char Char Char"/>
    <w:basedOn w:val="943"/>
    <w:next w:val="1091"/>
    <w:link w:val="943"/>
  </w:style>
  <w:style w:type="paragraph" w:styleId="1092">
    <w:name w:val="小四 段落 宋体 Char Char Char Char Char Char"/>
    <w:next w:val="1092"/>
    <w:link w:val="943"/>
    <w:pPr>
      <w:ind w:firstLine="480"/>
    </w:pPr>
    <w:rPr>
      <w:rFonts w:ascii="宋体" w:hAnsi="宋体"/>
      <w:lang w:val="en-US" w:eastAsia="zh-CN" w:bidi="ar-SA"/>
    </w:rPr>
  </w:style>
  <w:style w:type="paragraph" w:styleId="1093">
    <w:name w:val="xl45"/>
    <w:basedOn w:val="943"/>
    <w:next w:val="1093"/>
    <w:link w:val="9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4">
    <w:name w:val="xl53"/>
    <w:basedOn w:val="943"/>
    <w:next w:val="1094"/>
    <w:link w:val="9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95">
    <w:name w:val="节标题"/>
    <w:basedOn w:val="943"/>
    <w:next w:val="969"/>
    <w:link w:val="943"/>
    <w:pPr>
      <w:ind w:left="420" w:hanging="420"/>
      <w:spacing w:before="120" w:after="120" w:line="360" w:lineRule="exact"/>
      <w:tabs>
        <w:tab w:val="left" w:pos="420" w:leader="none"/>
      </w:tabs>
      <w:outlineLvl w:val="1"/>
    </w:pPr>
    <w:rPr>
      <w:rFonts w:eastAsia="宋体"/>
      <w:b/>
      <w:bCs/>
      <w:sz w:val="28"/>
    </w:rPr>
  </w:style>
  <w:style w:type="paragraph" w:styleId="1096">
    <w:name w:val="Andy_正文"/>
    <w:basedOn w:val="943"/>
    <w:next w:val="1096"/>
    <w:link w:val="943"/>
    <w:qFormat/>
    <w:pPr>
      <w:ind w:firstLine="480"/>
      <w:spacing w:line="360" w:lineRule="auto"/>
    </w:pPr>
    <w:rPr>
      <w:rFonts w:ascii="Calibri" w:hAnsi="Calibri" w:eastAsia="宋体"/>
      <w:sz w:val="24"/>
      <w:szCs w:val="24"/>
    </w:rPr>
  </w:style>
  <w:style w:type="paragraph" w:styleId="1097">
    <w:name w:val="xl51"/>
    <w:basedOn w:val="943"/>
    <w:next w:val="1097"/>
    <w:link w:val="9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98">
    <w:name w:val="_Style 12"/>
    <w:basedOn w:val="972"/>
    <w:next w:val="1098"/>
    <w:link w:val="943"/>
    <w:pPr>
      <w:jc w:val="left"/>
      <w:spacing w:line="360" w:lineRule="auto"/>
      <w:widowControl/>
    </w:pPr>
    <w:rPr>
      <w:sz w:val="24"/>
    </w:rPr>
  </w:style>
  <w:style w:type="paragraph" w:styleId="1099">
    <w:name w:val="修订"/>
    <w:next w:val="1099"/>
    <w:link w:val="943"/>
    <w:uiPriority w:val="99"/>
    <w:unhideWhenUsed/>
    <w:rPr>
      <w:rFonts w:eastAsia="楷体_GB2312"/>
      <w:sz w:val="26"/>
      <w:lang w:val="en-US" w:eastAsia="zh-CN" w:bidi="ar-SA"/>
    </w:rPr>
  </w:style>
  <w:style w:type="paragraph" w:styleId="1100">
    <w:name w:val="Default"/>
    <w:next w:val="1100"/>
    <w:link w:val="943"/>
    <w:qFormat/>
    <w:pPr>
      <w:widowControl w:val="off"/>
    </w:pPr>
    <w:rPr>
      <w:rFonts w:ascii="宋体" w:hAnsi="Calibri" w:cs="宋体"/>
      <w:color w:val="000000"/>
      <w:sz w:val="24"/>
      <w:szCs w:val="24"/>
      <w:lang w:val="en-US" w:eastAsia="zh-CN" w:bidi="ar-SA"/>
    </w:rPr>
  </w:style>
  <w:style w:type="paragraph" w:styleId="1101">
    <w:name w:val="xl57"/>
    <w:basedOn w:val="943"/>
    <w:next w:val="1101"/>
    <w:link w:val="94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2">
    <w:name w:val="xl49"/>
    <w:basedOn w:val="943"/>
    <w:next w:val="1102"/>
    <w:link w:val="943"/>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03">
    <w:name w:val="Char Char Char"/>
    <w:basedOn w:val="943"/>
    <w:next w:val="1103"/>
    <w:link w:val="943"/>
    <w:rPr>
      <w:rFonts w:ascii="Tahoma" w:hAnsi="Tahoma" w:eastAsia="宋体"/>
      <w:sz w:val="24"/>
    </w:rPr>
  </w:style>
  <w:style w:type="paragraph" w:styleId="1104">
    <w:name w:val="xl59"/>
    <w:basedOn w:val="943"/>
    <w:next w:val="1104"/>
    <w:link w:val="9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05">
    <w:name w:val="xl63"/>
    <w:basedOn w:val="943"/>
    <w:next w:val="1105"/>
    <w:link w:val="9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06">
    <w:name w:val="Char Char Char Char Char Char Char"/>
    <w:basedOn w:val="943"/>
    <w:next w:val="1106"/>
    <w:link w:val="943"/>
    <w:pPr>
      <w:ind w:left="432" w:hanging="432"/>
      <w:tabs>
        <w:tab w:val="left" w:pos="432" w:leader="none"/>
      </w:tabs>
    </w:pPr>
    <w:rPr>
      <w:rFonts w:ascii="Tahoma" w:hAnsi="Tahoma" w:eastAsia="宋体"/>
      <w:sz w:val="24"/>
    </w:rPr>
  </w:style>
  <w:style w:type="paragraph" w:styleId="1107">
    <w:name w:val="font5"/>
    <w:basedOn w:val="943"/>
    <w:next w:val="1107"/>
    <w:link w:val="943"/>
    <w:pPr>
      <w:jc w:val="left"/>
      <w:spacing w:before="100" w:beforeAutospacing="1" w:after="100" w:afterAutospacing="1"/>
      <w:widowControl/>
    </w:pPr>
    <w:rPr>
      <w:rFonts w:hint="eastAsia" w:ascii="宋体" w:hAnsi="宋体" w:eastAsia="宋体"/>
      <w:sz w:val="18"/>
      <w:szCs w:val="18"/>
    </w:rPr>
  </w:style>
  <w:style w:type="paragraph" w:styleId="1108">
    <w:name w:val="Char"/>
    <w:basedOn w:val="943"/>
    <w:next w:val="1108"/>
    <w:link w:val="943"/>
    <w:rPr>
      <w:rFonts w:ascii="Tahoma" w:hAnsi="Tahoma" w:eastAsia="宋体"/>
      <w:sz w:val="24"/>
    </w:rPr>
  </w:style>
  <w:style w:type="paragraph" w:styleId="1109">
    <w:name w:val="Blockquote"/>
    <w:basedOn w:val="943"/>
    <w:next w:val="1109"/>
    <w:link w:val="943"/>
    <w:qFormat/>
    <w:pPr>
      <w:ind w:left="360" w:right="360"/>
      <w:jc w:val="left"/>
      <w:spacing w:before="100" w:after="100"/>
    </w:pPr>
    <w:rPr>
      <w:sz w:val="24"/>
    </w:rPr>
  </w:style>
  <w:style w:type="paragraph" w:styleId="1110">
    <w:name w:val="Char Char Char Char Char Char Char Char Char1 Char"/>
    <w:basedOn w:val="972"/>
    <w:next w:val="1110"/>
    <w:link w:val="943"/>
    <w:pPr>
      <w:spacing w:line="360" w:lineRule="auto"/>
    </w:pPr>
    <w:rPr>
      <w:rFonts w:ascii="Tahoma" w:hAnsi="Tahoma"/>
      <w:sz w:val="24"/>
      <w:szCs w:val="24"/>
    </w:rPr>
  </w:style>
  <w:style w:type="paragraph" w:styleId="1111">
    <w:name w:val="font6"/>
    <w:basedOn w:val="943"/>
    <w:next w:val="1111"/>
    <w:link w:val="943"/>
    <w:pPr>
      <w:jc w:val="left"/>
      <w:spacing w:before="100" w:beforeAutospacing="1" w:after="100" w:afterAutospacing="1"/>
      <w:widowControl/>
    </w:pPr>
    <w:rPr>
      <w:rFonts w:hint="eastAsia" w:ascii="宋体" w:hAnsi="宋体" w:eastAsia="宋体" w:cs="Arial Unicode MS"/>
      <w:b/>
      <w:bCs/>
      <w:sz w:val="18"/>
      <w:szCs w:val="18"/>
    </w:rPr>
  </w:style>
  <w:style w:type="paragraph" w:styleId="1112">
    <w:name w:val="xl46"/>
    <w:basedOn w:val="943"/>
    <w:next w:val="1112"/>
    <w:link w:val="9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3">
    <w:name w:val="xl58"/>
    <w:basedOn w:val="943"/>
    <w:next w:val="1113"/>
    <w:link w:val="9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4">
    <w:name w:val="_Style 1"/>
    <w:basedOn w:val="943"/>
    <w:next w:val="1114"/>
    <w:link w:val="943"/>
    <w:uiPriority w:val="34"/>
    <w:qFormat/>
    <w:pPr>
      <w:ind w:firstLine="420"/>
    </w:pPr>
    <w:rPr>
      <w:rFonts w:ascii="Calibri" w:hAnsi="Calibri"/>
      <w:szCs w:val="22"/>
    </w:rPr>
  </w:style>
  <w:style w:type="paragraph" w:styleId="1115">
    <w:name w:val="xl64"/>
    <w:basedOn w:val="943"/>
    <w:next w:val="1115"/>
    <w:link w:val="9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16">
    <w:name w:val="List Paragraph"/>
    <w:basedOn w:val="943"/>
    <w:next w:val="1116"/>
    <w:link w:val="943"/>
    <w:qFormat/>
    <w:pPr>
      <w:ind w:firstLine="420"/>
    </w:pPr>
  </w:style>
  <w:style w:type="paragraph" w:styleId="1117">
    <w:name w:val="xl55"/>
    <w:basedOn w:val="943"/>
    <w:next w:val="1117"/>
    <w:link w:val="94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8">
    <w:name w:val="xl56"/>
    <w:basedOn w:val="943"/>
    <w:next w:val="1118"/>
    <w:link w:val="9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19">
    <w:name w:val="xl60"/>
    <w:basedOn w:val="943"/>
    <w:next w:val="1119"/>
    <w:link w:val="9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20">
    <w:name w:val="分层标题"/>
    <w:basedOn w:val="943"/>
    <w:next w:val="969"/>
    <w:link w:val="943"/>
    <w:pPr>
      <w:ind w:left="709" w:hanging="709"/>
      <w:spacing w:before="120" w:after="120" w:line="360" w:lineRule="exact"/>
      <w:tabs>
        <w:tab w:val="left" w:pos="1080" w:leader="none"/>
      </w:tabs>
      <w:outlineLvl w:val="4"/>
    </w:pPr>
    <w:rPr>
      <w:rFonts w:eastAsia="宋体"/>
      <w:b/>
      <w:sz w:val="24"/>
      <w:szCs w:val="24"/>
    </w:rPr>
  </w:style>
  <w:style w:type="paragraph" w:styleId="1121">
    <w:name w:val="xl50"/>
    <w:basedOn w:val="943"/>
    <w:next w:val="1121"/>
    <w:link w:val="9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22">
    <w:name w:val="xl48"/>
    <w:basedOn w:val="943"/>
    <w:next w:val="1122"/>
    <w:link w:val="9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23">
    <w:name w:val="正文样式"/>
    <w:basedOn w:val="943"/>
    <w:next w:val="1123"/>
    <w:link w:val="943"/>
    <w:qFormat/>
    <w:pPr>
      <w:ind w:firstLine="584"/>
    </w:pPr>
    <w:rPr>
      <w:rFonts w:ascii="仿宋_GB2312" w:eastAsia="仿宋_GB2312"/>
      <w:spacing w:val="-4"/>
      <w:sz w:val="30"/>
      <w:szCs w:val="30"/>
    </w:rPr>
  </w:style>
  <w:style w:type="paragraph" w:styleId="1124">
    <w:name w:val="纯文本11"/>
    <w:basedOn w:val="943"/>
    <w:next w:val="1124"/>
    <w:link w:val="943"/>
    <w:uiPriority w:val="99"/>
    <w:qFormat/>
    <w:rPr>
      <w:rFonts w:ascii="宋体" w:hAnsi="Courier New" w:eastAsia="宋体"/>
      <w:sz w:val="21"/>
      <w:szCs w:val="22"/>
    </w:rPr>
  </w:style>
  <w:style w:type="paragraph" w:styleId="1125">
    <w:name w:val="首行缩进"/>
    <w:basedOn w:val="943"/>
    <w:next w:val="1125"/>
    <w:link w:val="943"/>
    <w:qFormat/>
    <w:pPr>
      <w:ind w:firstLine="480"/>
    </w:pPr>
    <w:rPr>
      <w:rFonts w:ascii="Times New Roman" w:hAnsi="Times New Roman"/>
      <w:szCs w:val="20"/>
      <w:lang w:val="zh-CN"/>
    </w:rPr>
  </w:style>
  <w:style w:type="paragraph" w:styleId="1126">
    <w:name w:val="默认段落字体 Para Char Char Char Char Char Char Char"/>
    <w:basedOn w:val="943"/>
    <w:next w:val="1126"/>
    <w:link w:val="943"/>
    <w:pPr>
      <w:spacing w:line="360" w:lineRule="auto"/>
    </w:pPr>
    <w:rPr>
      <w:rFonts w:ascii="Tahoma" w:hAnsi="Tahoma" w:eastAsia="宋体"/>
      <w:sz w:val="24"/>
    </w:rPr>
  </w:style>
  <w:style w:type="paragraph" w:styleId="1127">
    <w:name w:val="批注框文本1"/>
    <w:basedOn w:val="943"/>
    <w:next w:val="1127"/>
    <w:link w:val="943"/>
    <w:uiPriority w:val="1668"/>
    <w:semiHidden/>
    <w:qFormat/>
    <w:rPr>
      <w:sz w:val="18"/>
      <w:szCs w:val="18"/>
    </w:rPr>
  </w:style>
  <w:style w:type="paragraph" w:styleId="1128">
    <w:name w:val="p0"/>
    <w:basedOn w:val="943"/>
    <w:next w:val="1128"/>
    <w:link w:val="943"/>
    <w:qFormat/>
    <w:rPr>
      <w:rFonts w:hint="eastAsia"/>
    </w:rPr>
  </w:style>
  <w:style w:type="paragraph" w:styleId="1129">
    <w:name w:val="小四 段落 宋体 Char"/>
    <w:basedOn w:val="968"/>
    <w:next w:val="1129"/>
    <w:link w:val="943"/>
    <w:pPr>
      <w:ind w:left="0" w:right="-33" w:firstLine="480"/>
      <w:jc w:val="left"/>
      <w:spacing w:line="360" w:lineRule="auto"/>
      <w:tabs>
        <w:tab w:val="clear" w:pos="1125" w:leader="none"/>
      </w:tabs>
    </w:pPr>
    <w:rPr>
      <w:sz w:val="24"/>
    </w:rPr>
  </w:style>
  <w:style w:type="character" w:styleId="1130">
    <w:name w:val="NormalCharacter1"/>
    <w:next w:val="1130"/>
    <w:link w:val="1131"/>
    <w:semiHidden/>
    <w:qFormat/>
    <w:rPr>
      <w:sz w:val="20"/>
    </w:rPr>
  </w:style>
  <w:style w:type="paragraph" w:styleId="1131">
    <w:name w:val="UserStyle_4"/>
    <w:basedOn w:val="943"/>
    <w:next w:val="1131"/>
    <w:link w:val="1130"/>
    <w:qFormat/>
    <w:rPr>
      <w:rFonts w:eastAsia="宋体"/>
      <w:sz w:val="20"/>
    </w:rPr>
  </w:style>
  <w:style w:type="paragraph" w:styleId="1132">
    <w:name w:val="纯文本3"/>
    <w:basedOn w:val="943"/>
    <w:next w:val="1132"/>
    <w:link w:val="943"/>
    <w:qFormat/>
    <w:pPr>
      <w:jc w:val="both"/>
      <w:widowControl w:val="off"/>
    </w:pPr>
    <w:rPr>
      <w:rFonts w:ascii="宋体" w:hAnsi="Courier New"/>
      <w:sz w:val="21"/>
    </w:rPr>
  </w:style>
  <w:style w:type="paragraph" w:styleId="1133">
    <w:name w:val="列出段落2"/>
    <w:basedOn w:val="943"/>
    <w:next w:val="1133"/>
    <w:link w:val="943"/>
    <w:uiPriority w:val="34"/>
    <w:qFormat/>
    <w:pPr>
      <w:ind w:firstLine="420"/>
    </w:pPr>
    <w:rPr>
      <w:rFonts w:ascii="宋体" w:hAnsi="宋体"/>
      <w:sz w:val="24"/>
      <w:szCs w:val="24"/>
    </w:rPr>
  </w:style>
  <w:style w:type="paragraph" w:styleId="1134">
    <w:name w:val="表格正文"/>
    <w:next w:val="1134"/>
    <w:link w:val="943"/>
    <w:qFormat/>
    <w:pPr>
      <w:spacing w:before="20" w:after="20"/>
    </w:pPr>
    <w:rPr>
      <w:i/>
      <w:iCs/>
      <w:color w:val="0070c0"/>
      <w:sz w:val="24"/>
      <w:szCs w:val="22"/>
      <w:lang w:val="en-US" w:eastAsia="zh-CN" w:bidi="ar-SA"/>
    </w:rPr>
  </w:style>
  <w:style w:type="paragraph" w:styleId="1135">
    <w:name w:val="A 正文内容"/>
    <w:basedOn w:val="943"/>
    <w:next w:val="1135"/>
    <w:link w:val="943"/>
    <w:qFormat/>
    <w:pPr>
      <w:ind w:firstLine="480"/>
    </w:pPr>
    <w:rPr>
      <w:rFonts w:ascii="宋体" w:hAnsi="宋体"/>
    </w:rPr>
  </w:style>
  <w:style w:type="paragraph" w:styleId="1136">
    <w:name w:val="正文1"/>
    <w:next w:val="943"/>
    <w:link w:val="943"/>
    <w:qFormat/>
    <w:pPr>
      <w:jc w:val="both"/>
      <w:spacing w:line="360" w:lineRule="atLeast"/>
      <w:widowControl w:val="off"/>
    </w:pPr>
    <w:rPr>
      <w:lang w:val="en-US" w:eastAsia="zh-CN" w:bidi="ar-SA"/>
    </w:rPr>
  </w:style>
  <w:style w:type="paragraph" w:styleId="1137">
    <w:name w:val="Table Paragraph"/>
    <w:basedOn w:val="943"/>
    <w:next w:val="1137"/>
    <w:link w:val="943"/>
    <w:uiPriority w:val="1"/>
    <w:qFormat/>
    <w:rPr>
      <w:rFonts w:ascii="仿宋" w:hAnsi="仿宋" w:eastAsia="仿宋" w:cs="仿宋"/>
      <w:lang w:val="zh-CN" w:bidi="zh-CN"/>
    </w:rPr>
  </w:style>
  <w:style w:type="character" w:styleId="1138" w:default="1">
    <w:name w:val="Default Paragraph Font"/>
    <w:uiPriority w:val="1"/>
    <w:semiHidden/>
    <w:unhideWhenUsed/>
  </w:style>
  <w:style w:type="numbering" w:styleId="1139" w:default="1">
    <w:name w:val="No List"/>
    <w:uiPriority w:val="99"/>
    <w:semiHidden/>
    <w:unhideWhenUsed/>
  </w:style>
  <w:style w:type="table" w:styleId="11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c:creator>
  <cp:lastModifiedBy>沈鹰</cp:lastModifiedBy>
  <cp:revision>6</cp:revision>
  <dcterms:created xsi:type="dcterms:W3CDTF">2023-04-15T01:25:00Z</dcterms:created>
  <dcterms:modified xsi:type="dcterms:W3CDTF">2026-10-16T01:54:28Z</dcterms:modified>
</cp:coreProperties>
</file>