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全自动酶标仪及酶免分析加样系统维保服务</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2026年11月3日09点30分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JSZC-320500-SZWK-G2026-0330</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全自动酶标仪及酶免分析加样系统维保服务</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3、采购预算及最高限价：</w:t>
      </w:r>
      <w:r>
        <w:rPr>
          <w:rFonts w:hint="eastAsia" w:ascii="宋体" w:hAnsi="宋体" w:cs="宋体"/>
          <w:color w:val="auto"/>
          <w:sz w:val="24"/>
          <w:szCs w:val="24"/>
          <w:highlight w:val="none"/>
          <w:lang w:eastAsia="zh-CN"/>
        </w:rPr>
        <w:t xml:space="preserve">140万元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4、采购需求的简要说明：本次采购项目包括苏州市中心血站全自动酶标仪及酶免分析加样系统等设备的维保服务。</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bookmarkStart w:id="16" w:name="_GoBack"/>
      <w:r/>
      <w:bookmarkEnd w:id="16"/>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从合同签订之日起开始计算至2029年9月30日</w:t>
      </w:r>
      <w:r>
        <w:rPr>
          <w:rFonts w:hint="eastAsia" w:ascii="宋体" w:hAnsi="宋体" w:cs="宋体"/>
          <w:color w:val="auto"/>
          <w:sz w:val="24"/>
          <w:szCs w:val="24"/>
          <w:highlight w:val="none"/>
        </w:rPr>
        <w:t xml:space="preserve">。</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苏州市十梓街355号，苏州市中心血站指定地点。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rPr>
        <w:t xml:space="preserve">7、本项目专门面向中小企业采购的项目，所属行业为其他未列明行业</w:t>
      </w:r>
      <w:r>
        <w:rPr>
          <w:rFonts w:hint="eastAsia" w:ascii="宋体" w:hAnsi="宋体" w:cs="宋体"/>
          <w:b/>
          <w:bCs/>
          <w:color w:val="auto"/>
          <w:sz w:val="24"/>
          <w:szCs w:val="24"/>
          <w:highlight w:val="none"/>
          <w:u w:val="single"/>
          <w:lang w:eastAsia="zh-CN"/>
        </w:rPr>
        <w:t xml:space="preserve">。</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2.落实政府采购政策需满足的资格要求：</w:t>
      </w:r>
      <w:bookmarkStart w:id="1" w:name="_Hlk108623447"/>
      <w:r>
        <w:rPr>
          <w:rFonts w:hint="eastAsia" w:ascii="宋体" w:hAnsi="宋体" w:cs="宋体"/>
          <w:sz w:val="24"/>
          <w:szCs w:val="24"/>
          <w:highlight w:val="none"/>
        </w:rPr>
        <w:t xml:space="preserve">投标人必须提供《中小企业声明函》或残疾人福利性单位声明函或监狱企业证明</w:t>
      </w:r>
      <w:bookmarkEnd w:id="1"/>
      <w:r>
        <w:rPr>
          <w:rFonts w:hint="eastAsia" w:ascii="宋体" w:hAnsi="宋体" w:cs="宋体"/>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5"/>
        <w:ind w:firstLine="480"/>
        <w:spacing w:line="240" w:lineRule="auto"/>
        <w:rPr>
          <w:color w:val="auto"/>
          <w:highlight w:val="none"/>
        </w:rPr>
      </w:pPr>
      <w:r>
        <w:rPr>
          <w:rFonts w:hint="eastAsia"/>
          <w:color w:val="auto"/>
          <w:highlight w:val="none"/>
        </w:rPr>
        <w:t xml:space="preserve">4、售价：无</w:t>
      </w:r>
      <w:r/>
    </w:p>
    <w:p>
      <w:pPr>
        <w:pStyle w:val="745"/>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5"/>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w:t>
      </w:r>
      <w:r>
        <w:rPr>
          <w:rFonts w:hint="eastAsia"/>
          <w:color w:val="auto"/>
          <w:highlight w:val="none"/>
          <w:lang w:eastAsia="zh-CN"/>
        </w:rPr>
        <w:t xml:space="preserve">2026年11月3日09点30分</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2、开标时间：</w:t>
      </w:r>
      <w:r>
        <w:rPr>
          <w:rFonts w:hint="eastAsia"/>
          <w:color w:val="auto"/>
          <w:highlight w:val="none"/>
          <w:lang w:eastAsia="zh-CN"/>
        </w:rPr>
        <w:t xml:space="preserve">2026年11月3日09点30分</w:t>
      </w:r>
      <w:r/>
    </w:p>
    <w:p>
      <w:pPr>
        <w:pStyle w:val="745"/>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5"/>
        <w:ind w:firstLine="480"/>
        <w:spacing w:line="240" w:lineRule="auto"/>
        <w:rPr>
          <w:b/>
          <w:bCs/>
          <w:color w:val="auto"/>
          <w:highlight w:val="none"/>
        </w:rPr>
      </w:pPr>
      <w:r>
        <w:rPr>
          <w:rFonts w:hint="eastAsia"/>
          <w:b/>
          <w:bCs/>
          <w:color w:val="auto"/>
          <w:highlight w:val="none"/>
        </w:rPr>
        <w:t xml:space="preserve">五、公告期限</w:t>
      </w:r>
      <w:r/>
    </w:p>
    <w:p>
      <w:pPr>
        <w:pStyle w:val="745"/>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5"/>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5"/>
        <w:ind w:firstLine="480"/>
        <w:spacing w:line="240" w:lineRule="auto"/>
        <w:rPr>
          <w:color w:val="auto"/>
          <w:highlight w:val="none"/>
        </w:rPr>
      </w:pPr>
      <w:r>
        <w:rPr>
          <w:rFonts w:hint="eastAsia"/>
          <w:color w:val="auto"/>
          <w:highlight w:val="none"/>
        </w:rPr>
        <w:t xml:space="preserve">1、采购人信息</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苏州市中心血站</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苏州市十梓街355号</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方涛</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0512-65230270</w:t>
      </w:r>
      <w:r/>
    </w:p>
    <w:p>
      <w:pPr>
        <w:pStyle w:val="745"/>
        <w:ind w:firstLine="480"/>
        <w:spacing w:line="240" w:lineRule="auto"/>
        <w:rPr>
          <w:color w:val="auto"/>
          <w:highlight w:val="none"/>
        </w:rPr>
      </w:pPr>
      <w:r>
        <w:rPr>
          <w:rFonts w:hint="eastAsia"/>
          <w:color w:val="auto"/>
          <w:highlight w:val="none"/>
        </w:rPr>
        <w:t xml:space="preserve">2、采购代理机构信息</w:t>
      </w:r>
      <w:r/>
    </w:p>
    <w:p>
      <w:pPr>
        <w:pStyle w:val="745"/>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5"/>
        <w:ind w:firstLine="480"/>
        <w:spacing w:line="240" w:lineRule="auto"/>
        <w:rPr>
          <w:color w:val="auto"/>
          <w:highlight w:val="none"/>
        </w:rPr>
      </w:pPr>
      <w:r>
        <w:rPr>
          <w:rFonts w:hint="eastAsia"/>
          <w:color w:val="auto"/>
          <w:highlight w:val="none"/>
        </w:rPr>
        <w:t xml:space="preserve">地址：苏州市干将西路1296号1幢17层</w:t>
      </w:r>
      <w:r/>
    </w:p>
    <w:p>
      <w:pPr>
        <w:pStyle w:val="745"/>
        <w:ind w:firstLine="480"/>
        <w:spacing w:line="240" w:lineRule="auto"/>
        <w:rPr>
          <w:color w:val="auto"/>
          <w:highlight w:val="none"/>
        </w:rPr>
      </w:pPr>
      <w:r>
        <w:rPr>
          <w:rFonts w:hint="eastAsia"/>
          <w:color w:val="auto"/>
          <w:highlight w:val="none"/>
        </w:rPr>
        <w:t xml:space="preserve">前台联系方式：0512-69165625</w:t>
      </w:r>
      <w:r/>
    </w:p>
    <w:p>
      <w:pPr>
        <w:pStyle w:val="745"/>
        <w:ind w:firstLine="480"/>
        <w:spacing w:line="240" w:lineRule="auto"/>
        <w:rPr>
          <w:color w:val="auto"/>
          <w:highlight w:val="none"/>
        </w:rPr>
      </w:pPr>
      <w:r>
        <w:rPr>
          <w:rFonts w:hint="eastAsia"/>
          <w:color w:val="auto"/>
          <w:highlight w:val="none"/>
        </w:rPr>
        <w:t xml:space="preserve">3、项目联系方式</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陈璐佳、李晶晶</w:t>
      </w:r>
      <w:r/>
    </w:p>
    <w:p>
      <w:pPr>
        <w:pStyle w:val="745"/>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2"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JSZC-320500-SZWK-G2026-0330</w:t>
      </w:r>
      <w:r>
        <w:rPr>
          <w:rFonts w:hint="eastAsia" w:ascii="宋体" w:hAnsi="宋体"/>
          <w:color w:val="auto"/>
          <w:sz w:val="30"/>
          <w:szCs w:val="30"/>
          <w:highlight w:val="none"/>
        </w:rPr>
        <w:t xml:space="preserve">号</w:t>
      </w:r>
      <w:r/>
    </w:p>
    <w:p>
      <w:pPr>
        <w:ind w:firstLine="1800"/>
        <w:spacing w:line="480" w:lineRule="auto"/>
        <w:rPr>
          <w:rFonts w:hint="eastAsia"/>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全自动酶标仪及酶免分析</w:t>
      </w:r>
      <w:r/>
    </w:p>
    <w:p>
      <w:pPr>
        <w:ind w:firstLine="3468"/>
        <w:spacing w:line="480" w:lineRule="auto"/>
        <w:rPr>
          <w:rFonts w:hint="eastAsia" w:eastAsia="宋体"/>
          <w:color w:val="auto"/>
          <w:sz w:val="30"/>
          <w:szCs w:val="30"/>
          <w:highlight w:val="none"/>
          <w:lang w:eastAsia="zh-CN"/>
        </w:rPr>
      </w:pPr>
      <w:r>
        <w:rPr>
          <w:rFonts w:hint="eastAsia"/>
          <w:color w:val="auto"/>
          <w:sz w:val="30"/>
          <w:szCs w:val="30"/>
          <w:highlight w:val="none"/>
          <w:lang w:eastAsia="zh-CN"/>
        </w:rPr>
        <w:t xml:space="preserve">加样系统维保服务</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苏州市中心血站</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2"/>
      <w:r/>
      <w:r/>
    </w:p>
    <w:p>
      <w:pPr>
        <w:pStyle w:val="768"/>
        <w:jc w:val="center"/>
        <w:spacing w:line="360" w:lineRule="auto"/>
        <w:tabs>
          <w:tab w:val="right" w:pos="8302" w:leader="dot"/>
        </w:tabs>
        <w:rPr>
          <w:b/>
          <w:bCs/>
          <w:color w:val="auto"/>
          <w:spacing w:val="20"/>
          <w:sz w:val="30"/>
          <w:szCs w:val="20"/>
          <w:highlight w:val="none"/>
        </w:rPr>
      </w:pPr>
      <w:r/>
      <w:bookmarkStart w:id="3"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JSZC-320500-SZWK-G2026-0330</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全自动酶标仪及酶免分析加样系统维保服务</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苏州市中心血站</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联系人：方涛</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联系电话：0512-65230270</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p>
          <w:p>
            <w:pPr>
              <w:spacing w:line="400" w:lineRule="exact"/>
              <w:rPr>
                <w:rFonts w:ascii="宋体" w:hAnsi="宋体"/>
                <w:color w:val="auto"/>
                <w:szCs w:val="21"/>
                <w:highlight w:val="none"/>
              </w:rPr>
            </w:pP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2026年11月3日09点30分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2026年11月3日09点30分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w:t>
            </w:r>
            <w:r>
              <w:rPr>
                <w:rFonts w:hint="eastAsia" w:ascii="宋体" w:hAnsi="宋体"/>
                <w:color w:val="auto"/>
                <w:szCs w:val="21"/>
                <w:highlight w:val="none"/>
                <w:lang w:val="en-US" w:eastAsia="zh-CN"/>
              </w:rPr>
              <w:t xml:space="preserve">500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1000</w:t>
            </w:r>
            <w:r>
              <w:rPr>
                <w:rFonts w:hint="eastAsia" w:ascii="宋体" w:hAnsi="宋体"/>
                <w:color w:val="auto"/>
                <w:szCs w:val="21"/>
                <w:highlight w:val="none"/>
                <w:lang w:val="zh-CN"/>
              </w:rPr>
              <w:t xml:space="preserve">万元以</w:t>
            </w:r>
            <w:r>
              <w:rPr>
                <w:rFonts w:hint="eastAsia" w:ascii="宋体" w:hAnsi="宋体"/>
                <w:color w:val="auto"/>
                <w:szCs w:val="21"/>
                <w:highlight w:val="none"/>
                <w:lang w:val="en-US" w:eastAsia="zh-CN"/>
              </w:rPr>
              <w:t xml:space="preserve">0.8</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1000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5000</w:t>
            </w:r>
            <w:r>
              <w:rPr>
                <w:rFonts w:hint="eastAsia" w:ascii="宋体" w:hAnsi="宋体"/>
                <w:color w:val="auto"/>
                <w:szCs w:val="21"/>
                <w:highlight w:val="none"/>
                <w:lang w:val="zh-CN"/>
              </w:rPr>
              <w:t xml:space="preserve">万元以</w:t>
            </w:r>
            <w:r>
              <w:rPr>
                <w:rFonts w:hint="eastAsia" w:ascii="宋体" w:hAnsi="宋体"/>
                <w:color w:val="auto"/>
                <w:szCs w:val="21"/>
                <w:highlight w:val="none"/>
                <w:lang w:val="en-US" w:eastAsia="zh-CN"/>
              </w:rPr>
              <w:t xml:space="preserve">0.5</w:t>
            </w:r>
            <w:r>
              <w:rPr>
                <w:rFonts w:hint="eastAsia" w:ascii="宋体" w:hAnsi="宋体"/>
                <w:color w:val="auto"/>
                <w:szCs w:val="21"/>
                <w:highlight w:val="none"/>
                <w:lang w:val="zh-CN"/>
              </w:rPr>
              <w:t xml:space="preserve">%，差额定率累进法计算并支付中标服务费。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本项目的服务费金额为19400元，</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3"/>
      <w:r/>
      <w:bookmarkStart w:id="4"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1"/>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4"/>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5"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苏州市卫康招投标咨询服务有限公司受苏州市中心血站委托，对其全自动酶标仪及酶免分析加样系统维保服务进行国内公开招标采购，欢迎符合招标公告投标资格条件的各公司前来报名参加投标。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1、采购编号：JSZC-320500-SZWK-G2026-0330号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2、采购项目名称：全自动酶标仪及酶免分析加样系统维保服务</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3、采购内容及预算：</w:t>
      </w:r>
      <w:r>
        <w:rPr>
          <w:rFonts w:hint="eastAsia" w:ascii="宋体" w:hAnsi="宋体"/>
          <w:color w:val="auto"/>
          <w:szCs w:val="21"/>
          <w:highlight w:val="none"/>
          <w:lang w:eastAsia="zh-CN"/>
        </w:rPr>
        <w:t xml:space="preserve">140万元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2026年11月3日09点30分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2026年11月3日09点30分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苏州市中心血站</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方涛</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0512-65230270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联系人：</w:t>
      </w:r>
      <w:r>
        <w:rPr>
          <w:rFonts w:hint="eastAsia" w:ascii="宋体" w:hAnsi="宋体"/>
          <w:color w:val="auto"/>
          <w:szCs w:val="21"/>
          <w:highlight w:val="none"/>
          <w:lang w:eastAsia="zh-CN"/>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5"/>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6" w:name="_Hlk99527734"/>
      <w:r/>
      <w:bookmarkStart w:id="7"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2"/>
        <w:spacing w:line="400" w:lineRule="exact"/>
        <w:rPr>
          <w:rFonts w:hint="eastAsia" w:ascii="宋体" w:hAnsi="宋体"/>
          <w:b/>
          <w:bCs w:val="0"/>
          <w:szCs w:val="21"/>
          <w:highlight w:val="none"/>
        </w:rPr>
      </w:pPr>
      <w:r>
        <w:rPr>
          <w:rFonts w:hint="eastAsia" w:ascii="宋体" w:hAnsi="宋体"/>
          <w:b/>
          <w:bCs w:val="0"/>
          <w:szCs w:val="21"/>
          <w:highlight w:val="none"/>
        </w:rPr>
        <w:t xml:space="preserve">3</w:t>
      </w:r>
      <w:r>
        <w:rPr>
          <w:rFonts w:ascii="宋体" w:hAnsi="宋体"/>
          <w:b/>
          <w:bCs w:val="0"/>
          <w:szCs w:val="21"/>
          <w:highlight w:val="none"/>
        </w:rPr>
        <w:t xml:space="preserve">.</w:t>
      </w:r>
      <w:r>
        <w:rPr>
          <w:rFonts w:hint="eastAsia" w:ascii="宋体" w:hAnsi="宋体"/>
          <w:b/>
          <w:bCs w:val="0"/>
          <w:szCs w:val="21"/>
          <w:highlight w:val="none"/>
          <w:lang w:val="en-US" w:eastAsia="zh-CN"/>
        </w:rPr>
        <w:t xml:space="preserve">2</w:t>
      </w:r>
      <w:r>
        <w:rPr>
          <w:rFonts w:hint="eastAsia" w:ascii="宋体" w:hAnsi="宋体"/>
          <w:b/>
          <w:bCs w:val="0"/>
          <w:szCs w:val="21"/>
          <w:highlight w:val="none"/>
        </w:rPr>
        <w:t xml:space="preserve">投标人必须提供《中小企业声明函》或残疾人福利性单位声明函或监狱企业证明。</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numPr>
          <w:ilvl w:val="0"/>
          <w:numId w:val="0"/>
        </w:numPr>
        <w:ind w:firstLine="422"/>
        <w:spacing w:line="400" w:lineRule="exact"/>
        <w:rPr>
          <w:rFonts w:ascii="宋体" w:hAnsi="宋体"/>
          <w:b/>
          <w:bCs/>
          <w:color w:val="auto"/>
          <w:szCs w:val="21"/>
          <w:highlight w:val="none"/>
          <w:lang w:val="zh-CN"/>
        </w:rPr>
        <w:outlineLvl w:val="0"/>
      </w:pPr>
      <w:r>
        <w:rPr>
          <w:rFonts w:ascii="宋体" w:hAnsi="宋体" w:eastAsia="宋体" w:cs="Times New Roman"/>
          <w:b/>
          <w:bCs/>
          <w:color w:val="auto"/>
          <w:sz w:val="21"/>
          <w:szCs w:val="21"/>
          <w:highlight w:val="none"/>
          <w:lang w:val="zh-CN" w:eastAsia="zh-CN" w:bidi="ar-SA"/>
        </w:rPr>
        <w:t xml:space="preserve">8、</w:t>
      </w:r>
      <w:r>
        <w:rPr>
          <w:rFonts w:ascii="宋体" w:hAnsi="宋体"/>
          <w:b/>
          <w:bCs/>
          <w:color w:val="auto"/>
          <w:szCs w:val="21"/>
          <w:highlight w:val="none"/>
          <w:lang w:val="zh-CN"/>
        </w:rPr>
        <w:t xml:space="preserve">采购文件的询问与澄清</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numPr>
          <w:ilvl w:val="0"/>
          <w:numId w:val="0"/>
        </w:numPr>
        <w:ind w:firstLine="422"/>
        <w:spacing w:line="400" w:lineRule="exact"/>
        <w:rPr>
          <w:rFonts w:ascii="宋体" w:hAnsi="宋体"/>
          <w:b/>
          <w:bCs/>
          <w:color w:val="auto"/>
          <w:szCs w:val="21"/>
          <w:highlight w:val="none"/>
          <w:lang w:val="zh-CN"/>
        </w:rPr>
        <w:outlineLvl w:val="0"/>
      </w:pPr>
      <w:r>
        <w:rPr>
          <w:rFonts w:ascii="宋体" w:hAnsi="宋体" w:eastAsia="宋体" w:cs="Times New Roman"/>
          <w:b/>
          <w:bCs/>
          <w:color w:val="auto"/>
          <w:sz w:val="21"/>
          <w:szCs w:val="21"/>
          <w:highlight w:val="none"/>
          <w:lang w:val="zh-CN" w:eastAsia="zh-CN" w:bidi="ar-SA"/>
        </w:rPr>
        <w:t xml:space="preserve">9、</w:t>
      </w:r>
      <w:r>
        <w:rPr>
          <w:rFonts w:ascii="宋体" w:hAnsi="宋体"/>
          <w:b/>
          <w:bCs/>
          <w:color w:val="auto"/>
          <w:szCs w:val="21"/>
          <w:highlight w:val="none"/>
          <w:lang w:val="zh-CN"/>
        </w:rPr>
        <w:t xml:space="preserve">采购文件的修改</w:t>
      </w:r>
      <w:r/>
    </w:p>
    <w:p>
      <w:pPr>
        <w:numPr>
          <w:ilvl w:val="0"/>
          <w:numId w:val="0"/>
        </w:numPr>
        <w:ind w:firstLine="422"/>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numPr>
          <w:ilvl w:val="0"/>
          <w:numId w:val="0"/>
        </w:numPr>
        <w:ind w:firstLine="422"/>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numPr>
          <w:ilvl w:val="0"/>
          <w:numId w:val="0"/>
        </w:numPr>
        <w:ind w:firstLine="422"/>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numPr>
          <w:ilvl w:val="0"/>
          <w:numId w:val="0"/>
        </w:numPr>
        <w:ind w:firstLine="422"/>
        <w:spacing w:line="400" w:lineRule="exact"/>
        <w:rPr>
          <w:rFonts w:ascii="宋体" w:hAnsi="宋体"/>
          <w:b/>
          <w:color w:val="auto"/>
          <w:szCs w:val="21"/>
          <w:highlight w:val="none"/>
          <w:lang w:val="zh-CN"/>
        </w:rPr>
        <w:outlineLvl w:val="0"/>
      </w:pPr>
      <w:r>
        <w:rPr>
          <w:rFonts w:ascii="宋体" w:hAnsi="宋体" w:eastAsia="宋体" w:cs="Times New Roman"/>
          <w:b/>
          <w:color w:val="auto"/>
          <w:sz w:val="21"/>
          <w:szCs w:val="21"/>
          <w:highlight w:val="none"/>
          <w:lang w:val="zh-CN" w:eastAsia="zh-CN" w:bidi="ar-SA"/>
        </w:rPr>
        <w:t xml:space="preserve">10、</w:t>
      </w:r>
      <w:r>
        <w:rPr>
          <w:rFonts w:ascii="宋体" w:hAnsi="宋体"/>
          <w:b/>
          <w:color w:val="auto"/>
          <w:szCs w:val="21"/>
          <w:highlight w:val="none"/>
          <w:lang w:val="zh-CN"/>
        </w:rPr>
        <w:t xml:space="preserve">质疑</w:t>
      </w:r>
      <w:r/>
    </w:p>
    <w:p>
      <w:pPr>
        <w:numPr>
          <w:ilvl w:val="0"/>
          <w:numId w:val="0"/>
        </w:numPr>
        <w:ind w:firstLine="422"/>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numPr>
          <w:ilvl w:val="0"/>
          <w:numId w:val="0"/>
        </w:numPr>
        <w:ind w:firstLine="422"/>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numPr>
          <w:ilvl w:val="0"/>
          <w:numId w:val="0"/>
        </w:numPr>
        <w:ind w:firstLine="422"/>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numPr>
          <w:ilvl w:val="0"/>
          <w:numId w:val="0"/>
        </w:numPr>
        <w:ind w:firstLine="422"/>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10.4供应商如对本项目提出质疑须在法定质疑期内一次性提出针对同一采购程序环节的质疑。</w:t>
      </w:r>
      <w:r/>
    </w:p>
    <w:p>
      <w:pPr>
        <w:numPr>
          <w:ilvl w:val="0"/>
          <w:numId w:val="0"/>
        </w:numPr>
        <w:ind w:firstLine="422"/>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10.5接受质疑函的方式：当场送达或邮寄方式。</w:t>
      </w:r>
      <w:r/>
    </w:p>
    <w:p>
      <w:pPr>
        <w:numPr>
          <w:ilvl w:val="0"/>
          <w:numId w:val="0"/>
        </w:numPr>
        <w:ind w:firstLine="422"/>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10.6联系单位：苏州市卫康招投标咨询服务有限公司</w:t>
      </w:r>
      <w:r/>
    </w:p>
    <w:p>
      <w:pPr>
        <w:numPr>
          <w:ilvl w:val="0"/>
          <w:numId w:val="0"/>
        </w:numPr>
        <w:ind w:firstLine="422"/>
        <w:spacing w:line="400" w:lineRule="exact"/>
        <w:rPr>
          <w:rFonts w:hint="eastAsia" w:ascii="宋体" w:hAnsi="宋体"/>
          <w:color w:val="auto"/>
          <w:szCs w:val="21"/>
          <w:highlight w:val="none"/>
        </w:rPr>
        <w:outlineLvl w:val="0"/>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w:t>
      </w:r>
      <w:r>
        <w:rPr>
          <w:rFonts w:hint="eastAsia" w:ascii="宋体" w:hAnsi="宋体"/>
          <w:color w:val="auto"/>
          <w:szCs w:val="21"/>
          <w:highlight w:val="none"/>
          <w:lang w:val="en-US" w:eastAsia="zh-CN"/>
        </w:rPr>
        <w:t xml:space="preserve">欣怡</w:t>
      </w:r>
      <w:r>
        <w:rPr>
          <w:rFonts w:hint="eastAsia" w:ascii="宋体" w:hAnsi="宋体"/>
          <w:color w:val="auto"/>
          <w:szCs w:val="21"/>
          <w:highlight w:val="none"/>
        </w:rPr>
        <w:t xml:space="preserve">（前台）</w:t>
      </w:r>
      <w:r/>
    </w:p>
    <w:p>
      <w:pPr>
        <w:numPr>
          <w:ilvl w:val="0"/>
          <w:numId w:val="0"/>
        </w:numPr>
        <w:ind w:firstLine="422"/>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10.8联系电话：0512-69165625</w:t>
      </w:r>
      <w:r/>
    </w:p>
    <w:p>
      <w:pPr>
        <w:numPr>
          <w:ilvl w:val="0"/>
          <w:numId w:val="0"/>
        </w:numPr>
        <w:ind w:firstLine="422"/>
        <w:spacing w:line="400" w:lineRule="exact"/>
        <w:rPr>
          <w:rFonts w:ascii="宋体" w:hAnsi="宋体"/>
          <w:b/>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8"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8"/>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6"/>
      <w:r/>
      <w:bookmarkEnd w:id="7"/>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9" w:name="_Hlk131152848"/>
      <w:r/>
      <w:bookmarkStart w:id="10"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1127"/>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开户银行名称：</w:t>
      </w:r>
      <w:r>
        <w:rPr>
          <w:rFonts w:hint="eastAsia" w:hAnsi="宋体" w:eastAsia="宋体"/>
          <w:sz w:val="24"/>
          <w:highlight w:val="none"/>
          <w:u w:val="single"/>
        </w:rPr>
        <w:t xml:space="preserve">                    </w:t>
      </w:r>
      <w:r/>
    </w:p>
    <w:p>
      <w:pPr>
        <w:pStyle w:val="1127"/>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1127"/>
        <w:ind w:firstLine="425"/>
        <w:spacing w:line="360" w:lineRule="exact"/>
        <w:rPr>
          <w:rFonts w:hint="eastAsia" w:hAnsi="宋体" w:eastAsia="宋体"/>
          <w:bCs/>
          <w:sz w:val="21"/>
          <w:szCs w:val="21"/>
          <w:highlight w:val="none"/>
        </w:rPr>
      </w:pPr>
      <w:r>
        <w:rPr>
          <w:rFonts w:hint="eastAsia" w:hAnsi="宋体" w:eastAsia="宋体"/>
          <w:bCs/>
          <w:sz w:val="21"/>
          <w:szCs w:val="21"/>
          <w:highlight w:val="none"/>
        </w:rPr>
      </w:r>
      <w:r/>
    </w:p>
    <w:p>
      <w:pPr>
        <w:pStyle w:val="1127"/>
        <w:ind w:firstLine="425"/>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JSZC-320500-SZWK-G2026-0330</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6"/>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012"/>
        <w:gridCol w:w="2510"/>
        <w:gridCol w:w="2201"/>
      </w:tblGrid>
      <w:tr>
        <w:trPr>
          <w:cantSplit/>
          <w:jc w:val="center"/>
          <w:trHeight w:val="523"/>
        </w:trPr>
        <w:tc>
          <w:tcPr>
            <w:tcBorders>
              <w:top w:val="single" w:color="auto" w:sz="12" w:space="0"/>
              <w:left w:val="single" w:color="auto" w:sz="12" w:space="0"/>
              <w:bottom w:val="single" w:color="auto" w:sz="6" w:space="0"/>
              <w:right w:val="single" w:color="auto" w:sz="6" w:space="0"/>
            </w:tcBorders>
            <w:tcW w:w="781" w:type="dxa"/>
            <w:vAlign w:val="center"/>
            <w:textDirection w:val="lrTb"/>
            <w:noWrap w:val="false"/>
          </w:tcPr>
          <w:p>
            <w:pPr>
              <w:jc w:val="center"/>
              <w:spacing w:line="360" w:lineRule="auto"/>
              <w:rPr>
                <w:szCs w:val="21"/>
                <w:highlight w:val="none"/>
              </w:rPr>
            </w:pPr>
            <w:r>
              <w:rPr>
                <w:rFonts w:hint="eastAsia"/>
                <w:szCs w:val="21"/>
                <w:highlight w:val="none"/>
              </w:rPr>
              <w:t xml:space="preserve">序号</w:t>
            </w:r>
            <w:r/>
          </w:p>
        </w:tc>
        <w:tc>
          <w:tcPr>
            <w:tcBorders>
              <w:top w:val="single" w:color="auto" w:sz="12" w:space="0"/>
              <w:left w:val="single" w:color="auto" w:sz="6" w:space="0"/>
              <w:bottom w:val="single" w:color="auto" w:sz="6" w:space="0"/>
              <w:right w:val="single" w:color="auto" w:sz="6" w:space="0"/>
            </w:tcBorders>
            <w:tcW w:w="3012" w:type="dxa"/>
            <w:vAlign w:val="center"/>
            <w:textDirection w:val="lrTb"/>
            <w:noWrap w:val="false"/>
          </w:tcPr>
          <w:p>
            <w:pPr>
              <w:jc w:val="center"/>
              <w:spacing w:line="360" w:lineRule="auto"/>
              <w:rPr>
                <w:szCs w:val="21"/>
                <w:highlight w:val="none"/>
              </w:rPr>
            </w:pPr>
            <w:r>
              <w:rPr>
                <w:rFonts w:hint="eastAsia"/>
                <w:szCs w:val="21"/>
                <w:highlight w:val="none"/>
              </w:rPr>
              <w:t xml:space="preserve">项　　　目</w:t>
            </w:r>
            <w:r/>
          </w:p>
        </w:tc>
        <w:tc>
          <w:tcPr>
            <w:tcBorders>
              <w:top w:val="single" w:color="auto" w:sz="12"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szCs w:val="21"/>
                <w:highlight w:val="none"/>
              </w:rPr>
            </w:pPr>
            <w:r>
              <w:rPr>
                <w:rFonts w:hint="eastAsia"/>
                <w:szCs w:val="21"/>
                <w:highlight w:val="none"/>
              </w:rPr>
              <w:t xml:space="preserve">金     额</w:t>
            </w:r>
            <w:r/>
          </w:p>
        </w:tc>
        <w:tc>
          <w:tcPr>
            <w:tcBorders>
              <w:top w:val="single" w:color="auto" w:sz="12" w:space="0"/>
              <w:left w:val="single" w:color="auto" w:sz="6" w:space="0"/>
              <w:bottom w:val="single" w:color="auto" w:sz="6" w:space="0"/>
              <w:right w:val="single" w:color="auto" w:sz="12" w:space="0"/>
            </w:tcBorders>
            <w:tcW w:w="2201" w:type="dxa"/>
            <w:vAlign w:val="center"/>
            <w:textDirection w:val="lrTb"/>
            <w:noWrap w:val="false"/>
          </w:tcPr>
          <w:p>
            <w:pPr>
              <w:jc w:val="center"/>
              <w:spacing w:line="360" w:lineRule="auto"/>
              <w:rPr>
                <w:szCs w:val="21"/>
                <w:highlight w:val="none"/>
              </w:rPr>
            </w:pPr>
            <w:r>
              <w:rPr>
                <w:rFonts w:hint="eastAsia"/>
                <w:szCs w:val="21"/>
                <w:highlight w:val="none"/>
              </w:rPr>
              <w:t xml:space="preserve">备注</w:t>
            </w:r>
            <w:r/>
          </w:p>
        </w:tc>
      </w:tr>
      <w:tr>
        <w:trPr>
          <w:cantSplit/>
          <w:jc w:val="center"/>
          <w:trHeight w:val="523"/>
        </w:trPr>
        <w:tc>
          <w:tcPr>
            <w:tcBorders>
              <w:top w:val="single" w:color="auto" w:sz="6" w:space="0"/>
              <w:left w:val="single" w:color="auto" w:sz="12" w:space="0"/>
              <w:bottom w:val="single" w:color="auto" w:sz="6" w:space="0"/>
              <w:right w:val="single" w:color="auto" w:sz="6" w:space="0"/>
            </w:tcBorders>
            <w:tcW w:w="781" w:type="dxa"/>
            <w:vAlign w:val="center"/>
            <w:textDirection w:val="lrTb"/>
            <w:noWrap w:val="false"/>
          </w:tcPr>
          <w:p>
            <w:pPr>
              <w:jc w:val="center"/>
              <w:spacing w:line="360" w:lineRule="auto"/>
              <w:rPr>
                <w:szCs w:val="21"/>
                <w:highlight w:val="none"/>
              </w:rPr>
            </w:pPr>
            <w:r>
              <w:rPr>
                <w:rFonts w:hint="eastAsia"/>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3012" w:type="dxa"/>
            <w:vAlign w:val="center"/>
            <w:textDirection w:val="lrTb"/>
            <w:noWrap w:val="false"/>
          </w:tcPr>
          <w:p>
            <w:pPr>
              <w:jc w:val="center"/>
              <w:spacing w:before="100" w:beforeAutospacing="1" w:after="100" w:afterAutospacing="1" w:line="360" w:lineRule="auto"/>
              <w:rPr>
                <w:szCs w:val="21"/>
                <w:highlight w:val="none"/>
              </w:rPr>
            </w:pPr>
            <w:r>
              <w:rPr>
                <w:rFonts w:hint="eastAsia"/>
                <w:szCs w:val="21"/>
                <w:highlight w:val="none"/>
              </w:rPr>
              <w:t xml:space="preserve">人工费用</w:t>
            </w:r>
            <w:r/>
          </w:p>
        </w:tc>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12" w:space="0"/>
            </w:tcBorders>
            <w:tcW w:w="2201" w:type="dxa"/>
            <w:vAlign w:val="center"/>
            <w:textDirection w:val="lrTb"/>
            <w:noWrap w:val="false"/>
          </w:tcPr>
          <w:p>
            <w:pPr>
              <w:jc w:val="center"/>
              <w:spacing w:line="360" w:lineRule="auto"/>
              <w:rPr>
                <w:szCs w:val="21"/>
                <w:highlight w:val="none"/>
              </w:rPr>
            </w:pPr>
            <w:r>
              <w:rPr>
                <w:szCs w:val="21"/>
                <w:highlight w:val="none"/>
              </w:rPr>
            </w:r>
            <w:r/>
          </w:p>
        </w:tc>
      </w:tr>
      <w:tr>
        <w:trPr>
          <w:cantSplit/>
          <w:jc w:val="center"/>
          <w:trHeight w:val="523"/>
        </w:trPr>
        <w:tc>
          <w:tcPr>
            <w:tcBorders>
              <w:top w:val="single" w:color="auto" w:sz="6" w:space="0"/>
              <w:left w:val="single" w:color="auto" w:sz="12" w:space="0"/>
              <w:bottom w:val="single" w:color="auto" w:sz="6" w:space="0"/>
              <w:right w:val="single" w:color="auto" w:sz="6" w:space="0"/>
            </w:tcBorders>
            <w:tcW w:w="781" w:type="dxa"/>
            <w:vAlign w:val="center"/>
            <w:textDirection w:val="lrTb"/>
            <w:noWrap w:val="false"/>
          </w:tcPr>
          <w:p>
            <w:pPr>
              <w:jc w:val="center"/>
              <w:spacing w:line="360" w:lineRule="auto"/>
              <w:rPr>
                <w:szCs w:val="21"/>
                <w:highlight w:val="none"/>
              </w:rPr>
            </w:pPr>
            <w:r>
              <w:rPr>
                <w:rFonts w:hint="eastAsia"/>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3012" w:type="dxa"/>
            <w:vAlign w:val="center"/>
            <w:textDirection w:val="lrTb"/>
            <w:noWrap w:val="false"/>
          </w:tcPr>
          <w:p>
            <w:pPr>
              <w:jc w:val="center"/>
              <w:spacing w:before="100" w:beforeAutospacing="1" w:after="100" w:afterAutospacing="1" w:line="360" w:lineRule="auto"/>
              <w:rPr>
                <w:szCs w:val="21"/>
                <w:highlight w:val="none"/>
              </w:rPr>
            </w:pPr>
            <w:r>
              <w:rPr>
                <w:rFonts w:hint="eastAsia"/>
                <w:szCs w:val="21"/>
                <w:highlight w:val="none"/>
              </w:rPr>
              <w:t xml:space="preserve">检测费用</w:t>
            </w:r>
            <w:r/>
          </w:p>
        </w:tc>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12" w:space="0"/>
            </w:tcBorders>
            <w:tcW w:w="2201" w:type="dxa"/>
            <w:vAlign w:val="center"/>
            <w:textDirection w:val="lrTb"/>
            <w:noWrap w:val="false"/>
          </w:tcPr>
          <w:p>
            <w:pPr>
              <w:jc w:val="center"/>
              <w:spacing w:line="360" w:lineRule="auto"/>
              <w:rPr>
                <w:szCs w:val="21"/>
                <w:highlight w:val="none"/>
              </w:rPr>
            </w:pPr>
            <w:r>
              <w:rPr>
                <w:szCs w:val="21"/>
                <w:highlight w:val="none"/>
              </w:rPr>
            </w:r>
            <w:r/>
          </w:p>
        </w:tc>
      </w:tr>
      <w:tr>
        <w:trPr>
          <w:cantSplit/>
          <w:jc w:val="center"/>
          <w:trHeight w:val="523"/>
        </w:trPr>
        <w:tc>
          <w:tcPr>
            <w:tcBorders>
              <w:top w:val="single" w:color="auto" w:sz="6" w:space="0"/>
              <w:left w:val="single" w:color="auto" w:sz="12" w:space="0"/>
              <w:bottom w:val="single" w:color="auto" w:sz="6" w:space="0"/>
              <w:right w:val="single" w:color="auto" w:sz="6" w:space="0"/>
            </w:tcBorders>
            <w:tcW w:w="781" w:type="dxa"/>
            <w:vAlign w:val="center"/>
            <w:textDirection w:val="lrTb"/>
            <w:noWrap w:val="false"/>
          </w:tcPr>
          <w:p>
            <w:pPr>
              <w:jc w:val="center"/>
              <w:spacing w:line="360" w:lineRule="auto"/>
              <w:rPr>
                <w:szCs w:val="21"/>
                <w:highlight w:val="none"/>
              </w:rPr>
            </w:pPr>
            <w:r>
              <w:rPr>
                <w:rFonts w:hint="eastAsia"/>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3012" w:type="dxa"/>
            <w:vAlign w:val="center"/>
            <w:textDirection w:val="lrTb"/>
            <w:noWrap w:val="false"/>
          </w:tcPr>
          <w:p>
            <w:pPr>
              <w:jc w:val="center"/>
              <w:spacing w:before="100" w:beforeAutospacing="1" w:after="100" w:afterAutospacing="1" w:line="360" w:lineRule="auto"/>
              <w:rPr>
                <w:szCs w:val="21"/>
                <w:highlight w:val="none"/>
              </w:rPr>
            </w:pPr>
            <w:r>
              <w:rPr>
                <w:rFonts w:hint="eastAsia"/>
                <w:szCs w:val="21"/>
                <w:highlight w:val="none"/>
              </w:rPr>
              <w:t xml:space="preserve">维修费用</w:t>
            </w:r>
            <w:r/>
          </w:p>
        </w:tc>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12" w:space="0"/>
            </w:tcBorders>
            <w:tcW w:w="2201" w:type="dxa"/>
            <w:vAlign w:val="center"/>
            <w:textDirection w:val="lrTb"/>
            <w:noWrap w:val="false"/>
          </w:tcPr>
          <w:p>
            <w:pPr>
              <w:jc w:val="center"/>
              <w:spacing w:line="360" w:lineRule="auto"/>
              <w:rPr>
                <w:szCs w:val="21"/>
                <w:highlight w:val="none"/>
              </w:rPr>
            </w:pPr>
            <w:r>
              <w:rPr>
                <w:szCs w:val="21"/>
                <w:highlight w:val="none"/>
              </w:rPr>
            </w:r>
            <w:r/>
          </w:p>
        </w:tc>
      </w:tr>
      <w:tr>
        <w:trPr>
          <w:cantSplit/>
          <w:jc w:val="center"/>
          <w:trHeight w:val="524"/>
        </w:trPr>
        <w:tc>
          <w:tcPr>
            <w:tcBorders>
              <w:top w:val="single" w:color="auto" w:sz="6" w:space="0"/>
              <w:left w:val="single" w:color="auto" w:sz="12" w:space="0"/>
              <w:bottom w:val="single" w:color="auto" w:sz="6" w:space="0"/>
              <w:right w:val="single" w:color="auto" w:sz="6" w:space="0"/>
            </w:tcBorders>
            <w:tcW w:w="781" w:type="dxa"/>
            <w:vAlign w:val="center"/>
            <w:textDirection w:val="lrTb"/>
            <w:noWrap w:val="false"/>
          </w:tcPr>
          <w:p>
            <w:pPr>
              <w:jc w:val="center"/>
              <w:spacing w:line="360" w:lineRule="auto"/>
              <w:rPr>
                <w:szCs w:val="21"/>
                <w:highlight w:val="none"/>
              </w:rPr>
            </w:pPr>
            <w:r>
              <w:rPr>
                <w:rFonts w:hint="eastAsia"/>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3012" w:type="dxa"/>
            <w:vAlign w:val="center"/>
            <w:textDirection w:val="lrTb"/>
            <w:noWrap w:val="false"/>
          </w:tcPr>
          <w:p>
            <w:pPr>
              <w:jc w:val="center"/>
              <w:spacing w:before="100" w:beforeAutospacing="1" w:after="100" w:afterAutospacing="1" w:line="360" w:lineRule="auto"/>
              <w:rPr>
                <w:szCs w:val="21"/>
                <w:highlight w:val="none"/>
              </w:rPr>
            </w:pPr>
            <w:r>
              <w:rPr>
                <w:rFonts w:hint="eastAsia"/>
                <w:szCs w:val="21"/>
                <w:highlight w:val="none"/>
              </w:rPr>
              <w:t xml:space="preserve">管理费用</w:t>
            </w:r>
            <w:r/>
          </w:p>
        </w:tc>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12" w:space="0"/>
            </w:tcBorders>
            <w:tcW w:w="2201" w:type="dxa"/>
            <w:vAlign w:val="center"/>
            <w:textDirection w:val="lrTb"/>
            <w:noWrap w:val="false"/>
          </w:tcPr>
          <w:p>
            <w:pPr>
              <w:jc w:val="center"/>
              <w:spacing w:line="360" w:lineRule="auto"/>
              <w:rPr>
                <w:szCs w:val="21"/>
                <w:highlight w:val="none"/>
              </w:rPr>
            </w:pPr>
            <w:r>
              <w:rPr>
                <w:szCs w:val="21"/>
                <w:highlight w:val="none"/>
              </w:rPr>
            </w:r>
            <w:r/>
          </w:p>
        </w:tc>
      </w:tr>
      <w:tr>
        <w:trPr>
          <w:cantSplit/>
          <w:jc w:val="center"/>
          <w:trHeight w:val="523"/>
        </w:trPr>
        <w:tc>
          <w:tcPr>
            <w:tcBorders>
              <w:top w:val="single" w:color="auto" w:sz="6" w:space="0"/>
              <w:left w:val="single" w:color="auto" w:sz="12" w:space="0"/>
              <w:bottom w:val="single" w:color="auto" w:sz="6" w:space="0"/>
              <w:right w:val="single" w:color="auto" w:sz="6" w:space="0"/>
            </w:tcBorders>
            <w:tcW w:w="781" w:type="dxa"/>
            <w:vAlign w:val="center"/>
            <w:textDirection w:val="lrTb"/>
            <w:noWrap w:val="false"/>
          </w:tcPr>
          <w:p>
            <w:pPr>
              <w:jc w:val="center"/>
              <w:spacing w:line="360" w:lineRule="auto"/>
              <w:rPr>
                <w:szCs w:val="21"/>
                <w:highlight w:val="none"/>
              </w:rPr>
            </w:pPr>
            <w:r>
              <w:rPr>
                <w:rFonts w:hint="eastAsia"/>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3012" w:type="dxa"/>
            <w:vAlign w:val="center"/>
            <w:textDirection w:val="lrTb"/>
            <w:noWrap w:val="false"/>
          </w:tcPr>
          <w:p>
            <w:pPr>
              <w:jc w:val="center"/>
              <w:spacing w:line="360" w:lineRule="auto"/>
              <w:rPr>
                <w:szCs w:val="21"/>
                <w:highlight w:val="none"/>
              </w:rPr>
            </w:pPr>
            <w:r>
              <w:rPr>
                <w:rFonts w:hint="eastAsia"/>
                <w:szCs w:val="21"/>
                <w:highlight w:val="none"/>
              </w:rPr>
              <w:t xml:space="preserve">保险费用</w:t>
            </w:r>
            <w:r/>
          </w:p>
        </w:tc>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12" w:space="0"/>
            </w:tcBorders>
            <w:tcW w:w="2201" w:type="dxa"/>
            <w:vAlign w:val="center"/>
            <w:textDirection w:val="lrTb"/>
            <w:noWrap w:val="false"/>
          </w:tcPr>
          <w:p>
            <w:pPr>
              <w:jc w:val="center"/>
              <w:spacing w:line="360" w:lineRule="auto"/>
              <w:rPr>
                <w:szCs w:val="21"/>
                <w:highlight w:val="none"/>
              </w:rPr>
            </w:pPr>
            <w:r>
              <w:rPr>
                <w:szCs w:val="21"/>
                <w:highlight w:val="none"/>
              </w:rPr>
            </w:r>
            <w:r/>
          </w:p>
        </w:tc>
      </w:tr>
      <w:tr>
        <w:trPr>
          <w:cantSplit/>
          <w:jc w:val="center"/>
          <w:trHeight w:val="523"/>
        </w:trPr>
        <w:tc>
          <w:tcPr>
            <w:tcBorders>
              <w:top w:val="single" w:color="auto" w:sz="6" w:space="0"/>
              <w:left w:val="single" w:color="auto" w:sz="12" w:space="0"/>
              <w:bottom w:val="single" w:color="auto" w:sz="6" w:space="0"/>
              <w:right w:val="single" w:color="auto" w:sz="6" w:space="0"/>
            </w:tcBorders>
            <w:tcW w:w="781"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3012" w:type="dxa"/>
            <w:vAlign w:val="center"/>
            <w:textDirection w:val="lrTb"/>
            <w:noWrap w:val="false"/>
          </w:tcPr>
          <w:p>
            <w:pPr>
              <w:jc w:val="center"/>
              <w:spacing w:line="360" w:lineRule="auto"/>
              <w:rPr>
                <w:szCs w:val="21"/>
                <w:highlight w:val="none"/>
              </w:rPr>
            </w:pPr>
            <w:r>
              <w:rPr>
                <w:rFonts w:hint="eastAsia"/>
                <w:szCs w:val="21"/>
                <w:highlight w:val="none"/>
              </w:rPr>
              <w:t xml:space="preserve">……</w:t>
            </w:r>
            <w:r/>
          </w:p>
        </w:tc>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12" w:space="0"/>
            </w:tcBorders>
            <w:tcW w:w="2201" w:type="dxa"/>
            <w:vAlign w:val="center"/>
            <w:textDirection w:val="lrTb"/>
            <w:noWrap w:val="false"/>
          </w:tcPr>
          <w:p>
            <w:pPr>
              <w:jc w:val="center"/>
              <w:spacing w:line="360" w:lineRule="auto"/>
              <w:rPr>
                <w:szCs w:val="21"/>
                <w:highlight w:val="none"/>
              </w:rPr>
            </w:pPr>
            <w:r>
              <w:rPr>
                <w:szCs w:val="21"/>
                <w:highlight w:val="none"/>
              </w:rPr>
            </w:r>
            <w:r/>
          </w:p>
        </w:tc>
      </w:tr>
      <w:tr>
        <w:trPr>
          <w:cantSplit/>
          <w:jc w:val="center"/>
          <w:trHeight w:val="523"/>
        </w:trPr>
        <w:tc>
          <w:tcPr>
            <w:tcBorders>
              <w:top w:val="single" w:color="auto" w:sz="6" w:space="0"/>
              <w:left w:val="single" w:color="auto" w:sz="12" w:space="0"/>
              <w:bottom w:val="single" w:color="auto" w:sz="6" w:space="0"/>
              <w:right w:val="single" w:color="auto" w:sz="6" w:space="0"/>
            </w:tcBorders>
            <w:tcW w:w="781"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3012" w:type="dxa"/>
            <w:vAlign w:val="center"/>
            <w:textDirection w:val="lrTb"/>
            <w:noWrap w:val="false"/>
          </w:tcPr>
          <w:p>
            <w:pPr>
              <w:jc w:val="center"/>
              <w:spacing w:line="360" w:lineRule="auto"/>
              <w:rPr>
                <w:szCs w:val="21"/>
                <w:highlight w:val="none"/>
              </w:rPr>
            </w:pPr>
            <w:r>
              <w:rPr>
                <w:rFonts w:hint="eastAsia"/>
                <w:szCs w:val="21"/>
                <w:highlight w:val="none"/>
              </w:rPr>
              <w:t xml:space="preserve">税金及其它</w:t>
            </w:r>
            <w:r/>
          </w:p>
        </w:tc>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12" w:space="0"/>
            </w:tcBorders>
            <w:tcW w:w="2201" w:type="dxa"/>
            <w:vAlign w:val="center"/>
            <w:textDirection w:val="lrTb"/>
            <w:noWrap w:val="false"/>
          </w:tcPr>
          <w:p>
            <w:pPr>
              <w:jc w:val="center"/>
              <w:spacing w:line="360" w:lineRule="auto"/>
              <w:rPr>
                <w:szCs w:val="21"/>
                <w:highlight w:val="none"/>
              </w:rPr>
            </w:pPr>
            <w:r>
              <w:rPr>
                <w:szCs w:val="21"/>
                <w:highlight w:val="none"/>
              </w:rPr>
            </w:r>
            <w:r/>
          </w:p>
        </w:tc>
      </w:tr>
      <w:tr>
        <w:trPr>
          <w:cantSplit/>
          <w:jc w:val="center"/>
          <w:trHeight w:val="523"/>
        </w:trPr>
        <w:tc>
          <w:tcPr>
            <w:tcBorders>
              <w:top w:val="single" w:color="auto" w:sz="6" w:space="0"/>
              <w:left w:val="single" w:color="auto" w:sz="12" w:space="0"/>
              <w:bottom w:val="single" w:color="auto" w:sz="12" w:space="0"/>
              <w:right w:val="single" w:color="auto" w:sz="6" w:space="0"/>
            </w:tcBorders>
            <w:tcW w:w="781"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12" w:space="0"/>
              <w:right w:val="single" w:color="auto" w:sz="6" w:space="0"/>
            </w:tcBorders>
            <w:tcW w:w="3012" w:type="dxa"/>
            <w:vAlign w:val="center"/>
            <w:textDirection w:val="lrTb"/>
            <w:noWrap w:val="false"/>
          </w:tcPr>
          <w:p>
            <w:pPr>
              <w:jc w:val="center"/>
              <w:spacing w:line="360" w:lineRule="auto"/>
              <w:rPr>
                <w:szCs w:val="21"/>
                <w:highlight w:val="none"/>
              </w:rPr>
            </w:pPr>
            <w:r>
              <w:rPr>
                <w:rFonts w:hint="eastAsia"/>
                <w:szCs w:val="21"/>
                <w:highlight w:val="none"/>
              </w:rPr>
              <w:t xml:space="preserve">合计</w:t>
            </w:r>
            <w:r/>
          </w:p>
        </w:tc>
        <w:tc>
          <w:tcPr>
            <w:tcBorders>
              <w:top w:val="single" w:color="auto" w:sz="6" w:space="0"/>
              <w:left w:val="single" w:color="auto" w:sz="6" w:space="0"/>
              <w:bottom w:val="single" w:color="auto" w:sz="12" w:space="0"/>
              <w:right w:val="single" w:color="auto" w:sz="6" w:space="0"/>
            </w:tcBorders>
            <w:tcW w:w="2510" w:type="dxa"/>
            <w:vAlign w:val="center"/>
            <w:textDirection w:val="lrTb"/>
            <w:noWrap w:val="false"/>
          </w:tcPr>
          <w:p>
            <w:pPr>
              <w:jc w:val="center"/>
              <w:spacing w:line="360" w:lineRule="auto"/>
              <w:rPr>
                <w:szCs w:val="21"/>
                <w:highlight w:val="none"/>
              </w:rPr>
            </w:pPr>
            <w:r>
              <w:rPr>
                <w:szCs w:val="21"/>
                <w:highlight w:val="none"/>
              </w:rPr>
            </w:r>
            <w:r/>
          </w:p>
        </w:tc>
        <w:tc>
          <w:tcPr>
            <w:tcBorders>
              <w:top w:val="single" w:color="auto" w:sz="6" w:space="0"/>
              <w:left w:val="single" w:color="auto" w:sz="6" w:space="0"/>
              <w:bottom w:val="single" w:color="auto" w:sz="12" w:space="0"/>
              <w:right w:val="single" w:color="auto" w:sz="12" w:space="0"/>
            </w:tcBorders>
            <w:tcW w:w="2201" w:type="dxa"/>
            <w:vAlign w:val="center"/>
            <w:textDirection w:val="lrTb"/>
            <w:noWrap w:val="false"/>
          </w:tcPr>
          <w:p>
            <w:pPr>
              <w:jc w:val="center"/>
              <w:spacing w:line="360" w:lineRule="auto"/>
              <w:rPr>
                <w:szCs w:val="21"/>
                <w:highlight w:val="none"/>
              </w:rPr>
            </w:pPr>
            <w:r>
              <w:rPr>
                <w:szCs w:val="21"/>
                <w:highlight w:val="none"/>
              </w:rPr>
            </w:r>
            <w:r/>
          </w:p>
        </w:tc>
      </w:tr>
    </w:tbl>
    <w:p>
      <w:pPr>
        <w:spacing w:line="360" w:lineRule="auto"/>
        <w:rPr>
          <w:color w:val="auto"/>
          <w:spacing w:val="20"/>
          <w:szCs w:val="21"/>
          <w:highlight w:val="none"/>
        </w:rPr>
      </w:pPr>
      <w:r>
        <w:rPr>
          <w:color w:val="auto"/>
          <w:spacing w:val="20"/>
          <w:szCs w:val="21"/>
          <w:highlight w:val="none"/>
        </w:rPr>
      </w:r>
      <w:r/>
    </w:p>
    <w:p>
      <w:pPr>
        <w:rPr>
          <w:color w:val="auto"/>
          <w:sz w:val="21"/>
          <w:szCs w:val="21"/>
          <w:highlight w:val="none"/>
        </w:rPr>
      </w:pPr>
      <w:r>
        <w:rPr>
          <w:color w:val="auto"/>
          <w:sz w:val="21"/>
          <w:szCs w:val="21"/>
          <w:highlight w:val="none"/>
        </w:rPr>
      </w:r>
      <w:r/>
    </w:p>
    <w:p>
      <w:pPr>
        <w:pStyle w:val="959"/>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说明：1）报价表包含投标单位各项成本核算和投入的成本明细，合计金额应与开标一览表合计金额一致；否则，以开标一览表为准。</w:t>
      </w:r>
      <w:r/>
    </w:p>
    <w:p>
      <w:pPr>
        <w:pStyle w:val="959"/>
        <w:ind w:firstLine="7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 xml:space="preserve">2）上述报价表由投标单位按收费项目自制格式</w:t>
      </w:r>
      <w:r>
        <w:rPr>
          <w:rFonts w:hint="eastAsia" w:hAnsi="宋体" w:eastAsia="宋体" w:cs="宋体"/>
          <w:color w:val="auto"/>
          <w:sz w:val="21"/>
          <w:szCs w:val="21"/>
          <w:highlight w:val="none"/>
          <w:lang w:eastAsia="zh-CN"/>
        </w:rPr>
        <w:t xml:space="preserve">填报</w:t>
      </w:r>
      <w:r>
        <w:rPr>
          <w:rFonts w:hint="eastAsia" w:hAnsi="宋体" w:eastAsia="宋体" w:cs="宋体"/>
          <w:color w:val="auto"/>
          <w:sz w:val="21"/>
          <w:szCs w:val="21"/>
          <w:highlight w:val="none"/>
        </w:rPr>
        <w:t xml:space="preserve">。</w:t>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0"/>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0"/>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spacing w:line="400" w:lineRule="exact"/>
        <w:rPr>
          <w:rFonts w:hint="eastAsia"/>
          <w:b/>
          <w:color w:val="auto"/>
          <w:szCs w:val="21"/>
          <w:highlight w:val="none"/>
        </w:rPr>
      </w:pPr>
      <w:r>
        <w:rPr>
          <w:rFonts w:hint="eastAsia"/>
          <w:b/>
          <w:color w:val="auto"/>
          <w:szCs w:val="21"/>
          <w:highlight w:val="none"/>
        </w:rPr>
        <w:t xml:space="preserve">格式7、拟投入本项目人员表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8</w:t>
      </w:r>
      <w:r>
        <w:rPr>
          <w:rFonts w:hint="eastAsia" w:hAnsi="宋体"/>
          <w:b/>
          <w:color w:val="auto"/>
          <w:szCs w:val="21"/>
          <w:highlight w:val="none"/>
        </w:rPr>
        <w:t xml:space="preserve">、资格证明文件</w:t>
      </w:r>
      <w:r/>
    </w:p>
    <w:p>
      <w:pPr>
        <w:pStyle w:val="741"/>
        <w:ind w:firstLine="0"/>
        <w:rPr>
          <w:b/>
          <w:color w:val="auto"/>
          <w:sz w:val="21"/>
          <w:szCs w:val="21"/>
          <w:highlight w:val="none"/>
        </w:rPr>
      </w:pPr>
      <w:r>
        <w:rPr>
          <w:b/>
          <w:color w:val="auto"/>
          <w:sz w:val="21"/>
          <w:szCs w:val="21"/>
          <w:highlight w:val="none"/>
        </w:rPr>
      </w:r>
      <w:r/>
    </w:p>
    <w:p>
      <w:pPr>
        <w:pStyle w:val="741"/>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1"/>
        <w:ind w:firstLine="0"/>
        <w:rPr>
          <w:b/>
          <w:color w:val="auto"/>
          <w:sz w:val="21"/>
          <w:szCs w:val="21"/>
          <w:highlight w:val="none"/>
        </w:rPr>
      </w:pPr>
      <w:r>
        <w:rPr>
          <w:b/>
          <w:color w:val="auto"/>
          <w:sz w:val="21"/>
          <w:szCs w:val="21"/>
          <w:highlight w:val="none"/>
        </w:rPr>
      </w:r>
      <w:r/>
    </w:p>
    <w:p>
      <w:pPr>
        <w:pStyle w:val="741"/>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1"/>
        <w:jc w:val="center"/>
        <w:rPr>
          <w:rFonts w:ascii="Times New Roman"/>
          <w:color w:val="auto"/>
          <w:highlight w:val="none"/>
        </w:rPr>
      </w:pPr>
      <w:r>
        <w:rPr>
          <w:rFonts w:ascii="Times New Roman"/>
          <w:color w:val="auto"/>
          <w:highlight w:val="none"/>
        </w:rPr>
      </w:r>
      <w:r/>
    </w:p>
    <w:p>
      <w:pPr>
        <w:pStyle w:val="741"/>
        <w:jc w:val="center"/>
        <w:rPr>
          <w:color w:val="auto"/>
          <w:highlight w:val="none"/>
        </w:rPr>
      </w:pPr>
      <w:r>
        <w:rPr>
          <w:color w:val="auto"/>
          <w:highlight w:val="none"/>
        </w:rPr>
      </w:r>
      <w:r/>
    </w:p>
    <w:p>
      <w:pPr>
        <w:pStyle w:val="75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1"/>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1"/>
        <w:ind w:firstLine="0"/>
        <w:spacing w:line="400" w:lineRule="exact"/>
        <w:rPr>
          <w:color w:val="auto"/>
          <w:sz w:val="21"/>
          <w:szCs w:val="21"/>
          <w:highlight w:val="none"/>
        </w:rPr>
      </w:pPr>
      <w:r>
        <w:rPr>
          <w:color w:val="auto"/>
          <w:sz w:val="21"/>
          <w:szCs w:val="21"/>
          <w:highlight w:val="none"/>
        </w:rPr>
      </w:r>
      <w:r/>
    </w:p>
    <w:p>
      <w:pPr>
        <w:pStyle w:val="741"/>
        <w:ind w:firstLine="0"/>
        <w:rPr>
          <w:color w:val="auto"/>
          <w:highlight w:val="none"/>
        </w:rPr>
      </w:pPr>
      <w:r>
        <w:rPr>
          <w:color w:val="auto"/>
          <w:highlight w:val="none"/>
        </w:rPr>
      </w:r>
      <w:r/>
    </w:p>
    <w:p>
      <w:pPr>
        <w:pStyle w:val="741"/>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1"/>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1"/>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1"/>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1"/>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1"/>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w:t>
      </w:r>
      <w:r>
        <w:rPr>
          <w:rFonts w:hint="eastAsia"/>
          <w:b/>
          <w:color w:val="auto"/>
          <w:szCs w:val="21"/>
          <w:highlight w:val="none"/>
          <w:lang w:val="en-US" w:eastAsia="zh-CN"/>
        </w:rPr>
        <w:t xml:space="preserve">9</w:t>
      </w:r>
      <w:r>
        <w:rPr>
          <w:rFonts w:hint="eastAsia"/>
          <w:b/>
          <w:color w:val="auto"/>
          <w:szCs w:val="21"/>
          <w:highlight w:val="none"/>
        </w:rPr>
        <w:t xml:space="preserve">、相关业绩一览表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spacing w:line="360" w:lineRule="auto"/>
        <w:rPr>
          <w:rFonts w:hint="eastAsia"/>
          <w:b/>
          <w:bCs/>
          <w:color w:val="auto"/>
          <w:szCs w:val="21"/>
          <w:highlight w:val="none"/>
          <w:lang w:val="zh-CN"/>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w:t>
      </w:r>
      <w:r>
        <w:rPr>
          <w:rFonts w:hint="eastAsia"/>
          <w:b/>
          <w:color w:val="auto"/>
          <w:szCs w:val="21"/>
          <w:highlight w:val="none"/>
          <w:lang w:val="en-US" w:eastAsia="zh-CN"/>
        </w:rPr>
        <w:t xml:space="preserve">0</w:t>
      </w:r>
      <w:r>
        <w:rPr>
          <w:rFonts w:hint="eastAsia"/>
          <w:b/>
          <w:color w:val="auto"/>
          <w:szCs w:val="21"/>
          <w:highlight w:val="none"/>
        </w:rPr>
        <w:t xml:space="preserve">、</w:t>
      </w:r>
      <w:r>
        <w:rPr>
          <w:rFonts w:hint="eastAsia"/>
          <w:b/>
          <w:bCs/>
          <w:color w:val="auto"/>
          <w:szCs w:val="21"/>
          <w:highlight w:val="none"/>
          <w:lang w:val="zh-CN"/>
        </w:rPr>
        <w:t xml:space="preserve">项目实施方案</w:t>
      </w:r>
      <w:r/>
    </w:p>
    <w:p>
      <w:pPr>
        <w:jc w:val="cente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实施方案</w:t>
      </w:r>
      <w:r/>
    </w:p>
    <w:tbl>
      <w:tblPr>
        <w:tblStyle w:val="739"/>
        <w:tblW w:w="8639"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9"/>
      </w:tblGrid>
      <w:tr>
        <w:trPr>
          <w:trHeight w:val="1821"/>
        </w:trPr>
        <w:tc>
          <w:tcPr>
            <w:tcW w:w="863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提示：</w:t>
            </w:r>
            <w:r/>
          </w:p>
          <w:p>
            <w:pPr>
              <w:spacing w:line="360" w:lineRule="auto"/>
              <w:rPr>
                <w:rFonts w:hint="eastAsia" w:ascii="宋体" w:hAnsi="宋体"/>
                <w:b/>
                <w:bCs/>
                <w:color w:val="auto"/>
                <w:sz w:val="24"/>
                <w:highlight w:val="none"/>
              </w:rPr>
            </w:pPr>
            <w:r>
              <w:rPr>
                <w:rFonts w:hint="eastAsia" w:ascii="宋体" w:hAnsi="宋体"/>
                <w:color w:val="auto"/>
                <w:sz w:val="24"/>
                <w:highlight w:val="none"/>
              </w:rPr>
              <w:t xml:space="preserve">1、</w:t>
            </w:r>
            <w:r>
              <w:rPr>
                <w:rFonts w:hint="eastAsia" w:ascii="宋体" w:hAnsi="宋体"/>
                <w:color w:val="auto"/>
                <w:sz w:val="24"/>
                <w:szCs w:val="24"/>
                <w:highlight w:val="none"/>
              </w:rPr>
              <w:t xml:space="preserve">投标单位应针对本次招标项目特点及具体情况编写公司中标后拟采取的方案，包括服务方案、内部管理方案、人员配备方案、与其他单位、部门的综合协调方案以及遇重大、紧急事项的应急措施等</w:t>
            </w:r>
            <w:r>
              <w:rPr>
                <w:rFonts w:hint="eastAsia" w:ascii="宋体" w:hAnsi="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8870"/>
        </w:trPr>
        <w:tc>
          <w:tcPr>
            <w:tcW w:w="863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                                      投标单位（公章）：</w:t>
            </w:r>
            <w:r/>
          </w:p>
        </w:tc>
      </w:tr>
    </w:tbl>
    <w:p>
      <w:pPr>
        <w:pStyle w:val="1043"/>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pStyle w:val="1124"/>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投标单位（公章）：</w:t>
      </w:r>
      <w:r/>
    </w:p>
    <w:p>
      <w:pPr>
        <w:pStyle w:val="1124"/>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法定代表人或代理人：（签字或签章）</w:t>
      </w:r>
      <w:r/>
    </w:p>
    <w:p>
      <w:pPr>
        <w:pStyle w:val="1124"/>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日期：    年    月    日</w:t>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w:t>
      </w:r>
      <w:r>
        <w:rPr>
          <w:rFonts w:hint="eastAsia"/>
          <w:b/>
          <w:bCs/>
          <w:color w:val="auto"/>
          <w:szCs w:val="21"/>
          <w:highlight w:val="none"/>
          <w:lang w:val="en-US" w:eastAsia="zh-CN"/>
        </w:rPr>
        <w:t xml:space="preserve">1</w:t>
      </w:r>
      <w:r>
        <w:rPr>
          <w:rFonts w:hint="eastAsia" w:hAnsi="宋体"/>
          <w:b/>
          <w:bCs/>
          <w:color w:val="auto"/>
          <w:szCs w:val="21"/>
          <w:highlight w:val="none"/>
        </w:rPr>
        <w:t xml:space="preserve">、工作管理标准、考核方案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Ansi="宋体" w:eastAsia="宋体"/>
          <w:b/>
          <w:color w:val="auto"/>
          <w:sz w:val="32"/>
          <w:szCs w:val="32"/>
          <w:highlight w:val="none"/>
        </w:rPr>
      </w:pPr>
      <w:r/>
      <w:bookmarkStart w:id="11"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b/>
          <w:bCs/>
          <w:szCs w:val="21"/>
          <w:highlight w:val="none"/>
          <w:u w:val="single"/>
        </w:rPr>
        <w:t xml:space="preserve">其他未列明行业</w:t>
      </w:r>
      <w:r>
        <w:rPr>
          <w:rFonts w:hint="eastAsia"/>
          <w:b/>
          <w:bCs/>
          <w:szCs w:val="21"/>
          <w:highlight w:val="none"/>
          <w:u w:val="single"/>
          <w:lang w:val="en-US" w:eastAsia="zh-CN"/>
        </w:rPr>
        <w:t xml:space="preserve"> </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bookmarkEnd w:id="11"/>
      <w:r/>
      <w:r/>
    </w:p>
    <w:p>
      <w:pPr>
        <w:ind w:firstLine="420"/>
        <w:spacing w:line="400" w:lineRule="exact"/>
        <w:rPr>
          <w:color w:val="auto"/>
          <w:szCs w:val="21"/>
          <w:highlight w:val="none"/>
        </w:rPr>
      </w:pPr>
      <w:r>
        <w:rPr>
          <w:rFonts w:hint="eastAsia"/>
          <w:color w:val="auto"/>
          <w:szCs w:val="21"/>
          <w:highlight w:val="none"/>
        </w:rPr>
        <w:t xml:space="preserve">注：从业人员、营业收入、资产总额填报上一年度数据，无上一年度数据的新成立企业可不填报。行业划分标准依据工信部联企业〔2011〕300号文的规定填写。</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9"/>
      <w:r/>
      <w:bookmarkEnd w:id="10"/>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2" w:name="_Hlk131152921"/>
      <w:r/>
      <w:bookmarkStart w:id="13" w:name="_Hlk99527844"/>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苏州市中心血站</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全自动酶标仪及酶免分析加样系统维保服务</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JSZC-320500-SZWK-G2026-0330</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全自动酶标仪及酶免分析加样系统维保服务</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从合同签订之日起开始计算至2029年9月30日</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pStyle w:val="763"/>
        <w:ind w:left="0" w:firstLine="420"/>
        <w:spacing w:after="0" w:line="360" w:lineRule="exact"/>
        <w:rPr>
          <w:rFonts w:hint="eastAsia" w:eastAsia="宋体"/>
          <w:sz w:val="21"/>
          <w:szCs w:val="21"/>
          <w:highlight w:val="none"/>
          <w:lang w:val="zh-CN"/>
        </w:rPr>
      </w:pPr>
      <w:r>
        <w:rPr>
          <w:rFonts w:eastAsia="宋体"/>
          <w:sz w:val="21"/>
          <w:szCs w:val="21"/>
          <w:highlight w:val="none"/>
          <w:lang w:val="zh-CN"/>
        </w:rPr>
        <w:t xml:space="preserve">（一）维保设备清单：</w:t>
      </w:r>
      <w:r/>
    </w:p>
    <w:tbl>
      <w:tblPr>
        <w:tblStyle w:val="739"/>
        <w:tblW w:w="7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2043"/>
        <w:gridCol w:w="1276"/>
        <w:gridCol w:w="1559"/>
        <w:gridCol w:w="2127"/>
      </w:tblGrid>
      <w:tr>
        <w:trPr>
          <w:jc w:val="center"/>
          <w:trHeight w:val="397"/>
        </w:trPr>
        <w:tc>
          <w:tcPr>
            <w:tcW w:w="787" w:type="dxa"/>
            <w:vAlign w:val="center"/>
            <w:textDirection w:val="lrTb"/>
            <w:noWrap w:val="false"/>
          </w:tcPr>
          <w:p>
            <w:pPr>
              <w:jc w:val="left"/>
              <w:spacing w:line="400" w:lineRule="exact"/>
              <w:widowControl/>
              <w:rPr>
                <w:rFonts w:ascii="宋体" w:hAnsi="宋体"/>
                <w:b/>
                <w:bCs/>
                <w:szCs w:val="21"/>
                <w:highlight w:val="none"/>
              </w:rPr>
            </w:pPr>
            <w:r>
              <w:rPr>
                <w:rFonts w:hint="eastAsia" w:ascii="宋体" w:hAnsi="宋体"/>
                <w:b/>
                <w:bCs/>
                <w:szCs w:val="21"/>
                <w:highlight w:val="none"/>
              </w:rPr>
              <w:t xml:space="preserve">序号</w:t>
            </w:r>
            <w:r/>
          </w:p>
        </w:tc>
        <w:tc>
          <w:tcPr>
            <w:tcW w:w="2043"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设备名称</w:t>
            </w:r>
            <w:r/>
          </w:p>
        </w:tc>
        <w:tc>
          <w:tcPr>
            <w:tcW w:w="1276"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产品序号</w:t>
            </w:r>
            <w:r/>
          </w:p>
        </w:tc>
        <w:tc>
          <w:tcPr>
            <w:tcW w:w="1559"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安装时间</w:t>
            </w:r>
            <w:r/>
          </w:p>
        </w:tc>
        <w:tc>
          <w:tcPr>
            <w:tcW w:w="2127"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保修起止日期</w:t>
            </w:r>
            <w:r/>
          </w:p>
        </w:tc>
      </w:tr>
      <w:tr>
        <w:trPr>
          <w:jc w:val="center"/>
          <w:trHeight w:val="397"/>
        </w:trPr>
        <w:tc>
          <w:tcPr>
            <w:tcW w:w="787"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1</w:t>
            </w:r>
            <w:r/>
          </w:p>
        </w:tc>
        <w:tc>
          <w:tcPr>
            <w:tcW w:w="2043"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FAME24/30</w:t>
            </w:r>
            <w:r/>
          </w:p>
        </w:tc>
        <w:tc>
          <w:tcPr>
            <w:tcW w:w="1276"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2568</w:t>
            </w:r>
            <w:r/>
          </w:p>
        </w:tc>
        <w:tc>
          <w:tcPr>
            <w:tcW w:w="1559"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2005-03-08</w:t>
            </w:r>
            <w:r/>
          </w:p>
        </w:tc>
        <w:tc>
          <w:tcPr>
            <w:tcW w:w="2127" w:type="dxa"/>
            <w:vAlign w:val="center"/>
            <w:vMerge w:val="restart"/>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合同签订之日起</w:t>
            </w:r>
            <w:r/>
          </w:p>
          <w:p>
            <w:pPr>
              <w:jc w:val="center"/>
              <w:spacing w:line="400" w:lineRule="exact"/>
              <w:widowControl/>
              <w:rPr>
                <w:rFonts w:ascii="宋体" w:hAnsi="宋体"/>
                <w:bCs/>
                <w:szCs w:val="21"/>
                <w:highlight w:val="none"/>
              </w:rPr>
            </w:pPr>
            <w:r>
              <w:rPr>
                <w:rFonts w:ascii="宋体" w:hAnsi="宋体"/>
                <w:bCs/>
                <w:szCs w:val="21"/>
                <w:highlight w:val="none"/>
              </w:rPr>
              <w:t xml:space="preserve">至202</w:t>
            </w:r>
            <w:r>
              <w:rPr>
                <w:rFonts w:hint="eastAsia" w:ascii="宋体" w:hAnsi="宋体"/>
                <w:bCs/>
                <w:szCs w:val="21"/>
                <w:highlight w:val="none"/>
                <w:lang w:val="en-US" w:eastAsia="zh-CN"/>
              </w:rPr>
              <w:t xml:space="preserve">9</w:t>
            </w:r>
            <w:r>
              <w:rPr>
                <w:rFonts w:ascii="宋体" w:hAnsi="宋体"/>
                <w:bCs/>
                <w:szCs w:val="21"/>
                <w:highlight w:val="none"/>
              </w:rPr>
              <w:t xml:space="preserve">.09.30</w:t>
            </w:r>
            <w:r/>
          </w:p>
        </w:tc>
      </w:tr>
      <w:tr>
        <w:trPr>
          <w:jc w:val="center"/>
          <w:trHeight w:val="397"/>
        </w:trPr>
        <w:tc>
          <w:tcPr>
            <w:tcW w:w="787"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2</w:t>
            </w:r>
            <w:r/>
          </w:p>
        </w:tc>
        <w:tc>
          <w:tcPr>
            <w:tcW w:w="2043" w:type="dxa"/>
            <w:vAlign w:val="center"/>
            <w:textDirection w:val="lrTb"/>
            <w:noWrap w:val="false"/>
          </w:tcPr>
          <w:p>
            <w:pPr>
              <w:jc w:val="center"/>
              <w:spacing w:line="400" w:lineRule="exact"/>
              <w:widowControl/>
              <w:rPr>
                <w:rFonts w:ascii="宋体" w:hAnsi="宋体"/>
                <w:bCs/>
                <w:szCs w:val="21"/>
                <w:highlight w:val="none"/>
              </w:rPr>
            </w:pPr>
            <w:r>
              <w:rPr>
                <w:rFonts w:hint="eastAsia" w:ascii="宋体" w:hAnsi="宋体"/>
                <w:bCs/>
                <w:szCs w:val="21"/>
                <w:highlight w:val="none"/>
              </w:rPr>
              <w:t xml:space="preserve">FAME</w:t>
            </w:r>
            <w:r>
              <w:rPr>
                <w:rFonts w:ascii="宋体" w:hAnsi="宋体"/>
                <w:bCs/>
                <w:szCs w:val="21"/>
                <w:highlight w:val="none"/>
              </w:rPr>
              <w:t xml:space="preserve">24/20</w:t>
            </w:r>
            <w:r/>
          </w:p>
        </w:tc>
        <w:tc>
          <w:tcPr>
            <w:tcW w:w="1276"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3430</w:t>
            </w:r>
            <w:r/>
          </w:p>
        </w:tc>
        <w:tc>
          <w:tcPr>
            <w:tcW w:w="1559"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2014-07-30</w:t>
            </w:r>
            <w:r/>
          </w:p>
        </w:tc>
        <w:tc>
          <w:tcPr>
            <w:tcW w:w="2127" w:type="dxa"/>
            <w:vAlign w:val="center"/>
            <w:vMerge w:val="continue"/>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r>
            <w:r/>
          </w:p>
        </w:tc>
      </w:tr>
      <w:tr>
        <w:trPr>
          <w:jc w:val="center"/>
          <w:trHeight w:val="397"/>
        </w:trPr>
        <w:tc>
          <w:tcPr>
            <w:tcW w:w="787"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3</w:t>
            </w:r>
            <w:r/>
          </w:p>
        </w:tc>
        <w:tc>
          <w:tcPr>
            <w:tcW w:w="2043" w:type="dxa"/>
            <w:vAlign w:val="center"/>
            <w:textDirection w:val="lrTb"/>
            <w:noWrap w:val="false"/>
          </w:tcPr>
          <w:p>
            <w:pPr>
              <w:jc w:val="center"/>
              <w:spacing w:line="400" w:lineRule="exact"/>
              <w:widowControl/>
              <w:rPr>
                <w:rFonts w:ascii="宋体" w:hAnsi="宋体"/>
                <w:bCs/>
                <w:szCs w:val="21"/>
                <w:highlight w:val="none"/>
              </w:rPr>
            </w:pPr>
            <w:r>
              <w:rPr>
                <w:rFonts w:hint="eastAsia" w:ascii="宋体" w:hAnsi="宋体"/>
                <w:bCs/>
                <w:szCs w:val="21"/>
                <w:highlight w:val="none"/>
              </w:rPr>
              <w:t xml:space="preserve">FAME</w:t>
            </w:r>
            <w:r>
              <w:rPr>
                <w:rFonts w:ascii="宋体" w:hAnsi="宋体"/>
                <w:bCs/>
                <w:szCs w:val="21"/>
                <w:highlight w:val="none"/>
              </w:rPr>
              <w:t xml:space="preserve">24/20</w:t>
            </w:r>
            <w:r/>
          </w:p>
        </w:tc>
        <w:tc>
          <w:tcPr>
            <w:tcW w:w="1276"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3345</w:t>
            </w:r>
            <w:r/>
          </w:p>
        </w:tc>
        <w:tc>
          <w:tcPr>
            <w:tcW w:w="1559"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2012-12-16</w:t>
            </w:r>
            <w:r/>
          </w:p>
        </w:tc>
        <w:tc>
          <w:tcPr>
            <w:tcW w:w="2127" w:type="dxa"/>
            <w:vAlign w:val="center"/>
            <w:vMerge w:val="continue"/>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r>
            <w:r/>
          </w:p>
        </w:tc>
      </w:tr>
      <w:tr>
        <w:trPr>
          <w:jc w:val="center"/>
          <w:trHeight w:val="397"/>
        </w:trPr>
        <w:tc>
          <w:tcPr>
            <w:tcW w:w="787"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4</w:t>
            </w:r>
            <w:r/>
          </w:p>
        </w:tc>
        <w:tc>
          <w:tcPr>
            <w:tcW w:w="2043" w:type="dxa"/>
            <w:vAlign w:val="center"/>
            <w:textDirection w:val="lrTb"/>
            <w:noWrap w:val="false"/>
          </w:tcPr>
          <w:p>
            <w:pPr>
              <w:jc w:val="center"/>
              <w:spacing w:line="400" w:lineRule="exact"/>
              <w:widowControl/>
              <w:rPr>
                <w:rFonts w:ascii="宋体" w:hAnsi="宋体"/>
                <w:bCs/>
                <w:szCs w:val="21"/>
                <w:highlight w:val="none"/>
              </w:rPr>
            </w:pPr>
            <w:r>
              <w:rPr>
                <w:rFonts w:hint="eastAsia" w:ascii="宋体" w:hAnsi="宋体"/>
                <w:bCs/>
                <w:szCs w:val="21"/>
                <w:highlight w:val="none"/>
              </w:rPr>
              <w:t xml:space="preserve">FAME</w:t>
            </w:r>
            <w:r>
              <w:rPr>
                <w:rFonts w:ascii="宋体" w:hAnsi="宋体"/>
                <w:bCs/>
                <w:szCs w:val="21"/>
                <w:highlight w:val="none"/>
              </w:rPr>
              <w:t xml:space="preserve">24/20</w:t>
            </w:r>
            <w:r/>
          </w:p>
        </w:tc>
        <w:tc>
          <w:tcPr>
            <w:tcW w:w="1276"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3163</w:t>
            </w:r>
            <w:r/>
          </w:p>
        </w:tc>
        <w:tc>
          <w:tcPr>
            <w:tcW w:w="1559"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2011-03-06</w:t>
            </w:r>
            <w:r/>
          </w:p>
        </w:tc>
        <w:tc>
          <w:tcPr>
            <w:tcW w:w="2127" w:type="dxa"/>
            <w:vAlign w:val="center"/>
            <w:vMerge w:val="continue"/>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r>
            <w:r/>
          </w:p>
        </w:tc>
      </w:tr>
      <w:tr>
        <w:trPr>
          <w:jc w:val="center"/>
          <w:trHeight w:val="397"/>
        </w:trPr>
        <w:tc>
          <w:tcPr>
            <w:tcW w:w="787"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5</w:t>
            </w:r>
            <w:r/>
          </w:p>
        </w:tc>
        <w:tc>
          <w:tcPr>
            <w:tcW w:w="2043" w:type="dxa"/>
            <w:vAlign w:val="center"/>
            <w:textDirection w:val="lrTb"/>
            <w:noWrap w:val="false"/>
          </w:tcPr>
          <w:p>
            <w:pPr>
              <w:jc w:val="center"/>
              <w:spacing w:line="400" w:lineRule="exact"/>
              <w:widowControl/>
              <w:rPr>
                <w:rFonts w:ascii="宋体" w:hAnsi="宋体"/>
                <w:bCs/>
                <w:szCs w:val="21"/>
                <w:highlight w:val="none"/>
              </w:rPr>
            </w:pPr>
            <w:r>
              <w:rPr>
                <w:rFonts w:hint="eastAsia" w:ascii="宋体" w:hAnsi="宋体"/>
                <w:bCs/>
                <w:szCs w:val="21"/>
                <w:highlight w:val="none"/>
              </w:rPr>
              <w:t xml:space="preserve">S</w:t>
            </w:r>
            <w:r>
              <w:rPr>
                <w:rFonts w:ascii="宋体" w:hAnsi="宋体"/>
                <w:bCs/>
                <w:szCs w:val="21"/>
                <w:highlight w:val="none"/>
              </w:rPr>
              <w:t xml:space="preserve">TAR 8CH</w:t>
            </w:r>
            <w:r/>
          </w:p>
        </w:tc>
        <w:tc>
          <w:tcPr>
            <w:tcW w:w="1276" w:type="dxa"/>
            <w:vAlign w:val="center"/>
            <w:textDirection w:val="lrTb"/>
            <w:noWrap w:val="false"/>
          </w:tcPr>
          <w:p>
            <w:pPr>
              <w:jc w:val="center"/>
              <w:spacing w:line="400" w:lineRule="exact"/>
              <w:widowControl/>
              <w:rPr>
                <w:rFonts w:hint="default" w:ascii="宋体" w:hAnsi="宋体" w:eastAsia="宋体"/>
                <w:bCs/>
                <w:szCs w:val="21"/>
                <w:highlight w:val="none"/>
                <w:lang w:val="en-US" w:eastAsia="zh-CN"/>
              </w:rPr>
            </w:pPr>
            <w:r>
              <w:rPr>
                <w:rFonts w:hint="eastAsia" w:ascii="宋体" w:hAnsi="宋体"/>
                <w:bCs/>
                <w:szCs w:val="21"/>
                <w:highlight w:val="none"/>
                <w:lang w:val="en-US" w:eastAsia="zh-CN"/>
              </w:rPr>
              <w:t xml:space="preserve">6144</w:t>
            </w:r>
            <w:r/>
          </w:p>
        </w:tc>
        <w:tc>
          <w:tcPr>
            <w:shd w:val="clear" w:color="auto" w:fill="auto"/>
            <w:tcW w:w="1559" w:type="dxa"/>
            <w:vAlign w:val="center"/>
            <w:textDirection w:val="lrTb"/>
            <w:noWrap w:val="false"/>
          </w:tcPr>
          <w:p>
            <w:pPr>
              <w:jc w:val="center"/>
              <w:spacing w:line="400" w:lineRule="exact"/>
              <w:widowControl/>
              <w:rPr>
                <w:rFonts w:ascii="宋体" w:hAnsi="宋体" w:eastAsia="宋体" w:cs="Times New Roman"/>
                <w:bCs/>
                <w:sz w:val="21"/>
                <w:szCs w:val="21"/>
                <w:highlight w:val="none"/>
                <w:lang w:val="en-US" w:eastAsia="zh-CN" w:bidi="ar-SA"/>
              </w:rPr>
            </w:pPr>
            <w:r>
              <w:rPr>
                <w:rFonts w:ascii="宋体" w:hAnsi="宋体"/>
                <w:bCs/>
                <w:szCs w:val="21"/>
                <w:highlight w:val="none"/>
              </w:rPr>
              <w:t xml:space="preserve">2013-04-26</w:t>
            </w:r>
            <w:r/>
          </w:p>
        </w:tc>
        <w:tc>
          <w:tcPr>
            <w:tcW w:w="2127" w:type="dxa"/>
            <w:vAlign w:val="center"/>
            <w:vMerge w:val="continue"/>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r>
            <w:r/>
          </w:p>
        </w:tc>
      </w:tr>
      <w:tr>
        <w:trPr>
          <w:jc w:val="center"/>
          <w:trHeight w:val="397"/>
        </w:trPr>
        <w:tc>
          <w:tcPr>
            <w:tcW w:w="787"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6</w:t>
            </w:r>
            <w:r/>
          </w:p>
        </w:tc>
        <w:tc>
          <w:tcPr>
            <w:tcW w:w="2043" w:type="dxa"/>
            <w:vAlign w:val="center"/>
            <w:textDirection w:val="lrTb"/>
            <w:noWrap w:val="false"/>
          </w:tcPr>
          <w:p>
            <w:pPr>
              <w:jc w:val="center"/>
              <w:spacing w:line="400" w:lineRule="exact"/>
              <w:widowControl/>
              <w:rPr>
                <w:rFonts w:ascii="宋体" w:hAnsi="宋体"/>
                <w:bCs/>
                <w:szCs w:val="21"/>
                <w:highlight w:val="none"/>
              </w:rPr>
            </w:pPr>
            <w:r>
              <w:rPr>
                <w:rFonts w:hint="eastAsia" w:ascii="宋体" w:hAnsi="宋体"/>
                <w:bCs/>
                <w:szCs w:val="21"/>
                <w:highlight w:val="none"/>
              </w:rPr>
              <w:t xml:space="preserve">S</w:t>
            </w:r>
            <w:r>
              <w:rPr>
                <w:rFonts w:ascii="宋体" w:hAnsi="宋体"/>
                <w:bCs/>
                <w:szCs w:val="21"/>
                <w:highlight w:val="none"/>
              </w:rPr>
              <w:t xml:space="preserve">TAR Venus</w:t>
            </w:r>
            <w:r>
              <w:rPr>
                <w:rFonts w:hint="eastAsia" w:ascii="宋体" w:hAnsi="宋体"/>
                <w:bCs/>
                <w:szCs w:val="21"/>
                <w:highlight w:val="none"/>
                <w:lang w:val="en-US" w:eastAsia="zh-CN"/>
              </w:rPr>
              <w:t xml:space="preserve"> </w:t>
            </w:r>
            <w:r>
              <w:rPr>
                <w:rFonts w:ascii="宋体" w:hAnsi="宋体"/>
                <w:bCs/>
                <w:szCs w:val="21"/>
                <w:highlight w:val="none"/>
              </w:rPr>
              <w:t xml:space="preserve">8CH</w:t>
            </w:r>
            <w:r/>
          </w:p>
        </w:tc>
        <w:tc>
          <w:tcPr>
            <w:tcW w:w="1276" w:type="dxa"/>
            <w:vAlign w:val="center"/>
            <w:textDirection w:val="lrTb"/>
            <w:noWrap w:val="false"/>
          </w:tcPr>
          <w:p>
            <w:pPr>
              <w:jc w:val="center"/>
              <w:spacing w:line="400" w:lineRule="exact"/>
              <w:widowControl/>
              <w:rPr>
                <w:rFonts w:hint="default" w:ascii="宋体" w:hAnsi="宋体" w:eastAsia="宋体"/>
                <w:bCs/>
                <w:szCs w:val="21"/>
                <w:highlight w:val="none"/>
                <w:lang w:val="en-US" w:eastAsia="zh-CN"/>
              </w:rPr>
            </w:pPr>
            <w:r>
              <w:rPr>
                <w:rFonts w:ascii="宋体" w:hAnsi="宋体"/>
                <w:bCs/>
                <w:szCs w:val="21"/>
                <w:highlight w:val="none"/>
              </w:rPr>
              <w:t xml:space="preserve">6</w:t>
            </w:r>
            <w:r>
              <w:rPr>
                <w:rFonts w:hint="eastAsia" w:ascii="宋体" w:hAnsi="宋体"/>
                <w:bCs/>
                <w:szCs w:val="21"/>
                <w:highlight w:val="none"/>
                <w:lang w:val="en-US" w:eastAsia="zh-CN"/>
              </w:rPr>
              <w:t xml:space="preserve">811</w:t>
            </w:r>
            <w:r/>
          </w:p>
        </w:tc>
        <w:tc>
          <w:tcPr>
            <w:shd w:val="clear" w:color="auto" w:fill="auto"/>
            <w:tcW w:w="1559" w:type="dxa"/>
            <w:vAlign w:val="center"/>
            <w:textDirection w:val="lrTb"/>
            <w:noWrap w:val="false"/>
          </w:tcPr>
          <w:p>
            <w:pPr>
              <w:jc w:val="center"/>
              <w:spacing w:line="400" w:lineRule="exact"/>
              <w:widowControl/>
              <w:rPr>
                <w:rFonts w:ascii="宋体" w:hAnsi="宋体" w:eastAsia="宋体" w:cs="Times New Roman"/>
                <w:bCs/>
                <w:sz w:val="21"/>
                <w:szCs w:val="21"/>
                <w:highlight w:val="none"/>
                <w:lang w:val="en-US" w:eastAsia="zh-CN" w:bidi="ar-SA"/>
              </w:rPr>
            </w:pPr>
            <w:r>
              <w:rPr>
                <w:rFonts w:ascii="宋体" w:hAnsi="宋体"/>
                <w:bCs/>
                <w:szCs w:val="21"/>
                <w:highlight w:val="none"/>
              </w:rPr>
              <w:t xml:space="preserve">2014-08-13</w:t>
            </w:r>
            <w:r/>
          </w:p>
        </w:tc>
        <w:tc>
          <w:tcPr>
            <w:tcW w:w="2127" w:type="dxa"/>
            <w:vAlign w:val="center"/>
            <w:vMerge w:val="continue"/>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r>
            <w:r/>
          </w:p>
        </w:tc>
      </w:tr>
      <w:tr>
        <w:trPr>
          <w:jc w:val="center"/>
          <w:trHeight w:val="397"/>
        </w:trPr>
        <w:tc>
          <w:tcPr>
            <w:tcW w:w="787"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7</w:t>
            </w:r>
            <w:r/>
          </w:p>
        </w:tc>
        <w:tc>
          <w:tcPr>
            <w:tcW w:w="2043" w:type="dxa"/>
            <w:vAlign w:val="center"/>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t xml:space="preserve">STAR Venus 8CH</w:t>
            </w:r>
            <w:r/>
          </w:p>
        </w:tc>
        <w:tc>
          <w:tcPr>
            <w:tcW w:w="1276" w:type="dxa"/>
            <w:vAlign w:val="center"/>
            <w:textDirection w:val="lrTb"/>
            <w:noWrap w:val="false"/>
          </w:tcPr>
          <w:p>
            <w:pPr>
              <w:jc w:val="center"/>
              <w:spacing w:line="400" w:lineRule="exact"/>
              <w:widowControl/>
              <w:rPr>
                <w:rFonts w:hint="default" w:ascii="宋体" w:hAnsi="宋体" w:eastAsia="宋体"/>
                <w:bCs/>
                <w:szCs w:val="21"/>
                <w:highlight w:val="none"/>
                <w:lang w:val="en-US" w:eastAsia="zh-CN"/>
              </w:rPr>
            </w:pPr>
            <w:r>
              <w:rPr>
                <w:rFonts w:hint="eastAsia" w:ascii="宋体" w:hAnsi="宋体"/>
                <w:bCs/>
                <w:szCs w:val="21"/>
                <w:highlight w:val="none"/>
                <w:lang w:val="en-US" w:eastAsia="zh-CN"/>
              </w:rPr>
              <w:t xml:space="preserve">467H</w:t>
            </w:r>
            <w:r/>
          </w:p>
        </w:tc>
        <w:tc>
          <w:tcPr>
            <w:tcW w:w="1559" w:type="dxa"/>
            <w:vAlign w:val="center"/>
            <w:textDirection w:val="lrTb"/>
            <w:noWrap w:val="false"/>
          </w:tcPr>
          <w:p>
            <w:pPr>
              <w:jc w:val="center"/>
              <w:spacing w:line="400" w:lineRule="exact"/>
              <w:widowControl/>
              <w:rPr>
                <w:rFonts w:hint="default" w:ascii="宋体" w:hAnsi="宋体" w:eastAsia="宋体"/>
                <w:bCs/>
                <w:szCs w:val="21"/>
                <w:highlight w:val="none"/>
                <w:lang w:val="en-US" w:eastAsia="zh-CN"/>
              </w:rPr>
            </w:pPr>
            <w:r>
              <w:rPr>
                <w:rFonts w:hint="eastAsia" w:ascii="宋体" w:hAnsi="宋体"/>
                <w:bCs/>
                <w:szCs w:val="21"/>
                <w:highlight w:val="none"/>
                <w:lang w:val="en-US" w:eastAsia="zh-CN"/>
              </w:rPr>
              <w:t xml:space="preserve">2021-09-04</w:t>
            </w:r>
            <w:r/>
          </w:p>
        </w:tc>
        <w:tc>
          <w:tcPr>
            <w:tcW w:w="2127" w:type="dxa"/>
            <w:vAlign w:val="center"/>
            <w:vMerge w:val="continue"/>
            <w:textDirection w:val="lrTb"/>
            <w:noWrap w:val="false"/>
          </w:tcPr>
          <w:p>
            <w:pPr>
              <w:jc w:val="center"/>
              <w:spacing w:line="400" w:lineRule="exact"/>
              <w:widowControl/>
              <w:rPr>
                <w:rFonts w:ascii="宋体" w:hAnsi="宋体"/>
                <w:bCs/>
                <w:szCs w:val="21"/>
                <w:highlight w:val="none"/>
              </w:rPr>
            </w:pPr>
            <w:r>
              <w:rPr>
                <w:rFonts w:ascii="宋体" w:hAnsi="宋体"/>
                <w:bCs/>
                <w:szCs w:val="21"/>
                <w:highlight w:val="none"/>
              </w:rPr>
            </w:r>
            <w:r/>
          </w:p>
        </w:tc>
      </w:tr>
    </w:tbl>
    <w:p>
      <w:pPr>
        <w:numPr>
          <w:ilvl w:val="0"/>
          <w:numId w:val="0"/>
        </w:numPr>
        <w:ind w:firstLine="420"/>
        <w:spacing w:line="400" w:lineRule="exact"/>
        <w:rPr>
          <w:rFonts w:hint="eastAsia" w:ascii="宋体" w:hAnsi="宋体"/>
          <w:color w:val="auto"/>
          <w:szCs w:val="21"/>
          <w:highlight w:val="none"/>
          <w:lang w:val="en-US" w:eastAsia="zh-CN"/>
        </w:rPr>
      </w:pPr>
      <w:r>
        <w:rPr>
          <w:rFonts w:hint="eastAsia" w:ascii="宋体" w:hAnsi="宋体" w:eastAsia="宋体" w:cs="Times New Roman"/>
          <w:color w:val="auto"/>
          <w:sz w:val="21"/>
          <w:szCs w:val="21"/>
          <w:highlight w:val="none"/>
          <w:lang w:val="en-US" w:eastAsia="zh-CN" w:bidi="ar-SA"/>
        </w:rPr>
        <w:t xml:space="preserve">（二）</w:t>
      </w:r>
      <w:r>
        <w:rPr>
          <w:rFonts w:hint="eastAsia" w:ascii="宋体" w:hAnsi="宋体"/>
          <w:color w:val="auto"/>
          <w:szCs w:val="21"/>
          <w:highlight w:val="none"/>
          <w:lang w:val="en-US" w:eastAsia="zh-CN"/>
        </w:rPr>
        <w:t xml:space="preserve">服务要求：</w:t>
      </w:r>
      <w:r/>
    </w:p>
    <w:p>
      <w:pPr>
        <w:pStyle w:val="763"/>
        <w:ind w:left="0" w:firstLine="420"/>
        <w:spacing w:after="0" w:line="360" w:lineRule="exact"/>
        <w:rPr>
          <w:rFonts w:hint="eastAsia" w:eastAsia="宋体"/>
          <w:sz w:val="21"/>
          <w:szCs w:val="21"/>
          <w:highlight w:val="none"/>
        </w:rPr>
      </w:pPr>
      <w:r>
        <w:rPr>
          <w:rFonts w:hint="eastAsia" w:eastAsia="宋体"/>
          <w:sz w:val="21"/>
          <w:szCs w:val="21"/>
          <w:highlight w:val="none"/>
          <w:lang w:val="en-US" w:eastAsia="zh-CN"/>
        </w:rPr>
        <w:t xml:space="preserve">1</w:t>
      </w:r>
      <w:r>
        <w:rPr>
          <w:rFonts w:hint="eastAsia" w:eastAsia="宋体"/>
          <w:sz w:val="21"/>
          <w:szCs w:val="21"/>
          <w:highlight w:val="none"/>
        </w:rPr>
        <w:t xml:space="preserve">、维保期内保证设备持续正常运行。按照设备检验操作规程要求，对每台设备提供以下具体维保服务：现场预防性维护不少于1次；</w:t>
      </w:r>
      <w:r>
        <w:rPr>
          <w:rFonts w:hint="eastAsia" w:ascii="Times New Roman" w:hAnsi="Times New Roman" w:eastAsia="宋体" w:cs="Times New Roman"/>
          <w:sz w:val="21"/>
          <w:szCs w:val="21"/>
          <w:highlight w:val="none"/>
        </w:rPr>
        <w:t xml:space="preserve">每年大型设备大修保养维护1次/台；</w:t>
      </w:r>
      <w:r>
        <w:rPr>
          <w:rFonts w:hint="eastAsia" w:eastAsia="宋体"/>
          <w:sz w:val="21"/>
          <w:szCs w:val="21"/>
          <w:highlight w:val="none"/>
        </w:rPr>
        <w:t xml:space="preserve">仪器机械位置校正服务不少于1次；</w:t>
      </w:r>
      <w:r>
        <w:rPr>
          <w:rFonts w:hint="eastAsia" w:ascii="Times New Roman" w:hAnsi="Times New Roman" w:eastAsia="宋体" w:cs="Times New Roman"/>
          <w:sz w:val="21"/>
          <w:szCs w:val="21"/>
          <w:highlight w:val="none"/>
        </w:rPr>
        <w:t xml:space="preserve">每年大型设备精度校验1次/台，按照设备操作手册的要求进行检验，并提供检验文件及证书；</w:t>
      </w:r>
      <w:r>
        <w:rPr>
          <w:rFonts w:hint="eastAsia" w:eastAsia="宋体"/>
          <w:sz w:val="21"/>
          <w:szCs w:val="21"/>
          <w:highlight w:val="none"/>
        </w:rPr>
        <w:t xml:space="preserve">季度保养4次/年；</w:t>
      </w:r>
      <w:r/>
    </w:p>
    <w:p>
      <w:pPr>
        <w:pStyle w:val="763"/>
        <w:ind w:left="0" w:firstLine="420"/>
        <w:spacing w:after="0" w:line="360" w:lineRule="exact"/>
        <w:rPr>
          <w:rFonts w:hint="eastAsia" w:eastAsia="宋体"/>
          <w:sz w:val="21"/>
          <w:szCs w:val="21"/>
          <w:highlight w:val="none"/>
        </w:rPr>
      </w:pPr>
      <w:r>
        <w:rPr>
          <w:rFonts w:hint="eastAsia" w:eastAsia="宋体"/>
          <w:sz w:val="21"/>
          <w:szCs w:val="21"/>
          <w:highlight w:val="none"/>
          <w:lang w:val="en-US" w:eastAsia="zh-CN"/>
        </w:rPr>
        <w:t xml:space="preserve">2</w:t>
      </w:r>
      <w:r>
        <w:rPr>
          <w:rFonts w:hint="eastAsia" w:eastAsia="宋体"/>
          <w:sz w:val="21"/>
          <w:szCs w:val="21"/>
          <w:highlight w:val="none"/>
        </w:rPr>
        <w:t xml:space="preserve">、提供远程和现场的应用方案支持，设备编程、数据备份服务；</w:t>
      </w:r>
      <w:r/>
    </w:p>
    <w:p>
      <w:pPr>
        <w:pStyle w:val="763"/>
        <w:ind w:left="0" w:firstLine="420"/>
        <w:spacing w:after="0" w:line="360" w:lineRule="exact"/>
        <w:rPr>
          <w:rFonts w:hint="eastAsia" w:eastAsia="宋体"/>
          <w:sz w:val="21"/>
          <w:szCs w:val="21"/>
          <w:highlight w:val="none"/>
        </w:rPr>
      </w:pPr>
      <w:r>
        <w:rPr>
          <w:rFonts w:hint="eastAsia" w:eastAsia="宋体"/>
          <w:sz w:val="21"/>
          <w:szCs w:val="21"/>
          <w:highlight w:val="none"/>
          <w:lang w:val="en-US" w:eastAsia="zh-CN"/>
        </w:rPr>
        <w:t xml:space="preserve">3</w:t>
      </w:r>
      <w:r>
        <w:rPr>
          <w:rFonts w:hint="eastAsia" w:eastAsia="宋体"/>
          <w:sz w:val="21"/>
          <w:szCs w:val="21"/>
          <w:highlight w:val="none"/>
        </w:rPr>
        <w:t xml:space="preserve">、保修期内，设备进行维修，保养和更换配件，承担配件、劳务和差旅等费用，不再收取除合同款外的其他费用；</w:t>
      </w:r>
      <w:r/>
    </w:p>
    <w:p>
      <w:pPr>
        <w:pStyle w:val="763"/>
        <w:ind w:left="0" w:firstLine="420"/>
        <w:spacing w:after="0" w:line="360" w:lineRule="exact"/>
        <w:rPr>
          <w:rFonts w:hint="eastAsia" w:eastAsia="宋体"/>
          <w:sz w:val="21"/>
          <w:szCs w:val="21"/>
          <w:highlight w:val="none"/>
        </w:rPr>
      </w:pPr>
      <w:r>
        <w:rPr>
          <w:rFonts w:hint="eastAsia" w:eastAsia="宋体"/>
          <w:sz w:val="21"/>
          <w:szCs w:val="21"/>
          <w:highlight w:val="none"/>
          <w:lang w:val="en-US" w:eastAsia="zh-CN"/>
        </w:rPr>
        <w:t xml:space="preserve">4</w:t>
      </w:r>
      <w:r>
        <w:rPr>
          <w:rFonts w:hint="eastAsia" w:eastAsia="宋体"/>
          <w:sz w:val="21"/>
          <w:szCs w:val="21"/>
          <w:highlight w:val="none"/>
        </w:rPr>
        <w:t xml:space="preserve">、提供周一到周日均有专线电话服务，随时提供远程服务和咨询，节假日无休。接到维修电话后，在1小时内做出响应，提供远程及电话指导或24小时内到达现场解决故障。</w:t>
      </w:r>
      <w:r/>
    </w:p>
    <w:p>
      <w:pPr>
        <w:pStyle w:val="763"/>
        <w:ind w:left="0" w:firstLine="420"/>
        <w:spacing w:after="0" w:line="360" w:lineRule="exact"/>
        <w:rPr>
          <w:rFonts w:hint="eastAsia" w:eastAsia="宋体"/>
          <w:sz w:val="21"/>
          <w:szCs w:val="21"/>
          <w:highlight w:val="none"/>
        </w:rPr>
      </w:pPr>
      <w:r>
        <w:rPr>
          <w:rFonts w:hint="eastAsia" w:eastAsia="宋体"/>
          <w:sz w:val="21"/>
          <w:szCs w:val="21"/>
          <w:highlight w:val="none"/>
          <w:lang w:val="en-US" w:eastAsia="zh-CN"/>
        </w:rPr>
        <w:t xml:space="preserve">5</w:t>
      </w:r>
      <w:r>
        <w:rPr>
          <w:rFonts w:hint="eastAsia" w:eastAsia="宋体"/>
          <w:sz w:val="21"/>
          <w:szCs w:val="21"/>
          <w:highlight w:val="none"/>
        </w:rPr>
        <w:t xml:space="preserve">、维保期间工程师定期对设备操作人员进行软件升级、设备日常维护保养等方面的免费培训和指导。</w:t>
      </w:r>
      <w:r/>
    </w:p>
    <w:p>
      <w:pPr>
        <w:pStyle w:val="763"/>
        <w:ind w:left="0" w:firstLine="420"/>
        <w:spacing w:after="0" w:line="360" w:lineRule="exact"/>
        <w:rPr>
          <w:rFonts w:eastAsia="宋体"/>
          <w:sz w:val="21"/>
          <w:szCs w:val="21"/>
          <w:highlight w:val="none"/>
        </w:rPr>
      </w:pPr>
      <w:r>
        <w:rPr>
          <w:rFonts w:hint="eastAsia" w:eastAsia="宋体"/>
          <w:sz w:val="21"/>
          <w:szCs w:val="21"/>
          <w:highlight w:val="none"/>
          <w:lang w:val="en-US" w:eastAsia="zh-CN"/>
        </w:rPr>
        <w:t xml:space="preserve">6</w:t>
      </w:r>
      <w:r>
        <w:rPr>
          <w:rFonts w:hint="eastAsia" w:eastAsia="宋体"/>
          <w:sz w:val="21"/>
          <w:szCs w:val="21"/>
          <w:highlight w:val="none"/>
        </w:rPr>
        <w:t xml:space="preserve">、有充足的配件库存，要求提供的设备所需原厂零配件送达用户指定地点，并保质保量。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应用方案支持</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定期提供操作、维护、应用方面的方案支持；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维修</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在维保协议期限对整机出现故障的排除和维修服务；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atLeast"/>
        <w:rPr>
          <w:rFonts w:ascii="Times New Roman" w:hAnsi="Times New Roman" w:eastAsia="宋体" w:cs="Times New Roman"/>
          <w:b/>
          <w:bCs/>
          <w:color w:val="auto"/>
          <w:highlight w:val="none"/>
        </w:rPr>
        <w:pBdr>
          <w:top w:val="none" w:color="000000" w:sz="0" w:space="0"/>
          <w:left w:val="none" w:color="000000" w:sz="0" w:space="0"/>
          <w:bottom w:val="none" w:color="000000" w:sz="0" w:space="0"/>
          <w:right w:val="none" w:color="000000" w:sz="0" w:space="0"/>
        </w:pBdr>
      </w:pPr>
      <w:r>
        <w:rPr>
          <w:rFonts w:hint="eastAsia" w:eastAsia="宋体"/>
          <w:b/>
          <w:bCs/>
          <w:color w:val="auto"/>
          <w:highlight w:val="none"/>
          <w:lang w:eastAsia="zh-CN"/>
        </w:rPr>
        <w:t xml:space="preserve">（</w:t>
      </w:r>
      <w:r>
        <w:rPr>
          <w:rFonts w:hint="eastAsia" w:eastAsia="宋体"/>
          <w:b/>
          <w:bCs/>
          <w:color w:val="auto"/>
          <w:highlight w:val="none"/>
          <w:lang w:val="en-US" w:eastAsia="zh-CN"/>
        </w:rPr>
        <w:t xml:space="preserve">四</w:t>
      </w:r>
      <w:r>
        <w:rPr>
          <w:rFonts w:hint="eastAsia" w:eastAsia="宋体"/>
          <w:b/>
          <w:bCs/>
          <w:color w:val="auto"/>
          <w:highlight w:val="none"/>
          <w:lang w:eastAsia="zh-CN"/>
        </w:rPr>
        <w:t xml:space="preserve">）</w:t>
      </w:r>
      <w:r>
        <w:rPr>
          <w:rFonts w:ascii="Times New Roman" w:hAnsi="Times New Roman" w:eastAsia="宋体" w:cs="Times New Roman"/>
          <w:b/>
          <w:bCs/>
          <w:color w:val="auto"/>
          <w:highlight w:val="none"/>
        </w:rPr>
        <w:t xml:space="preserve">投标时应提供：</w:t>
      </w:r>
      <w:r/>
    </w:p>
    <w:p>
      <w:pPr>
        <w:ind w:firstLine="420"/>
        <w:spacing w:line="400" w:lineRule="atLeast"/>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t xml:space="preserve">1</w:t>
      </w:r>
      <w:r>
        <w:rPr>
          <w:rFonts w:hint="eastAsia" w:cs="Times New Roman"/>
          <w:color w:val="auto"/>
          <w:highlight w:val="none"/>
          <w:lang w:eastAsia="zh-CN"/>
        </w:rPr>
        <w:t xml:space="preserve">、</w:t>
      </w:r>
      <w:r>
        <w:rPr>
          <w:rFonts w:hint="eastAsia" w:ascii="Times New Roman" w:hAnsi="宋体" w:eastAsia="宋体" w:cs="Times New Roman"/>
          <w:color w:val="auto"/>
          <w:sz w:val="21"/>
          <w:szCs w:val="21"/>
          <w:highlight w:val="none"/>
        </w:rPr>
        <w:t xml:space="preserve">日常维修保养方案</w:t>
      </w:r>
      <w:r>
        <w:rPr>
          <w:rFonts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包括</w:t>
      </w:r>
      <w:r>
        <w:rPr>
          <w:rFonts w:hint="eastAsia" w:ascii="Times New Roman" w:hAnsi="宋体" w:eastAsia="宋体" w:cs="Times New Roman"/>
          <w:color w:val="auto"/>
          <w:sz w:val="21"/>
          <w:szCs w:val="21"/>
          <w:highlight w:val="none"/>
        </w:rPr>
        <w:t xml:space="preserve">①维护服务流程、②服务标准、③服务管理、④服务措施、⑤安全保障措施、⑥重大故障处理</w:t>
      </w:r>
      <w:r>
        <w:rPr>
          <w:rFonts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eastAsia="zh-CN"/>
        </w:rPr>
        <w:t xml:space="preserve">；</w:t>
      </w:r>
      <w:r/>
    </w:p>
    <w:p>
      <w:pPr>
        <w:ind w:firstLine="420"/>
        <w:spacing w:line="400"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t xml:space="preserve">2</w:t>
      </w:r>
      <w:r>
        <w:rPr>
          <w:rFonts w:hint="eastAsia" w:cs="Times New Roman"/>
          <w:color w:val="auto"/>
          <w:highlight w:val="none"/>
          <w:lang w:eastAsia="zh-CN"/>
        </w:rPr>
        <w:t xml:space="preserve">、</w:t>
      </w:r>
      <w:r>
        <w:rPr>
          <w:rFonts w:hint="eastAsia" w:ascii="Times New Roman" w:hAnsi="宋体" w:eastAsia="宋体" w:cs="Times New Roman"/>
          <w:color w:val="auto"/>
          <w:sz w:val="21"/>
          <w:szCs w:val="21"/>
          <w:highlight w:val="none"/>
        </w:rPr>
        <w:t xml:space="preserve">内部管理方案</w:t>
      </w:r>
      <w:r>
        <w:rPr>
          <w:rFonts w:hint="eastAsia" w:ascii="Times New Roman" w:hAnsi="宋体" w:eastAsia="宋体" w:cs="Times New Roman"/>
          <w:color w:val="auto"/>
          <w:sz w:val="21"/>
          <w:szCs w:val="21"/>
          <w:highlight w:val="none"/>
          <w:lang w:eastAsia="zh-CN"/>
        </w:rPr>
        <w:t xml:space="preserve">（</w:t>
      </w:r>
      <w:r>
        <w:rPr>
          <w:rFonts w:hint="eastAsia" w:ascii="Times New Roman" w:hAnsi="Times New Roman" w:eastAsia="宋体" w:cs="Times New Roman"/>
          <w:color w:val="auto"/>
          <w:highlight w:val="none"/>
          <w:lang w:val="en-US" w:eastAsia="zh-CN"/>
        </w:rPr>
        <w:t xml:space="preserve">包括</w:t>
      </w:r>
      <w:r>
        <w:rPr>
          <w:rFonts w:hint="eastAsia" w:ascii="Times New Roman" w:hAnsi="宋体" w:eastAsia="宋体" w:cs="Times New Roman"/>
          <w:color w:val="auto"/>
          <w:sz w:val="21"/>
          <w:szCs w:val="21"/>
          <w:highlight w:val="none"/>
        </w:rPr>
        <w:t xml:space="preserve">①组织机构、②各岗位职责分工、③管理机制</w:t>
      </w:r>
      <w:r>
        <w:rPr>
          <w:rFonts w:hint="eastAsia" w:ascii="Times New Roman" w:hAnsi="宋体" w:eastAsia="宋体" w:cs="Times New Roman"/>
          <w:color w:val="auto"/>
          <w:sz w:val="21"/>
          <w:szCs w:val="21"/>
          <w:highlight w:val="none"/>
          <w:lang w:eastAsia="zh-CN"/>
        </w:rPr>
        <w:t xml:space="preserve">）</w:t>
      </w:r>
      <w:r>
        <w:rPr>
          <w:rFonts w:ascii="Times New Roman" w:hAnsi="Times New Roman" w:eastAsia="宋体" w:cs="Times New Roman"/>
          <w:color w:val="auto"/>
          <w:highlight w:val="none"/>
        </w:rPr>
        <w:t xml:space="preserve">；</w:t>
      </w:r>
      <w:r/>
    </w:p>
    <w:p>
      <w:pPr>
        <w:ind w:firstLine="420"/>
        <w:spacing w:line="400" w:lineRule="atLeast"/>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auto"/>
          <w:sz w:val="21"/>
          <w:szCs w:val="21"/>
          <w:highlight w:val="none"/>
          <w:lang w:val="en-US" w:eastAsia="zh-CN"/>
        </w:rPr>
        <w:t xml:space="preserve">3</w:t>
      </w:r>
      <w:r>
        <w:rPr>
          <w:rFonts w:hint="eastAsia" w:hAnsi="宋体" w:cs="Times New Roman"/>
          <w:color w:val="auto"/>
          <w:sz w:val="21"/>
          <w:szCs w:val="21"/>
          <w:highlight w:val="none"/>
          <w:lang w:val="en-US" w:eastAsia="zh-CN"/>
        </w:rPr>
        <w:t xml:space="preserve">、</w:t>
      </w:r>
      <w:r>
        <w:rPr>
          <w:rFonts w:hint="eastAsia" w:ascii="Times New Roman" w:hAnsi="宋体" w:eastAsia="宋体" w:cs="Times New Roman"/>
          <w:color w:val="auto"/>
          <w:sz w:val="21"/>
          <w:szCs w:val="21"/>
          <w:highlight w:val="none"/>
        </w:rPr>
        <w:t xml:space="preserve">技术实施方案</w:t>
      </w:r>
      <w:r>
        <w:rPr>
          <w:rFonts w:hint="eastAsia" w:ascii="Times New Roman" w:hAnsi="宋体" w:eastAsia="宋体" w:cs="Times New Roman"/>
          <w:color w:val="auto"/>
          <w:sz w:val="21"/>
          <w:szCs w:val="21"/>
          <w:highlight w:val="none"/>
          <w:lang w:eastAsia="zh-CN"/>
        </w:rPr>
        <w:t xml:space="preserve">（</w:t>
      </w:r>
      <w:r>
        <w:rPr>
          <w:rFonts w:hint="eastAsia" w:ascii="Times New Roman" w:hAnsi="Times New Roman" w:eastAsia="宋体" w:cs="Times New Roman"/>
          <w:color w:val="auto"/>
          <w:highlight w:val="none"/>
          <w:lang w:val="en-US" w:eastAsia="zh-CN"/>
        </w:rPr>
        <w:t xml:space="preserve">包括</w:t>
      </w:r>
      <w:r>
        <w:rPr>
          <w:rFonts w:hint="eastAsia" w:ascii="Times New Roman" w:hAnsi="宋体" w:eastAsia="宋体" w:cs="Times New Roman"/>
          <w:color w:val="auto"/>
          <w:sz w:val="21"/>
          <w:szCs w:val="21"/>
          <w:highlight w:val="none"/>
        </w:rPr>
        <w:t xml:space="preserve">①计划方案、②规划方案、③实施方案、④管理方案</w:t>
      </w:r>
      <w:r>
        <w:rPr>
          <w:rFonts w:hint="eastAsia" w:ascii="Times New Roman" w:hAnsi="宋体" w:eastAsia="宋体" w:cs="Times New Roman"/>
          <w:color w:val="auto"/>
          <w:sz w:val="21"/>
          <w:szCs w:val="21"/>
          <w:highlight w:val="none"/>
          <w:lang w:eastAsia="zh-CN"/>
        </w:rPr>
        <w:t xml:space="preserve">）；</w:t>
      </w:r>
      <w:r/>
    </w:p>
    <w:p>
      <w:pPr>
        <w:ind w:firstLine="420"/>
        <w:spacing w:line="400" w:lineRule="atLeast"/>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highlight w:val="none"/>
          <w:lang w:val="en-US" w:eastAsia="zh-CN"/>
        </w:rPr>
        <w:t xml:space="preserve">4</w:t>
      </w:r>
      <w:r>
        <w:rPr>
          <w:rFonts w:hint="eastAsia" w:cs="Times New Roman"/>
          <w:color w:val="auto"/>
          <w:highlight w:val="none"/>
          <w:lang w:val="en-US" w:eastAsia="zh-CN"/>
        </w:rPr>
        <w:t xml:space="preserve">、</w:t>
      </w:r>
      <w:r>
        <w:rPr>
          <w:rFonts w:hint="eastAsia" w:hAnsi="宋体" w:eastAsia="宋体"/>
          <w:color w:val="auto"/>
          <w:sz w:val="21"/>
          <w:szCs w:val="21"/>
          <w:highlight w:val="none"/>
        </w:rPr>
        <w:t xml:space="preserve">维修技术人员培训、抢修方案</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包括</w:t>
      </w:r>
      <w:r>
        <w:rPr>
          <w:rFonts w:hint="eastAsia" w:hAnsi="宋体" w:eastAsia="宋体"/>
          <w:color w:val="auto"/>
          <w:sz w:val="21"/>
          <w:szCs w:val="21"/>
          <w:highlight w:val="none"/>
        </w:rPr>
        <w:t xml:space="preserve">①提升临床应用水平及维修技术人员能力培训方案、②应急抢修、应急响应、③重点活动保障方案</w:t>
      </w:r>
      <w:r>
        <w:rPr>
          <w:rFonts w:hint="eastAsia" w:hAnsi="宋体" w:eastAsia="宋体"/>
          <w:color w:val="auto"/>
          <w:sz w:val="21"/>
          <w:szCs w:val="21"/>
          <w:highlight w:val="none"/>
          <w:lang w:eastAsia="zh-CN"/>
        </w:rPr>
        <w:t xml:space="preserve">）</w:t>
      </w:r>
      <w:r/>
    </w:p>
    <w:p>
      <w:pPr>
        <w:ind w:firstLine="420"/>
        <w:spacing w:line="400" w:lineRule="atLeast"/>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highlight w:val="none"/>
          <w:lang w:val="en-US" w:eastAsia="zh-CN"/>
        </w:rPr>
        <w:t xml:space="preserve">5</w:t>
      </w:r>
      <w:r>
        <w:rPr>
          <w:rFonts w:hint="eastAsia" w:cs="Times New Roman"/>
          <w:color w:val="auto"/>
          <w:highlight w:val="none"/>
          <w:lang w:val="en-US" w:eastAsia="zh-CN"/>
        </w:rPr>
        <w:t xml:space="preserve">、</w:t>
      </w:r>
      <w:r>
        <w:rPr>
          <w:rFonts w:ascii="宋体" w:hAnsi="宋体"/>
          <w:color w:val="auto"/>
          <w:szCs w:val="21"/>
          <w:highlight w:val="none"/>
        </w:rPr>
        <w:t xml:space="preserve">增值方案</w:t>
      </w:r>
      <w:r>
        <w:rPr>
          <w:rFonts w:hint="eastAsia" w:ascii="宋体" w:hAnsi="宋体"/>
          <w:color w:val="auto"/>
          <w:szCs w:val="21"/>
          <w:highlight w:val="none"/>
          <w:lang w:eastAsia="zh-CN"/>
        </w:rPr>
        <w:t xml:space="preserve">，</w:t>
      </w:r>
      <w:r>
        <w:rPr>
          <w:color w:val="auto"/>
          <w:highlight w:val="none"/>
        </w:rPr>
        <w:t xml:space="preserve">投标人应根据采购人的实际情况和项目特点，提供可行的增值方案</w:t>
      </w:r>
      <w:r>
        <w:rPr>
          <w:rFonts w:hint="eastAsia"/>
          <w:color w:val="auto"/>
          <w:highlight w:val="none"/>
          <w:lang w:eastAsia="zh-CN"/>
        </w:rPr>
        <w:t xml:space="preserve">。</w:t>
      </w:r>
      <w:r/>
    </w:p>
    <w:p>
      <w:pPr>
        <w:ind w:firstLine="420"/>
        <w:spacing w:line="400"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cs="Times New Roman"/>
          <w:color w:val="auto"/>
          <w:highlight w:val="none"/>
          <w:lang w:val="en-US" w:eastAsia="zh-CN"/>
        </w:rPr>
        <w:t xml:space="preserve">6、</w:t>
      </w:r>
      <w:r>
        <w:rPr>
          <w:rFonts w:hint="eastAsia" w:ascii="Times New Roman" w:hAnsi="Times New Roman" w:eastAsia="宋体" w:cs="Times New Roman"/>
          <w:color w:val="auto"/>
          <w:highlight w:val="none"/>
        </w:rPr>
        <w:t xml:space="preserve">维修团队</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eastAsia="zh-CN"/>
        </w:rPr>
        <w:t xml:space="preserve">主要技术人员名单及简介、</w:t>
      </w:r>
      <w:r>
        <w:rPr>
          <w:rFonts w:hint="eastAsia" w:ascii="Times New Roman" w:hAnsi="Times New Roman" w:eastAsia="宋体" w:cs="Times New Roman"/>
          <w:color w:val="auto"/>
          <w:highlight w:val="none"/>
          <w:lang w:val="en-US" w:eastAsia="zh-CN"/>
        </w:rPr>
        <w:t xml:space="preserve">人员资格证书情况及维保经验情况</w:t>
      </w:r>
      <w:r>
        <w:rPr>
          <w:rFonts w:hint="eastAsia" w:cs="Times New Roman"/>
          <w:color w:val="auto"/>
          <w:highlight w:val="none"/>
          <w:lang w:eastAsia="zh-CN"/>
        </w:rPr>
        <w:t xml:space="preserve">。</w:t>
      </w:r>
      <w:r/>
    </w:p>
    <w:p>
      <w:pPr>
        <w:ind w:firstLine="420"/>
        <w:spacing w:line="400" w:lineRule="atLeast"/>
        <w:rPr>
          <w:rFonts w:hint="eastAsia" w:ascii="宋体" w:hAnsi="宋体"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auto"/>
          <w:highlight w:val="none"/>
          <w:lang w:val="en-US" w:eastAsia="zh-CN"/>
        </w:rPr>
        <w:t xml:space="preserve">7、</w:t>
      </w:r>
      <w:r>
        <w:rPr>
          <w:rFonts w:hint="eastAsia" w:eastAsia="宋体"/>
          <w:color w:val="auto"/>
          <w:highlight w:val="none"/>
          <w:lang w:val="en-US" w:eastAsia="zh-CN"/>
        </w:rPr>
        <w:t xml:space="preserve">投入本项目</w:t>
      </w:r>
      <w:r>
        <w:rPr>
          <w:rFonts w:hint="eastAsia" w:ascii="宋体" w:hAnsi="宋体" w:eastAsia="宋体" w:cs="Times New Roman"/>
          <w:color w:val="auto"/>
          <w:sz w:val="21"/>
          <w:szCs w:val="21"/>
          <w:highlight w:val="none"/>
        </w:rPr>
        <w:t xml:space="preserve">所有的部件及备品备件</w:t>
      </w:r>
      <w:r>
        <w:rPr>
          <w:rFonts w:hint="eastAsia" w:ascii="宋体" w:hAnsi="宋体" w:eastAsia="宋体" w:cs="Times New Roman"/>
          <w:color w:val="auto"/>
          <w:sz w:val="21"/>
          <w:szCs w:val="21"/>
          <w:highlight w:val="none"/>
          <w:lang w:eastAsia="zh-CN"/>
        </w:rPr>
        <w:t xml:space="preserve">的</w:t>
      </w:r>
      <w:r>
        <w:rPr>
          <w:rFonts w:hint="eastAsia" w:ascii="宋体" w:hAnsi="宋体" w:eastAsia="宋体" w:cs="Times New Roman"/>
          <w:color w:val="auto"/>
          <w:sz w:val="21"/>
          <w:szCs w:val="21"/>
          <w:highlight w:val="none"/>
        </w:rPr>
        <w:t xml:space="preserve">备件库</w:t>
      </w:r>
      <w:r>
        <w:rPr>
          <w:rFonts w:hint="eastAsia" w:ascii="宋体" w:hAnsi="宋体" w:eastAsia="宋体" w:cs="Times New Roman"/>
          <w:color w:val="auto"/>
          <w:sz w:val="21"/>
          <w:szCs w:val="21"/>
          <w:highlight w:val="none"/>
          <w:lang w:val="en-US" w:eastAsia="zh-CN"/>
        </w:rPr>
        <w:t xml:space="preserve">证明，</w:t>
      </w:r>
      <w:r>
        <w:rPr>
          <w:rFonts w:hint="eastAsia" w:ascii="宋体" w:hAnsi="宋体" w:eastAsia="宋体" w:cs="Times New Roman"/>
          <w:color w:val="auto"/>
          <w:sz w:val="21"/>
          <w:szCs w:val="21"/>
          <w:highlight w:val="none"/>
        </w:rPr>
        <w:t xml:space="preserve">仓库实景照片及文字说明材料</w:t>
      </w:r>
      <w:r>
        <w:rPr>
          <w:rFonts w:hint="eastAsia" w:ascii="宋体" w:hAnsi="宋体" w:eastAsia="宋体" w:cs="Times New Roman"/>
          <w:color w:val="auto"/>
          <w:sz w:val="21"/>
          <w:szCs w:val="21"/>
          <w:highlight w:val="none"/>
          <w:lang w:val="en-US" w:eastAsia="zh-CN"/>
        </w:rPr>
        <w:t xml:space="preserve">；</w:t>
      </w:r>
      <w:r/>
    </w:p>
    <w:p>
      <w:pPr>
        <w:ind w:firstLine="420"/>
        <w:spacing w:line="400" w:lineRule="atLeast"/>
        <w:rPr>
          <w:rFonts w:ascii="宋体" w:hAnsi="宋体"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1"/>
          <w:szCs w:val="21"/>
          <w:highlight w:val="none"/>
          <w:lang w:val="en-US" w:eastAsia="zh-CN"/>
        </w:rPr>
        <w:t xml:space="preserve">8、</w:t>
      </w:r>
      <w:r>
        <w:rPr>
          <w:rFonts w:eastAsia="宋体"/>
          <w:sz w:val="21"/>
          <w:szCs w:val="21"/>
          <w:highlight w:val="none"/>
        </w:rPr>
        <w:t xml:space="preserve">以往完成类似项目清单</w:t>
      </w:r>
      <w:r>
        <w:rPr>
          <w:rFonts w:hint="eastAsia" w:ascii="宋体" w:hAnsi="宋体" w:eastAsia="宋体" w:cs="Times New Roman"/>
          <w:color w:val="auto"/>
          <w:sz w:val="21"/>
          <w:szCs w:val="21"/>
          <w:highlight w:val="none"/>
          <w:lang w:val="en-US" w:eastAsia="zh-CN"/>
        </w:rPr>
        <w:t xml:space="preserve">；</w:t>
      </w:r>
      <w:r/>
    </w:p>
    <w:p>
      <w:pPr>
        <w:ind w:firstLine="420"/>
        <w:spacing w:line="380" w:lineRule="exact"/>
        <w:rPr>
          <w:rFonts w:hint="eastAsia"/>
          <w:b/>
          <w:bCs/>
          <w:color w:val="auto"/>
          <w:szCs w:val="21"/>
          <w:highlight w:val="none"/>
          <w:lang w:val="en-US" w:eastAsia="zh-CN"/>
        </w:rPr>
      </w:pPr>
      <w:r>
        <w:rPr>
          <w:rFonts w:hint="eastAsia"/>
          <w:b/>
          <w:bCs/>
          <w:color w:val="auto"/>
          <w:szCs w:val="21"/>
          <w:highlight w:val="none"/>
          <w:lang w:val="en-US" w:eastAsia="zh-CN"/>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宋体" w:hAnsi="宋体"/>
          <w:color w:val="auto"/>
          <w:szCs w:val="21"/>
          <w:highlight w:val="none"/>
        </w:rPr>
        <w:t xml:space="preserve">2、</w:t>
      </w:r>
      <w:r>
        <w:rPr>
          <w:rFonts w:hint="eastAsia" w:ascii="Times New Roman" w:hAnsi="Times New Roman" w:cs="Times New Roman"/>
          <w:color w:val="auto"/>
          <w:szCs w:val="21"/>
          <w:highlight w:val="none"/>
          <w:lang w:val="en-US" w:eastAsia="zh-CN"/>
        </w:rPr>
        <w:t xml:space="preserve">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根据《政府采购促进中小企业发展管理办法》（财库〔2020〕46号）、《关于做好政府采购支持企业发展有关事项的通知》（苏财购〔2020〕52号）及《关于印</w:t>
      </w:r>
      <w:r>
        <w:rPr>
          <w:rFonts w:hint="eastAsia" w:ascii="Times New Roman" w:hAnsi="Times New Roman" w:cs="Times New Roman"/>
          <w:color w:val="auto"/>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根据《政府采购促进中小企业发展管理办法》（财库〔2020〕46号）及《中小企业划型标准规定》（工信部联企业〔2011〕300号），</w:t>
      </w:r>
      <w:r>
        <w:rPr>
          <w:rFonts w:hint="eastAsia" w:ascii="Times New Roman" w:hAnsi="Times New Roman" w:cs="Times New Roman"/>
          <w:b/>
          <w:bCs/>
          <w:color w:val="auto"/>
          <w:szCs w:val="21"/>
          <w:highlight w:val="none"/>
          <w:lang w:val="en-US" w:eastAsia="zh-CN"/>
        </w:rPr>
        <w:t xml:space="preserve">本采购项目对应的中小企业划分标准所属行业为：其他未列明行业，本项目非专门面向中小微企业采购。</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3、残疾人福利性单位（若为专门面向中小企业采购的项目或者采购包，不再执行价格评审优惠的扶持政策）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4、监狱企业（若为专门面向中小企业采购的项目或者采购包，不再执行价格评审优惠的扶持政策）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spacing w:line="400" w:lineRule="exact"/>
        <w:rPr>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7</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w:t>
      </w:r>
      <w:r>
        <w:rPr>
          <w:rFonts w:hint="eastAsia"/>
          <w:color w:val="auto"/>
          <w:szCs w:val="21"/>
          <w:highlight w:val="none"/>
          <w:lang w:eastAsia="zh-CN"/>
        </w:rPr>
        <w:t xml:space="preserve">、</w:t>
      </w:r>
      <w:r>
        <w:rPr>
          <w:rFonts w:hint="eastAsia"/>
          <w:color w:val="auto"/>
          <w:szCs w:val="21"/>
          <w:highlight w:val="none"/>
          <w:lang w:val="en-US" w:eastAsia="zh-CN"/>
        </w:rPr>
        <w:t xml:space="preserve">中国政府采购网上</w:t>
      </w:r>
      <w:r>
        <w:rPr>
          <w:rFonts w:hint="eastAsia"/>
          <w:color w:val="auto"/>
          <w:szCs w:val="21"/>
          <w:highlight w:val="none"/>
        </w:rPr>
        <w:t xml:space="preserve">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2"/>
      <w:r/>
      <w:bookmarkEnd w:id="13"/>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4" w:name="_Hlk131153011"/>
      <w:r/>
      <w:bookmarkStart w:id="15" w:name="_Hlk99527961"/>
      <w:r>
        <w:rPr>
          <w:rFonts w:hint="eastAsia" w:ascii="宋体" w:hAnsi="宋体"/>
          <w:color w:val="auto"/>
          <w:sz w:val="36"/>
          <w:szCs w:val="36"/>
          <w:highlight w:val="none"/>
        </w:rPr>
        <w:t xml:space="preserve">第五章 合同主要条款</w:t>
      </w:r>
      <w:bookmarkEnd w:id="14"/>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一、</w:t>
      </w:r>
      <w:r>
        <w:rPr>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苏州市中心血站</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二、合同价格及费用结算：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1、合同总价：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。包括</w:t>
      </w:r>
      <w:r>
        <w:rPr>
          <w:rFonts w:hint="eastAsia" w:hAnsi="宋体" w:eastAsia="宋体"/>
          <w:color w:val="auto"/>
          <w:sz w:val="21"/>
          <w:szCs w:val="21"/>
          <w:highlight w:val="none"/>
        </w:rPr>
        <w:t xml:space="preserve">在承包期内完成服务内容所需要的一切费用，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2、费用结算：</w:t>
      </w:r>
      <w:r/>
    </w:p>
    <w:p>
      <w:pPr>
        <w:pStyle w:val="1126"/>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（1）合同签订生效后，甲方在30个工作日内向乙方支付第一个年度的维保费用。满一个服务年度后支付第二年的维保费用，满第二个服务年度后支付第三年的维保费用。</w:t>
      </w:r>
      <w:r/>
    </w:p>
    <w:p>
      <w:pPr>
        <w:pStyle w:val="1126"/>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（2）乙方向甲方结算付款时须提供下列单据：合格的服务业发票、乙方服务甲方所有的工单记录（最后一笔时提供）。</w:t>
      </w:r>
      <w:r/>
    </w:p>
    <w:p>
      <w:pPr>
        <w:pStyle w:val="1126"/>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（3）甲方支付合同项下费用外，不再承担其它任何费用。乙方如因社保或工资等问题与员工发生纠纷，应自行解决，不得牵涉到甲方。</w:t>
      </w:r>
      <w:r/>
    </w:p>
    <w:p>
      <w:pPr>
        <w:pStyle w:val="1126"/>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（4）确因甲方工作需要，乙方应无条件配合甲方完成一些应急工作。如：安排服务人员（内部）临时加班。相关费用均已包含在本次投标价中，不再另外支付。</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、乙方账户信息：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开户银行名称：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银行账号：</w:t>
      </w:r>
      <w:r>
        <w:rPr>
          <w:rFonts w:hint="default" w:ascii="Times New Roman" w:hAnsi="Times New Roman" w:eastAsia="宋体" w:cs="Times New Roman"/>
          <w:color w:val="auto"/>
          <w:szCs w:val="21"/>
          <w:highlight w:val="none"/>
          <w:u w:val="single"/>
        </w:rPr>
        <w:t xml:space="preserve">                 </w:t>
      </w:r>
      <w:r/>
    </w:p>
    <w:p>
      <w:pPr>
        <w:pStyle w:val="112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三、服务质量与检验：</w:t>
      </w:r>
      <w:r/>
    </w:p>
    <w:p>
      <w:pPr>
        <w:pStyle w:val="1126"/>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pStyle w:val="112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全部服务内容完成后，15个工作日内启动履约验收程序。验收内容包括服务质量、服务进度、人员和设备配备情况、行业和安全标准、项目需求和服务承诺、合同履约时间地点和方式等。验收形式为书面审核。甲方是履约验收工作的责任主体，成立验收小组负责采购项目履约验收具体工作。乙方参照验收内容，书面提供维修、维护保养、培训、保养辅材、系统维护的完整性等材料。履约验收合格后，根据本合同第二款进行结算；存在异议的，甲乙双方协商解决，或通过法律途径解决。</w:t>
      </w:r>
      <w:r/>
    </w:p>
    <w:p>
      <w:pPr>
        <w:pStyle w:val="112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四、甲方权利和义务：</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1、根据甲方采购要求及乙方响应文件中的承诺，对乙方提供的服务及履行本合同情况实行验收考核。</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2、甲方必须满足本采购文件相关要求。</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3、为乙方提供维保用房；为乙方提供所需相关设备的技术资料及值勤、维修工作必备条件，并指定专人作为甲方联系人予以协调工作。加强与乙方</w:t>
      </w:r>
      <w:r>
        <w:rPr>
          <w:rFonts w:hint="eastAsia" w:hAnsi="宋体" w:eastAsia="宋体"/>
          <w:bCs/>
          <w:color w:val="auto"/>
          <w:sz w:val="21"/>
          <w:szCs w:val="21"/>
          <w:highlight w:val="none"/>
          <w:lang w:eastAsia="zh-CN"/>
        </w:rPr>
        <w:t xml:space="preserve">沟通</w:t>
      </w:r>
      <w:r>
        <w:rPr>
          <w:rFonts w:hint="eastAsia" w:hAnsi="宋体" w:eastAsia="宋体"/>
          <w:bCs/>
          <w:color w:val="auto"/>
          <w:sz w:val="21"/>
          <w:szCs w:val="21"/>
          <w:highlight w:val="none"/>
        </w:rPr>
        <w:t xml:space="preserve">，交流情况，互通信息。</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4、甲方因工作需要，遇双休日或节假日需乙方提供保障服务的，给予乙方员工一定的加班费补贴。</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5、甲方应教育所属人员尊重乙方工作人员的劳动成果，积极配合乙方工作人员履行好合同所规定的职责和义务。对甲方人员因使用设备、器材、器械不当而造成的损失与乙方无关。</w:t>
      </w:r>
      <w:r/>
    </w:p>
    <w:p>
      <w:pPr>
        <w:pStyle w:val="112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五、乙方权利和义务：</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1、乙方根据甲方有关要求，积极主动保质保量地完成此项目。</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2、乙方必须满足本采购文件要求。</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3、乙方在后勤服务工作中应当做到文明工作、安全生产，采取必要的安全防范措施，合同期内若发生安全事故由乙方承担，与甲方无关。</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4、乙方应及时调整不适应工作需求的服务人员，如甲方认为该员工不能胜任本职工作的，必须调整。</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1126"/>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六、违约责任：</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合同一方不履行合同义务或者履行合同义务不符合约定的，应当承担继续履行、采取补救措施或者赔偿损失等违约责任。</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1、甲方违约责任：</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1.1在合同生效后，甲方无正当理由要求解除合同的，应向乙方偿付合同总价款的5%作为违约金，违约金不足以补偿损失的，乙方有权要求甲方补足。</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1.2甲方逾期付款的应按照逾期付款金额的每天万分之四支付逾期付款违约金，但至多不超过合同总价款的5%。</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2、乙方违约责任：</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2.1乙方未按合同规定提供服务或提供服务不合格，不能完成合同，从而影响甲方正常项目进度的，甲方有权解除合同，乙方向甲方偿付合同总价款10%的违约金，同时承担甲方因此产生的损失。</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2.2乙方在合同期限内不提供服务或提供服务不合格，影响甲方正常工作的，应当向甲方支付合同总价款10%的违约金并赔偿甲方因此产生的损失。</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2.4乙方有其他违反合同约定情形的，应当向甲方支付合同总价款5%的违约金。</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七、不可抗力：</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1、因不可抗力（或甲、乙双方）不能控制的原因不能履行合同的，根据不可抗力的影响，部分或者全部免除责任。但合同一方迟延履行后发生不可抗力的，不能免除责任。</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2、合同一方因不可抗力不能履行合同的，应当及时通知对方，以减轻可能给对方造成的损失，并应当在合理期限内提供证明。</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八、合同修改：甲方和乙方都不得擅自变更本合同，但合同继续履行将损害国家和社会公共利益的除外。</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九、转让和分包：</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1、政府采购合同的部分和全部都不得转让。</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十、争议解决办法：</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因本合同或与本合同有关的一切事项发生争议，由双方友好协商解决。协商不成的，任何一方均可向甲方所在地的人民法院起诉。</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十一、合同的解除：</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1、除《</w:t>
      </w:r>
      <w:r>
        <w:rPr>
          <w:rFonts w:hint="eastAsia" w:hAnsi="宋体" w:eastAsia="宋体"/>
          <w:bCs/>
          <w:color w:val="auto"/>
          <w:sz w:val="21"/>
          <w:szCs w:val="21"/>
          <w:highlight w:val="none"/>
          <w:lang w:eastAsia="zh-CN"/>
        </w:rPr>
        <w:t xml:space="preserve">中华人民共和国政府采购法</w:t>
      </w:r>
      <w:r>
        <w:rPr>
          <w:rFonts w:hint="eastAsia" w:hAnsi="宋体" w:eastAsia="宋体"/>
          <w:bCs/>
          <w:color w:val="auto"/>
          <w:sz w:val="21"/>
          <w:szCs w:val="21"/>
          <w:highlight w:val="none"/>
        </w:rPr>
        <w:t xml:space="preserve">》第49条、第50条第二款规定的情形及本合同约定的情形外，本合同签订后，甲乙双方不得擅自变更、解除或终止本合同。</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2、有下列情形之一，合同一方可以解除合同：</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2.1因不可抗力致使不能实现合同目的，未受不可抗力影响的一方有权解除合同；</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2.2因合同一方违约导致合同不能履行，另一方有权解除合同。</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3、有权解除合同的一方，应当在违约事实或不可抗力发生之后三十天内书面通知对方提出解除合同，合同在书面通知到达对方时解除。</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十二、其它约定事项：</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1、下列文件为本合同不可分割部分：</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1.1中标通知书；</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1.2乙方的投标文件；</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1.3乙方在开标过程中所作的其它承诺、声明、书面澄清等；</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1.4招标文件及其附件；</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1.5合同附件；</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以上与本合同具有同等法律效力。</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pStyle w:val="112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十三、合同的生效：</w:t>
      </w:r>
      <w:r/>
    </w:p>
    <w:p>
      <w:pPr>
        <w:ind w:firstLine="42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1、本合同在双方签字盖章后即生效。</w:t>
      </w:r>
      <w:r/>
    </w:p>
    <w:p>
      <w:pPr>
        <w:ind w:firstLine="42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十四</w:t>
      </w:r>
      <w:r>
        <w:rPr>
          <w:rFonts w:hint="default" w:ascii="Times New Roman" w:hAnsi="Times New Roman" w:eastAsia="宋体" w:cs="Times New Roman"/>
          <w:color w:val="auto"/>
          <w:szCs w:val="21"/>
          <w:highlight w:val="none"/>
        </w:rPr>
        <w:t xml:space="preserve">、附则</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eastAsia" w:hAnsi="宋体" w:eastAsia="宋体"/>
          <w:bCs/>
          <w:color w:val="auto"/>
          <w:sz w:val="21"/>
          <w:szCs w:val="21"/>
          <w:highlight w:val="none"/>
        </w:rPr>
        <w:t xml:space="preserve">本合同一式伍份，甲方贰份，乙方</w:t>
      </w:r>
      <w:r>
        <w:rPr>
          <w:rFonts w:hint="eastAsia" w:hAnsi="宋体" w:eastAsia="宋体"/>
          <w:bCs/>
          <w:color w:val="auto"/>
          <w:sz w:val="21"/>
          <w:szCs w:val="21"/>
          <w:highlight w:val="none"/>
          <w:lang w:val="en-US" w:eastAsia="zh-CN"/>
        </w:rPr>
        <w:t xml:space="preserve">贰</w:t>
      </w:r>
      <w:r>
        <w:rPr>
          <w:rFonts w:hint="eastAsia" w:hAnsi="宋体" w:eastAsia="宋体"/>
          <w:bCs/>
          <w:color w:val="auto"/>
          <w:sz w:val="21"/>
          <w:szCs w:val="21"/>
          <w:highlight w:val="none"/>
        </w:rPr>
        <w:t xml:space="preserve">份，采购代理机构壹份</w:t>
      </w:r>
      <w:r>
        <w:rPr>
          <w:rFonts w:hint="default" w:ascii="Times New Roman" w:hAnsi="Times New Roman" w:eastAsia="宋体" w:cs="Times New Roman"/>
          <w:color w:val="auto"/>
          <w:szCs w:val="21"/>
          <w:highlight w:val="none"/>
        </w:rPr>
        <w:t xml:space="preserve">一份。</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本合同未尽事宜应按《中华人民共和国民法典》、《中华人民共和国政府采购法》以及其同相关法律、法规之规定解释。</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甲方</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签章</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乙方（签章）：</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p>
    <w:p>
      <w:pPr>
        <w:ind w:firstLine="420"/>
        <w:jc w:val="left"/>
        <w:spacing w:line="400" w:lineRule="exact"/>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r>
      <w:r/>
    </w:p>
    <w:p>
      <w:pPr>
        <w:ind w:firstLine="420"/>
        <w:jc w:val="center"/>
        <w:spacing w:line="400" w:lineRule="exact"/>
        <w:rPr>
          <w:rFonts w:ascii="宋体" w:hAnsi="宋体"/>
          <w:b/>
          <w:bCs/>
          <w:color w:val="auto"/>
          <w:szCs w:val="21"/>
          <w:highlight w:val="none"/>
        </w:rPr>
      </w:pPr>
      <w:r>
        <w:rPr>
          <w:rFonts w:hint="default" w:ascii="Times New Roman" w:hAnsi="Times New Roman" w:eastAsia="宋体" w:cs="Times New Roman"/>
          <w:color w:val="auto"/>
          <w:szCs w:val="21"/>
          <w:highlight w:val="none"/>
          <w:lang w:val="zh-CN"/>
        </w:rPr>
        <w:t xml:space="preserve">合同签订日期：   年</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月</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日</w:t>
      </w:r>
      <w:r>
        <w:rPr>
          <w:rFonts w:hint="default" w:ascii="Times New Roman" w:hAnsi="Times New Roman" w:eastAsia="宋体" w:cs="Times New Roman"/>
          <w:color w:val="auto"/>
          <w:szCs w:val="21"/>
          <w:highlight w:val="none"/>
        </w:rPr>
        <w:br w:type="page" w:clear="all"/>
      </w:r>
      <w:bookmarkEnd w:id="15"/>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en-US" w:eastAsia="zh-CN"/>
        </w:rPr>
        <w:t xml:space="preserve">二</w:t>
      </w:r>
      <w:r>
        <w:rPr>
          <w:rFonts w:hint="eastAsia" w:ascii="宋体" w:hAnsi="宋体"/>
          <w:b/>
          <w:color w:val="auto"/>
          <w:szCs w:val="21"/>
          <w:highlight w:val="none"/>
        </w:rPr>
        <w:t xml:space="preserve">、评分标准：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numPr>
          <w:ilvl w:val="0"/>
          <w:numId w:val="0"/>
        </w:numPr>
        <w:ind w:firstLine="420"/>
        <w:spacing w:line="400" w:lineRule="exact"/>
        <w:rPr>
          <w:rFonts w:hint="eastAsia" w:ascii="宋体" w:hAnsi="宋体"/>
          <w:b/>
          <w:bCs/>
          <w:color w:val="auto"/>
          <w:szCs w:val="21"/>
          <w:highlight w:val="none"/>
        </w:rPr>
      </w:pPr>
      <w:r>
        <w:rPr>
          <w:rFonts w:hint="eastAsia" w:ascii="宋体" w:hAnsi="宋体" w:eastAsia="宋体" w:cs="Times New Roman"/>
          <w:b/>
          <w:bCs/>
          <w:color w:val="auto"/>
          <w:sz w:val="21"/>
          <w:szCs w:val="21"/>
          <w:highlight w:val="none"/>
          <w:lang w:val="en-US" w:eastAsia="zh-CN" w:bidi="ar-SA"/>
        </w:rPr>
        <w:t xml:space="preserve">（一）</w:t>
      </w:r>
      <w:r>
        <w:rPr>
          <w:rFonts w:hint="eastAsia" w:ascii="宋体" w:hAnsi="宋体"/>
          <w:b/>
          <w:bCs/>
          <w:color w:val="auto"/>
          <w:szCs w:val="21"/>
          <w:highlight w:val="none"/>
        </w:rPr>
        <w:t xml:space="preserve">价格（</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numPr>
          <w:ilvl w:val="0"/>
          <w:numId w:val="0"/>
        </w:numPr>
        <w:ind w:firstLine="420"/>
        <w:spacing w:line="400" w:lineRule="exact"/>
        <w:rPr>
          <w:rFonts w:hint="eastAsia" w:ascii="宋体" w:hAnsi="宋体" w:cs="宋体"/>
          <w:color w:val="auto"/>
          <w:szCs w:val="24"/>
          <w:highlight w:val="none"/>
        </w:rPr>
      </w:pPr>
      <w:r>
        <w:rPr>
          <w:rFonts w:hint="eastAsia" w:ascii="宋体" w:hAnsi="宋体" w:cs="宋体"/>
          <w:color w:val="auto"/>
          <w:szCs w:val="24"/>
          <w:highlight w:val="none"/>
        </w:rPr>
        <w:t xml:space="preserve">以通过评标初审，实质性响应采购文件要求且投标报价最低的投标报价为评标基准价其价格分为满分</w:t>
      </w: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rPr>
        <w:t xml:space="preserve">分。其他投标人的价格分统一按照下列公式计算：</w:t>
      </w:r>
      <w:r/>
    </w:p>
    <w:p>
      <w:pPr>
        <w:numPr>
          <w:ilvl w:val="0"/>
          <w:numId w:val="0"/>
        </w:numPr>
        <w:ind w:firstLine="420"/>
        <w:spacing w:line="400" w:lineRule="exact"/>
        <w:rPr>
          <w:rFonts w:hint="eastAsia" w:ascii="宋体" w:hAnsi="宋体" w:cs="宋体"/>
          <w:color w:val="auto"/>
          <w:szCs w:val="24"/>
          <w:highlight w:val="none"/>
        </w:rPr>
      </w:pPr>
      <w:r>
        <w:rPr>
          <w:rFonts w:hint="eastAsia" w:ascii="宋体" w:hAnsi="宋体" w:cs="宋体"/>
          <w:color w:val="auto"/>
          <w:szCs w:val="24"/>
          <w:highlight w:val="none"/>
        </w:rPr>
        <w:t xml:space="preserve">投标报价得分=（评标基准价/投标报价）X价格权值X100（价格权值为</w:t>
      </w: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rPr>
        <w:t xml:space="preserve">%）</w:t>
      </w:r>
      <w:r/>
    </w:p>
    <w:p>
      <w:pPr>
        <w:numPr>
          <w:ilvl w:val="0"/>
          <w:numId w:val="0"/>
        </w:numPr>
        <w:ind w:firstLine="420"/>
        <w:spacing w:line="40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（二）服务方案比较（</w:t>
      </w:r>
      <w:r>
        <w:rPr>
          <w:rFonts w:hint="eastAsia" w:ascii="宋体" w:hAnsi="宋体" w:cs="宋体"/>
          <w:b/>
          <w:bCs/>
          <w:color w:val="auto"/>
          <w:szCs w:val="24"/>
          <w:highlight w:val="none"/>
          <w:lang w:val="en-US" w:eastAsia="zh-CN"/>
        </w:rPr>
        <w:t xml:space="preserve">82</w:t>
      </w:r>
      <w:r>
        <w:rPr>
          <w:rFonts w:hint="eastAsia" w:ascii="宋体" w:hAnsi="宋体" w:cs="宋体"/>
          <w:b/>
          <w:bCs/>
          <w:color w:val="auto"/>
          <w:szCs w:val="24"/>
          <w:highlight w:val="none"/>
        </w:rPr>
        <w:t xml:space="preserve">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1、针对本项目的日常维护方案比较（15分）：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方案内容完整，维护措施具有合理化建议、管理机制规范合理清晰责任明确得15分；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方案内容</w:t>
      </w:r>
      <w:r>
        <w:rPr>
          <w:rFonts w:hint="eastAsia" w:ascii="宋体" w:hAnsi="宋体" w:eastAsia="宋体" w:cs="Times New Roman"/>
          <w:color w:val="auto"/>
          <w:highlight w:val="none"/>
          <w:lang w:val="en-US" w:eastAsia="zh-CN"/>
        </w:rPr>
        <w:t xml:space="preserve">基本清晰，</w:t>
      </w:r>
      <w:r>
        <w:rPr>
          <w:rFonts w:hint="eastAsia" w:ascii="宋体" w:hAnsi="宋体" w:eastAsia="宋体" w:cs="Times New Roman"/>
          <w:color w:val="auto"/>
          <w:highlight w:val="none"/>
        </w:rPr>
        <w:t xml:space="preserve">能基本满足项目需求的得</w:t>
      </w:r>
      <w:r>
        <w:rPr>
          <w:rFonts w:hint="eastAsia" w:ascii="宋体" w:hAnsi="宋体" w:eastAsia="宋体" w:cs="Times New Roman"/>
          <w:color w:val="auto"/>
          <w:highlight w:val="none"/>
          <w:lang w:val="en-US" w:eastAsia="zh-CN"/>
        </w:rPr>
        <w:t xml:space="preserve">1</w:t>
      </w:r>
      <w:r>
        <w:rPr>
          <w:rFonts w:hint="eastAsia" w:ascii="宋体" w:hAnsi="宋体" w:eastAsia="宋体" w:cs="Times New Roman"/>
          <w:color w:val="auto"/>
          <w:highlight w:val="none"/>
        </w:rPr>
        <w:t xml:space="preserve">0分；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方案内容简单，管理机制和责任分配较为模糊得5分；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无内容不得分</w:t>
      </w:r>
      <w:r>
        <w:rPr>
          <w:rFonts w:hint="eastAsia" w:ascii="宋体" w:hAnsi="宋体" w:eastAsia="宋体" w:cs="Times New Roman"/>
          <w:color w:val="auto"/>
          <w:highlight w:val="none"/>
        </w:rPr>
        <w:t xml:space="preserve">。</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2、针对本项目的实施方案比较（10分）：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实施方案详细全面科学，具有可操作性得10分；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方案</w:t>
      </w:r>
      <w:r>
        <w:rPr>
          <w:rFonts w:hint="eastAsia" w:ascii="宋体" w:hAnsi="宋体" w:eastAsia="宋体" w:cs="Times New Roman"/>
          <w:color w:val="auto"/>
          <w:highlight w:val="none"/>
          <w:lang w:val="en-US" w:eastAsia="zh-CN"/>
        </w:rPr>
        <w:t xml:space="preserve">基本</w:t>
      </w:r>
      <w:r>
        <w:rPr>
          <w:rFonts w:hint="eastAsia" w:ascii="宋体" w:hAnsi="宋体" w:eastAsia="宋体" w:cs="Times New Roman"/>
          <w:color w:val="auto"/>
          <w:highlight w:val="none"/>
        </w:rPr>
        <w:t xml:space="preserve">全面</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可</w:t>
      </w:r>
      <w:r>
        <w:rPr>
          <w:rFonts w:hint="eastAsia" w:ascii="宋体" w:hAnsi="宋体" w:eastAsia="宋体" w:cs="Times New Roman"/>
          <w:color w:val="auto"/>
          <w:highlight w:val="none"/>
        </w:rPr>
        <w:t xml:space="preserve">操作</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能基本满足项目需求的得</w:t>
      </w: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方案内容</w:t>
      </w:r>
      <w:r>
        <w:rPr>
          <w:rFonts w:hint="eastAsia" w:ascii="宋体" w:hAnsi="宋体" w:eastAsia="宋体" w:cs="Times New Roman"/>
          <w:color w:val="auto"/>
          <w:highlight w:val="none"/>
          <w:lang w:val="en-US" w:eastAsia="zh-CN"/>
        </w:rPr>
        <w:t xml:space="preserve">简单</w:t>
      </w:r>
      <w:r>
        <w:rPr>
          <w:rFonts w:hint="eastAsia" w:ascii="宋体" w:hAnsi="宋体" w:eastAsia="宋体" w:cs="Times New Roman"/>
          <w:color w:val="auto"/>
          <w:highlight w:val="none"/>
        </w:rPr>
        <w:t xml:space="preserve">，操作性差得4分。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无内容不得分</w:t>
      </w:r>
      <w:r>
        <w:rPr>
          <w:rFonts w:hint="eastAsia" w:ascii="宋体" w:hAnsi="宋体" w:eastAsia="宋体" w:cs="Times New Roman"/>
          <w:color w:val="auto"/>
          <w:highlight w:val="none"/>
        </w:rPr>
        <w:t xml:space="preserve">。</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3、维修技术人员配置方案比较（8分）：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维修技术人员配置方案详细科学且人员具备一定维修</w:t>
      </w:r>
      <w:r>
        <w:rPr>
          <w:rFonts w:hint="eastAsia" w:ascii="宋体" w:hAnsi="宋体" w:eastAsia="宋体" w:cs="Times New Roman"/>
          <w:color w:val="auto"/>
          <w:highlight w:val="none"/>
          <w:lang w:val="en-US" w:eastAsia="zh-CN"/>
        </w:rPr>
        <w:t xml:space="preserve">能力</w:t>
      </w:r>
      <w:r>
        <w:rPr>
          <w:rFonts w:hint="eastAsia" w:ascii="宋体" w:hAnsi="宋体" w:eastAsia="宋体" w:cs="Times New Roman"/>
          <w:color w:val="auto"/>
          <w:highlight w:val="none"/>
        </w:rPr>
        <w:t xml:space="preserve">，工作职责分配清晰得8分；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维修技术人员配置方案</w:t>
      </w:r>
      <w:r>
        <w:rPr>
          <w:rFonts w:hint="eastAsia" w:ascii="宋体" w:hAnsi="宋体" w:eastAsia="宋体" w:cs="Times New Roman"/>
          <w:color w:val="auto"/>
          <w:highlight w:val="none"/>
          <w:lang w:val="en-US" w:eastAsia="zh-CN"/>
        </w:rPr>
        <w:t xml:space="preserve">简单</w:t>
      </w:r>
      <w:r>
        <w:rPr>
          <w:rFonts w:hint="eastAsia" w:ascii="宋体" w:hAnsi="宋体" w:eastAsia="宋体" w:cs="Times New Roman"/>
          <w:color w:val="auto"/>
          <w:highlight w:val="none"/>
        </w:rPr>
        <w:t xml:space="preserve">，工作职责分配一般得5分；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维修技术人员配置方案内容简单，维修人员</w:t>
      </w:r>
      <w:r>
        <w:rPr>
          <w:rFonts w:hint="eastAsia" w:ascii="宋体" w:hAnsi="宋体" w:eastAsia="宋体" w:cs="Times New Roman"/>
          <w:color w:val="auto"/>
          <w:highlight w:val="none"/>
          <w:lang w:val="en-US" w:eastAsia="zh-CN"/>
        </w:rPr>
        <w:t xml:space="preserve">能力</w:t>
      </w:r>
      <w:r>
        <w:rPr>
          <w:rFonts w:hint="eastAsia" w:ascii="宋体" w:hAnsi="宋体" w:eastAsia="宋体" w:cs="Times New Roman"/>
          <w:color w:val="auto"/>
          <w:highlight w:val="none"/>
        </w:rPr>
        <w:t xml:space="preserve">水平一般，没有详细工作职责分配得2分；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无内容不得分</w:t>
      </w:r>
      <w:r>
        <w:rPr>
          <w:rFonts w:hint="eastAsia" w:ascii="宋体" w:hAnsi="宋体" w:eastAsia="宋体" w:cs="Times New Roman"/>
          <w:color w:val="auto"/>
          <w:highlight w:val="none"/>
        </w:rPr>
        <w:t xml:space="preserve">。</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4、对维保工程师的管理制度比较（4分）：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管理规范制度完善得4分，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管理制度</w:t>
      </w:r>
      <w:r>
        <w:rPr>
          <w:rFonts w:hint="eastAsia" w:ascii="宋体" w:hAnsi="宋体" w:eastAsia="宋体" w:cs="Times New Roman"/>
          <w:color w:val="auto"/>
          <w:highlight w:val="none"/>
          <w:lang w:val="en-US" w:eastAsia="zh-CN"/>
        </w:rPr>
        <w:t xml:space="preserve">有缺陷得</w:t>
      </w:r>
      <w:r>
        <w:rPr>
          <w:rFonts w:hint="eastAsia" w:ascii="宋体" w:hAnsi="宋体" w:eastAsia="宋体" w:cs="Times New Roman"/>
          <w:color w:val="auto"/>
          <w:highlight w:val="none"/>
        </w:rPr>
        <w:t xml:space="preserve">1分。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无内容不得分</w:t>
      </w:r>
      <w:r>
        <w:rPr>
          <w:rFonts w:hint="eastAsia" w:ascii="宋体" w:hAnsi="宋体" w:eastAsia="宋体" w:cs="Times New Roman"/>
          <w:color w:val="auto"/>
          <w:highlight w:val="none"/>
        </w:rPr>
        <w:t xml:space="preserve">。</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5、针对本项目的应急预案及抢修方案比较（11分）：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应急预案服务高效、具有针对性强的措施和合理化建议，可行性高得11分；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应急预案服务基本满足采购要求、具有合理化建议，有一定的可行性得8分；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应急预案服务满足采购需求但较简单，可行性差得5分。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无内容不得分</w:t>
      </w:r>
      <w:r>
        <w:rPr>
          <w:rFonts w:hint="eastAsia" w:ascii="宋体" w:hAnsi="宋体" w:eastAsia="宋体" w:cs="Times New Roman"/>
          <w:color w:val="auto"/>
          <w:highlight w:val="none"/>
        </w:rPr>
        <w:t xml:space="preserve">。</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6、维保过程中的安全防范措施比较（7分）：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安全防范措施考虑全面，最可行的得7分；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安全防范措施考虑</w:t>
      </w:r>
      <w:r>
        <w:rPr>
          <w:rFonts w:hint="eastAsia" w:ascii="宋体" w:hAnsi="宋体" w:eastAsia="宋体" w:cs="Times New Roman"/>
          <w:color w:val="auto"/>
          <w:highlight w:val="none"/>
          <w:lang w:val="en-US" w:eastAsia="zh-CN"/>
        </w:rPr>
        <w:t xml:space="preserve">简单，但基本能满足项目实际情况得4</w:t>
      </w:r>
      <w:r>
        <w:rPr>
          <w:rFonts w:hint="eastAsia" w:ascii="宋体" w:hAnsi="宋体" w:eastAsia="宋体" w:cs="Times New Roman"/>
          <w:color w:val="auto"/>
          <w:highlight w:val="none"/>
        </w:rPr>
        <w:t xml:space="preserve">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安全防范措施</w:t>
      </w:r>
      <w:r>
        <w:rPr>
          <w:rFonts w:hint="eastAsia" w:ascii="宋体" w:hAnsi="宋体" w:eastAsia="宋体" w:cs="Times New Roman"/>
          <w:color w:val="auto"/>
          <w:highlight w:val="none"/>
          <w:lang w:val="en-US" w:eastAsia="zh-CN"/>
        </w:rPr>
        <w:t xml:space="preserve">有缺陷</w:t>
      </w:r>
      <w:r>
        <w:rPr>
          <w:rFonts w:hint="eastAsia" w:ascii="宋体" w:hAnsi="宋体" w:eastAsia="宋体" w:cs="Times New Roman"/>
          <w:color w:val="auto"/>
          <w:highlight w:val="none"/>
        </w:rPr>
        <w:t xml:space="preserve">得</w:t>
      </w:r>
      <w:r>
        <w:rPr>
          <w:rFonts w:hint="eastAsia" w:ascii="宋体" w:hAnsi="宋体" w:eastAsia="宋体" w:cs="Times New Roman"/>
          <w:color w:val="auto"/>
          <w:highlight w:val="none"/>
          <w:lang w:val="en-US" w:eastAsia="zh-CN"/>
        </w:rPr>
        <w:t xml:space="preserve">1</w:t>
      </w:r>
      <w:r>
        <w:rPr>
          <w:rFonts w:hint="eastAsia" w:ascii="宋体" w:hAnsi="宋体" w:eastAsia="宋体" w:cs="Times New Roman"/>
          <w:color w:val="auto"/>
          <w:highlight w:val="none"/>
        </w:rPr>
        <w:t xml:space="preserve">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无内容不得分</w:t>
      </w:r>
      <w:r>
        <w:rPr>
          <w:rFonts w:hint="eastAsia" w:ascii="宋体" w:hAnsi="宋体" w:eastAsia="宋体" w:cs="Times New Roman"/>
          <w:color w:val="auto"/>
          <w:highlight w:val="none"/>
        </w:rPr>
        <w:t xml:space="preserve">。</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（三）技术团队实力（20分）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1、配备于本项目的维修工程师具备同类机型维修经验的，有1名得2分，最多得8分。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2、配备有全职专业维修工程师的有1名得2分，提供社保证明材料。（2分）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3、服务体系的完善性（2分）具有设备原厂授权的维修资质的得2分，提供维修资格证书复印件。</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4、维修零部件及零备件仓库比较（8分）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（1）承诺维修所用零部件为原厂同型号匹配备件的，得4分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（2）在国内设有专门的零备件仓库的得2分，设有维修工厂的得2分（4分）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（四）投标人类似经验比较（10分）</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自202</w:t>
      </w:r>
      <w:r>
        <w:rPr>
          <w:rFonts w:hint="eastAsia" w:ascii="宋体" w:hAnsi="宋体" w:eastAsia="宋体" w:cs="Times New Roman"/>
          <w:color w:val="auto"/>
          <w:highlight w:val="none"/>
          <w:lang w:val="en-US" w:eastAsia="zh-CN"/>
        </w:rPr>
        <w:t xml:space="preserve">3</w:t>
      </w:r>
      <w:r>
        <w:rPr>
          <w:rFonts w:hint="eastAsia" w:ascii="宋体" w:hAnsi="宋体" w:eastAsia="宋体" w:cs="Times New Roman"/>
          <w:color w:val="auto"/>
          <w:highlight w:val="none"/>
        </w:rPr>
        <w:t xml:space="preserve">年1月1 日以来类似设备维修保养服务经验的，提供一份合同复印件得2.5分，最高得 10分。投标时提供维修保养合同复印件，不提供不得分。</w:t>
      </w:r>
      <w:r/>
    </w:p>
    <w:p>
      <w:pPr>
        <w:ind w:firstLine="420"/>
        <w:jc w:val="right"/>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0"/>
        <w:jc w:val="right"/>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0"/>
        <w:jc w:val="right"/>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39</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default"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JSZC-320500-SZWK-G2026-0330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link w:val="939"/>
    <w:uiPriority w:val="0"/>
    <w:unhideWhenUsed/>
    <w:qFormat/>
    <w:pPr>
      <w:ind w:firstLine="420"/>
      <w:jc w:val="left"/>
    </w:pPr>
    <w:rPr>
      <w:rFonts w:ascii="楷体_GB2312" w:eastAsia="楷体_GB2312"/>
      <w:sz w:val="24"/>
      <w:szCs w:val="20"/>
    </w:rPr>
  </w:style>
  <w:style w:type="paragraph" w:styleId="742">
    <w:name w:val="Caption"/>
    <w:basedOn w:val="728"/>
    <w:next w:val="728"/>
    <w:uiPriority w:val="35"/>
    <w:semiHidden/>
    <w:unhideWhenUsed/>
    <w:qFormat/>
    <w:pPr>
      <w:spacing w:line="276" w:lineRule="auto"/>
    </w:pPr>
    <w:rPr>
      <w:b/>
      <w:bCs/>
      <w:color w:val="4f81bd"/>
      <w:sz w:val="18"/>
      <w:szCs w:val="18"/>
    </w:rPr>
  </w:style>
  <w:style w:type="paragraph" w:styleId="743">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4">
    <w:name w:val="annotation text"/>
    <w:basedOn w:val="728"/>
    <w:link w:val="941"/>
    <w:uiPriority w:val="0"/>
    <w:unhideWhenUsed/>
    <w:qFormat/>
    <w:pPr>
      <w:jc w:val="left"/>
      <w:widowControl/>
    </w:pPr>
    <w:rPr>
      <w:rFonts w:ascii="Times New Roman" w:hAnsi="Times New Roman"/>
      <w:sz w:val="24"/>
      <w:szCs w:val="24"/>
    </w:rPr>
  </w:style>
  <w:style w:type="paragraph" w:styleId="745">
    <w:name w:val="Body Text"/>
    <w:basedOn w:val="728"/>
    <w:link w:val="942"/>
    <w:uiPriority w:val="99"/>
    <w:qFormat/>
    <w:pPr>
      <w:jc w:val="left"/>
      <w:spacing w:line="360" w:lineRule="auto"/>
      <w:widowControl/>
    </w:pPr>
    <w:rPr>
      <w:rFonts w:ascii="Times New Roman" w:hAnsi="Times New Roman"/>
      <w:sz w:val="24"/>
      <w:szCs w:val="20"/>
    </w:rPr>
  </w:style>
  <w:style w:type="paragraph" w:styleId="746">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next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4"/>
    <w:next w:val="744"/>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1"/>
    <w:uiPriority w:val="0"/>
    <w:qFormat/>
    <w:rPr>
      <w:rFonts w:ascii="楷体_GB2312" w:eastAsia="楷体_GB2312"/>
      <w:sz w:val="24"/>
    </w:rPr>
  </w:style>
  <w:style w:type="character" w:styleId="940" w:customStyle="1">
    <w:name w:val="文档结构图 字符"/>
    <w:link w:val="743"/>
    <w:uiPriority w:val="0"/>
    <w:qFormat/>
    <w:rPr>
      <w:rFonts w:ascii="Times New Roman" w:hAnsi="Times New Roman"/>
      <w:sz w:val="24"/>
      <w:szCs w:val="24"/>
      <w:shd w:val="clear" w:color="auto" w:fill="000080"/>
    </w:rPr>
  </w:style>
  <w:style w:type="character" w:styleId="941" w:customStyle="1">
    <w:name w:val="批注文字 字符1"/>
    <w:link w:val="744"/>
    <w:uiPriority w:val="0"/>
    <w:qFormat/>
    <w:rPr>
      <w:rFonts w:ascii="Times New Roman" w:hAnsi="Times New Roman"/>
      <w:sz w:val="24"/>
      <w:szCs w:val="24"/>
    </w:rPr>
  </w:style>
  <w:style w:type="character" w:styleId="942" w:customStyle="1">
    <w:name w:val="正文文本 字符"/>
    <w:link w:val="745"/>
    <w:uiPriority w:val="99"/>
    <w:qFormat/>
    <w:rPr>
      <w:rFonts w:ascii="Times New Roman" w:hAnsi="Times New Roman"/>
      <w:sz w:val="24"/>
    </w:rPr>
  </w:style>
  <w:style w:type="character" w:styleId="943" w:customStyle="1">
    <w:name w:val="正文文本缩进 字符2"/>
    <w:link w:val="746"/>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6"/>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3"/>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3"/>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3"/>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3"/>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3"/>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3"/>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3"/>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3"/>
    <w:uiPriority w:val="0"/>
    <w:qFormat/>
    <w:pPr>
      <w:spacing w:line="360" w:lineRule="auto"/>
    </w:pPr>
  </w:style>
  <w:style w:type="paragraph" w:styleId="1059" w:customStyle="1">
    <w:name w:val="_Style 26"/>
    <w:basedOn w:val="743"/>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paragraph" w:styleId="1124" w:customStyle="1">
    <w:name w:val="正文缩进1"/>
    <w:basedOn w:val="728"/>
    <w:uiPriority w:val="0"/>
    <w:unhideWhenUsed/>
    <w:qFormat/>
    <w:pPr>
      <w:ind w:firstLine="420"/>
      <w:jc w:val="left"/>
    </w:pPr>
    <w:rPr>
      <w:rFonts w:ascii="楷体_GB2312" w:eastAsia="楷体_GB2312"/>
      <w:sz w:val="24"/>
      <w:szCs w:val="20"/>
    </w:rPr>
  </w:style>
  <w:style w:type="paragraph" w:styleId="1125" w:customStyle="1">
    <w:name w:val="正文文本缩进1"/>
    <w:basedOn w:val="728"/>
    <w:next w:val="728"/>
    <w:uiPriority w:val="0"/>
    <w:unhideWhenUsed/>
    <w:qFormat/>
    <w:pPr>
      <w:ind w:right="-159" w:firstLine="246"/>
      <w:spacing w:line="240" w:lineRule="atLeast"/>
    </w:pPr>
    <w:rPr>
      <w:rFonts w:ascii="Times New Roman" w:hAnsi="Times New Roman"/>
      <w:spacing w:val="20"/>
      <w:szCs w:val="24"/>
    </w:rPr>
  </w:style>
  <w:style w:type="paragraph" w:styleId="1126" w:customStyle="1">
    <w:name w:val="纯文本11"/>
    <w:basedOn w:val="728"/>
    <w:uiPriority w:val="99"/>
    <w:qFormat/>
    <w:rPr>
      <w:rFonts w:ascii="宋体" w:hAnsi="Courier New" w:eastAsia="楷体_GB2312"/>
      <w:sz w:val="26"/>
      <w:szCs w:val="20"/>
    </w:rPr>
  </w:style>
  <w:style w:type="paragraph" w:styleId="1127" w:customStyle="1">
    <w:name w:val="Plain Text"/>
    <w:basedOn w:val="728"/>
    <w:uiPriority w:val="0"/>
    <w:qFormat/>
    <w:rPr>
      <w:rFonts w:ascii="宋体" w:hAnsi="Courier New" w:eastAsia="楷体_GB2312"/>
      <w:sz w:val="26"/>
      <w:szCs w:val="20"/>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4A179163-6FD1-4129-8C55-C4238697F9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2026-10-13T07:46:56Z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eyJoZGlkIjoiYzgxNTZiMGFmYmM5ZjQ2M2I2NTdjMTkzZGI5MmE4YzgiLCJ1c2VySWQiOiIyNjU0MDk1MSJ9</vt:lpwstr>
  </property>
  <property fmtid="{D5CDD505-2E9C-101B-9397-08002B2CF9AE}" pid="3" name="KSOProductBuildVer">
    <vt:lpwstr>2052-12.1.0.28505</vt:lpwstr>
  </property>
  <property fmtid="{D5CDD505-2E9C-101B-9397-08002B2CF9AE}" pid="4" name="ICV">
    <vt:lpwstr>15CD085E8946416496E6C868096C5C43_13</vt:lpwstr>
  </property>
</Properties>
</file>