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72"/>
        </w:rPr>
        <w:t xml:space="preserve">竞争性磋商文件</w:t>
      </w:r>
      <w:r>
        <w:rPr>
          <w:rFonts w:ascii="Times New Roman" w:hAnsi="Times New Roman" w:eastAsia="Times New Roman" w:cs="Times New Roma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714500" cy="21431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169908" name=""/>
                        <pic:cNvPicPr>
                          <a:picLocks noChangeAspect="1"/>
                        </pic:cNvPicPr>
                        <pic:nvPr/>
                      </pic:nvPicPr>
                      <pic:blipFill>
                        <a:blip/>
                        <a:stretch/>
                      </pic:blipFill>
                      <pic:spPr bwMode="auto">
                        <a:xfrm>
                          <a:off x="0" y="0"/>
                          <a:ext cx="1714500" cy="2143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0pt;height:168.8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44"/>
        </w:rPr>
        <w:t xml:space="preserve"> </w:t>
      </w:r>
      <w:r>
        <w:rPr>
          <w:rFonts w:ascii="Times New Roman" w:hAnsi="Times New Roman" w:eastAsia="Times New Roman" w:cs="Times New Roman"/>
          <w:sz w:val="21"/>
        </w:rPr>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46"/>
      </w:tblGrid>
      <w:tr>
        <w:trPr>
          <w:trHeight w:val="15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746" w:type="dxa"/>
            <w:vAlign w:val="top"/>
            <w:textDirection w:val="lrTb"/>
            <w:noWrap w:val="false"/>
          </w:tcPr>
          <w:p>
            <w:pPr>
              <w:ind w:left="1078" w:right="0" w:hanging="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项目编号：JSZC-320111-SNZX-C2026-0155</w:t>
            </w:r>
            <w:r>
              <w:rPr>
                <w:rFonts w:ascii="Times New Roman" w:hAnsi="Times New Roman" w:eastAsia="Times New Roman" w:cs="Times New Roman"/>
                <w:sz w:val="21"/>
              </w:rPr>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项目名称：2026年江北新区（浦口区）象山湖水利风景区生态补偿项目</w:t>
            </w:r>
            <w:r>
              <w:rPr>
                <w:rFonts w:ascii="Times New Roman" w:hAnsi="Times New Roman" w:eastAsia="Times New Roman" w:cs="Times New Roman"/>
                <w:sz w:val="21"/>
              </w:rPr>
            </w:r>
            <w:r/>
          </w:p>
          <w:p>
            <w:pPr>
              <w:ind w:left="0" w:right="0" w:firstLine="72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采购类别：工程类</w:t>
            </w:r>
            <w:r>
              <w:rPr>
                <w:rFonts w:ascii="Times New Roman" w:hAnsi="Times New Roman" w:eastAsia="Times New Roman" w:cs="Times New Roman"/>
                <w:sz w:val="21"/>
              </w:rPr>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rPr>
          <w:rFonts w:ascii="Times New Roman" w:hAnsi="Times New Roman" w:eastAsia="Times New Roman" w:cs="Times New Roman"/>
          <w:sz w:val="21"/>
        </w:rPr>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采购人：南京市浦口区河道管理所</w:t>
      </w:r>
      <w:r>
        <w:rPr>
          <w:rFonts w:ascii="Times New Roman" w:hAnsi="Times New Roman" w:eastAsia="Times New Roman" w:cs="Times New Roman"/>
          <w:sz w:val="21"/>
        </w:rPr>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代理机构：南京苏宁工程咨询有限公司</w:t>
      </w:r>
      <w:r>
        <w:rPr>
          <w:rFonts w:ascii="Times New Roman" w:hAnsi="Times New Roman" w:eastAsia="Times New Roman" w:cs="Times New Roman"/>
          <w:sz w:val="21"/>
        </w:rPr>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日期：二〇二六年十月</w:t>
      </w:r>
      <w:r>
        <w:rPr>
          <w:rFonts w:ascii="Times New Roman" w:hAnsi="Times New Roman" w:eastAsia="Times New Roman" w:cs="Times New Roman"/>
          <w:sz w:val="21"/>
        </w:rPr>
      </w:r>
      <w:r/>
    </w:p>
    <w:p>
      <w:pPr>
        <w:ind w:left="0" w:right="0" w:firstLine="0"/>
        <w:jc w:val="center"/>
        <w:spacing w:before="0" w:after="0" w:line="85" w:lineRule="atLeast"/>
        <w:tabs>
          <w:tab w:val="left" w:pos="9746" w:leader="none"/>
        </w:tabs>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ind w:left="0" w:right="0" w:firstLine="0"/>
        <w:jc w:val="center"/>
        <w:spacing w:before="0" w:after="0" w:line="85" w:lineRule="atLeast"/>
        <w:tabs>
          <w:tab w:val="left" w:pos="974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u w:val="none"/>
        </w:rPr>
        <w:t xml:space="preserve">第一章</w:t>
      </w:r>
      <w:r>
        <w:rPr>
          <w:rFonts w:ascii="FangSong" w:hAnsi="FangSong" w:eastAsia="FangSong" w:cs="FangSong"/>
          <w:b/>
          <w:color w:val="000000"/>
          <w:sz w:val="30"/>
        </w:rPr>
        <w:t xml:space="preserve">竞争性磋商邀请</w:t>
      </w:r>
      <w:r>
        <w:rPr>
          <w:rFonts w:ascii="Times New Roman" w:hAnsi="Times New Roman" w:eastAsia="Times New Roman" w:cs="Times New Roman"/>
          <w:sz w:val="21"/>
        </w:rPr>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46"/>
      </w:tblGrid>
      <w:tr>
        <w:trPr>
          <w:trHeight w:val="10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46"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u w:val="none"/>
              </w:rPr>
              <w:t xml:space="preserve">项目概况</w:t>
            </w:r>
            <w:r>
              <w:rPr>
                <w:rFonts w:ascii="Times New Roman" w:hAnsi="Times New Roman" w:eastAsia="Times New Roman" w:cs="Times New Roman"/>
                <w:sz w:val="20"/>
              </w:rPr>
            </w:r>
            <w:r/>
          </w:p>
          <w:p>
            <w:pPr>
              <w:ind w:left="0" w:right="0" w:firstLine="420"/>
              <w:spacing w:before="0" w:after="0" w:line="85" w:lineRule="atLeast"/>
              <w:rPr>
                <w:rFonts w:ascii="Times New Roman" w:hAnsi="Times New Roman" w:eastAsia="Times New Roman" w:cs="Times New Roman"/>
                <w:szCs w:val="20"/>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u w:val="single"/>
              </w:rPr>
              <w:t xml:space="preserve">2026年江北新区（浦口区）象山湖水利风景区生态补偿项目 JSZC-320111-SNZX-C2026-0155</w:t>
            </w:r>
            <w:r>
              <w:rPr>
                <w:rFonts w:ascii="FangSong" w:hAnsi="FangSong" w:eastAsia="FangSong" w:cs="FangSong"/>
                <w:color w:val="000000"/>
                <w:sz w:val="21"/>
              </w:rPr>
              <w:t xml:space="preserve">采购项目的潜在供应商应在</w:t>
            </w:r>
            <w:r>
              <w:rPr>
                <w:rFonts w:ascii="FangSong" w:hAnsi="FangSong" w:eastAsia="FangSong" w:cs="FangSong"/>
                <w:color w:val="000000"/>
                <w:sz w:val="21"/>
                <w:u w:val="single"/>
              </w:rPr>
              <w:t xml:space="preserve">江苏政府采购网苏采云系统</w:t>
            </w:r>
            <w:r>
              <w:rPr>
                <w:rFonts w:ascii="FangSong" w:hAnsi="FangSong" w:eastAsia="FangSong" w:cs="FangSong"/>
                <w:color w:val="000000"/>
                <w:sz w:val="21"/>
              </w:rPr>
              <w:t xml:space="preserve">获取采购文件，并于</w:t>
            </w:r>
            <w:r>
              <w:rPr>
                <w:rFonts w:ascii="FangSong" w:hAnsi="FangSong" w:eastAsia="FangSong" w:cs="FangSong"/>
                <w:b/>
                <w:color w:val="000000"/>
                <w:sz w:val="21"/>
                <w:u w:val="single"/>
              </w:rPr>
              <w:t xml:space="preserve">2026-10-22 09:00</w:t>
            </w:r>
            <w:r>
              <w:rPr>
                <w:rFonts w:ascii="FangSong" w:hAnsi="FangSong" w:eastAsia="FangSong" w:cs="FangSong"/>
                <w:color w:val="000000"/>
                <w:sz w:val="21"/>
                <w:u w:val="single"/>
              </w:rPr>
              <w:t xml:space="preserve">（北京时间）</w:t>
            </w:r>
            <w:r>
              <w:rPr>
                <w:rFonts w:ascii="FangSong" w:hAnsi="FangSong" w:eastAsia="FangSong" w:cs="FangSong"/>
                <w:color w:val="000000"/>
                <w:sz w:val="21"/>
              </w:rPr>
              <w:t xml:space="preserve">前提交响应文件。</w:t>
            </w:r>
            <w:r>
              <w:rPr>
                <w:rFonts w:ascii="Times New Roman" w:hAnsi="Times New Roman" w:eastAsia="Times New Roman" w:cs="Times New Roman"/>
                <w:sz w:val="20"/>
              </w:rPr>
            </w:r>
            <w:r/>
          </w:p>
        </w:tc>
      </w:tr>
    </w:tbl>
    <w:p>
      <w:pPr>
        <w:pStyle w:val="1202"/>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一、项目基本情况</w:t>
      </w:r>
      <w:r>
        <w:rPr>
          <w:sz w:val="32"/>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项目编号：JSZC-320111-SNZX-C2026-0155</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项目名称：2026年江北新区（浦口区）象山湖水利风景区生态补偿项目</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采购方式：竞争性磋商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预算金额：144.78万元</w:t>
      </w:r>
      <w:r>
        <w:rPr>
          <w:rFonts w:ascii="Times New Roman" w:hAnsi="Times New Roman" w:eastAsia="Times New Roman" w:cs="Times New Roman"/>
          <w:sz w:val="21"/>
        </w:rPr>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最高限价：143.495862万元，报价超过最高限价的为无效报价，按照无效投标处理。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采购需求：工程范围包含更换老旧木铺装为仿石铺装、增设两条水磨石座凳、绿化提升、植物移栽、安全设施维修更新等；具体内容详见采购文件及工程量清单。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合同履行期限（工期）：自合同签订之日起，50个日历日内竣工。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本项目（是/否）接受联合体：否。</w:t>
      </w:r>
      <w:r>
        <w:rPr>
          <w:rFonts w:ascii="Times New Roman" w:hAnsi="Times New Roman" w:eastAsia="Times New Roman" w:cs="Times New Roman"/>
          <w:sz w:val="21"/>
        </w:rPr>
      </w:r>
      <w:r/>
    </w:p>
    <w:p>
      <w:pPr>
        <w:pStyle w:val="787"/>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二、申请人的资格要求：</w:t>
      </w:r>
      <w:r>
        <w:rPr>
          <w:sz w:val="32"/>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（一）满足《中华人民共和国政府采购法》第二十二条规定：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u w:val="none"/>
        </w:rPr>
        <w:t xml:space="preserve">1.具有独立承担民事责任的能力（提供法人或者其他组织的营业执照等证明材料复印件加盖公章，自然人的身份证复印件加盖公章）；</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具有良好的商业信誉和健全的财务会计制度（提供2025年度的审计报告复印件加盖公章或投标截止时间前六个月内（2026年4月至2026年9月）至少一个月的财务状况报告（至少包括资产负债表和利润表）复印件并加盖公章，或投标截止时间前六个月内（2026年4月至2026年9月）银行出具的资信证明复印件并加盖公章，或财政部门认可的专业担保机构出具的投标担保函复印件加盖公章，成立不满一个月的无须提供）；</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3.具有履行合同所必需的设备和专业技术能力（根据项目需求提供履行合同所必需的设备和专业技术能力的声明函或证明材料）；</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有依法缴纳税收和社会保障资金的良好记录（提供投标截止时间前六个月内（税款所属时期：2026年4月至2026年9月）至少一个月依法缴纳税收（企业代缴的个人所得税除外）和社会保障资金的相关材料（提供相关主管部门证明或银行代扣证明的复印件，根据国家相关政策免缴或迟缴的需提供相关证明材料）；</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5.参加本次采购活动前三年内，在经营活动中没有重大违法记录（提供参加本次采购活动前3年内在经营活动中没有重大违法记录的书面声明）；</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6.法律、行政法规规定的其他条件：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（1）单位负责人为同一人或者存在直接控股、管理关系的不同供应商，不得参加同一合同项下的采购活动。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（2）为采购项目提供整体设计、规范编制或者项目管理、监理、检测等服务的供应商，不得再参加该采购项目的其他采购活动。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拒绝列入失信被执行人、重大税收违法失信主体、严重违法失信行为记录名单的供应商参与采购活动。采购代理机构将在响应文件提交截止时间后，通过“信用中国”网站等渠道查询供应商信用记录并保存。</w:t>
      </w:r>
      <w:r>
        <w:rPr>
          <w:rFonts w:ascii="Times New Roman" w:hAnsi="Times New Roman" w:eastAsia="Times New Roman" w:cs="Times New Roman"/>
          <w:sz w:val="21"/>
        </w:rPr>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（二）落实政府采购政策需满足的资格要求：</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本项目为专门面向中小企业的采购项目或采购包，整体专门面向中小企业采购。</w:t>
      </w:r>
      <w:r>
        <w:rPr>
          <w:sz w:val="24"/>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（三）本项目的特定资格要求：</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1.资质条件：施工总承包水利水电工程三级（含）以上并且具有安全生产许可证；</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2.项目负责人资格：水利水电工程二级（含）以上并且具有水行政主管部门颁发的安全生产考核B类合格证；</w:t>
      </w:r>
      <w:r>
        <w:rPr>
          <w:rFonts w:ascii="Times New Roman" w:hAnsi="Times New Roman" w:eastAsia="Times New Roman" w:cs="Times New Roman"/>
          <w:sz w:val="21"/>
        </w:rPr>
      </w:r>
      <w:r/>
    </w:p>
    <w:p>
      <w:pPr>
        <w:ind w:left="0" w:right="0" w:firstLine="45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8"/>
          <w:sz w:val="21"/>
        </w:rPr>
        <w:t xml:space="preserve">（四）拒绝下述供应商参加本次采购活动：</w:t>
      </w:r>
      <w:r>
        <w:rPr>
          <w:rFonts w:ascii="Times New Roman" w:hAnsi="Times New Roman" w:eastAsia="Times New Roman" w:cs="Times New Roman"/>
          <w:sz w:val="21"/>
        </w:rPr>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8"/>
          <w:sz w:val="21"/>
        </w:rPr>
        <w:t xml:space="preserve">1.供应商单位负责人为同一人或者存在直接控股、管理关系的不同供应商，不得参加同一合同项下的采购活动</w:t>
      </w:r>
      <w:r>
        <w:rPr>
          <w:rFonts w:ascii="FangSong" w:hAnsi="FangSong" w:eastAsia="FangSong" w:cs="FangSong"/>
          <w:b/>
          <w:color w:val="000000"/>
          <w:spacing w:val="8"/>
          <w:sz w:val="21"/>
        </w:rPr>
        <w:t xml:space="preserve">；</w:t>
      </w:r>
      <w:r>
        <w:rPr>
          <w:rFonts w:ascii="Times New Roman" w:hAnsi="Times New Roman" w:eastAsia="Times New Roman" w:cs="Times New Roman"/>
          <w:sz w:val="21"/>
        </w:rPr>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8"/>
          <w:sz w:val="21"/>
        </w:rPr>
        <w:t xml:space="preserve">2.凡为采购项目提供整体设计、规范编制或者项目管理、监理、检测等服务的供应商，不得再参加本项目的采购活动；</w:t>
      </w:r>
      <w:r>
        <w:rPr>
          <w:rFonts w:ascii="Times New Roman" w:hAnsi="Times New Roman" w:eastAsia="Times New Roman" w:cs="Times New Roman"/>
          <w:sz w:val="21"/>
        </w:rPr>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8"/>
          <w:sz w:val="21"/>
        </w:rPr>
        <w:t xml:space="preserve">3.被“信用中国”网站（www.creditchina.gov.cn）、中国政府采购网（www.ccgp.gov.cn）列入失信被执行人、重大税收违法失信主体名单、政府采购严重违法失信行为记录名单的。</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三、获取采购文件</w:t>
      </w:r>
      <w:r>
        <w:rPr>
          <w:rFonts w:ascii="Times New Roman" w:hAnsi="Times New Roman" w:eastAsia="Times New Roman" w:cs="Times New Roman"/>
          <w:sz w:val="21"/>
        </w:rPr>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8"/>
          <w:sz w:val="21"/>
          <w:u w:val="none"/>
        </w:rPr>
        <w:t xml:space="preserve">时间：自磋商文件公告发布之日起5个工作日 </w:t>
      </w:r>
      <w:r>
        <w:rPr>
          <w:rFonts w:ascii="Times New Roman" w:hAnsi="Times New Roman" w:eastAsia="Times New Roman" w:cs="Times New Roman"/>
          <w:sz w:val="21"/>
        </w:rPr>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8"/>
          <w:sz w:val="21"/>
        </w:rPr>
        <w:t xml:space="preserve">地点：江苏政府采购网苏采云系统 </w:t>
      </w:r>
      <w:r>
        <w:rPr>
          <w:rFonts w:ascii="Times New Roman" w:hAnsi="Times New Roman" w:eastAsia="Times New Roman" w:cs="Times New Roman"/>
          <w:sz w:val="21"/>
        </w:rPr>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8"/>
          <w:sz w:val="21"/>
        </w:rPr>
        <w:t xml:space="preserve">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ascii="Times New Roman" w:hAnsi="Times New Roman" w:eastAsia="Times New Roman" w:cs="Times New Roman"/>
          <w:sz w:val="21"/>
        </w:rPr>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8"/>
          <w:sz w:val="21"/>
        </w:rPr>
        <w:t xml:space="preserve">售价：0.00元</w:t>
      </w:r>
      <w:r>
        <w:rPr>
          <w:rFonts w:ascii="Times New Roman" w:hAnsi="Times New Roman" w:eastAsia="Times New Roman" w:cs="Times New Roman"/>
          <w:sz w:val="21"/>
        </w:rPr>
      </w:r>
      <w:r/>
    </w:p>
    <w:p>
      <w:pPr>
        <w:pStyle w:val="787"/>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四、响应文件提交</w:t>
      </w:r>
      <w:r>
        <w:rPr>
          <w:sz w:val="32"/>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截止时间：</w:t>
      </w:r>
      <w:r>
        <w:rPr>
          <w:rFonts w:ascii="FangSong" w:hAnsi="FangSong" w:eastAsia="FangSong" w:cs="FangSong"/>
          <w:color w:val="000000"/>
          <w:sz w:val="21"/>
          <w:highlight w:val="yellow"/>
        </w:rPr>
        <w:t xml:space="preserve">2026-10-22 09:00</w:t>
      </w:r>
      <w:r>
        <w:rPr>
          <w:rFonts w:ascii="FangSong" w:hAnsi="FangSong" w:eastAsia="FangSong" w:cs="FangSong"/>
          <w:color w:val="000000"/>
          <w:sz w:val="21"/>
        </w:rPr>
        <w:t xml:space="preserve">（北京时间）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地点：“苏采云”江苏省政府采购交易系统网上开标大厅</w:t>
      </w:r>
      <w:r>
        <w:rPr>
          <w:rFonts w:ascii="Times New Roman" w:hAnsi="Times New Roman" w:eastAsia="Times New Roman" w:cs="Times New Roman"/>
          <w:sz w:val="21"/>
        </w:rPr>
      </w:r>
      <w:r/>
    </w:p>
    <w:p>
      <w:pPr>
        <w:pStyle w:val="787"/>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五、开启</w:t>
      </w:r>
      <w:r>
        <w:rPr>
          <w:sz w:val="32"/>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时间：</w:t>
      </w:r>
      <w:r>
        <w:rPr>
          <w:rFonts w:ascii="FangSong" w:hAnsi="FangSong" w:eastAsia="FangSong" w:cs="FangSong"/>
          <w:color w:val="000000"/>
          <w:sz w:val="21"/>
          <w:highlight w:val="yellow"/>
        </w:rPr>
        <w:t xml:space="preserve">2026-10-22 09:00</w:t>
      </w:r>
      <w:r>
        <w:rPr>
          <w:rFonts w:ascii="FangSong" w:hAnsi="FangSong" w:eastAsia="FangSong" w:cs="FangSong"/>
          <w:color w:val="000000"/>
          <w:sz w:val="21"/>
        </w:rPr>
        <w:t xml:space="preserve">（北京时间）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地点：“苏采云”江苏省政府采购交易系统网上开标大厅</w:t>
      </w:r>
      <w:r>
        <w:rPr>
          <w:rFonts w:ascii="Times New Roman" w:hAnsi="Times New Roman" w:eastAsia="Times New Roman" w:cs="Times New Roman"/>
          <w:sz w:val="21"/>
        </w:rPr>
      </w:r>
      <w:r/>
    </w:p>
    <w:p>
      <w:pPr>
        <w:pStyle w:val="787"/>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六、公告期限</w:t>
      </w:r>
      <w:r>
        <w:rPr>
          <w:sz w:val="32"/>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自本公告发布之日起3个工作日。</w:t>
      </w:r>
      <w:r>
        <w:rPr>
          <w:rFonts w:ascii="Times New Roman" w:hAnsi="Times New Roman" w:eastAsia="Times New Roman" w:cs="Times New Roman"/>
          <w:sz w:val="21"/>
        </w:rPr>
      </w:r>
      <w:r/>
    </w:p>
    <w:p>
      <w:pPr>
        <w:pStyle w:val="787"/>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七、其他补充事宜</w:t>
      </w:r>
      <w:r>
        <w:rPr>
          <w:sz w:val="32"/>
        </w:rPr>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8"/>
          <w:sz w:val="21"/>
        </w:rPr>
        <w:t xml:space="preserve">1、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rPr>
          <w:rFonts w:ascii="Times New Roman" w:hAnsi="Times New Roman" w:eastAsia="Times New Roman" w:cs="Times New Roman"/>
          <w:sz w:val="21"/>
        </w:rPr>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8"/>
          <w:sz w:val="21"/>
        </w:rPr>
        <w:t xml:space="preserve">2、有关本次磋商的事项若存在变动或修改，敬请及时关注原公告平台发布的信息更正公告。</w:t>
      </w:r>
      <w:r>
        <w:rPr>
          <w:rFonts w:ascii="Times New Roman" w:hAnsi="Times New Roman" w:eastAsia="Times New Roman" w:cs="Times New Roman"/>
          <w:sz w:val="21"/>
        </w:rPr>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集中考察现场或答疑：项目组织集中勘察及答疑，各供应商自愿按规定时间至勘查现有情况，供应商代表携带营业执照复印件（加盖单位公章）、法定代表人授权委托书（加盖单位公章）、身份证参加集中考察或答疑。现场勘察签到开始时间：2026年</w:t>
      </w:r>
      <w:r>
        <w:rPr>
          <w:rFonts w:ascii="FangSong" w:hAnsi="FangSong" w:eastAsia="FangSong" w:cs="FangSong"/>
          <w:color w:val="000000"/>
          <w:sz w:val="21"/>
          <w:highlight w:val="yellow"/>
        </w:rPr>
        <w:t xml:space="preserve">10月19</w:t>
      </w:r>
      <w:r>
        <w:rPr>
          <w:rFonts w:ascii="FangSong" w:hAnsi="FangSong" w:eastAsia="FangSong" w:cs="FangSong"/>
          <w:color w:val="000000"/>
          <w:sz w:val="21"/>
        </w:rPr>
        <w:t xml:space="preserve">日09:30，签到截止时间：2026年</w:t>
      </w:r>
      <w:r>
        <w:rPr>
          <w:rFonts w:ascii="FangSong" w:hAnsi="FangSong" w:eastAsia="FangSong" w:cs="FangSong"/>
          <w:color w:val="000000"/>
          <w:sz w:val="21"/>
          <w:highlight w:val="yellow"/>
        </w:rPr>
        <w:t xml:space="preserve">10月19</w:t>
      </w:r>
      <w:r>
        <w:rPr>
          <w:rFonts w:ascii="FangSong" w:hAnsi="FangSong" w:eastAsia="FangSong" w:cs="FangSong"/>
          <w:color w:val="000000"/>
          <w:sz w:val="21"/>
        </w:rPr>
        <w:t xml:space="preserve">日10:30，地点：南京市浦口区江浦管理所上河街，联系人：孔所，联系电话：15951656068，潜在供应商自行派代表参加集中答疑。如因为不可抗力无法踏勘现场或者取消踏勘，采购人不负任何责任。</w:t>
      </w:r>
      <w:r>
        <w:rPr>
          <w:rFonts w:ascii="Times New Roman" w:hAnsi="Times New Roman" w:eastAsia="Times New Roman" w:cs="Times New Roman"/>
          <w:sz w:val="21"/>
        </w:rPr>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4、政府采购信用承诺</w:t>
      </w:r>
      <w:r>
        <w:rPr>
          <w:rFonts w:ascii="Times New Roman" w:hAnsi="Times New Roman" w:eastAsia="Times New Roman" w:cs="Times New Roman"/>
          <w:sz w:val="21"/>
        </w:rPr>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4.1根据《关于在政府采购活动中推行信用承诺制的通知》宁财购通〔2021）5号规定，在政府采购资格审查环节，供应商只需提供《南京市政府采购供应商信用承诺书》，即可替代以下证明材料：</w:t>
      </w:r>
      <w:r>
        <w:rPr>
          <w:rFonts w:ascii="Times New Roman" w:hAnsi="Times New Roman" w:eastAsia="Times New Roman" w:cs="Times New Roman"/>
          <w:sz w:val="21"/>
        </w:rPr>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（1）符合国家相关规定的财务状况报告；</w:t>
      </w:r>
      <w:r>
        <w:rPr>
          <w:rFonts w:ascii="Times New Roman" w:hAnsi="Times New Roman" w:eastAsia="Times New Roman" w:cs="Times New Roman"/>
          <w:sz w:val="21"/>
        </w:rPr>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（2）依法缴纳税收的证明材料；</w:t>
      </w:r>
      <w:r>
        <w:rPr>
          <w:rFonts w:ascii="Times New Roman" w:hAnsi="Times New Roman" w:eastAsia="Times New Roman" w:cs="Times New Roman"/>
          <w:sz w:val="21"/>
        </w:rPr>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（3）依法缴纳社会保障资金的证明材料；</w:t>
      </w:r>
      <w:r>
        <w:rPr>
          <w:rFonts w:ascii="Times New Roman" w:hAnsi="Times New Roman" w:eastAsia="Times New Roman" w:cs="Times New Roman"/>
          <w:sz w:val="21"/>
        </w:rPr>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（4）具备履行政府采购合同所必需的设备和专业技术能力的证明材料；</w:t>
      </w:r>
      <w:r>
        <w:rPr>
          <w:rFonts w:ascii="Times New Roman" w:hAnsi="Times New Roman" w:eastAsia="Times New Roman" w:cs="Times New Roman"/>
          <w:sz w:val="21"/>
        </w:rPr>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（5）参加政府采购活动前三年内在经营活动中没有重大违法记录的证明材料；</w:t>
      </w:r>
      <w:r>
        <w:rPr>
          <w:rFonts w:ascii="Times New Roman" w:hAnsi="Times New Roman" w:eastAsia="Times New Roman" w:cs="Times New Roman"/>
          <w:sz w:val="21"/>
        </w:rPr>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（6）未被列入失信被执行人、重大税收违法失信主体、政府采购严重违法失信行为记录名单的证明材料。</w:t>
      </w:r>
      <w:r>
        <w:rPr>
          <w:rFonts w:ascii="Times New Roman" w:hAnsi="Times New Roman" w:eastAsia="Times New Roman" w:cs="Times New Roman"/>
          <w:sz w:val="21"/>
        </w:rPr>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4.2供应商在中标（成交）后，应按采购文件要求，将上述由信用承诺书替代的证明材料（一式两份）加盖公章，提交采购人或采购代理机构核验。经核验无误后，由采购人或采购代理机构发出中标通知书（如已在投标文件中提供的则无需再提供）。</w:t>
      </w:r>
      <w:r>
        <w:rPr>
          <w:rFonts w:ascii="Times New Roman" w:hAnsi="Times New Roman" w:eastAsia="Times New Roman" w:cs="Times New Roman"/>
          <w:sz w:val="21"/>
        </w:rPr>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供应商涉及以下情形的，不适用信用承诺：</w:t>
      </w:r>
      <w:r>
        <w:rPr>
          <w:rFonts w:ascii="Times New Roman" w:hAnsi="Times New Roman" w:eastAsia="Times New Roman" w:cs="Times New Roman"/>
          <w:sz w:val="21"/>
        </w:rPr>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（1）供应商被列入严重失信主体名单；</w:t>
      </w:r>
      <w:r>
        <w:rPr>
          <w:rFonts w:ascii="Times New Roman" w:hAnsi="Times New Roman" w:eastAsia="Times New Roman" w:cs="Times New Roman"/>
          <w:sz w:val="21"/>
        </w:rPr>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（2）被相关监管部门作出行政处罚且尚在处罚有效期内；</w:t>
      </w:r>
      <w:r>
        <w:rPr>
          <w:rFonts w:ascii="Times New Roman" w:hAnsi="Times New Roman" w:eastAsia="Times New Roman" w:cs="Times New Roman"/>
          <w:sz w:val="21"/>
        </w:rPr>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（3）其他法律、行政法规规定的不适用信用承诺的情形；</w:t>
      </w:r>
      <w:r>
        <w:rPr>
          <w:rFonts w:ascii="Times New Roman" w:hAnsi="Times New Roman" w:eastAsia="Times New Roman" w:cs="Times New Roman"/>
          <w:sz w:val="21"/>
        </w:rPr>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4.3供应商对信用承诺内容的真实性、合法性、有效性负责。如作出虚假信用承诺，视同为“提供虚假材料谋取中标、成交”的违法行为。</w:t>
      </w:r>
      <w:r>
        <w:rPr>
          <w:rFonts w:ascii="Times New Roman" w:hAnsi="Times New Roman" w:eastAsia="Times New Roman" w:cs="Times New Roman"/>
          <w:sz w:val="21"/>
        </w:rPr>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5、其他要求详见竞争性磋商文件。</w:t>
      </w:r>
      <w:r>
        <w:rPr>
          <w:rFonts w:ascii="Times New Roman" w:hAnsi="Times New Roman" w:eastAsia="Times New Roman" w:cs="Times New Roman"/>
          <w:sz w:val="21"/>
        </w:rPr>
      </w:r>
      <w:r/>
    </w:p>
    <w:p>
      <w:pPr>
        <w:ind w:left="0" w:right="0" w:firstLine="422"/>
        <w:jc w:val="both"/>
        <w:spacing w:before="0" w:after="0" w:line="85" w:lineRule="atLeast"/>
        <w:tabs>
          <w:tab w:val="left" w:pos="92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八、对本次采购提出询问，请按以下方式联系。</w:t>
      </w:r>
      <w:r>
        <w:rPr>
          <w:rFonts w:ascii="Times New Roman" w:hAnsi="Times New Roman" w:eastAsia="Times New Roman" w:cs="Times New Roman"/>
          <w:sz w:val="21"/>
        </w:rPr>
      </w:r>
      <w:r/>
    </w:p>
    <w:p>
      <w:pPr>
        <w:ind w:left="0" w:right="0" w:firstLine="420"/>
        <w:jc w:val="both"/>
        <w:spacing w:before="0" w:after="0" w:line="85" w:lineRule="atLeast"/>
        <w:tabs>
          <w:tab w:val="left" w:pos="3016" w:leader="none"/>
          <w:tab w:val="left" w:pos="413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u w:val="none"/>
        </w:rPr>
        <w:t xml:space="preserve">1.采购人信息</w:t>
      </w:r>
      <w:r>
        <w:rPr>
          <w:rFonts w:ascii="Times New Roman" w:hAnsi="Times New Roman" w:eastAsia="Times New Roman" w:cs="Times New Roman"/>
          <w:sz w:val="21"/>
        </w:rPr>
      </w:r>
      <w:r/>
    </w:p>
    <w:p>
      <w:pPr>
        <w:ind w:left="0" w:right="0" w:firstLine="420"/>
        <w:jc w:val="both"/>
        <w:spacing w:before="0" w:after="0" w:line="85" w:lineRule="atLeast"/>
        <w:tabs>
          <w:tab w:val="left" w:pos="3016" w:leader="none"/>
          <w:tab w:val="left" w:pos="413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u w:val="none"/>
        </w:rPr>
        <w:t xml:space="preserve">名称：</w:t>
      </w:r>
      <w:r>
        <w:rPr>
          <w:rFonts w:ascii="FangSong" w:hAnsi="FangSong" w:eastAsia="FangSong" w:cs="FangSong"/>
          <w:color w:val="000000"/>
          <w:sz w:val="21"/>
        </w:rPr>
        <w:t xml:space="preserve">南京市浦口区河道管理所</w:t>
      </w:r>
      <w:r>
        <w:rPr>
          <w:rFonts w:ascii="Times New Roman" w:hAnsi="Times New Roman" w:eastAsia="Times New Roman" w:cs="Times New Roman"/>
          <w:sz w:val="21"/>
        </w:rPr>
      </w:r>
      <w:r/>
    </w:p>
    <w:p>
      <w:pPr>
        <w:ind w:left="0" w:right="0" w:firstLine="420"/>
        <w:jc w:val="both"/>
        <w:spacing w:before="0" w:after="0" w:line="85" w:lineRule="atLeast"/>
        <w:tabs>
          <w:tab w:val="left" w:pos="3016" w:leader="none"/>
          <w:tab w:val="left" w:pos="413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地址：南京市浦口区江浦管理所上河街</w:t>
      </w:r>
      <w:r>
        <w:rPr>
          <w:rFonts w:ascii="Times New Roman" w:hAnsi="Times New Roman" w:eastAsia="Times New Roman" w:cs="Times New Roman"/>
          <w:sz w:val="21"/>
        </w:rPr>
      </w:r>
      <w:r/>
    </w:p>
    <w:p>
      <w:pPr>
        <w:ind w:left="0" w:right="0" w:firstLine="420"/>
        <w:jc w:val="both"/>
        <w:spacing w:before="0" w:after="0" w:line="85" w:lineRule="atLeast"/>
        <w:tabs>
          <w:tab w:val="left" w:pos="3016" w:leader="none"/>
          <w:tab w:val="left" w:pos="413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联系人：孔所</w:t>
      </w:r>
      <w:r>
        <w:rPr>
          <w:rFonts w:ascii="Times New Roman" w:hAnsi="Times New Roman" w:eastAsia="Times New Roman" w:cs="Times New Roman"/>
          <w:sz w:val="21"/>
        </w:rPr>
      </w:r>
      <w:r/>
    </w:p>
    <w:p>
      <w:pPr>
        <w:ind w:left="0" w:right="0" w:firstLine="420"/>
        <w:jc w:val="both"/>
        <w:spacing w:before="0" w:after="0" w:line="85" w:lineRule="atLeast"/>
        <w:tabs>
          <w:tab w:val="left" w:pos="3016" w:leader="none"/>
          <w:tab w:val="left" w:pos="413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联系电话：025-58115133</w:t>
      </w:r>
      <w:r>
        <w:rPr>
          <w:rFonts w:ascii="Times New Roman" w:hAnsi="Times New Roman" w:eastAsia="Times New Roman" w:cs="Times New Roman"/>
          <w:sz w:val="21"/>
        </w:rPr>
      </w:r>
      <w:r/>
    </w:p>
    <w:p>
      <w:pPr>
        <w:ind w:left="0" w:right="0" w:firstLine="420"/>
        <w:jc w:val="both"/>
        <w:spacing w:before="0" w:after="0" w:line="85" w:lineRule="atLeast"/>
        <w:tabs>
          <w:tab w:val="left" w:pos="3016" w:leader="none"/>
          <w:tab w:val="left" w:pos="413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2.采购代理机构信息</w:t>
      </w:r>
      <w:r>
        <w:rPr>
          <w:rFonts w:ascii="Times New Roman" w:hAnsi="Times New Roman" w:eastAsia="Times New Roman" w:cs="Times New Roman"/>
          <w:sz w:val="21"/>
        </w:rPr>
      </w:r>
      <w:r/>
    </w:p>
    <w:p>
      <w:pPr>
        <w:ind w:left="0" w:right="0" w:firstLine="420"/>
        <w:jc w:val="both"/>
        <w:spacing w:before="0" w:after="0" w:line="85" w:lineRule="atLeast"/>
        <w:tabs>
          <w:tab w:val="left" w:pos="3016" w:leader="none"/>
          <w:tab w:val="left" w:pos="413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u w:val="none"/>
        </w:rPr>
        <w:t xml:space="preserve">名称：南京苏宁工程咨询有限公司</w:t>
      </w:r>
      <w:r>
        <w:rPr>
          <w:rFonts w:ascii="Times New Roman" w:hAnsi="Times New Roman" w:eastAsia="Times New Roman" w:cs="Times New Roman"/>
          <w:sz w:val="21"/>
        </w:rPr>
      </w:r>
      <w:r/>
    </w:p>
    <w:p>
      <w:pPr>
        <w:ind w:left="0" w:right="0" w:firstLine="420"/>
        <w:jc w:val="both"/>
        <w:spacing w:before="0" w:after="0" w:line="85" w:lineRule="atLeast"/>
        <w:tabs>
          <w:tab w:val="left" w:pos="3016" w:leader="none"/>
          <w:tab w:val="left" w:pos="413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地址：南京市中山路99号1212室</w:t>
      </w:r>
      <w:r>
        <w:rPr>
          <w:rFonts w:ascii="Times New Roman" w:hAnsi="Times New Roman" w:eastAsia="Times New Roman" w:cs="Times New Roman"/>
          <w:sz w:val="21"/>
        </w:rPr>
      </w:r>
      <w:r/>
    </w:p>
    <w:p>
      <w:pPr>
        <w:ind w:left="0" w:right="0" w:firstLine="420"/>
        <w:jc w:val="both"/>
        <w:spacing w:before="0" w:after="0" w:line="85" w:lineRule="atLeast"/>
        <w:tabs>
          <w:tab w:val="left" w:pos="3016" w:leader="none"/>
          <w:tab w:val="left" w:pos="413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联系人：聂丽丽</w:t>
      </w:r>
      <w:r>
        <w:rPr>
          <w:rFonts w:ascii="Times New Roman" w:hAnsi="Times New Roman" w:eastAsia="Times New Roman" w:cs="Times New Roman"/>
          <w:sz w:val="21"/>
        </w:rPr>
      </w:r>
      <w:r/>
    </w:p>
    <w:p>
      <w:pPr>
        <w:ind w:left="0" w:right="0" w:firstLine="420"/>
        <w:jc w:val="both"/>
        <w:spacing w:before="0" w:after="0" w:line="85" w:lineRule="atLeast"/>
        <w:tabs>
          <w:tab w:val="left" w:pos="3016" w:leader="none"/>
          <w:tab w:val="left" w:pos="413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联系电话：025-84205129</w:t>
      </w:r>
      <w:r>
        <w:rPr>
          <w:rFonts w:ascii="Times New Roman" w:hAnsi="Times New Roman" w:eastAsia="Times New Roman" w:cs="Times New Roman"/>
          <w:sz w:val="21"/>
        </w:rPr>
      </w:r>
      <w:r/>
    </w:p>
    <w:p>
      <w:pPr>
        <w:ind w:left="0" w:right="0" w:firstLine="420"/>
        <w:jc w:val="both"/>
        <w:spacing w:before="0" w:after="0" w:line="85" w:lineRule="atLeast"/>
        <w:tabs>
          <w:tab w:val="left" w:pos="3016" w:leader="none"/>
          <w:tab w:val="left" w:pos="413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3.项目联系方式</w:t>
      </w:r>
      <w:r>
        <w:rPr>
          <w:rFonts w:ascii="Times New Roman" w:hAnsi="Times New Roman" w:eastAsia="Times New Roman" w:cs="Times New Roman"/>
          <w:sz w:val="21"/>
        </w:rPr>
      </w:r>
      <w:r/>
    </w:p>
    <w:p>
      <w:pPr>
        <w:ind w:left="0" w:right="0" w:firstLine="420"/>
        <w:jc w:val="both"/>
        <w:spacing w:before="0" w:after="0" w:line="85" w:lineRule="atLeast"/>
        <w:tabs>
          <w:tab w:val="left" w:pos="3016" w:leader="none"/>
          <w:tab w:val="left" w:pos="413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u w:val="none"/>
        </w:rPr>
        <w:t xml:space="preserve">项目联系人：</w:t>
      </w:r>
      <w:r>
        <w:rPr>
          <w:rFonts w:ascii="FangSong" w:hAnsi="FangSong" w:eastAsia="FangSong" w:cs="FangSong"/>
          <w:color w:val="000000"/>
          <w:sz w:val="21"/>
        </w:rPr>
        <w:t xml:space="preserve">聂丽丽</w:t>
      </w:r>
      <w:r>
        <w:rPr>
          <w:rFonts w:ascii="Times New Roman" w:hAnsi="Times New Roman" w:eastAsia="Times New Roman" w:cs="Times New Roman"/>
          <w:sz w:val="21"/>
        </w:rPr>
      </w:r>
      <w:r/>
    </w:p>
    <w:p>
      <w:pPr>
        <w:ind w:left="0" w:right="0" w:firstLine="420"/>
        <w:jc w:val="both"/>
        <w:spacing w:before="0" w:after="0" w:line="85" w:lineRule="atLeast"/>
        <w:tabs>
          <w:tab w:val="left" w:pos="3016" w:leader="none"/>
          <w:tab w:val="left" w:pos="413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电话：025-84205129</w:t>
      </w:r>
      <w:r>
        <w:rPr>
          <w:rFonts w:ascii="Times New Roman" w:hAnsi="Times New Roman" w:eastAsia="Times New Roman" w:cs="Times New Roman"/>
          <w:sz w:val="21"/>
        </w:rPr>
      </w:r>
      <w:r/>
    </w:p>
    <w:p>
      <w:pPr>
        <w:ind w:left="0" w:right="0" w:firstLine="0"/>
        <w:jc w:val="center"/>
        <w:spacing w:before="0" w:after="0" w:line="85" w:lineRule="atLeast"/>
        <w:tabs>
          <w:tab w:val="left" w:pos="9746" w:leader="none"/>
        </w:tabs>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ind w:left="0" w:right="0" w:firstLine="0"/>
        <w:jc w:val="center"/>
        <w:spacing w:before="0" w:after="0" w:line="85" w:lineRule="atLeast"/>
        <w:tabs>
          <w:tab w:val="left" w:pos="974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u w:val="none"/>
        </w:rPr>
        <w:t xml:space="preserve">第二章</w:t>
      </w:r>
      <w:r>
        <w:rPr>
          <w:rFonts w:ascii="FangSong" w:hAnsi="FangSong" w:eastAsia="FangSong" w:cs="FangSong"/>
          <w:b/>
          <w:color w:val="000000"/>
          <w:sz w:val="30"/>
        </w:rPr>
        <w:t xml:space="preserve"> 竞争性磋商须知</w:t>
      </w:r>
      <w:r>
        <w:rPr>
          <w:rFonts w:ascii="Times New Roman" w:hAnsi="Times New Roman" w:eastAsia="Times New Roman" w:cs="Times New Roma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8"/>
          <w:sz w:val="21"/>
          <w:u w:val="none"/>
        </w:rPr>
        <w:t xml:space="preserve">供应商须知前附表</w:t>
      </w:r>
      <w:r>
        <w:rPr>
          <w:rFonts w:ascii="Times New Roman" w:hAnsi="Times New Roman" w:eastAsia="Times New Roman" w:cs="Times New Roman"/>
          <w:sz w:val="21"/>
        </w:rPr>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5"/>
        <w:gridCol w:w="1619"/>
        <w:gridCol w:w="7058"/>
      </w:tblGrid>
      <w:tr>
        <w:trPr>
          <w:trHeight w:val="6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58"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具体内容</w:t>
            </w:r>
            <w:r>
              <w:rPr>
                <w:rFonts w:ascii="Times New Roman" w:hAnsi="Times New Roman" w:eastAsia="Times New Roman" w:cs="Times New Roman"/>
                <w:sz w:val="21"/>
              </w:rPr>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项目名称</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8" w:type="dxa"/>
            <w:vAlign w:val="center"/>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2026年江北新区（浦口区）象山湖水利风景区生态补偿项目</w:t>
            </w:r>
            <w:r>
              <w:rPr>
                <w:rFonts w:ascii="Times New Roman" w:hAnsi="Times New Roman" w:eastAsia="Times New Roman" w:cs="Times New Roman"/>
                <w:sz w:val="21"/>
              </w:rPr>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采购方式</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8" w:type="dxa"/>
            <w:vAlign w:val="center"/>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竞争性磋商</w:t>
            </w:r>
            <w:r>
              <w:rPr>
                <w:rFonts w:ascii="Times New Roman" w:hAnsi="Times New Roman" w:eastAsia="Times New Roman" w:cs="Times New Roman"/>
                <w:sz w:val="21"/>
              </w:rPr>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项目编号</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8" w:type="dxa"/>
            <w:vAlign w:val="center"/>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JSZC-320111-SNZX-C2026-0155</w:t>
            </w:r>
            <w:r>
              <w:rPr>
                <w:rFonts w:ascii="Times New Roman" w:hAnsi="Times New Roman" w:eastAsia="Times New Roman" w:cs="Times New Roman"/>
                <w:sz w:val="21"/>
              </w:rPr>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最高限价</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8" w:type="dxa"/>
            <w:vAlign w:val="center"/>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8"/>
                <w:sz w:val="21"/>
              </w:rPr>
              <w:t xml:space="preserve">143.495862万元</w:t>
            </w:r>
            <w:r>
              <w:rPr>
                <w:rFonts w:ascii="FangSong" w:hAnsi="FangSong" w:eastAsia="FangSong" w:cs="FangSong"/>
                <w:color w:val="000000"/>
                <w:sz w:val="21"/>
              </w:rPr>
              <w:t xml:space="preserve">，超出此最高限价的报价作无效响应处理。</w:t>
            </w:r>
            <w:r>
              <w:rPr>
                <w:rFonts w:ascii="Times New Roman" w:hAnsi="Times New Roman" w:eastAsia="Times New Roman" w:cs="Times New Roman"/>
                <w:sz w:val="21"/>
              </w:rPr>
            </w:r>
            <w:r/>
          </w:p>
        </w:tc>
      </w:tr>
      <w:tr>
        <w:trPr>
          <w:trHeight w:val="4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磋商保证金</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8" w:type="dxa"/>
            <w:vAlign w:val="center"/>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无</w:t>
            </w:r>
            <w:r>
              <w:rPr>
                <w:rFonts w:ascii="Times New Roman" w:hAnsi="Times New Roman" w:eastAsia="Times New Roman" w:cs="Times New Roman"/>
                <w:sz w:val="21"/>
              </w:rPr>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磋商文件获取</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8" w:type="dxa"/>
            <w:vAlign w:val="center"/>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详见竞争性磋商公告</w:t>
            </w:r>
            <w:r>
              <w:rPr>
                <w:rFonts w:ascii="Times New Roman" w:hAnsi="Times New Roman" w:eastAsia="Times New Roman" w:cs="Times New Roman"/>
                <w:sz w:val="2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勘察现场</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8" w:type="dxa"/>
            <w:vAlign w:val="center"/>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详见第一章</w:t>
            </w:r>
            <w:r>
              <w:rPr>
                <w:rFonts w:ascii="Times New Roman" w:hAnsi="Times New Roman" w:eastAsia="Times New Roman" w:cs="Times New Roman"/>
                <w:sz w:val="21"/>
              </w:rPr>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响应文件接收</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响应文件提交截止时间：</w:t>
            </w:r>
            <w:r>
              <w:rPr>
                <w:rFonts w:ascii="FangSong" w:hAnsi="FangSong" w:eastAsia="FangSong" w:cs="FangSong"/>
                <w:b/>
                <w:color w:val="000000"/>
                <w:sz w:val="21"/>
                <w:highlight w:val="yellow"/>
              </w:rPr>
              <w:t xml:space="preserve">2026年10月22日09点00分</w:t>
            </w:r>
            <w:r>
              <w:rPr>
                <w:rFonts w:ascii="FangSong" w:hAnsi="FangSong" w:eastAsia="FangSong" w:cs="FangSong"/>
                <w:color w:val="000000"/>
                <w:sz w:val="21"/>
              </w:rPr>
              <w:t xml:space="preserve">（北京时间）</w:t>
            </w:r>
            <w:r>
              <w:rPr>
                <w:rFonts w:ascii="Times New Roman" w:hAnsi="Times New Roman" w:eastAsia="Times New Roman" w:cs="Times New Roman"/>
                <w:sz w:val="21"/>
              </w:rPr>
            </w:r>
            <w:r/>
          </w:p>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响应文件接收地点：“苏采云”系统</w:t>
            </w:r>
            <w:r>
              <w:rPr>
                <w:rFonts w:ascii="Times New Roman" w:hAnsi="Times New Roman" w:eastAsia="Times New Roman" w:cs="Times New Roman"/>
                <w:sz w:val="2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解密要求</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8" w:type="dxa"/>
            <w:vAlign w:val="center"/>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磋商时间及地址</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时间：</w:t>
            </w:r>
            <w:r>
              <w:rPr>
                <w:rFonts w:ascii="FangSong" w:hAnsi="FangSong" w:eastAsia="FangSong" w:cs="FangSong"/>
                <w:b/>
                <w:color w:val="000000"/>
                <w:sz w:val="21"/>
                <w:highlight w:val="yellow"/>
              </w:rPr>
              <w:t xml:space="preserve">2026年10月22日09点00分</w:t>
            </w:r>
            <w:r>
              <w:rPr>
                <w:rFonts w:ascii="FangSong" w:hAnsi="FangSong" w:eastAsia="FangSong" w:cs="FangSong"/>
                <w:color w:val="000000"/>
                <w:sz w:val="21"/>
              </w:rPr>
              <w:t xml:space="preserve">（北京时间）</w:t>
            </w:r>
            <w:r>
              <w:rPr>
                <w:rFonts w:ascii="Times New Roman" w:hAnsi="Times New Roman" w:eastAsia="Times New Roman" w:cs="Times New Roman"/>
                <w:sz w:val="21"/>
              </w:rPr>
            </w:r>
            <w:r/>
          </w:p>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地点：“苏采云”系统</w:t>
            </w:r>
            <w:r>
              <w:rPr>
                <w:rFonts w:ascii="Times New Roman" w:hAnsi="Times New Roman" w:eastAsia="Times New Roman" w:cs="Times New Roman"/>
                <w:sz w:val="2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响应文件完整性</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8" w:type="dxa"/>
            <w:vAlign w:val="center"/>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不接受不按要求加盖公章（电子签章）的首次响应文件。电子签章相关要求见“苏采云”系统。</w:t>
            </w:r>
            <w:r>
              <w:rPr>
                <w:rFonts w:ascii="Times New Roman" w:hAnsi="Times New Roman" w:eastAsia="Times New Roman" w:cs="Times New Roman"/>
                <w:sz w:val="21"/>
              </w:rPr>
            </w:r>
            <w:r/>
          </w:p>
        </w:tc>
      </w:tr>
      <w:tr>
        <w:trP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响应文件有效期</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8" w:type="dxa"/>
            <w:vAlign w:val="center"/>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供应商提交响应文件截止之日起90天</w:t>
            </w:r>
            <w:r>
              <w:rPr>
                <w:rFonts w:ascii="Times New Roman" w:hAnsi="Times New Roman" w:eastAsia="Times New Roman" w:cs="Times New Roman"/>
                <w:sz w:val="21"/>
              </w:rPr>
            </w:r>
            <w:r/>
          </w:p>
        </w:tc>
      </w:tr>
      <w:tr>
        <w:trP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关于联合体磋商</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8" w:type="dxa"/>
            <w:vAlign w:val="center"/>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本项目不接受联合体磋商</w:t>
            </w:r>
            <w:r>
              <w:rPr>
                <w:rFonts w:ascii="Times New Roman" w:hAnsi="Times New Roman" w:eastAsia="Times New Roman" w:cs="Times New Roman"/>
                <w:sz w:val="21"/>
              </w:rPr>
            </w:r>
            <w:r/>
          </w:p>
        </w:tc>
      </w:tr>
      <w:tr>
        <w:trPr>
          <w:trHeight w:val="9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申请人的资格要求</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8" w:type="dxa"/>
            <w:vAlign w:val="center"/>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详见第一章竞争性磋商公告</w:t>
            </w:r>
            <w:r>
              <w:rPr>
                <w:rFonts w:ascii="Times New Roman" w:hAnsi="Times New Roman" w:eastAsia="Times New Roman" w:cs="Times New Roman"/>
                <w:sz w:val="21"/>
              </w:rPr>
            </w:r>
            <w:r/>
          </w:p>
        </w:tc>
      </w:tr>
      <w:tr>
        <w:trPr>
          <w:trHeight w:val="51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磋商文件的澄清或者修改</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供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获取磋商文件的供应商；不足5日的，顺延提交首次响应文件截止时间。</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2、供应商应及时登录“苏采云”系统获取澄清答疑文件（修改后磋商文件），如因供应商原因未能及时下载澄清和修改后的磋商文件，由此造成的相关责任，由供应商承担。</w:t>
            </w:r>
            <w:r>
              <w:rPr>
                <w:rFonts w:ascii="Times New Roman" w:hAnsi="Times New Roman" w:eastAsia="Times New Roman" w:cs="Times New Roman"/>
                <w:sz w:val="21"/>
              </w:rPr>
            </w:r>
            <w:r/>
          </w:p>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但不得超出响应文件的范围或者改变响应文件的实质性内容。具体操作方式见《操作手册》。</w:t>
            </w:r>
            <w:r>
              <w:rPr>
                <w:rFonts w:ascii="Times New Roman" w:hAnsi="Times New Roman" w:eastAsia="Times New Roman" w:cs="Times New Roman"/>
                <w:sz w:val="21"/>
              </w:rPr>
            </w:r>
            <w:r/>
          </w:p>
        </w:tc>
      </w:tr>
      <w:tr>
        <w:trPr>
          <w:trHeight w:val="4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不见面交易响应文件制作提交说明</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r>
              <w:rPr>
                <w:rFonts w:ascii="Times New Roman" w:hAnsi="Times New Roman" w:eastAsia="Times New Roman" w:cs="Times New Roman"/>
                <w:sz w:val="21"/>
              </w:rPr>
            </w:r>
            <w:r/>
          </w:p>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http：//czj.taizhou.gov.cn/col/col61762/index.html</w:t>
            </w:r>
            <w:r>
              <w:rPr>
                <w:rFonts w:ascii="Times New Roman" w:hAnsi="Times New Roman" w:eastAsia="Times New Roman" w:cs="Times New Roman"/>
                <w:sz w:val="21"/>
              </w:rPr>
            </w:r>
            <w:r/>
          </w:p>
        </w:tc>
      </w:tr>
      <w:tr>
        <w:trPr>
          <w:trHeight w:val="11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报价须知</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本项目采用</w:t>
            </w:r>
            <w:r>
              <w:rPr>
                <w:rFonts w:ascii="FangSong" w:hAnsi="FangSong" w:eastAsia="FangSong" w:cs="FangSong"/>
                <w:b/>
                <w:color w:val="000000"/>
                <w:sz w:val="21"/>
              </w:rPr>
              <w:t xml:space="preserve">固定单价</w:t>
            </w:r>
            <w:r>
              <w:rPr>
                <w:rFonts w:ascii="FangSong" w:hAnsi="FangSong" w:eastAsia="FangSong" w:cs="FangSong"/>
                <w:color w:val="000000"/>
                <w:sz w:val="21"/>
              </w:rPr>
              <w:t xml:space="preserve">方式。</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1、结算时如发生结算送审资料漏、缺少项目，都将视为供应商的优惠让利行为，不予核增。</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本项目根据清单进行报价，投标报价应包括采购文件所确定的招标范围内的全部内容，以及为完成上述内容所必须的人工费、材料费、机械费、管理费、利润以及现行取费中的有关费用、有关文件规定的调价、场内外运输、机械进退场、临时设施、材料周转、二次倒运、赶工措施、机械停置、噪音排污、围挡、夜间施工费、管线调查与保护（如有）、交通协调（如有）、施工图深化设计费（如有）以及根据本竞争性磋商文件要求的风险金等全部费用。图纸要求及相关技术标准内的要求须考虑在投标报价中。</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3、供应商报价时应充分考虑所有可能影响到报价的市场风险和价格因素，一旦成交，单价将确定，不予调整。</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节假日、市内举行重大活动以及省、市各级领导对工地现场进行视察期间或采购人视情况所需的其它时间段内，可能对施工作出某些限制和配合要求，供应商均应予以服从，并按要求作出必要的配合。如因此降低供应商的工效，采购人不向供应商增加费用支出，此项费用已经包含在综合单价中，结算时不予调整。</w:t>
            </w:r>
            <w:r>
              <w:rPr>
                <w:rFonts w:ascii="Times New Roman" w:hAnsi="Times New Roman" w:eastAsia="Times New Roman" w:cs="Times New Roman"/>
                <w:sz w:val="21"/>
              </w:rPr>
            </w:r>
            <w:r/>
          </w:p>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5、施工现场、交通运输情况及自然地理条件由供应商自行现场勘察，应充分考虑本工程场地现状的特点，可能对工程施工造成的影响并由此增加的费用等，作出考量一并考虑在投标报价中，结算时不予调整。</w:t>
            </w:r>
            <w:r>
              <w:rPr>
                <w:rFonts w:ascii="Times New Roman" w:hAnsi="Times New Roman" w:eastAsia="Times New Roman" w:cs="Times New Roman"/>
                <w:sz w:val="21"/>
              </w:rPr>
            </w:r>
            <w:r/>
          </w:p>
        </w:tc>
      </w:tr>
      <w:tr>
        <w:trPr>
          <w:trHeight w:val="11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其他说明</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代理服务费按《江苏省招标代理服务收费的指导意见》标准的22%计算。其余费用（如有）按实例支付，上述费用请供应商综合考虑在投标报价中，后期采购人不单独列支，必须在领取成交通知书前向招标代理机构支付。</w:t>
            </w:r>
            <w:r>
              <w:rPr>
                <w:rFonts w:ascii="Times New Roman" w:hAnsi="Times New Roman" w:eastAsia="Times New Roman" w:cs="Times New Roman"/>
                <w:sz w:val="21"/>
              </w:rPr>
            </w:r>
            <w:r/>
          </w:p>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无论是否将上述费用在报价中列明，均视为已含在总价中，税费自理。</w:t>
            </w:r>
            <w:r>
              <w:rPr>
                <w:rFonts w:ascii="Times New Roman" w:hAnsi="Times New Roman" w:eastAsia="Times New Roman" w:cs="Times New Roman"/>
                <w:sz w:val="21"/>
              </w:rPr>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一、总则</w:t>
      </w:r>
      <w:r>
        <w:rPr>
          <w:sz w:val="24"/>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1</w:t>
      </w:r>
      <w:r>
        <w:rPr>
          <w:rFonts w:ascii="FangSong" w:hAnsi="FangSong" w:eastAsia="FangSong" w:cs="FangSong"/>
          <w:b/>
          <w:color w:val="000000"/>
          <w:sz w:val="21"/>
        </w:rPr>
        <w:t xml:space="preserve">.采购方式</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 本次政府采购活动采取竞争性磋商（以下简称“磋商”）方式，本文件仅适用于采购公告中所述项目。</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2</w:t>
      </w:r>
      <w:r>
        <w:rPr>
          <w:rFonts w:ascii="FangSong" w:hAnsi="FangSong" w:eastAsia="FangSong" w:cs="FangSong"/>
          <w:b/>
          <w:color w:val="000000"/>
          <w:sz w:val="21"/>
        </w:rPr>
        <w:t xml:space="preserve">.合格的供应商</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 满足采购公告对供应商资格要求的规定。</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 满足磋商文件规定的实质性要求和条件。</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3.适用法律</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3.1 本次采购及由此产生的合同受中华人民共和国有关的法律法规制约和保护。</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4.磋商费用</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 供应商应自行承担所有与参加采购有关的费用，无论采购过程中的做法和结果如何，采购代理在任何情况下均无义务和责任承担这些费用。</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4.2 本次采购代理和采购人不收取磋商文件工本费。</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4.3 采购代理服务费按《江苏省招标代理服务收费的指导意见》标准的22%计算。其余费用（如有）按实例支付，上述费用请供应商综合考虑在投标报价中，后期采购人不单独列支，必须在领取成交通知书前向招标代理机构支付。无论是否将上述费用在报价中列明，均视为已含在总价中，税费自理。</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5.磋商文件的约束力</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5.1 供应商一旦参加本项目采购活动，即被认为接受了本文件的规定和约束。</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二、</w:t>
      </w:r>
      <w:r>
        <w:rPr>
          <w:rFonts w:ascii="FangSong" w:hAnsi="FangSong" w:eastAsia="FangSong" w:cs="FangSong"/>
          <w:b/>
          <w:color w:val="000000"/>
          <w:sz w:val="21"/>
        </w:rPr>
        <w:t xml:space="preserve">磋商文件</w:t>
      </w:r>
      <w:r>
        <w:rPr>
          <w:sz w:val="24"/>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6.</w:t>
      </w:r>
      <w:r>
        <w:rPr>
          <w:rFonts w:ascii="FangSong" w:hAnsi="FangSong" w:eastAsia="FangSong" w:cs="FangSong"/>
          <w:b/>
          <w:color w:val="000000"/>
          <w:sz w:val="21"/>
        </w:rPr>
        <w:t xml:space="preserve">磋商文件构成</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6.1 磋商文件由以下部分组成：</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第一章 竞争性磋商邀请</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第二章 竞争性磋商须知</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第三章 评标标准</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第四章 采购需求</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第五章 合同主要条款及格式</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第六章 附件</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供应商应仔细检查磋商文件是否齐全，如有缺漏请立即与采购代理联系。</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7.磋商文件的澄清</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7.1 任何要求对磋商文件进行澄清的供应商，应在磋商截止期五日前按采购公告中的通讯地址，以书面形式通知采购代理。</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8.磋商文件的修改</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8.1 在响应文件提交截止时间前，采购代理可以对磋商文件进行修改。磋商文件的修改将在原公告媒体发布更正公告，更正内容将作为磋商文件的组成部分，并对供应商具有约束力。</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8.2 供应商应在提交响应文件截止时间前，关注原公告媒体有关本项目的更正公告，根据更正公告内容自行决定是否需要重新制作和提交响应文件，并承担由此产生的相应责任。</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8.3 采购代理有权按照法定的要求推迟提交响应文件截止时间，并在原公告媒体发布更正公告。</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三、响应文件的编制</w:t>
      </w:r>
      <w:r>
        <w:rPr>
          <w:sz w:val="24"/>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9.响应文件的语言及度量衡单位</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9.1 供应商提交的响应文件以及供应商与采购代理就有关磋商的所有来往通知、函件和文件均应使用简体中文。</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 除技术性能另有规定外，响应文件所使用的度量衡单位，均须采用国家法定计量单位。</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10.响应文件</w:t>
      </w:r>
      <w:r>
        <w:rPr>
          <w:rFonts w:ascii="FangSong" w:hAnsi="FangSong" w:eastAsia="FangSong" w:cs="FangSong"/>
          <w:b/>
          <w:color w:val="000000"/>
          <w:sz w:val="21"/>
        </w:rPr>
        <w:t xml:space="preserve">构成</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10.1 供应商编写的响应文件应包括资格证明文件、符合性证明文件等部分。（具体要求详见第六章 附件，其中加“*”或“★”目录不得有缺失或无效）</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u w:val="none"/>
        </w:rPr>
        <w:t xml:space="preserve">10.2 如标书制作工具中格式和内容与“江苏政府采购网”发布的磋商文件不一致，以“江苏政府采购网”发布的磋商文件为准。</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11.证明磋商响应标的符合磋商文件规定的文件</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11.1 供应商应按照法律、法规、规章和规范性文件以及磋商文件要求提交证明文件，证明其响应标的符合磋商文件规定。</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11.2 磋商文件对证明文件无明确形式要求的，证明文件可以以文字资料、图纸和数据等形式提交。</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12.分项报价表（如有）</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12.1 供应商应按照磋商文件规定格式填报分项报价表。</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12.2 响应文件中的单价和总价无特殊规定的采用人民币报价，以元为单位标注。磋商文件另有规定的按规定执行。</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13.响应及偏离表</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13.1 供应商需对磋商文件中的技术要求与商务要求逐项作出响应或偏离说明。</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13.2 供应商可在响应文件中提供认为需要的其他技术文件或说明。</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14.磋商响应函</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14.1 供应商应按照磋商文件规定格式完整、正确填报磋商响应函。</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15.磋商有效期</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15.1 磋商有效期为采购公告规定的提交响应文件截止之日起九十天。磋商有效期比规定短的将被视为非实质性响应磋商文件而被拒绝。</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16.磋商有效期的延长</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16.1 在特殊情况下，采购代理于原磋商有效期满之前，可向供应商提出延长磋商有效期的要求。这种要求与答复均应采用书面形式。供应商可以拒绝采购代理的这一要求而放弃磋商。同意延长磋商有效期的供应商既不能要求也不允许修改其响应文件，同时受磋商有效期约束的所有权利与义务均延长至新的有效期满。</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四、响应文件的递交</w:t>
      </w:r>
      <w:r>
        <w:rPr>
          <w:sz w:val="24"/>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17.</w:t>
      </w:r>
      <w:r>
        <w:rPr>
          <w:rFonts w:ascii="FangSong" w:hAnsi="FangSong" w:eastAsia="FangSong" w:cs="FangSong"/>
          <w:b/>
          <w:color w:val="000000"/>
          <w:sz w:val="21"/>
        </w:rPr>
        <w:t xml:space="preserve">响应文件的递交</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17.1 供应商应当按照《操作手册》规定，在采购公告规定的提交响应文件截止时间前制作并上传电子响应文件。</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17.2 供应商应充分考虑网络环境、网络带宽等因素可能产生的影响，如因供应商自身原因造成的电子响应文件上传不成功的，按照本磋商文件第二章第18.1条规定处理。</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17.3 采购代理可以按照规定，通过修改磋商文件酌情延长提交响应文件截止日期，在此情况下，供应商的所有权利和义务均以延长后新的截止日期为准。</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18.响应文件</w:t>
      </w:r>
      <w:r>
        <w:rPr>
          <w:rFonts w:ascii="FangSong" w:hAnsi="FangSong" w:eastAsia="FangSong" w:cs="FangSong"/>
          <w:b/>
          <w:color w:val="000000"/>
          <w:sz w:val="21"/>
        </w:rPr>
        <w:t xml:space="preserve">的拒收</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18.1 提交响应文件截止时间后上传的任何响应文件将被拒绝。</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19.响应文件的</w:t>
      </w:r>
      <w:r>
        <w:rPr>
          <w:rFonts w:ascii="FangSong" w:hAnsi="FangSong" w:eastAsia="FangSong" w:cs="FangSong"/>
          <w:b/>
          <w:color w:val="000000"/>
          <w:sz w:val="21"/>
        </w:rPr>
        <w:t xml:space="preserve">撤回和修改</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19.1 响应文件的撤回</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19.1.1 供应商可在提交响应文件截止时间前，撤回其电子响应文件，具体操作方法见《操作手册》。供应商撤回电子响应文件，则认为其不再参与本项目磋商活动。</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19.2 响应文件的修改</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19.2.1 供应商可在提交响应文件截止时间前，对其电子响应文件进行修改，具体操作方法见《操作手册》。</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19.2.2 提交响应文件截止时间之后，供应商不得对其电子响应文件作任何修改。</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19.3 在提交响应文件截止时间至磋商文件中规定的磋商有效期满之间的这段时间内，供应商不得撤回其响应文件。</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五、</w:t>
      </w:r>
      <w:r>
        <w:rPr>
          <w:rFonts w:ascii="FangSong" w:hAnsi="FangSong" w:eastAsia="FangSong" w:cs="FangSong"/>
          <w:b/>
          <w:color w:val="000000"/>
          <w:sz w:val="21"/>
        </w:rPr>
        <w:t xml:space="preserve">响应文件的解密与评审</w:t>
      </w:r>
      <w:r>
        <w:rPr>
          <w:sz w:val="24"/>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2</w:t>
      </w:r>
      <w:r>
        <w:rPr>
          <w:rFonts w:ascii="FangSong" w:hAnsi="FangSong" w:eastAsia="FangSong" w:cs="FangSong"/>
          <w:b/>
          <w:color w:val="000000"/>
          <w:sz w:val="21"/>
        </w:rPr>
        <w:t xml:space="preserve">0.响应文件解密</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20.1 供应商应当按照《操作手册》规定，在苏采云系统规定的时间内对响应文件进行解密。本项目采购文件规定的供应商按时在线解密方式：开启时间后30分钟内，通过“苏采云”系统（使用“CA数字证书”）解密；如因供应商自身原因造成的电子响应文件未在规定时间内解密成功的，按照本磋商文件第二章第24.1.2.1条规定做无效响应处理。</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21.磋商</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21.1 依法组建的磋商小组对响应文件进行评审。</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21.2 磋商小组由采购人代表（如有）和有关方面的专家组成，人员构成符合政府采购有关规定。</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21.3 磋商小组独立工作，负责评审所有响应文件并推荐成交候选人，或根据采购人授权直接确定成交供应商。</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22.评审过程的保密与公正</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22.1 磋商小组、采购人和采购代理工作人员、相关监督人员等与评审工作有关的人员，对评审情况以及在评审过程中获悉的国家秘密、商业秘密负有保密责任。</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22.2 供应商不得以任何方式影响评审过程，否则其响应文件将被作为无效响应文件。</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22.3 在评审期间，代理机构将设专门工作人员与供应商联系。</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22.4 采购代理和磋商小组不向未成交的供应商解释未成交原因，也不公布评审过程中的相关细节。</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23.评审过程中的澄清</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23.1 项目评审期间，磋商小组有权要求供应商对响应文件中含义不明确、同类问题表述不一致或者有明显文字和计算错误的内容等作出必要的澄清、说明或者补正。供应商的澄清、说明或者补正不得超出响应文件的范围或者改变响应文件的实质性内容。磋商小组并非对每个供应商都做澄清要求。</w:t>
      </w:r>
      <w:r>
        <w:rPr>
          <w:rFonts w:ascii="Times New Roman" w:hAnsi="Times New Roman" w:eastAsia="Times New Roman" w:cs="Times New Roman"/>
          <w:sz w:val="21"/>
        </w:rPr>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23.1.1响应文件报价出现前后不一致的，除磋商文件另有规定外，按照下列规定修正：</w:t>
      </w:r>
      <w:r>
        <w:rPr>
          <w:rFonts w:ascii="Times New Roman" w:hAnsi="Times New Roman" w:eastAsia="Times New Roman" w:cs="Times New Roman"/>
          <w:sz w:val="21"/>
        </w:rPr>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（1）响应文件中报价表内容与响应文件中相应内容不一致的，以报价表内容为准；</w:t>
      </w:r>
      <w:r>
        <w:rPr>
          <w:rFonts w:ascii="Times New Roman" w:hAnsi="Times New Roman" w:eastAsia="Times New Roman" w:cs="Times New Roman"/>
          <w:sz w:val="21"/>
        </w:rPr>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（2）大写金额和小写金额不一致的，以大写金额为准；</w:t>
      </w:r>
      <w:r>
        <w:rPr>
          <w:rFonts w:ascii="Times New Roman" w:hAnsi="Times New Roman" w:eastAsia="Times New Roman" w:cs="Times New Roman"/>
          <w:sz w:val="21"/>
        </w:rPr>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（3）单价金额小数点或者百分比有明显错位的，以报价表的总价为准，并修改单价；</w:t>
      </w:r>
      <w:r>
        <w:rPr>
          <w:rFonts w:ascii="Times New Roman" w:hAnsi="Times New Roman" w:eastAsia="Times New Roman" w:cs="Times New Roman"/>
          <w:sz w:val="21"/>
        </w:rPr>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（4）总价金额与按单价汇总金额不一致的，以单价金额计算结果为准。</w:t>
      </w:r>
      <w:r>
        <w:rPr>
          <w:rFonts w:ascii="Times New Roman" w:hAnsi="Times New Roman" w:eastAsia="Times New Roman" w:cs="Times New Roman"/>
          <w:sz w:val="21"/>
        </w:rPr>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同时出现两种以上不一致的，按照前款规定的顺序修正。修正后的报价按照《政府采购竞争性磋商采购方式管理暂行办法》第十八条的规定经供应商确认后产生约束力，供应商不确认的，其报价无效。</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23.2 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23.3 接到磋商小组澄清、说明和补正要求的供应商如未按规定或未在规定时间内做出澄清、说明和补正，其风险由供应商自行承担。</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24.响应文件的审查</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24.1 响应文件审查分为资格审查和符合性审查。</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24.1.1 资格审查。依据法律法规和磋商文件的规定，磋商小组对响应文件中的资格证明文件进行审查，以确定供应商是否具备参加磋商的资格。</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磋商小组进行资格审查时，将在“信用中国”网站（www.creditchina.gov.cn）、“中国政府采购网”（http://www.ccgp.gov.cn）查询供应商的信用记录，以确定供应商是否具备磋商资格,查询结果留存并归档。</w:t>
      </w:r>
      <w:r>
        <w:rPr>
          <w:rFonts w:ascii="Times New Roman" w:hAnsi="Times New Roman" w:eastAsia="Times New Roman" w:cs="Times New Roman"/>
          <w:sz w:val="21"/>
        </w:rPr>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24.1.1.1响应文件有下列情况之一的，在资格性审查时按照无效投标处理：</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（1）不具备磋商文件中规定资格条件的；</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供应商被列为“信用中国”网站（www.creditchina.gov.cn）、“中国政府采购网”（http://www.ccgp.gov.cn）列入失信被执行人、重大税收违法失信主体、严重违法失信行为记录名单或存在其他不符合《中华人民共和国政府采购法》第二十二条规定条件的信用记录。</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24.1.2 符合性审查。依据磋商文件的规定，由磋商小组从有效性、完整性和对磋商文件的响应程度等方面对响应文件进行审查，以确定是否对磋商文件的实质性要求作出响应。实质性要求是指本采购文件中用带星号（“★”）的商务和技术要求。</w:t>
      </w:r>
      <w:r>
        <w:rPr>
          <w:rFonts w:ascii="Times New Roman" w:hAnsi="Times New Roman" w:eastAsia="Times New Roman" w:cs="Times New Roman"/>
          <w:sz w:val="21"/>
        </w:rPr>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24.1.2.1响应文件有下列情况之一的，在符合性审查时按照无效投标处理：</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 未按照采购文件规定要求签署、盖章的；</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 投标总价高于采购预算金额或者最高限价的；</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 不同供应商的响应文件由同一单位或者个人编制；</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 不同供应商委托同一单位或者个人办理投标事宜；</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 不同供应商的响应文件载明的项目管理成员或者联系人员为同一人；</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 不同供应商的响应文件异常一致或者投标报价呈规律性差异；</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 不同供应商的法定代表人或委托代理人有夫妻、直系血亲关系的；</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 不同供应商的负责人为同一人或者存在控股、管理关系的；</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 没有逐一说明投标产品技术参数或服务响应，而是直接拷贝采购文件技术要求的；</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 不同供应商的委托代理人（或法定代表人、项目经理、项目总监、项目负责人等）在采购文件发布日上月至投标截止日当月在同一单位缴纳社会保险的；</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 服务承诺或付款条件未响应招标要求的，或未响应采购文件实质性要求的；</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 响应文件含有采购人不能接受的附加条件的；</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 启动异常低价审查程序后，无法证明其报价合理性的；</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 供应商在苏采云系统规定的时间内未成功解密电子响应文件。</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 同一供应商提交两个（含两个）以上不同的响应文件或者最后报价。</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 供应商改变采购文件提供的工程量清单中的项目编码、项目名称、项目特征、计量单位、工程量的；</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 改变采购文件规定的暂估价、暂列金额及甲供材料价格的；（若有）</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 改变采购文件明确列出的不可竞争费用项目或费率或计算基础的；（若有）</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 不符合法律、法规和采购文件规定的其他无效情形。</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24.1.3 未通过资格审查或符合性审查的供应商，磋商小组将通过苏采云系统告知具体原因，评审结束后将不再接受有关询问。</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ascii="Times New Roman" w:hAnsi="Times New Roman" w:eastAsia="Times New Roman" w:cs="Times New Roman"/>
          <w:sz w:val="21"/>
        </w:rPr>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24.3 本项目执行财库〔2026〕2号《关于推动解决政府采购异常低价问题相关工作的通知》的相关规定，评审过程中出现下列情形之一的，评审委员会应当启动异常低价投标（响应）审查程序：</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（1）投标（响应）报价低于全部通过符合性审查供应商投标（响应）报价平均值65%的，即投标（响应）报价〈全部通过符合性审查供应商投标（响应）报价平均值×65%；</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（2）投标（响应）报价低于通过符合性审查的次低报价供应商投标（响应）报价65%的，即投标（响应）报价〈通过符合性审查的次低报价供应商投标（响应）报价×65%；</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（3）投标（响应）报价低于采购项目最高限价65%的，即投标（响应）报价〈采购项目最高限价×65%；</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（4）评审委员会基于专业判断，认为供应商报价过低，有可能影响产品质量或者不能诚信履约的其他情形。</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24.3.1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u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24.4 未实质性响应磋商文件的响应文件按无效响应处理。</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24.5 如果响应文件实质上没有响应磋商文件的要求，磋商小组将予以拒绝，供应商不得通过修改或撤销不符合要求的偏离或保留而使其成为实质性响应的文件。</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24.6 供应商在项目评审全过程中应保持通讯畅通，及时登录苏采云系统查阅、答复相关信息，并安排专人与采购代理及磋商小组联系。</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25.磋商</w:t>
      </w:r>
      <w:r>
        <w:rPr>
          <w:rFonts w:ascii="FangSong" w:hAnsi="FangSong" w:eastAsia="FangSong" w:cs="FangSong"/>
          <w:b/>
          <w:color w:val="000000"/>
          <w:sz w:val="21"/>
          <w:u w:val="none"/>
        </w:rPr>
        <w:t xml:space="preserve">程序及评审方法与评审标准</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25.1 磋商程序</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25.1.1 响应文件初审分为资格审查和符合性审查。</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（1）资格审查：依据法律法规和采购文件的规定，对响应文件中的资格证明文件进行审查，以确定供应商是否具备参加磋商的资格。</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（2）符合性检查：依据采购文件的规定，由磋商小组从响应文件的有效性、完整性和对采购文件的响应程度进行审查，以确定是否对采购文件的实质性要求作出响应。</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（3）在详细评审之前，磋商小组将首先审查每份响应文件是否实质性响应了采购文件的要求。实质性响应的响应文件应该与采购文件要求的全部条款、条件和规格相符，没有重大偏离或保留。</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（4）如果响应文件实质上没有响应采购文件的要求，磋商小组将予以拒绝，供应商不得通过修改或撤销不合要求的偏离或保留而使其响应文件成为实质性响应的文件。</w:t>
      </w:r>
      <w:r>
        <w:rPr>
          <w:rFonts w:ascii="Times New Roman" w:hAnsi="Times New Roman" w:eastAsia="Times New Roman" w:cs="Times New Roman"/>
          <w:sz w:val="21"/>
        </w:rPr>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（5）供应商在开、评标全过程中应保持通讯畅通，并安排专人等候代理机构或磋商小组的联系。</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ascii="Times New Roman" w:hAnsi="Times New Roman" w:eastAsia="Times New Roman" w:cs="Times New Roman"/>
          <w:sz w:val="21"/>
        </w:rPr>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25.1.4 除项目扩大了施工范围，增加了采购内容、提高了技术要求外，原则上最终报价不得高于上一轮报价。</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25.2 评审方法：</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项目拟采用综合评分法，评分统计方法采用百分制（满分100分），将全部磋商小组成员评分直接进行算术平均，小数点后保留2位。按评审后得分由高到低顺序排列，得分相同的，按报价由低到高顺序排列；得分且报价相同的，由磋商小组随机抽取。</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评审标准：见磋商文件第三章。</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25.3 采购活动终止</w:t>
      </w:r>
      <w:r>
        <w:rPr>
          <w:rFonts w:ascii="Times New Roman" w:hAnsi="Times New Roman" w:eastAsia="Times New Roman" w:cs="Times New Roman"/>
          <w:sz w:val="21"/>
        </w:rPr>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出现下列情形之一的，本次采购活动终止：</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 因情况变化，不再符合竞争性磋商采购方式适用情形。</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 出现影响采购公正的违法、违规行为。</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 在苏采云系统规定时间内成功解密电子响应文件的供应商不足三家。</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 除本磋商文件第二章第25.1.2条规定的情形外，磋商过程中符合要求的供应商或者提交最后报价且未超过采购预算或最高限价的供应商不足三家。</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 法律法规规定的其他应当终止情形。</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如出现上述（3）或（4）情形，采购活动失败，磋商小组应对磋商文件是否存在不合理条款进行论证，并在评审报告中写明论证意见。</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六、成交</w:t>
      </w:r>
      <w:r>
        <w:rPr>
          <w:sz w:val="24"/>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2</w:t>
      </w:r>
      <w:r>
        <w:rPr>
          <w:rFonts w:ascii="FangSong" w:hAnsi="FangSong" w:eastAsia="FangSong" w:cs="FangSong"/>
          <w:b/>
          <w:color w:val="000000"/>
          <w:sz w:val="21"/>
        </w:rPr>
        <w:t xml:space="preserve">6.确定成交单位</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26.1 成交候选供应商的确定原则和数量见磋商文件第三章。</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26.2 按以下第（2）种方式确定成交供应商：</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（1）磋商小组直接确定排名第一的成交候选供应商为成交供应商；</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（2）采购人在磋商小组推荐的成交候选供应商中按顺序确定成交供应商。</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按第二种方式确定成交供应商的，采购代理自评审结束之日起两个工作日内将评审报告送交采购人，采购人自收到评审报告之日起五个工作日内，在评审报告推荐的成交候选供应商中按顺序确定成交供应商。</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26.3 采购代理将在原招标公告发布媒介发布成交结果公告，公告期限为1个工作日。</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26.4 </w:t>
      </w:r>
      <w:r>
        <w:rPr>
          <w:rFonts w:ascii="FangSong" w:hAnsi="FangSong" w:eastAsia="FangSong" w:cs="FangSong"/>
          <w:b/>
          <w:color w:val="000000"/>
          <w:sz w:val="21"/>
        </w:rPr>
        <w:t xml:space="preserve">若有充分证据证明成交供应商有下列情况之一的，一经查实将被取消成交资格：</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 提供虚假材料谋取成交；</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 向评审专家、采购人或采购代理工作人员行贿或者提供其他不正当利益；</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 与其他供应商、评审专家、采购人或采购代理工作人员恶意串通；</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 不满足本磋商文件规定的实质性要求，但在评审过程中未被磋商小组发现；</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 采取不正当手段诋毁、排挤其他供应商。</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27.成交通知书</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27.1 成交结果确定后，采购代理将向成交供应商发出《成交通知书》。成交供应商可在成交结果公告届满之日起三十日内，登录苏采云系统下载。</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因系统存储空间有限，成交结果公告届满之日起三十日后，苏采云系统不再保证提供下载《成交通知书》服务，因未及时下载而造成的不利后果由成交供应商自行承担。</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七、授予合同</w:t>
      </w:r>
      <w:r>
        <w:rPr>
          <w:sz w:val="24"/>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28.签订合同</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28.l 成交供应商应当在《成交通知书》发出之日起三十日内，按照磋商文件确定的事项与采购人签订政府采购合同。采购人于合同签订后2个工作日内通过苏采云系统进行公示。</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28.2 磋商文件、成交供应商的响应文件及磋商过程中有关澄清、承诺文件均作为合同附件。</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28.4 成交供应商因自身原因拒绝与采购人签订合同的，不得参加采购人重新组织的采购活动，且将可能被拒绝参加该采购人一年内的其他政府采购活动。</w:t>
      </w:r>
      <w:r>
        <w:rPr>
          <w:rFonts w:ascii="Times New Roman" w:hAnsi="Times New Roman" w:eastAsia="Times New Roman" w:cs="Times New Roman"/>
          <w:sz w:val="21"/>
        </w:rPr>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29.标的物的追加</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30.政府采购履约资金扶持政策</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30.1 成交供应商通过南京市公共资源交易平台网站“小企业融资平台”，选择相应的金融机构办理融资贷款。</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30.2 依据《关于在全省政府采购领域推行电子履约保函（保险）的通知》（苏财购〔2023〕150号），需要缴纳履约保证金的，成交供应商可通过江苏政府采购网“政府采购电子履约保函（保险）综合服务平台”线上办理履约保函（保险）。</w:t>
      </w:r>
      <w:r>
        <w:rPr>
          <w:rFonts w:ascii="Times New Roman" w:hAnsi="Times New Roman" w:eastAsia="Times New Roman" w:cs="Times New Roman"/>
          <w:sz w:val="21"/>
        </w:rPr>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八、质疑</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31. 提出质疑的供应商应当是参与所质疑项目采购活动的供应商，潜在供应商依法获取其可质疑的采购文件的，可以对采购文件提出质疑。</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 供应商认为采购文件、采购过程和采购结果使自己的权益受到损害的，可以在知道或应知其权益受到损害之日起七个工作日内，按照第34条、第35条之规定以书面形式向采购人或采购代理提出质疑。上述应知其权益受到损害之日是指：</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 对采购文件提出质疑的，为收到采购文件之日或者采购文件公告期限届满之日。</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 对采购过程提出质疑的，为各采购程序环节结束之日。</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 对成交结果提出质疑的，为成交结果公告期限届满之日。</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33. 供应商应当在法定质疑期内一次性提出针对同一采购程序环节的质疑。供应商如在法定期限内对同一采购程序环节提出多次质疑的，采购代理或采购人将只对供应商第一次质疑作出答复。</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34. 供应商提出质疑应提交《质疑函》原件至代理机构，采购代理《质疑函》接收人及联系方式见采购文件第一章。</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供应商如组成联合体参加采购活动，《质疑函范本》中要求加盖公章之处，联合体各方均须按要求加盖公章。</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35. 供应商（含潜在供应商）对采购方式、采购需求、供应商资格条件、评审方法与评审标准、合同文本的询问或质疑向采购人提出，由采购人负责答复。供应商对采购过程、采购结果的询问或质疑向采购代理提出，由采购代理负责答复。</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36. 以下情形的质疑不予受理：</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 内容不符合《政府采购质疑和投诉办法》第十二条规定的质疑；</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 超出政府采购法定期限的质疑；</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 以传真、电子邮件等方式递交的非原件形式的质疑。</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 未参加采购活动或在采购活动中自身权益未受到损害的供应商所提出的质疑。</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 供应商组成联合体参加采购活动，联合体中任何一方或多方未按要求签字或盖章、加盖公章的质疑。</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 法律法规规定的其他不予受理情形。</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37. 供应商提出书面质疑必须有理、有据，不得捏造事实、提供虚假材料进行恶意质疑。否则，一经查实，采购代理或采购人有权依据政府采购的有关规定，报请政府采购监管部门对该供应商进行相应的行政处罚和记录该供应商的失信信息。</w:t>
      </w:r>
      <w:r>
        <w:rPr>
          <w:rFonts w:ascii="Times New Roman" w:hAnsi="Times New Roman" w:eastAsia="Times New Roman" w:cs="Times New Roman"/>
          <w:sz w:val="21"/>
        </w:rPr>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九、政策功能落实</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38. 促进中小企业发展</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38.1 本项目专门面向中小企业采购，供应商应为中小微企业或监狱企业或残疾人福利性单位。</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38.3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38.4 残疾人福利性单位视同小型、微型企业。按照《关于促进残疾人就业政府采购政策的通知》（财库〔2017〕141号）规定，残疾人福利单位需提供《残疾人福利性单位声明函》。</w:t>
      </w:r>
      <w:r>
        <w:rPr>
          <w:rFonts w:ascii="Times New Roman" w:hAnsi="Times New Roman" w:eastAsia="Times New Roman" w:cs="Times New Roman"/>
          <w:sz w:val="21"/>
        </w:rPr>
      </w:r>
      <w:r/>
    </w:p>
    <w:p>
      <w:pPr>
        <w:ind w:left="0" w:right="0" w:firstLine="0"/>
        <w:jc w:val="center"/>
        <w:spacing w:before="0" w:after="0" w:line="85" w:lineRule="atLeast"/>
        <w:tabs>
          <w:tab w:val="left" w:pos="9746" w:leader="none"/>
        </w:tabs>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ind w:left="0" w:right="0" w:firstLine="0"/>
        <w:jc w:val="center"/>
        <w:spacing w:before="0" w:after="0" w:line="85" w:lineRule="atLeast"/>
        <w:tabs>
          <w:tab w:val="left" w:pos="974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第三章 评标标准</w:t>
      </w:r>
      <w:r>
        <w:rPr>
          <w:rFonts w:ascii="Times New Roman" w:hAnsi="Times New Roman" w:eastAsia="Times New Roman" w:cs="Times New Roman"/>
          <w:sz w:val="21"/>
        </w:rPr>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项目拟采用综合评分法，评分统计方法采用百分制（满分100分），将全部磋商小组成员评分直接进行算术平均，小数点后保留2位。按评审后得分由高到低顺序排列，得分相同的，按报价由低到高顺序排列；得分且报价相同的，由磋商小组随机抽取。</w:t>
      </w:r>
      <w:r>
        <w:rPr>
          <w:rFonts w:ascii="Times New Roman" w:hAnsi="Times New Roman" w:eastAsia="Times New Roman" w:cs="Times New Roman"/>
          <w:sz w:val="21"/>
        </w:rPr>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6"/>
        <w:gridCol w:w="993"/>
        <w:gridCol w:w="6440"/>
        <w:gridCol w:w="909"/>
      </w:tblGrid>
      <w:tr>
        <w:trPr>
          <w:trHeight w:val="88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6" w:type="dxa"/>
            <w:vAlign w:val="center"/>
            <w:textDirection w:val="lrTb"/>
            <w:noWrap w:val="false"/>
          </w:tcPr>
          <w:p>
            <w:pPr>
              <w:ind w:left="60" w:right="52" w:firstLine="0"/>
              <w:jc w:val="center"/>
              <w:spacing w:before="120" w:after="12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序号</w:t>
            </w:r>
            <w:r>
              <w:rPr>
                <w:rFonts w:ascii="Times New Roman" w:hAnsi="Times New Roman" w:eastAsia="Times New Roman" w:cs="Times New Roman"/>
                <w:sz w:val="21"/>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ind w:left="0" w:right="0" w:firstLine="0"/>
              <w:jc w:val="center"/>
              <w:spacing w:before="120" w:after="12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评分因素</w:t>
            </w:r>
            <w:r>
              <w:rPr>
                <w:rFonts w:ascii="Times New Roman" w:hAnsi="Times New Roman" w:eastAsia="Times New Roman" w:cs="Times New Roman"/>
                <w:sz w:val="21"/>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40"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评审标准</w:t>
            </w:r>
            <w:r>
              <w:rPr>
                <w:rFonts w:ascii="Times New Roman" w:hAnsi="Times New Roman" w:eastAsia="Times New Roman" w:cs="Times New Roman"/>
                <w:sz w:val="21"/>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val="false"/>
          </w:tcPr>
          <w:p>
            <w:pPr>
              <w:ind w:left="194" w:right="186" w:firstLine="0"/>
              <w:jc w:val="center"/>
              <w:spacing w:before="120" w:after="12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分值</w:t>
            </w:r>
            <w:r>
              <w:rPr>
                <w:rFonts w:ascii="Times New Roman" w:hAnsi="Times New Roman" w:eastAsia="Times New Roman" w:cs="Times New Roman"/>
                <w:sz w:val="21"/>
              </w:rPr>
            </w:r>
            <w:r/>
          </w:p>
        </w:tc>
      </w:tr>
      <w:tr>
        <w:trPr>
          <w:trHeight w:val="112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6" w:type="dxa"/>
            <w:vAlign w:val="center"/>
            <w:textDirection w:val="lrTb"/>
            <w:noWrap w:val="false"/>
          </w:tcPr>
          <w:p>
            <w:pPr>
              <w:ind w:left="0" w:right="0" w:firstLine="0"/>
              <w:jc w:val="center"/>
              <w:spacing w:before="120" w:after="12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ind w:left="0" w:right="0" w:firstLine="0"/>
              <w:jc w:val="center"/>
              <w:spacing w:before="120" w:after="12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价格</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0" w:type="dxa"/>
            <w:vAlign w:val="center"/>
            <w:textDirection w:val="lrTb"/>
            <w:noWrap w:val="false"/>
          </w:tcPr>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采用低价优先法计算，即满足磋商文件要求且磋商最终报价最低的响应报价为评标基准价，其价格分为满分。其他供应商的价格分按照下列公式计算（小数点保留两位）：响应报价得分=（评标基准价／磋商最终报价）×70。</w:t>
            </w:r>
            <w:r>
              <w:rPr>
                <w:sz w:val="21"/>
              </w:rPr>
            </w:r>
            <w:r/>
          </w:p>
          <w:p>
            <w:pPr>
              <w:ind w:left="0" w:right="0" w:firstLine="0"/>
              <w:jc w:val="both"/>
              <w:spacing w:before="210" w:after="120" w:line="85" w:lineRule="atLeast"/>
              <w:rPr>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本项目执行财库〔2026〕2号《关于推动解决政府采购异常低价问题相关工作的通知》的相关规定，具体详见第二章24.3。</w:t>
            </w:r>
            <w:r>
              <w:rPr>
                <w:sz w:val="2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70</w:t>
            </w:r>
            <w:r>
              <w:rPr>
                <w:rFonts w:ascii="Times New Roman" w:hAnsi="Times New Roman" w:eastAsia="Times New Roman" w:cs="Times New Roman"/>
                <w:sz w:val="21"/>
              </w:rPr>
            </w:r>
            <w:r/>
          </w:p>
        </w:tc>
      </w:tr>
      <w:tr>
        <w:trPr>
          <w:trHeight w:val="17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6" w:type="dxa"/>
            <w:vAlign w:val="center"/>
            <w:textDirection w:val="lrTb"/>
            <w:noWrap w:val="false"/>
          </w:tcPr>
          <w:p>
            <w:pPr>
              <w:ind w:left="0" w:right="0" w:firstLine="0"/>
              <w:jc w:val="center"/>
              <w:spacing w:before="120" w:after="12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highlight w:val="yellow"/>
              </w:rPr>
              <w:t xml:space="preserve">业绩</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供应商自</w:t>
            </w:r>
            <w:r>
              <w:rPr>
                <w:rFonts w:ascii="FangSong" w:hAnsi="FangSong" w:eastAsia="FangSong" w:cs="FangSong"/>
                <w:color w:val="000000"/>
                <w:sz w:val="22"/>
                <w:highlight w:val="yellow"/>
              </w:rPr>
              <w:t xml:space="preserve">2023年10月1日</w:t>
            </w:r>
            <w:r>
              <w:rPr>
                <w:rFonts w:ascii="FangSong" w:hAnsi="FangSong" w:eastAsia="FangSong" w:cs="FangSong"/>
                <w:color w:val="000000"/>
                <w:sz w:val="22"/>
              </w:rPr>
              <w:t xml:space="preserve">以来，承担过类似水利工程工程施工业绩的，有一个得3分，最多得6分。</w:t>
            </w:r>
            <w:r>
              <w:rPr>
                <w:rFonts w:ascii="Times New Roman" w:hAnsi="Times New Roman" w:eastAsia="Times New Roman" w:cs="Times New Roman"/>
                <w:sz w:val="21"/>
              </w:rPr>
            </w:r>
            <w:r/>
          </w:p>
          <w:p>
            <w:pPr>
              <w:ind w:left="0" w:right="0" w:firstLine="0"/>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（需同时提供中标通知书、合同协议书、合同完工验收证明或竣工验收证书加盖公章，三者缺一不可；时间以合同完工验收证明或竣工验收证书为准，企业业绩与项目负责人不可兼得）</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rPr>
                <w:rFonts w:ascii="Times New Roman" w:hAnsi="Times New Roman" w:eastAsia="Times New Roman" w:cs="Times New Roman"/>
                <w:sz w:val="21"/>
              </w:rPr>
            </w:r>
            <w:r/>
          </w:p>
        </w:tc>
      </w:tr>
      <w:tr>
        <w:trPr>
          <w:trHeight w:val="17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6" w:type="dxa"/>
            <w:vAlign w:val="center"/>
            <w:textDirection w:val="lrTb"/>
            <w:noWrap w:val="false"/>
          </w:tcPr>
          <w:p>
            <w:pPr>
              <w:ind w:left="0" w:right="0" w:firstLine="0"/>
              <w:jc w:val="center"/>
              <w:spacing w:before="120" w:after="12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highlight w:val="yellow"/>
              </w:rPr>
              <w:t xml:space="preserve">项目负责人业绩</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项目负责人自</w:t>
            </w:r>
            <w:r>
              <w:rPr>
                <w:rFonts w:ascii="FangSong" w:hAnsi="FangSong" w:eastAsia="FangSong" w:cs="FangSong"/>
                <w:color w:val="000000"/>
                <w:sz w:val="22"/>
                <w:highlight w:val="yellow"/>
              </w:rPr>
              <w:t xml:space="preserve">2023年10月1日以</w:t>
            </w:r>
            <w:r>
              <w:rPr>
                <w:rFonts w:ascii="FangSong" w:hAnsi="FangSong" w:eastAsia="FangSong" w:cs="FangSong"/>
                <w:color w:val="000000"/>
                <w:sz w:val="22"/>
              </w:rPr>
              <w:t xml:space="preserve">来，承担过类似水利工程工程施工业绩，有一个得5分，最多得10分。</w:t>
            </w:r>
            <w:r>
              <w:rPr>
                <w:rFonts w:ascii="Times New Roman" w:hAnsi="Times New Roman" w:eastAsia="Times New Roman" w:cs="Times New Roman"/>
                <w:sz w:val="21"/>
              </w:rPr>
            </w:r>
            <w:r/>
          </w:p>
          <w:p>
            <w:pPr>
              <w:ind w:left="0" w:right="0" w:firstLine="0"/>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需同时提供中标通知书、合同协议书、合同完工验收证明或竣工验收证书加盖公章，三者缺一不可；时间以合同完工验收证明或竣工验收证书为准，企业业绩与项目负责人不可兼得；项目负责人业绩需由本单位承接的）</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rPr>
                <w:rFonts w:ascii="Times New Roman" w:hAnsi="Times New Roman" w:eastAsia="Times New Roman" w:cs="Times New Roman"/>
                <w:sz w:val="21"/>
              </w:rPr>
            </w:r>
            <w:r/>
          </w:p>
        </w:tc>
      </w:tr>
      <w:tr>
        <w:trPr>
          <w:trHeight w:val="6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6" w:type="dxa"/>
            <w:vAlign w:val="center"/>
            <w:vMerge w:val="restart"/>
            <w:textDirection w:val="lrTb"/>
            <w:noWrap w:val="false"/>
          </w:tcPr>
          <w:p>
            <w:pPr>
              <w:ind w:left="0" w:right="0" w:firstLine="0"/>
              <w:jc w:val="center"/>
              <w:spacing w:before="120" w:after="12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vMerge w:val="restart"/>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highlight w:val="yellow"/>
              </w:rPr>
              <w:t xml:space="preserve">项目组成员</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0" w:type="dxa"/>
            <w:vAlign w:val="center"/>
            <w:textDirection w:val="lrTb"/>
            <w:noWrap w:val="false"/>
          </w:tcPr>
          <w:p>
            <w:pPr>
              <w:ind w:left="0" w:right="0" w:firstLine="0"/>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拟派项目负责人，具有水利工程专业工程师及以上职称的得3分。（提供有效证书、社保机构出具近半年（2026年4月至2026年9月）任意一个月供应商为上述人员缴纳的养老保险金缴费证明材料（加盖社保中心章或社保中心参保缴费证明电子专用章）。若属企业退休人员、事业编制人员、现役军人等客观原因无法提供养老保险金缴费证明，必须出具相关证明材料，否则一律按未提供养老保险金缴费证明材料处理）</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rPr>
                <w:rFonts w:ascii="Times New Roman" w:hAnsi="Times New Roman" w:eastAsia="Times New Roman" w:cs="Times New Roman"/>
                <w:sz w:val="21"/>
              </w:rPr>
            </w:r>
            <w:r/>
          </w:p>
        </w:tc>
      </w:tr>
      <w:tr>
        <w:trPr>
          <w:trHeight w:val="668"/>
        </w:trPr>
        <w:tc>
          <w:tcPr>
            <w:vMerge w:val="continue"/>
            <w:textDirection w:val="lrTb"/>
            <w:noWrap w:val="false"/>
          </w:tcPr>
          <w:p>
            <w:r/>
            <w:r/>
            <w:r/>
          </w:p>
        </w:tc>
        <w:tc>
          <w:tcPr>
            <w:vMerge w:val="continue"/>
            <w:textDirection w:val="lrTb"/>
            <w:noWrap w:val="false"/>
          </w:tcPr>
          <w:p>
            <w: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0" w:type="dxa"/>
            <w:vAlign w:val="center"/>
            <w:textDirection w:val="lrTb"/>
            <w:noWrap w:val="false"/>
          </w:tcPr>
          <w:p>
            <w:pPr>
              <w:ind w:left="0" w:right="0" w:firstLine="0"/>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拟派项目技术负责人，具有具备水利工程二级注册建造师证书及以上的，得2分；同时具有水利工程专业工程师及以上职称的加1分。（提供有效证书、社保机构出具近半年（2026年4月至2026年9月）任意一个月供应商为上述人员缴纳的养老保险金缴费证明材料（加盖社保中心章或社保中心参保缴费证明电子专用章）。若属企业退休人员、事业编制人员、现役军人等客观原因无法提供养老保险金缴费证明，必须出具相关证明材料，否则一律按未提供养老保险金缴费证明材料处理）</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rPr>
                <w:rFonts w:ascii="Times New Roman" w:hAnsi="Times New Roman" w:eastAsia="Times New Roman" w:cs="Times New Roman"/>
                <w:sz w:val="21"/>
              </w:rPr>
            </w:r>
            <w:r/>
          </w:p>
        </w:tc>
      </w:tr>
      <w:tr>
        <w:trPr>
          <w:trHeight w:val="70"/>
        </w:trPr>
        <w:tc>
          <w:tcPr>
            <w:vMerge w:val="continue"/>
            <w:textDirection w:val="lrTb"/>
            <w:noWrap w:val="false"/>
          </w:tcPr>
          <w:p>
            <w:r/>
            <w:r/>
            <w:r/>
          </w:p>
        </w:tc>
        <w:tc>
          <w:tcPr>
            <w:vMerge w:val="continue"/>
            <w:textDirection w:val="lrTb"/>
            <w:noWrap w:val="false"/>
          </w:tcPr>
          <w:p>
            <w: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0" w:type="dxa"/>
            <w:vAlign w:val="center"/>
            <w:textDirection w:val="lrTb"/>
            <w:noWrap w:val="false"/>
          </w:tcPr>
          <w:p>
            <w:pPr>
              <w:ind w:left="0" w:right="0" w:firstLine="0"/>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施工员（1 名）、安全员（1 名），有一个得0.5分，满分1分。（提供有效证书、社保机构出具近半年（2026年4月至2026年9月）任意一个月供应商为上述人员缴纳的养老保险金缴费证明材料（加盖社保中心章或社保中心参保缴费证明电子专用章）。若属企业退休人员、事业编制人员、现役军人等客观原因无法提供养老保险金缴费证明，必须出具相关证明材料，否则一律按未提供养老保险金缴费证明材料处理；本项目项目负责人、技术负责人、项目组成员均不可兼任；一人多证的最多仅计取一次分数）</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rPr>
                <w:rFonts w:ascii="Times New Roman" w:hAnsi="Times New Roman" w:eastAsia="Times New Roman" w:cs="Times New Roman"/>
                <w:sz w:val="21"/>
              </w:rPr>
            </w:r>
            <w:r/>
          </w:p>
        </w:tc>
      </w:tr>
      <w:tr>
        <w:trPr>
          <w:trHeight w:val="15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6" w:type="dxa"/>
            <w:vAlign w:val="center"/>
            <w:textDirection w:val="lrTb"/>
            <w:noWrap w:val="false"/>
          </w:tcPr>
          <w:p>
            <w:pPr>
              <w:ind w:left="0" w:right="0" w:firstLine="0"/>
              <w:jc w:val="center"/>
              <w:spacing w:before="120" w:after="12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highlight w:val="yellow"/>
              </w:rPr>
              <w:t xml:space="preserve">承诺函</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供应商提供承诺函：</w:t>
            </w:r>
            <w:r>
              <w:rPr>
                <w:rFonts w:ascii="Times New Roman" w:hAnsi="Times New Roman" w:eastAsia="Times New Roman" w:cs="Times New Roman"/>
                <w:sz w:val="21"/>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负责人、项目技术负责人、施工员、安全员必须执行工地打卡签到要求，满足每人每月22工作日要求，并且承诺按期完工，组织安全预防工作，确保工期内无任何安全事故；保证中标后不得因价格等因素而放弃中标资格。</w:t>
            </w:r>
            <w:r>
              <w:rPr>
                <w:rFonts w:ascii="Times New Roman" w:hAnsi="Times New Roman" w:eastAsia="Times New Roman" w:cs="Times New Roman"/>
                <w:sz w:val="21"/>
              </w:rPr>
            </w:r>
            <w:r/>
          </w:p>
          <w:p>
            <w:pPr>
              <w:ind w:left="0" w:right="0" w:firstLine="0"/>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提供承诺函得3分，未提供不得分。（承诺函加盖公章，格式自拟；承诺书内容表述不清或存在评审歧义的，视为未提供）</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rPr>
                <w:rFonts w:ascii="Times New Roman" w:hAnsi="Times New Roman" w:eastAsia="Times New Roman" w:cs="Times New Roman"/>
                <w:sz w:val="21"/>
              </w:rPr>
            </w:r>
            <w:r/>
          </w:p>
        </w:tc>
      </w:tr>
      <w:tr>
        <w:trPr>
          <w:trHeight w:val="15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6" w:type="dxa"/>
            <w:vAlign w:val="center"/>
            <w:textDirection w:val="lrTb"/>
            <w:noWrap w:val="false"/>
          </w:tcPr>
          <w:p>
            <w:pPr>
              <w:ind w:left="0" w:right="0" w:firstLine="0"/>
              <w:jc w:val="center"/>
              <w:spacing w:before="120" w:after="12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highlight w:val="yellow"/>
              </w:rPr>
              <w:t xml:space="preserve">质保期</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0" w:type="dxa"/>
            <w:vAlign w:val="center"/>
            <w:textDirection w:val="lrTb"/>
            <w:noWrap w:val="false"/>
          </w:tcPr>
          <w:p>
            <w:pPr>
              <w:ind w:left="0" w:right="0" w:firstLine="0"/>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在满足磋商文件最低质保期（2年）基础上，每增加一年加2分，最多加4分。（提供质保期承诺书加盖公章，格式自拟；承诺书内容表述不清或响应文件多数质保期前后表述不一致的，不予计分）</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rPr>
                <w:rFonts w:ascii="Times New Roman" w:hAnsi="Times New Roman" w:eastAsia="Times New Roman" w:cs="Times New Roman"/>
                <w:sz w:val="21"/>
              </w:rPr>
            </w:r>
            <w:r/>
          </w:p>
        </w:tc>
      </w:tr>
      <w:tr>
        <w:trPr>
          <w:trHeight w:val="446"/>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09" w:type="dxa"/>
            <w:vAlign w:val="center"/>
            <w:textDirection w:val="lrTb"/>
            <w:noWrap w:val="false"/>
          </w:tcPr>
          <w:p>
            <w:pPr>
              <w:ind w:left="0" w:right="0" w:firstLine="440"/>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合计</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val="false"/>
          </w:tcPr>
          <w:p>
            <w:pPr>
              <w:ind w:left="0" w:right="0" w:firstLine="440"/>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100</w:t>
            </w:r>
            <w:r>
              <w:rPr>
                <w:rFonts w:ascii="Times New Roman" w:hAnsi="Times New Roman" w:eastAsia="Times New Roman" w:cs="Times New Roman"/>
                <w:sz w:val="21"/>
              </w:rPr>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说明：</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2、小微型企业</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本项目专门面向中小企业采购，不再执行价格扣除；供应商应为中小微企业或监狱企业或残疾人福利性单位，供应商需按照采购文件的要求提供有效的《中小企业声明函》或监狱企业证明文件或残疾人福利性单位证明文件。</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本项目标的所属行业：建筑业。根据《中小企业划型标准规定》工信部联企业〔2011〕300号规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4、磋商小组不保证有效报价最低的供应商成交。如果评审分数畸高、畸低的，应详细说明理由。若供应商提供虚假资料，一经查实作无效投标处理。</w:t>
      </w:r>
      <w:r>
        <w:rPr>
          <w:rFonts w:ascii="Times New Roman" w:hAnsi="Times New Roman" w:eastAsia="Times New Roman" w:cs="Times New Roman"/>
          <w:sz w:val="21"/>
        </w:rPr>
      </w:r>
      <w:r/>
    </w:p>
    <w:p>
      <w:pPr>
        <w:ind w:left="0" w:right="0" w:firstLine="4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ind w:left="0" w:right="0" w:firstLine="4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u w:val="none"/>
        </w:rPr>
        <w:t xml:space="preserve">第四章采购需求</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一、项目名称：</w:t>
      </w:r>
      <w:r>
        <w:rPr>
          <w:rFonts w:ascii="FangSong" w:hAnsi="FangSong" w:eastAsia="FangSong" w:cs="FangSong"/>
          <w:color w:val="000000"/>
          <w:sz w:val="21"/>
        </w:rPr>
        <w:t xml:space="preserve">2026年江北新区（浦口区）象山湖水利风景区生态补偿项目</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二、采购需求：</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工程范围包含更换老旧木铺装为仿石铺装、增设两条水磨石座凳、绿化提升、植物移栽、安全设施维修更新等；具体内容详见采购文件及工程量清单。</w:t>
      </w:r>
      <w:r>
        <w:rPr>
          <w:rFonts w:ascii="Times New Roman" w:hAnsi="Times New Roman" w:eastAsia="Times New Roman" w:cs="Times New Roman"/>
          <w:sz w:val="21"/>
        </w:rPr>
      </w:r>
      <w:r/>
    </w:p>
    <w:p>
      <w:pPr>
        <w:ind w:left="0" w:right="0" w:firstLine="422"/>
        <w:jc w:val="both"/>
        <w:spacing w:before="0" w:after="0" w:line="85" w:lineRule="atLeast"/>
        <w:tabs>
          <w:tab w:val="left" w:pos="73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三、工程量清单说明</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1、本工程报价文件执行省市最新相关造价文件。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2、本工程量清单应与磋商文件中的通用合同条款、专用合同条款、技术标准和要求及图纸等一起阅读和理解。</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3、本工程量清单仅是投标报价的共同基础，实际工程计量和工程价款的支付应遵循合同条款的约定和有关规定。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4、补充子目工程量计算规则及子目工作内容说明：无。</w:t>
      </w:r>
      <w:r>
        <w:rPr>
          <w:rFonts w:ascii="Times New Roman" w:hAnsi="Times New Roman" w:eastAsia="Times New Roman" w:cs="Times New Roman"/>
          <w:sz w:val="21"/>
        </w:rPr>
      </w:r>
      <w:r/>
    </w:p>
    <w:p>
      <w:pPr>
        <w:ind w:left="0" w:right="0" w:firstLine="422"/>
        <w:jc w:val="both"/>
        <w:spacing w:before="0" w:after="0" w:line="85" w:lineRule="atLeast"/>
        <w:tabs>
          <w:tab w:val="left" w:pos="73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四、投标报价说明</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1、工程量清单中的每一子目须填入单价或价格，且只允许有一个报价。</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工程量清单中标价的单价或金额，应包括所需人工费、施工机械使用费、材料费、其他（运杂费、质检费、安装费、缺陷修复费、保险费，以及合同明示或暗示的风险、责任和义务等），以及管理费、利润等。</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3、工程量清单中投标人没有填入单价或价格的子目，其费用视为已分摊在工程量清单中其他相关子目的单价或价格之中。</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4、暂列金额的数量及拟用子目的说明：详见工程量清单。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5、暂估价的数量及拟用子目的说明：详见工程量清单。</w:t>
      </w:r>
      <w:r>
        <w:rPr>
          <w:rFonts w:ascii="Times New Roman" w:hAnsi="Times New Roman" w:eastAsia="Times New Roman" w:cs="Times New Roman"/>
          <w:sz w:val="21"/>
        </w:rPr>
      </w:r>
      <w:r/>
    </w:p>
    <w:p>
      <w:pPr>
        <w:ind w:left="0" w:right="0" w:firstLine="422"/>
        <w:jc w:val="both"/>
        <w:spacing w:before="0" w:after="0" w:line="85" w:lineRule="atLeast"/>
        <w:tabs>
          <w:tab w:val="left" w:pos="73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五、商务要求</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付款方式：监理人在收到承包人进度付款申请单以及相应的支付性证明文件后的15天内完成核查，并向发包人出具进度付款证书，每次工程进度款的实际支付额为审核工程进度款的80%，而且工程进度款实际支付累计不得超过工程合同价的 80%，审计完成并通过竣工验收后，支付至审定价的100%。</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有权根据工程进度的要求调整工程付款的时间和比例，发包人有权根据政府资金的到位情况，调整工程款的支付比例及支付时间（无息），承包人不得因此而提出异议。若实际工期按照发包人批准的总进度计划出现滞后情况的，委托人有权减半支付或暂缓支付工程费。若经发包人认定的关键线路工期节点出现三次及以上滞后的，发包人有权予以清退。</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2、履约保证金：</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履约保证金：在签订合同前，向采购人缴纳成交价10%履约保证金。</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形式：支票、汇票、本票或者金融机构、担保机构出具的保函等非现金形式提交。</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履约保证金退款时间：质保期满后无息退还。</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★3、质量保修期：2年（供应商投标时承诺质保期超过两年的，则以供应商投标时承诺为准）；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★4、报价要求：最高限价：143.495862万元；报价超过最高限价的视为无效响应。</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供应商的报价应是磋商文件确定的采购范围内的全部工作内容的价格体现，应包括人工、机械设备、材料、安装、维护、检测、质保、措施、管理、利润、税金及相关政策性文件规定的其他应有费用。施工期间产生的所有建筑垃圾，由成交供应商清运至政府相关部门指定的合法垃圾场，该项费用由供应商自行考虑并计入报价中。</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4.2供应商须依据现行版《清单计价规范》和现行版《工程计价表》要求来编制，按照工程量清单；结合图纸及实施方案（详见附件）进行报价。</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★5.政策要求</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5.1根据关于全面实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各供应商须提供一级建造师证书电子注册证书，电子注册证书应当符合相关文件规定，签名图像应当与持证人个人手写签名笔迹一致，证书应当在使用有效期限内。供应商将自行承担资格审查不通过等相应后果。</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5.2根据住房和城乡建设部办公厅关于全面实行一级建造师电子注册证书的通知（建办市〔2021〕40号）要求，自2021年10月15日起，在全国范围内实行一级建造师电子证书，电子证书式样按照《全国一体化在线政 务服务平台电子证照一级建造师注册证书》标准执行。自2022年1月1日起，一级建造师统一使用电子证书，纸质注册证书作废。各供应商若使用一级建造师证书电子注册证书编入响应文件的，电子注册证书应当符合相关文件规定，签名图像应当与持证人个人手写签名笔迹一致，证书应当在使用有效期限内。若提供的电子件无法识别有效信息</w:t>
      </w:r>
      <w:r>
        <w:rPr>
          <w:rFonts w:ascii="FangSong" w:hAnsi="FangSong" w:eastAsia="FangSong" w:cs="FangSong"/>
          <w:color w:val="000000"/>
          <w:sz w:val="21"/>
        </w:rPr>
        <w:t xml:space="preserve">的，视为无效。供应商将自行承担资格审查不通过等相应后果。</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5.3资质、证书的延续以相关国家、省、市规定为准，如有请将相关证明材料编入响应文件。</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5.4根据建办市[2019]50号文及苏建函建管[2019]393号文规定，已取消一级、二级建造师临时执业证书，因此本项目不接受持临时建造师执业资格的项目负责人投标，否则将作为资格审查不通过处理。</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5.5根据江苏省住房和城乡建设厅颁发的“省住房和城乡建设厅关于我省二级建造师、二级造价工程师、二级注册建筑师、二级注册结构工程师注册证书电子证照换发的公告”请各供应商自行提供有效且满足采购文件要求的证书。否则供应商将自行承担资格审查不通过等相应后果。</w:t>
      </w:r>
      <w:r>
        <w:rPr>
          <w:rFonts w:ascii="Times New Roman" w:hAnsi="Times New Roman" w:eastAsia="Times New Roman" w:cs="Times New Roman"/>
          <w:sz w:val="21"/>
        </w:rPr>
      </w:r>
      <w:r/>
    </w:p>
    <w:p>
      <w:pPr>
        <w:ind w:left="0" w:right="0" w:firstLine="422"/>
        <w:jc w:val="both"/>
        <w:spacing w:before="0" w:after="0" w:line="85" w:lineRule="atLeast"/>
        <w:tabs>
          <w:tab w:val="left" w:pos="73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六、其他说明</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1、工程量清单及暂估价、暂列金额及甲供材料价格：</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（1）与磋商文件提供的工程量清单中的项目编码、项目名称、项目特征、计量单位、工程量一致（措施项目增项除外）；</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（2）与磋商文件规定的暂估价、暂列金额及甲供材料价格一致。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2、不可竞争费用项目或费率或计算基础：</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（1）与磋商文件明确列出的不可竞争费用项目或费率或计算基础一致。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★3、投标报价范围：投标报价不低于成本且不高于磋商文件规定的最高投标限价；报价超过最高限价的视为无效响应。</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4、施工期间水电费由成交供应商自行承担，在投标报价中综合考虑。</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工程量清单编制及填写说明</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 一般规定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 工程量清单应由具有编制招标文件能力的招标人，或受其委托具有相应资质的中介机构进行编制。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 工程量清单应作为招标文件的组成部分，其准确性和完善性由招标人负责。</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 除招标文件另有规定外，工程量清单格式中所有要求盖章、签字的地方，必须由规定的单位和人员盖章、签字（其中法定代表人也可由其授权委托的代理人签字、盖章）。</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 投标金额（价格）均应以人民币表示。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 工程量清单及其计价格式中的任何内容不得随意删除或涂改。</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 工程量清单中各项目的工作内容和要求应符合相关技术标准和要求（合同技术条款）以及《水利工程工程量清单计价规范》（GB50501-2007）的规定。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 工程量清单是工程量清单计价的基础。除另有规定外，工程量清单中的工程量根据招标设计图纸，按《水利工程工程量清单计价规范》计算规则计算，是用于投标报价的估算工程量，不作为最终结算工程量。最终结算工程量是承包人实际完成并符合技术标准和要求（合同技术条款），按《水利工程工程量清单计价规范》计算规则等规定，根据施工图纸计算的有效工程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 工程价款的支付遵循合同条款的约定。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1.9工程量清单中有计算或汇总中的算术错误时，应按以下原则改正：</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（1）工程量清单中任一项目的单价乘积与该项目合价不吻合时，应以单价为准，改正合价。但经合同双方共同核对后认为单价有明显的小数点错位时，则应以合价为准，改正单价。</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（2）投标书中的投标报价大写金额与小写金额不一致时，以大写金额为准。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1.10保留平衡单价的权力。</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 招标人工程量清单格式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 组成</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总说明</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建筑工程分类分项工程量清单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措施项目清单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其他项目清单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 填写说明</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2.2.1   措施项目清单中，投标人应按备注中的说明提供措施项目报价分解表。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2.2.2   其他项目清单中，暂估价金额由投标人按招标人所列数额填写至相应栏中。</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 投标人工程量清单报价表格式（ 具体格式见苏水基[2011]21  号文附件 2 ，并应</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至少包含下述 3.1  项所列表格格式）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 . 1 组成</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投标总价</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工程项目总价表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建筑工程分类分项工程量清单计价表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措施项目清单计价表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其他项目清单计价表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措施项目报价分解表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建筑工程单价汇总表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建筑工程单价费(税)率汇总表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投标人生产混凝土（砂浆）配合比材料费表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投标人自行采购主要材料及水、电等预算价格汇总表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投标人自备施工机械台时(班)费汇总表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总价项目分类分项工程分解表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建筑工程单价计算表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人工费单价汇总表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 填写说明</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3.2.1 除招标文件另有规定外，工程量清单应与招标文件中的投标人须知、通用合同条款、专用合同条款、技术标准和要求（合同技术条款）、图纸及《水利工程工程量清单计价规范》等一起阅读、理解和使用。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3.2.2 除招标文件另有规定外，投标人不得随意增加、删除或涂改招标文件工程量清单中的任何内容。工程量清单中列明的所有需要填写的单价、合价，投标人均应填写；未填写的单价和合价，视为已包括在工程量清单的其它单价和合价中。</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3.2.3 工程量清单中的工程单价是完成工程量清单中一个质量合格的规定计量单位项目所需的直接费（包括人工费、材料费、机械使用费和季节、夜间等原因增加的直接费）、间接费、利润和税金等，并考虑到风险因素。投标人应根据工程单价组成内容，按招标文件和《水利工程工程量清单计价规范》附录 A 和附录 B 中的“主要工作内容”确定工程单价。除另有规定外，对有效工程量以外的超挖、超填工程量，施工附加量，加工、运输损耗量等，所消耗的人工、材料和机械费用，均应摊入相应有效工程量的工程单价内。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3.2.4 投标总价应按工程项目总价表合计金额填写。</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3.2.5   工程项目总价表中，分类分项工程量清单项目按分类工程汇总，并按建筑工程分类分项工程量清单计价表中相应分类工程项目合计金额填写。</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3.2.6建筑工程分类分项工程量清单计价表中的序号、项目编码、项目名称、计量单位、工程数量和主要技术条款编码，按招标人工程量清单格式中建筑工程分类分项工程量清单表中的相应内容填写，并填写相应项目的单价、合价和合计，其中单价应与建筑工程单价汇总表一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3.2.7建筑工程分类分项工程量清单计价表中，模板使用费应摊入相应的混凝土工程单价中（单列模板清单的除外）；工程一切险、人身意外伤害险、第三者责任险等保险费用应由投标人自行测算并摊入相应的工程单价中。</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3.2.8其他项目清单计价表中，暂估价金额由投标人按招标人所列数额填写至相应栏中。</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3.2.9 措施项目清单计价表中的序号、项目名称，按招标人工程量清单格式中措施项目清单中的相应内容填写，并填写相应的金额和合计，同时按招标人要求，提供措施项目报价分解表。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3.2.10措施项目报价分解表，根据招标人要求提供所需项目分解表，表式可根据需要进行相应调整、补充。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3.2.11 工程单价汇总表，填写工程单价计算表中的计量单位单价。</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3.2.12 工程单价费（税）率汇总表，按工程单价计算表中的相应内容、费（税）率填写。</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3.2.13投标人生产混凝土（砂浆）配合比材料费表，按表中工程部位、混凝土（砂浆）强度等级、水泥强度等级、级配、碎石最大粒径、相应材料预算材料量和单价填写，填写的单价必须与工程单价计算表中采用的相应混凝土（砂浆）的单价一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3.2.14 投标人自行采购主要材料及水、电等预算价格汇总表，按表中的序号、材料名称、型号规格、计量单位和预算价填写，填写的预算价必须与工程单价计算表中采用的相应材料预算价一致。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3.2.15 投标人自备施工机械台时（班） 费汇总表，按表中的序号、机械名称、型号规格、第一类费用、第二类费用及第三类费用填写，填写的台时（班）费合计金额必须与工程单价计算表中相应的施工机械台时（班）费单价一致。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3.2.16 总价项目分类分项工程分解表，投标人应参照分类分项工程量清单计价表格式编制总价项目分类分项工程分解表，每个总价项目分类分项工程一份。</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3.2.17单价计算表，按表中的工作内容、序号、名称、型号规格、计量单位、数量、单价、合价填写。投标报价采用预算价（到工价）计算直接工程费时，工程单价计算表中不列工料机差价调整。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3.2.18 除招标文件另有规定外，投标金额小于投标总标价万分之五及以下的工程项目，投标人可不编报工程单价计算表。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3.2.19 采用其他行业专业定额报价时可参照使用本规定表式，计算单价时可参照其他行业专业定额配套的取费、人工单价、机械台时（班）费用等标准。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3.2.20 承包人必须保护现有管线、桥梁、道路、建筑物、堤防等设施的完好，所采用的临时工程应有效牢靠，所需发生的费用含在相应的投标报价之中，结算时不予调整。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3.2.21 承包人须承担所发生的渣土费、弃土场费及取土场费、土源费、防治扬尘费等相关职能部门的规费、协调费用、由于土方运输造成的沿线道路损坏修复等费用，含在相应投标报价之中，结算时不予调整。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3.2.22 土方运距由投标人自行考虑。</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3.2.23 投标人应充分考虑沿线桥梁道路设施的荷载情况，配置合理的运输车辆荷载，并在投标相应的投标报价中予以考虑，结算时不予调整。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3.2.24投标人应根据招标文件的要求和施工经验填写综合单价，工程量清单已包括了本次招标的所有内容，为完成各分项工程所有明示或隐含的工作，投标人均应考虑在其所填报的综合单价中。工程量清单中所列的分项工程量为实物工程量，工程量清单不能作任何调整。工程量清单中所列的分项工程量均已包含其隐含的所有工作内容和辅助工作项目，报价时均应一并考虑。（如：止水、伸缩缝、泡沫板、沉降缝、砌体粉面、勾缝、压顶、砌体泄水孔、脚手等的费用均包含在工程量清单中的相关子目的综合单价中，为完成实物工程量所需的辅助工程如临时填筑的土方等亦</w:t>
      </w:r>
      <w:r>
        <w:rPr>
          <w:rFonts w:ascii="FangSong" w:hAnsi="FangSong" w:eastAsia="FangSong" w:cs="FangSong"/>
          <w:color w:val="000000"/>
          <w:sz w:val="21"/>
        </w:rPr>
        <w:t xml:space="preserve">应包含在工程量清单中的相关子目的综合单价中）。</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3.2.25预制砼工程的清单全费用综合单价含模板费用，投标人在报价时须把模板费用考虑进去，不另行报价。</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3.2.26预制块护坡（框格）项目均含材料购置、坡面清基、素土夯实、伸缩缝、运输等相关工作内容。</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3.2.27图纸中有明确设计而本清单中漏项项目，投标人自主报价，费用含在本清单子目中，不再增加子目和费用；需要高压接电的所有相关费用（含高压线路接入部分、移位（清单内已标注除外））投标人现场踏勘后自主报价，费用含在清单内的相应子目中，中标后不再增加费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3.2.28所有泵站均需伸缩节、柔性接头、闸阀（离心泵、混流泵）、穿墙套管、异径管，如图纸、清单遗漏，投标人应在相关清单子目中考虑相关费用，具体型号施工时由业主确定。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3.2.29铸铁闸门均为省标，管路防腐处理均按设计要求，经过专业生产厂家处理后购入。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3.2.30清单中配套设施子目含：围墙、道路、地坪、绿化、供排水、院门、台阶、爬梯、栏杆、规章制度牌、弱电设备、标志牌及铭牌、厨卫设施及其他配套设施等，该配套设施所含内容由业主根据工程现场实际需要确定是否实施，如清单内已单列相关子目，则该项子目不含在上述清单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3.2.31项目机电设备采购应由发包人和监理认共同考察认可后，方可购买，否则不予计量。</w:t>
      </w:r>
      <w:r>
        <w:rPr>
          <w:rFonts w:ascii="Times New Roman" w:hAnsi="Times New Roman" w:eastAsia="Times New Roman" w:cs="Times New Roman"/>
          <w:sz w:val="21"/>
        </w:rPr>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rPr>
          <w:sz w:val="32"/>
        </w:rPr>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清 单 编 制 说 明</w:t>
      </w:r>
      <w:r>
        <w:rPr>
          <w:sz w:val="32"/>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一、工程概况：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1、地理位置：位于南京市浦口区。</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2、工程概况及特征：南京市浦口区象山湖水利风景区生态补偿项目</w:t>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实施方案设计图，对于湖心半岛节点、管理所雨水花园、放水渠下游围挡区域、安全设施配套等进行提升改造。</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二、招标范围：</w:t>
      </w:r>
      <w:r>
        <w:rPr>
          <w:rFonts w:ascii="FangSong" w:hAnsi="FangSong" w:eastAsia="FangSong" w:cs="FangSong"/>
          <w:color w:val="000000"/>
          <w:sz w:val="21"/>
        </w:rPr>
        <w:t xml:space="preserve">详见招标文件。</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三、工程量清单编制依据：</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1、建设单位提供的招标设计图。</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2、建设部颁发的《水利工程工程量清单计价规范》(GB50501—2007) 、苏水基〔2011〕21号关于印发《江苏省水利工程招标投标文件工程量清单格式》的通知等。</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3、2010版《江苏省水利工程预算定额》及相关的配套文件等；</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4、文件执行江苏省、南京市及浦口区有关政策性文件及通知等；</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5、江苏省水利工程营业税改增值税计价依据调整的说明；</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5、其他相关规定及文件等；</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四、工程量清单编制说明：</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1、砼均按商品砼计入，砂浆均按预拌砂浆计入。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green"/>
        </w:rPr>
        <w:t xml:space="preserve">2、本工程安全文明措施费按24339.26元计入(园建工程11543.97元，绿化工程12795.29元），为不可竞争费。</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green"/>
        </w:rPr>
        <w:t xml:space="preserve"> </w:t>
      </w:r>
      <w:r>
        <w:rPr>
          <w:rFonts w:ascii="Times New Roman" w:hAnsi="Times New Roman" w:eastAsia="Times New Roman" w:cs="Times New Roman"/>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green"/>
        </w:rPr>
        <w:t xml:space="preserve"> </w:t>
      </w:r>
      <w:r>
        <w:rPr>
          <w:rFonts w:ascii="Times New Roman" w:hAnsi="Times New Roman" w:eastAsia="Times New Roman" w:cs="Times New Roman"/>
          <w:sz w:val="21"/>
        </w:rPr>
      </w:r>
      <w:r/>
    </w:p>
    <w:p>
      <w:pPr>
        <w:ind w:left="0" w:right="0" w:firstLine="0"/>
        <w:spacing w:before="0" w:after="0" w:line="85" w:lineRule="atLeast"/>
        <w:tabs>
          <w:tab w:val="left" w:pos="143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rPr>
          <w:rFonts w:ascii="Times New Roman" w:hAnsi="Times New Roman" w:eastAsia="Times New Roman" w:cs="Times New Roman"/>
          <w:sz w:val="21"/>
        </w:rPr>
      </w:r>
      <w:r/>
    </w:p>
    <w:p>
      <w:pPr>
        <w:ind w:left="0" w:right="0" w:firstLine="0"/>
        <w:jc w:val="center"/>
        <w:spacing w:before="0" w:after="0" w:line="85" w:lineRule="atLeast"/>
        <w:tabs>
          <w:tab w:val="left" w:pos="9746" w:leader="none"/>
        </w:tabs>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ind w:left="0" w:right="0" w:firstLine="0"/>
        <w:jc w:val="center"/>
        <w:spacing w:before="0" w:after="0" w:line="85" w:lineRule="atLeast"/>
        <w:tabs>
          <w:tab w:val="left" w:pos="974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u w:val="none"/>
        </w:rPr>
        <w:t xml:space="preserve">第五章</w:t>
      </w:r>
      <w:r>
        <w:rPr>
          <w:rFonts w:ascii="FangSong" w:hAnsi="FangSong" w:eastAsia="FangSong" w:cs="FangSong"/>
          <w:b/>
          <w:color w:val="000000"/>
          <w:sz w:val="30"/>
        </w:rPr>
        <w:t xml:space="preserve">  合同主要条款及格式</w:t>
      </w:r>
      <w:r>
        <w:rPr>
          <w:rFonts w:ascii="Times New Roman" w:hAnsi="Times New Roman" w:eastAsia="Times New Roman" w:cs="Times New Roma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合同协议书</w:t>
      </w:r>
      <w:r>
        <w:rPr>
          <w:rFonts w:ascii="Times New Roman" w:hAnsi="Times New Roman" w:eastAsia="Times New Roman" w:cs="Times New Roman"/>
          <w:sz w:val="21"/>
        </w:rPr>
      </w:r>
      <w:r/>
    </w:p>
    <w:p>
      <w:pPr>
        <w:ind w:left="0" w:right="0" w:firstLine="46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（发包人名称，以下简称“发包人”）为实施</w:t>
      </w:r>
      <w:r>
        <w:rPr>
          <w:rFonts w:ascii="FangSong" w:hAnsi="FangSong" w:eastAsia="FangSong" w:cs="FangSong"/>
          <w:color w:val="000000"/>
          <w:sz w:val="21"/>
          <w:u w:val="single"/>
        </w:rPr>
        <w:t xml:space="preserve">     （项目名称）</w:t>
      </w:r>
      <w:r>
        <w:rPr>
          <w:rFonts w:ascii="FangSong" w:hAnsi="FangSong" w:eastAsia="FangSong" w:cs="FangSong"/>
          <w:color w:val="000000"/>
          <w:sz w:val="21"/>
        </w:rPr>
        <w:t xml:space="preserve">，已接受</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（承包人名称，以下简称“承包人”）对该项目</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标段的施标。发包人和承包人共同达成如下协议。</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 本协议书与下列文件一起构成合同文件：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（1）协议书（包括合同谈判、补充协议书）；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（2）中标通知书；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（3）投标函及投标函附录；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（4）招标文件、澄清问题、澄清问题的复函、补充通知等相关资料；</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（5）专用合同条款；</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（6）通用合同条款；</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（7）技术标准和要求；</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（8）图纸；</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（9）已标价的工程量清单；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（10）投标辅助材料；</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（11）经双方确认进入合同的其它文件。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 上述文件互相补充和解释，如有不明确或不一致之处，以合同约定次序在先者为准。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 签约合同价：人民币（大写）</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 承包人项目经理：</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 工程质量符合</w:t>
      </w:r>
      <w:r>
        <w:rPr>
          <w:rFonts w:ascii="FangSong" w:hAnsi="FangSong" w:eastAsia="FangSong" w:cs="FangSong"/>
          <w:color w:val="000000"/>
          <w:sz w:val="21"/>
          <w:u w:val="single"/>
        </w:rPr>
        <w:t xml:space="preserve">国家质量验收标准</w:t>
      </w:r>
      <w:r>
        <w:rPr>
          <w:rFonts w:ascii="FangSong" w:hAnsi="FangSong" w:eastAsia="FangSong" w:cs="FangSong"/>
          <w:color w:val="000000"/>
          <w:sz w:val="21"/>
        </w:rPr>
        <w:t xml:space="preserve">标准。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 承包人承诺按合同约定承担工程的实施、完成及缺陷修复。</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 发包人承诺按合同约定的条件、时间和方式向承包人支付合同价款。</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 承包人承诺执行监理人开工通知，计划工期为</w:t>
      </w:r>
      <w:r>
        <w:rPr>
          <w:rFonts w:ascii="FangSong" w:hAnsi="FangSong" w:eastAsia="FangSong" w:cs="FangSong"/>
          <w:color w:val="000000"/>
          <w:sz w:val="21"/>
          <w:u w:val="single"/>
        </w:rPr>
        <w:t xml:space="preserve">                 日历</w:t>
      </w:r>
      <w:r>
        <w:rPr>
          <w:rFonts w:ascii="FangSong" w:hAnsi="FangSong" w:eastAsia="FangSong" w:cs="FangSong"/>
          <w:color w:val="000000"/>
          <w:sz w:val="21"/>
        </w:rPr>
        <w:t xml:space="preserve">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 本协议书一式</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份，合同双方各执</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份。</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 合同未尽事宜，双方另行签订补充协议。补充协议是合同的组成部分。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w:t>
      </w:r>
      <w:r>
        <w:rPr>
          <w:rFonts w:ascii="FangSong" w:hAnsi="FangSong" w:eastAsia="FangSong" w:cs="FangSong"/>
          <w:color w:val="000000"/>
          <w:sz w:val="21"/>
          <w:u w:val="single"/>
        </w:rPr>
        <w:t xml:space="preserve">南京市浦口区河道管理所</w:t>
      </w:r>
      <w:r>
        <w:rPr>
          <w:rFonts w:ascii="FangSong" w:hAnsi="FangSong" w:eastAsia="FangSong" w:cs="FangSong"/>
          <w:color w:val="000000"/>
          <w:sz w:val="21"/>
        </w:rPr>
        <w:t xml:space="preserve">（盖单位章） 承包人：</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（盖单位章）</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法定代表人或其委托代理人：</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（签字）法定代表人或其委托代理人：</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（签字）</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年</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月 </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 日</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年</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月 </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日</w:t>
      </w:r>
      <w:r>
        <w:rPr>
          <w:rFonts w:ascii="Times New Roman" w:hAnsi="Times New Roman" w:eastAsia="Times New Roman" w:cs="Times New Roman"/>
          <w:sz w:val="21"/>
        </w:rPr>
      </w:r>
      <w:r/>
    </w:p>
    <w:p>
      <w:pPr>
        <w:ind w:left="0" w:right="0" w:firstLine="44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ind w:left="0" w:right="0" w:firstLine="44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通用合同条款</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1.一般约定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1.1词语定义</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通用合同条款、专用合同条款中的下列词语应具有本款所赋予的含义。</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1.1.1　合同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1.1.1.1 合同文件（或称合同）：指合同协议书、中标通知书、投标函及投标函附录、专用合同条款、通用合同条款、技术标准和要求、图纸、已标价工程量清单，以及其他合同文件。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1.1.1.2 合同协议书：指第1.5款所指的合同协议书。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1.1.1.3 中标通知书：指发包人通知承包人中标的函件。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1.1.1.4 投标函：指构成合同文件组成部分的由承包人填写并签署的投标函。</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1.1.1.5 投标函附录：指附在投标函后构成合同文件的投标函附录。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1.1.1.6　技术标准和要求：指构成合同文件组成部分的名为技术标准和要求（合同技术条款）的文件，包括合同双方当事人约定对其所作的修改或补充。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1.1.1.7　图纸：指列入合同的招标图纸、投标图纸和发包人按合同约定向承包人提供的施工图纸和其它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1.1.1.8 已标价工程量清单：指构成合同文件组成部分的由承包人按照规定的格式和要求填写并标明价格的工程量清单。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1.1.1.9 其他合同文件：指经合同双方当事人确认构成合同文件的其他文件。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1.1.2　合同当事人和人员</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1.1.2.1 合同当事人:指发包人和（或）承包人。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1.1.2.2 发包人：指专用合同条款中指明并与承包人在合同协议书中签字的当事人。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1.1.2.3　承包人：指专用合同条款中指明并与发包人在合同协议书中签字的当事人。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1.1.2.4 承包人项目经理：指承包人派驻施工场地的全权负责人。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1.1.2.5　分包人：指专用合同条款中指明的，从承包人处分包合同中某一部分工程，并与其签订分包合同的分包人。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1.1.2.6 监理人：指在专用合同条款中指明的，受发包人委托对合同履行实施管理的法人或其他组织。</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1.1.2.7 总监理工程师（总监）：指由监理人委派常驻施工场地对合同履行实施管理的全权负责人。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1.1.3　工程和设备</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1.1.3.1 工程：指永久工程和（或）临时工程。</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1.1.3.2 永久工程：指按合同约定建造并移交给发包人的工程，包括工程设备。</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1.1.3.3 临时工程：指为完成合同约定的永久工程所修建的各类临时性工程，不包括施工设备。</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1.1.3.4 单位工程：指专用合同条款中指明特定范围的永久工程。</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1.1.3.5 工程设备：指构成或计划构成永久工程一部分的机电设备、金属结构设备、仪器装置及其他类似的设备和装置。</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1.1.3.6 施工设备：指为完成合同约定的各项工作所需的设备、器具和其他物品，不包括临时工程和材料。</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1.1.3.7 临时设施：指为完成合同约定的各项工作所服务的临时性生产和生活设施。</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1.1.3.8 承包人设备：指承包人自带的施工设备。</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1.1.3.9 施工场地（或称工地、现场）：指用于合同工程施工的场所，以及在合同中指定作为施工场地组成部分的其他场所，包括永久占地和临时占地。</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1.1.3.10　永久占地：指发包人为建设本合同工程永久征用的场地。</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1.1.3.11　临时占地：指发包人为建设本合同工程临时征用，承包人在完工后须按合同要求退还的场地。</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1.1.4　日期</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1.1.4.1 开工通知：指监理人按第11.1款通知承包人开工的函件。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1.1.4.2 开工日期：指监理人按第11.1款发出的开工通知中写明的开工日期。</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1.1.4.3工期：指承包人在投标函中承诺的完成合同工程所需的期限，包括按第11.3款、第11.4款和第11.6款约定所作的变更。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1.1.4.4　竣工日期：即合同工程完工日期，指第1.1.4.3目约定工期届满时的日期。实际完工日期以合同工程完工证书中写明的日期为准。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1.1.4.5　缺陷责任期：即工程质量保修期，指履行第19.2款约定的缺陷责任的期限，包括根据第19.3款约定所作的延长，具体期限由专用合同条款约定。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1.1.4.6 基准日期：指投标截止时间前28天的日期。</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1.1.4.7 天：除特别指明外，指日历天。合同中按天计算时间的，开始当天不计入，从次日开始计算。期限最后一天的截止时间为当天24:00。</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1.1.5 合同价格和费用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1.1.5.1 签约合同价：指签定合同时合同协议书中写明的，包括了暂列金额、暂估价的合同总金额。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1.1.5.2 合同价格：指承包人按合同约定完成了包括缺陷责任期内的全部承包工作后，发包人应付给承包人的金额，包括在履行合同过程中按合同约定进行的变更和调整。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1.1.5.3 费用：指为履行合同所发生的或将要发生的所有合理开支，包括管理费和应分摊的其他费用，但不包括利润。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1.1.5.4 暂列金额：指已标价工程量清单中所列的暂列金额，用于在签订协议书时尚未确定或不可预见变更的施工及其所需材料、工程设备、服务等的金额，包括以计日工方式支付的金额。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1.1.5.5暂估价：指发包人在工程量清单中给定的用于支付必然发生但暂时不能确定价格的材料、设备以及专业工程的金额。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1.1.5.6 计日工：指对零星工作采取的一种计价方式，按合同中的计日工子目及其单价计价付款。1.1.5.7 质量保证金（或称保留金）：指按第17.4.1项约定用于保证在缺陷责任期内履行缺陷修复义务的金额。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1.1.6 其他</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1.1.6.1 书面形式：指合同文件、信函、电报、传真等可以有形地表现所载内容的形式。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 语言文字</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除专用术语外，合同使用的语言文字为中文。必要时专用术语应附有中文注释。</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 法律</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适用于合同的法律包括中华人民共和国法律、行政法规、部门规章，以及工程所在地的地方法规、自治条例、单行条例和地方政府规章。</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 合同文件的优先顺序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组成合同的各项文件应互相解释，互为说明。除专用合同条款另有约定外，解释合同文件的优先顺序如下：</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（1）合同协议书；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（2）中标通知书；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（3）投标函及投标函附录；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（4）专用合同条款；</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（5）通用合同条款；</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（6）技术标准和要求；</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（7）图纸；</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（8）已标价工程量清单；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（9）其他合同文件。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 合同协议书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承包人按中标通知书规定的时间与发包人签订合同协议书。除法律另有规定或合同另有约定外，发包人和承包人的法定代表人或其委托代理人在合同协议书上签字并盖单位章后，合同生效。</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　图纸和承包人文件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1.6.1　图纸的提供</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发包人应按技术标准和要求（合同技术条款）约定的期限和数量将施工图纸以及其它图纸（包括配套说明和有关资料）提供给承包人。由于发包人未按时提供图纸造成工期延误的，按第11.3款的约定办理。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1.6.2　承包人提供的文件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承包人提供的文件应按技术标准和要求（合同技术条款）约定的期限和数量提供给监理人。监理人应按技术标准和要求（合同技术条款）约定的期限批复承包人。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1.6.3　图纸的修改</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1.6.4 图纸的错误</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承包人发现发包人提供的图纸存在明显错误或疏忽，应及时通知监理人。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1.6.5 图纸和承包人文件的保管</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监理人和承包人均应在施工场地各保存一套完整的包含第1.6.1项、第1.6.2项、第1.6.3项约定内容的图纸和承包人文件。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　联络</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1.7.1 与合同有关的通知、批准、证明、证书、指示、要求、请求、同意、意见、确定和决定等，均应采用书面形式。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1.7.2　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1.7.3　来往函件均应按合同约定的期限及时发出和答复，不得无故扣压和拖延，亦不得拒收。否则，由此造成的后果由责任方负责。</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 转让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除合同另有约定外，未经对方当事人同意，一方当事人不得将合同权利全部或部分转让给第三人，也不得全部或部分转移合同义务。</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 严禁贿赂</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合同双方当事人不得以贿赂或变相贿赂的方式，谋取不当利益或损害对方权益。因贿赂造成对方损失的，行为人应赔偿损失，并承担相应的法律责任。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1.10 化石、文物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1.10.2 承包人发现文物后不及时报告或隐瞒不报，致使文物丢失或损坏的，应赔偿损失，并承担相应的法律责任。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1.11　专利技术</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1.11.1 承包人在使用任何材料、承包人设备、工程设备或采用施工工艺时，因侵犯专利权或其他知识产权所引起的责任，由承包人承担，但由于遵照发包人提供的设计或技术标准和要求引起的除外。</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1.11.2 承包人在投标文件中采用专利技术的，专利技术的使用费包含在投标报价内。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1.11.3 承包人的技术秘密和声明需要保密的资料和信息，发包人和监理人不得为合同以外的目的泄露给他人。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1.11.4　合同实施过程中，发包人要求承包人采用专利技术的，发包人应办理相应的使用手续，承包人应按发包人约定的条件使用，并承担使用专利技术的相关试验工作，所需费用由发包人承担。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1.12 图纸和文件的保密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1.12.1 发包人提供的图纸和文件，未经发包人同意，承包人不得为合同以外的目的泄露给他人或公开发表与引用。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1.12.2 承包人提供的文件，未经承包人同意，发包人和监理人不得为合同以外的目的泄露给他人或公开发表与引用。</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2.发包人义务</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 遵守法律</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发包人在履行合同过程中应遵守法律，并保证承包人免于承担因发包人违反法律而引起的任何责任。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 发出开工通知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发包人应委托监理人按第11.1款的约定向承包人发出开工通知。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　提供施工场地</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2.3.1　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2.3.2　发包人提供的施工用地范围在专用合同条款中约定。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2.3.3　除专用合同条款另有约定外，发包人应按技术标准和要求（合同技术条款）的约定，向承包人提供施工场地内的工程地质图纸和报告，以及地下障碍物图纸等施工场地有关资料，并保证资料的真实、准确、完整。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 协助承包人办理证件和批件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发包人应协助承包人办理法律规定的有关施工证件和批件。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 组织设计交底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发包人应根据合同进度计划，组织设计单位向承包人进行设计交底。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 支付合同价款</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发包人应按合同约定向承包人及时支付合同价款。</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　组织竣工验收（组织法人验收）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发包人应按合同约定及时组织法人验收。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　其它义务</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其它义务在专用合同条款中补充约定。</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3.监理人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3.1　监理人的职责和权力</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3.1.1　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3.1.2 监理人发出的任何指示应视为已得到发包人的批准，但监理人无权免除或变更合同约定的发包人和承包人的权利、义务和责任。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3.1.3 合同约定应由承包人承担的义务和责任，不因监理人对承包人提交文件的审查或批准，对工程、材料和设备的检查和检验，以及为实施监理作出的指示等职务行为而减轻或解除。</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 总监理工程师</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发包人应在发出开工通知前将总监理工程师的任命通知承包人。总监理工程师更换时，应在调离14天前通知承包人。总监理工程师短期离开施工场地的，应委派代表代行其职责，并通知承包人。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3.3 监理人员</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3.3.2 监理人员对承包人的任何工作、工程或其采用的材料和工程设备未在约定的或合理的期限内提出否定意见的，视为已获批准，但不影响监理人在以后拒绝该项工作、工程、材料或工程设备的权利。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3.3.3 承包人对总监理工程师授权的监理人员发出的指示有疑问的，可向总监理工程师提出书面异议，总监理工程师应在48小时内对该指示予以确认、更改或撤销。</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3.3.4 除专用合同条款另有约定外，总监理工程师不应将第3.5款约定应由总监理工程师作出确定的权力授权或委托给其他监理人员。</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3.4 监理人的指示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3.4.1 监理人应按第3.1款的约定向承包人发出指示，监理人的指示应盖有监理人授权的施工场地机构章，并由总监理工程师或总监理工程师按第3.3.1项约定授权的监理人员签字。</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3.4.2 承包人收到监理人按第3.4.1项作出的指示后应遵照执行。指示构成变更的，应按第15条处理。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3.4.4 除合同另有约定外，承包人只从总监理工程师或按第3.3.1项被授权的监理人员处取得指示。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3.4.5 由于监理人未能按合同约定发出指示、指示延误或指示错误而导致承包人费用增加和（或）工期延误的，由发包人承担赔偿责任。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3.5 商定或确定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3.5.1合同约定总监理工程师应按照本款对任何事项进行商定或确定时，总监理工程师应与合同当事人协商，尽量达成一致。不能达成一致的，总监理工程师应认真研究后审慎确定。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4.承包人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　承包人的一般义务</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4.1.1 遵守法律</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承包人在履行合同过程中应遵守法律，并保证发包人免于承担因承包人违反法律而引起的任何责任。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4.1.2 依法纳税</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承包人应按有关法律规定纳税，应缴纳的税金包括在合同价格内。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4.1.3　完成各项承包工作</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应按合同约定以及监理人根据第3.4款作出的指示，实施、完成全部工程，并修补工程中的任何缺陷。除第5.2款、第6.2款另有约定外，承包人应提供为完成合同工作所需的劳务、材料、施工设备、工程设备和其它物品，并按合同约定负责临时设施的设计、建造、运行、维护、管理和拆除。</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4.1.4 对施工作业和施工方法的完备性负责</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承包人应按合同约定的工作内容和施工进度要求，编制施工组织设计和施工措施计划，并对所有施工作业和施工方法的完备性和安全可靠性负责。</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4.1.5 保证工程施工和人员的安全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承包人应按第9.2款约定采取施工安全措施，确保工程及其人员、材料、设备和设施的安全，防止因工程施工造成的人身伤害和财产损失。</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4.1.6 负责施工场地及其周边环境与生态的保护工作</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承包人应按照第9.4款约定负责施工场地及其周边环境与生态的保护工作。</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4.1.7 避免施工对公众与他人的利益造成损害</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4.1.8 为他人提供方便</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承包人应按监理人的指示为他人在施工场地或附近实施与工程有关的其他各项工作提供可能的条件。除合同另有约定外，提供有关条件的内容和可能发生的费用，由监理人按第3.5款商定或确定。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4.1.9　工程的维护和照管</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除合同另有约定外，合同工程完工证书颁发前，承包人应负责照管和维护工程。合同工程完工证书颁发时尚有部分未完工程的，承包人还应负责该未完工程的照管和维护工作，直至完工后移交给发包人为止。</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4.1.10　其它义务</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其它义务在专用合同条款中补充约定。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4.2　履约担保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承包人应保证其履约担保在发包人颁发合同工程完工证书前一直有效。发包人应在合同工程完工证书颁发后28天内将履约担保退还给承包人。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4.3　分包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4.3.1 承包人不得将其承包的全部工程转包给第三人，或将其承包的全部工程肢解后以分包的名义转包给第三人。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4.3.2 承包人不得将工程主体、关键性工作分包给第三人。除专用合同条款另有约定外，未经发包人同意，承包人不得将工程的其他部分或工作分包给第三人。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4.3.3 分包人的资格能力应与其分包工程的标准和规模相适应。</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4.3.4 按投标函附录约定分包工程的，承包人应向发包人和监理人提交分包合同副本。</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4.3.5 承包人应与分包人就分包工程向发包人承担连带责任。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4.3.6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4.3.7　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由指定分包人造成的与其分包工作有关的一切索赔、诉讼和损失赔偿由指定分包人直接对发包人负责，承包人不对此承担责任。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4.3.8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4.3.9　除第4.3.7项规定的指定分包外，承包人对其分包项目的实施以及分包人的行为向发包人负全部责任。承包人应对分包项目的工程进度、质量、安全、计量和验收等实施监督和管理。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4.3.10　分包人应按专用合同条款的约定设立项目管理机构组织管理分包工程的施工活动。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4.4 联合体</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4.4.1 联合体各方应共同与发包人签订合同协议书。联合体各方应为履行合同承担连带责任。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4.4.2 联合体协议经发包人确认后作为合同附件。在履行合同过程中，未经发包人同意，不得修改联合体协议。</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4.4.3 联合体牵头人负责与发包人和监理人联系，并接受指示，负责组织联合体各成员全面履行合同。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4.5 承包人项目经理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4.5.1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4.5.2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4.5.3承包人为履行合同发出的一切函件均应盖有承包人授权的施工场地管理机构章，并由承包人项目经理或其授权代表签字。</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4.5.4 承包人项目经理可以授权其下属人员履行其某项职责，但事先应将这些人员的姓名和授权范围通知监理人。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4.6 承包人人员的管理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4.6.2 为完成合同约定的各项工作，承包人应向施工场地派遣或雇佣足够数量的下列人员：</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（1）具有相应资格的专业技工和合格的普工；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（2）具有相应施工经验的技术人员；</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（3）具有相应岗位资格的各级管理人员。</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4.6.3 承包人安排在施工场地的主要管理人员和技术骨干应相对稳定。承包人更换主要管理人员和技术骨干时，应取得监理人的同意。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4.6.4 特殊岗位的工作人员均应持有相应的资格证明，监理人有权随时检查。监理人认为有必要时，可进行现场考核。</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4.7 撤换承包人项目经理和其他人员</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承包人应对其项目经理和其他人员进行有效管理。监理人要求撤换不能胜任本职工作、行为不端或玩忽职守的承包人项目经理和其他人员的，承包人应予以撤换。</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4.8 保障承包人人员的合法权益</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4.8.1 承包人应与其雇佣的人员签订劳动合同，并按时发放工资。</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4.8.2 承包人应按劳动法的规定安排工作时间，保证其雇佣人员享有休息和休假的权利。因工程施工的特殊需要占用休假日或延长工作时间的，应不超过法律规定的限度，并按法律规定给予补休或付酬。</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4.8.3 承包人应为其雇佣人员提供必要的食宿条件，以及符合环境保护和卫生要求的生活环境，在远离城镇的施工场地，还应配备必要的伤病防治和急救的医务人员与医疗设施。</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4.8.4 承包人应按国家有关劳动保护的规定，采取有效的防止粉尘、降低噪声、控制有害气体和保障高温、高寒、高空作业安全等劳动保护措施。其雇佣人员在施工中受到伤害的，承包人应立即采取有效措施进行抢救和治疗。</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4.8.5 承包人应按有关法律规定和合同约定，为其雇佣人员办理保险。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4.8.6 承包人应负责处理其雇佣人员因工伤亡事故的善后事宜。</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4.9 工程价款应专款专用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发包人按合同约定支付给承包人的各项价款应专用于合同工程。</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4.10 承包人现场查勘</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4.10.1 发包人应将其持有的现场地质勘探资料、水文气象资料提供给承包人，并对其准确性负责。但承包人应对其阅读上述有关资料后所作出的解释和推断负责。</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4.10.2 承包人应对施工场地和周围环境进行查勘，并收集有关地质、水文、气象条件、交通条件、风俗习惯以及其他为完成合同工作有关的当地资料。在全部合同工作中，应视为承包人已充分估计了应承担的责任和风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4.11　不利物质条件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4.11.1　除专用合同条款另有约定外，不利物质条件是指在施工中遭遇不可预见的外界障碍或自然条件造成施工受阻。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4.11.2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5.材料和工程设备</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5.1　承包人提供的材料和工程设备</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5.1.1　除第5.2款约定由发包人提供的材料和工程设备外，承包人负责采购、运输和保管完成本合同工作所需的材料和工程设备。承包人应对其采购的材料和工程设备负责。</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5.2　发包人提供的材料和工程设备</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5.2.1 发包人提供的材料和工程设备，应在专用合同条款中写明材料和工程设备的名称、规格、数量、价格、交货方式、交货地点和计划交货日期等。</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5.2.2 承包人应根据合同进度计划的安排，向监理人报送要求发包人交货的日期计划。发包人应按照监理人与合同双方当事人商定的交货日期，向承包人提交材料和工程设备。</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5.2.3　发包人应在材料和工程设备到货7天前通知承包人，承包人应会同监理人在约定的时间内，赴交货地点共同进行验收。发包人提供的材料和工程设备运至交货地点验收后，由承包人负责接收、卸货、运输和保管。</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5.2.4 发包人要求向承包人提前交货的，承包人不得拒绝，但发包人应承担承包人由此增加的费用。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5.2.5 承包人要求更改交货日期或地点的，应事先报请监理人批准。由于承包人要求更改交货时间或地点所增加的费用和（或）工期延误由承包人承担。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5.2.6 发包人提供的材料和工程设备的规格、数量或质量不符合合同要求，或由于发包人原因发生交货日期延误及交货地点变更等情况的，发包人应承担由此增加的费用和（或）工期延误，并向承包人支付合理利润。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5.3 材料和工程设备专用于合同工程</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5.3.1运入施工场地的材料、工程设备，包括备品备件、安装专用工器具与随机资料，必须专用于合同工程，未经监理人同意，承包人不得运出施工场地或挪作他用。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5.3.2 随同工程设备运入施工场地的备品备件、专用工器具与随机资料，应由承包人会同监理人按供货人的装箱单清点后共同封存，未经监理人同意不得启用。承包人因合同工作需要使用上述物品时，应向监理人提出申请。</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5.4 禁止使用不合格的材料和工程设备</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5.4.1 监理人有权拒绝承包人提供的不合格材料或工程设备，并要求承包人立即进行更换。监理人应在更换后再次进行检查和检验，由此增加的费用和（或）工期延误由承包人承担。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5.4.2 监理人发现承包人使用了不合格的材料和工程设备，应即时发出指示要求承包人立即改正，并禁止在工程中继续使用不合格的材料和工程设备。</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5.4.3 发包人提供的材料或工程设备不符合合同要求的，承包人有权拒绝，并可要求发包人更换，由此增加的费用和（或）工期延误由发包人承担。</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6.施工设备和临时设施</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6.1 承包人提供的施工设备和临时设施</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6.1.1 承包人应按合同进度计划的要求，及时配置施工设备和修建临时设施。进入施工场地的承包人设备需经监理人核查后才能投入使用。承包人更换合同约定的承包人设备的，应报监理人批准。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6.1.2除专用合同条款另有约定外，承包人应自行承担修建临时设施的费用，需要临时占地的，应由发包人办理申请手续并承担相应费用。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6.2 发包人提供的施工设备和临时设施</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发包人提供的施工设备或临时设施在专用合同条款中约定。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6.3 要求承包人增加或更换施工设备</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承包人使用的施工设备不能满足合同进度计划和（或）质量要求时，监理人有权要求承包人增加或更换施工设备，承包人应及时增加或更换，由此增加的费用和（或）工期延误由承包人承担。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6.4 施工设备和临时设施专用于合同工程</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6.4.1除合同另有约定外，运入施工场地的所有施工设备以及在施工场地建设的临时设施应专用于合同工程。未经监理人同意，不得将上述施工设备和临时设施中的任何部分运出施工场地或挪作他用。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6.4.2 经监理人同意，承包人可根据合同进度计划撤走闲置的施工设备。</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7.交通运输</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7.1　道路通行权和场外设施</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7.2　场内施工道路</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7.2.1　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7.2.2　承包人修建的临时道路和交通设施，应免费提供发包人、监理人以及与本合同有关的其他承包人使用。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7.3 场外交通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7.3.1 承包人车辆外出行驶所需的场外公共道路的通行费、养路费和税款等由承包人承担。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7.3.2 承包人应遵守有关交通法规，严格按照道路和桥梁的限制荷重安全行驶，并服从交通管理部门的检查和监督。</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7.4 超大件和超重件的运输</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7.5 道路和桥梁的损坏责任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因承包人运输造成施工场地内外公共道路和桥梁损坏的，由承包人承担修复损坏的全部费用和可能引起的赔偿。</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7.6 水路和航空运输</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本条上述各款的内容适用于水路运输和航空运输，其中“道路”一词的涵义包括河道、航线、船闸、机场、码头、堤防以及水路或航空运输中其他相似结构物；“车辆”一词的涵义包括船舶和飞机等。</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8.测量放线</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8.1　施工控制网</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8.1.1　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8.1.2承包人应负责管理施工控制网点。施工控制网点丢失或损坏的，承包人应及时修复。承包人应承担施工控制网点的管理与修复费用，并在工程竣工后将施工控制网点移交发包人。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8.2 施工测量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8.2.1承包人应负责施工过程中的全部施工测量放线工作，并配置合格的人员、仪器、设备和其他物品。</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8.2.2监理人可以指示承包人进行抽样复测，当复测中发现错误或出现超过合同约定的误差时，承包人应按监理人指示进行修正或补测，并承担相应的复测费用。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8.3 基准资料错误的责任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8.4 监理人使用施工控制网</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监理人需要使用施工控制网的，承包人应提供必要的协助，发包人不再为此支付费用。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8.5　补充地质勘探</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9.施工安全、治安保卫和环境保护</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9.1　发包人的施工安全责任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9.1.1　发包人应按合同约定履行安全职责。发包人委托监理人根据国家有关安全的法律、法规、强制性标准以及部门规章，对承包人的安全责任履行情况进行监督和检查。监理人的监督检查不减轻承包人应负的安全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9.1.2 发包人应对其现场机构雇佣的全部人员的工伤事故承担责任，但由于承包人原因造成发包人人员工伤的，应由承包人承担责任。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9.1.3 发包人应负责赔偿以下各种情况造成的第三者人身伤亡和财产损失：</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 工程或工程的任何部分对土地的占用所造成的第三者财产损失；</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 由于发包人原因在施工场地及其毗邻地带造成的第三者人身伤亡和财产损失。</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9.1.4　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9.1.5　发包人按照已标价工程量清单所列金额和合同约定的计量支付规定，支付安全作业环境及安全施工措施所需费用。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9.1.6　发包人负责组织工程参建单位编制保证安全生产的措施方案。工程开工前，就落实保证安全生产的措施进行全面系统的布置，进一步明确承包人的安全生产责任。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9.1.7　发包人负责在拆除工程和爆破工程施工14天前向有关部门或机构报送相关备案资料。</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　承包人的施工安全责任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9.2.1　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9.2.2 承包人应加强施工作业安全管理，特别应加强易燃、易爆材料、火工器材、有毒与腐蚀性材料和其他危险品的管理，以及对爆破作业和地下工程施工等危险作业的管理。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9.2.3 承包人应严格按照国家安全标准制定施工安全操作规程，配备必要的安全生产和劳动保护设施，加强对承包人人员的安全教育，并发放安全工作手册和劳动保护用具。</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9.2.4 承包人应按监理人的指示制定应对灾害的紧急预案，报送监理人审批。承包人还应按预案做好安全检查，配置必要的救助物资和器材，切实保护好有关人员的人身和财产安全。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9.2.5 合同约定的安全作业环境及安全施工措施所需费用应遵守有关规定，并包括在相关工作的合同价格中。因采取合同未约定的安全作业环境及安全施工措施增加的费用，由监理人按第3.5款商定或确定。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9.2.6 承包人应对其履行合同所雇佣的全部人员，包括分包人人员的工伤事故承担责任，但由于发包人原因造成承包人人员工伤事故的，应由发包人承担责任。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9.2.7 由于承包人原因在施工场地内及其毗邻地带造成的第三者人员伤亡和财产损失，由承包人负责赔偿。</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9.2.8　承包人已标价工程量清单应包含工程安全作业环境及安全施工措施所需费用。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9.2.9　承包人应建立健全安全生产责任制度和安全生产教育培训制度，制定安全生产规章制度和操作规程，保证本单位建立和完善安全生产条件所需资金的投入，对本工程进行定期和专项安全检查，并做好安全检查记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9.2.10　承包人应设立安全生产管理机构，施工现场应有专职安全生产管理人员。</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9.2.11　承包人应负责对特种作业人员进行专门的安全作业培训，并保证特种作业人员持证上岗。</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9.2.12　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9.2.13　承包人在使用施工起重机械和整体提升脚手架、模板等自升式架设设施前，应组织有关单位进行验收。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9.3 治安保卫</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9.3.1 除合同另有约定外，发包人应与当地公安部门协商，在现场建立治安管理机构或联防组织，统一管理施工场地的治安保卫事项，履行合同工程的治安保卫职责。</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9.3.2 发包人和承包人除应协助现场治安管理机构或联防组织维护施工场地的社会治安外，还应做好包括生活区在内的各自管辖区的治安保卫工作。</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9.4 环境保护</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9.4.1 承包人在施工过程中，应遵守有关环境保护的法律，履行合同约定的环境保护义务，并对违反法律和合同约定义务所造成的环境破坏、人身伤害和财产损失负责。</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9.4.2 承包人应按合同约定的环保工作内容，编制施工环保措施计划，报送监理人审批。</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9.4.4 承包人应按合同约定采取有效措施，对施工开挖的边坡及时进行支护,维护排水设施，并进行水土保护，避免因施工造成的地质灾害。</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9.4.5 承包人应按国家饮用水管理标准定期对饮用水源进行监测，防止施工活动污染饮用水源。</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9.4.6 承包人应按合同约定，加强对噪声、粉尘、废气、废水和废油的控制，努力降低噪声，控制粉尘和废气浓度，做好废水和废油的治理和排放。</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9.5　事故处理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9.5.1　发包人负责组织参建单位制定本工程的质量与安全事故应急预案，建立质量与安全事故应急处置指挥部。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9.5.2　承包人应对施工现场易发生重大事故的部位、环节进行监控，配备救援器材、设备，并定期组织演练。</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9.5.3　工程开工前，承包人应根据本工程的特点制定施工现场施工质量与安全事故应急预案，并报发包人备案。</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9.5.4　施工过程中发生事故时，发包人、承包人应立即启动应急预案。</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9.5.5　事故调查处理由发包人按相关规定履行手续，承包人应配合。</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9.6　水土保持</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9.6.1　发包人应及时向承包人提供水土保持方案。</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9.6.2　承包人在施工过程中，应遵守有关水土保持的法律法规和规章，履行合同约定的水土保持义务，并对其违反法律和合同约定义务所造成的水土流失灾害、人身伤害和财产损失负责。</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9.6.3　承包人的水土保持措施计划，应满足技术标准和要求（合同技术条款）约定的要求。</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9.7　文明工地</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9.7.1　发包人应按专用合同条款的约定，负责建立创建文明建设工地的组织机构，制定创建文明建设工地的规划和办法。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9.7.2　承包人应按创建文明建设工地的规划和办法，履行职责，承担相应责任。所需费用应含在已标价工程量清单中。</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9.8　防汛度汛</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9.8.1　发包人负责组织工程参建单位编制本工程的度汛方案和措施。</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9.8.2　承包人应根据发包人编制的本工程度汛方案和措施，制定相应的度汛方案，报发包人批准后实施。</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10.进度计划</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10.1　合同进度计划</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10.2　合同进度计划的修订</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10.3　单位工程进度计划</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监理人认为有必要时，承包人应按监理人指示的内容和期限，并根据合同进度计划的进度控制要求，编制单位工程进度计划，提交监理人审批。</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10.4　提交资金流估算表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r>
        <w:rPr>
          <w:rFonts w:ascii="Times New Roman" w:hAnsi="Times New Roman" w:eastAsia="Times New Roman" w:cs="Times New Roma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资金流估算表（参考格式）</w:t>
      </w:r>
      <w:r>
        <w:rPr>
          <w:rFonts w:ascii="Times New Roman" w:hAnsi="Times New Roman" w:eastAsia="Times New Roman" w:cs="Times New Roman"/>
          <w:sz w:val="21"/>
        </w:rPr>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金额单位</w:t>
      </w:r>
      <w:r>
        <w:rPr>
          <w:rFonts w:ascii="Times New Roman" w:hAnsi="Times New Roman" w:eastAsia="Times New Roman" w:cs="Times New Roman"/>
          <w:sz w:val="21"/>
        </w:rPr>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
        <w:gridCol w:w="426"/>
        <w:gridCol w:w="991"/>
        <w:gridCol w:w="1276"/>
        <w:gridCol w:w="1443"/>
        <w:gridCol w:w="934"/>
        <w:gridCol w:w="934"/>
        <w:gridCol w:w="800"/>
        <w:gridCol w:w="850"/>
        <w:gridCol w:w="9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年</w:t>
            </w:r>
            <w:r>
              <w:rPr>
                <w:rFonts w:ascii="Times New Roman" w:hAnsi="Times New Roman" w:eastAsia="Times New Roman" w:cs="Times New Roman"/>
                <w:sz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月</w:t>
            </w:r>
            <w:r>
              <w:rPr>
                <w:rFonts w:ascii="Times New Roman" w:hAnsi="Times New Roman" w:eastAsia="Times New Roman" w:cs="Times New Roman"/>
                <w:sz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w:t>
            </w:r>
            <w:r>
              <w:rPr>
                <w:rFonts w:ascii="Times New Roman" w:hAnsi="Times New Roman" w:eastAsia="Times New Roman" w:cs="Times New Roman"/>
                <w:sz w:val="21"/>
              </w:rPr>
            </w:r>
            <w:r/>
          </w:p>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预付款</w:t>
            </w:r>
            <w:r>
              <w:rPr>
                <w:rFonts w:ascii="Times New Roman" w:hAnsi="Times New Roman" w:eastAsia="Times New Roman" w:cs="Times New Roman"/>
                <w:sz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完成工作量付款</w:t>
            </w:r>
            <w:r>
              <w:rPr>
                <w:rFonts w:ascii="Times New Roman" w:hAnsi="Times New Roman" w:eastAsia="Times New Roman" w:cs="Times New Roman"/>
                <w:sz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质量保证金扣留</w:t>
            </w:r>
            <w:r>
              <w:rPr>
                <w:rFonts w:ascii="Times New Roman" w:hAnsi="Times New Roman" w:eastAsia="Times New Roman" w:cs="Times New Roman"/>
                <w:sz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材料款扣除</w:t>
            </w:r>
            <w:r>
              <w:rPr>
                <w:rFonts w:ascii="Times New Roman" w:hAnsi="Times New Roman" w:eastAsia="Times New Roman" w:cs="Times New Roman"/>
                <w:sz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预付款扣还</w:t>
            </w:r>
            <w:r>
              <w:rPr>
                <w:rFonts w:ascii="Times New Roman" w:hAnsi="Times New Roman" w:eastAsia="Times New Roman" w:cs="Times New Roman"/>
                <w:sz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其它</w:t>
            </w:r>
            <w:r>
              <w:rPr>
                <w:rFonts w:ascii="Times New Roman" w:hAnsi="Times New Roman" w:eastAsia="Times New Roman" w:cs="Times New Roman"/>
                <w:sz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应收款</w:t>
            </w:r>
            <w:r>
              <w:rPr>
                <w:rFonts w:ascii="Times New Roman" w:hAnsi="Times New Roman" w:eastAsia="Times New Roman" w:cs="Times New Roman"/>
                <w:sz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累计</w:t>
            </w:r>
            <w:r>
              <w:rPr>
                <w:rFonts w:ascii="Times New Roman" w:hAnsi="Times New Roman" w:eastAsia="Times New Roman" w:cs="Times New Roman"/>
                <w:sz w:val="21"/>
              </w:rPr>
            </w:r>
            <w:r/>
          </w:p>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应收款</w:t>
            </w:r>
            <w:r>
              <w:rPr>
                <w:rFonts w:ascii="Times New Roman" w:hAnsi="Times New Roman" w:eastAsia="Times New Roman" w:cs="Times New Roman"/>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11.开工和竣工（完工）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11.1　开工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11.1.1 监理人应在开工日期7天前向承包人发出开工通知。监理人在发出开工通知前应获得发包人同意。工期自监理人发出的开工通知中载明的开工日期起计算。承包人应在开工日期后尽快施工。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11.1.3　若发包人未能按合同约定向承包人提供开工的必要条件，承包人有权要求延长工期。监理人应在收到承包人的书面要求后，按第3.5款的约定，与合同双方商定或确定增加的费用和延长的工期。</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11.2　竣工（完工）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承包人应在第1.1.4.3目约定的期限内完成合同工程。合同工程实际完工日期在合同工程完工证书中明确。</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11.3 发包人的工期延误</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在履行合同过程中，由于发包人的下列原因造成工期延误的，承包人有权要求发包人延长工期和（或）增加费用，并支付合理利润。需要修订合同进度计划的，按照第10.2款的约定办理。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（1）增加合同工作内容；</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（2）改变合同中任何一项工作的质量要求或其他特性；</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（3）发包人迟延提供材料、工程设备或变更交货地点的；</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（4）因发包人原因导致的暂停施工；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（5）提供图纸延误；</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（6）未按合同约定及时支付预付款、进度款；</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（7）发包人造成工期延误的其他原因。</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11.4　异常恶劣的气候条件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11.4.1　当工程所在地发生危及施工安全的异常恶劣气候时，发包人和承包人应按本合同通用合同条款第12条的约定，及时采取暂停施工或部分暂停施工措施。异常恶劣气候条件解除后，承包人应及时安排复工。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11.4.2　异常恶劣气候条件造成的工期延误和工程损坏，应由发包人与承包人参照本合同通用合同条款第21.3款的约定协商处理。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11.4.3　本合同工程界定异常恶劣气候条件的范围在专用合同条款中约定。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11.5 承包人的工期延误</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11.6　工期提前</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发包人要求提前完工的，双方协商一致后应签订提前完工协议，协议内容包括：</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（1）提前的时间和修订后的进度计划；</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（2）承包人的赶工措施；</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（3）发包人为赶工提供的条件；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（4）赶工费用（包括利润和奖金）。</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12.暂停施工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12.1 承包人暂停施工的责任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因下列暂停施工增加的费用和（或）工期延误由承包人承担：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（1）承包人违约引起的暂停施工；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（2）由于承包人原因为工程合理施工和安全保障所必需的暂停施工；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（3）承包人擅自暂停施工；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（4）承包人其他原因引起的暂停施工；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（5）专用合同条款约定由承包人承担的其他暂停施工。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12.2　发包人暂停施工的责任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由于发包人原因引起的暂停施工造成工期延误的，承包人有权要求发包人延长工期和（或）增加费用，并支付合理利润。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属于下列任何一种情况引起的暂停施工，均为发包人的责任：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（1）由于发包人违约引起的暂停施工；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（2）由于不可抗力的自然或社会因素引起的暂停施工；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（3）专用合同条款中约定的其它由于发包人原因引起的暂停施工。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12.3 监理人暂停施工指示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12.3.1 监理人认为有必要时，可向承包人作出暂停施工的指示，承包人应按监理人指示暂停施工。不论由于何种原因引起的暂停施工，暂停施工期间承包人应负责妥善保护工程并提供安全保障。</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12.4 暂停施工后的复工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12.4.1 暂停施工后，监理人应与发包人和承包人协商，采取有效措施积极消除暂停施工的影响。当工程具备复工条件时，监理人应立即向承包人发出复工通知。承包人收到复工通知后，应在监理人指定的期限内复工。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12.4.2 承包人无故拖延和拒绝复工的，由此增加的费用和工期延误由承包人承担；因发包人原因无法按时复工的，承包人有权要求发包人延长工期和（或）增加费用，并支付合理利润。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12.5 暂停施工持续56天以上</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12.5.2 由于承包人责任引起的暂停施工，如承包人在收到监理人暂停施工指示后56天内不认真采取有效的复工措施，造成工期延误，可视为承包人违约，应按第22.1款的规定办理。</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13.工程质量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13.1 工程质量要求</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13.1.1 工程质量验收按合同约定验收标准执行。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13.1.2 因承包人原因造成工程质量达不到合同约定验收标准的，监理人有权要求承包人返工直至符合合同要求为止，由此造成的费用增加和（或）工期延误由承包人承担。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13.1.3 因发包人原因造成工程质量达不到合同约定验收标准的，发包人应承担由于承包人返工造成的费用增加和（或）工期延误，并支付承包人合理利润。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13.2　承包人的质量管理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13.2.2 承包人应加强对施工人员的质量教育和技术培训，定期考核施工人员的劳动技能，严格执行规范和操作规程。</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13.3 承包人的质量检查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承包人应按合同约定对材料、工程设备以及工程的所有部位及其施工工艺进行全过程的质量检查和检验，并作详细记录，编制工程质量报表，报送监理人审查。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13.4 监理人的质量检查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13.5 工程隐蔽部位覆盖前的检查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13.5.1 通知监理人检查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13.5.2 监理人未到场检查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监理人未按第13.5.1项约定的时间进行检查的，除监理人另有指示外，承包人可自行完成覆盖工作，并作相应记录报送监理人，监理人应签字确认。监理人事后对检查记录有疑问的，可按第13.5.3项的约定重新检查。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13.5.3 监理人重新检查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13.5.4 承包人私自覆盖</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承包人未通知监理人到场检查，私自将工程隐蔽部位覆盖的，监理人有权指示承包人钻孔探测或揭开检查，由此增加的费用和（或）工期延误由承包人承担。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13.6 清除不合格工程</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13.6.2 由于发包人提供的材料或工程设备不合格造成的工程不合格，需要承包人采取措施补救的，发包人应承担由此增加的费用和（或）工期延误，并支付承包人合理利润。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13.7　质量评定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13.7.1　发包人应组织承包人进行工程项目划分，并确定单位工程、主要分部工程、重要隐蔽单元工程和关键部位单元工程。</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13.7.2　工程实施过程中，单位工程、主要分部工程、重要隐蔽单元工程和关键部位单元工程的项目划分需要调整时，承包人应报发包人确认。</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13.7.3　承包人应在单元（工序）工程质量自评合格后，报监理人核定质量等级并签证认可。</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13.7.4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13.7.5　承包人应在分部工程质量自评合格后，报监理人复核和发包人认定。发包人负责按有关规定完成分部工程质量结论报工程质量监督机构核备（核定）手续。</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13.7.6　承包人应在单位工程质量自评合格后，报监理人复核和发包人认定。发包人负责按有关规定完成单位工程质量结论报工程质量监督机构核定手续。</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13.7.7　除专用合同条款另有约定外，工程质量等级分为合格和优良，应分别达到约定的标准。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13.8　质量事故处理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13.8.1　发生质量事故时，承包人应及时向发包人和监理人报告。</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13.8.2　质量事故调查处理由发包人按相关规定履行手续，承包人应配合。</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13.8.3　承包人应对质量缺陷进行备案。发包人委托监理人对质量缺陷备案情况进行监督检查并履行相关手续。</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13.8.4　除专用合同条款另有约定外，工程竣工验收时，发包人负责向竣工验收委员会汇报并提交历次质量缺陷处理的备案资料。</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14.试验和检验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14.1　材料、工程设备和工程的试验和检验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14.1.2 监理人未按合同约定派员参加试验和检验的，除监理人另有指示外，承包人可自行试验和检验，并应立即将试验和检验结果报送监理人，监理人应签字确认。</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14.1.4　承包人应按相关规定和标准对水泥、钢材等原材料与中间产品质量进行检验，并报监理人复核。</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14.1.6　对专用合同条款约定的试块、试件及有关材料，监理人实行见证取样。见证取样资料由承包人制备，记录应真实齐全，监理人、承包人等参与见证取样人员均应在相关文件上签字。</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14.2 现场材料试验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14.2.1 承包人根据合同约定或监理人指示进行的现场材料试验，应由承包人提供试验场所、试验人员、试验设备器材以及其他必要的试验条件。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14.2.2 监理人在必要时可以使用承包人的试验场所、试验设备器材以及其他试验条件，进行以工程质量检查为目的的复核性材料试验，承包人应予以协助。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14.3 现场工艺试验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承包人应按合同约定或监理人指示进行现场工艺试验。对大型的现场工艺试验，监理人认为必要时，应由承包人根据监理人提出的工艺试验要求，编制工艺试验措施计划，报送监理人审批。</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15.变更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15.1　变更的范围和内容</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在履行合同中发生以下情形之一，应按照本款规定进行变更。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（1）取消合同中任何一项工作，但被取消的工作不能转由发包人或其它人实施；</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（2）改变合同中任何一项工作的质量或其它特性；</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（3）改变合同工程的基线、标高、位置或尺寸；</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（4）改变合同中任何一项工作的施工时间或改变已批准的施工工艺或顺序；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（5）为完成工程需要追加的额外工作；</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（6）增加或减少专用合同条款中约定的关键项目工程量超过其工程总量的一定数量百分比。</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上述第（1）～（6）目的变更内容引起工程施工组织和进度计划发生实质性变动和影响其原定的价格时，才予调整该项目的单价。第（6）目情形下单价调整方式在专用合同条款中约定。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15.2 变更权</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在履行合同过程中，经发包人同意，监理人可按第15.3款约定的变更程序向承包人作出变更指示，承包人应遵照执行。没有监理人的变更指示，承包人不得擅自变更。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15.3 变更程序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15.3.1 变更的提出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（2）在合同履行过程中，发生第15.1款约定情形的，监理人应按照第15.3.3项约定向承包人发出变更指示。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（4）若承包人收到监理人的变更意向书后认为难以实施此项变更，应立即通知监理人，说明原因并附详细依据。监理人与承包人和发包人协商后确定撤销、改变或不改变原变更意向书。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15.3.2 变更估价</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（2）变更工作影响工期的，承包人应提出调整工期的具体细节。监理人认为有必要时，可要求承包人提交要求提前或延长工期的施工进度计划及相应施工措施等详细资料。</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（3）除专用合同条款对期限另有约定外，监理人收到承包人变更报价书后的14天内，根据第15.4款约定的估价原则，按照第3.5款商定或确定变更价格。</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15.3.3 变更指示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（1）变更指示只能由监理人发出。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（2）变更指示应说明变更的目的、范围、变更内容以及变更的工程量及其进度和技术要求，并附有关图纸和文件。承包人收到变更指示后，应按变更指示进行变更工作。</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15.4 变更的估价原则</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除专用合同条款另有约定外，因变更引起的价格调整按照本款约定处理。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15.4.1 已标价工程量清单中有适用于变更工作的子目的，采用该子目的单价。</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15.4.2 已标价工程量清单中无适用于变更工作的子目，但有类似子目的，可在合理范围内参照类似子目的单价，由监理人按第3.5款商定或确定变更工作的单价。</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15.4.3 已标价工程量清单中无适用或类似子目的单价，可按照成本加利润的原则，由监理人按第3.5款商定或确定变更工作的单价。</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15.5 承包人的合理化建议</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15.5.2 承包人提出的合理化建议降低了合同价格、缩短了工期或者提高了工程经济效益的，发包人可按国家有关规定在专用合同条款中约定给予奖励。</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15.6 暂列金额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暂列金额只能按照监理人的指示使用，并对合同价格进行相应调整。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15.7 计日工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15.7.1 发包人认为有必要时，由监理人通知承包人以计日工方式实施变更的零星工作。其价款按列入已标价工程量清单中的计日工计价子目及其单价进行计算。</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15.7.2 采用计日工计价的任何一项变更工作，应从暂列金额中支付，承包人应在该项变更的实施过程中，每天提交以下报表和有关凭证报送监理人审批：</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（1）工作名称、内容和数量；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（2）投入该工作所有人员的姓名、工种、级别和耗用工时；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（3）投入该工作的材料类别和数量；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（4）投入该工作的施工设备型号、台数和耗用台时；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（5）监理人要求提交的其他资料和凭证。</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15.7.3 计日工由承包人汇总后，按第17.3.2项的约定列入进度付款申请单，由监理人复核并经发包人同意后列入进度付款。</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15.8　暂估价</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16.价格调整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除专用合同条款另有约定外，因物价波动引起的价格调整按照本款约定处理。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16.1　物价波动引起的价格调整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由于物价波动原因引起合同价格需要调整的，其价格调整方式在专用合同条款中约定。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16.1.1 采用价格指数调整价格差额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16.1.1.1 价格调整公式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因人工、材料和设备等价格波动影响合同价格时，根据投标函附录中的价格指数和权重表约定的数据，按以下公式计算差额并调整合同价格。</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mc:AlternateContent>
          <mc:Choice Requires="wpg">
            <w:drawing>
              <wp:inline xmlns:wp="http://schemas.openxmlformats.org/drawingml/2006/wordprocessingDrawing" distT="0" distB="0" distL="0" distR="0">
                <wp:extent cx="3895725" cy="4857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156523" name=""/>
                        <pic:cNvPicPr>
                          <a:picLocks noChangeAspect="1"/>
                        </pic:cNvPicPr>
                        <pic:nvPr/>
                      </pic:nvPicPr>
                      <pic:blipFill>
                        <a:blip/>
                        <a:stretch/>
                      </pic:blipFill>
                      <pic:spPr bwMode="auto">
                        <a:xfrm>
                          <a:off x="0" y="0"/>
                          <a:ext cx="3895724" cy="4857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06.8pt;height:38.2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sz w:val="21"/>
        </w:rPr>
      </w:r>
      <w:r/>
    </w:p>
    <w:p>
      <w:pPr>
        <w:ind w:left="0" w:right="0" w:firstLine="42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式中： △P -- 需调整的价格差额；</w:t>
      </w:r>
      <w:r>
        <w:rPr>
          <w:rFonts w:ascii="Times New Roman" w:hAnsi="Times New Roman" w:eastAsia="Times New Roman" w:cs="Times New Roman"/>
          <w:sz w:val="21"/>
        </w:rPr>
      </w:r>
      <w:r/>
    </w:p>
    <w:p>
      <w:pPr>
        <w:ind w:left="0" w:right="0" w:firstLine="42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P</w:t>
      </w:r>
      <w:r>
        <w:rPr>
          <w:rFonts w:ascii="FangSong" w:hAnsi="FangSong" w:eastAsia="FangSong" w:cs="FangSong"/>
          <w:color w:val="000000"/>
          <w:sz w:val="21"/>
          <w:vertAlign w:val="subscript"/>
        </w:rPr>
        <w:t xml:space="preserve">0</w:t>
      </w:r>
      <w:r>
        <w:rPr>
          <w:rFonts w:ascii="FangSong" w:hAnsi="FangSong" w:eastAsia="FangSong" w:cs="FangSong"/>
          <w:color w:val="000000"/>
          <w:sz w:val="21"/>
        </w:rPr>
        <w:t xml:space="preserve"> --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rPr>
          <w:rFonts w:ascii="Times New Roman" w:hAnsi="Times New Roman" w:eastAsia="Times New Roman" w:cs="Times New Roman"/>
          <w:sz w:val="21"/>
        </w:rPr>
      </w:r>
      <w:r/>
    </w:p>
    <w:p>
      <w:pPr>
        <w:ind w:left="0" w:right="0" w:firstLine="42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A -- 定值权重（即不调部分的权重）；</w:t>
      </w:r>
      <w:r>
        <w:rPr>
          <w:rFonts w:ascii="Times New Roman" w:hAnsi="Times New Roman" w:eastAsia="Times New Roman" w:cs="Times New Roman"/>
          <w:sz w:val="21"/>
        </w:rPr>
      </w:r>
      <w:r/>
    </w:p>
    <w:p>
      <w:pPr>
        <w:ind w:left="0" w:right="0" w:firstLine="42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B</w:t>
      </w:r>
      <w:r>
        <w:rPr>
          <w:rFonts w:ascii="FangSong" w:hAnsi="FangSong" w:eastAsia="FangSong" w:cs="FangSong"/>
          <w:color w:val="000000"/>
          <w:sz w:val="21"/>
          <w:vertAlign w:val="subscript"/>
        </w:rPr>
        <w:t xml:space="preserve">1</w:t>
      </w:r>
      <w:r>
        <w:rPr>
          <w:rFonts w:ascii="FangSong" w:hAnsi="FangSong" w:eastAsia="FangSong" w:cs="FangSong"/>
          <w:color w:val="000000"/>
          <w:sz w:val="21"/>
        </w:rPr>
        <w:t xml:space="preserve">; B</w:t>
      </w:r>
      <w:r>
        <w:rPr>
          <w:rFonts w:ascii="FangSong" w:hAnsi="FangSong" w:eastAsia="FangSong" w:cs="FangSong"/>
          <w:color w:val="000000"/>
          <w:sz w:val="21"/>
          <w:vertAlign w:val="subscript"/>
        </w:rPr>
        <w:t xml:space="preserve">2</w:t>
      </w:r>
      <w:r>
        <w:rPr>
          <w:rFonts w:ascii="FangSong" w:hAnsi="FangSong" w:eastAsia="FangSong" w:cs="FangSong"/>
          <w:color w:val="000000"/>
          <w:sz w:val="21"/>
        </w:rPr>
        <w:t xml:space="preserve"> ;B</w:t>
      </w:r>
      <w:r>
        <w:rPr>
          <w:rFonts w:ascii="FangSong" w:hAnsi="FangSong" w:eastAsia="FangSong" w:cs="FangSong"/>
          <w:color w:val="000000"/>
          <w:sz w:val="21"/>
          <w:vertAlign w:val="subscript"/>
        </w:rPr>
        <w:t xml:space="preserve">3</w:t>
      </w:r>
      <w:r>
        <w:rPr>
          <w:rFonts w:ascii="FangSong" w:hAnsi="FangSong" w:eastAsia="FangSong" w:cs="FangSong"/>
          <w:color w:val="000000"/>
          <w:sz w:val="21"/>
        </w:rPr>
        <w:t xml:space="preserve">·····B</w:t>
      </w:r>
      <w:r>
        <w:rPr>
          <w:rFonts w:ascii="FangSong" w:hAnsi="FangSong" w:eastAsia="FangSong" w:cs="FangSong"/>
          <w:color w:val="000000"/>
          <w:sz w:val="21"/>
          <w:vertAlign w:val="subscript"/>
        </w:rPr>
        <w:t xml:space="preserve">n</w:t>
      </w:r>
      <w:r>
        <w:rPr>
          <w:rFonts w:ascii="FangSong" w:hAnsi="FangSong" w:eastAsia="FangSong" w:cs="FangSong"/>
          <w:color w:val="000000"/>
          <w:sz w:val="21"/>
        </w:rPr>
        <w:t xml:space="preserve"> -- 各可调因子的变值权重（即可调部分的权重）为各可调因子在投标函投标总报价中所占的比例；</w:t>
      </w:r>
      <w:r>
        <w:rPr>
          <w:rFonts w:ascii="Times New Roman" w:hAnsi="Times New Roman" w:eastAsia="Times New Roman" w:cs="Times New Roman"/>
          <w:sz w:val="21"/>
        </w:rPr>
      </w:r>
      <w:r/>
    </w:p>
    <w:p>
      <w:pPr>
        <w:ind w:left="0" w:right="0" w:firstLine="42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F</w:t>
      </w:r>
      <w:r>
        <w:rPr>
          <w:rFonts w:ascii="FangSong" w:hAnsi="FangSong" w:eastAsia="FangSong" w:cs="FangSong"/>
          <w:color w:val="000000"/>
          <w:sz w:val="21"/>
          <w:vertAlign w:val="subscript"/>
        </w:rPr>
        <w:t xml:space="preserve">t1</w:t>
      </w:r>
      <w:r>
        <w:rPr>
          <w:rFonts w:ascii="FangSong" w:hAnsi="FangSong" w:eastAsia="FangSong" w:cs="FangSong"/>
          <w:color w:val="000000"/>
          <w:sz w:val="21"/>
        </w:rPr>
        <w:t xml:space="preserve"> ;F</w:t>
      </w:r>
      <w:r>
        <w:rPr>
          <w:rFonts w:ascii="FangSong" w:hAnsi="FangSong" w:eastAsia="FangSong" w:cs="FangSong"/>
          <w:color w:val="000000"/>
          <w:sz w:val="21"/>
          <w:vertAlign w:val="subscript"/>
        </w:rPr>
        <w:t xml:space="preserve">t2</w:t>
      </w:r>
      <w:r>
        <w:rPr>
          <w:rFonts w:ascii="FangSong" w:hAnsi="FangSong" w:eastAsia="FangSong" w:cs="FangSong"/>
          <w:color w:val="000000"/>
          <w:sz w:val="21"/>
        </w:rPr>
        <w:t xml:space="preserve"> ;F</w:t>
      </w:r>
      <w:r>
        <w:rPr>
          <w:rFonts w:ascii="FangSong" w:hAnsi="FangSong" w:eastAsia="FangSong" w:cs="FangSong"/>
          <w:color w:val="000000"/>
          <w:sz w:val="21"/>
          <w:vertAlign w:val="subscript"/>
        </w:rPr>
        <w:t xml:space="preserve">t3</w:t>
      </w:r>
      <w:r>
        <w:rPr>
          <w:rFonts w:ascii="FangSong" w:hAnsi="FangSong" w:eastAsia="FangSong" w:cs="FangSong"/>
          <w:color w:val="000000"/>
          <w:sz w:val="21"/>
        </w:rPr>
        <w:t xml:space="preserve">·····F</w:t>
      </w:r>
      <w:r>
        <w:rPr>
          <w:rFonts w:ascii="FangSong" w:hAnsi="FangSong" w:eastAsia="FangSong" w:cs="FangSong"/>
          <w:color w:val="000000"/>
          <w:sz w:val="21"/>
          <w:vertAlign w:val="subscript"/>
        </w:rPr>
        <w:t xml:space="preserve">tn</w:t>
      </w:r>
      <w:r>
        <w:rPr>
          <w:rFonts w:ascii="FangSong" w:hAnsi="FangSong" w:eastAsia="FangSong" w:cs="FangSong"/>
          <w:color w:val="000000"/>
          <w:sz w:val="21"/>
        </w:rPr>
        <w:t xml:space="preserve"> -- 各可调因子的现行价格指数，指第17.3.3项、第17.5.2项和第17.6.2项约定的付款证书相关周期最后一天的前42天的各可调因子的价格指数；</w:t>
      </w:r>
      <w:r>
        <w:rPr>
          <w:rFonts w:ascii="Times New Roman" w:hAnsi="Times New Roman" w:eastAsia="Times New Roman" w:cs="Times New Roman"/>
          <w:sz w:val="21"/>
        </w:rPr>
      </w:r>
      <w:r/>
    </w:p>
    <w:p>
      <w:pPr>
        <w:ind w:left="0" w:right="0" w:firstLine="42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F</w:t>
      </w:r>
      <w:r>
        <w:rPr>
          <w:rFonts w:ascii="FangSong" w:hAnsi="FangSong" w:eastAsia="FangSong" w:cs="FangSong"/>
          <w:color w:val="000000"/>
          <w:sz w:val="21"/>
          <w:vertAlign w:val="subscript"/>
        </w:rPr>
        <w:t xml:space="preserve">o1</w:t>
      </w:r>
      <w:r>
        <w:rPr>
          <w:rFonts w:ascii="FangSong" w:hAnsi="FangSong" w:eastAsia="FangSong" w:cs="FangSong"/>
          <w:color w:val="000000"/>
          <w:sz w:val="21"/>
        </w:rPr>
        <w:t xml:space="preserve">; F</w:t>
      </w:r>
      <w:r>
        <w:rPr>
          <w:rFonts w:ascii="FangSong" w:hAnsi="FangSong" w:eastAsia="FangSong" w:cs="FangSong"/>
          <w:color w:val="000000"/>
          <w:sz w:val="21"/>
          <w:vertAlign w:val="subscript"/>
        </w:rPr>
        <w:t xml:space="preserve">o2</w:t>
      </w:r>
      <w:r>
        <w:rPr>
          <w:rFonts w:ascii="FangSong" w:hAnsi="FangSong" w:eastAsia="FangSong" w:cs="FangSong"/>
          <w:color w:val="000000"/>
          <w:sz w:val="21"/>
        </w:rPr>
        <w:t xml:space="preserve">; F</w:t>
      </w:r>
      <w:r>
        <w:rPr>
          <w:rFonts w:ascii="FangSong" w:hAnsi="FangSong" w:eastAsia="FangSong" w:cs="FangSong"/>
          <w:color w:val="000000"/>
          <w:sz w:val="21"/>
          <w:vertAlign w:val="subscript"/>
        </w:rPr>
        <w:t xml:space="preserve">o3</w:t>
      </w:r>
      <w:r>
        <w:rPr>
          <w:rFonts w:ascii="FangSong" w:hAnsi="FangSong" w:eastAsia="FangSong" w:cs="FangSong"/>
          <w:color w:val="000000"/>
          <w:sz w:val="21"/>
        </w:rPr>
        <w:t xml:space="preserve">·····F</w:t>
      </w:r>
      <w:r>
        <w:rPr>
          <w:rFonts w:ascii="FangSong" w:hAnsi="FangSong" w:eastAsia="FangSong" w:cs="FangSong"/>
          <w:color w:val="000000"/>
          <w:sz w:val="21"/>
          <w:vertAlign w:val="subscript"/>
        </w:rPr>
        <w:t xml:space="preserve">on</w:t>
      </w:r>
      <w:r>
        <w:rPr>
          <w:rFonts w:ascii="FangSong" w:hAnsi="FangSong" w:eastAsia="FangSong" w:cs="FangSong"/>
          <w:color w:val="000000"/>
          <w:sz w:val="21"/>
        </w:rPr>
        <w:t xml:space="preserve"> -- 各可调因子的基本价格指数，指基准日期的各可调因子的价格指数。</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16.1.1.2 暂时确定调整差额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在计算调整差额时得不到现行价格指数的，可暂用上一次价格指数计算，并在以后的付款中再按实际价格指数进行调整。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16.1.1.3 权重的调整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按第15.1款约定的变更导致原定合同中的权重不合理时，由监理人与承包人和发包人协商后进行调整。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16.1.1.4 承包人工期延误后的价格调整</w:t>
      </w:r>
      <w:r>
        <w:rPr>
          <w:rFonts w:ascii="Times New Roman" w:hAnsi="Times New Roman" w:eastAsia="Times New Roman" w:cs="Times New Roman"/>
          <w:sz w:val="21"/>
        </w:rPr>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由于承包人原因未在约定的工期内竣工的，则对原约定竣工日期后继续施工的工程，在使用第16.1.1.1目价格调整公式时，应采用原约定竣工日期与实际竣工日期的两个价格指数中较低的一个作为现行价格指数。</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16.1.2　采用造价信息调整价格差额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工程造价信息的来源以及价格调整的项目和系数在专用合同条款中约定。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16.2 法律变化引起的价格调整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在基准日后，因法律变化导致承包人在合同履行中所需要的工程费用发生除第16.1款约定以外的增减时，监理人应根据法律、国家或省、自治区、直辖市有关部门的规定，按第3.5款商定或确定需调整的合同价款。</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17.计量与支付</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17.1　计量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17.1.1 计量单位</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计量采用国家法定的计量单位。</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17.1.2　计量方法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结算工程量应按工程量清单中约定的方法计量。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17.1.3 计量周期</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除专用合同条款另有约定外，单价子目已完成工程量按月计量，总价子目的计量周期按批准的支付分解报告确定。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17.1.4 单价子目的计量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（1）已标价工程量清单中的单价子目工程量为估算工程量。结算工程量是承包人实际完成的，并按合同约定的计量方法进行计量的工程量。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（2）承包人对已完成的工程进行计量，向监理人提交进度付款申请单、已完成工程量报表和有关计量资料。</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（4）监理人认为有必要时，可通知承包人共同进行联合测量、计量，承包人应遵照执行。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（6）监理人应在收到承包人提交的工程量报表后的7天内进行复核，监理人未在约定时间内复核的，承包人提交的工程量报表中的工程量视为承包人实际完成的工程量，据此计算工程价款。</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17.1.5　总价子目的计量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总价子目的分解和计量按照下述约定进行。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（1）总价子目的计量和支付应以总价为基础，不因第16.1款中的因素而进行调整。承包人实际完成的工程量，是进行工程目标管理和控制进度支付的依据。</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（3）监理人对承包人提交的上述资料进行复核，以确定分阶段实际完成的工程量和工程形象目标。对其有异议的，可要求承包人按第8.2款约定进行共同复核和抽样复测。</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（4）除按照第15条约定的变更外，总价子目的工程量是承包人用于结算的最终工程量。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17.2　预付款</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17.2.1　预付款</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17.2.2　预付款保函（担保）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（1）承包人应在收到第一次工程预付款的同时向发包人提交工程预付款担保，担保金额应与第一次工程预付款金额相同，工程预付款担保在第一次工程预付款被发包人扣回前一直有效。</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（2）工程材料预付款的担保在专用合同条款中约定。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（3）预付款担保的担保金额可根据预付款扣回的金额相应递减。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17.2.3　预付款的扣回与还清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预付款在进度付款中扣回，扣回与还清办法在专用合同条款中约定。在颁发合同工程完工证书前，由于不可抗力或其它原因解除合同时，预付款尚未扣清的，尚未扣清的预付款余额应作为承包人的到期应付款。</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17.3 工程进度付款</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17.3.1 付款周期</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付款周期同计量周期。</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17.3.2 进度付款申请单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（1）截至本次付款周期末已实施工程的价款；</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（2）根据第15条应增加和扣减的变更金额；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（3）根据第23条应增加和扣减的索赔金额；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（4）根据第17.2款约定应支付的预付款和扣减的返还预付款；</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（5）根据第17.4.1项约定应扣减的质量保证金；</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（6）根据合同应增加和扣减的其他金额。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17.3.3 进度付款证书和支付时间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（2）发包人应在监理人收到进度付款申请单后的28天内，将进度应付款支付给承包人。发包人不按期支付的，按专用合同条款的约定支付逾期付款违约金。</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（3）监理人出具进度付款证书，不应视为监理人已同意、批准或接受了承包人完成的该部分工作。</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（4）进度付款涉及政府投资资金的，按照国库集中支付等国家相关规定和专用合同条款的约定办理。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17.3.4 工程进度付款的修正</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在对以往历次已签发的进度付款证书进行汇总和复核中发现错、漏或重复的，监理人有权予以修正，承包人也有权提出修正申请。经双方复核同意的修正，应在本次进度付款中支付或扣除。</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17.4　质量保证金</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17.4.1　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17.4.2　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17.4.3 在第1.1.4.5目约定的缺陷责任期满时，承包人没有完成缺陷责任的，发包人有权扣留与未履行责任剩余工作所需金额相应的质量保证金余额，并有权根据第19.3款约定要求延长缺陷责任期，直至完成剩余工作为止。</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17.5　竣工结算（完工结算）</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17.5.1　竣工（完工）付款申请单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（2）监理人对完工付款申请单有异议的，有权要求承包人进行修正和提供补充资料。经监理人和承包人协商后，由承包人向监理人提交修正后的完工付款申请单。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17.5.2　竣工（完工）付款证书及支付时间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（2）发包人应在监理人出具完工付款证书后的14天内，将应支付款支付给承包人。发包人不按期支付的，按第17.3.3（2）目的约定，将逾期付款违约金支付给承包人。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（3）承包人对发包人签认的完工付款证书有异议的，发包人可出具完工付款申请单中承包人已同意部分的临时付款证书。存在争议的部分，按第24条的约定办理。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（4）完工付款涉及政府投资资金的，按第17.3.3（4）目的约定办理。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17.6　最终结清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17.6.1　最终结清申请单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（1）工程质量保修责任终止证书签发后，承包人应按监理人批准的格式提交最终结清申请单。提交最终结清申请单的份数在专用合同条款中约定。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（2）发包人对最终结清申请单内容有异议的，有权要求承包人进行修正和提供补充资料，由承包人向监理人提交修正后的最终结清申请单。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17.6.2 最终结清证书和支付时间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（2）发包人应在监理人出具最终结清证书后的14天内，将应支付款支付给承包人。发包人不按期支付的，按第17.3.3（2）目的约定，将逾期付款违约金支付给承包人。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（3）承包人对发包人签认的最终结清证书有异议的，按第24条的约定办理。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（4）最终结清付款涉及政府投资资金的，按第17.3.3（４）目的约定办理。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17.7　竣工财务决算</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发包人负责编制本工程项目竣工财务决算，承包人应按专用合同条款的约定提供竣工财务决算编制所需的相关材料。</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17.8　竣工审计</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发包人负责完成本工程竣工审计手续，承包人应完成相关配合工作。</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18.竣工验收（验收）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18.1　验收工作分类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18.1.1 竣工验收指承包人完成了全部合同工作后，发包人按合同要求进行的验收。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18.1.2 国家验收是政府有关部门根据法律、规范、规程和政策要求，针对发包人全面组织实施的整个工程正式交付投运前的验收。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18.1.3 需要进行国家验收的，竣工验收是国家验收的一部分。竣工验收所采用的各项验收和评定标准应符合国家验收标准。发包人和承包人为竣工验收提供的各项竣工验收资料应符合国家验收的要求。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18.2　分部工程验收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18.2.1　分部工程具备验收条件时，承包人应向发包人提交验收申请报告，发包人应在收到验收申请报告之日起10个工作日内决定是否同意进行验收。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18.2.2　除专用合同条款另有约定外，监理人主持分部工程验收，承包人应派符合条件的代表参加验收工作组。</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18.2.3　分部工程验收通过后，发包人向承包人发送分部工程验收鉴定书。承包人应及时完成分部工程验收鉴定书载明应由承包人处理的遗留问题。</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18.3　单位工程验收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18.3.1　单位工程具备验收条件时，承包人应向发包人提交验收申请报告，发包人应在收到验收申请报告之日起10个工作日内决定是否同意进行验收。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18.3.2　发包人主持单位工程验收，承包人应派符合条件的代表参加验收工作组。</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18.3.3　单位工程验收通过后，发包人向承包人发送单位工程验收鉴定书。承包人应及时完成单位工程验收鉴定书载明应由承包人处理的遗留问题。</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18.3.4　需提前投入使用的单位工程在专用合同条款中明确。</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18.3.5 除专用合同条款另有约定外，经验收合格工程的实际竣工日期，以提交竣工验收申请报告的日期为准，并在工程接收证书中写明。</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18.3.6 发包人在收到承包人竣工验收申请报告56天后未进行验收的，视为验收合格，实际竣工日期以提交竣工验收申请报告的日期为准，但发包人由于不可抗力不能进行验收的除外。</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18.4　合同工程完工验收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18.4.1　合同工程具备验收条件时，承包人应向发包人提交验收申请报告，发包人应在收到验收申请报告之日起20个工作日内决定是否同意进行验收。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18.4.2　发包人主持合同工程完工验收，承包人应派代表参加验收工作组。</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18.4.3　合同工程完工验收通过后，发包人向承包人发送合同工程完工验收鉴定书。承包人应及时完成合同工程完工验收鉴定书载明应由承包人处理的遗留问题。</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18.4.4　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18.5　阶段验收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18.5.1　工程建设具备阶段验收条件时，发包人负责提出阶段验收申请报告。承包人应派代表参加阶段验收，并作为被验收单位在验收鉴定书上签字。阶段验收的具体类别在专用合同条款中约定。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18.5.2　承包人应及时完成阶段验收鉴定书载明应由承包人处理的遗留问题。</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18.6　专项验收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18.6.1　发包人负责提出专项验收申请报告。承包人应按专项验收的相关规定参加专项验收。专项验收的具体类别在专用合同条款中约定。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18.6.2　承包人应及时完成专项验收成果性文件载明应由承包人处理的遗留问题。</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18.7　竣工验收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18.7.1　申请竣工验收前，发包人组织竣工验收自查，承包人应派代表参加。</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18.7.2　竣工验收分为竣工技术预验收和竣工验收两个阶段。发包人应通知承包人派代表参加技术预验收和竣工验收。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18.7.3　专用合同条款约定工程需要进行技术鉴定的，承包人应提交有关资料并完成配合工作。</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18.7.4　竣工验收需要进行质量检测的，所需费用由发包人承担，但因承包人原因造成质量不合格的除外。</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18.7.5　工程质量保修期满以及竣工验收遗留问题和尾工处理完成并通过验收后，发包人负责将处理情况和验收成果报送竣工验收主持单位，申请领取工程竣工证书，并发送承包人。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18.8　施工期运行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18.8.1　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18.8.2　在施工期运行中发现工程或工程设备损坏或存在缺陷的，由承包人按第19.2款约定进行修复。</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18.9　试运行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18.9.1　除专用合同条款另有约定外，承包人应按规定进行工程及工程设备试运行，负责提供试运行所需的人员、器材和必要的条件，并承担全部试运行费用。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18.10　竣工（完工）清场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18.10.1　工程项目竣工（完工）清场的工作范围和内容在技术标准和要求（合同技术条款）中约定。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18.10.2　承包人未按监理人的要求恢复临时占地，或者场地清理未达到合同约定的，发包人有权委托其它人恢复或清理，所发生的金额从拟支付给承包人的款项中扣除。</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18.11　施工队伍的撤离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19.缺陷责任与保修责任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19.1　缺陷责任期（工程质量保修期）的起算时间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19.2 缺陷责任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19.2.1 承包人应在缺陷责任期内对已交付使用的工程承担缺陷责任。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19.2.2 缺陷责任期内，发包人对已接收使用的工程负责日常维护工作。发包人在使用过程中，发现已接收的工程存在新的缺陷或已修复的缺陷部位或部件又遭损坏的，承包人应负责修复，直至检验合格为止。</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19.2.3 监理人和承包人应共同查清缺陷和（或）损坏的原因。经查明属承包人原因造成的，应由承包人承担修复和查验的费用。经查验属发包人原因造成的，发包人应承担修复和查验的费用，并支付承包人合理利润。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19.2.4 承包人不能在合理时间内修复缺陷的，发包人可自行修复或委托其他人修复，所需费用和利润的承担，按第19.2.3项约定办理。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19.3 缺陷责任期的延长</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由于承包人原因造成某项缺陷或损坏使某项工程或工程设备不能按原定目标使用而需要再次检查、检验和修复的，发包人有权要求承包人相应延长缺陷责任期，但缺陷责任期最长不超过2年。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19.4 进一步试验和试运行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任何一项缺陷或损坏修复后，经检查证明其影响了工程或工程设备的使用性能，承包人应重新进行合同约定的试验和试运行，试验和试运行的全部费用应由责任方承担。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19.5 承包人的进入权</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缺陷责任期内承包人为缺陷修复工作需要，有权进入工程现场，但应遵守发包人的保安和保密规定。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19.6　缺陷责任期终止证书（工程质量保修责任终止证书）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合同工程完工验收或投入使用验收后，发包人与承包人应办理工程交接手续，承包人应向发包人递交工程质量保修书。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缺陷责任期（工程质量保修期）满后30个工作日内，发包人应向承包人颁发工程质量保修责任终止证书，并退还剩余的质量保证金，但保修责任范围内的质量缺陷未处理完成的应除外。</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19.7 保修责任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20.保险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20.1 工程保险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20.2 人员工伤事故的保险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20.2.1 承包人员工伤事故的保险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承包人应依照有关法律规定参加工伤保险，为其履行合同所雇佣的全部人员，缴纳工伤保险费，并要求其分包人也进行此项保险。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20.2.2 发包人员工伤事故的保险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发包人应依照有关法律规定参加工伤保险，为其现场机构雇佣的全部人员，缴纳工伤保险费，并要求其监理人也进行此项保险。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20.3 人身意外伤害险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20.3.1 发包人应在整个施工期间为其现场机构雇用的全部人员，投保人身意外伤害险，缴纳保险费，并要求其监理人也进行此项保险。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20.3.2 承包人应在整个施工期间为其现场机构雇用的全部人员，投保人身意外伤害险，缴纳保险费，并要求其分包人也进行此项保险。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20.4 第三者责任险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20.4.2 在缺陷责任期终止证书颁发前，承包人应以承包人和发包人的共同名义，投保第20.4.1项约定的第三者责任险，其保险费率、保险金额等有关内容在专用合同条款中约定。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20.5 其他保险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除专用合同条款另有约定外，承包人应为其施工设备、进场的材料和工程设备等办理保险。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20.6　对各项保险的一般要求</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20.6.1 保险凭证</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承包人应在专用合同条款约定的期限内向发包人提交各项保险生效的证据和保险单副本，保险单必须与专用合同条款约定的条件保持一致。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20.6.2 保险合同条款的变动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承包人需要变动保险合同条款时，应事先征得发包人同意，并通知监理人。保险人作出变动的，承包人应在收到保险人通知后立即</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通知发包人和监理人。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20.6.3 持续保险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承包人应与保险人保持联系，使保险人能够随时了解工程实施中的变动，并确保按保险合同条款要求持续保险。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20.6.4　保险金不足以补偿损失时，应由承包人和发包人各自负责补偿的范围和金额在专用合同条款中约定。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20.6.5 未按约定投保的补救</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（1）由于负有投保义务的一方当事人未按合同约定办理保险，或未能使保险持续有效的，另一方当事人可代为办理，所需费用由对方当事人承担。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（2）由于负有投保义务的一方当事人未按合同约定办理某项保险，导致受益人未能得到保险人的赔偿，原应从该项保险得到的保险金应由负有投保义务的一方当事人支付。</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20.6.6 报告义务</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当保险事故发生时，投保人应按照保险单规定的条件和期限及时向保险人报告。</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20.7　风险责任的转移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工程通过合同工程完工验收并移交给发包人后，原由承包人应承担的风险责任，以及保险的责任、权利和义务同时转移给发包人，但承包人在缺陷责任期（工程质量保修期）前造成损失和损坏情形除外。</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21.不可抗力</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21.1 不可抗力的确认</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21.1.1 不可抗力是指承包人和发包人在订立合同时不可预见，在工程施工过程中不可避免发生并不能克服的自然灾害和社会性突发事件，如地震、海啸、瘟疫、水灾、骚乱、暴动、战争和专用合同条款约定的其他情形。</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21.2 不可抗力的通知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21.2.1 合同一方当事人遇到不可抗力事件，使其履行合同义务受到阻碍时，应立即通知合同另一方当事人和监理人，书面说明不可抗力和受阻碍的详细情况，并提供必要的证明。</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21.2.2 如不可抗力持续发生，合同一方当事人应及时向合同另一方当事人和监理人提交中间报告，说明不可抗力和履行合同受阻的情况，并于不可抗力事件结束后28天内提交最终报告及有关资料。</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21.3 不可抗力后果及其处理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21.3.1 不可抗力造成损害的责任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除专用合同条款另有约定外，不可抗力导致的人员伤亡、财产损失、费用增加和（或）工期延误等后果，由合同双方按以下原则承担：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（1）永久工程，包括已运至施工场地的材料和工程设备的损害，以及因工程损害造成的第三者人员伤亡和财产损失由发包人承担；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（2）承包人设备的损坏由承包人承担；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（3）发包人和承包人各自承担其人员伤亡和其他财产损失及其相关费用；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（4）承包人的停工损失由承包人承担，但停工期间应监理人要求照管工程和清理、修复工程的金额由发包人承担；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（5）不能按期竣工的，应合理延长工期，承包人不需支付逾期竣工违约金。发包人要求赶工的，承包人应采取赶工措施，赶工费用由发包人承担。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21.3.2 延迟履行期间发生的不可抗力</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合同一方当事人延迟履行，在延迟履行期间发生不可抗力的，不免除其责任。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21.3.3 避免和减少不可抗力损失</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不可抗力发生后，发包人和承包人均应采取措施尽量避免和减少损失的扩大，任何一方没有采取有效措施导致损失扩大的，应对扩大的损失承担责任。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21.3.4 因不可抗力解除合同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22.违约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22.1　承包人违约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22.1.1　承包人违约的情形</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在履行合同过程中发生的下列情况属承包人违约：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（1）承包人违反第1.8款或第4.3款的约定，私自将合同的全部或部分权利转让给其他人，或私自将合同的全部或部分义务转移给其他人；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（2）承包人违反第5.3款或第6.4款的约定，未经监理人批准，私自将已按合同约定进入施工场地的施工设备、临时设施或材料撤离施工场地；</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（3）承包人违反第5.4款的约定使用了不合格材料或工程设备，工程质量达不到标准要求，又拒绝清除不合格工程；</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（4）承包人未能按合同进度计划及时完成合同约定的工作，已造成或预期造成工期延误；</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（5）承包人在缺陷责任期（工程质量保修期）内，未能对合同工程完工验收鉴定书所列的缺陷清单的内容或缺陷责任期（工程质量保修期）内发生的缺陷进行修复，而又拒绝按监理人指示再进行修补；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（6）承包人无法继续履行或明确表示不履行或实质上已停止履行合同；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（7）承包人不按合同约定履行义务的其它情况。</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22.1.2 对承包人违约的处理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（1）承包人发生第22.1.1（6）目约定的违约情况时，发包人可通知承包人立即解除合同，并按有关法律处理。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（2）承包人发生除第22.1.1（6）目约定以外的其他违约情况时，监理人可向承包人发出整改通知，要求其在指定的期限内改正。承包人应承担其违约所引起的费用增加和（或）工期延误。</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（3）经检查证明承包人已采取了有效措施纠正违约行为，具备复工条件的，可由监理人签发复工通知复工。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22.1.3 承包人违约解除合同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22.1.4 合同解除后的估价、付款和结清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（1）合同解除后，监理人按第3.5款商定或确定承包人实际完成工作的价值，以及承包人已提供的材料、施工设备、工程设备和临时工程等的价值。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（2）合同解除后，发包人应暂停对承包人的一切付款，查清各项付款和已扣款金额，包括承包人应支付的违约金。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（3）合同解除后，发包人应按第23.4款的约定向承包人索赔由于解除合同给发包人造成的损失。</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（4）合同双方确认上述往来款项后，出具最终结清付款证书，结清全部合同款项。</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（5）发包人和承包人未能就解除合同后的结清达成一致而形成争议的，按第24条的约定办理。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22.1.5 协议利益的转让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因承包人违约解除合同的，发包人有权要求承包人将其为实施合同而签订的材料和设备的订货协议或任何服务协议利益转让给发包人，并在解除合同后的14天内，依法办理转让手续。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22.1.6 紧急情况下无能力或不愿进行抢救</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22.2 发包人违约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22.2.1 发包人违约的情形</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在履行合同过程中发生的下列情形，属发包人违约：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（1）发包人未能按合同约定支付预付款或合同价款，或拖延、拒绝批准付款申请和支付凭证，导致付款延误的；</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（2）发包人原因造成停工的；</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（3）监理人无正当理由没有在约定期限内发出复工指示，导致承包人无法复工的；</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（4）发包人无法继续履行或明确表示不履行或实质上已停止履行合同的；</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（5）发包人不履行合同约定其他义务的。</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22.2.2 承包人有权暂停施工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22.2.3 发包人违约解除合同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（1）发生第22.2.1（4）目的违约情况时，承包人可书面通知发包人解除合同。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（2）承包人按22.2.2项暂停施工28天后，发包人仍不纠正违约行为的，承包人可向发包人发出解除合同通知。但承包人的这一行动不免除发包人承担的违约责任，也不影响承包人根据合同约定享有的索赔权利。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22.2.4 解除合同后的付款</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因发包人违约解除合同的，发包人应在解除合同后28天内向承包人支付下列金额，承包人应在此期限内及时向发包人提交要求支付下列金额的有关资料和凭证：</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（1）合同解除日以前所完成工作的价款；</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（2）承包人为该工程施工订购并已付款的材料、工程设备和其他物品的金额。发包人付还后，该材料、工程设备和其他物品归发包人所有；</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（3）承包人为完成工程所发生的，而发包人未支付的金额；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（4）承包人撤离施工场地以及遣散承包人人员的金额；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（5）由于解除合同应赔偿的承包人损失；</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（6）按合同约定在合同解除日前应支付给承包人的其他金额。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发包人应按本项约定支付上述金额并退还质量保证金和履约担保，但有权要求承包人支付应偿还给发包人的各项金额。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22.2.5 解除合同后的承包人撤离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22.3 第三人造成的违约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在履行合同过程中，一方当事人因第三人的原因造成违约的，应当向对方当事人承担违约责任。一方当事人和第三人之间的纠纷，依照法律规定或者按照约定解决。</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23.索赔</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23.1 承包人索赔的提出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根据合同约定，承包人认为有权得到追加付款和（或）延长工期的，应按以下程序向发包人提出索赔：</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（2）承包人应在发出索赔意向通知书后28天内，向监理人正式递交索赔通知书。索赔通知书应详细说明索赔理由以及要求追加的付款金额和（或）延长的工期，并附必要的记录和证明材料；</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（3）索赔事件具有连续影响的，承包人应按合理时间间隔继续递交延续索赔通知，说明连续影响的实际情况和记录，列出累计的追加付款金额和（或）工期延长天数；</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（4）在索赔事件影响结束后的28天内，承包人应向监理人递交最终索赔通知书，说明最终要求索赔的追加付款金额和延长的工期，并附必要的记录和证明材料。</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23.2 承包人索赔处理程序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（1）监理人收到承包人提交的索赔通知书后，应及时审查索赔通知书的内容、查验承包人的记录和证明材料，必要时监理人可要求承包人提交全部原始记录副本。</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（2）监理人应按第3.5款商定或确定追加的付款和（或）延长的工期，并在收到上述索赔通知书或有关索赔的进一步证明材料后的42天内，将索赔处理结果答复承包人。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（3）承包人接受索赔处理结果的，发包人应在作出索赔处理结果答复后28天内完成赔付。承包人不接受索赔处理结果的，按第24条的约定办理。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23.3　承包人提出索赔的期限</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23.3.1　承包人按第17.5款的约定接受了完工付款证书后，应被认为已无权再提出在合同工程完工证书颁发前所发生的任何索赔。</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23.3.2　承包人按第17.6款的约定提交的最终结清申请单中，只限于提出合同工程完工证书颁发后发生的索赔。提出索赔的期限自接受最终结清证书时终止。</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23.4　发包人的索赔</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23.4.2 监理人按第3.5款商定或确定发包人从承包人处得到赔付的金额和（或）缺陷责任期的延长期。承包人应付给发包人的金额可从拟支付给承包人的合同价款中扣除，或由承包人以其他方式支付给发包人。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23.4.3　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23.4.2项的约定执行赔付。若承包人不接受监理人的索赔处理意见，可按本合同第24条的规定办理。</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24.争议的解决</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24.1 争议的解决方式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（1）向约定的仲裁委员会申请仲裁；</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（2）向有管辖权的人民法院提起诉讼。</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24.2 友好解决</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在提请争议评审、仲裁或者诉讼前，以及在争议评审、仲裁或诉讼过程中，发包人和承包人均可共同努力友好协商解决争议。</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24.3 争议评审</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24.3.1 采用争议评审的，发包人和承包人应在开工日后的28天内或在争议发生后，协商成立争议评审组。争议评审组由有合同管理和工程实践经验的专家组成。</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24.3.2 合同双方的争议，应首先由申请人向争议评审组提交一份详细的评审申请报告，并附必要的文件、图纸和证明材料，申请人还应将上述报告的副本同时提交给被申请人和监理人。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24.3.3 被申请人在收到申请人评审申请报告副本后的28天内，向争议评审组提交一份答辩报告，并附证明材料。被申请人应将答辩报告的副本同时提交给申请人和监理人。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24.3.4 除专用合同条款另有约定外，争议评审组在收到合同双方报告后的14天内，邀请双方代表和有关人员举行调查会，向双方调查争议细节；必要时争议评审组可要求双方进一步提供补充材料。</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24.3.5 除专用合同条款另有约定外，在调查会结束后的14天内，争议评审组应在不受任何干扰的情况下进行独立、公正的评审，作出书面评审意见，并说明理由。在争议评审期间，争议双方暂按总监理工程师的确定执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24.3.6 发包人和承包人接受评审意见的，由监理人根据评审意见拟定执行协议，经争议双方签字后作为合同的补充文件，并遵照执行。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24.3.7 发包人或承包人不接受评审意见，并要求提交仲裁或提起诉讼的，应在收到评审意见后的14天内将仲裁或起诉意向书面通知另一方，并抄送监理人，但在仲裁或诉讼结束前应暂按总监理工程师的确定执行。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24.4　仲裁</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24.4.1　若合同双方商定直接向仲裁机构申请仲裁，应签订仲裁协议并约定仲裁机构。</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24.4.2　若合同双方未能达成仲裁协议，则本合同的仲裁条款无效，任一方均有权向人民法院提起诉讼。</w:t>
      </w:r>
      <w:r>
        <w:rPr>
          <w:rFonts w:ascii="Times New Roman" w:hAnsi="Times New Roman" w:eastAsia="Times New Roman" w:cs="Times New Roman"/>
          <w:sz w:val="21"/>
        </w:rPr>
      </w:r>
      <w:r/>
    </w:p>
    <w:p>
      <w:pPr>
        <w:ind w:left="0" w:right="0" w:firstLine="643"/>
        <w:spacing w:before="240" w:after="240" w:line="85" w:lineRule="atLeast"/>
        <w:pBdr>
          <w:top w:val="none" w:color="000000" w:sz="4" w:space="0"/>
          <w:left w:val="none" w:color="000000" w:sz="4" w:space="0"/>
          <w:bottom w:val="none" w:color="000000" w:sz="4" w:space="0"/>
          <w:right w:val="none" w:color="000000" w:sz="4" w:space="0"/>
        </w:pBdr>
      </w:pPr>
      <w:r>
        <w:br w:type="page" w:clear="all"/>
      </w:r>
      <w:r>
        <w:rPr>
          <w:sz w:val="24"/>
        </w:rPr>
      </w:r>
      <w:r/>
    </w:p>
    <w:p>
      <w:pPr>
        <w:ind w:left="0" w:right="0" w:firstLine="643"/>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第2节 专用合同条款</w:t>
      </w:r>
      <w:r>
        <w:rPr>
          <w:sz w:val="24"/>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专用合同条款中的各条款是补充和修改通用合同条款中条款号相同的条款或当需要时增加新的条款，两者应对照阅读。一旦出现矛盾或不一致时，则以专用合同条款为准，通用合同条款中未补充和修改的部分仍有效。</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  一般约定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  词语定义</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1.1.2  合同当事人和人员</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1.1.2.2  发包人：南京市浦口区河道管理所。</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1.1.2.6  监理人：另行确定。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1.1.4  日期</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1.1.4.5  缺陷责任期（工程质量保修期）：</w:t>
      </w:r>
      <w:r>
        <w:rPr>
          <w:rFonts w:ascii="FangSong" w:hAnsi="FangSong" w:eastAsia="FangSong" w:cs="FangSong"/>
          <w:color w:val="000000"/>
          <w:sz w:val="21"/>
          <w:u w:val="none"/>
        </w:rPr>
        <w:t xml:space="preserve">24</w:t>
      </w:r>
      <w:r>
        <w:rPr>
          <w:rFonts w:ascii="FangSong" w:hAnsi="FangSong" w:eastAsia="FangSong" w:cs="FangSong"/>
          <w:color w:val="000000"/>
          <w:sz w:val="21"/>
        </w:rPr>
        <w:t xml:space="preserve">个月。</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  合同文件的优先顺序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进入合同的各项文件及其优先顺序是：</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（1）协议书（包括合同谈判、补充协议书）；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（2）招标文件；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（3）投标文件；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（4）中标通知书；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（5）投标函及投标函附录；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（6）招标文件、澄清问题、澄清问题的复函、补充通知等相关资料；</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（7）专用合同条款；</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（8）通用合同条款；</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（9）技术标准和要求；</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（10）图纸；</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（11）已标价的工程量清单；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（12）投标辅助材料；</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（13）经双方确认进入合同的其它文件。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  发包人义务</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  提供施工场地</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2.3.2承包人施工所用的办公、生产、生活等临时设施的占地等，承包人应根据招投标文件的要求和现场考察情况自行解决。并在接到中标通知书后的7天内，向发包人提交2份临时占用地的详细计划表。包括占用位置、数量和需用时间，并根据施工先后顺序办理临时用地借用手续。发包人帮助协调使用，费用由承包人承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  监理人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3.1  监理人的职责和权力</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3.1.1　监理人须根据发包人事先批准的权力范围行使权力，发包人批准的权力范围：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（1）按第4.3条约定，批准工程的分包；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（2）按第11.3条约定，确定延长完工期限；</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（3）按第15.6条约定，批准暂列金额的使用；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（4）按第12.3、12.4条约定，批准暂停施工和暂停施工后的复工；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（5）按第15.3.2条约定，批准变更估价；</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（6）影响工期、质量、合同单价等其他重大决定。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凡是涉及到上述事件，承包人必须接到监理人签发的由发包人签署或盖章的书面材料后才能实施，否则由此引起的一切责任由承包人负责，但当监理人认为出现了危及生命、工程及毗邻财产等安全的紧急事件时，在不免除合同规定的承包人责任的情况下，监理人可以指示承包人实施为消除或减少这种危险所必须进行的工作，即使没有发包人的事先批准，承包人也应立即遵照执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  承包人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  承包人的一般义务</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4.1.10  其他义务</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（1）承包人应根据有关法律的规定，为其所有的非本地雇员向当地公安机关申请临时居住许可证，并承担相应费用。</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（2）现场施工配合与协调</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本合同承包人有义务提供与其它分包人施工配合与协调，包括（但不限于）以下内容：</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（a）工作面的安全；</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（b）施工进度的协调；</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（c）及时提供或移交工作面；</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（d）保证工程相邻界面附近的结构质量；</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（e）为其它承包人或分包人提供用水、用电、交通道路、交叉工作面的作业场地、施工机械设备使用等（所有费用按实决算，费用由使用方承担）；</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（f）施工范围内青苗补偿等产生相关费用由承包人承担，发包人只负责与当地相关部门协调。</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（3）承包人必须在工程所在地设专用账户。</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（4）施工期间用电由承包方自行负责解决。</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（5）施工期间由于场外交通引起的一切费用由承包方解决。</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4.3  分包</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4.3.2本招标项目不允许分包。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  材料和工程设备</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5.1承包人提供的材料和工程设备</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承包人提供的所有机电设备应标明厂家的名称，应上报监理人经发包人批准后方可采购。</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5.2  发包人提供的材料和工程设备</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发包人不向承包人提供材料和工程设备。</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  施工设备和临时设施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6.1  发包人提供的施工设备和临时设施</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发包人不向承包人提供施工设备和临时设施。</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 交通运输</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7.1  场内外施工道路</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（1）承包人应负责修建、维修、养护和管理其施工所需的全部临时道路和交通设施，并保证社会车辆的通行，一切费用均含在投标报价中。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（2）承包人修建的临时道路和交通设施，应免费提供给发包人和监理人及本工程的其他承包人使用。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（3）场外交通因施工需要发生的一切调解费用均由承包人负责。</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 测量放线</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8.1施工控制网</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8.1.1施工控制网的约定：发包人应委托监理人在承包人进点后的3天内，向承包人提供测量基准点、基准线和水准点及其书面资料；承包人应在接到监理人提供的上述资料后14天内，根据上述基准点（线）以及国家测绘标准和本工程精度要求，测设用于工程施工的控制网，并将施工控制网资料提交监理人审批。</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8.2 施工测量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8.2.3 当承包人对监理人提供的基本测量资料（原始基准点、基准线和参考标高）及有关图纸有异议时，应在监理人提供以上资料以后的7天内以书面通知监理人；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8.2.4 承包人应进行所有计算、测绘和拟建建筑物精确定位所需的定位放样，并将拟采用的工程放样方法和将达到的放样精度提交监理人审查；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8.2.5 承包人只应将测量作业委托给受过训练、有经验、有足够资格和技能的人员，以保证顺利完成交给他们的测量任务。他们必须向监理人提交监理人要求的有关测量资料。为完成测量任务，承包人应该选用足够数量的、可靠的、精密的及经过有资质的部门精确校正的由监理人批准的仪器设备；</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8.2.6 所有测量和放样的有关数据应报监理人审查，如果需要，承包人应该在任何时候协助监理人对工地设施定位放样工作进行校核。为此目的，承包人应该保持所有标志干净，观测视线清晰。监理人进行的任何校核测量不应减轻承包人对建筑物测量的位置及尺寸精度负有的全部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8.2.7 若现有地形资料不能满足工程的测量精度时，承包人应以其自己的费用进行地形补测。</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 施工安全、治安保卫和环境保护</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9.2承包人的施工安全责任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9.2.1 承包人应按合同约定履行安全职责,执行监理人有关安全工作的指示。承包人应按技术标准和要求（合同技术条款）约定的内容和期限，以及监理人的指示，编制施工安全技术措施提交监理人审批。监理人应技术标准和要求（合同技术条款）约定的期限内批复承包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9.2.2 承包人应加强施工作业安全管理，特别应加强易燃、易爆材料、火工器材、有毒与腐蚀性材料和其他危险品的管理，以及对爆破作业和地下工程施工等危险作业的管理。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9.2.3 承包人应严格按照国家安全标准制定施工安全操作规程，配备必要的安全生产和劳动保护设施，加强对承包人人员的安全教育，并发放安全工作手册和劳动保护用具。</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9.2.4 承包人应按监理人的指示制定应对灾害的紧急预案，报送监理人审批。承包人还应按预案做好安全检查，配置必要的救助物资和器材，切实保护好有关人员的人身和财产安全。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9.2.5 合同约定的安全作业环境及安全施工措施所需费用应遵守有关规定，并包括在相关工作的合同价格中。因采取合同未约定的安全作业环境及安全施工措施增加的费用，由监理人按第3.5款商定或确定。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9.2.6承包人已标价工程量清单应包含工程安全作业环境及安全施工措施所需费用。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9.2.8承包人应建立健全安全生产责任制度和安全生产教育培训制度，制定安全生产规章制度和操作规程，保证本单位建立和完善安全生产条件所需资金的投入，对本工程进行定期和专项安全检查，并做好安全检查记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9.2.9承包人应设立安全生产管理机构，施工现场应有专职安全生产管理人员。</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9.2.10承包人应负责对特种作业人员进行专门的安全作业培训，并保证特种作业人员持证上岗。</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9.4 环境保护</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9.4.6承包人应设专人负责环保工作，加强对施工期污水、废水处理及施工区域的自然环境、水土保持的力度，应随时尽最大努力清除废渣、污油、油性杂物或其他可能造成污染的物质，混凝土生产或灌浆作业中的冲洗水应在处理池中澄清或采用其他方法以防止水泥浆流入河中，保证水质不因本合同工程施工受到任何不良影响；若因承包人原因造成水体污染，引起的纠纷和由此影响施工的合同责任均由承包人承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9.4.7承包人不得向河内倾到弃土、材料和废弃物，不得缩小施工以外的河床断面。</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9.4.8承包人必须定期在工程月报中反映环保工作内容。</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9.4.9承包人为满足环保要求采取措施所引起的费用应包含在已标价工程量清单中。</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9.4.10 承包人应注意施工期间，噪音和灯光对居民的影响。在与居民发生冲突时，应服从监理的调解。</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 文明施工</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10.1 安全文明施工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10.1.1 安全生产要求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项目安全生产的达标目标及相应事项的特别补充约定：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严格执行《中华人民共和国安全生产法》、《水利工程建设安全生产管理规定》等相关法律法规。承包人在承包范围内负责施工现场的安全管理、安全教育和安全事故责任由承包人负责处理，所发生的费用均由承包人承担。由承包人按规范施工并对安全生产负全责，严格按照施工组织设计组织施工，经常进行安全学习、安全教育，全部施工期间的安全措施落实到位，制定详细、可靠的应急措施，配备专职安全人员，对于不可抗力外所发生的安全责任事故，承包人承担全部责任与经济赔偿责任。承包人全面负责施工现场的安全、周边设施的安全与第三方人身安全，发生的</w:t>
      </w:r>
      <w:r>
        <w:rPr>
          <w:rFonts w:ascii="FangSong" w:hAnsi="FangSong" w:eastAsia="FangSong" w:cs="FangSong"/>
          <w:color w:val="000000"/>
          <w:sz w:val="21"/>
        </w:rPr>
        <w:t xml:space="preserve">费用包含在磋商报价中。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（2）承包人应遵守工程建设安全生产有关管理规定，严格按安全标准组织施工，并随时接受发包人、 监理、行业安全检查人员依法实施的监督检查，采取必要的安全防护措施，消除事故隐患。安全施工防护费用已经含在合同价款内。由于承包人安全措施不力造成事故的责任和因此发生的费用，由承包人承担。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（3）承包人在施工现场的安全管理、教育和安全事故责任由承包方承担。在承包人施工范围内发生或因承包人施工活动有关的安全事故由承包人负责处理并承担责任（包含但不限于责任及费用）。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承包人应自行为大型施工设备办理财产险并支付费用，大型设备包括大型吊装设备等。在以上大型施工设备进场前之前，承包商应将以上设备的保单提交监理工程师审查，复印件交监理工程师存档备查；否则监理工程师有权认为以上设备不具备进场条件，不得进入现场。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（5）承包人应接受发包人组织的安全、文明日常巡查和阶段性检查，对自身工作中的失职行为接受处罚。</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（6）承包人必须遵守发包人关于安全生产、文明施工的指示指令，如承包人拒不执行，发包人有权指定这部分工作由其他人完成，所发生费用在安全文明施工措施费中扣抵。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（7）由于承包人施工不当或管线保护措施工不到位致使管线损坏，由承包人承担因此造成的一切损失和经济处罚。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（8）承包人有责任维护发包人在南京市民中的形象。若由于承包人安全、文明施工问题造成发包人被他人索赔，发包人保留向承包人索赔的权利。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承包方必须按《劳动法》及国家有关规定要求用工，支付人员工资及劳动保护。施工期间，承包方应根据该工程施工的特点，采取有效保障措施，确保安全施工，因施工中造成的安全事故及人员伤亡均由承包方自行承担全部责任。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（10）因场地因素不满足材料堆放要求等，承包人对作业场地所采取的任何措施，费用已含在本合同价款内，竣工结算时不增加该部分费用。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对于特种设备类的施工设备等的安装和使用均应符合国家规定，安装单位须具备相应资质，承包人在安装和使用这类施工设备前，需向建设行政主管机关申请备案或审批，未办理相应备案或审批手续的，即使通过了发包人或监理人的审核，也不能投入使用，同时不免除承包人擅自安装而引起的全部民事和刑事责任。</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10.1.2 治安保卫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治安保卫的特别补充约定：进驻现场后，承包人应及时、严格地按安全规范和安监部门安全管理要求办理一切安全手续，承包人未按规定办理相关安全手续，应承担由此造成的一切安全后果。承担承包人施工范围的安全保卫工作，承包人认真做好施工场地的安全防护工作（包括照明、安全设施等），承包人对安全防护工作负全责（包括但不限于责任和费用）负责发包人供应的材料设备的保管。如承包人未履行上述约定及通用条款相关义务造成工程、财产和人身伤害，由承包人承担责任、赔偿损失及支付发生的费用。承包人应当制定本单位的生产安全事故应急救援预案，监</w:t>
      </w:r>
      <w:r>
        <w:rPr>
          <w:rFonts w:ascii="FangSong" w:hAnsi="FangSong" w:eastAsia="FangSong" w:cs="FangSong"/>
          <w:color w:val="000000"/>
          <w:sz w:val="21"/>
        </w:rPr>
        <w:t xml:space="preserve">理应急救援组织或者配备应急救援人员，配备必要的应急救援器材、设备，并定期组织演练。承包人应管理好现场，不得有任何外部土方倒入，如发生倒入承包人自行外运处理，否则，发包人有权暂停工程款支付，并按照 500 元每立方罚款。在施工中，承包人应保证无任何第三人主张因承包人行为所导致的任何知识产权或任何人身权利、财产权利。否则，承包人应承担由此给发包人造成的损失，包括但不限于任何索赔，诉讼、赔偿、费用、支出和项目工程的相应全部损失。承包人应加强对驻场施工人员的治安教育和管理，如承包人施工人员在施工现发生治安事故，一切</w:t>
      </w:r>
      <w:r>
        <w:rPr>
          <w:rFonts w:ascii="FangSong" w:hAnsi="FangSong" w:eastAsia="FangSong" w:cs="FangSong"/>
          <w:color w:val="000000"/>
          <w:sz w:val="21"/>
        </w:rPr>
        <w:t xml:space="preserve">责任均由承包人负责，同时发包人有权视情节轻重进行适当的经济处罚。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关于编制施工场地治安管理计划的约定：承包人必须在进场后或施工合同签署后 7 日内编写对本工程具 有针对性、指导性、实施性强的施工组织设计，综合考虑本工程所涉及的一切安全因素编写出施工安全预案，包括临时用电、安全挡护、职工安全教育和安全管理、机电设备使用管理办法、突发情况应急方案等，报送监理工程师审批后严格执行。在工程施工过程中，发生暴乱、爆炸等恐怖事件，以及群殴、械斗等群体性突发治安事件的，发包人和承包人应立即向当地政府报告。发包人和承包人应积极协助当地有关部门采取措施平息事态，防止事态扩大，尽量减少财产损</w:t>
      </w:r>
      <w:r>
        <w:rPr>
          <w:rFonts w:ascii="FangSong" w:hAnsi="FangSong" w:eastAsia="FangSong" w:cs="FangSong"/>
          <w:color w:val="000000"/>
          <w:sz w:val="21"/>
        </w:rPr>
        <w:t xml:space="preserve">失和避免人员伤亡。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10.1.3 文明施工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合同当事人对文明施工的补充要求：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（1）承包人须定期上报现场一线操作工人名单、人数、籍贯等。如有人员调整，必须及时通知发包人 ；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（2）施工人员未经允许不得进入已经交付的工程区域 ；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（3）承包人对施工范围内的安全及防火承担责任 ；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（4）施工期间必须做好场地清洁卫生，设置满足环保部门要求的进出车辆冲洗平台一处，做到净车出场，避免在场外道路上“抛、洒、滴、漏”。由此产生的责任和费用由施工单位承担 ；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（5）承包人严禁污水乱排放，将生活垃圾集中外运 ；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（6）对施工场地内的已完工程、在建工程、管沟、管网等进行保护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（7）施工期间必须挂牌上岗并统一着装 ；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（8）禁止乱堆乱放材料与机械设备 ；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（9）预制场、土场必须设置标语牌（包括安全、质量、环境、操作规程等。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（10）严格按照南京市人民政府令第 287 号《南京市扬尘污染防治管理办法》及控制扬尘十项措施执行，以及《市政府关于进一步加强建设工程文明施工管理的若干意见》执行，如有因扬尘防治不到位或其他文明施工不到位，导致项目被行政处罚或通报，发包人有权按 30000 元/次进行扣罚。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（11）施工场地围挡标准须满足要求。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（12）承包人应派专人负责 12345 工单处理，如有因承包人原因造成媒体负面报道，发包人有权按20000 元/次的标准进行处罚，在最终结算审计中一并扣除。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（13）承包人需及时清运每天施工产生的建筑垃圾、弃土、废物等，并按政府有关规定处置，相关费用由承包人自行承担，除有相关政策规定影响外，各类建筑垃圾均应于 24 小时内清运出场，如有应建筑垃圾清运不及时导致的各类人身、财产损失，均由承包人承担，发包人有权按10000 元/次的标准予以处罚，在结算时统一扣除。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（14）施工车辆用油：按照油品使用承诺书执行。当出现相关部门查处用油不规范的，处罚 5 万元一次。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10.1.4 关于安全文明施工费支付比例和支付期限的约定：工程预付款中已含安全文明措施费，剩余部分含在进度款中支付。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 进度计划</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11.1 合同进度计划</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在合同协议书签署以后的7天内，承包人应提交给监理人详细的施工总布置图和完整详细的施工进度计划，以上资料均为一式四份，以供监理人批准，该进度计划应用网络分析法和横道图法编制。网络图还应包括设备和材料的制造、采购、供应等相应的活动以及供货日期。承包人同时要求提供的施工总布置图应表明主要工地设施布置位置，如：生产办公用房、仓库设施、骨料储存场、混凝土拌和厂、临时施工道路、防洪需要的临时防护工程、供风、供电与供水系统等，同时应附有这些设施和建筑物的有关说明。</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（2）承包人应同时提供本合同范围内主要建筑物的施工方法和采用的施工机械设备的有关说明。</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（3）承包人提交的进度计划一经批准，就成为工程正式且详细的进度计划。提交该施工进度计划并经监理人批准是业主向承包人进行第一个月支付的先决条件。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11.2 合同进度计划的修订</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根据工程的实际进度，承包人应及时修改总进度计划、劳务计划表和说明，修改后的施工进度计划、劳务计划和实施计划的说明都应充分履行合同条款有关开工、竣工时间的规定。如果修改后的施工计划不能在规定的时期内完成工程或其部分工程，则在任何情况下对该计划的批准将不意味同意延长规定的工期，也不能免除承包人对工期延误的责任，也不妨碍发包人行使终止合同的权力。</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承包人认为有必要对施工进度计划中工作的日期、持续时间或施工顺序方面作任何修改，都应在证明此修改必要的情况出现后14天内提交给监理人批准。建议的修改应反映在修改施工进度计划上，并附上最新的劳务计划表和说明。</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（3）工程的施工应按最新的施工进度计划进行。除紧急情况之外，如果事先没有得到发包人的同意，不符合施工进度计划的工程任何部分的施工都将成为监理人暂停该部分施工的充分理由。</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（4）在工程实施期间，承包人应按批准的格式每月向监理人提交施工月报（一式四份），该施工月报至少应记载以下内容：</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（a）承包人设备在现场安装和施工的情况；</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（b）承包人设备和永久工程设备的到货情况以及到货计划；</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（c）承包人主要施工设备的运行与使用情况；</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（d）合同期对于水泥、砂石料、钢筋、钢材、柴油的货源地、运输方式及需求计划；</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（e）现场施工（包括设备安装）的实际完成工程量进展情况；</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（f）现场施工的形象进度；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（g）记述对施工进度产生不利影响的情况，以及为减轻这种不利状况并重新达到预期进度所采取的措施；</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（h）记载承包人拟要求进行的合同解释、工程技术措施等事项；</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（i）施工现场各类雇员的数量和以后三个月的人员数；</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（j）意外事件，如质量缺陷、人身事故及停工记录；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（k）现场的水文气象记录；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（l）工程质量统计情况汇总表。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该月进度报告至少应附有能充分显示工程施工面貌和施工进度的照片。承包人应在下月3日以前将该月进度报告提交给监理人。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  开工和竣工（完工）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12.1 开工和竣工时间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工期：日历天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计划开工日期：年月 日；计划完工日期：年月日；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  工程质量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13.2 承包人的质量管理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13.2.1承包人应在接到开工通知后的21天内，提交一份内容包括质量检查机构的组织和岗位责任及质检人员的组成、质量检查程序和实施细则等的工程质量保证措施报告，报送监理人审批。承包人应按照投标文件承诺的质量要求严格落实质量保证措施，若最终质量达不到投标文件承诺的质量要求，则由此引起的所有后果（工期延误和费用）均由承包人承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  试验和检验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14.1材料、工程设备和工程的试验和检验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14.1.6 本工程实行见证取样的试块、试件及有关材料：/。</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  变更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15.1　变更的范围和内容</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合同中子项的实际完成工程量不超过该子项清单工程总量的±15％，单价不作任何变更调整；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中子项的实际完成工程量变更超过15%，或该单项工程费超过工程总投资的1%的，增加部分的工程量的综合单价在让利的原则下，由承包人提出，经发包人确认后，作为结算的依据（总价合同部分除外），承包人应提前办理相关手续，否则视为承包人擅自变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15.4 变更的估价原则</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15.4.1新增/变更项目单价参照《2013年清单计价规范》（GB50500-2013）要求执行。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15.4.2工程量偏差较大的子项，按下式进行单价调整（r取10%，k取30%）：</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219575" cy="178117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102794" name=""/>
                        <pic:cNvPicPr>
                          <a:picLocks noChangeAspect="1"/>
                        </pic:cNvPicPr>
                        <pic:nvPr/>
                      </pic:nvPicPr>
                      <pic:blipFill>
                        <a:blip/>
                        <a:stretch/>
                      </pic:blipFill>
                      <pic:spPr bwMode="auto">
                        <a:xfrm>
                          <a:off x="0" y="0"/>
                          <a:ext cx="4219574" cy="17811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32.2pt;height:140.2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式中：C—调整后偏差项的合价； Q</w:t>
      </w:r>
      <w:r>
        <w:rPr>
          <w:rFonts w:ascii="FangSong" w:hAnsi="FangSong" w:eastAsia="FangSong" w:cs="FangSong"/>
          <w:color w:val="000000"/>
          <w:sz w:val="21"/>
          <w:vertAlign w:val="subscript"/>
        </w:rPr>
        <w:t xml:space="preserve">1</w:t>
      </w:r>
      <w:r>
        <w:rPr>
          <w:rFonts w:ascii="FangSong" w:hAnsi="FangSong" w:eastAsia="FangSong" w:cs="FangSong"/>
          <w:color w:val="000000"/>
          <w:sz w:val="21"/>
        </w:rPr>
        <w:t xml:space="preserve">—偏差项的完成量；Q</w:t>
      </w:r>
      <w:r>
        <w:rPr>
          <w:rFonts w:ascii="FangSong" w:hAnsi="FangSong" w:eastAsia="FangSong" w:cs="FangSong"/>
          <w:color w:val="000000"/>
          <w:sz w:val="21"/>
          <w:vertAlign w:val="subscript"/>
        </w:rPr>
        <w:t xml:space="preserve">0</w:t>
      </w:r>
      <w:r>
        <w:rPr>
          <w:rFonts w:ascii="FangSong" w:hAnsi="FangSong" w:eastAsia="FangSong" w:cs="FangSong"/>
          <w:color w:val="000000"/>
          <w:sz w:val="21"/>
        </w:rPr>
        <w:t xml:space="preserve">—偏差项的清单量；P—调价部分的平均单价；P</w:t>
      </w:r>
      <w:r>
        <w:rPr>
          <w:rFonts w:ascii="FangSong" w:hAnsi="FangSong" w:eastAsia="FangSong" w:cs="FangSong"/>
          <w:color w:val="000000"/>
          <w:sz w:val="21"/>
          <w:vertAlign w:val="subscript"/>
        </w:rPr>
        <w:t xml:space="preserve">0</w:t>
      </w:r>
      <w:r>
        <w:rPr>
          <w:rFonts w:ascii="FangSong" w:hAnsi="FangSong" w:eastAsia="FangSong" w:cs="FangSong"/>
          <w:color w:val="000000"/>
          <w:sz w:val="21"/>
        </w:rPr>
        <w:t xml:space="preserve">—偏差项的投标单价；P</w:t>
      </w:r>
      <w:r>
        <w:rPr>
          <w:rFonts w:ascii="FangSong" w:hAnsi="FangSong" w:eastAsia="FangSong" w:cs="FangSong"/>
          <w:color w:val="000000"/>
          <w:sz w:val="21"/>
          <w:vertAlign w:val="subscript"/>
        </w:rPr>
        <w:t xml:space="preserve">m</w:t>
      </w:r>
      <w:r>
        <w:rPr>
          <w:rFonts w:ascii="FangSong" w:hAnsi="FangSong" w:eastAsia="FangSong" w:cs="FangSong"/>
          <w:color w:val="000000"/>
          <w:sz w:val="21"/>
        </w:rPr>
        <w:t xml:space="preserve">—招标控制价下相应偏差项的综合单价（或市场指导价），当P</w:t>
      </w:r>
      <w:r>
        <w:rPr>
          <w:rFonts w:ascii="FangSong" w:hAnsi="FangSong" w:eastAsia="FangSong" w:cs="FangSong"/>
          <w:color w:val="000000"/>
          <w:sz w:val="21"/>
          <w:vertAlign w:val="subscript"/>
        </w:rPr>
        <w:t xml:space="preserve">0</w:t>
      </w:r>
      <w:r>
        <w:rPr>
          <w:rFonts w:ascii="FangSong" w:hAnsi="FangSong" w:eastAsia="FangSong" w:cs="FangSong"/>
          <w:color w:val="000000"/>
          <w:sz w:val="21"/>
        </w:rPr>
        <w:t xml:space="preserve">≤1.15P</w:t>
      </w:r>
      <w:r>
        <w:rPr>
          <w:rFonts w:ascii="FangSong" w:hAnsi="FangSong" w:eastAsia="FangSong" w:cs="FangSong"/>
          <w:color w:val="000000"/>
          <w:sz w:val="21"/>
          <w:vertAlign w:val="subscript"/>
        </w:rPr>
        <w:t xml:space="preserve">m</w:t>
      </w:r>
      <w:r>
        <w:rPr>
          <w:rFonts w:ascii="FangSong" w:hAnsi="FangSong" w:eastAsia="FangSong" w:cs="FangSong"/>
          <w:color w:val="000000"/>
          <w:sz w:val="21"/>
        </w:rPr>
        <w:t xml:space="preserve">时，取P</w:t>
      </w:r>
      <w:r>
        <w:rPr>
          <w:rFonts w:ascii="FangSong" w:hAnsi="FangSong" w:eastAsia="FangSong" w:cs="FangSong"/>
          <w:color w:val="000000"/>
          <w:sz w:val="21"/>
          <w:vertAlign w:val="subscript"/>
        </w:rPr>
        <w:t xml:space="preserve">m</w:t>
      </w:r>
      <w:r>
        <w:rPr>
          <w:rFonts w:ascii="FangSong" w:hAnsi="FangSong" w:eastAsia="FangSong" w:cs="FangSong"/>
          <w:color w:val="000000"/>
          <w:sz w:val="21"/>
        </w:rPr>
        <w:t xml:space="preserve"> = P</w:t>
      </w:r>
      <w:r>
        <w:rPr>
          <w:rFonts w:ascii="FangSong" w:hAnsi="FangSong" w:eastAsia="FangSong" w:cs="FangSong"/>
          <w:color w:val="000000"/>
          <w:sz w:val="21"/>
          <w:vertAlign w:val="subscript"/>
        </w:rPr>
        <w:t xml:space="preserve">0</w:t>
      </w:r>
      <w:r>
        <w:rPr>
          <w:rFonts w:ascii="FangSong" w:hAnsi="FangSong" w:eastAsia="FangSong" w:cs="FangSong"/>
          <w:color w:val="000000"/>
          <w:sz w:val="21"/>
        </w:rPr>
        <w:t xml:space="preserve">；r—单次调价幅度；n—调价次数；k—单次调价区间宽度。</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 价格调整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16.1 物价波动引起的价格调整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在本合同执行期间对劳务、承包人设备、设施、材料和工程的其它投入因素的涨落（变更项目同样不进行调整）不进行价格调整，不考虑由于物价波动而导致的合同价的变动。</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  计量与支付</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本项目采用 ：</w:t>
      </w:r>
      <w:r>
        <w:rPr>
          <w:rFonts w:ascii="FangSong" w:hAnsi="FangSong" w:eastAsia="FangSong" w:cs="FangSong"/>
          <w:color w:val="000000"/>
          <w:sz w:val="21"/>
          <w:u w:val="single"/>
        </w:rPr>
        <w:t xml:space="preserve"> 1、单价合同 </w:t>
      </w:r>
      <w:r>
        <w:rPr>
          <w:rFonts w:ascii="FangSong" w:hAnsi="FangSong" w:eastAsia="FangSong" w:cs="FangSong"/>
          <w:color w:val="000000"/>
          <w:sz w:val="21"/>
        </w:rPr>
        <w:t xml:space="preserve">√      2、</w:t>
      </w:r>
      <w:r>
        <w:rPr>
          <w:rFonts w:ascii="FangSong" w:hAnsi="FangSong" w:eastAsia="FangSong" w:cs="FangSong"/>
          <w:color w:val="000000"/>
          <w:sz w:val="21"/>
          <w:u w:val="single"/>
        </w:rPr>
        <w:t xml:space="preserve">总价合同 X</w:t>
      </w: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17.1单价合同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综合单价包含的风险范围：（1）建设项目的技术和管理风险；（2）市场风险；（3）磋商截止日前法律、法规、规章和政策规定的风险。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风险费用的计算方法：风险费用应包含在报价中。承包人磋商时是在仔细阅读磋商文件、设计图纸、设计规范等前提下，结合承包人针对本工程的施工方案，并结合对本工程的风险分析，做出自己的磋商报价并与发包人签订本合同。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合同最终结算价格以项目批复概算为上限、不得超过。若有超过部分由承包人放弃索要、视同让利。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17.2  预付款</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17.2.1预付款</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u w:val="single"/>
        </w:rPr>
        <w:t xml:space="preserve">无。</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17.3  进度款</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17.3.1 付款周期</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17.3.2 进度付款申请单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删除本款条文，代之以：</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应在每个付款周期末，按监理人批准的格式和专用合同条款约定的份数，向监理人提交进度付款申请单（一式肆份），并附相应的支持性证明文件（包括已完工程资料同步整理到位并经监理确认材料）。除专用合同条款另有约定外，进度付款申请单应包括下列内容：</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（1）已完成的《工程量清单》中的工程项目及其它项目的应付金额。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（2）根据合同规定承包人应有权得到的其它金额。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（3）扣减按第17.4.1项规定应由发包人扣留的保留金金额。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（4）扣减按合同规定应由承包人付给发包人的其它金额。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（5）经监理工程师批准、由甲方确认的设计变更部分价款，按审计价款支付。</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17.3.3 进度付款证书和支付时间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监理人在收到承包人进度付款申请单以及相应的支持性证明文件后的14天内完成核查，提出发包人到期应支付给承包人的金额以及相应的支持性材料，经发包人审查同意后，由监理人出具进度付款证书。监理人有权扣发承包人未能按照合同要求履行任何工作或义务的相应金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（2）发包人应在监理人收到进度付款申请单后的28天内，将进度应付款支付给承包人。因财政拨款等原因造成的进度应付款支付延期，发包人不承担责任。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（3）监理人出具进度付款证书，不应视为监理人已同意、批准或接受了承包人完成的该部分工作。</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17.3.4 工程进度付款的修正</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在对以往历次已签发的进度付款证书进行汇总和复核中发现错、漏或重复的，监理人有权予以修正，承包人也有权提出修正申请。经双方复核同意的修正，应在本次进度付款中支付或扣除。</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17.4  质量保证金</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17.4.2　缺陷责任期自19.1条规定起算时间满1年后，发包人将在30个工作日内会同承包人按照合同约定的内容核实承包人是否完成保修责任。如无异议，发包人应当在核实后将质量保证金一次性支付给承包人。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17.5  竣工（完工）结算</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17.5.1  竣工（完工）付款申请单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（1）17.5.1  竣工（完工）付款申请单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（1）在本合同移交证书颁发后且经发包人委托的审计部门审核后28天内，承包人应按监理人批准的格式提交一份完工付款申请单（一式四份）。</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17.6  最终结清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17.6 1  最终结清申请单</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（1）承包人应提交最终结清申请单一式四份。</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  竣工验收（验收）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18.1 验收工作分类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本合同法人验收包括：分部工程验收、单位工程验收、合同工程完工验收；政府验收包括：竣工验收。验收条件和程序符合《水利水电建设工程验收规程》（SL223-2008）。</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向发包人移交工程的期限：1、本合同工程竣工验收之前，承包人须按竣工验收相关规定及技术档案管理条例编制整理竣工资料（含竣工图，一式陆份），报监理审核合格后移交给发包人，竣工资料的整理、装订、移交费用由承包人承担。工程实体验收后 30 日内提供符合城建档案馆和行政质检监督部门要求的竣工图陆份（图纸承包人另行提供），竣工资料陆套。竣工验收日期为实际竣工验收并验收合格之日。无论哪项拖延，均视为承包人违约，承包人按每拖延一天 1000 元的标准向发包人支付违约金。2、中间交工工程的范围和竣工时间：按照经监理人审</w:t>
      </w:r>
      <w:r>
        <w:rPr>
          <w:rFonts w:ascii="FangSong" w:hAnsi="FangSong" w:eastAsia="FangSong" w:cs="FangSong"/>
          <w:color w:val="000000"/>
          <w:sz w:val="21"/>
        </w:rPr>
        <w:t xml:space="preserve">核后发包人同意的承包人的总体施工计划执行，办理符合建设程序的交工手续。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发包人未按本合同约定接收全部或部分工程的，违约金的计算方法为：</w:t>
      </w:r>
      <w:r>
        <w:rPr>
          <w:rFonts w:ascii="FangSong" w:hAnsi="FangSong" w:eastAsia="FangSong" w:cs="FangSong"/>
          <w:color w:val="000000"/>
          <w:sz w:val="21"/>
          <w:u w:val="single"/>
        </w:rPr>
        <w:t xml:space="preserve"> / </w:t>
      </w: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承包人未按时移交工程的，违约金的计算方法为：同工期违约条款。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18.8 施工期运行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18.8.1需要在施工期运行的单位工程或工程设备：/。</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　缺陷责任与保修责任</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19.1　缺陷责任期（工程质量保修期）的起算时间</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本工程缺陷责任期（工程质量保修期）计算如下</w:t>
      </w:r>
      <w:r>
        <w:rPr>
          <w:rFonts w:ascii="FangSong" w:hAnsi="FangSong" w:eastAsia="FangSong" w:cs="FangSong"/>
          <w:color w:val="000000"/>
          <w:sz w:val="21"/>
          <w:u w:val="single"/>
        </w:rPr>
        <w:t xml:space="preserve">：从工程通过完工验收后开始计算</w:t>
      </w:r>
      <w:r>
        <w:rPr>
          <w:rFonts w:ascii="FangSong" w:hAnsi="FangSong" w:eastAsia="FangSong" w:cs="FangSong"/>
          <w:color w:val="000000"/>
          <w:sz w:val="21"/>
        </w:rPr>
        <w:t xml:space="preserve">。</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  保险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20.1  工程保险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20.1承包人应以发包人和承包人的共同名义投保工程险，投保的工程项目包括合同范围内的主体工程等，投保内容、保险金额、保险费时率、保险期限等在签订协议书时由双方协商确定。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应充分估计主要施工设备可能发生的重大事故或因自然灾害造成施工设备的损失和损坏对工程的影响，为避免承担由此造成的损失，承包人可投保施工设备险，投保项目及其保险金额由承包人根据其配置的施工机械设备状况自行确定，其保险费用应计入施工设备的运行费内，发包人不另行支付。</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20.3 人身意外伤害险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20.3.2承包人投保的人身意外的伤害险的费用应摊入各项目的人工费内，发包人不另行单独支付。</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20.4  第三者责任险、安全生产责任保险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20.4.2  承包人应以发包人和承包人的共同名义投保国家强行规定的一切相关工程保险，费用由承包人支出，该费用含在投标报价中，不单列．并将保险凭证单据交发包人确认审核．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  对不可抗力的确认</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1、地震，6级以上，震中在工程所在地100KM范围内；</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2、瘟疫，以当地卫生防疫部门发布的公开报告为准；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3、骚乱，发生30人以上的群体阻工事件。</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  争议的解决</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24.1 争议的解决方式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合同当事人友好协商解决不成、不愿提请争议评审或不接受争议评审组意见的，约定的合同争议解决方式 ：提起诉讼。</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附加条款</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1、承包人人员方面要求:</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 承包人须按投标文件中推荐、经发包人评审同意的人选指派项目经理，否则应视为违约行为，项目经理中途易人，须按照苏水规[2010]1号文执行。项目经理每月应在工地工作不少于22天，如须短期离开工地，应委派代表代行其职，并通知发包人和监理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承包人须按投标文件中推荐、经发包人评审同意的人选指派项目总工（即技术负责人，下同）、质检员、安全员,否则应视为违约行为，项目总工、施工员、安全员中途易人，须事先征得发包人同意。项目负责人、技术负责人、</w:t>
      </w:r>
      <w:r>
        <w:rPr>
          <w:rFonts w:ascii="FangSong" w:hAnsi="FangSong" w:eastAsia="FangSong" w:cs="FangSong"/>
          <w:color w:val="000000"/>
          <w:sz w:val="21"/>
          <w:u w:val="none"/>
        </w:rPr>
        <w:t xml:space="preserve">安全员、施工员</w:t>
      </w:r>
      <w:r>
        <w:rPr>
          <w:rFonts w:ascii="FangSong" w:hAnsi="FangSong" w:eastAsia="FangSong" w:cs="FangSong"/>
          <w:color w:val="000000"/>
          <w:sz w:val="21"/>
        </w:rPr>
        <w:t xml:space="preserve">每月应在工地工作不少于22天，如须离开工地，应委派代表代行其职，并征得发包人和监理人同意。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（3）承包人的项目经理中途易人（除因不可抗力及其它发包人认可的原因外），发包人将在支付工程款中扣除合同价5%作为违约金。项目经理每月驻工地天数少于22天的，扣罚5000元/天。</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2、本工程为政府投资项目，如政府审计，最终结算价款以政府审计为准。</w:t>
      </w:r>
      <w:r>
        <w:rPr>
          <w:rFonts w:ascii="Times New Roman" w:hAnsi="Times New Roman" w:eastAsia="Times New Roman" w:cs="Times New Roman"/>
          <w:sz w:val="21"/>
        </w:rPr>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3、项目经理、技术负责人、安全员、施工员必须执行工地打卡（脸部识别）签到要求，满足每人每月22工作日要求。</w:t>
        <w:br w:type="page" w:clear="all"/>
      </w:r>
      <w:r>
        <w:rPr>
          <w:rFonts w:ascii="Times New Roman" w:hAnsi="Times New Roman" w:eastAsia="Times New Roman" w:cs="Times New Roman"/>
          <w:sz w:val="21"/>
        </w:rPr>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预付款担保函</w:t>
      </w:r>
      <w:r>
        <w:rPr>
          <w:rFonts w:ascii="Times New Roman" w:hAnsi="Times New Roman" w:eastAsia="Times New Roman" w:cs="Times New Roman"/>
          <w:sz w:val="21"/>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u w:val="single"/>
        </w:rPr>
        <w:t xml:space="preserve">南京市浦口区河道管理所</w:t>
      </w:r>
      <w:r>
        <w:rPr>
          <w:rFonts w:ascii="FangSong" w:hAnsi="FangSong" w:eastAsia="FangSong" w:cs="FangSong"/>
          <w:color w:val="000000"/>
          <w:sz w:val="21"/>
        </w:rPr>
        <w:t xml:space="preserve"> （发包人名称）：</w:t>
      </w:r>
      <w:r>
        <w:rPr>
          <w:rFonts w:ascii="Times New Roman" w:hAnsi="Times New Roman" w:eastAsia="Times New Roman" w:cs="Times New Roman"/>
          <w:sz w:val="21"/>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（承包人名称，以下称“承包人”）与</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（发包人名称，以下简称“发包人”）于</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 年</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月</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日签订的</w:t>
      </w:r>
      <w:r>
        <w:rPr>
          <w:rFonts w:ascii="FangSong" w:hAnsi="FangSong" w:eastAsia="FangSong" w:cs="FangSong"/>
          <w:color w:val="000000"/>
          <w:sz w:val="21"/>
          <w:u w:val="single"/>
        </w:rPr>
        <w:t xml:space="preserve"> 2026年江北新区（浦口区）象山湖水利风景区生态补偿项目（项目名称）施工（标段名称）</w:t>
      </w:r>
      <w:r>
        <w:rPr>
          <w:rFonts w:ascii="FangSong" w:hAnsi="FangSong" w:eastAsia="FangSong" w:cs="FangSong"/>
          <w:color w:val="000000"/>
          <w:sz w:val="21"/>
        </w:rPr>
        <w:t xml:space="preserve">合同协议书，承包人按约定的金额向发包人提交一份预付款担保，即有权得到发包人支付相等金额的预付款。我方愿意就你方提供给承包人的预付款提供担保。</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 担保金额人民币（大写）</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 元（¥</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 担保有效期自预付款支付给承包人起生效，至发包人签发的进度付款证书说明已完全扣清止。</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 在本担保有效期内，因承包人违反合同约定的义务而要求收回预付款时，我方在收到你方的书面通知后，无条件地在７天内予以支付。但本担保的担保金额，在任何时候不应超过预付款金额减去发包人按合同约定在向承包人签发的进度付款证书中已扣回的金额。</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 发包人和承包人按《通用合同条款》第15条变更合同时，我方承担本担保规定的义务不变。</w:t>
      </w:r>
      <w:r>
        <w:rPr>
          <w:rFonts w:ascii="Times New Roman" w:hAnsi="Times New Roman" w:eastAsia="Times New Roman" w:cs="Times New Roman"/>
          <w:sz w:val="21"/>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4819"/>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担 保 人：</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（盖单位章）</w:t>
      </w:r>
      <w:r>
        <w:rPr>
          <w:rFonts w:ascii="Times New Roman" w:hAnsi="Times New Roman" w:eastAsia="Times New Roman" w:cs="Times New Roman"/>
          <w:sz w:val="21"/>
        </w:rPr>
      </w:r>
      <w:r/>
    </w:p>
    <w:p>
      <w:pPr>
        <w:ind w:left="0" w:right="0" w:firstLine="4819"/>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法定代表人或委托代理人：</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（签字）</w:t>
      </w:r>
      <w:r>
        <w:rPr>
          <w:rFonts w:ascii="Times New Roman" w:hAnsi="Times New Roman" w:eastAsia="Times New Roman" w:cs="Times New Roman"/>
          <w:sz w:val="21"/>
        </w:rPr>
      </w:r>
      <w:r/>
    </w:p>
    <w:p>
      <w:pPr>
        <w:ind w:left="0" w:right="0" w:firstLine="4819"/>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地址：</w:t>
      </w:r>
      <w:r>
        <w:rPr>
          <w:rFonts w:ascii="FangSong" w:hAnsi="FangSong" w:eastAsia="FangSong" w:cs="FangSong"/>
          <w:color w:val="000000"/>
          <w:sz w:val="21"/>
          <w:u w:val="single"/>
        </w:rPr>
        <w:tab/>
        <w:tab/>
        <w:tab/>
        <w:t xml:space="preserve">    </w:t>
        <w:tab/>
        <w:tab/>
        <w:t xml:space="preserve">   </w:t>
      </w:r>
      <w:r>
        <w:rPr>
          <w:rFonts w:ascii="Times New Roman" w:hAnsi="Times New Roman" w:eastAsia="Times New Roman" w:cs="Times New Roman"/>
          <w:sz w:val="21"/>
        </w:rPr>
      </w:r>
      <w:r/>
    </w:p>
    <w:p>
      <w:pPr>
        <w:ind w:left="0" w:right="0" w:firstLine="4819"/>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邮政编码：</w:t>
      </w:r>
      <w:r>
        <w:rPr>
          <w:rFonts w:ascii="FangSong" w:hAnsi="FangSong" w:eastAsia="FangSong" w:cs="FangSong"/>
          <w:color w:val="000000"/>
          <w:sz w:val="21"/>
          <w:u w:val="single"/>
        </w:rPr>
        <w:tab/>
        <w:tab/>
        <w:tab/>
        <w:tab/>
        <w:tab/>
        <w:t xml:space="preserve">       </w:t>
      </w:r>
      <w:r>
        <w:rPr>
          <w:rFonts w:ascii="Times New Roman" w:hAnsi="Times New Roman" w:eastAsia="Times New Roman" w:cs="Times New Roman"/>
          <w:sz w:val="21"/>
        </w:rPr>
      </w:r>
      <w:r/>
    </w:p>
    <w:p>
      <w:pPr>
        <w:ind w:left="0" w:right="0" w:firstLine="4819"/>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电话：</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4819"/>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传真：</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4819"/>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4819"/>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 年</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月</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日</w:t>
      </w:r>
      <w:r>
        <w:rPr>
          <w:rFonts w:ascii="Times New Roman" w:hAnsi="Times New Roman" w:eastAsia="Times New Roman" w:cs="Times New Roman"/>
          <w:sz w:val="21"/>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注：委托代理人应附授权委托书。</w:t>
      </w:r>
      <w:r>
        <w:rPr>
          <w:rFonts w:ascii="Times New Roman" w:hAnsi="Times New Roman" w:eastAsia="Times New Roman" w:cs="Times New Roman"/>
          <w:sz w:val="21"/>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rPr>
          <w:rFonts w:ascii="Times New Roman" w:hAnsi="Times New Roman" w:eastAsia="Times New Roman" w:cs="Times New Roma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南京市水利工程建设廉政合同（一）</w:t>
      </w:r>
      <w:r>
        <w:rPr>
          <w:rFonts w:ascii="Times New Roman" w:hAnsi="Times New Roman" w:eastAsia="Times New Roman" w:cs="Times New Roman"/>
          <w:sz w:val="21"/>
        </w:rPr>
      </w:r>
      <w:r/>
    </w:p>
    <w:p>
      <w:pPr>
        <w:ind w:left="0" w:right="0" w:firstLine="360"/>
        <w:jc w:val="center"/>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甲方：：南京市浦口区河道管理所（建设单位）</w:t>
      </w:r>
      <w:r>
        <w:rPr>
          <w:rFonts w:ascii="Times New Roman" w:hAnsi="Times New Roman" w:eastAsia="Times New Roman" w:cs="Times New Roman"/>
          <w:sz w:val="21"/>
        </w:rPr>
      </w:r>
      <w:r/>
    </w:p>
    <w:p>
      <w:pPr>
        <w:ind w:left="0" w:right="0" w:firstLine="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乙方： （施工单位）</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为贯彻落实党中央、国务院《关于实行党风廉政建设责任制的规定》，进一步加强重点水利工程建设中的党风廉政建设，保证</w:t>
      </w:r>
      <w:r>
        <w:rPr>
          <w:rFonts w:ascii="FangSong" w:hAnsi="FangSong" w:eastAsia="FangSong" w:cs="FangSong"/>
          <w:color w:val="000000"/>
          <w:sz w:val="21"/>
          <w:u w:val="single"/>
        </w:rPr>
        <w:t xml:space="preserve"> 2026年江北新区（浦口区）象山湖水利风景区生态补偿项目（项目名称）施工（标段名称）</w:t>
      </w:r>
      <w:r>
        <w:rPr>
          <w:rFonts w:ascii="FangSong" w:hAnsi="FangSong" w:eastAsia="FangSong" w:cs="FangSong"/>
          <w:color w:val="000000"/>
          <w:sz w:val="21"/>
        </w:rPr>
        <w:t xml:space="preserve">工程建设优质、高效、有序地进行，南京市</w:t>
      </w:r>
      <w:r>
        <w:rPr>
          <w:rFonts w:ascii="FangSong" w:hAnsi="FangSong" w:eastAsia="FangSong" w:cs="FangSong"/>
          <w:color w:val="000000"/>
          <w:sz w:val="21"/>
          <w:u w:val="single"/>
        </w:rPr>
        <w:t xml:space="preserve">南京市浦口区河道管理所</w:t>
      </w:r>
      <w:r>
        <w:rPr>
          <w:rFonts w:ascii="FangSong" w:hAnsi="FangSong" w:eastAsia="FangSong" w:cs="FangSong"/>
          <w:color w:val="000000"/>
          <w:sz w:val="21"/>
        </w:rPr>
        <w:t xml:space="preserve">建设处（以下简称“甲方”），与承担</w:t>
      </w:r>
      <w:r>
        <w:rPr>
          <w:rFonts w:ascii="FangSong" w:hAnsi="FangSong" w:eastAsia="FangSong" w:cs="FangSong"/>
          <w:color w:val="000000"/>
          <w:sz w:val="21"/>
          <w:u w:val="single"/>
        </w:rPr>
        <w:t xml:space="preserve"> 2026年江北新区（浦口区）象山湖水利风景区生态补偿项目（项目名称）施工（标段名称）</w:t>
      </w:r>
      <w:r>
        <w:rPr>
          <w:rFonts w:ascii="FangSong" w:hAnsi="FangSong" w:eastAsia="FangSong" w:cs="FangSong"/>
          <w:color w:val="000000"/>
          <w:sz w:val="21"/>
        </w:rPr>
        <w:t xml:space="preserve">工程合同段的施工单位</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（以下简称“乙方”），经双方协商一致，自愿签订以下廉政合同。</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第一条：甲乙双方的权利和义务</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（一）严格遵守党和国家有关法律法规及党风廉政建设各项规定。</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（二）严格执行</w:t>
      </w:r>
      <w:r>
        <w:rPr>
          <w:rFonts w:ascii="FangSong" w:hAnsi="FangSong" w:eastAsia="FangSong" w:cs="FangSong"/>
          <w:color w:val="000000"/>
          <w:sz w:val="21"/>
          <w:u w:val="single"/>
        </w:rPr>
        <w:t xml:space="preserve"> 2026年江北新区（浦口区）象山湖水利风景区生态补偿项目（项目名称）施工（标段名称）</w:t>
      </w:r>
      <w:r>
        <w:rPr>
          <w:rFonts w:ascii="FangSong" w:hAnsi="FangSong" w:eastAsia="FangSong" w:cs="FangSong"/>
          <w:color w:val="000000"/>
          <w:sz w:val="21"/>
        </w:rPr>
        <w:t xml:space="preserve">（施工合同）各项规定，自觉按合同办事。</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（三）双方的业务活动坚持公开、公正、公平、诚信的原则（除法律认定的商业秘密和合同文件另有规定之外），严禁损害国家和集体利益，违反工程建设管理规章制度。</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（四）建立健全党风廉政建设各项制度，开展党风廉政建设宣传教育，设立廉政告示牌，公布举报电话，加强对本方工作人员的监督检查。</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（五）发现对方在业务活动中有违反廉政规定和本合同约定的行为时，有及时提醒和督促对方纠正的权利和义务，并严肃查处本方工作人员的违纪行为。</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（六）发现对方在业务活动中有违反廉政规定和本合同约定的行为时，有权向对方主管部门或有关机关检举揭发。</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第二条：甲方在廉政建设方面的义务</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（一）甲方工作人员不得指定需购物资设备的销售单位或部门。不得利用职权之便安排配偶、子女及有利害关系的人从事与本工程有关的材料设备供应、工程分包、劳务等经济活动。</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（二）甲方及其工作人员不准索要或接受乙方的礼金，有价证券、支付凭证、贵重物品（价值高于人民币200元）等财物。</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（三）甲方及其工作人员不准在乙方报销应由甲方或个人支付的费用。</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（四）甲方工作人员不准参加乙方提供的宴请、娱乐活动，如工作需要参加的工作餐，标准不得高于每人50元；不准要求乙方提供交通工具、通讯工具、办公用品等。</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（五）甲方及其工作人员不准要求或者接受乙方为其住房装修、婚丧嫁娶、配偶、子女、亲友出国（境）旅游提供方便。</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（六）甲方及其工作人员不准要求乙方为其配偶、子女及有利害关系的人员安排工作或劳务。</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（七）甲方应根据工程建设进度，及时足额支付工程款，不得超进度拨付工程款；不得无正当理由拖延支付工程款，损害乙方利益，影响工程质量、进度和安全。</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（八）工程设计变更必须认真履行有关程序和审批手续，不得利用变更设计损害国家或单位利益。</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第三条：乙方在廉政建设方面义务</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（一）乙方不准以任何形式向甲方及其工作人员馈赠礼金、礼品、有价证券、支付凭证、贵重物品等财物。</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（二）乙方不准以任何名义为甲方及其工作人员报销应由甲方或个人支付的费用。</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（三）乙方不准以任何理由邀请甲方工作人员参加对承建的施工项目有影响的宴请、及娱乐活动；不准为其提供通讯工具、交通工具、办公用品等。</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（四）乙方不准为甲方工作人员住房装修、婚丧嫁娶、配偶、子女、亲友出国（境）旅游提供方便；不准为甲方工作人员的配偶、子女及有利害关系的人员安排工作或劳务。</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（五）乙方不准违反规定将承建的施工项目分包或非法转包。</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（六）乙方及其工作人员不准与该工程的第三方单位串通，违反工程计量、资金支付、质量验评、工程审计、竣工验收等有关规定和程序，影响工程质量、进度、安全和投资。</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（七）乙方应根据工程进度和工程款支付进度，及时足额兑付农民工工资等劳务人员报酬，不拖欠农民工工资，并建立有效的农民工工资支付制度，加强对农民工工资支付工作的管理。</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（八）工程设计变更必须认真履行有关程序和审批手续，不得利用变更设计损害国家或单位利益。</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第四条：违约责任</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（一）甲方若违反本《廉政合同》有关规定行为的，涉嫌违规违纪人员由甲方主管部门依据有关规定查处，涉嫌违法人员移交司法部门处理。</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（二）乙方若违法乱纪反本《廉政合同》有关规定的行为，按照南京市工程建设管理有关规定处理。</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第五条：督查单位</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双方约定：自愿接受南京市水利局纪检组和区（县）纪委对合同执行情况的监督检查，接受提出本合同规定范围内的裁定意见。</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第六条：检查方式</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合同的履约情况由督查单位主持，甲乙双方共同派员参加，检查方式为座谈、问卷调查、查看资料、第三方审计（检测）或由各方约定的其他方式等。检查时间、次数、方式、检查结论和执行违约责任等由双方协商确定，如无法达成一致的，由督查单位依据事实裁定。</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第七条：其他条款</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（一）</w:t>
      </w:r>
      <w:r>
        <w:rPr>
          <w:rFonts w:ascii="FangSong" w:hAnsi="FangSong" w:eastAsia="FangSong" w:cs="FangSong"/>
          <w:color w:val="000000"/>
          <w:sz w:val="21"/>
          <w:u w:val="single"/>
        </w:rPr>
        <w:t xml:space="preserve">                                </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（二）</w:t>
      </w:r>
      <w:r>
        <w:rPr>
          <w:rFonts w:ascii="FangSong" w:hAnsi="FangSong" w:eastAsia="FangSong" w:cs="FangSong"/>
          <w:color w:val="000000"/>
          <w:sz w:val="21"/>
          <w:u w:val="single"/>
        </w:rPr>
        <w:t xml:space="preserve">                                </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（三）</w:t>
      </w:r>
      <w:r>
        <w:rPr>
          <w:rFonts w:ascii="FangSong" w:hAnsi="FangSong" w:eastAsia="FangSong" w:cs="FangSong"/>
          <w:color w:val="000000"/>
          <w:sz w:val="21"/>
          <w:u w:val="single"/>
        </w:rPr>
        <w:t xml:space="preserve">                                </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第八条：本合同有效期为工程开工之日起至该合同段工程项目竣工验收后止。</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第九条：本合同一式三份，甲、乙双方各执一份，送交督查部门一份。</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甲方单位：（盖章）</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法定代表人（或受权代理人）签字：</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单位地址：</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联系电话：</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    期：    年    月    日</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乙方单位：（盖章）</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法定代表人（或受权代理人）签字：</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单位地址：</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联系电话：</w:t>
      </w:r>
      <w:r>
        <w:rPr>
          <w:rFonts w:ascii="Times New Roman" w:hAnsi="Times New Roman" w:eastAsia="Times New Roman" w:cs="Times New Roman"/>
          <w:sz w:val="21"/>
        </w:rPr>
      </w:r>
      <w:r/>
    </w:p>
    <w:p>
      <w:pPr>
        <w:ind w:left="0" w:right="0" w:firstLine="720"/>
        <w:spacing w:before="150" w:after="15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    期：    年   月   日</w:t>
      </w:r>
      <w:r>
        <w:rPr>
          <w:rFonts w:ascii="Times New Roman" w:hAnsi="Times New Roman" w:eastAsia="Times New Roman" w:cs="Times New Roma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安全生产合同</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甲方：南京市浦口区河道管理所（ 以下简称“甲方”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乙方：（ 以下简称“乙方”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为在 2026年江北新区（浦口区）象山湖水利风景区生态补偿项目（项目名称）施工（标段名称）施工合同的实施过程中创造安全、高效的施工环境，切实搞好本项目的安全管理工作，特此签订安全生产合同。具体如下：</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一、甲方职责</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1．严格遵守国家有关安全生产的法律法规，认真执行工程承包合同中的有关安全要求。</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2．按照“安全第一、预防为主”和坚持“管生产必需管安全”的原则进行安全生产管理，做到生产与安全工作同时计划、布置、检查、总结和评比。</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3．定期召开安全生产协调会，及时传达中央及地方有关安全生产的精神。</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4．组织对乙方施工现场安全生产检查，建立安全生产责任制网络、汇总重要危险源、监督乙方及时处理发现的各种安全隐患。</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二、乙方职责</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1．严格遵守国家有关安全生产的法律法规、有关安全生产的规定，认真执行工程承包合同中的有关安全要求，接受甲方和监理工程师对安全生产工作的指导。</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建立健全安全生产责任制网络。从派往项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1人），专职负责所有员工的安全和治安保卫工作及预防事故的</w:t>
      </w:r>
      <w:r>
        <w:rPr>
          <w:rFonts w:ascii="FangSong" w:hAnsi="FangSong" w:eastAsia="FangSong" w:cs="FangSong"/>
          <w:color w:val="000000"/>
          <w:sz w:val="21"/>
        </w:rPr>
        <w:t xml:space="preserve">发生。安全机构人员，有权按有关规定发布指令，并采取保护性措施防止事故发生。</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4．乙方在任何时侯都应采取各种合理的预防措施，防止其人员发生任何违法、违禁、暴力、违规或妨碍治安的行为。</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6．加强施工中交通运输安全管理，各种运输机械等需划定运输路线行驶。</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7．对于易燃易爆的材料除应专门有效封闭、妥善保管之外，还应配备有足够的消防设施，所有施工人员都应熟悉消防设备的性能和使用方法。</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8．操作人员上岗，必须按规定穿戴防护用品。施工负责人和安全检查员应随时检查劳动防护用品的穿戴情况，不按规定穿戴防护用品的人员不得上岗。</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9．所有施工机具、设备和劳动保护用品应具备有效的安检合格证明，并经安全员签字同意后方可使用，施工期间应定期检查，保证其处于完好状态；不合格的机具、设备和劳动保护用品严禁使用。</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10．施工现场必须具有相关的安全标志牌。</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11．建立主要危险源备案制度，要明确潜在隐患、防范措施和落实责任人。</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乙方在项目承接过程中缴纳水务工程建设安责险。水务工程建设安责险的保险责任应包括投保项目因生产安全事故造成从业人员人身伤亡赔偿，第三者人身伤亡和财产损失赔偿，事故抢险救援、医疗救护、事故鉴定、法律诉讼等费用赔偿。投保单位的保障范围应当覆盖投保项目的全体从业人员（包含劳务分包单位从业人员、劳务派遣人员、灵活用工等）。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三、违约责任</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如因甲方或乙方违约造成安全事故，将报请有关部门依法追究责任。</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本合同一式二份，由双方法定代表人或其授权的代理人签署和加盖公章后生效，全部工程竣工验收后失效。</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甲方：乙方：</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法定代表人（或授权代理人）：法定代表人（或授权代理人）：</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地址：地址：</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电话：电话：</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日期：日期：</w:t>
      </w:r>
      <w:r>
        <w:rPr>
          <w:rFonts w:ascii="Times New Roman" w:hAnsi="Times New Roman" w:eastAsia="Times New Roman" w:cs="Times New Roman"/>
          <w:sz w:val="21"/>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ind w:left="0" w:right="0" w:firstLine="357"/>
        <w:jc w:val="center"/>
        <w:spacing w:before="48" w:after="48"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不拖欠农民工工资承诺函</w:t>
      </w:r>
      <w:r>
        <w:rPr>
          <w:rFonts w:ascii="Times New Roman" w:hAnsi="Times New Roman" w:eastAsia="Times New Roman" w:cs="Times New Roman"/>
          <w:sz w:val="21"/>
        </w:rPr>
      </w:r>
      <w:r/>
    </w:p>
    <w:p>
      <w:pPr>
        <w:ind w:left="44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u w:val="none"/>
        </w:rPr>
        <w:t xml:space="preserve">致：</w:t>
      </w:r>
      <w:r>
        <w:rPr>
          <w:rFonts w:ascii="FangSong" w:hAnsi="FangSong" w:eastAsia="FangSong" w:cs="FangSong"/>
          <w:b/>
          <w:color w:val="000000"/>
          <w:sz w:val="21"/>
          <w:u w:val="single"/>
        </w:rPr>
        <w:t xml:space="preserve">南京市浦口区河道管理所</w:t>
      </w:r>
      <w:r>
        <w:rPr>
          <w:rFonts w:ascii="Times New Roman" w:hAnsi="Times New Roman" w:eastAsia="Times New Roman" w:cs="Times New Roman"/>
          <w:sz w:val="21"/>
        </w:rPr>
      </w:r>
      <w:r/>
    </w:p>
    <w:p>
      <w:pPr>
        <w:ind w:left="440" w:right="0" w:firstLine="440"/>
        <w:spacing w:before="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鉴于</w:t>
      </w:r>
      <w:r>
        <w:rPr>
          <w:rFonts w:ascii="FangSong" w:hAnsi="FangSong" w:eastAsia="FangSong" w:cs="FangSong"/>
          <w:b/>
          <w:color w:val="000000"/>
          <w:sz w:val="21"/>
          <w:u w:val="single"/>
        </w:rPr>
        <w:t xml:space="preserve">南京市浦口区河道管理所</w:t>
      </w:r>
      <w:r>
        <w:rPr>
          <w:rFonts w:ascii="FangSong" w:hAnsi="FangSong" w:eastAsia="FangSong" w:cs="FangSong"/>
          <w:color w:val="000000"/>
          <w:sz w:val="21"/>
        </w:rPr>
        <w:t xml:space="preserve">（发包人名称，以下简称“发包人”）接受</w:t>
      </w:r>
      <w:r>
        <w:rPr>
          <w:rFonts w:ascii="FangSong" w:hAnsi="FangSong" w:eastAsia="FangSong" w:cs="FangSong"/>
          <w:b/>
          <w:color w:val="000000"/>
          <w:sz w:val="21"/>
          <w:u w:val="single"/>
        </w:rPr>
        <w:t xml:space="preserve"> </w:t>
      </w:r>
      <w:r>
        <w:rPr>
          <w:rFonts w:ascii="FangSong" w:hAnsi="FangSong" w:eastAsia="FangSong" w:cs="FangSong"/>
          <w:color w:val="000000"/>
          <w:sz w:val="21"/>
        </w:rPr>
        <w:t xml:space="preserve">（承包人名称，以下简称“承包人”）于     年  月   日递交的</w:t>
      </w:r>
      <w:r>
        <w:rPr>
          <w:rFonts w:ascii="FangSong" w:hAnsi="FangSong" w:eastAsia="FangSong" w:cs="FangSong"/>
          <w:b/>
          <w:color w:val="000000"/>
          <w:sz w:val="21"/>
          <w:u w:val="single"/>
        </w:rPr>
        <w:t xml:space="preserve"> 2026年江北新区（浦口区）象山湖水利风景区生态补偿项目（项目名称）施工（标段名称）</w:t>
      </w:r>
      <w:r>
        <w:rPr>
          <w:rFonts w:ascii="FangSong" w:hAnsi="FangSong" w:eastAsia="FangSong" w:cs="FangSong"/>
          <w:color w:val="000000"/>
          <w:sz w:val="21"/>
        </w:rPr>
        <w:t xml:space="preserve">投标文件，我方已中标。我方承诺：我方将保障农民工的权益，保证不拖欠农民工工资。</w:t>
      </w:r>
      <w:r>
        <w:rPr>
          <w:rFonts w:ascii="Times New Roman" w:hAnsi="Times New Roman" w:eastAsia="Times New Roman" w:cs="Times New Roman"/>
          <w:sz w:val="21"/>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429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承诺单位：（盖单位章）</w:t>
      </w:r>
      <w:r>
        <w:rPr>
          <w:rFonts w:ascii="Times New Roman" w:hAnsi="Times New Roman" w:eastAsia="Times New Roman" w:cs="Times New Roman"/>
          <w:sz w:val="21"/>
        </w:rPr>
      </w:r>
      <w:r/>
    </w:p>
    <w:p>
      <w:pPr>
        <w:ind w:left="0" w:right="0" w:firstLine="429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法定代表人（或受权代理人）签字：</w:t>
      </w:r>
      <w:r>
        <w:rPr>
          <w:rFonts w:ascii="Times New Roman" w:hAnsi="Times New Roman" w:eastAsia="Times New Roman" w:cs="Times New Roman"/>
          <w:sz w:val="21"/>
        </w:rPr>
      </w:r>
      <w:r/>
    </w:p>
    <w:p>
      <w:pPr>
        <w:ind w:left="0" w:right="0" w:firstLine="429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单位地址：</w:t>
      </w:r>
      <w:r>
        <w:rPr>
          <w:rFonts w:ascii="Times New Roman" w:hAnsi="Times New Roman" w:eastAsia="Times New Roman" w:cs="Times New Roman"/>
          <w:sz w:val="21"/>
        </w:rPr>
      </w:r>
      <w:r/>
    </w:p>
    <w:p>
      <w:pPr>
        <w:ind w:left="0" w:right="0" w:firstLine="429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联系电话：</w:t>
      </w:r>
      <w:r>
        <w:rPr>
          <w:rFonts w:ascii="Times New Roman" w:hAnsi="Times New Roman" w:eastAsia="Times New Roman" w:cs="Times New Roman"/>
          <w:sz w:val="21"/>
        </w:rPr>
      </w:r>
      <w:r/>
    </w:p>
    <w:p>
      <w:pPr>
        <w:ind w:left="0" w:right="0" w:firstLine="429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日期：年月日</w:t>
      </w:r>
      <w:r>
        <w:rPr>
          <w:rFonts w:ascii="Times New Roman" w:hAnsi="Times New Roman" w:eastAsia="Times New Roman" w:cs="Times New Roman"/>
          <w:sz w:val="21"/>
        </w:rPr>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资金安全合同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甲方：南京市浦口区河道管理所</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乙方： </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为贯彻落实财政部、水利部《水利基本建设资金管理办法》、国家四部委《关于加强公益性水利工程建设管理的若干意见》、国调办有关建设资金管理办法，确保实现江苏水利工程建设“三个安全”目标，</w:t>
      </w:r>
      <w:r>
        <w:rPr>
          <w:rFonts w:ascii="FangSong" w:hAnsi="FangSong" w:eastAsia="FangSong" w:cs="FangSong"/>
          <w:color w:val="000000"/>
          <w:sz w:val="21"/>
          <w:u w:val="single"/>
        </w:rPr>
        <w:t xml:space="preserve">南京市浦口区河道管理所</w:t>
      </w:r>
      <w:r>
        <w:rPr>
          <w:rFonts w:ascii="FangSong" w:hAnsi="FangSong" w:eastAsia="FangSong" w:cs="FangSong"/>
          <w:color w:val="000000"/>
          <w:sz w:val="21"/>
        </w:rPr>
        <w:t xml:space="preserve">（以下简称“甲方”），与</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（以下简称“乙方”）协商一致，自愿签订以下资金安全合同。</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第一条：甲方的权利和义务</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（一）严格执行财政部、水利部《水利基本建设资金管理办法》中规定的水利基本建设资金管理原则，即分级管理、分级负责，专款专用，效益原则和江苏水利工程项目财务管理办法 （试行）等办法。</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（二）严格执行合同各项规定，自觉按合同办事，按照合同条款规定的时间和方式，及时支付预付款、工程进度款和保留金等。</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（三）对乙方申报的经济合同结算审核坚持公开、公正、公平、诚信的原则，严禁损害国家和集体利益，违反工程建设管理规章制度。</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（四）甲方不为乙方指定分包或指定原材料供应商。</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（五）严格执行国家四部委《关于加强公益性水利工程建设管理的若干意见》规定，项目法人“负责对工程质量、进度、资金等进行管理、检查和监督”，加强对材料或设备供货厂商合同专项资金安全的监督。</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（六）发现乙方在业务活动中有违反资金安全的行为，及时提醒和督促乙方纠正，必要时停止资金支付，并向双方的主管单位或行业管理部门及监督部门通报。</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第二条：乙方的权利和义务</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（一）乙方从甲方取得的资金必须用于承接的</w:t>
      </w:r>
      <w:r>
        <w:rPr>
          <w:rFonts w:ascii="FangSong" w:hAnsi="FangSong" w:eastAsia="FangSong" w:cs="FangSong"/>
          <w:color w:val="000000"/>
          <w:sz w:val="21"/>
          <w:u w:val="single"/>
        </w:rPr>
        <w:t xml:space="preserve"> 2026年江北新区（浦口区）象山湖水利风景区生态补偿项目（项目名称）施工（标段名称）</w:t>
      </w:r>
      <w:r>
        <w:rPr>
          <w:rFonts w:ascii="FangSong" w:hAnsi="FangSong" w:eastAsia="FangSong" w:cs="FangSong"/>
          <w:color w:val="000000"/>
          <w:sz w:val="21"/>
        </w:rPr>
        <w:t xml:space="preserve">工程，专款专用，专户存储，单独建帐。</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（二）乙方从甲方取得的银行汇票、本票、支票不得转让给其他单位。</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（三）乙方保证不外借、挪用、转移专项资金；不通过权益转让、抵押、质押、担保等任何其他方式使用专项资金，确保资金安全。</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（四）乙方专项资金支出的各项费用必须真实、合理并依据充分。费用支出要严格按内部相互牵制的审批流程操作，报销凭证要合法合理。严禁使用虚假凭证、发票，严禁报假帐。</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（五）专项资金支出结算原则用银行转账，不得以大额现金支付。</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六）乙方施工过程中如使用农民工的，要保证不拖欠农民工工资。如甲方收到对乙方拖欠农民工工资的举报，甲方有权从工程款中暂扣部分做为农民工工资保证金，待弄清原因，分清责任，乙方支付完农民工工资后返还。有条件的要使用银行卡支付农民工工资。</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（七）乙方不得违法转包和违规分包工程项目，否则甲方有权停止支付。</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（八）乙方资金收支使用情况接受甲方及甲方主管部门和监督部门的监督，乙方要主动积极配合。</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第三条：违约责任</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（一）甲方若违反本《资金安全合同》有关规定的，对违纪人员，由甲方主管部门依据有关规定查处，给乙方造成的损失的，按有关规定予以赔偿。</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（二）乙方若违反本《资金安全合同》有关规定的，对违纪人员，由乙方主管部门或行业管理部门依据有关规定查处，给甲方造成的损失的，按有关规定予以赔偿。</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（三）甲、乙双方都应履行保密责任，不得将业务支出具体情况透露给本合同双方以外的其他单位或个人，否则受害方将依法追究相关责任。</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第四条：本合同有效期为工程合同签字之日起至该合同段工程项目竣工验收后止。</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第五条：本合同一式肆份，甲、乙方各执贰份。</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甲方单位：（盖章）乙方单位：（盖章）</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法定代表人（或受权代理人）签字：法定代表人（或受权代理人）签字：</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单位地址：单位地址：</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联系电话：联系电话：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日期：年月日日期：年月日</w:t>
      </w:r>
      <w:r>
        <w:rPr>
          <w:sz w:val="24"/>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 </w:t>
      </w:r>
      <w:r>
        <w:rPr>
          <w:sz w:val="44"/>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 </w:t>
      </w:r>
      <w:r>
        <w:rPr>
          <w:sz w:val="44"/>
        </w:rPr>
      </w:r>
      <w:r/>
    </w:p>
    <w:p>
      <w:pPr>
        <w:ind w:left="0" w:right="0" w:firstLine="0"/>
        <w:jc w:val="center"/>
        <w:spacing w:before="0" w:after="0" w:line="85" w:lineRule="atLeast"/>
        <w:tabs>
          <w:tab w:val="left" w:pos="9746" w:leader="none"/>
        </w:tabs>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ind w:left="0" w:right="0" w:firstLine="0"/>
        <w:jc w:val="center"/>
        <w:spacing w:before="0" w:after="0" w:line="85" w:lineRule="atLeast"/>
        <w:tabs>
          <w:tab w:val="left" w:pos="974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第六章 响应文件格式及附件</w:t>
      </w:r>
      <w:r>
        <w:rPr>
          <w:rFonts w:ascii="Times New Roman" w:hAnsi="Times New Roman" w:eastAsia="Times New Roman" w:cs="Times New Roman"/>
          <w:sz w:val="21"/>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rPr>
          <w:rFonts w:ascii="Times New Roman" w:hAnsi="Times New Roman" w:eastAsia="Times New Roman" w:cs="Times New Roma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rPr>
          <w:rFonts w:ascii="Times New Roman" w:hAnsi="Times New Roman" w:eastAsia="Times New Roman" w:cs="Times New Roma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Times New Roman" w:hAnsi="Times New Roman" w:eastAsia="Times New Roman" w:cs="Times New Roma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Times New Roman" w:hAnsi="Times New Roman" w:eastAsia="Times New Roman" w:cs="Times New Roma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竞争性磋商响应文件</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Times New Roman" w:hAnsi="Times New Roman" w:eastAsia="Times New Roman" w:cs="Times New Roma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供应商：（加盖电子公章）</w:t>
      </w:r>
      <w:r>
        <w:rPr>
          <w:rFonts w:ascii="Times New Roman" w:hAnsi="Times New Roman" w:eastAsia="Times New Roman" w:cs="Times New Roma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 月 日</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w:t>
      </w:r>
      <w:r>
        <w:rPr>
          <w:rFonts w:ascii="FangSong" w:hAnsi="FangSong" w:eastAsia="FangSong" w:cs="FangSong"/>
          <w:b/>
          <w:color w:val="000000"/>
          <w:sz w:val="21"/>
        </w:rPr>
        <w:t xml:space="preserve">一、竞争性磋商申请及声明</w:t>
      </w:r>
      <w:r>
        <w:rPr>
          <w:rFonts w:ascii="Times New Roman" w:hAnsi="Times New Roman" w:eastAsia="Times New Roman" w:cs="Times New Roman"/>
          <w:sz w:val="21"/>
        </w:rPr>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竞争性磋商申请及声明</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u w:val="none"/>
        </w:rPr>
        <w:t xml:space="preserve">致：</w:t>
      </w:r>
      <w:r>
        <w:rPr>
          <w:rFonts w:ascii="FangSong" w:hAnsi="FangSong" w:eastAsia="FangSong" w:cs="FangSong"/>
          <w:b/>
          <w:color w:val="000000"/>
          <w:sz w:val="21"/>
          <w:u w:val="single"/>
        </w:rPr>
        <w:t xml:space="preserve">                 </w:t>
      </w: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根据贵方</w:t>
      </w:r>
      <w:r>
        <w:rPr>
          <w:rFonts w:ascii="FangSong" w:hAnsi="FangSong" w:eastAsia="FangSong" w:cs="FangSong"/>
          <w:color w:val="000000"/>
          <w:sz w:val="21"/>
          <w:u w:val="single"/>
        </w:rPr>
        <w:t xml:space="preserve">（项目名称）（项目编号）</w:t>
      </w:r>
      <w:r>
        <w:rPr>
          <w:rFonts w:ascii="FangSong" w:hAnsi="FangSong" w:eastAsia="FangSong" w:cs="FangSong"/>
          <w:color w:val="000000"/>
          <w:sz w:val="21"/>
        </w:rPr>
        <w:t xml:space="preserve">磋商邀请，正式授权下述签字人</w:t>
      </w:r>
      <w:r>
        <w:rPr>
          <w:rFonts w:ascii="FangSong" w:hAnsi="FangSong" w:eastAsia="FangSong" w:cs="FangSong"/>
          <w:color w:val="000000"/>
          <w:sz w:val="21"/>
          <w:u w:val="single"/>
        </w:rPr>
        <w:t xml:space="preserve"> （姓名和职务）</w:t>
      </w:r>
      <w:r>
        <w:rPr>
          <w:rFonts w:ascii="FangSong" w:hAnsi="FangSong" w:eastAsia="FangSong" w:cs="FangSong"/>
          <w:color w:val="000000"/>
          <w:sz w:val="21"/>
        </w:rPr>
        <w:t xml:space="preserve">代表</w:t>
      </w:r>
      <w:r>
        <w:rPr>
          <w:rFonts w:ascii="FangSong" w:hAnsi="FangSong" w:eastAsia="FangSong" w:cs="FangSong"/>
          <w:color w:val="000000"/>
          <w:sz w:val="21"/>
          <w:u w:val="single"/>
        </w:rPr>
        <w:t xml:space="preserve">（供应商名称）</w:t>
      </w:r>
      <w:r>
        <w:rPr>
          <w:rFonts w:ascii="FangSong" w:hAnsi="FangSong" w:eastAsia="FangSong" w:cs="FangSong"/>
          <w:color w:val="000000"/>
          <w:sz w:val="21"/>
        </w:rPr>
        <w:t xml:space="preserve">，提交响应性文件并参加磋商。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据此函，签字人兹宣布同意如下：</w:t>
      </w:r>
      <w:r>
        <w:rPr>
          <w:rFonts w:ascii="Times New Roman" w:hAnsi="Times New Roman" w:eastAsia="Times New Roman" w:cs="Times New Roman"/>
          <w:sz w:val="21"/>
        </w:rPr>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1.我们的资格条件完全符合政府采购法和本次采购要求，我们同意并向贵方提供了与本次采购活动有关的所有证据和资料。</w:t>
      </w:r>
      <w:r>
        <w:rPr>
          <w:sz w:val="24"/>
        </w:rPr>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2.按竞争性磋商要求，我们的投标报价详见《磋商报价表》。</w:t>
      </w:r>
      <w:r>
        <w:rPr>
          <w:sz w:val="24"/>
        </w:rPr>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3.我方承诺本项目的工期为</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天,工程质量符合</w:t>
      </w:r>
      <w:r>
        <w:rPr>
          <w:rFonts w:ascii="FangSong" w:hAnsi="FangSong" w:eastAsia="FangSong" w:cs="FangSong"/>
          <w:color w:val="000000"/>
          <w:sz w:val="21"/>
          <w:u w:val="single"/>
        </w:rPr>
        <w:t xml:space="preserve">  国家质量验收标准</w:t>
      </w:r>
      <w:r>
        <w:rPr>
          <w:rFonts w:ascii="FangSong" w:hAnsi="FangSong" w:eastAsia="FangSong" w:cs="FangSong"/>
          <w:color w:val="000000"/>
          <w:sz w:val="21"/>
        </w:rPr>
        <w:t xml:space="preserve">。</w:t>
      </w:r>
      <w:r>
        <w:rPr>
          <w:sz w:val="24"/>
        </w:rPr>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4.如果我方成交，将派出</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作为项目负责人。</w:t>
      </w:r>
      <w:r>
        <w:rPr>
          <w:sz w:val="24"/>
        </w:rPr>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5.我们已详细阅读全部磋商文件及其有效补充文件，我们放弃对磋商文件任何误解的权利，提交响应文件后，</w:t>
      </w:r>
      <w:r>
        <w:rPr>
          <w:rFonts w:ascii="FangSong" w:hAnsi="FangSong" w:eastAsia="FangSong" w:cs="FangSong"/>
          <w:b/>
          <w:color w:val="000000"/>
          <w:sz w:val="21"/>
        </w:rPr>
        <w:t xml:space="preserve">不对磋商文件本身提出质疑</w:t>
      </w:r>
      <w:r>
        <w:rPr>
          <w:rFonts w:ascii="FangSong" w:hAnsi="FangSong" w:eastAsia="FangSong" w:cs="FangSong"/>
          <w:color w:val="000000"/>
          <w:sz w:val="21"/>
        </w:rPr>
        <w:t xml:space="preserve">。</w:t>
      </w:r>
      <w:r>
        <w:rPr>
          <w:rFonts w:ascii="Times New Roman" w:hAnsi="Times New Roman" w:eastAsia="Times New Roman" w:cs="Times New Roman"/>
          <w:sz w:val="21"/>
        </w:rPr>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6.我们同意从规定的开标日期起遵循本响应文件，并在规定的投标有效期期满之前均具有约束力。</w:t>
      </w:r>
      <w:r>
        <w:rPr>
          <w:rFonts w:ascii="Times New Roman" w:hAnsi="Times New Roman" w:eastAsia="Times New Roman" w:cs="Times New Roman"/>
          <w:sz w:val="21"/>
        </w:rPr>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7.一旦我方成交，我方将根据磋商文件的规定严格履行合同，并保证于承诺的时间完成货物的启动/集成、调试等服务，交付采购人验收、使用。</w:t>
      </w:r>
      <w:r>
        <w:rPr>
          <w:rFonts w:ascii="Times New Roman" w:hAnsi="Times New Roman" w:eastAsia="Times New Roman" w:cs="Times New Roman"/>
          <w:sz w:val="21"/>
        </w:rPr>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Times New Roman" w:hAnsi="Times New Roman" w:eastAsia="Times New Roman" w:cs="Times New Roman"/>
          <w:sz w:val="21"/>
        </w:rPr>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9.与本投标有关的正式联系方式为：</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地址：</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电话：</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传真：</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开户银行：</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账号：</w:t>
      </w:r>
      <w:r>
        <w:rPr>
          <w:rFonts w:ascii="Times New Roman" w:hAnsi="Times New Roman" w:eastAsia="Times New Roman" w:cs="Times New Roman"/>
          <w:sz w:val="21"/>
        </w:rPr>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供应商授权代表姓名：（签字或盖章）</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供应商名称（加盖电子公章）：</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日期：年月日</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★二、法定代表人授权书格式</w:t>
      </w:r>
      <w:r>
        <w:rPr>
          <w:rFonts w:ascii="Times New Roman" w:hAnsi="Times New Roman" w:eastAsia="Times New Roman" w:cs="Times New Roma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法定代表人授权书</w:t>
      </w:r>
      <w:r>
        <w:rPr>
          <w:rFonts w:ascii="Times New Roman" w:hAnsi="Times New Roman" w:eastAsia="Times New Roman" w:cs="Times New Roman"/>
          <w:sz w:val="21"/>
        </w:rPr>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本授权书声明：</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（供应商名称）授权</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（被授权人姓名、职务）作为我方参加编号为</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项目采购活动的合法代理人，以本单位名义全权处理一切与该项目采购有关的事务。</w:t>
      </w:r>
      <w:r>
        <w:rPr>
          <w:sz w:val="24"/>
        </w:rPr>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本授权书自______年____月____日起生效，特此声明。</w:t>
      </w:r>
      <w:r>
        <w:rPr>
          <w:sz w:val="24"/>
        </w:rPr>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被授权人身份证号码：</w:t>
      </w:r>
      <w:r>
        <w:rPr>
          <w:sz w:val="24"/>
        </w:rPr>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被授权人联系电话：（手机）</w:t>
      </w:r>
      <w:r>
        <w:rPr>
          <w:sz w:val="24"/>
        </w:rPr>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单位名称：（加盖电子公章）</w:t>
      </w:r>
      <w:r>
        <w:rPr>
          <w:sz w:val="24"/>
        </w:rPr>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法定代表人：（签字或盖章）</w:t>
      </w:r>
      <w:r>
        <w:rPr>
          <w:sz w:val="24"/>
        </w:rPr>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单位地址：</w:t>
      </w:r>
      <w:r>
        <w:rPr>
          <w:sz w:val="24"/>
        </w:rPr>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日期：2026年 月 日</w:t>
      </w:r>
      <w:r>
        <w:rPr>
          <w:sz w:val="24"/>
        </w:rPr>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sz w:val="24"/>
        </w:rPr>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sz w:val="24"/>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rPr>
          <w:rFonts w:ascii="FangSong" w:hAnsi="FangSong" w:eastAsia="FangSong" w:cs="FangSong"/>
          <w:sz w:val="20"/>
        </w:rPr>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★三、报价</w:t>
      </w:r>
      <w:r>
        <w:rPr>
          <w:rFonts w:ascii="FangSong" w:hAnsi="FangSong" w:eastAsia="FangSong" w:cs="FangSong"/>
          <w:b/>
          <w:color w:val="000000"/>
          <w:sz w:val="21"/>
        </w:rPr>
        <w:t xml:space="preserve">表</w:t>
      </w:r>
      <w:r>
        <w:rPr>
          <w:rFonts w:ascii="Times New Roman" w:hAnsi="Times New Roman" w:eastAsia="Times New Roman" w:cs="Times New Roman"/>
          <w:sz w:val="21"/>
        </w:rPr>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磋商报价表（第1轮）</w:t>
      </w:r>
      <w:r>
        <w:rPr>
          <w:rFonts w:ascii="Times New Roman" w:hAnsi="Times New Roman" w:eastAsia="Times New Roman" w:cs="Times New Roman"/>
          <w:sz w:val="21"/>
        </w:rPr>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02"/>
        <w:gridCol w:w="5013"/>
        <w:gridCol w:w="1899"/>
      </w:tblGrid>
      <w:tr>
        <w:trPr>
          <w:trHeight w:val="8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spacing w:before="200" w:after="200" w:line="85" w:lineRule="atLeast"/>
              <w:rPr>
                <w:rFonts w:ascii="Times New Roman" w:hAnsi="Times New Roman" w:eastAsia="Times New Roman" w:cs="Times New Roman"/>
                <w:szCs w:val="20"/>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磋商报价</w:t>
            </w:r>
            <w:r>
              <w:rPr>
                <w:rFonts w:ascii="Times New Roman" w:hAnsi="Times New Roman" w:eastAsia="Times New Roman" w:cs="Times New Roman"/>
                <w:sz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1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大写：人民币</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 </w:t>
            </w:r>
            <w:r>
              <w:rPr>
                <w:rFonts w:ascii="Times New Roman" w:hAnsi="Times New Roman" w:eastAsia="Times New Roman" w:cs="Times New Roman"/>
                <w:sz w:val="20"/>
              </w:rPr>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0"/>
              </w:rPr>
            </w:r>
            <w:r/>
          </w:p>
          <w:p>
            <w:pPr>
              <w:ind w:left="0" w:right="0" w:firstLine="0"/>
              <w:spacing w:before="200" w:after="200" w:line="85" w:lineRule="atLeast"/>
              <w:rPr>
                <w:rFonts w:ascii="Times New Roman" w:hAnsi="Times New Roman" w:eastAsia="Times New Roman" w:cs="Times New Roman"/>
                <w:szCs w:val="20"/>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小写：人民币</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元</w:t>
            </w:r>
            <w:r>
              <w:rPr>
                <w:rFonts w:ascii="Times New Roman" w:hAnsi="Times New Roman" w:eastAsia="Times New Roman" w:cs="Times New Roman"/>
                <w:sz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540"/>
              <w:spacing w:before="200" w:after="200" w:line="85" w:lineRule="atLeast"/>
              <w:rPr>
                <w:rFonts w:ascii="Times New Roman" w:hAnsi="Times New Roman" w:eastAsia="Times New Roman" w:cs="Times New Roman"/>
                <w:szCs w:val="20"/>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备注</w:t>
            </w:r>
            <w:r>
              <w:rPr>
                <w:rFonts w:ascii="Times New Roman" w:hAnsi="Times New Roman" w:eastAsia="Times New Roman" w:cs="Times New Roman"/>
                <w:sz w:val="20"/>
              </w:rPr>
            </w:r>
            <w:r/>
          </w:p>
        </w:tc>
      </w:tr>
      <w:tr>
        <w:trPr>
          <w:trHeight w:val="1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spacing w:before="200" w:after="200" w:line="85" w:lineRule="atLeast"/>
              <w:rPr>
                <w:rFonts w:ascii="Times New Roman" w:hAnsi="Times New Roman" w:eastAsia="Times New Roman" w:cs="Times New Roman"/>
                <w:szCs w:val="20"/>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项目负责人</w:t>
            </w:r>
            <w:r>
              <w:rPr>
                <w:rFonts w:ascii="Times New Roman" w:hAnsi="Times New Roman" w:eastAsia="Times New Roman" w:cs="Times New Roman"/>
                <w:sz w:val="2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3" w:type="dxa"/>
            <w:vAlign w:val="center"/>
            <w:textDirection w:val="lrTb"/>
            <w:noWrap w:val="false"/>
          </w:tcPr>
          <w:p>
            <w:pPr>
              <w:ind w:left="0" w:right="0" w:firstLine="0"/>
              <w:spacing w:before="200" w:after="200" w:line="85" w:lineRule="atLeast"/>
              <w:tabs>
                <w:tab w:val="left" w:pos="3624" w:leader="none"/>
              </w:tabs>
              <w:rPr>
                <w:rFonts w:ascii="Times New Roman" w:hAnsi="Times New Roman" w:eastAsia="Times New Roman" w:cs="Times New Roman"/>
                <w:szCs w:val="20"/>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姓名：</w:t>
            </w:r>
            <w:r>
              <w:rPr>
                <w:rFonts w:ascii="FangSong" w:hAnsi="FangSong" w:eastAsia="FangSong" w:cs="FangSong"/>
                <w:color w:val="000000"/>
                <w:sz w:val="21"/>
                <w:u w:val="single"/>
              </w:rPr>
              <w:t xml:space="preserve">         </w:t>
            </w:r>
            <w:r>
              <w:rPr>
                <w:rFonts w:ascii="Times New Roman" w:hAnsi="Times New Roman" w:eastAsia="Times New Roman" w:cs="Times New Roman"/>
                <w:sz w:val="2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540"/>
              <w:spacing w:before="200" w:after="200" w:line="85" w:lineRule="atLeast"/>
              <w:rPr>
                <w:rFonts w:ascii="Times New Roman" w:hAnsi="Times New Roman" w:eastAsia="Times New Roman" w:cs="Times New Roman"/>
                <w:szCs w:val="20"/>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0"/>
              </w:rPr>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是否小微企业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3" w:type="dxa"/>
            <w:vAlign w:val="center"/>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是   否</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jc w:val="center"/>
              <w:spacing w:before="200" w:after="200" w:line="85" w:lineRule="atLeast"/>
              <w:rPr>
                <w:rFonts w:ascii="Times New Roman" w:hAnsi="Times New Roman" w:eastAsia="Times New Roman" w:cs="Times New Roman"/>
                <w:szCs w:val="20"/>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证明材料详见X页，如有</w:t>
            </w:r>
            <w:r>
              <w:rPr>
                <w:rFonts w:ascii="Times New Roman" w:hAnsi="Times New Roman" w:eastAsia="Times New Roman" w:cs="Times New Roman"/>
                <w:sz w:val="20"/>
              </w:rPr>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供应商名称（加盖电子公章）：</w:t>
      </w:r>
      <w:r>
        <w:rPr>
          <w:rFonts w:ascii="Times New Roman" w:hAnsi="Times New Roman" w:eastAsia="Times New Roman" w:cs="Times New Roman"/>
          <w:sz w:val="21"/>
        </w:rPr>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日期：年月日</w:t>
      </w:r>
      <w:r>
        <w:rPr>
          <w:rFonts w:ascii="Times New Roman" w:hAnsi="Times New Roman" w:eastAsia="Times New Roman" w:cs="Times New Roman"/>
          <w:sz w:val="21"/>
        </w:rPr>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说明：</w:t>
      </w:r>
      <w:r>
        <w:rPr>
          <w:rFonts w:ascii="FangSong" w:hAnsi="FangSong" w:eastAsia="FangSong" w:cs="FangSong"/>
          <w:color w:val="000000"/>
          <w:sz w:val="21"/>
          <w:highlight w:val="white"/>
          <w:u w:val="none"/>
        </w:rPr>
        <w:t xml:space="preserve">供应商第1轮报价超过本项目最高限价的作无效标处理。</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★四、已标价工程量清单</w:t>
      </w:r>
      <w:r>
        <w:rPr>
          <w:rFonts w:ascii="Times New Roman" w:hAnsi="Times New Roman" w:eastAsia="Times New Roman" w:cs="Times New Roman"/>
          <w:sz w:val="21"/>
        </w:rPr>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已标价工程量清单</w:t>
      </w:r>
      <w:r>
        <w:rPr>
          <w:rFonts w:ascii="Times New Roman" w:hAnsi="Times New Roman" w:eastAsia="Times New Roman" w:cs="Times New Roman"/>
          <w:sz w:val="21"/>
        </w:rPr>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（如无法获取工程量清单请及时与代理公司联系）</w:t>
      </w:r>
      <w:r>
        <w:rPr>
          <w:rFonts w:ascii="Times New Roman" w:hAnsi="Times New Roman" w:eastAsia="Times New Roman" w:cs="Times New Roman"/>
          <w:sz w:val="21"/>
        </w:rPr>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1、此报价表必须提供，其他价格表，请供应商根据采购文件中工程量清单进行组价并详列，且按规定的工程量清单计价规范格式提供。填写的项目编码、项目名称、项目特征、计量单位、工程量必须与采购人提供的一致，否则视为无效投标。</w:t>
      </w:r>
      <w:r>
        <w:rPr>
          <w:rFonts w:ascii="Times New Roman" w:hAnsi="Times New Roman" w:eastAsia="Times New Roman" w:cs="Times New Roman"/>
          <w:sz w:val="21"/>
        </w:rPr>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2、投标工程量清单，必须使用清单计价软件导出的投标报价表格，</w:t>
      </w:r>
      <w:r>
        <w:rPr>
          <w:rFonts w:ascii="FangSong" w:hAnsi="FangSong" w:eastAsia="FangSong" w:cs="FangSong"/>
          <w:b/>
          <w:color w:val="000000"/>
          <w:sz w:val="21"/>
          <w:highlight w:val="yellow"/>
        </w:rPr>
        <w:t xml:space="preserve">工程量清单报价的扉页（或导出的清单表格指定页面）加盖本单位造价人员的执业章及签字（未加盖本单位造价人员的执业章或未签字的，视为无效投标）。</w:t>
      </w:r>
      <w:r>
        <w:rPr>
          <w:rFonts w:ascii="Times New Roman" w:hAnsi="Times New Roman" w:eastAsia="Times New Roman" w:cs="Times New Roman"/>
          <w:sz w:val="21"/>
        </w:rPr>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FangSong" w:hAnsi="FangSong" w:eastAsia="FangSong" w:cs="FangSong"/>
          <w:color w:val="000000"/>
          <w:sz w:val="21"/>
          <w:highlight w:val="green"/>
        </w:rPr>
        <w:t xml:space="preserve">  3、本工程安全文明措施费按24339.26元计入(园建工程11543.97元，绿化工程12795.29元），为不可竞争费。</w:t>
      </w:r>
      <w:r>
        <w:rPr>
          <w:rFonts w:ascii="Times New Roman" w:hAnsi="Times New Roman" w:eastAsia="Times New Roman" w:cs="Times New Roman"/>
          <w:sz w:val="21"/>
        </w:rPr>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供应商名称（加盖电子公章）：</w:t>
      </w:r>
      <w:r>
        <w:rPr>
          <w:rFonts w:ascii="Times New Roman" w:hAnsi="Times New Roman" w:eastAsia="Times New Roman" w:cs="Times New Roman"/>
          <w:sz w:val="21"/>
        </w:rPr>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日期：年月日</w:t>
      </w:r>
      <w:r>
        <w:rPr>
          <w:rFonts w:ascii="Times New Roman" w:hAnsi="Times New Roman" w:eastAsia="Times New Roman" w:cs="Times New Roman"/>
          <w:sz w:val="21"/>
        </w:rPr>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五、商务条款偏离表格式</w:t>
      </w:r>
      <w:r>
        <w:rPr>
          <w:rFonts w:ascii="Times New Roman" w:hAnsi="Times New Roman" w:eastAsia="Times New Roman" w:cs="Times New Roman"/>
          <w:sz w:val="21"/>
        </w:rPr>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商务条款偏离表</w:t>
      </w:r>
      <w:r>
        <w:rPr>
          <w:rFonts w:ascii="Times New Roman" w:hAnsi="Times New Roman" w:eastAsia="Times New Roman" w:cs="Times New Roman"/>
          <w:sz w:val="21"/>
        </w:rPr>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1646"/>
        <w:gridCol w:w="2742"/>
        <w:gridCol w:w="3274"/>
        <w:gridCol w:w="1032"/>
      </w:tblGrid>
      <w:tr>
        <w:trPr>
          <w:trHeight w:val="61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采购文件条目号</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采购文件要求的商务条款</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磋商响应</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偏离说明</w:t>
            </w:r>
            <w:r>
              <w:rPr>
                <w:rFonts w:ascii="Times New Roman" w:hAnsi="Times New Roman" w:eastAsia="Times New Roman" w:cs="Times New Roman"/>
                <w:sz w:val="21"/>
              </w:rPr>
            </w:r>
            <w:r/>
          </w:p>
        </w:tc>
      </w:tr>
      <w:tr>
        <w:trPr>
          <w:trHeight w:val="599"/>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rHeight w:val="749"/>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rHeight w:val="70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rHeight w:val="64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rHeight w:val="91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供应商名称（加盖电子公章）：</w:t>
      </w:r>
      <w:r>
        <w:rPr>
          <w:rFonts w:ascii="Times New Roman" w:hAnsi="Times New Roman" w:eastAsia="Times New Roman" w:cs="Times New Roman"/>
          <w:sz w:val="21"/>
        </w:rPr>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日期：年月日</w:t>
      </w:r>
      <w:r>
        <w:rPr>
          <w:rFonts w:ascii="Times New Roman" w:hAnsi="Times New Roman" w:eastAsia="Times New Roman" w:cs="Times New Roman"/>
          <w:sz w:val="21"/>
        </w:rPr>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六、技术条款偏离表格式</w:t>
      </w:r>
      <w:r>
        <w:rPr>
          <w:rFonts w:ascii="Times New Roman" w:hAnsi="Times New Roman" w:eastAsia="Times New Roman" w:cs="Times New Roman"/>
          <w:sz w:val="21"/>
        </w:rPr>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技术条款偏离表</w:t>
      </w:r>
      <w:r>
        <w:rPr>
          <w:rFonts w:ascii="Times New Roman" w:hAnsi="Times New Roman" w:eastAsia="Times New Roman" w:cs="Times New Roman"/>
          <w:sz w:val="21"/>
        </w:rPr>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2533"/>
        <w:gridCol w:w="2803"/>
        <w:gridCol w:w="2326"/>
        <w:gridCol w:w="1032"/>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采购文件条目号</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采购文件要求的技术条款</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磋商响应</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偏离说明</w:t>
            </w:r>
            <w:r>
              <w:rPr>
                <w:rFonts w:ascii="Times New Roman" w:hAnsi="Times New Roman" w:eastAsia="Times New Roman" w:cs="Times New Roman"/>
                <w:sz w:val="21"/>
              </w:rPr>
            </w:r>
            <w:r/>
          </w:p>
        </w:tc>
      </w:tr>
      <w:tr>
        <w:trPr>
          <w:trHeight w:val="49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rHeight w:val="49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rHeight w:val="40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rHeight w:val="509"/>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rHeight w:val="67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供应商名称（加盖电子公章）：</w:t>
      </w:r>
      <w:r>
        <w:rPr>
          <w:rFonts w:ascii="Times New Roman" w:hAnsi="Times New Roman" w:eastAsia="Times New Roman" w:cs="Times New Roman"/>
          <w:sz w:val="21"/>
        </w:rPr>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日期：年月日</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七、拟参与本项目人员一览表</w:t>
      </w:r>
      <w:r>
        <w:rPr>
          <w:rFonts w:ascii="Times New Roman" w:hAnsi="Times New Roman" w:eastAsia="Times New Roman" w:cs="Times New Roman"/>
          <w:sz w:val="21"/>
        </w:rPr>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拟参与本项目服务人员一览表</w:t>
      </w:r>
      <w:r>
        <w:rPr>
          <w:rFonts w:ascii="Times New Roman" w:hAnsi="Times New Roman" w:eastAsia="Times New Roman" w:cs="Times New Roman"/>
          <w:sz w:val="21"/>
        </w:rPr>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2"/>
        <w:gridCol w:w="675"/>
        <w:gridCol w:w="507"/>
        <w:gridCol w:w="628"/>
        <w:gridCol w:w="639"/>
        <w:gridCol w:w="720"/>
        <w:gridCol w:w="800"/>
        <w:gridCol w:w="841"/>
        <w:gridCol w:w="913"/>
        <w:gridCol w:w="1074"/>
        <w:gridCol w:w="20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序号</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姓名</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性别</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年龄</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专业</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学历</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执业</w:t>
            </w:r>
            <w:r>
              <w:rPr>
                <w:rFonts w:ascii="Times New Roman" w:hAnsi="Times New Roman" w:eastAsia="Times New Roman" w:cs="Times New Roman"/>
                <w:sz w:val="21"/>
              </w:rPr>
            </w:r>
            <w:r/>
          </w:p>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资格</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证书号</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技术职称</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相关工作年限</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备注</w:t>
            </w:r>
            <w:r>
              <w:rPr>
                <w:rFonts w:ascii="Times New Roman" w:hAnsi="Times New Roman" w:eastAsia="Times New Roman" w:cs="Times New Roman"/>
                <w:sz w:val="21"/>
              </w:rPr>
            </w:r>
            <w:r/>
          </w:p>
        </w:tc>
      </w:tr>
      <w:tr>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主要管理人员</w:t>
            </w:r>
            <w:r>
              <w:rPr>
                <w:rFonts w:ascii="Times New Roman" w:hAnsi="Times New Roman" w:eastAsia="Times New Roman" w:cs="Times New Roman"/>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8"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9"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项目负责人</w:t>
            </w:r>
            <w:r>
              <w:rPr>
                <w:rFonts w:ascii="Times New Roman" w:hAnsi="Times New Roman" w:eastAsia="Times New Roman" w:cs="Times New Roman"/>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技术负责人</w:t>
            </w:r>
            <w:r>
              <w:rPr>
                <w:rFonts w:ascii="Times New Roman" w:hAnsi="Times New Roman" w:eastAsia="Times New Roman" w:cs="Times New Roman"/>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专业技术人员</w:t>
            </w:r>
            <w:r>
              <w:rPr>
                <w:rFonts w:ascii="Times New Roman" w:hAnsi="Times New Roman" w:eastAsia="Times New Roman" w:cs="Times New Roman"/>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8"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9"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…专业负责人</w:t>
            </w:r>
            <w:r>
              <w:rPr>
                <w:rFonts w:ascii="Times New Roman" w:hAnsi="Times New Roman" w:eastAsia="Times New Roman" w:cs="Times New Roman"/>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…专业负责人</w:t>
            </w:r>
            <w:r>
              <w:rPr>
                <w:rFonts w:ascii="Times New Roman" w:hAnsi="Times New Roman" w:eastAsia="Times New Roman" w:cs="Times New Roman"/>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注：1、按磋商文件要求及评标标准的要求，提供人员证书等，附后。</w:t>
      </w:r>
      <w:r>
        <w:rPr>
          <w:rFonts w:ascii="Times New Roman" w:hAnsi="Times New Roman" w:eastAsia="Times New Roman" w:cs="Times New Roman"/>
          <w:sz w:val="21"/>
        </w:rPr>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2、“备注”栏，可填写该人员擅长的工程（或工作）种类；</w:t>
      </w:r>
      <w:r>
        <w:rPr>
          <w:sz w:val="24"/>
        </w:rPr>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3、如果行数不够，请自行增加。</w:t>
      </w:r>
      <w:r>
        <w:rPr>
          <w:sz w:val="24"/>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供应商名称（加盖电子公章）：</w:t>
      </w:r>
      <w:r>
        <w:rPr>
          <w:rFonts w:ascii="Times New Roman" w:hAnsi="Times New Roman" w:eastAsia="Times New Roman" w:cs="Times New Roman"/>
          <w:sz w:val="21"/>
        </w:rPr>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日期：年月日</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八、供应商类似业绩情况表</w:t>
      </w:r>
      <w:r>
        <w:rPr>
          <w:rFonts w:ascii="FangSong" w:hAnsi="FangSong" w:eastAsia="FangSong" w:cs="FangSong"/>
          <w:b/>
          <w:color w:val="000000"/>
          <w:sz w:val="21"/>
        </w:rPr>
        <w:t xml:space="preserve">（及证明材料）</w:t>
      </w:r>
      <w:r>
        <w:rPr>
          <w:rFonts w:ascii="Times New Roman" w:hAnsi="Times New Roman" w:eastAsia="Times New Roman" w:cs="Times New Roma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供应商类似业绩情况表</w:t>
      </w:r>
      <w:r>
        <w:rPr>
          <w:rFonts w:ascii="Times New Roman" w:hAnsi="Times New Roman" w:eastAsia="Times New Roman" w:cs="Times New Roman"/>
          <w:sz w:val="21"/>
        </w:rPr>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项目名称</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业主单位</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合同金额</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服务内容</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签约及服务</w:t>
            </w:r>
            <w:r>
              <w:rPr>
                <w:rFonts w:ascii="Times New Roman" w:hAnsi="Times New Roman" w:eastAsia="Times New Roman" w:cs="Times New Roman"/>
                <w:sz w:val="21"/>
              </w:rPr>
            </w:r>
            <w:r/>
          </w:p>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时间</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联系人及电话</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备注</w:t>
            </w:r>
            <w:r>
              <w:rPr>
                <w:rFonts w:ascii="Times New Roman" w:hAnsi="Times New Roman" w:eastAsia="Times New Roman" w:cs="Times New Roman"/>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注：按磋商文件要求及评标标准的要求，提供业绩证明材料等，附后。</w:t>
      </w:r>
      <w:r>
        <w:rPr>
          <w:rFonts w:ascii="Times New Roman" w:hAnsi="Times New Roman" w:eastAsia="Times New Roman" w:cs="Times New Roman"/>
          <w:sz w:val="21"/>
        </w:rPr>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供应商名称（加盖电子公章）：</w:t>
      </w:r>
      <w:r>
        <w:rPr>
          <w:rFonts w:ascii="Times New Roman" w:hAnsi="Times New Roman" w:eastAsia="Times New Roman" w:cs="Times New Roman"/>
          <w:sz w:val="21"/>
        </w:rPr>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日期：年月日</w:t>
      </w:r>
      <w:r>
        <w:rPr>
          <w:rFonts w:ascii="Times New Roman" w:hAnsi="Times New Roman" w:eastAsia="Times New Roman" w:cs="Times New Roman"/>
          <w:sz w:val="21"/>
        </w:rPr>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★九、企业声明函格式</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中小企业声明函（工程、服务）</w:t>
      </w:r>
      <w:r>
        <w:rPr>
          <w:rFonts w:ascii="Times New Roman" w:hAnsi="Times New Roman" w:eastAsia="Times New Roman" w:cs="Times New Roman"/>
          <w:sz w:val="21"/>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本公司（联合体）郑重声明，根据《政府采购促进中小企业发展管理办法》（财库[2020]46号）的规定，本公司（联合体）参加</w:t>
      </w:r>
      <w:r>
        <w:rPr>
          <w:rFonts w:ascii="FangSong" w:hAnsi="FangSong" w:eastAsia="FangSong" w:cs="FangSong"/>
          <w:color w:val="000000"/>
          <w:sz w:val="21"/>
          <w:u w:val="single"/>
        </w:rPr>
        <w:t xml:space="preserve">（单位名称）</w:t>
      </w:r>
      <w:r>
        <w:rPr>
          <w:rFonts w:ascii="FangSong" w:hAnsi="FangSong" w:eastAsia="FangSong" w:cs="FangSong"/>
          <w:color w:val="000000"/>
          <w:sz w:val="21"/>
        </w:rPr>
        <w:t xml:space="preserve">的</w:t>
      </w:r>
      <w:r>
        <w:rPr>
          <w:rFonts w:ascii="FangSong" w:hAnsi="FangSong" w:eastAsia="FangSong" w:cs="FangSong"/>
          <w:color w:val="000000"/>
          <w:sz w:val="21"/>
          <w:u w:val="single"/>
        </w:rPr>
        <w:t xml:space="preserve">（项目名称）</w:t>
      </w:r>
      <w:r>
        <w:rPr>
          <w:rFonts w:ascii="FangSong" w:hAnsi="FangSong" w:eastAsia="FangSong" w:cs="FangSong"/>
          <w:color w:val="000000"/>
          <w:sz w:val="21"/>
        </w:rPr>
        <w:t xml:space="preserve">采购活动，项目的投标单位全部为符合政策要求的中小企业（或者：服务全部由符合政策要求的中小企业承接）。相关企业（含联合体中的中小企业、签订分包意向协议的中小企业）的具体情况如下：</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rPr>
          <w:rFonts w:ascii="FangSong" w:hAnsi="FangSong" w:eastAsia="FangSong" w:cs="FangSong"/>
          <w:color w:val="000000"/>
          <w:sz w:val="21"/>
          <w:u w:val="single"/>
        </w:rPr>
        <w:t xml:space="preserve">（标的名称）</w:t>
      </w:r>
      <w:r>
        <w:rPr>
          <w:rFonts w:ascii="FangSong" w:hAnsi="FangSong" w:eastAsia="FangSong" w:cs="FangSong"/>
          <w:color w:val="000000"/>
          <w:sz w:val="21"/>
        </w:rPr>
        <w:t xml:space="preserve">，属于</w:t>
      </w:r>
      <w:r>
        <w:rPr>
          <w:rFonts w:ascii="FangSong" w:hAnsi="FangSong" w:eastAsia="FangSong" w:cs="FangSong"/>
          <w:color w:val="000000"/>
          <w:sz w:val="21"/>
          <w:u w:val="single"/>
        </w:rPr>
        <w:t xml:space="preserve">建筑业</w:t>
      </w:r>
      <w:r>
        <w:rPr>
          <w:rFonts w:ascii="FangSong" w:hAnsi="FangSong" w:eastAsia="FangSong" w:cs="FangSong"/>
          <w:color w:val="000000"/>
          <w:sz w:val="21"/>
        </w:rPr>
        <w:t xml:space="preserve">；承建（承接）企业为</w:t>
      </w:r>
      <w:r>
        <w:rPr>
          <w:rFonts w:ascii="FangSong" w:hAnsi="FangSong" w:eastAsia="FangSong" w:cs="FangSong"/>
          <w:color w:val="000000"/>
          <w:sz w:val="21"/>
          <w:u w:val="single"/>
        </w:rPr>
        <w:t xml:space="preserve">（企业名称）</w:t>
      </w:r>
      <w:r>
        <w:rPr>
          <w:rFonts w:ascii="FangSong" w:hAnsi="FangSong" w:eastAsia="FangSong" w:cs="FangSong"/>
          <w:color w:val="000000"/>
          <w:sz w:val="21"/>
        </w:rPr>
        <w:t xml:space="preserve">，从业人员人，营业收入为万元，资产总额为万元，属于</w:t>
      </w:r>
      <w:r>
        <w:rPr>
          <w:rFonts w:ascii="FangSong" w:hAnsi="FangSong" w:eastAsia="FangSong" w:cs="FangSong"/>
          <w:color w:val="000000"/>
          <w:sz w:val="21"/>
          <w:u w:val="single"/>
        </w:rPr>
        <w:t xml:space="preserve">（□中型企业、□小型企业、□微型企业）</w:t>
      </w:r>
      <w:r>
        <w:rPr>
          <w:rFonts w:ascii="FangSong" w:hAnsi="FangSong" w:eastAsia="FangSong" w:cs="FangSong"/>
          <w:color w:val="000000"/>
          <w:sz w:val="21"/>
        </w:rPr>
        <w:t xml:space="preserve">；</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以上企业，不属于大企业的分支机构，不存在控股股东为大企业的情形，也不存在与大企业的负责人为同一人的情形。</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本企业对上述声明内容的真实性负责。如有虚假，将依法承担相应责任。</w:t>
      </w:r>
      <w:r>
        <w:rPr>
          <w:rFonts w:ascii="Times New Roman" w:hAnsi="Times New Roman" w:eastAsia="Times New Roman" w:cs="Times New Roman"/>
          <w:sz w:val="21"/>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sz w:val="24"/>
        </w:rPr>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企业名称（加盖电子公章）：</w:t>
      </w:r>
      <w:r>
        <w:rPr>
          <w:rFonts w:ascii="Times New Roman" w:hAnsi="Times New Roman" w:eastAsia="Times New Roman" w:cs="Times New Roman"/>
          <w:sz w:val="21"/>
        </w:rPr>
      </w:r>
      <w:r/>
    </w:p>
    <w:p>
      <w:pPr>
        <w:ind w:left="0" w:right="0" w:firstLine="6204"/>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日期：年月日</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备注：1.从业人员、营业收入、资产总额填报上一年度数据，无上一年度数据的新成立企业可不填报。</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2.在所属企业类型前的</w:t>
      </w:r>
      <w:r>
        <w:rPr>
          <w:rFonts w:ascii="FangSong" w:hAnsi="FangSong" w:eastAsia="FangSong" w:cs="FangSong"/>
          <w:color w:val="000000"/>
          <w:sz w:val="21"/>
          <w:u w:val="single"/>
        </w:rPr>
        <w:t xml:space="preserve">□</w:t>
      </w:r>
      <w:r>
        <w:rPr>
          <w:rFonts w:ascii="FangSong" w:hAnsi="FangSong" w:eastAsia="FangSong" w:cs="FangSong"/>
          <w:color w:val="000000"/>
          <w:sz w:val="21"/>
        </w:rPr>
        <w:t xml:space="preserve">内打“√”。</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3.此声明函将随成交结果同时公告，接受社会监督；供应商填写时，务必填写真实数据。</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本项目采购标的对应的中小企业划分标准所属行业为：建筑业。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Times New Roman" w:hAnsi="Times New Roman" w:eastAsia="Times New Roman" w:cs="Times New Roman"/>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政府采购促进中小企业发展管理办法》所称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Times New Roman" w:hAnsi="Times New Roman" w:eastAsia="Times New Roman" w:cs="Times New Roma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残疾人福利性单位声明函（如有）</w:t>
      </w:r>
      <w:r>
        <w:rPr>
          <w:rFonts w:ascii="Times New Roman" w:hAnsi="Times New Roman" w:eastAsia="Times New Roman" w:cs="Times New Roman"/>
          <w:sz w:val="21"/>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本单位郑重声明，根据《财政部 民政部 中国残疾人联合会关于促进残疾人就业政府采购政策的通知》（财库〔2017〕141号）的规定，本单位为符合条件的残疾人福利性单位，参加</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（单位名称）采购编号为</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项目的采购活动，工程服务全部由本单位提供。</w:t>
      </w:r>
      <w:r>
        <w:rPr>
          <w:rFonts w:ascii="Times New Roman" w:hAnsi="Times New Roman" w:eastAsia="Times New Roman" w:cs="Times New Roman"/>
          <w:sz w:val="21"/>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本单位对上述声明的真实性负责，如有虚假，将依法承担相应责任。</w:t>
      </w:r>
      <w:r>
        <w:rPr>
          <w:rFonts w:ascii="Times New Roman" w:hAnsi="Times New Roman" w:eastAsia="Times New Roman" w:cs="Times New Roman"/>
          <w:sz w:val="21"/>
        </w:r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sz w:val="24"/>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企业名称：（加盖电子公章）</w:t>
      </w:r>
      <w:r>
        <w:rPr>
          <w:rFonts w:ascii="Times New Roman" w:hAnsi="Times New Roman" w:eastAsia="Times New Roman" w:cs="Times New Roman"/>
          <w:sz w:val="21"/>
        </w:rPr>
      </w:r>
      <w:r/>
    </w:p>
    <w:p>
      <w:pPr>
        <w:ind w:left="0" w:right="0" w:firstLine="600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w:t>
      </w:r>
      <w:r>
        <w:rPr>
          <w:rFonts w:ascii="Times New Roman" w:hAnsi="Times New Roman" w:eastAsia="Times New Roman" w:cs="Times New Roman"/>
          <w:sz w:val="21"/>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备注：成交供应商为残疾人福利性单位的，此声明函将随成交结果同时公告，接受社会监督。</w:t>
      </w:r>
      <w:r>
        <w:rPr>
          <w:rFonts w:ascii="Times New Roman" w:hAnsi="Times New Roman" w:eastAsia="Times New Roman" w:cs="Times New Roman"/>
          <w:sz w:val="21"/>
        </w:rPr>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rPr>
          <w:rFonts w:ascii="Times New Roman" w:hAnsi="Times New Roman" w:eastAsia="Times New Roman" w:cs="Times New Roma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FangSong" w:hAnsi="FangSong" w:eastAsia="FangSong" w:cs="FangSong"/>
          <w:color w:val="000000"/>
          <w:sz w:val="21"/>
          <w:u w:val="none"/>
        </w:rPr>
        <w:t xml:space="preserve">属于监狱供应商的证明文件（如有）</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（提供由省级以上监狱管理局、戒毒管理局（含新疆生产建设兵团）出具的属于监狱供应商的证明文件）</w:t>
      </w:r>
      <w:r>
        <w:rPr>
          <w:rFonts w:ascii="Times New Roman" w:hAnsi="Times New Roman" w:eastAsia="Times New Roman" w:cs="Times New Roman"/>
          <w:sz w:val="21"/>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rPr>
          <w:sz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rPr>
          <w:sz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rPr>
          <w:sz w:val="24"/>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备注：成交供应商为监狱供应商的，此声明函将随成交结果同时公告，接受社会监督。</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★十、资格资信证明文件</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请按第一章竞争性磋商公告中二、申请人的资格要求，逐条填写</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rPr>
          <w:rFonts w:ascii="Times New Roman" w:hAnsi="Times New Roman" w:eastAsia="Times New Roman" w:cs="Times New Roman"/>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附件一、具备履行合同所必需的设备和专业技术能力的声明格式</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sz w:val="20"/>
        </w:rPr>
      </w:r>
      <w:r/>
    </w:p>
    <w:p>
      <w:pPr>
        <w:ind w:left="0" w:right="0" w:firstLine="4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具备履行合同所必需的设备和专业技术能力的声明</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我单位</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（供应商名称）郑重声明：</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我公司具备履行本项采购合同所必需的设备和专业技术能力，为履行本项采购合同我单位具备如下主要设备和主要专业技术能力：</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主要设备有：</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 （ 如有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主要专业技术能力有：</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 （ 如有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声明人：（加盖电子公章）</w:t>
      </w:r>
      <w:r>
        <w:rPr>
          <w:rFonts w:ascii="Times New Roman" w:hAnsi="Times New Roman" w:eastAsia="Times New Roman" w:cs="Times New Roman"/>
          <w:sz w:val="21"/>
        </w:rPr>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日期：年月</w:t>
      </w:r>
      <w:r>
        <w:rPr>
          <w:rFonts w:ascii="Times New Roman" w:hAnsi="Times New Roman" w:eastAsia="Times New Roman" w:cs="Times New Roman"/>
          <w:sz w:val="21"/>
        </w:rPr>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附件二、无重大违法记录声明</w:t>
      </w:r>
      <w:r>
        <w:rPr>
          <w:rFonts w:ascii="Times New Roman" w:hAnsi="Times New Roman" w:eastAsia="Times New Roman" w:cs="Times New Roman"/>
          <w:sz w:val="21"/>
        </w:rPr>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无重大违法记录声明</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南京市浦口区河道管理所、南京苏宁工程咨询有限公司：</w:t>
      </w:r>
      <w:r>
        <w:rPr>
          <w:rFonts w:ascii="Times New Roman" w:hAnsi="Times New Roman" w:eastAsia="Times New Roman" w:cs="Times New Roman"/>
          <w:sz w:val="21"/>
        </w:rPr>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我单位（供应商名称）宣布声明和承诺如下：</w:t>
      </w:r>
      <w:r>
        <w:rPr>
          <w:rFonts w:ascii="Times New Roman" w:hAnsi="Times New Roman" w:eastAsia="Times New Roman" w:cs="Times New Roman"/>
          <w:sz w:val="21"/>
        </w:rPr>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我单位参加本次采购活动前3年内在经营活动中（</w:t>
      </w:r>
      <w:r>
        <w:rPr>
          <w:rFonts w:ascii="FangSong" w:hAnsi="FangSong" w:eastAsia="FangSong" w:cs="FangSong"/>
          <w:b/>
          <w:i/>
          <w:color w:val="000000"/>
          <w:sz w:val="21"/>
          <w:u w:val="single"/>
        </w:rPr>
        <w:t xml:space="preserve">在下划线上如实填写：有或没有</w:t>
      </w:r>
      <w:r>
        <w:rPr>
          <w:rFonts w:ascii="FangSong" w:hAnsi="FangSong" w:eastAsia="FangSong" w:cs="FangSong"/>
          <w:color w:val="000000"/>
          <w:sz w:val="21"/>
        </w:rPr>
        <w:t xml:space="preserve">）</w:t>
      </w:r>
      <w:r>
        <w:rPr>
          <w:rFonts w:ascii="FangSong" w:hAnsi="FangSong" w:eastAsia="FangSong" w:cs="FangSong"/>
          <w:b/>
          <w:color w:val="000000"/>
          <w:sz w:val="21"/>
        </w:rPr>
        <w:t xml:space="preserve">重大违法记录，且不是失信被执行人、重大税收违法失信主体名单名单、政府采购严重违法失信行为记录名单的供应商。</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（说明：政府采购法第二十二条第一款第五项所称重大违法记录，是指供应商因违法经营受到刑事处罚或者责令停产停业、吊销许可证或者执照、较大数额罚款等行政处罚。）</w:t>
      </w:r>
      <w:r>
        <w:rPr>
          <w:rFonts w:ascii="Times New Roman" w:hAnsi="Times New Roman" w:eastAsia="Times New Roman" w:cs="Times New Roman"/>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声明人：（加盖电子公章）</w:t>
      </w:r>
      <w:r>
        <w:rPr>
          <w:rFonts w:ascii="Times New Roman" w:hAnsi="Times New Roman" w:eastAsia="Times New Roman" w:cs="Times New Roman"/>
          <w:sz w:val="21"/>
        </w:rPr>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日期：年月</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附件三、南京市政府采购供应商信用承诺书</w:t>
      </w:r>
      <w:r>
        <w:rPr>
          <w:rFonts w:ascii="Times New Roman" w:hAnsi="Times New Roman" w:eastAsia="Times New Roman" w:cs="Times New Roman"/>
          <w:sz w:val="21"/>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南京市政府采购供应商信用承诺书</w:t>
      </w:r>
      <w:r>
        <w:rPr>
          <w:rFonts w:ascii="Times New Roman" w:hAnsi="Times New Roman" w:eastAsia="Times New Roman" w:cs="Times New Roman"/>
          <w:sz w:val="21"/>
        </w:rPr>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XXXX年XX月XX日</w:t>
      </w:r>
      <w:r>
        <w:rPr>
          <w:rFonts w:ascii="Times New Roman" w:hAnsi="Times New Roman" w:eastAsia="Times New Roman" w:cs="Times New Roman"/>
          <w:sz w:val="21"/>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94"/>
        <w:gridCol w:w="2226"/>
        <w:gridCol w:w="1787"/>
        <w:gridCol w:w="324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420" w:right="0" w:firstLine="0"/>
              <w:jc w:val="center"/>
              <w:spacing w:before="0" w:after="0"/>
              <w:tabs>
                <w:tab w:val="left" w:pos="2520" w:leader="none"/>
              </w:tabs>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单位名称</w:t>
            </w:r>
            <w:r>
              <w:rPr>
                <w:rFonts w:ascii="Times New Roman" w:hAnsi="Times New Roman" w:eastAsia="Times New Roman" w:cs="Times New Roman"/>
                <w:sz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Times New Roman" w:hAnsi="Times New Roman" w:eastAsia="Times New Roman" w:cs="Times New Roman"/>
                <w:sz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统一社会信用代码</w:t>
            </w:r>
            <w:r>
              <w:rPr>
                <w:rFonts w:ascii="Times New Roman" w:hAnsi="Times New Roman" w:eastAsia="Times New Roman" w:cs="Times New Roman"/>
                <w:sz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678" w:firstLine="0"/>
              <w:jc w:val="center"/>
              <w:spacing w:before="0" w:after="0"/>
              <w:tabs>
                <w:tab w:val="left" w:pos="2320" w:leader="none"/>
              </w:tabs>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联系地址</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Times New Roman" w:hAnsi="Times New Roman" w:eastAsia="Times New Roman"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信用承诺</w:t>
            </w:r>
            <w:r>
              <w:rPr>
                <w:rFonts w:ascii="Times New Roman" w:hAnsi="Times New Roman" w:eastAsia="Times New Roman" w:cs="Times New Roman"/>
                <w:sz w:val="21"/>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0"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FangSong" w:hAnsi="FangSong" w:eastAsia="FangSong" w:cs="FangSong"/>
                <w:color w:val="000000"/>
                <w:sz w:val="21"/>
              </w:rPr>
              <w:t xml:space="preserve">假或其他违法违规行为，愿承担一切法律责任，接受各级政府采购监管部门和有权机关的审查和处罚。</w:t>
            </w:r>
            <w:r>
              <w:rPr>
                <w:rFonts w:ascii="Times New Roman" w:hAnsi="Times New Roman" w:eastAsia="Times New Roman" w:cs="Times New Roman"/>
                <w:sz w:val="21"/>
              </w:rPr>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供应商名称（盖章）：</w:t>
            </w:r>
            <w:r>
              <w:rPr>
                <w:rFonts w:ascii="Times New Roman" w:hAnsi="Times New Roman" w:eastAsia="Times New Roman" w:cs="Times New Roman"/>
                <w:sz w:val="21"/>
              </w:rPr>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w:t>
            </w:r>
            <w:r>
              <w:rPr>
                <w:rFonts w:ascii="FangSong" w:hAnsi="FangSong" w:eastAsia="FangSong" w:cs="FangSong"/>
                <w:color w:val="000000"/>
                <w:sz w:val="21"/>
                <w:highlight w:val="yellow"/>
              </w:rPr>
              <w:t xml:space="preserve">（签字）</w:t>
            </w:r>
            <w:r>
              <w:rPr>
                <w:rFonts w:ascii="FangSong" w:hAnsi="FangSong" w:eastAsia="FangSong" w:cs="FangSong"/>
                <w:color w:val="000000"/>
                <w:sz w:val="21"/>
              </w:rPr>
              <w:t xml:space="preserve">：</w:t>
            </w:r>
            <w:r>
              <w:rPr>
                <w:rFonts w:ascii="Times New Roman" w:hAnsi="Times New Roman" w:eastAsia="Times New Roman" w:cs="Times New Roman"/>
                <w:sz w:val="21"/>
              </w:rPr>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Times New Roman" w:hAnsi="Times New Roman" w:eastAsia="Times New Roman" w:cs="Times New Roman"/>
                <w:sz w:val="21"/>
              </w:rPr>
            </w:r>
            <w:r/>
          </w:p>
          <w:p>
            <w:pPr>
              <w:ind w:left="0" w:right="0" w:firstLine="420"/>
              <w:jc w:val="right"/>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XXXX年XX月XX日</w:t>
            </w:r>
            <w:r>
              <w:rPr>
                <w:rFonts w:ascii="Times New Roman" w:hAnsi="Times New Roman" w:eastAsia="Times New Roman" w:cs="Times New Roman"/>
                <w:sz w:val="21"/>
              </w:rPr>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注：供应商在中标后，应按招标文件要求，将上述由信用承诺书替代的证明材料（一式两份）加盖公章，提交采购人或采购代理机构核验。经核验无误后，由采购人或采购代理机构发出中标通知书（如已在投标文件中提供的则无需再提供）。供应商对所承诺内容的真实性、合法性、有效性负责，如有虚假，将依法承担相应责任。</w:t>
      </w:r>
      <w:r>
        <w:rPr>
          <w:rFonts w:ascii="FangSong" w:hAnsi="FangSong" w:eastAsia="FangSong" w:cs="FangSong"/>
          <w:b/>
          <w:color w:val="000000"/>
          <w:sz w:val="21"/>
          <w:highlight w:val="yellow"/>
        </w:rPr>
        <w:t xml:space="preserve">填写时间应为本磋商公告发布之日起至提交投标文件截止日前。</w:t>
      </w:r>
      <w:r>
        <w:rPr>
          <w:rFonts w:ascii="Times New Roman" w:hAnsi="Times New Roman" w:eastAsia="Times New Roman" w:cs="Times New Roman"/>
          <w:sz w:val="21"/>
        </w:rPr>
      </w:r>
      <w:r/>
    </w:p>
    <w:p>
      <w:pPr>
        <w:rPr>
          <w:rFonts w:ascii="Times New Roman" w:hAnsi="Times New Roman" w:eastAsia="Times New Roman" w:cs="Times New Roman"/>
          <w:sz w:val="21"/>
          <w:szCs w:val="21"/>
        </w:rPr>
      </w:pPr>
      <w:r/>
      <w:r/>
      <w:r/>
    </w:p>
    <w:p>
      <w:r/>
      <w:r/>
    </w:p>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567"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楷体_GB2312">
    <w:panose1 w:val="02010609060101010101"/>
  </w:font>
  <w:font w:name="Tahoma">
    <w:panose1 w:val="020B0604030504040204"/>
  </w:font>
  <w:font w:name="Wingdings">
    <w:panose1 w:val="05000000000000000000"/>
  </w:font>
  <w:font w:name="方正黑体简体">
    <w:panose1 w:val="020B0503020202020204"/>
  </w:font>
  <w:font w:name="Symbol">
    <w:panose1 w:val="05050102010706020507"/>
  </w:font>
  <w:font w:name="新宋体">
    <w:panose1 w:val="02010609030101010101"/>
  </w:font>
  <w:font w:name="PMingLiU">
    <w:panose1 w:val="02020500000000000000"/>
  </w:font>
  <w:font w:name="华文细黑">
    <w:panose1 w:val="02010600040101010101"/>
  </w:font>
  <w:font w:name="DFKai-SB">
    <w:panose1 w:val="03050502040202030202"/>
  </w:font>
  <w:font w:name="KNLe">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隶书">
    <w:panose1 w:val="02010509060101010101"/>
  </w:font>
  <w:font w:name="Ari">
    <w:panose1 w:val="020B0606020202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8"/>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101</w:t>
                          </w:r>
                          <w:r>
                            <w:fldChar w:fldCharType="end"/>
                          </w:r>
                          <w:r>
                            <w:t xml:space="preserve"> 页</w:t>
                          </w:r>
                          <w:r/>
                        </w:p>
                        <w:p>
                          <w:pPr>
                            <w:pStyle w:val="960"/>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101</w:t>
                    </w:r>
                    <w:r>
                      <w:fldChar w:fldCharType="end"/>
                    </w:r>
                    <w:r>
                      <w:t xml:space="preserve"> 页</w:t>
                    </w:r>
                    <w:r/>
                  </w:p>
                  <w:p>
                    <w:pPr>
                      <w:pStyle w:val="96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8"/>
                            <w:tabs>
                              <w:tab w:val="clear" w:pos="4153" w:leader="none"/>
                              <w:tab w:val="clear" w:pos="8306" w:leader="none"/>
                            </w:tabs>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101</w:t>
                          </w:r>
                          <w:r>
                            <w:fldChar w:fldCharType="end"/>
                          </w:r>
                          <w:r>
                            <w:t xml:space="preserve"> 页</w:t>
                          </w:r>
                          <w:r/>
                        </w:p>
                        <w:p>
                          <w:pPr>
                            <w:pStyle w:val="960"/>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tabs>
                        <w:tab w:val="clear" w:pos="4153" w:leader="none"/>
                        <w:tab w:val="clear" w:pos="8306" w:leader="none"/>
                      </w:tabs>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101</w:t>
                    </w:r>
                    <w:r>
                      <w:fldChar w:fldCharType="end"/>
                    </w:r>
                    <w:r>
                      <w:t xml:space="preserve"> 页</w:t>
                    </w:r>
                    <w:r/>
                  </w:p>
                  <w:p>
                    <w:pPr>
                      <w:pStyle w:val="96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left"/>
      <w:tabs>
        <w:tab w:val="center" w:pos="4153" w:leader="none"/>
        <w:tab w:val="right" w:pos="8306" w:leader="none"/>
      </w:tabs>
    </w:pPr>
    <w:r>
      <mc:AlternateContent>
        <mc:Choice Requires="wpg">
          <w:drawing>
            <wp:inline xmlns:wp="http://schemas.openxmlformats.org/drawingml/2006/wordprocessingDrawing" distT="0" distB="0" distL="0" distR="0">
              <wp:extent cx="1377328" cy="28639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328" cy="286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22.6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cs="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left"/>
      <w:tabs>
        <w:tab w:val="center" w:pos="4153" w:leader="none"/>
        <w:tab w:val="right" w:pos="8306" w:leader="none"/>
      </w:tabs>
    </w:pPr>
    <w:r>
      <mc:AlternateContent>
        <mc:Choice Requires="wpg">
          <w:drawing>
            <wp:inline xmlns:wp="http://schemas.openxmlformats.org/drawingml/2006/wordprocessingDrawing" distT="0" distB="0" distL="0" distR="0">
              <wp:extent cx="1377328" cy="28639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328" cy="286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5pt;height:22.6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61"/>
      <w:isLgl w:val="false"/>
      <w:suff w:val="nothing"/>
      <w:lvlText w:val="第%1章"/>
      <w:lvlJc w:val="left"/>
      <w:pPr>
        <w:pStyle w:val="960"/>
        <w:ind w:left="0" w:firstLine="0"/>
      </w:pPr>
    </w:lvl>
    <w:lvl w:ilvl="1">
      <w:start w:val="1"/>
      <w:numFmt w:val="decimal"/>
      <w:pStyle w:val="962"/>
      <w:isLgl w:val="false"/>
      <w:suff w:val="nothing"/>
      <w:lvlText w:val=""/>
      <w:lvlJc w:val="left"/>
      <w:pPr>
        <w:pStyle w:val="960"/>
        <w:ind w:left="0" w:firstLine="0"/>
      </w:pPr>
    </w:lvl>
    <w:lvl w:ilvl="2">
      <w:start w:val="1"/>
      <w:numFmt w:val="decimal"/>
      <w:pStyle w:val="963"/>
      <w:isLgl w:val="false"/>
      <w:suff w:val="nothing"/>
      <w:lvlText w:val=""/>
      <w:lvlJc w:val="left"/>
      <w:pPr>
        <w:pStyle w:val="960"/>
        <w:ind w:left="0" w:firstLine="0"/>
      </w:pPr>
    </w:lvl>
    <w:lvl w:ilvl="3">
      <w:start w:val="1"/>
      <w:numFmt w:val="decimal"/>
      <w:pStyle w:val="964"/>
      <w:isLgl w:val="false"/>
      <w:suff w:val="nothing"/>
      <w:lvlText w:val=""/>
      <w:lvlJc w:val="left"/>
      <w:pPr>
        <w:pStyle w:val="960"/>
        <w:ind w:left="0" w:firstLine="0"/>
      </w:pPr>
    </w:lvl>
    <w:lvl w:ilvl="4">
      <w:start w:val="1"/>
      <w:numFmt w:val="decimal"/>
      <w:pStyle w:val="965"/>
      <w:isLgl w:val="false"/>
      <w:suff w:val="nothing"/>
      <w:lvlText w:val=""/>
      <w:lvlJc w:val="left"/>
      <w:pPr>
        <w:pStyle w:val="960"/>
        <w:ind w:left="0" w:firstLine="0"/>
      </w:pPr>
    </w:lvl>
    <w:lvl w:ilvl="5">
      <w:start w:val="1"/>
      <w:numFmt w:val="decimal"/>
      <w:pStyle w:val="966"/>
      <w:isLgl w:val="false"/>
      <w:suff w:val="nothing"/>
      <w:lvlText w:val=""/>
      <w:lvlJc w:val="left"/>
      <w:pPr>
        <w:pStyle w:val="960"/>
        <w:ind w:left="0" w:firstLine="0"/>
      </w:pPr>
    </w:lvl>
    <w:lvl w:ilvl="6">
      <w:start w:val="1"/>
      <w:numFmt w:val="decimal"/>
      <w:pStyle w:val="967"/>
      <w:isLgl w:val="false"/>
      <w:suff w:val="nothing"/>
      <w:lvlText w:val=""/>
      <w:lvlJc w:val="left"/>
      <w:pPr>
        <w:pStyle w:val="960"/>
        <w:ind w:left="0" w:firstLine="0"/>
      </w:pPr>
    </w:lvl>
    <w:lvl w:ilvl="7">
      <w:start w:val="1"/>
      <w:numFmt w:val="decimal"/>
      <w:pStyle w:val="968"/>
      <w:isLgl w:val="false"/>
      <w:suff w:val="nothing"/>
      <w:lvlText w:val=""/>
      <w:lvlJc w:val="left"/>
      <w:pPr>
        <w:pStyle w:val="960"/>
        <w:ind w:left="0" w:firstLine="0"/>
      </w:pPr>
    </w:lvl>
    <w:lvl w:ilvl="8">
      <w:start w:val="1"/>
      <w:numFmt w:val="decimal"/>
      <w:pStyle w:val="969"/>
      <w:isLgl w:val="false"/>
      <w:suff w:val="nothing"/>
      <w:lvlText w:val=""/>
      <w:lvlJc w:val="left"/>
      <w:pPr>
        <w:pStyle w:val="960"/>
        <w:ind w:left="0" w:firstLine="0"/>
      </w:pPr>
    </w:lvl>
  </w:abstractNum>
  <w:abstractNum w:abstractNumId="1">
    <w:multiLevelType w:val="hybridMultilevel"/>
    <w:lvl w:ilvl="0">
      <w:start w:val="1"/>
      <w:numFmt w:val="chineseCountingThousand"/>
      <w:pStyle w:val="1147"/>
      <w:isLgl w:val="false"/>
      <w:suff w:val="tab"/>
      <w:lvlText w:val="%1"/>
      <w:lvlJc w:val="left"/>
      <w:pPr>
        <w:pStyle w:val="960"/>
        <w:ind w:left="425" w:hanging="425"/>
      </w:pPr>
      <w:rPr>
        <w:rFonts w:hint="eastAsia" w:ascii="Arial Unicode MS" w:hAnsi="Arial Unicode MS" w:eastAsia="微软雅黑"/>
        <w:b/>
        <w:i w:val="0"/>
        <w:lang w:val="en-US"/>
      </w:rPr>
    </w:lvl>
    <w:lvl w:ilvl="1">
      <w:start w:val="1"/>
      <w:numFmt w:val="decimal"/>
      <w:pStyle w:val="1146"/>
      <w:isLgl w:val="false"/>
      <w:suff w:val="tab"/>
      <w:lvlText w:val="%1.%2"/>
      <w:lvlJc w:val="left"/>
      <w:pPr>
        <w:pStyle w:val="960"/>
        <w:ind w:left="425" w:hanging="425"/>
      </w:pPr>
      <w:rPr>
        <w:rFonts w:hint="eastAsia" w:ascii="Arial Unicode MS" w:hAnsi="Arial Unicode MS" w:eastAsia="微软雅黑"/>
        <w:b/>
        <w:i w:val="0"/>
      </w:rPr>
    </w:lvl>
    <w:lvl w:ilvl="2">
      <w:start w:val="1"/>
      <w:numFmt w:val="decimal"/>
      <w:pStyle w:val="1185"/>
      <w:isLgl w:val="false"/>
      <w:suff w:val="tab"/>
      <w:lvlText w:val="%1.%2.%3"/>
      <w:lvlJc w:val="left"/>
      <w:pPr>
        <w:pStyle w:val="960"/>
        <w:ind w:left="425" w:hanging="425"/>
      </w:pPr>
      <w:rPr>
        <w:rFonts w:hint="eastAsia" w:ascii="Arial Unicode MS" w:hAnsi="Arial Unicode MS" w:eastAsia="微软雅黑"/>
        <w:b/>
        <w:i w:val="0"/>
      </w:rPr>
    </w:lvl>
    <w:lvl w:ilvl="3">
      <w:start w:val="1"/>
      <w:numFmt w:val="decimal"/>
      <w:isLgl w:val="false"/>
      <w:suff w:val="tab"/>
      <w:lvlText w:val="%1.%2.%3.%4"/>
      <w:lvlJc w:val="left"/>
      <w:pPr>
        <w:pStyle w:val="960"/>
        <w:ind w:left="425" w:hanging="425"/>
      </w:pPr>
      <w:rPr>
        <w:rFonts w:hint="eastAsia" w:ascii="Arial Unicode MS" w:hAnsi="Arial Unicode MS" w:eastAsia="微软雅黑"/>
        <w:b/>
        <w:i w:val="0"/>
      </w:rPr>
    </w:lvl>
    <w:lvl w:ilvl="4">
      <w:start w:val="1"/>
      <w:numFmt w:val="decimal"/>
      <w:isLgl w:val="false"/>
      <w:suff w:val="tab"/>
      <w:lvlText w:val="%1.%2.%3.%4.%5"/>
      <w:lvlJc w:val="left"/>
      <w:pPr>
        <w:pStyle w:val="960"/>
        <w:ind w:left="425" w:hanging="425"/>
      </w:pPr>
      <w:rPr>
        <w:rFonts w:hint="eastAsia" w:ascii="Arial Unicode MS" w:hAnsi="Arial Unicode MS" w:eastAsia="微软雅黑"/>
        <w:b/>
        <w:i w:val="0"/>
      </w:rPr>
    </w:lvl>
    <w:lvl w:ilvl="5">
      <w:start w:val="1"/>
      <w:numFmt w:val="decimal"/>
      <w:isLgl w:val="false"/>
      <w:suff w:val="tab"/>
      <w:lvlText w:val="%1.%2.%3.%4.%5.%6"/>
      <w:lvlJc w:val="left"/>
      <w:pPr>
        <w:pStyle w:val="960"/>
        <w:ind w:left="425" w:hanging="425"/>
      </w:pPr>
      <w:rPr>
        <w:rFonts w:hint="eastAsia"/>
      </w:rPr>
    </w:lvl>
    <w:lvl w:ilvl="6">
      <w:start w:val="1"/>
      <w:numFmt w:val="decimal"/>
      <w:isLgl w:val="false"/>
      <w:suff w:val="tab"/>
      <w:lvlText w:val="%1.%2.%3.%4.%5.%6.%7"/>
      <w:lvlJc w:val="left"/>
      <w:pPr>
        <w:pStyle w:val="960"/>
        <w:ind w:left="425" w:hanging="425"/>
      </w:pPr>
      <w:rPr>
        <w:rFonts w:hint="eastAsia"/>
      </w:rPr>
    </w:lvl>
    <w:lvl w:ilvl="7">
      <w:start w:val="1"/>
      <w:numFmt w:val="decimal"/>
      <w:isLgl w:val="false"/>
      <w:suff w:val="tab"/>
      <w:lvlText w:val="%1.%2.%3.%4.%5.%6.%7.%8"/>
      <w:lvlJc w:val="left"/>
      <w:pPr>
        <w:pStyle w:val="960"/>
        <w:ind w:left="425" w:hanging="425"/>
      </w:pPr>
      <w:rPr>
        <w:rFonts w:hint="eastAsia"/>
      </w:rPr>
    </w:lvl>
    <w:lvl w:ilvl="8">
      <w:start w:val="1"/>
      <w:numFmt w:val="decimal"/>
      <w:isLgl w:val="false"/>
      <w:suff w:val="tab"/>
      <w:lvlText w:val="%1.%2.%3.%4.%5.%6.%7.%8.%9"/>
      <w:lvlJc w:val="left"/>
      <w:pPr>
        <w:pStyle w:val="960"/>
        <w:ind w:left="425" w:hanging="425"/>
      </w:pPr>
      <w:rPr>
        <w:rFonts w:hint="eastAsia"/>
      </w:rPr>
    </w:lvl>
  </w:abstractNum>
  <w:abstractNum w:abstractNumId="2">
    <w:multiLevelType w:val="hybridMultilevel"/>
    <w:lvl w:ilvl="0">
      <w:start w:val="1"/>
      <w:numFmt w:val="decimal"/>
      <w:pStyle w:val="1234"/>
      <w:isLgl w:val="false"/>
      <w:suff w:val="nothing"/>
      <w:lvlText w:val="%1."/>
      <w:lvlJc w:val="left"/>
      <w:pPr>
        <w:pStyle w:val="960"/>
        <w:ind w:left="0" w:firstLine="0"/>
      </w:pPr>
      <w:rPr>
        <w:rFonts w:hint="eastAsia"/>
        <w:b/>
        <w:i w:val="0"/>
        <w:sz w:val="32"/>
        <w:szCs w:val="32"/>
      </w:rPr>
    </w:lvl>
    <w:lvl w:ilvl="1">
      <w:start w:val="0"/>
      <w:numFmt w:val="decimal"/>
      <w:pStyle w:val="1270"/>
      <w:isLgl w:val="false"/>
      <w:suff w:val="nothing"/>
      <w:lvlText w:val="%1.%2."/>
      <w:lvlJc w:val="left"/>
      <w:pPr>
        <w:pStyle w:val="960"/>
        <w:ind w:left="380" w:hanging="380"/>
      </w:pPr>
      <w:rPr>
        <w:rFonts w:hint="eastAsia"/>
        <w:b/>
        <w:i w:val="0"/>
        <w:sz w:val="28"/>
        <w:szCs w:val="28"/>
      </w:rPr>
    </w:lvl>
    <w:lvl w:ilvl="2">
      <w:start w:val="1"/>
      <w:numFmt w:val="decimal"/>
      <w:pStyle w:val="1279"/>
      <w:isLgl w:val="false"/>
      <w:suff w:val="nothing"/>
      <w:lvlText w:val="%1.%2.%3."/>
      <w:lvlJc w:val="left"/>
      <w:pPr>
        <w:pStyle w:val="960"/>
        <w:ind w:left="0" w:firstLine="0"/>
      </w:pPr>
      <w:rPr>
        <w:rFonts w:hint="eastAsia"/>
        <w:b/>
        <w:i w:val="0"/>
        <w:sz w:val="24"/>
        <w:szCs w:val="24"/>
      </w:rPr>
    </w:lvl>
    <w:lvl w:ilvl="3">
      <w:start w:val="1"/>
      <w:numFmt w:val="decimal"/>
      <w:pStyle w:val="1225"/>
      <w:isLgl w:val="false"/>
      <w:suff w:val="nothing"/>
      <w:lvlText w:val="%1.%2.%3.%4."/>
      <w:lvlJc w:val="left"/>
      <w:pPr>
        <w:pStyle w:val="960"/>
        <w:ind w:left="0" w:firstLine="0"/>
      </w:pPr>
      <w:rPr>
        <w:rFonts w:hint="eastAsia"/>
        <w:b/>
        <w:i w:val="0"/>
        <w:sz w:val="21"/>
        <w:szCs w:val="21"/>
      </w:rPr>
    </w:lvl>
    <w:lvl w:ilvl="4">
      <w:start w:val="1"/>
      <w:numFmt w:val="decimal"/>
      <w:isLgl w:val="false"/>
      <w:suff w:val="tab"/>
      <w:lvlText w:val="%1.%2.%3.%4.%5."/>
      <w:lvlJc w:val="left"/>
      <w:pPr>
        <w:pStyle w:val="960"/>
        <w:ind w:left="9067" w:hanging="992"/>
        <w:tabs>
          <w:tab w:val="num" w:pos="9067" w:leader="none"/>
        </w:tabs>
      </w:pPr>
      <w:rPr>
        <w:rFonts w:hint="eastAsia"/>
      </w:rPr>
    </w:lvl>
    <w:lvl w:ilvl="5">
      <w:start w:val="1"/>
      <w:numFmt w:val="decimal"/>
      <w:isLgl w:val="false"/>
      <w:suff w:val="tab"/>
      <w:lvlText w:val="%1.%2.%3.%4.%5.%6."/>
      <w:lvlJc w:val="left"/>
      <w:pPr>
        <w:pStyle w:val="960"/>
        <w:ind w:left="9209" w:hanging="1134"/>
        <w:tabs>
          <w:tab w:val="num" w:pos="9209" w:leader="none"/>
        </w:tabs>
      </w:pPr>
      <w:rPr>
        <w:rFonts w:hint="eastAsia"/>
      </w:rPr>
    </w:lvl>
    <w:lvl w:ilvl="6">
      <w:start w:val="1"/>
      <w:numFmt w:val="decimal"/>
      <w:isLgl w:val="false"/>
      <w:suff w:val="tab"/>
      <w:lvlText w:val="%1.%2.%3.%4.%5.%6.%7."/>
      <w:lvlJc w:val="left"/>
      <w:pPr>
        <w:pStyle w:val="960"/>
        <w:ind w:left="9351" w:hanging="1276"/>
        <w:tabs>
          <w:tab w:val="num" w:pos="9351" w:leader="none"/>
        </w:tabs>
      </w:pPr>
      <w:rPr>
        <w:rFonts w:hint="eastAsia"/>
      </w:rPr>
    </w:lvl>
    <w:lvl w:ilvl="7">
      <w:start w:val="1"/>
      <w:numFmt w:val="decimal"/>
      <w:isLgl w:val="false"/>
      <w:suff w:val="tab"/>
      <w:lvlText w:val="%1.%2.%3.%4.%5.%6.%7.%8."/>
      <w:lvlJc w:val="left"/>
      <w:pPr>
        <w:pStyle w:val="960"/>
        <w:ind w:left="9493" w:hanging="1418"/>
        <w:tabs>
          <w:tab w:val="num" w:pos="9493" w:leader="none"/>
        </w:tabs>
      </w:pPr>
      <w:rPr>
        <w:rFonts w:hint="eastAsia"/>
      </w:rPr>
    </w:lvl>
    <w:lvl w:ilvl="8">
      <w:start w:val="1"/>
      <w:numFmt w:val="decimal"/>
      <w:isLgl w:val="false"/>
      <w:suff w:val="tab"/>
      <w:lvlText w:val="%1.%2.%3.%4.%5.%6.%7.%8.%9."/>
      <w:lvlJc w:val="left"/>
      <w:pPr>
        <w:pStyle w:val="960"/>
        <w:ind w:left="9634" w:hanging="1559"/>
        <w:tabs>
          <w:tab w:val="num" w:pos="9634" w:leader="none"/>
        </w:tabs>
      </w:pPr>
      <w:rPr>
        <w:rFonts w:hint="eastAsia"/>
      </w:rPr>
    </w:lvl>
  </w:abstractNum>
  <w:abstractNum w:abstractNumId="3">
    <w:multiLevelType w:val="hybridMultilevel"/>
    <w:lvl w:ilvl="0">
      <w:start w:val="1"/>
      <w:numFmt w:val="lowerLetter"/>
      <w:isLgl w:val="false"/>
      <w:suff w:val="tab"/>
      <w:lvlText w:val="(%1)"/>
      <w:lvlJc w:val="left"/>
      <w:pPr>
        <w:pStyle w:val="960"/>
        <w:ind w:left="990" w:hanging="450"/>
        <w:tabs>
          <w:tab w:val="num" w:pos="990" w:leader="none"/>
        </w:tabs>
      </w:pPr>
    </w:lvl>
    <w:lvl w:ilvl="1">
      <w:start w:val="1"/>
      <w:numFmt w:val="lowerLetter"/>
      <w:isLgl w:val="false"/>
      <w:suff w:val="tab"/>
      <w:lvlText w:val="%2)"/>
      <w:lvlJc w:val="left"/>
      <w:pPr>
        <w:pStyle w:val="960"/>
        <w:ind w:left="1380" w:hanging="420"/>
        <w:tabs>
          <w:tab w:val="num" w:pos="1380" w:leader="none"/>
        </w:tabs>
      </w:pPr>
    </w:lvl>
    <w:lvl w:ilvl="2">
      <w:start w:val="1"/>
      <w:numFmt w:val="lowerRoman"/>
      <w:pStyle w:val="1242"/>
      <w:isLgl w:val="false"/>
      <w:suff w:val="tab"/>
      <w:lvlText w:val="%3."/>
      <w:lvlJc w:val="right"/>
      <w:pPr>
        <w:pStyle w:val="960"/>
        <w:ind w:left="1800" w:hanging="420"/>
        <w:tabs>
          <w:tab w:val="num" w:pos="1800" w:leader="none"/>
        </w:tabs>
      </w:pPr>
    </w:lvl>
    <w:lvl w:ilvl="3">
      <w:start w:val="1"/>
      <w:numFmt w:val="decimal"/>
      <w:pStyle w:val="1258"/>
      <w:isLgl w:val="false"/>
      <w:suff w:val="tab"/>
      <w:lvlText w:val="%4."/>
      <w:lvlJc w:val="left"/>
      <w:pPr>
        <w:pStyle w:val="960"/>
        <w:ind w:left="2220" w:hanging="420"/>
        <w:tabs>
          <w:tab w:val="num" w:pos="2220" w:leader="none"/>
        </w:tabs>
      </w:pPr>
    </w:lvl>
    <w:lvl w:ilvl="4">
      <w:start w:val="1"/>
      <w:numFmt w:val="lowerLetter"/>
      <w:isLgl w:val="false"/>
      <w:suff w:val="tab"/>
      <w:lvlText w:val="%5)"/>
      <w:lvlJc w:val="left"/>
      <w:pPr>
        <w:pStyle w:val="960"/>
        <w:ind w:left="2640" w:hanging="420"/>
        <w:tabs>
          <w:tab w:val="num" w:pos="2640" w:leader="none"/>
        </w:tabs>
      </w:pPr>
    </w:lvl>
    <w:lvl w:ilvl="5">
      <w:start w:val="1"/>
      <w:numFmt w:val="lowerRoman"/>
      <w:isLgl w:val="false"/>
      <w:suff w:val="tab"/>
      <w:lvlText w:val="%6."/>
      <w:lvlJc w:val="right"/>
      <w:pPr>
        <w:pStyle w:val="960"/>
        <w:ind w:left="3060" w:hanging="420"/>
        <w:tabs>
          <w:tab w:val="num" w:pos="3060" w:leader="none"/>
        </w:tabs>
      </w:pPr>
    </w:lvl>
    <w:lvl w:ilvl="6">
      <w:start w:val="1"/>
      <w:numFmt w:val="decimal"/>
      <w:isLgl w:val="false"/>
      <w:suff w:val="tab"/>
      <w:lvlText w:val="%7."/>
      <w:lvlJc w:val="left"/>
      <w:pPr>
        <w:pStyle w:val="960"/>
        <w:ind w:left="3480" w:hanging="420"/>
        <w:tabs>
          <w:tab w:val="num" w:pos="3480" w:leader="none"/>
        </w:tabs>
      </w:pPr>
    </w:lvl>
    <w:lvl w:ilvl="7">
      <w:start w:val="1"/>
      <w:numFmt w:val="lowerLetter"/>
      <w:isLgl w:val="false"/>
      <w:suff w:val="tab"/>
      <w:lvlText w:val="%8)"/>
      <w:lvlJc w:val="left"/>
      <w:pPr>
        <w:pStyle w:val="960"/>
        <w:ind w:left="3900" w:hanging="420"/>
        <w:tabs>
          <w:tab w:val="num" w:pos="3900" w:leader="none"/>
        </w:tabs>
      </w:pPr>
    </w:lvl>
    <w:lvl w:ilvl="8">
      <w:start w:val="1"/>
      <w:numFmt w:val="lowerRoman"/>
      <w:isLgl w:val="false"/>
      <w:suff w:val="tab"/>
      <w:lvlText w:val="%9."/>
      <w:lvlJc w:val="right"/>
      <w:pPr>
        <w:pStyle w:val="960"/>
        <w:ind w:left="4320" w:hanging="420"/>
        <w:tabs>
          <w:tab w:val="num" w:pos="4320" w:leader="none"/>
        </w:tabs>
      </w:pPr>
    </w:lvl>
  </w:abstractNum>
  <w:abstractNum w:abstractNumId="4">
    <w:multiLevelType w:val="hybridMultilevel"/>
    <w:lvl w:ilvl="0">
      <w:start w:val="1"/>
      <w:numFmt w:val="japaneseCounting"/>
      <w:pStyle w:val="1244"/>
      <w:isLgl w:val="false"/>
      <w:suff w:val="tab"/>
      <w:lvlText w:val="%1、"/>
      <w:lvlJc w:val="left"/>
      <w:pPr>
        <w:pStyle w:val="960"/>
        <w:ind w:left="1036" w:hanging="480"/>
        <w:tabs>
          <w:tab w:val="num" w:pos="1036" w:leader="none"/>
        </w:tabs>
      </w:pPr>
    </w:lvl>
    <w:lvl w:ilvl="1">
      <w:start w:val="1"/>
      <w:numFmt w:val="lowerLetter"/>
      <w:pStyle w:val="1231"/>
      <w:isLgl w:val="false"/>
      <w:suff w:val="tab"/>
      <w:lvlText w:val="%2)"/>
      <w:lvlJc w:val="left"/>
      <w:pPr>
        <w:pStyle w:val="960"/>
        <w:ind w:left="1396" w:hanging="420"/>
        <w:tabs>
          <w:tab w:val="num" w:pos="1396" w:leader="none"/>
        </w:tabs>
      </w:pPr>
    </w:lvl>
    <w:lvl w:ilvl="2">
      <w:start w:val="1"/>
      <w:numFmt w:val="lowerRoman"/>
      <w:isLgl w:val="false"/>
      <w:suff w:val="tab"/>
      <w:lvlText w:val="%3."/>
      <w:lvlJc w:val="right"/>
      <w:pPr>
        <w:pStyle w:val="960"/>
        <w:ind w:left="1816" w:hanging="420"/>
        <w:tabs>
          <w:tab w:val="num" w:pos="1816" w:leader="none"/>
        </w:tabs>
      </w:pPr>
    </w:lvl>
    <w:lvl w:ilvl="3">
      <w:start w:val="1"/>
      <w:numFmt w:val="decimal"/>
      <w:isLgl w:val="false"/>
      <w:suff w:val="tab"/>
      <w:lvlText w:val="%4."/>
      <w:lvlJc w:val="left"/>
      <w:pPr>
        <w:pStyle w:val="960"/>
        <w:ind w:left="2236" w:hanging="420"/>
        <w:tabs>
          <w:tab w:val="num" w:pos="2236" w:leader="none"/>
        </w:tabs>
      </w:pPr>
    </w:lvl>
    <w:lvl w:ilvl="4">
      <w:start w:val="1"/>
      <w:numFmt w:val="lowerLetter"/>
      <w:isLgl w:val="false"/>
      <w:suff w:val="tab"/>
      <w:lvlText w:val="%5)"/>
      <w:lvlJc w:val="left"/>
      <w:pPr>
        <w:pStyle w:val="960"/>
        <w:ind w:left="2656" w:hanging="420"/>
        <w:tabs>
          <w:tab w:val="num" w:pos="2656" w:leader="none"/>
        </w:tabs>
      </w:pPr>
    </w:lvl>
    <w:lvl w:ilvl="5">
      <w:start w:val="1"/>
      <w:numFmt w:val="lowerRoman"/>
      <w:isLgl w:val="false"/>
      <w:suff w:val="tab"/>
      <w:lvlText w:val="%6."/>
      <w:lvlJc w:val="right"/>
      <w:pPr>
        <w:pStyle w:val="960"/>
        <w:ind w:left="3076" w:hanging="420"/>
        <w:tabs>
          <w:tab w:val="num" w:pos="3076" w:leader="none"/>
        </w:tabs>
      </w:pPr>
    </w:lvl>
    <w:lvl w:ilvl="6">
      <w:start w:val="1"/>
      <w:numFmt w:val="decimal"/>
      <w:isLgl w:val="false"/>
      <w:suff w:val="tab"/>
      <w:lvlText w:val="%7."/>
      <w:lvlJc w:val="left"/>
      <w:pPr>
        <w:pStyle w:val="960"/>
        <w:ind w:left="3496" w:hanging="420"/>
        <w:tabs>
          <w:tab w:val="num" w:pos="3496" w:leader="none"/>
        </w:tabs>
      </w:pPr>
    </w:lvl>
    <w:lvl w:ilvl="7">
      <w:start w:val="1"/>
      <w:numFmt w:val="lowerLetter"/>
      <w:isLgl w:val="false"/>
      <w:suff w:val="tab"/>
      <w:lvlText w:val="%8)"/>
      <w:lvlJc w:val="left"/>
      <w:pPr>
        <w:pStyle w:val="960"/>
        <w:ind w:left="3916" w:hanging="420"/>
        <w:tabs>
          <w:tab w:val="num" w:pos="3916" w:leader="none"/>
        </w:tabs>
      </w:pPr>
    </w:lvl>
    <w:lvl w:ilvl="8">
      <w:start w:val="1"/>
      <w:numFmt w:val="lowerRoman"/>
      <w:isLgl w:val="false"/>
      <w:suff w:val="tab"/>
      <w:lvlText w:val="%9."/>
      <w:lvlJc w:val="right"/>
      <w:pPr>
        <w:pStyle w:val="960"/>
        <w:ind w:left="4336" w:hanging="420"/>
        <w:tabs>
          <w:tab w:val="num" w:pos="4336" w:leader="none"/>
        </w:tabs>
      </w:pPr>
    </w:lvl>
  </w:abstractNum>
  <w:abstractNum w:abstractNumId="5">
    <w:multiLevelType w:val="hybridMultilevel"/>
    <w:lvl w:ilvl="0">
      <w:start w:val="1"/>
      <w:numFmt w:val="bullet"/>
      <w:pStyle w:val="1239"/>
      <w:isLgl w:val="false"/>
      <w:suff w:val="tab"/>
      <w:lvlText w:val=""/>
      <w:lvlJc w:val="left"/>
      <w:pPr>
        <w:pStyle w:val="960"/>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960"/>
        <w:ind w:left="540" w:firstLine="0"/>
      </w:pPr>
      <w:rPr>
        <w:rFonts w:hint="eastAsia"/>
      </w:rPr>
    </w:lvl>
    <w:lvl w:ilvl="1">
      <w:start w:val="1"/>
      <w:numFmt w:val="decimal"/>
      <w:isLgl w:val="false"/>
      <w:suff w:val="space"/>
      <w:lvlText w:val="%1.%2"/>
      <w:lvlJc w:val="left"/>
      <w:pPr>
        <w:pStyle w:val="960"/>
        <w:ind w:left="540" w:firstLine="0"/>
      </w:pPr>
      <w:rPr>
        <w:rFonts w:hint="eastAsia"/>
      </w:rPr>
    </w:lvl>
    <w:lvl w:ilvl="2">
      <w:start w:val="1"/>
      <w:numFmt w:val="decimal"/>
      <w:pStyle w:val="1227"/>
      <w:isLgl w:val="false"/>
      <w:suff w:val="space"/>
      <w:lvlText w:val="%1.%2.%3"/>
      <w:lvlJc w:val="left"/>
      <w:pPr>
        <w:pStyle w:val="960"/>
        <w:ind w:left="540" w:firstLine="0"/>
      </w:pPr>
      <w:rPr>
        <w:rFonts w:hint="eastAsia"/>
      </w:rPr>
    </w:lvl>
    <w:lvl w:ilvl="3">
      <w:start w:val="1"/>
      <w:numFmt w:val="decimal"/>
      <w:pStyle w:val="1254"/>
      <w:isLgl w:val="false"/>
      <w:suff w:val="space"/>
      <w:lvlText w:val="(%4)"/>
      <w:lvlJc w:val="left"/>
      <w:pPr>
        <w:pStyle w:val="960"/>
        <w:ind w:left="2682" w:firstLine="198"/>
      </w:pPr>
      <w:rPr>
        <w:rFonts w:hint="eastAsia"/>
        <w:b w:val="0"/>
      </w:rPr>
    </w:lvl>
    <w:lvl w:ilvl="4">
      <w:start w:val="1"/>
      <w:numFmt w:val="lowerLetter"/>
      <w:pStyle w:val="1252"/>
      <w:isLgl w:val="false"/>
      <w:suff w:val="space"/>
      <w:lvlText w:val="%5."/>
      <w:lvlJc w:val="left"/>
      <w:pPr>
        <w:pStyle w:val="960"/>
        <w:ind w:left="540" w:firstLine="301"/>
      </w:pPr>
      <w:rPr>
        <w:rFonts w:hint="eastAsia"/>
      </w:rPr>
    </w:lvl>
    <w:lvl w:ilvl="5">
      <w:start w:val="1"/>
      <w:numFmt w:val="decimal"/>
      <w:isLgl w:val="false"/>
      <w:suff w:val="tab"/>
      <w:lvlText w:val="%1.%2.%3.%4.%5.%6"/>
      <w:lvlJc w:val="left"/>
      <w:pPr>
        <w:pStyle w:val="960"/>
        <w:ind w:left="3658" w:hanging="1134"/>
        <w:tabs>
          <w:tab w:val="num" w:pos="3658" w:leader="none"/>
        </w:tabs>
      </w:pPr>
      <w:rPr>
        <w:rFonts w:hint="eastAsia"/>
      </w:rPr>
    </w:lvl>
    <w:lvl w:ilvl="6">
      <w:start w:val="1"/>
      <w:numFmt w:val="decimal"/>
      <w:isLgl w:val="false"/>
      <w:suff w:val="tab"/>
      <w:lvlText w:val="%1.%2.%3.%4.%5.%6.%7"/>
      <w:lvlJc w:val="left"/>
      <w:pPr>
        <w:pStyle w:val="960"/>
        <w:ind w:left="4225" w:hanging="1276"/>
        <w:tabs>
          <w:tab w:val="num" w:pos="6549" w:leader="none"/>
        </w:tabs>
      </w:pPr>
      <w:rPr>
        <w:rFonts w:hint="eastAsia"/>
      </w:rPr>
    </w:lvl>
    <w:lvl w:ilvl="7">
      <w:start w:val="1"/>
      <w:numFmt w:val="decimal"/>
      <w:isLgl w:val="false"/>
      <w:suff w:val="tab"/>
      <w:lvlText w:val="%1.%2.%3.%4.%5.%6.%7.%8"/>
      <w:lvlJc w:val="left"/>
      <w:pPr>
        <w:pStyle w:val="960"/>
        <w:ind w:left="4792" w:hanging="1418"/>
        <w:tabs>
          <w:tab w:val="num" w:pos="7694" w:leader="none"/>
        </w:tabs>
      </w:pPr>
      <w:rPr>
        <w:rFonts w:hint="eastAsia"/>
      </w:rPr>
    </w:lvl>
    <w:lvl w:ilvl="8">
      <w:start w:val="1"/>
      <w:numFmt w:val="decimal"/>
      <w:isLgl w:val="false"/>
      <w:suff w:val="tab"/>
      <w:lvlText w:val="%1.%2.%3.%4.%5.%6.%7.%8.%9"/>
      <w:lvlJc w:val="left"/>
      <w:pPr>
        <w:pStyle w:val="960"/>
        <w:ind w:left="5500" w:hanging="1700"/>
        <w:tabs>
          <w:tab w:val="num" w:pos="8480" w:leader="none"/>
        </w:tabs>
      </w:pPr>
      <w:rPr>
        <w:rFonts w:hint="eastAsia"/>
      </w:r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6">
    <w:name w:val="Heading 1 Char"/>
    <w:link w:val="1168"/>
    <w:uiPriority w:val="9"/>
    <w:rPr>
      <w:rFonts w:ascii="Arial" w:hAnsi="Arial" w:eastAsia="Arial" w:cs="Arial"/>
      <w:sz w:val="40"/>
      <w:szCs w:val="40"/>
    </w:rPr>
  </w:style>
  <w:style w:type="paragraph" w:styleId="787">
    <w:name w:val="Heading 2"/>
    <w:basedOn w:val="960"/>
    <w:next w:val="960"/>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character" w:styleId="789">
    <w:name w:val="Heading 3 Char"/>
    <w:link w:val="1202"/>
    <w:uiPriority w:val="9"/>
    <w:rPr>
      <w:rFonts w:ascii="Arial" w:hAnsi="Arial" w:eastAsia="Arial" w:cs="Arial"/>
      <w:sz w:val="30"/>
      <w:szCs w:val="30"/>
    </w:rPr>
  </w:style>
  <w:style w:type="paragraph" w:styleId="790">
    <w:name w:val="Heading 4"/>
    <w:basedOn w:val="960"/>
    <w:next w:val="960"/>
    <w:link w:val="791"/>
    <w:uiPriority w:val="9"/>
    <w:unhideWhenUsed/>
    <w:qFormat/>
    <w:pPr>
      <w:keepLines/>
      <w:keepNext/>
      <w:spacing w:before="320" w:after="200"/>
      <w:outlineLvl w:val="3"/>
    </w:pPr>
    <w:rPr>
      <w:rFonts w:ascii="Arial" w:hAnsi="Arial" w:eastAsia="Arial" w:cs="Arial"/>
      <w:b/>
      <w:bCs/>
      <w:sz w:val="26"/>
      <w:szCs w:val="26"/>
    </w:rPr>
  </w:style>
  <w:style w:type="character" w:styleId="791">
    <w:name w:val="Heading 4 Char"/>
    <w:link w:val="790"/>
    <w:uiPriority w:val="9"/>
    <w:rPr>
      <w:rFonts w:ascii="Arial" w:hAnsi="Arial" w:eastAsia="Arial" w:cs="Arial"/>
      <w:b/>
      <w:bCs/>
      <w:sz w:val="26"/>
      <w:szCs w:val="26"/>
    </w:rPr>
  </w:style>
  <w:style w:type="character" w:styleId="792">
    <w:name w:val="Heading 5 Char"/>
    <w:link w:val="1199"/>
    <w:uiPriority w:val="9"/>
    <w:rPr>
      <w:rFonts w:ascii="Arial" w:hAnsi="Arial" w:eastAsia="Arial" w:cs="Arial"/>
      <w:b/>
      <w:bCs/>
      <w:sz w:val="24"/>
      <w:szCs w:val="24"/>
    </w:rPr>
  </w:style>
  <w:style w:type="paragraph" w:styleId="793">
    <w:name w:val="Heading 6"/>
    <w:basedOn w:val="960"/>
    <w:next w:val="960"/>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link w:val="793"/>
    <w:uiPriority w:val="9"/>
    <w:rPr>
      <w:rFonts w:ascii="Arial" w:hAnsi="Arial" w:eastAsia="Arial" w:cs="Arial"/>
      <w:b/>
      <w:bCs/>
      <w:sz w:val="22"/>
      <w:szCs w:val="22"/>
    </w:rPr>
  </w:style>
  <w:style w:type="paragraph" w:styleId="795">
    <w:name w:val="Heading 7"/>
    <w:basedOn w:val="960"/>
    <w:next w:val="960"/>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link w:val="795"/>
    <w:uiPriority w:val="9"/>
    <w:rPr>
      <w:rFonts w:ascii="Arial" w:hAnsi="Arial" w:eastAsia="Arial" w:cs="Arial"/>
      <w:b/>
      <w:bCs/>
      <w:i/>
      <w:iCs/>
      <w:sz w:val="22"/>
      <w:szCs w:val="22"/>
    </w:rPr>
  </w:style>
  <w:style w:type="paragraph" w:styleId="797">
    <w:name w:val="Heading 8"/>
    <w:basedOn w:val="960"/>
    <w:next w:val="960"/>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link w:val="797"/>
    <w:uiPriority w:val="9"/>
    <w:rPr>
      <w:rFonts w:ascii="Arial" w:hAnsi="Arial" w:eastAsia="Arial" w:cs="Arial"/>
      <w:i/>
      <w:iCs/>
      <w:sz w:val="22"/>
      <w:szCs w:val="22"/>
    </w:rPr>
  </w:style>
  <w:style w:type="paragraph" w:styleId="799">
    <w:name w:val="Heading 9"/>
    <w:basedOn w:val="960"/>
    <w:next w:val="960"/>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link w:val="799"/>
    <w:uiPriority w:val="9"/>
    <w:rPr>
      <w:rFonts w:ascii="Arial" w:hAnsi="Arial" w:eastAsia="Arial" w:cs="Arial"/>
      <w:i/>
      <w:iCs/>
      <w:sz w:val="21"/>
      <w:szCs w:val="21"/>
    </w:rPr>
  </w:style>
  <w:style w:type="paragraph" w:styleId="801">
    <w:name w:val="No Spacing"/>
    <w:uiPriority w:val="1"/>
    <w:qFormat/>
    <w:pPr>
      <w:spacing w:before="0" w:after="0" w:line="240" w:lineRule="auto"/>
    </w:pPr>
  </w:style>
  <w:style w:type="paragraph" w:styleId="802">
    <w:name w:val="Title"/>
    <w:basedOn w:val="960"/>
    <w:next w:val="960"/>
    <w:link w:val="803"/>
    <w:uiPriority w:val="10"/>
    <w:qFormat/>
    <w:pPr>
      <w:contextualSpacing/>
      <w:spacing w:before="300" w:after="200"/>
    </w:pPr>
    <w:rPr>
      <w:sz w:val="48"/>
      <w:szCs w:val="48"/>
    </w:rPr>
  </w:style>
  <w:style w:type="character" w:styleId="803">
    <w:name w:val="Title Char"/>
    <w:link w:val="802"/>
    <w:uiPriority w:val="10"/>
    <w:rPr>
      <w:sz w:val="48"/>
      <w:szCs w:val="48"/>
    </w:rPr>
  </w:style>
  <w:style w:type="paragraph" w:styleId="804">
    <w:name w:val="Subtitle"/>
    <w:basedOn w:val="960"/>
    <w:next w:val="960"/>
    <w:link w:val="805"/>
    <w:uiPriority w:val="11"/>
    <w:qFormat/>
    <w:pPr>
      <w:spacing w:before="200" w:after="200"/>
    </w:pPr>
    <w:rPr>
      <w:sz w:val="24"/>
      <w:szCs w:val="24"/>
    </w:rPr>
  </w:style>
  <w:style w:type="character" w:styleId="805">
    <w:name w:val="Subtitle Char"/>
    <w:link w:val="804"/>
    <w:uiPriority w:val="11"/>
    <w:rPr>
      <w:sz w:val="24"/>
      <w:szCs w:val="24"/>
    </w:rPr>
  </w:style>
  <w:style w:type="paragraph" w:styleId="806">
    <w:name w:val="Quote"/>
    <w:basedOn w:val="960"/>
    <w:next w:val="960"/>
    <w:link w:val="807"/>
    <w:uiPriority w:val="29"/>
    <w:qFormat/>
    <w:pPr>
      <w:ind w:left="720" w:right="720"/>
    </w:pPr>
    <w:rPr>
      <w:i/>
    </w:rPr>
  </w:style>
  <w:style w:type="character" w:styleId="807">
    <w:name w:val="Quote Char"/>
    <w:link w:val="806"/>
    <w:uiPriority w:val="29"/>
    <w:rPr>
      <w:i/>
    </w:rPr>
  </w:style>
  <w:style w:type="paragraph" w:styleId="808">
    <w:name w:val="Intense Quote"/>
    <w:basedOn w:val="960"/>
    <w:next w:val="960"/>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name w:val="Intense Quote Char"/>
    <w:link w:val="808"/>
    <w:uiPriority w:val="30"/>
    <w:rPr>
      <w:i/>
    </w:rPr>
  </w:style>
  <w:style w:type="paragraph" w:styleId="810">
    <w:name w:val="Header"/>
    <w:basedOn w:val="960"/>
    <w:link w:val="811"/>
    <w:uiPriority w:val="99"/>
    <w:unhideWhenUsed/>
    <w:pPr>
      <w:spacing w:after="0" w:line="240" w:lineRule="auto"/>
      <w:tabs>
        <w:tab w:val="center" w:pos="7143" w:leader="none"/>
        <w:tab w:val="right" w:pos="14287" w:leader="none"/>
      </w:tabs>
    </w:pPr>
  </w:style>
  <w:style w:type="character" w:styleId="811">
    <w:name w:val="Header Char"/>
    <w:link w:val="810"/>
    <w:uiPriority w:val="99"/>
  </w:style>
  <w:style w:type="paragraph" w:styleId="812">
    <w:name w:val="Footer"/>
    <w:basedOn w:val="960"/>
    <w:link w:val="815"/>
    <w:uiPriority w:val="99"/>
    <w:unhideWhenUsed/>
    <w:pPr>
      <w:spacing w:after="0" w:line="240" w:lineRule="auto"/>
      <w:tabs>
        <w:tab w:val="center" w:pos="7143" w:leader="none"/>
        <w:tab w:val="right" w:pos="14287" w:leader="none"/>
      </w:tabs>
    </w:pPr>
  </w:style>
  <w:style w:type="character" w:styleId="813">
    <w:name w:val="Footer Char"/>
    <w:link w:val="812"/>
    <w:uiPriority w:val="99"/>
  </w:style>
  <w:style w:type="paragraph" w:styleId="814">
    <w:name w:val="Caption"/>
    <w:basedOn w:val="960"/>
    <w:next w:val="960"/>
    <w:uiPriority w:val="35"/>
    <w:semiHidden/>
    <w:unhideWhenUsed/>
    <w:qFormat/>
    <w:pPr>
      <w:spacing w:line="276" w:lineRule="auto"/>
    </w:pPr>
    <w:rPr>
      <w:b/>
      <w:bCs/>
      <w:color w:val="4f81bd" w:themeColor="accent1"/>
      <w:sz w:val="18"/>
      <w:szCs w:val="18"/>
    </w:rPr>
  </w:style>
  <w:style w:type="character" w:styleId="815">
    <w:name w:val="Caption Char"/>
    <w:basedOn w:val="814"/>
    <w:link w:val="812"/>
    <w:uiPriority w:val="99"/>
  </w:style>
  <w:style w:type="table" w:styleId="8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2">
    <w:name w:val="Hyperlink"/>
    <w:uiPriority w:val="99"/>
    <w:unhideWhenUsed/>
    <w:rPr>
      <w:color w:val="0000ff" w:themeColor="hyperlink"/>
      <w:u w:val="single"/>
    </w:rPr>
  </w:style>
  <w:style w:type="paragraph" w:styleId="943">
    <w:name w:val="footnote text"/>
    <w:basedOn w:val="960"/>
    <w:link w:val="944"/>
    <w:uiPriority w:val="99"/>
    <w:semiHidden/>
    <w:unhideWhenUsed/>
    <w:pPr>
      <w:spacing w:after="40" w:line="240" w:lineRule="auto"/>
    </w:pPr>
    <w:rPr>
      <w:sz w:val="18"/>
    </w:rPr>
  </w:style>
  <w:style w:type="character" w:styleId="944">
    <w:name w:val="Footnote Text Char"/>
    <w:link w:val="943"/>
    <w:uiPriority w:val="99"/>
    <w:rPr>
      <w:sz w:val="18"/>
    </w:rPr>
  </w:style>
  <w:style w:type="character" w:styleId="945">
    <w:name w:val="footnote reference"/>
    <w:uiPriority w:val="99"/>
    <w:unhideWhenUsed/>
    <w:rPr>
      <w:vertAlign w:val="superscript"/>
    </w:rPr>
  </w:style>
  <w:style w:type="paragraph" w:styleId="946">
    <w:name w:val="endnote text"/>
    <w:basedOn w:val="960"/>
    <w:link w:val="947"/>
    <w:uiPriority w:val="99"/>
    <w:semiHidden/>
    <w:unhideWhenUsed/>
    <w:pPr>
      <w:spacing w:after="0" w:line="240" w:lineRule="auto"/>
    </w:pPr>
    <w:rPr>
      <w:sz w:val="20"/>
    </w:rPr>
  </w:style>
  <w:style w:type="character" w:styleId="947">
    <w:name w:val="Endnote Text Char"/>
    <w:link w:val="946"/>
    <w:uiPriority w:val="99"/>
    <w:rPr>
      <w:sz w:val="20"/>
    </w:rPr>
  </w:style>
  <w:style w:type="character" w:styleId="948">
    <w:name w:val="endnote reference"/>
    <w:uiPriority w:val="99"/>
    <w:semiHidden/>
    <w:unhideWhenUsed/>
    <w:rPr>
      <w:vertAlign w:val="superscript"/>
    </w:rPr>
  </w:style>
  <w:style w:type="paragraph" w:styleId="949">
    <w:name w:val="toc 1"/>
    <w:basedOn w:val="960"/>
    <w:next w:val="960"/>
    <w:uiPriority w:val="39"/>
    <w:unhideWhenUsed/>
    <w:pPr>
      <w:ind w:left="0" w:right="0" w:firstLine="0"/>
      <w:spacing w:after="57"/>
    </w:pPr>
  </w:style>
  <w:style w:type="paragraph" w:styleId="950">
    <w:name w:val="toc 2"/>
    <w:basedOn w:val="960"/>
    <w:next w:val="960"/>
    <w:uiPriority w:val="39"/>
    <w:unhideWhenUsed/>
    <w:pPr>
      <w:ind w:left="283" w:right="0" w:firstLine="0"/>
      <w:spacing w:after="57"/>
    </w:pPr>
  </w:style>
  <w:style w:type="paragraph" w:styleId="951">
    <w:name w:val="toc 3"/>
    <w:basedOn w:val="960"/>
    <w:next w:val="960"/>
    <w:uiPriority w:val="39"/>
    <w:unhideWhenUsed/>
    <w:pPr>
      <w:ind w:left="567" w:right="0" w:firstLine="0"/>
      <w:spacing w:after="57"/>
    </w:pPr>
  </w:style>
  <w:style w:type="paragraph" w:styleId="952">
    <w:name w:val="toc 4"/>
    <w:basedOn w:val="960"/>
    <w:next w:val="960"/>
    <w:uiPriority w:val="39"/>
    <w:unhideWhenUsed/>
    <w:pPr>
      <w:ind w:left="850" w:right="0" w:firstLine="0"/>
      <w:spacing w:after="57"/>
    </w:pPr>
  </w:style>
  <w:style w:type="paragraph" w:styleId="953">
    <w:name w:val="toc 5"/>
    <w:basedOn w:val="960"/>
    <w:next w:val="960"/>
    <w:uiPriority w:val="39"/>
    <w:unhideWhenUsed/>
    <w:pPr>
      <w:ind w:left="1134" w:right="0" w:firstLine="0"/>
      <w:spacing w:after="57"/>
    </w:pPr>
  </w:style>
  <w:style w:type="paragraph" w:styleId="954">
    <w:name w:val="toc 6"/>
    <w:basedOn w:val="960"/>
    <w:next w:val="960"/>
    <w:uiPriority w:val="39"/>
    <w:unhideWhenUsed/>
    <w:pPr>
      <w:ind w:left="1417" w:right="0" w:firstLine="0"/>
      <w:spacing w:after="57"/>
    </w:pPr>
  </w:style>
  <w:style w:type="paragraph" w:styleId="955">
    <w:name w:val="toc 7"/>
    <w:basedOn w:val="960"/>
    <w:next w:val="960"/>
    <w:uiPriority w:val="39"/>
    <w:unhideWhenUsed/>
    <w:pPr>
      <w:ind w:left="1701" w:right="0" w:firstLine="0"/>
      <w:spacing w:after="57"/>
    </w:pPr>
  </w:style>
  <w:style w:type="paragraph" w:styleId="956">
    <w:name w:val="toc 8"/>
    <w:basedOn w:val="960"/>
    <w:next w:val="960"/>
    <w:uiPriority w:val="39"/>
    <w:unhideWhenUsed/>
    <w:pPr>
      <w:ind w:left="1984" w:right="0" w:firstLine="0"/>
      <w:spacing w:after="57"/>
    </w:pPr>
  </w:style>
  <w:style w:type="paragraph" w:styleId="957">
    <w:name w:val="toc 9"/>
    <w:basedOn w:val="960"/>
    <w:next w:val="960"/>
    <w:uiPriority w:val="39"/>
    <w:unhideWhenUsed/>
    <w:pPr>
      <w:ind w:left="2268" w:right="0" w:firstLine="0"/>
      <w:spacing w:after="57"/>
    </w:pPr>
  </w:style>
  <w:style w:type="paragraph" w:styleId="958">
    <w:name w:val="TOC Heading"/>
    <w:uiPriority w:val="39"/>
    <w:unhideWhenUsed/>
  </w:style>
  <w:style w:type="paragraph" w:styleId="959">
    <w:name w:val="table of figures"/>
    <w:basedOn w:val="960"/>
    <w:next w:val="960"/>
    <w:uiPriority w:val="99"/>
    <w:unhideWhenUsed/>
    <w:pPr>
      <w:spacing w:after="0" w:afterAutospacing="0"/>
    </w:pPr>
  </w:style>
  <w:style w:type="paragraph" w:styleId="960" w:default="1">
    <w:name w:val="Normal"/>
    <w:next w:val="960"/>
    <w:link w:val="960"/>
    <w:qFormat/>
    <w:pPr>
      <w:jc w:val="both"/>
      <w:widowControl w:val="off"/>
    </w:pPr>
    <w:rPr>
      <w:sz w:val="21"/>
      <w:szCs w:val="24"/>
      <w:lang w:val="en-US" w:eastAsia="zh-CN" w:bidi="ar-SA"/>
    </w:rPr>
  </w:style>
  <w:style w:type="paragraph" w:styleId="961">
    <w:name w:val="标题 1"/>
    <w:basedOn w:val="960"/>
    <w:next w:val="960"/>
    <w:link w:val="972"/>
    <w:qFormat/>
    <w:pPr>
      <w:numPr>
        <w:ilvl w:val="0"/>
        <w:numId w:val="1"/>
      </w:numPr>
      <w:jc w:val="center"/>
      <w:keepLines/>
      <w:keepNext/>
      <w:spacing w:before="200" w:after="200" w:line="240" w:lineRule="auto"/>
      <w:outlineLvl w:val="0"/>
    </w:pPr>
    <w:rPr>
      <w:rFonts w:ascii="宋体" w:hAnsi="宋体"/>
      <w:b/>
      <w:bCs/>
      <w:sz w:val="36"/>
    </w:rPr>
  </w:style>
  <w:style w:type="paragraph" w:styleId="962">
    <w:name w:val="标题 2"/>
    <w:basedOn w:val="960"/>
    <w:next w:val="960"/>
    <w:link w:val="973"/>
    <w:uiPriority w:val="99"/>
    <w:qFormat/>
    <w:pPr>
      <w:numPr>
        <w:ilvl w:val="1"/>
        <w:numId w:val="1"/>
      </w:numPr>
      <w:keepLines/>
      <w:keepNext/>
      <w:spacing w:before="260" w:after="260" w:line="416" w:lineRule="auto"/>
      <w:outlineLvl w:val="1"/>
    </w:pPr>
    <w:rPr>
      <w:rFonts w:ascii="Cambria" w:hAnsi="Cambria"/>
      <w:b/>
      <w:bCs/>
      <w:sz w:val="32"/>
      <w:szCs w:val="32"/>
    </w:rPr>
  </w:style>
  <w:style w:type="paragraph" w:styleId="963">
    <w:name w:val="标题 3"/>
    <w:basedOn w:val="960"/>
    <w:next w:val="960"/>
    <w:link w:val="974"/>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964">
    <w:name w:val="标题 4"/>
    <w:basedOn w:val="960"/>
    <w:next w:val="960"/>
    <w:link w:val="975"/>
    <w:uiPriority w:val="99"/>
    <w:qFormat/>
    <w:pPr>
      <w:numPr>
        <w:ilvl w:val="3"/>
        <w:numId w:val="1"/>
      </w:numPr>
      <w:keepLines/>
      <w:keepNext/>
      <w:spacing w:before="280" w:after="290" w:line="376" w:lineRule="auto"/>
      <w:outlineLvl w:val="3"/>
    </w:pPr>
    <w:rPr>
      <w:rFonts w:ascii="Cambria" w:hAnsi="Cambria"/>
      <w:b/>
      <w:bCs/>
      <w:sz w:val="28"/>
      <w:szCs w:val="28"/>
    </w:rPr>
  </w:style>
  <w:style w:type="paragraph" w:styleId="965">
    <w:name w:val="标题 5"/>
    <w:basedOn w:val="960"/>
    <w:next w:val="960"/>
    <w:link w:val="976"/>
    <w:qFormat/>
    <w:pPr>
      <w:numPr>
        <w:ilvl w:val="4"/>
        <w:numId w:val="1"/>
      </w:numPr>
      <w:keepLines/>
      <w:keepNext/>
      <w:spacing w:before="280" w:after="290" w:line="376" w:lineRule="auto"/>
      <w:outlineLvl w:val="4"/>
    </w:pPr>
    <w:rPr>
      <w:rFonts w:ascii="Calibri" w:hAnsi="Calibri"/>
      <w:b/>
      <w:bCs/>
      <w:sz w:val="28"/>
      <w:szCs w:val="28"/>
    </w:rPr>
  </w:style>
  <w:style w:type="paragraph" w:styleId="966">
    <w:name w:val="标题 6"/>
    <w:basedOn w:val="960"/>
    <w:next w:val="960"/>
    <w:link w:val="977"/>
    <w:qFormat/>
    <w:pPr>
      <w:numPr>
        <w:ilvl w:val="5"/>
        <w:numId w:val="1"/>
      </w:numPr>
      <w:keepLines/>
      <w:keepNext/>
      <w:spacing w:before="240" w:after="64" w:line="320" w:lineRule="auto"/>
      <w:outlineLvl w:val="5"/>
    </w:pPr>
    <w:rPr>
      <w:rFonts w:ascii="Cambria" w:hAnsi="Cambria"/>
      <w:b/>
      <w:bCs/>
      <w:sz w:val="24"/>
    </w:rPr>
  </w:style>
  <w:style w:type="paragraph" w:styleId="967">
    <w:name w:val="标题 7"/>
    <w:basedOn w:val="960"/>
    <w:next w:val="960"/>
    <w:link w:val="978"/>
    <w:qFormat/>
    <w:pPr>
      <w:numPr>
        <w:ilvl w:val="6"/>
        <w:numId w:val="1"/>
      </w:numPr>
      <w:keepLines/>
      <w:keepNext/>
      <w:spacing w:before="240" w:after="64" w:line="320" w:lineRule="auto"/>
      <w:outlineLvl w:val="6"/>
    </w:pPr>
    <w:rPr>
      <w:rFonts w:ascii="Calibri" w:hAnsi="Calibri"/>
      <w:b/>
      <w:bCs/>
      <w:sz w:val="24"/>
    </w:rPr>
  </w:style>
  <w:style w:type="paragraph" w:styleId="968">
    <w:name w:val="标题 8"/>
    <w:basedOn w:val="960"/>
    <w:next w:val="960"/>
    <w:link w:val="979"/>
    <w:qFormat/>
    <w:pPr>
      <w:numPr>
        <w:ilvl w:val="7"/>
        <w:numId w:val="1"/>
      </w:numPr>
      <w:keepLines/>
      <w:keepNext/>
      <w:spacing w:before="240" w:after="64" w:line="320" w:lineRule="auto"/>
      <w:outlineLvl w:val="7"/>
    </w:pPr>
    <w:rPr>
      <w:rFonts w:ascii="Cambria" w:hAnsi="Cambria"/>
      <w:sz w:val="24"/>
    </w:rPr>
  </w:style>
  <w:style w:type="paragraph" w:styleId="969">
    <w:name w:val="标题 9"/>
    <w:basedOn w:val="960"/>
    <w:next w:val="960"/>
    <w:link w:val="980"/>
    <w:qFormat/>
    <w:pPr>
      <w:numPr>
        <w:ilvl w:val="8"/>
        <w:numId w:val="1"/>
      </w:numPr>
      <w:keepLines/>
      <w:keepNext/>
      <w:spacing w:before="240" w:after="64" w:line="320" w:lineRule="auto"/>
      <w:outlineLvl w:val="8"/>
    </w:pPr>
    <w:rPr>
      <w:rFonts w:ascii="Cambria" w:hAnsi="Cambria"/>
      <w:sz w:val="20"/>
      <w:szCs w:val="21"/>
    </w:rPr>
  </w:style>
  <w:style w:type="character" w:styleId="970">
    <w:name w:val="默认段落字体"/>
    <w:next w:val="970"/>
    <w:link w:val="960"/>
    <w:uiPriority w:val="1"/>
    <w:unhideWhenUsed/>
  </w:style>
  <w:style w:type="table" w:styleId="971">
    <w:name w:val="普通表格"/>
    <w:next w:val="971"/>
    <w:link w:val="960"/>
    <w:uiPriority w:val="99"/>
    <w:unhideWhenUsed/>
    <w:qFormat/>
    <w:tblPr/>
  </w:style>
  <w:style w:type="character" w:styleId="972">
    <w:name w:val="标题 1 Char"/>
    <w:basedOn w:val="970"/>
    <w:next w:val="972"/>
    <w:link w:val="961"/>
    <w:uiPriority w:val="99"/>
    <w:qFormat/>
    <w:rPr>
      <w:rFonts w:ascii="Calibri" w:hAnsi="Calibri" w:eastAsia="宋体" w:cs="Times New Roman"/>
      <w:b/>
      <w:bCs/>
      <w:sz w:val="44"/>
      <w:szCs w:val="44"/>
    </w:rPr>
  </w:style>
  <w:style w:type="character" w:styleId="973">
    <w:name w:val="标题 2 字符"/>
    <w:next w:val="973"/>
    <w:link w:val="962"/>
    <w:uiPriority w:val="99"/>
    <w:qFormat/>
    <w:rPr>
      <w:rFonts w:ascii="Cambria" w:hAnsi="Cambria" w:eastAsia="宋体" w:cs="Times New Roman"/>
      <w:b/>
      <w:bCs/>
      <w:sz w:val="32"/>
      <w:szCs w:val="32"/>
    </w:rPr>
  </w:style>
  <w:style w:type="character" w:styleId="974">
    <w:name w:val="标题 3 字符"/>
    <w:next w:val="974"/>
    <w:link w:val="963"/>
    <w:uiPriority w:val="9"/>
    <w:qFormat/>
    <w:rPr>
      <w:rFonts w:ascii="Calibri" w:hAnsi="Calibri" w:eastAsia="宋体" w:cs="Times New Roman"/>
      <w:b/>
      <w:bCs/>
      <w:sz w:val="32"/>
      <w:szCs w:val="32"/>
    </w:rPr>
  </w:style>
  <w:style w:type="character" w:styleId="975">
    <w:name w:val="标题 4 字符"/>
    <w:next w:val="975"/>
    <w:link w:val="964"/>
    <w:uiPriority w:val="99"/>
    <w:qFormat/>
    <w:rPr>
      <w:rFonts w:ascii="Cambria" w:hAnsi="Cambria" w:eastAsia="宋体" w:cs="Times New Roman"/>
      <w:b/>
      <w:bCs/>
      <w:sz w:val="28"/>
      <w:szCs w:val="28"/>
    </w:rPr>
  </w:style>
  <w:style w:type="character" w:styleId="976">
    <w:name w:val="标题 5 字符"/>
    <w:next w:val="976"/>
    <w:link w:val="965"/>
    <w:qFormat/>
    <w:rPr>
      <w:rFonts w:ascii="Calibri" w:hAnsi="Calibri" w:eastAsia="宋体" w:cs="Times New Roman"/>
      <w:b/>
      <w:bCs/>
      <w:sz w:val="28"/>
      <w:szCs w:val="28"/>
    </w:rPr>
  </w:style>
  <w:style w:type="character" w:styleId="977">
    <w:name w:val="标题 6 字符"/>
    <w:next w:val="977"/>
    <w:link w:val="966"/>
    <w:qFormat/>
    <w:rPr>
      <w:rFonts w:ascii="Cambria" w:hAnsi="Cambria" w:eastAsia="宋体" w:cs="Times New Roman"/>
      <w:b/>
      <w:bCs/>
      <w:sz w:val="24"/>
      <w:szCs w:val="24"/>
    </w:rPr>
  </w:style>
  <w:style w:type="character" w:styleId="978">
    <w:name w:val="标题 7 字符"/>
    <w:next w:val="978"/>
    <w:link w:val="967"/>
    <w:qFormat/>
    <w:rPr>
      <w:rFonts w:ascii="Calibri" w:hAnsi="Calibri" w:eastAsia="宋体" w:cs="Times New Roman"/>
      <w:b/>
      <w:bCs/>
      <w:sz w:val="24"/>
      <w:szCs w:val="24"/>
    </w:rPr>
  </w:style>
  <w:style w:type="character" w:styleId="979">
    <w:name w:val="标题 8 字符"/>
    <w:next w:val="979"/>
    <w:link w:val="968"/>
    <w:qFormat/>
    <w:rPr>
      <w:rFonts w:ascii="Cambria" w:hAnsi="Cambria" w:eastAsia="宋体" w:cs="Times New Roman"/>
      <w:sz w:val="24"/>
      <w:szCs w:val="24"/>
    </w:rPr>
  </w:style>
  <w:style w:type="character" w:styleId="980">
    <w:name w:val="标题 9 字符"/>
    <w:next w:val="980"/>
    <w:link w:val="969"/>
    <w:qFormat/>
    <w:rPr>
      <w:rFonts w:ascii="Cambria" w:hAnsi="Cambria" w:eastAsia="宋体" w:cs="Times New Roman"/>
      <w:szCs w:val="21"/>
    </w:rPr>
  </w:style>
  <w:style w:type="paragraph" w:styleId="981">
    <w:name w:val="列表 3"/>
    <w:basedOn w:val="960"/>
    <w:next w:val="981"/>
    <w:link w:val="960"/>
    <w:uiPriority w:val="99"/>
    <w:qFormat/>
    <w:pPr>
      <w:ind w:left="1260" w:hanging="420"/>
    </w:pPr>
    <w:rPr>
      <w:rFonts w:ascii="Times New Roman" w:hAnsi="Times New Roman"/>
      <w:szCs w:val="20"/>
    </w:rPr>
  </w:style>
  <w:style w:type="paragraph" w:styleId="982">
    <w:name w:val="目录 7"/>
    <w:basedOn w:val="960"/>
    <w:next w:val="960"/>
    <w:link w:val="960"/>
    <w:uiPriority w:val="39"/>
    <w:unhideWhenUsed/>
    <w:qFormat/>
    <w:pPr>
      <w:ind w:left="2520"/>
    </w:pPr>
    <w:rPr>
      <w:szCs w:val="22"/>
    </w:rPr>
  </w:style>
  <w:style w:type="paragraph" w:styleId="983">
    <w:name w:val="索引 8"/>
    <w:basedOn w:val="960"/>
    <w:next w:val="960"/>
    <w:link w:val="960"/>
    <w:uiPriority w:val="99"/>
    <w:qFormat/>
    <w:pPr>
      <w:ind w:left="2940"/>
    </w:pPr>
    <w:rPr>
      <w:rFonts w:ascii="Times New Roman" w:hAnsi="Times New Roman"/>
      <w:szCs w:val="20"/>
    </w:rPr>
  </w:style>
  <w:style w:type="paragraph" w:styleId="984">
    <w:name w:val="正文缩进"/>
    <w:basedOn w:val="960"/>
    <w:next w:val="984"/>
    <w:link w:val="985"/>
    <w:qFormat/>
    <w:pPr>
      <w:ind w:firstLine="420"/>
    </w:pPr>
    <w:rPr>
      <w:rFonts w:ascii="Calibri" w:hAnsi="Calibri"/>
      <w:b/>
      <w:sz w:val="24"/>
      <w:szCs w:val="20"/>
    </w:rPr>
  </w:style>
  <w:style w:type="character" w:styleId="985">
    <w:name w:val="正文缩进 字符"/>
    <w:next w:val="985"/>
    <w:link w:val="984"/>
    <w:qFormat/>
    <w:rPr>
      <w:rFonts w:ascii="Calibri" w:hAnsi="Calibri" w:eastAsia="宋体" w:cs="Times New Roman"/>
      <w:b/>
      <w:sz w:val="24"/>
      <w:szCs w:val="20"/>
    </w:rPr>
  </w:style>
  <w:style w:type="paragraph" w:styleId="986">
    <w:name w:val="题注"/>
    <w:basedOn w:val="960"/>
    <w:next w:val="960"/>
    <w:link w:val="960"/>
    <w:qFormat/>
    <w:rPr>
      <w:rFonts w:ascii="Cambria" w:hAnsi="Cambria" w:eastAsia="黑体"/>
      <w:sz w:val="20"/>
      <w:szCs w:val="22"/>
    </w:rPr>
  </w:style>
  <w:style w:type="paragraph" w:styleId="987">
    <w:name w:val="索引 5"/>
    <w:basedOn w:val="960"/>
    <w:next w:val="960"/>
    <w:link w:val="960"/>
    <w:uiPriority w:val="99"/>
    <w:qFormat/>
    <w:pPr>
      <w:ind w:left="1680"/>
    </w:pPr>
    <w:rPr>
      <w:rFonts w:ascii="Times New Roman" w:hAnsi="Times New Roman"/>
      <w:szCs w:val="20"/>
    </w:rPr>
  </w:style>
  <w:style w:type="paragraph" w:styleId="988">
    <w:name w:val="文档结构图"/>
    <w:basedOn w:val="960"/>
    <w:next w:val="988"/>
    <w:link w:val="989"/>
    <w:qFormat/>
    <w:rPr>
      <w:rFonts w:ascii="宋体" w:hAnsi="Calibri"/>
      <w:sz w:val="18"/>
      <w:szCs w:val="18"/>
    </w:rPr>
  </w:style>
  <w:style w:type="character" w:styleId="989">
    <w:name w:val="文档结构图 字符"/>
    <w:next w:val="989"/>
    <w:link w:val="988"/>
    <w:qFormat/>
    <w:rPr>
      <w:rFonts w:ascii="宋体" w:hAnsi="Calibri" w:eastAsia="宋体" w:cs="Times New Roman"/>
      <w:sz w:val="18"/>
      <w:szCs w:val="18"/>
    </w:rPr>
  </w:style>
  <w:style w:type="paragraph" w:styleId="990">
    <w:name w:val="引文目录标题"/>
    <w:basedOn w:val="960"/>
    <w:next w:val="960"/>
    <w:link w:val="960"/>
    <w:uiPriority w:val="99"/>
    <w:qFormat/>
    <w:pPr>
      <w:spacing w:before="120"/>
    </w:pPr>
    <w:rPr>
      <w:rFonts w:ascii="Cambria" w:hAnsi="Cambria"/>
      <w:sz w:val="24"/>
    </w:rPr>
  </w:style>
  <w:style w:type="paragraph" w:styleId="991">
    <w:name w:val="批注文字"/>
    <w:basedOn w:val="960"/>
    <w:next w:val="991"/>
    <w:link w:val="992"/>
    <w:uiPriority w:val="99"/>
    <w:qFormat/>
    <w:pPr>
      <w:jc w:val="left"/>
    </w:pPr>
    <w:rPr>
      <w:rFonts w:ascii="Calibri" w:hAnsi="Calibri"/>
      <w:sz w:val="20"/>
    </w:rPr>
  </w:style>
  <w:style w:type="character" w:styleId="992">
    <w:name w:val="批注文字 字符"/>
    <w:next w:val="992"/>
    <w:link w:val="991"/>
    <w:uiPriority w:val="99"/>
    <w:qFormat/>
    <w:rPr>
      <w:rFonts w:ascii="Calibri" w:hAnsi="Calibri" w:eastAsia="宋体" w:cs="Times New Roman"/>
      <w:szCs w:val="24"/>
    </w:rPr>
  </w:style>
  <w:style w:type="paragraph" w:styleId="993">
    <w:name w:val="索引 6"/>
    <w:basedOn w:val="960"/>
    <w:next w:val="960"/>
    <w:link w:val="960"/>
    <w:uiPriority w:val="99"/>
    <w:qFormat/>
    <w:pPr>
      <w:ind w:left="2100"/>
    </w:pPr>
    <w:rPr>
      <w:rFonts w:ascii="Times New Roman" w:hAnsi="Times New Roman"/>
      <w:szCs w:val="20"/>
    </w:rPr>
  </w:style>
  <w:style w:type="paragraph" w:styleId="994">
    <w:name w:val="称呼"/>
    <w:basedOn w:val="960"/>
    <w:next w:val="960"/>
    <w:link w:val="995"/>
    <w:qFormat/>
    <w:rPr>
      <w:sz w:val="30"/>
      <w:szCs w:val="20"/>
    </w:rPr>
  </w:style>
  <w:style w:type="character" w:styleId="995">
    <w:name w:val="称呼 字符"/>
    <w:next w:val="995"/>
    <w:link w:val="994"/>
    <w:qFormat/>
    <w:rPr>
      <w:sz w:val="30"/>
    </w:rPr>
  </w:style>
  <w:style w:type="paragraph" w:styleId="996">
    <w:name w:val="正文文本 3"/>
    <w:basedOn w:val="960"/>
    <w:next w:val="996"/>
    <w:link w:val="997"/>
    <w:qFormat/>
    <w:rPr>
      <w:rFonts w:ascii="宋体" w:hAnsi="Calibri"/>
      <w:sz w:val="24"/>
      <w:szCs w:val="20"/>
    </w:rPr>
  </w:style>
  <w:style w:type="character" w:styleId="997">
    <w:name w:val="正文文本 3 字符"/>
    <w:next w:val="997"/>
    <w:link w:val="996"/>
    <w:qFormat/>
    <w:rPr>
      <w:rFonts w:ascii="宋体" w:hAnsi="Calibri" w:eastAsia="宋体" w:cs="Times New Roman"/>
      <w:sz w:val="24"/>
      <w:szCs w:val="20"/>
    </w:rPr>
  </w:style>
  <w:style w:type="paragraph" w:styleId="998">
    <w:name w:val="正文文本"/>
    <w:basedOn w:val="960"/>
    <w:next w:val="998"/>
    <w:link w:val="999"/>
    <w:uiPriority w:val="99"/>
    <w:qFormat/>
    <w:pPr>
      <w:jc w:val="center"/>
    </w:pPr>
    <w:rPr>
      <w:rFonts w:ascii="Calibri" w:hAnsi="Calibri" w:eastAsia="幼圆"/>
      <w:b/>
      <w:bCs/>
      <w:sz w:val="44"/>
    </w:rPr>
  </w:style>
  <w:style w:type="character" w:styleId="999">
    <w:name w:val="正文文本 字符"/>
    <w:next w:val="999"/>
    <w:link w:val="998"/>
    <w:uiPriority w:val="99"/>
    <w:qFormat/>
    <w:rPr>
      <w:rFonts w:ascii="Calibri" w:hAnsi="Calibri" w:eastAsia="幼圆" w:cs="Times New Roman"/>
      <w:b/>
      <w:bCs/>
      <w:sz w:val="44"/>
      <w:szCs w:val="24"/>
    </w:rPr>
  </w:style>
  <w:style w:type="paragraph" w:styleId="1000">
    <w:name w:val="正文文本缩进"/>
    <w:basedOn w:val="960"/>
    <w:next w:val="1002"/>
    <w:link w:val="1001"/>
    <w:qFormat/>
    <w:pPr>
      <w:ind w:left="420"/>
      <w:spacing w:after="120"/>
    </w:pPr>
    <w:rPr>
      <w:rFonts w:ascii="Calibri" w:hAnsi="Calibri"/>
      <w:sz w:val="20"/>
    </w:rPr>
  </w:style>
  <w:style w:type="character" w:styleId="1001">
    <w:name w:val="正文文本缩进 字符"/>
    <w:next w:val="1001"/>
    <w:link w:val="1000"/>
    <w:qFormat/>
    <w:rPr>
      <w:rFonts w:ascii="Calibri" w:hAnsi="Calibri" w:eastAsia="宋体" w:cs="Times New Roman"/>
      <w:szCs w:val="24"/>
    </w:rPr>
  </w:style>
  <w:style w:type="paragraph" w:styleId="1002">
    <w:name w:val="寄信人地址"/>
    <w:basedOn w:val="960"/>
    <w:next w:val="1002"/>
    <w:link w:val="960"/>
    <w:qFormat/>
    <w:rPr>
      <w:rFonts w:ascii="Arial" w:hAnsi="Arial" w:cs="宋体"/>
    </w:rPr>
  </w:style>
  <w:style w:type="paragraph" w:styleId="1003">
    <w:name w:val="列表 2"/>
    <w:basedOn w:val="960"/>
    <w:next w:val="1003"/>
    <w:link w:val="960"/>
    <w:qFormat/>
    <w:pPr>
      <w:ind w:left="840" w:hanging="420"/>
    </w:pPr>
    <w:rPr>
      <w:sz w:val="28"/>
      <w:szCs w:val="20"/>
    </w:rPr>
  </w:style>
  <w:style w:type="paragraph" w:styleId="1004">
    <w:name w:val="文本块"/>
    <w:basedOn w:val="960"/>
    <w:next w:val="1004"/>
    <w:link w:val="960"/>
    <w:uiPriority w:val="99"/>
    <w:unhideWhenUsed/>
    <w:qFormat/>
    <w:pPr>
      <w:ind w:left="1440" w:right="1440"/>
      <w:jc w:val="left"/>
      <w:spacing w:after="120"/>
    </w:pPr>
    <w:rPr>
      <w:rFonts w:ascii="宋体" w:hAnsi="宋体" w:cs="宋体"/>
      <w:sz w:val="22"/>
      <w:szCs w:val="22"/>
      <w:lang w:val="zh-CN" w:bidi="zh-CN"/>
    </w:rPr>
  </w:style>
  <w:style w:type="paragraph" w:styleId="1005">
    <w:name w:val="索引 4"/>
    <w:basedOn w:val="960"/>
    <w:next w:val="960"/>
    <w:link w:val="960"/>
    <w:uiPriority w:val="99"/>
    <w:qFormat/>
    <w:pPr>
      <w:ind w:left="600"/>
    </w:pPr>
  </w:style>
  <w:style w:type="paragraph" w:styleId="1006">
    <w:name w:val="目录 5"/>
    <w:basedOn w:val="960"/>
    <w:next w:val="960"/>
    <w:link w:val="960"/>
    <w:uiPriority w:val="39"/>
    <w:unhideWhenUsed/>
    <w:qFormat/>
    <w:pPr>
      <w:ind w:left="1680"/>
    </w:pPr>
    <w:rPr>
      <w:szCs w:val="22"/>
    </w:rPr>
  </w:style>
  <w:style w:type="paragraph" w:styleId="1007">
    <w:name w:val="目录 3"/>
    <w:basedOn w:val="960"/>
    <w:next w:val="960"/>
    <w:link w:val="960"/>
    <w:uiPriority w:val="39"/>
    <w:qFormat/>
    <w:pPr>
      <w:ind w:left="840"/>
    </w:pPr>
    <w:rPr>
      <w:szCs w:val="22"/>
    </w:rPr>
  </w:style>
  <w:style w:type="paragraph" w:styleId="1008">
    <w:name w:val="纯文本"/>
    <w:basedOn w:val="960"/>
    <w:next w:val="1008"/>
    <w:link w:val="1009"/>
    <w:uiPriority w:val="99"/>
    <w:qFormat/>
    <w:rPr>
      <w:rFonts w:ascii="Ari" w:hAnsi="Calibri"/>
      <w:sz w:val="20"/>
      <w:szCs w:val="20"/>
    </w:rPr>
  </w:style>
  <w:style w:type="character" w:styleId="1009">
    <w:name w:val="纯文本 字符"/>
    <w:next w:val="1009"/>
    <w:link w:val="1008"/>
    <w:uiPriority w:val="99"/>
    <w:qFormat/>
    <w:rPr>
      <w:rFonts w:ascii="Ari" w:hAnsi="Calibri" w:eastAsia="宋体" w:cs="Times New Roman"/>
      <w:sz w:val="20"/>
      <w:szCs w:val="20"/>
    </w:rPr>
  </w:style>
  <w:style w:type="paragraph" w:styleId="1010">
    <w:name w:val="目录 8"/>
    <w:basedOn w:val="960"/>
    <w:next w:val="960"/>
    <w:link w:val="960"/>
    <w:uiPriority w:val="39"/>
    <w:unhideWhenUsed/>
    <w:qFormat/>
    <w:pPr>
      <w:ind w:left="2940"/>
    </w:pPr>
    <w:rPr>
      <w:szCs w:val="22"/>
    </w:rPr>
  </w:style>
  <w:style w:type="paragraph" w:styleId="1011">
    <w:name w:val="索引 3"/>
    <w:basedOn w:val="960"/>
    <w:next w:val="960"/>
    <w:link w:val="960"/>
    <w:uiPriority w:val="99"/>
    <w:qFormat/>
    <w:pPr>
      <w:ind w:left="840"/>
    </w:pPr>
    <w:rPr>
      <w:rFonts w:ascii="Times New Roman" w:hAnsi="Times New Roman"/>
      <w:szCs w:val="20"/>
    </w:rPr>
  </w:style>
  <w:style w:type="paragraph" w:styleId="1012">
    <w:name w:val="日期"/>
    <w:basedOn w:val="960"/>
    <w:next w:val="960"/>
    <w:link w:val="1013"/>
    <w:uiPriority w:val="99"/>
    <w:unhideWhenUsed/>
    <w:qFormat/>
    <w:rPr>
      <w:rFonts w:ascii="Calibri" w:hAnsi="Calibri"/>
      <w:sz w:val="20"/>
    </w:rPr>
  </w:style>
  <w:style w:type="character" w:styleId="1013">
    <w:name w:val="日期 字符"/>
    <w:next w:val="1013"/>
    <w:link w:val="1012"/>
    <w:uiPriority w:val="99"/>
    <w:qFormat/>
    <w:rPr>
      <w:rFonts w:ascii="Calibri" w:hAnsi="Calibri" w:eastAsia="宋体" w:cs="Times New Roman"/>
      <w:szCs w:val="24"/>
    </w:rPr>
  </w:style>
  <w:style w:type="paragraph" w:styleId="1014">
    <w:name w:val="正文文本缩进 2"/>
    <w:basedOn w:val="960"/>
    <w:next w:val="1014"/>
    <w:link w:val="1015"/>
    <w:uiPriority w:val="99"/>
    <w:unhideWhenUsed/>
    <w:qFormat/>
    <w:pPr>
      <w:ind w:firstLine="525"/>
      <w:spacing w:line="420" w:lineRule="exact"/>
    </w:pPr>
    <w:rPr>
      <w:rFonts w:ascii="宋体" w:hAnsi="Calibri"/>
      <w:sz w:val="20"/>
      <w:szCs w:val="20"/>
    </w:rPr>
  </w:style>
  <w:style w:type="character" w:styleId="1015">
    <w:name w:val="正文文本缩进 2 字符"/>
    <w:next w:val="1015"/>
    <w:link w:val="1014"/>
    <w:uiPriority w:val="99"/>
    <w:qFormat/>
    <w:rPr>
      <w:rFonts w:ascii="宋体" w:hAnsi="Calibri" w:eastAsia="宋体" w:cs="Times New Roman"/>
      <w:sz w:val="20"/>
      <w:szCs w:val="20"/>
    </w:rPr>
  </w:style>
  <w:style w:type="paragraph" w:styleId="1016">
    <w:name w:val="批注框文本"/>
    <w:basedOn w:val="960"/>
    <w:next w:val="1016"/>
    <w:link w:val="1017"/>
    <w:qFormat/>
    <w:rPr>
      <w:rFonts w:ascii="Calibri" w:hAnsi="Calibri"/>
      <w:sz w:val="18"/>
      <w:szCs w:val="18"/>
    </w:rPr>
  </w:style>
  <w:style w:type="character" w:styleId="1017">
    <w:name w:val="批注框文本 字符"/>
    <w:next w:val="1017"/>
    <w:link w:val="1016"/>
    <w:qFormat/>
    <w:rPr>
      <w:rFonts w:ascii="Calibri" w:hAnsi="Calibri" w:eastAsia="宋体" w:cs="Times New Roman"/>
      <w:sz w:val="18"/>
      <w:szCs w:val="18"/>
    </w:rPr>
  </w:style>
  <w:style w:type="paragraph" w:styleId="1018">
    <w:name w:val="页脚"/>
    <w:basedOn w:val="960"/>
    <w:next w:val="1018"/>
    <w:link w:val="1019"/>
    <w:uiPriority w:val="99"/>
    <w:qFormat/>
    <w:pPr>
      <w:jc w:val="left"/>
      <w:tabs>
        <w:tab w:val="center" w:pos="4153" w:leader="none"/>
        <w:tab w:val="right" w:pos="8306" w:leader="none"/>
      </w:tabs>
    </w:pPr>
    <w:rPr>
      <w:rFonts w:ascii="Calibri" w:hAnsi="Calibri"/>
      <w:sz w:val="18"/>
      <w:szCs w:val="18"/>
    </w:rPr>
  </w:style>
  <w:style w:type="character" w:styleId="1019">
    <w:name w:val="页脚 字符2"/>
    <w:next w:val="1019"/>
    <w:link w:val="1018"/>
    <w:uiPriority w:val="99"/>
    <w:qFormat/>
    <w:rPr>
      <w:rFonts w:ascii="Calibri" w:hAnsi="Calibri" w:eastAsia="宋体" w:cs="Times New Roman"/>
      <w:sz w:val="18"/>
      <w:szCs w:val="18"/>
    </w:rPr>
  </w:style>
  <w:style w:type="paragraph" w:styleId="1020">
    <w:name w:val="页眉"/>
    <w:basedOn w:val="960"/>
    <w:next w:val="1020"/>
    <w:link w:val="1021"/>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21">
    <w:name w:val="页眉 字符"/>
    <w:next w:val="1021"/>
    <w:link w:val="1020"/>
    <w:qFormat/>
    <w:rPr>
      <w:rFonts w:ascii="Calibri" w:hAnsi="Calibri" w:eastAsia="宋体" w:cs="Times New Roman"/>
      <w:sz w:val="18"/>
      <w:szCs w:val="18"/>
    </w:rPr>
  </w:style>
  <w:style w:type="paragraph" w:styleId="1022">
    <w:name w:val="目录 1"/>
    <w:basedOn w:val="960"/>
    <w:next w:val="960"/>
    <w:link w:val="960"/>
    <w:uiPriority w:val="39"/>
    <w:qFormat/>
  </w:style>
  <w:style w:type="paragraph" w:styleId="1023">
    <w:name w:val="目录 4"/>
    <w:basedOn w:val="960"/>
    <w:next w:val="960"/>
    <w:link w:val="960"/>
    <w:uiPriority w:val="39"/>
    <w:unhideWhenUsed/>
    <w:qFormat/>
    <w:pPr>
      <w:ind w:left="1260"/>
    </w:pPr>
    <w:rPr>
      <w:szCs w:val="22"/>
    </w:rPr>
  </w:style>
  <w:style w:type="paragraph" w:styleId="1024">
    <w:name w:val="索引标题"/>
    <w:basedOn w:val="960"/>
    <w:next w:val="1025"/>
    <w:link w:val="960"/>
    <w:uiPriority w:val="99"/>
    <w:qFormat/>
    <w:rPr>
      <w:rFonts w:ascii="Times New Roman" w:hAnsi="Times New Roman"/>
      <w:szCs w:val="20"/>
    </w:rPr>
  </w:style>
  <w:style w:type="paragraph" w:styleId="1025">
    <w:name w:val="索引 1"/>
    <w:basedOn w:val="960"/>
    <w:next w:val="960"/>
    <w:link w:val="960"/>
    <w:qFormat/>
    <w:pPr>
      <w:jc w:val="center"/>
      <w:spacing w:line="220" w:lineRule="exact"/>
    </w:pPr>
    <w:rPr>
      <w:rFonts w:ascii="仿宋_GB2312" w:eastAsia="仿宋_GB2312"/>
      <w:szCs w:val="22"/>
    </w:rPr>
  </w:style>
  <w:style w:type="paragraph" w:styleId="1026">
    <w:name w:val="副标题"/>
    <w:basedOn w:val="960"/>
    <w:next w:val="960"/>
    <w:link w:val="1027"/>
    <w:qFormat/>
    <w:pPr>
      <w:jc w:val="center"/>
      <w:spacing w:before="240" w:after="60" w:line="312" w:lineRule="auto"/>
      <w:outlineLvl w:val="1"/>
    </w:pPr>
    <w:rPr>
      <w:rFonts w:ascii="Cambria" w:hAnsi="Cambria"/>
      <w:b/>
      <w:bCs/>
      <w:sz w:val="32"/>
      <w:szCs w:val="32"/>
    </w:rPr>
  </w:style>
  <w:style w:type="character" w:styleId="1027">
    <w:name w:val="副标题 字符"/>
    <w:next w:val="1027"/>
    <w:link w:val="1026"/>
    <w:qFormat/>
    <w:rPr>
      <w:rFonts w:ascii="Cambria" w:hAnsi="Cambria" w:eastAsia="宋体" w:cs="Times New Roman"/>
      <w:b/>
      <w:bCs/>
      <w:sz w:val="32"/>
      <w:szCs w:val="32"/>
    </w:rPr>
  </w:style>
  <w:style w:type="paragraph" w:styleId="1028">
    <w:name w:val="目录 6"/>
    <w:basedOn w:val="960"/>
    <w:next w:val="960"/>
    <w:link w:val="960"/>
    <w:uiPriority w:val="39"/>
    <w:unhideWhenUsed/>
    <w:qFormat/>
    <w:pPr>
      <w:ind w:left="2100"/>
    </w:pPr>
    <w:rPr>
      <w:szCs w:val="22"/>
    </w:rPr>
  </w:style>
  <w:style w:type="paragraph" w:styleId="1029">
    <w:name w:val="正文文本缩进 3"/>
    <w:basedOn w:val="960"/>
    <w:next w:val="1029"/>
    <w:link w:val="1030"/>
    <w:qFormat/>
    <w:pPr>
      <w:ind w:left="420"/>
      <w:spacing w:after="120"/>
    </w:pPr>
    <w:rPr>
      <w:rFonts w:ascii="Calibri" w:hAnsi="Calibri"/>
      <w:sz w:val="16"/>
      <w:szCs w:val="20"/>
    </w:rPr>
  </w:style>
  <w:style w:type="character" w:styleId="1030">
    <w:name w:val="正文文本缩进 3 字符"/>
    <w:next w:val="1030"/>
    <w:link w:val="1029"/>
    <w:qFormat/>
    <w:rPr>
      <w:rFonts w:ascii="Calibri" w:hAnsi="Calibri" w:eastAsia="宋体" w:cs="Times New Roman"/>
      <w:sz w:val="16"/>
      <w:szCs w:val="20"/>
    </w:rPr>
  </w:style>
  <w:style w:type="paragraph" w:styleId="1031">
    <w:name w:val="索引 7"/>
    <w:basedOn w:val="960"/>
    <w:next w:val="960"/>
    <w:link w:val="960"/>
    <w:uiPriority w:val="99"/>
    <w:qFormat/>
    <w:pPr>
      <w:ind w:left="2520"/>
    </w:pPr>
    <w:rPr>
      <w:rFonts w:ascii="Times New Roman" w:hAnsi="Times New Roman"/>
      <w:szCs w:val="20"/>
    </w:rPr>
  </w:style>
  <w:style w:type="paragraph" w:styleId="1032">
    <w:name w:val="索引 9"/>
    <w:basedOn w:val="960"/>
    <w:next w:val="960"/>
    <w:link w:val="960"/>
    <w:uiPriority w:val="99"/>
    <w:qFormat/>
    <w:pPr>
      <w:ind w:left="3360"/>
    </w:pPr>
    <w:rPr>
      <w:rFonts w:ascii="Times New Roman" w:hAnsi="Times New Roman"/>
      <w:szCs w:val="20"/>
    </w:rPr>
  </w:style>
  <w:style w:type="paragraph" w:styleId="1033">
    <w:name w:val="图表目录"/>
    <w:basedOn w:val="960"/>
    <w:next w:val="960"/>
    <w:link w:val="960"/>
    <w:uiPriority w:val="99"/>
    <w:qFormat/>
    <w:pPr>
      <w:ind w:left="840" w:hanging="420"/>
    </w:pPr>
    <w:rPr>
      <w:rFonts w:ascii="Times New Roman" w:hAnsi="Times New Roman"/>
      <w:szCs w:val="20"/>
    </w:rPr>
  </w:style>
  <w:style w:type="paragraph" w:styleId="1034">
    <w:name w:val="目录 2"/>
    <w:basedOn w:val="960"/>
    <w:next w:val="960"/>
    <w:link w:val="960"/>
    <w:uiPriority w:val="39"/>
    <w:qFormat/>
    <w:pPr>
      <w:ind w:left="420"/>
    </w:pPr>
    <w:rPr>
      <w:szCs w:val="22"/>
    </w:rPr>
  </w:style>
  <w:style w:type="paragraph" w:styleId="1035">
    <w:name w:val="目录 9"/>
    <w:basedOn w:val="960"/>
    <w:next w:val="960"/>
    <w:link w:val="960"/>
    <w:uiPriority w:val="39"/>
    <w:unhideWhenUsed/>
    <w:qFormat/>
    <w:pPr>
      <w:ind w:left="3360"/>
    </w:pPr>
    <w:rPr>
      <w:szCs w:val="22"/>
    </w:rPr>
  </w:style>
  <w:style w:type="paragraph" w:styleId="1036">
    <w:name w:val="正文文本 2"/>
    <w:basedOn w:val="960"/>
    <w:next w:val="1036"/>
    <w:link w:val="1037"/>
    <w:uiPriority w:val="99"/>
    <w:qFormat/>
    <w:pPr>
      <w:jc w:val="center"/>
      <w:widowControl/>
    </w:pPr>
    <w:rPr>
      <w:rFonts w:ascii="Calibri" w:hAnsi="Calibri"/>
      <w:sz w:val="20"/>
    </w:rPr>
  </w:style>
  <w:style w:type="character" w:styleId="1037">
    <w:name w:val="正文文本 2 字符"/>
    <w:next w:val="1037"/>
    <w:link w:val="1036"/>
    <w:uiPriority w:val="99"/>
    <w:qFormat/>
    <w:rPr>
      <w:rFonts w:ascii="Calibri" w:hAnsi="Calibri" w:eastAsia="宋体" w:cs="Times New Roman"/>
      <w:szCs w:val="24"/>
    </w:rPr>
  </w:style>
  <w:style w:type="paragraph" w:styleId="1038">
    <w:name w:val="HTML 预设格式"/>
    <w:basedOn w:val="960"/>
    <w:next w:val="1038"/>
    <w:link w:val="103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39">
    <w:name w:val="HTML 预设格式 字符"/>
    <w:next w:val="1039"/>
    <w:link w:val="1038"/>
    <w:qFormat/>
    <w:rPr>
      <w:rFonts w:ascii="宋体" w:hAnsi="宋体" w:eastAsia="宋体" w:cs="Times New Roman"/>
      <w:sz w:val="24"/>
      <w:szCs w:val="24"/>
    </w:rPr>
  </w:style>
  <w:style w:type="paragraph" w:styleId="1040">
    <w:name w:val="普通(网站)"/>
    <w:basedOn w:val="960"/>
    <w:next w:val="1040"/>
    <w:link w:val="960"/>
    <w:uiPriority w:val="99"/>
    <w:qFormat/>
    <w:pPr>
      <w:jc w:val="left"/>
      <w:spacing w:before="100" w:beforeAutospacing="1" w:after="100" w:afterAutospacing="1"/>
      <w:widowControl/>
    </w:pPr>
    <w:rPr>
      <w:rFonts w:ascii="宋体" w:hAnsi="宋体" w:cs="宋体"/>
      <w:sz w:val="24"/>
    </w:rPr>
  </w:style>
  <w:style w:type="paragraph" w:styleId="1041">
    <w:name w:val="索引 2"/>
    <w:basedOn w:val="960"/>
    <w:next w:val="960"/>
    <w:link w:val="960"/>
    <w:uiPriority w:val="99"/>
    <w:qFormat/>
    <w:pPr>
      <w:ind w:left="420"/>
    </w:pPr>
    <w:rPr>
      <w:rFonts w:ascii="Times New Roman" w:hAnsi="Times New Roman"/>
      <w:szCs w:val="20"/>
    </w:rPr>
  </w:style>
  <w:style w:type="paragraph" w:styleId="1042">
    <w:name w:val="标题"/>
    <w:basedOn w:val="960"/>
    <w:next w:val="960"/>
    <w:link w:val="1043"/>
    <w:qFormat/>
    <w:pPr>
      <w:jc w:val="center"/>
      <w:spacing w:before="240" w:after="60" w:line="420" w:lineRule="atLeast"/>
      <w:outlineLvl w:val="0"/>
    </w:pPr>
    <w:rPr>
      <w:rFonts w:ascii="Arial" w:hAnsi="Arial"/>
      <w:b/>
      <w:sz w:val="32"/>
      <w:szCs w:val="20"/>
    </w:rPr>
  </w:style>
  <w:style w:type="character" w:styleId="1043">
    <w:name w:val="标题 字符"/>
    <w:next w:val="1043"/>
    <w:link w:val="1042"/>
    <w:qFormat/>
    <w:rPr>
      <w:rFonts w:ascii="Arial" w:hAnsi="Arial" w:eastAsia="宋体" w:cs="Times New Roman"/>
      <w:b/>
      <w:sz w:val="32"/>
      <w:szCs w:val="20"/>
    </w:rPr>
  </w:style>
  <w:style w:type="paragraph" w:styleId="1044">
    <w:name w:val="批注主题"/>
    <w:basedOn w:val="991"/>
    <w:next w:val="991"/>
    <w:link w:val="1045"/>
    <w:qFormat/>
    <w:rPr>
      <w:b/>
      <w:bCs/>
    </w:rPr>
  </w:style>
  <w:style w:type="character" w:styleId="1045">
    <w:name w:val="批注主题 字符"/>
    <w:next w:val="1045"/>
    <w:link w:val="1044"/>
    <w:qFormat/>
    <w:rPr>
      <w:rFonts w:ascii="Calibri" w:hAnsi="Calibri" w:eastAsia="宋体" w:cs="Times New Roman"/>
      <w:b/>
      <w:bCs/>
      <w:szCs w:val="24"/>
    </w:rPr>
  </w:style>
  <w:style w:type="paragraph" w:styleId="1046">
    <w:name w:val="正文首行缩进"/>
    <w:basedOn w:val="998"/>
    <w:next w:val="1046"/>
    <w:link w:val="1047"/>
    <w:uiPriority w:val="99"/>
    <w:qFormat/>
    <w:pPr>
      <w:ind w:firstLine="420"/>
      <w:jc w:val="both"/>
      <w:spacing w:after="120"/>
    </w:pPr>
    <w:rPr>
      <w:sz w:val="21"/>
    </w:rPr>
  </w:style>
  <w:style w:type="character" w:styleId="1047">
    <w:name w:val="正文文本首行缩进 字符"/>
    <w:next w:val="1047"/>
    <w:link w:val="1046"/>
    <w:uiPriority w:val="99"/>
    <w:qFormat/>
  </w:style>
  <w:style w:type="paragraph" w:styleId="1048">
    <w:name w:val="正文首行缩进 2"/>
    <w:basedOn w:val="1000"/>
    <w:next w:val="960"/>
    <w:link w:val="1049"/>
    <w:uiPriority w:val="99"/>
    <w:qFormat/>
    <w:pPr>
      <w:ind w:firstLine="420"/>
    </w:pPr>
    <w:rPr>
      <w:sz w:val="21"/>
      <w:szCs w:val="21"/>
    </w:rPr>
  </w:style>
  <w:style w:type="character" w:styleId="1049">
    <w:name w:val="正文文本首行缩进 2 字符"/>
    <w:next w:val="1049"/>
    <w:link w:val="1048"/>
    <w:uiPriority w:val="99"/>
    <w:qFormat/>
    <w:rPr>
      <w:rFonts w:ascii="Calibri" w:hAnsi="Calibri" w:eastAsia="宋体" w:cs="Calibri"/>
      <w:sz w:val="21"/>
      <w:szCs w:val="21"/>
    </w:rPr>
  </w:style>
  <w:style w:type="table" w:styleId="1050">
    <w:name w:val="网格型"/>
    <w:basedOn w:val="971"/>
    <w:next w:val="1050"/>
    <w:link w:val="960"/>
    <w:uiPriority w:val="99"/>
    <w:qFormat/>
    <w:pPr>
      <w:jc w:val="both"/>
      <w:widowControl w:val="off"/>
    </w:pPr>
    <w:tblPr/>
  </w:style>
  <w:style w:type="character" w:styleId="1051">
    <w:name w:val="要点"/>
    <w:next w:val="1051"/>
    <w:link w:val="960"/>
    <w:uiPriority w:val="99"/>
    <w:qFormat/>
    <w:rPr>
      <w:rFonts w:cs="Times New Roman"/>
      <w:b/>
    </w:rPr>
  </w:style>
  <w:style w:type="character" w:styleId="1052">
    <w:name w:val="页码"/>
    <w:next w:val="1052"/>
    <w:link w:val="960"/>
    <w:uiPriority w:val="99"/>
    <w:qFormat/>
    <w:rPr>
      <w:rFonts w:eastAsia="宋体"/>
      <w:b/>
      <w:spacing w:val="0"/>
      <w:sz w:val="24"/>
      <w:szCs w:val="24"/>
      <w:vertAlign w:val="baseline"/>
      <w:lang w:val="en-US" w:eastAsia="zh-CN" w:bidi="ar-SA"/>
    </w:rPr>
  </w:style>
  <w:style w:type="character" w:styleId="1053">
    <w:name w:val="已访问的超链接"/>
    <w:next w:val="1053"/>
    <w:link w:val="960"/>
    <w:qFormat/>
    <w:rPr>
      <w:color w:val="333333"/>
      <w:u w:val="none"/>
    </w:rPr>
  </w:style>
  <w:style w:type="character" w:styleId="1054">
    <w:name w:val="强调"/>
    <w:next w:val="1054"/>
    <w:link w:val="960"/>
    <w:qFormat/>
    <w:rPr>
      <w:color w:val="cc0000"/>
    </w:rPr>
  </w:style>
  <w:style w:type="character" w:styleId="1055">
    <w:name w:val="HTML 打字机"/>
    <w:next w:val="1055"/>
    <w:link w:val="960"/>
    <w:qFormat/>
    <w:rPr>
      <w:rFonts w:ascii="宋体" w:hAnsi="宋体" w:eastAsia="宋体" w:cs="宋体"/>
      <w:sz w:val="24"/>
      <w:szCs w:val="24"/>
    </w:rPr>
  </w:style>
  <w:style w:type="character" w:styleId="1056">
    <w:name w:val="HTML 缩写"/>
    <w:basedOn w:val="970"/>
    <w:next w:val="1056"/>
    <w:link w:val="960"/>
    <w:uiPriority w:val="99"/>
    <w:unhideWhenUsed/>
  </w:style>
  <w:style w:type="character" w:styleId="1057">
    <w:name w:val="超链接"/>
    <w:next w:val="1057"/>
    <w:link w:val="960"/>
    <w:uiPriority w:val="99"/>
    <w:qFormat/>
    <w:rPr>
      <w:color w:val="333333"/>
      <w:u w:val="none"/>
    </w:rPr>
  </w:style>
  <w:style w:type="character" w:styleId="1058">
    <w:name w:val="HTML 代码"/>
    <w:next w:val="1058"/>
    <w:link w:val="960"/>
    <w:uiPriority w:val="99"/>
    <w:unhideWhenUsed/>
    <w:rPr>
      <w:rFonts w:ascii="monospace" w:hAnsi="monospace" w:eastAsia="monospace" w:cs="monospace"/>
      <w:sz w:val="20"/>
    </w:rPr>
  </w:style>
  <w:style w:type="character" w:styleId="1059">
    <w:name w:val="批注引用"/>
    <w:next w:val="1059"/>
    <w:link w:val="960"/>
    <w:qFormat/>
    <w:rPr>
      <w:sz w:val="21"/>
      <w:szCs w:val="21"/>
    </w:rPr>
  </w:style>
  <w:style w:type="character" w:styleId="1060">
    <w:name w:val="HTML 引文"/>
    <w:next w:val="1060"/>
    <w:link w:val="960"/>
    <w:qFormat/>
    <w:rPr>
      <w:color w:val="008000"/>
    </w:rPr>
  </w:style>
  <w:style w:type="character" w:styleId="1061">
    <w:name w:val="HTML 键盘"/>
    <w:next w:val="1061"/>
    <w:link w:val="960"/>
    <w:uiPriority w:val="99"/>
    <w:unhideWhenUsed/>
    <w:rPr>
      <w:rFonts w:ascii="monospace" w:hAnsi="monospace" w:eastAsia="monospace" w:cs="monospace"/>
      <w:sz w:val="20"/>
    </w:rPr>
  </w:style>
  <w:style w:type="character" w:styleId="1062">
    <w:name w:val="HTML 样本"/>
    <w:next w:val="1062"/>
    <w:link w:val="960"/>
    <w:uiPriority w:val="99"/>
    <w:unhideWhenUsed/>
    <w:rPr>
      <w:rFonts w:ascii="monospace" w:hAnsi="monospace" w:eastAsia="monospace" w:cs="monospace"/>
    </w:rPr>
  </w:style>
  <w:style w:type="character" w:styleId="1063">
    <w:name w:val="标题 1 字符"/>
    <w:next w:val="1063"/>
    <w:link w:val="961"/>
    <w:qFormat/>
    <w:rPr>
      <w:rFonts w:ascii="宋体" w:hAnsi="宋体" w:eastAsia="宋体" w:cs="Times New Roman"/>
      <w:b/>
      <w:bCs/>
      <w:sz w:val="36"/>
      <w:szCs w:val="24"/>
    </w:rPr>
  </w:style>
  <w:style w:type="paragraph" w:styleId="1064">
    <w:name w:val="TOC Heading1"/>
    <w:next w:val="960"/>
    <w:link w:val="960"/>
    <w:qFormat/>
    <w:rPr>
      <w:sz w:val="32"/>
      <w:lang w:val="en-US" w:eastAsia="zh-CN" w:bidi="ar-SA"/>
    </w:rPr>
  </w:style>
  <w:style w:type="paragraph" w:styleId="1065">
    <w:name w:val="无间隔1"/>
    <w:next w:val="1065"/>
    <w:link w:val="960"/>
    <w:qFormat/>
    <w:pPr>
      <w:jc w:val="both"/>
      <w:widowControl w:val="off"/>
    </w:pPr>
    <w:rPr>
      <w:sz w:val="21"/>
      <w:szCs w:val="22"/>
      <w:lang w:val="en-US" w:eastAsia="zh-CN" w:bidi="ar-SA"/>
    </w:rPr>
  </w:style>
  <w:style w:type="character" w:styleId="1066">
    <w:name w:val="明显引用 Char1"/>
    <w:next w:val="1066"/>
    <w:link w:val="960"/>
    <w:uiPriority w:val="30"/>
    <w:qFormat/>
    <w:rPr>
      <w:b/>
      <w:bCs/>
      <w:i/>
      <w:iCs/>
      <w:color w:val="4f81bd"/>
      <w:sz w:val="21"/>
    </w:rPr>
  </w:style>
  <w:style w:type="character" w:styleId="1067">
    <w:name w:val="明显引用 字符"/>
    <w:next w:val="1067"/>
    <w:link w:val="1068"/>
    <w:uiPriority w:val="99"/>
    <w:qFormat/>
    <w:rPr>
      <w:b/>
      <w:bCs/>
      <w:i/>
      <w:iCs/>
      <w:color w:val="4f81bd"/>
      <w:szCs w:val="24"/>
    </w:rPr>
  </w:style>
  <w:style w:type="paragraph" w:styleId="1068">
    <w:name w:val="明显引用"/>
    <w:basedOn w:val="960"/>
    <w:next w:val="960"/>
    <w:link w:val="1067"/>
    <w:uiPriority w:val="99"/>
    <w:qFormat/>
    <w:pPr>
      <w:ind w:left="936" w:right="936"/>
      <w:spacing w:before="200" w:after="280"/>
      <w:pBdr>
        <w:bottom w:val="single" w:color="4F81BD" w:sz="4" w:space="4"/>
      </w:pBdr>
    </w:pPr>
    <w:rPr>
      <w:b/>
      <w:bCs/>
      <w:i/>
      <w:iCs/>
      <w:color w:val="4f81bd"/>
      <w:sz w:val="20"/>
    </w:rPr>
  </w:style>
  <w:style w:type="character" w:styleId="1069">
    <w:name w:val="明显引用 Char"/>
    <w:next w:val="1069"/>
    <w:link w:val="1070"/>
    <w:qFormat/>
    <w:rPr>
      <w:rFonts w:ascii="Calibri" w:hAnsi="Calibri" w:eastAsia="宋体" w:cs="Times New Roman"/>
      <w:b/>
      <w:bCs/>
      <w:i/>
      <w:iCs/>
      <w:color w:val="4f81bd"/>
      <w:szCs w:val="24"/>
    </w:rPr>
  </w:style>
  <w:style w:type="paragraph" w:styleId="1070">
    <w:name w:val="明显引用1"/>
    <w:basedOn w:val="960"/>
    <w:next w:val="960"/>
    <w:link w:val="1069"/>
    <w:qFormat/>
    <w:pPr>
      <w:ind w:left="936" w:right="936"/>
      <w:spacing w:before="200" w:after="280"/>
      <w:pBdr>
        <w:bottom w:val="single" w:color="4F81BD" w:sz="4" w:space="4"/>
      </w:pBdr>
    </w:pPr>
    <w:rPr>
      <w:rFonts w:ascii="Calibri" w:hAnsi="Calibri"/>
      <w:b/>
      <w:bCs/>
      <w:i/>
      <w:iCs/>
      <w:color w:val="4f81bd"/>
      <w:sz w:val="20"/>
    </w:rPr>
  </w:style>
  <w:style w:type="character" w:styleId="1071">
    <w:name w:val="引用 字符"/>
    <w:next w:val="1071"/>
    <w:link w:val="1072"/>
    <w:uiPriority w:val="99"/>
    <w:qFormat/>
    <w:rPr>
      <w:i/>
      <w:iCs/>
      <w:color w:val="000000"/>
      <w:szCs w:val="24"/>
    </w:rPr>
  </w:style>
  <w:style w:type="paragraph" w:styleId="1072">
    <w:name w:val="引用"/>
    <w:basedOn w:val="960"/>
    <w:next w:val="960"/>
    <w:link w:val="1071"/>
    <w:uiPriority w:val="99"/>
    <w:qFormat/>
    <w:rPr>
      <w:i/>
      <w:iCs/>
      <w:color w:val="000000"/>
      <w:sz w:val="20"/>
    </w:rPr>
  </w:style>
  <w:style w:type="character" w:styleId="1073">
    <w:name w:val="引用 Char"/>
    <w:next w:val="1073"/>
    <w:link w:val="1074"/>
    <w:qFormat/>
    <w:rPr>
      <w:rFonts w:ascii="Calibri" w:hAnsi="Calibri" w:eastAsia="宋体" w:cs="Times New Roman"/>
      <w:i/>
      <w:iCs/>
      <w:color w:val="000000"/>
      <w:szCs w:val="24"/>
    </w:rPr>
  </w:style>
  <w:style w:type="paragraph" w:styleId="1074">
    <w:name w:val="引用1"/>
    <w:basedOn w:val="960"/>
    <w:next w:val="960"/>
    <w:link w:val="1073"/>
    <w:qFormat/>
    <w:rPr>
      <w:rFonts w:ascii="Calibri" w:hAnsi="Calibri"/>
      <w:i/>
      <w:iCs/>
      <w:color w:val="000000"/>
      <w:sz w:val="20"/>
    </w:rPr>
  </w:style>
  <w:style w:type="character" w:styleId="1075">
    <w:name w:val="不明显参考"/>
    <w:next w:val="1075"/>
    <w:link w:val="960"/>
    <w:qFormat/>
    <w:rPr>
      <w:smallCaps/>
      <w:color w:val="c0504d"/>
      <w:u w:val="single"/>
    </w:rPr>
  </w:style>
  <w:style w:type="character" w:styleId="1076">
    <w:name w:val="正文文本缩进 Char1"/>
    <w:next w:val="1076"/>
    <w:link w:val="960"/>
    <w:qFormat/>
    <w:rPr>
      <w:sz w:val="21"/>
    </w:rPr>
  </w:style>
  <w:style w:type="character" w:styleId="1077">
    <w:name w:val="bookmark"/>
    <w:next w:val="1077"/>
    <w:link w:val="960"/>
    <w:qFormat/>
  </w:style>
  <w:style w:type="character" w:styleId="1078">
    <w:name w:val="正文文本缩进 3 Char1"/>
    <w:next w:val="1078"/>
    <w:link w:val="960"/>
    <w:qFormat/>
    <w:rPr>
      <w:sz w:val="16"/>
      <w:szCs w:val="16"/>
    </w:rPr>
  </w:style>
  <w:style w:type="character" w:styleId="1079">
    <w:name w:val="标题 1 Char_0"/>
    <w:next w:val="1079"/>
    <w:link w:val="1080"/>
    <w:qFormat/>
    <w:rPr>
      <w:b/>
      <w:bCs/>
      <w:sz w:val="44"/>
      <w:szCs w:val="44"/>
    </w:rPr>
  </w:style>
  <w:style w:type="paragraph" w:styleId="1080">
    <w:name w:val="标题 1_0"/>
    <w:basedOn w:val="1081"/>
    <w:next w:val="1081"/>
    <w:link w:val="1079"/>
    <w:qFormat/>
    <w:pPr>
      <w:keepLines/>
      <w:keepNext/>
      <w:spacing w:before="340" w:after="330" w:line="578" w:lineRule="auto"/>
      <w:outlineLvl w:val="0"/>
    </w:pPr>
    <w:rPr>
      <w:b/>
      <w:bCs/>
      <w:sz w:val="44"/>
      <w:szCs w:val="44"/>
    </w:rPr>
  </w:style>
  <w:style w:type="paragraph" w:styleId="1081">
    <w:name w:val="正文_0"/>
    <w:next w:val="1081"/>
    <w:link w:val="960"/>
    <w:qFormat/>
    <w:pPr>
      <w:jc w:val="both"/>
      <w:widowControl w:val="off"/>
    </w:pPr>
    <w:rPr>
      <w:sz w:val="21"/>
      <w:szCs w:val="24"/>
      <w:lang w:val="en-US" w:eastAsia="zh-CN" w:bidi="ar-SA"/>
    </w:rPr>
  </w:style>
  <w:style w:type="character" w:styleId="1082">
    <w:name w:val="明显强调"/>
    <w:next w:val="1082"/>
    <w:link w:val="960"/>
    <w:qFormat/>
    <w:rPr>
      <w:b/>
      <w:bCs/>
      <w:i/>
      <w:iCs/>
      <w:color w:val="4f81bd"/>
    </w:rPr>
  </w:style>
  <w:style w:type="character" w:styleId="1083">
    <w:name w:val="textcontents"/>
    <w:next w:val="1083"/>
    <w:link w:val="960"/>
    <w:qFormat/>
    <w:rPr>
      <w:rFonts w:cs="Times New Roman"/>
    </w:rPr>
  </w:style>
  <w:style w:type="character" w:styleId="1084">
    <w:name w:val="不明显强调"/>
    <w:next w:val="1084"/>
    <w:link w:val="960"/>
    <w:qFormat/>
    <w:rPr>
      <w:i/>
      <w:iCs/>
      <w:color w:val="808080"/>
    </w:rPr>
  </w:style>
  <w:style w:type="character" w:styleId="1085">
    <w:name w:val="标题 Char2"/>
    <w:next w:val="1085"/>
    <w:link w:val="960"/>
    <w:uiPriority w:val="10"/>
    <w:qFormat/>
    <w:rPr>
      <w:rFonts w:ascii="Cambria" w:hAnsi="Cambria" w:cs="Times New Roman"/>
      <w:b/>
      <w:bCs/>
      <w:sz w:val="32"/>
      <w:szCs w:val="32"/>
    </w:rPr>
  </w:style>
  <w:style w:type="character" w:styleId="1086">
    <w:name w:val="标题 3 Char1"/>
    <w:next w:val="1086"/>
    <w:link w:val="960"/>
    <w:uiPriority w:val="99"/>
    <w:qFormat/>
    <w:rPr>
      <w:rFonts w:cs="Times New Roman"/>
      <w:b/>
      <w:bCs/>
      <w:sz w:val="32"/>
      <w:szCs w:val="32"/>
    </w:rPr>
  </w:style>
  <w:style w:type="character" w:styleId="1087">
    <w:name w:val="引用 Char2"/>
    <w:next w:val="1087"/>
    <w:link w:val="960"/>
    <w:uiPriority w:val="29"/>
    <w:qFormat/>
    <w:rPr>
      <w:i/>
      <w:iCs/>
      <w:color w:val="000000"/>
      <w:sz w:val="21"/>
      <w:szCs w:val="24"/>
    </w:rPr>
  </w:style>
  <w:style w:type="character" w:styleId="1088">
    <w:name w:val="日期 Char2"/>
    <w:next w:val="1088"/>
    <w:link w:val="960"/>
    <w:uiPriority w:val="99"/>
    <w:semiHidden/>
    <w:qFormat/>
    <w:rPr>
      <w:rFonts w:ascii="Calibri" w:hAnsi="Calibri" w:eastAsia="宋体" w:cs="Times New Roman"/>
    </w:rPr>
  </w:style>
  <w:style w:type="character" w:styleId="1089">
    <w:name w:val="页脚 Char1"/>
    <w:next w:val="1089"/>
    <w:link w:val="960"/>
    <w:uiPriority w:val="99"/>
    <w:qFormat/>
    <w:rPr>
      <w:rFonts w:ascii="Calibri" w:hAnsi="Calibri" w:eastAsia="宋体" w:cs="Times New Roman"/>
      <w:sz w:val="18"/>
      <w:szCs w:val="18"/>
    </w:rPr>
  </w:style>
  <w:style w:type="character" w:styleId="1090">
    <w:name w:val="标题 3 Char_0"/>
    <w:next w:val="1090"/>
    <w:link w:val="1091"/>
    <w:qFormat/>
    <w:rPr>
      <w:b/>
      <w:bCs/>
      <w:sz w:val="32"/>
      <w:szCs w:val="32"/>
    </w:rPr>
  </w:style>
  <w:style w:type="paragraph" w:styleId="1091">
    <w:name w:val="标题 3_0"/>
    <w:basedOn w:val="1081"/>
    <w:next w:val="1081"/>
    <w:link w:val="1090"/>
    <w:qFormat/>
    <w:pPr>
      <w:keepLines/>
      <w:keepNext/>
      <w:spacing w:before="260" w:after="260" w:line="416" w:lineRule="auto"/>
      <w:outlineLvl w:val="2"/>
    </w:pPr>
    <w:rPr>
      <w:b/>
      <w:bCs/>
      <w:sz w:val="32"/>
      <w:szCs w:val="32"/>
    </w:rPr>
  </w:style>
  <w:style w:type="character" w:styleId="1092">
    <w:name w:val="标题4 Char Char"/>
    <w:next w:val="1092"/>
    <w:link w:val="1093"/>
    <w:qFormat/>
    <w:rPr>
      <w:rFonts w:ascii="Arial" w:hAnsi="Arial"/>
      <w:b/>
      <w:bCs/>
      <w:sz w:val="24"/>
      <w:szCs w:val="32"/>
    </w:rPr>
  </w:style>
  <w:style w:type="paragraph" w:styleId="1093">
    <w:name w:val="标题4"/>
    <w:basedOn w:val="962"/>
    <w:next w:val="1005"/>
    <w:link w:val="1092"/>
    <w:qFormat/>
    <w:pPr>
      <w:numPr>
        <w:ilvl w:val="0"/>
        <w:numId w:val="0"/>
      </w:numPr>
      <w:spacing w:line="413" w:lineRule="auto"/>
    </w:pPr>
    <w:rPr>
      <w:rFonts w:ascii="Arial" w:hAnsi="Arial"/>
      <w:sz w:val="24"/>
    </w:rPr>
  </w:style>
  <w:style w:type="character" w:styleId="1094">
    <w:name w:val="明显参考"/>
    <w:next w:val="1094"/>
    <w:link w:val="960"/>
    <w:qFormat/>
    <w:rPr>
      <w:b/>
      <w:bCs/>
      <w:smallCaps/>
      <w:color w:val="c0504d"/>
      <w:spacing w:val="5"/>
      <w:u w:val="single"/>
    </w:rPr>
  </w:style>
  <w:style w:type="character" w:styleId="1095">
    <w:name w:val="文档结构图 Char2"/>
    <w:next w:val="1095"/>
    <w:link w:val="960"/>
    <w:uiPriority w:val="99"/>
    <w:semiHidden/>
    <w:qFormat/>
    <w:rPr>
      <w:rFonts w:ascii="宋体" w:hAnsi="Calibri" w:eastAsia="宋体" w:cs="Times New Roman"/>
      <w:sz w:val="18"/>
      <w:szCs w:val="18"/>
    </w:rPr>
  </w:style>
  <w:style w:type="character" w:styleId="1096">
    <w:name w:val="标题 3 Char Char Char"/>
    <w:next w:val="1096"/>
    <w:link w:val="960"/>
    <w:rPr>
      <w:rFonts w:eastAsia="宋体"/>
      <w:b/>
      <w:sz w:val="32"/>
      <w:lang w:val="en-US" w:eastAsia="zh-CN" w:bidi="ar-SA"/>
    </w:rPr>
  </w:style>
  <w:style w:type="character" w:styleId="1097">
    <w:name w:val="纯文本 Char2"/>
    <w:next w:val="1097"/>
    <w:link w:val="960"/>
    <w:rPr>
      <w:rFonts w:ascii="宋体" w:hAnsi="Courier New" w:cs="Courier New"/>
      <w:sz w:val="21"/>
      <w:szCs w:val="21"/>
    </w:rPr>
  </w:style>
  <w:style w:type="character" w:styleId="1098">
    <w:name w:val="正文文本 Char_0"/>
    <w:next w:val="1098"/>
    <w:link w:val="1099"/>
    <w:qFormat/>
    <w:rPr>
      <w:szCs w:val="24"/>
    </w:rPr>
  </w:style>
  <w:style w:type="paragraph" w:styleId="1099">
    <w:name w:val="正文文本_0"/>
    <w:basedOn w:val="1081"/>
    <w:next w:val="1099"/>
    <w:link w:val="1098"/>
    <w:qFormat/>
    <w:pPr>
      <w:spacing w:after="120"/>
    </w:pPr>
    <w:rPr>
      <w:sz w:val="20"/>
    </w:rPr>
  </w:style>
  <w:style w:type="character" w:styleId="1100">
    <w:name w:val="副标题 Char2"/>
    <w:next w:val="1100"/>
    <w:link w:val="960"/>
    <w:uiPriority w:val="11"/>
    <w:qFormat/>
    <w:rPr>
      <w:rFonts w:ascii="Cambria" w:hAnsi="Cambria" w:cs="Times New Roman"/>
      <w:b/>
      <w:bCs/>
      <w:sz w:val="32"/>
      <w:szCs w:val="32"/>
    </w:rPr>
  </w:style>
  <w:style w:type="character" w:styleId="1101">
    <w:name w:val="文档结构图 Char1"/>
    <w:next w:val="1101"/>
    <w:link w:val="960"/>
    <w:qFormat/>
    <w:rPr>
      <w:rFonts w:ascii="宋体" w:hAnsi="Calibri" w:eastAsia="宋体" w:cs="Times New Roman"/>
      <w:sz w:val="18"/>
      <w:szCs w:val="18"/>
    </w:rPr>
  </w:style>
  <w:style w:type="character" w:styleId="1102">
    <w:name w:val="书籍标题1"/>
    <w:next w:val="1102"/>
    <w:link w:val="960"/>
    <w:qFormat/>
    <w:rPr>
      <w:b/>
      <w:bCs/>
      <w:smallCaps/>
      <w:spacing w:val="5"/>
    </w:rPr>
  </w:style>
  <w:style w:type="character" w:styleId="1103">
    <w:name w:val="标题 4 Char_0"/>
    <w:next w:val="1103"/>
    <w:link w:val="1104"/>
    <w:qFormat/>
    <w:rPr>
      <w:rFonts w:ascii="Arial" w:hAnsi="Arial" w:eastAsia="黑体"/>
      <w:b/>
      <w:bCs/>
      <w:sz w:val="28"/>
      <w:szCs w:val="28"/>
    </w:rPr>
  </w:style>
  <w:style w:type="paragraph" w:styleId="1104">
    <w:name w:val="标题 4_0"/>
    <w:basedOn w:val="1081"/>
    <w:next w:val="1081"/>
    <w:link w:val="1103"/>
    <w:qFormat/>
    <w:pPr>
      <w:keepLines/>
      <w:keepNext/>
      <w:spacing w:before="280" w:after="290" w:line="376" w:lineRule="auto"/>
      <w:outlineLvl w:val="3"/>
    </w:pPr>
    <w:rPr>
      <w:rFonts w:ascii="Arial" w:hAnsi="Arial" w:eastAsia="黑体"/>
      <w:b/>
      <w:bCs/>
      <w:sz w:val="28"/>
      <w:szCs w:val="28"/>
    </w:rPr>
  </w:style>
  <w:style w:type="character" w:styleId="1105">
    <w:name w:val="不明显参考1"/>
    <w:next w:val="1105"/>
    <w:link w:val="960"/>
    <w:qFormat/>
    <w:rPr>
      <w:smallCaps/>
      <w:color w:val="c0504d"/>
      <w:u w:val="single"/>
    </w:rPr>
  </w:style>
  <w:style w:type="character" w:styleId="1106">
    <w:name w:val="批注文字 Char1"/>
    <w:next w:val="1106"/>
    <w:link w:val="960"/>
    <w:qFormat/>
    <w:rPr>
      <w:rFonts w:ascii="Calibri" w:hAnsi="Calibri" w:eastAsia="宋体" w:cs="Times New Roman"/>
    </w:rPr>
  </w:style>
  <w:style w:type="character" w:styleId="1107">
    <w:name w:val="rvts11"/>
    <w:next w:val="1107"/>
    <w:link w:val="960"/>
    <w:qFormat/>
    <w:rPr>
      <w:rFonts w:ascii="KNLe" w:hAnsi="KNLe"/>
      <w:sz w:val="24"/>
      <w:szCs w:val="24"/>
      <w:u w:val="single"/>
    </w:rPr>
  </w:style>
  <w:style w:type="character" w:styleId="1108">
    <w:name w:val="font161"/>
    <w:next w:val="1108"/>
    <w:link w:val="960"/>
    <w:qFormat/>
    <w:rPr>
      <w:b/>
      <w:sz w:val="32"/>
    </w:rPr>
  </w:style>
  <w:style w:type="character" w:styleId="1109">
    <w:name w:val="font31"/>
    <w:next w:val="1109"/>
    <w:link w:val="960"/>
    <w:qFormat/>
    <w:rPr>
      <w:rFonts w:hint="eastAsia" w:ascii="宋体" w:hAnsi="宋体" w:eastAsia="宋体" w:cs="宋体"/>
      <w:color w:val="000000"/>
      <w:sz w:val="20"/>
      <w:szCs w:val="20"/>
      <w:u w:val="none"/>
    </w:rPr>
  </w:style>
  <w:style w:type="character" w:styleId="1110">
    <w:name w:val="批注框文本 Char2"/>
    <w:next w:val="1110"/>
    <w:link w:val="960"/>
    <w:uiPriority w:val="99"/>
    <w:semiHidden/>
    <w:qFormat/>
    <w:rPr>
      <w:rFonts w:ascii="Calibri" w:hAnsi="Calibri" w:eastAsia="宋体" w:cs="Times New Roman"/>
      <w:sz w:val="18"/>
      <w:szCs w:val="18"/>
    </w:rPr>
  </w:style>
  <w:style w:type="character" w:styleId="1111">
    <w:name w:val="标题 5 Char_0"/>
    <w:next w:val="1111"/>
    <w:link w:val="1112"/>
    <w:qFormat/>
    <w:rPr>
      <w:rFonts w:ascii="Calibri" w:hAnsi="Calibri"/>
      <w:b/>
      <w:bCs/>
      <w:sz w:val="28"/>
      <w:szCs w:val="28"/>
    </w:rPr>
  </w:style>
  <w:style w:type="paragraph" w:styleId="1112">
    <w:name w:val="标题 5_0"/>
    <w:basedOn w:val="1081"/>
    <w:next w:val="1081"/>
    <w:link w:val="1111"/>
    <w:qFormat/>
    <w:pPr>
      <w:keepLines/>
      <w:keepNext/>
      <w:spacing w:before="280" w:after="290" w:line="372" w:lineRule="auto"/>
      <w:outlineLvl w:val="4"/>
    </w:pPr>
    <w:rPr>
      <w:rFonts w:ascii="Calibri" w:hAnsi="Calibri"/>
      <w:b/>
      <w:bCs/>
      <w:sz w:val="28"/>
      <w:szCs w:val="28"/>
    </w:rPr>
  </w:style>
  <w:style w:type="character" w:styleId="1113">
    <w:name w:val="不明显强调1"/>
    <w:next w:val="1113"/>
    <w:link w:val="960"/>
    <w:qFormat/>
    <w:rPr>
      <w:i/>
      <w:iCs/>
      <w:color w:val="808080"/>
    </w:rPr>
  </w:style>
  <w:style w:type="character" w:styleId="1114">
    <w:name w:val="批注文字 Char Char"/>
    <w:next w:val="1114"/>
    <w:link w:val="960"/>
    <w:rPr>
      <w:rFonts w:ascii="宋体" w:hAnsi="Times New Roman" w:eastAsia="宋体" w:cs="Times New Roman"/>
      <w:sz w:val="28"/>
      <w:szCs w:val="20"/>
    </w:rPr>
  </w:style>
  <w:style w:type="character" w:styleId="1115">
    <w:name w:val="明显强调1"/>
    <w:next w:val="1115"/>
    <w:link w:val="960"/>
    <w:qFormat/>
    <w:rPr>
      <w:b/>
      <w:bCs/>
      <w:i/>
      <w:iCs/>
      <w:color w:val="4f81bd"/>
    </w:rPr>
  </w:style>
  <w:style w:type="character" w:styleId="1116">
    <w:name w:val="批注主题 Char2"/>
    <w:next w:val="1116"/>
    <w:link w:val="960"/>
    <w:qFormat/>
    <w:rPr>
      <w:b/>
      <w:bCs/>
      <w:sz w:val="21"/>
    </w:rPr>
  </w:style>
  <w:style w:type="character" w:styleId="1117">
    <w:name w:val="正文文本 2 Char1"/>
    <w:next w:val="1117"/>
    <w:link w:val="960"/>
    <w:qFormat/>
    <w:rPr>
      <w:sz w:val="21"/>
      <w:szCs w:val="24"/>
    </w:rPr>
  </w:style>
  <w:style w:type="character" w:styleId="1118">
    <w:name w:val="font11"/>
    <w:next w:val="1118"/>
    <w:link w:val="960"/>
    <w:qFormat/>
    <w:rPr>
      <w:rFonts w:hint="eastAsia" w:ascii="宋体" w:hAnsi="宋体" w:eastAsia="宋体" w:cs="宋体"/>
      <w:color w:val="000000"/>
      <w:sz w:val="20"/>
      <w:szCs w:val="20"/>
      <w:u w:val="none"/>
    </w:rPr>
  </w:style>
  <w:style w:type="character" w:styleId="1119">
    <w:name w:val="明显参考1"/>
    <w:next w:val="1119"/>
    <w:link w:val="960"/>
    <w:qFormat/>
    <w:rPr>
      <w:b/>
      <w:bCs/>
      <w:smallCaps/>
      <w:color w:val="c0504d"/>
      <w:spacing w:val="5"/>
      <w:u w:val="single"/>
    </w:rPr>
  </w:style>
  <w:style w:type="character" w:styleId="1120">
    <w:name w:val="正文文本 Char1"/>
    <w:next w:val="1120"/>
    <w:link w:val="960"/>
    <w:qFormat/>
    <w:rPr>
      <w:rFonts w:ascii="Calibri" w:hAnsi="Calibri" w:eastAsia="宋体" w:cs="Times New Roman"/>
    </w:rPr>
  </w:style>
  <w:style w:type="character" w:styleId="1121">
    <w:name w:val="标题 Char1"/>
    <w:next w:val="1121"/>
    <w:link w:val="960"/>
    <w:uiPriority w:val="10"/>
    <w:qFormat/>
    <w:rPr>
      <w:rFonts w:ascii="Cambria" w:hAnsi="Cambria" w:eastAsia="宋体" w:cs="Times New Roman"/>
      <w:b/>
      <w:bCs/>
      <w:sz w:val="32"/>
      <w:szCs w:val="32"/>
    </w:rPr>
  </w:style>
  <w:style w:type="character" w:styleId="1122">
    <w:name w:val="页眉 Char1"/>
    <w:next w:val="1122"/>
    <w:link w:val="960"/>
    <w:uiPriority w:val="99"/>
    <w:semiHidden/>
    <w:qFormat/>
    <w:rPr>
      <w:rFonts w:ascii="Calibri" w:hAnsi="Calibri" w:eastAsia="宋体" w:cs="Times New Roman"/>
      <w:sz w:val="18"/>
      <w:szCs w:val="18"/>
    </w:rPr>
  </w:style>
  <w:style w:type="character" w:styleId="1123">
    <w:name w:val="font21"/>
    <w:next w:val="1123"/>
    <w:link w:val="960"/>
    <w:qFormat/>
    <w:rPr>
      <w:rFonts w:hint="eastAsia" w:ascii="宋体" w:hAnsi="宋体" w:eastAsia="宋体" w:cs="宋体"/>
      <w:color w:val="000000"/>
      <w:sz w:val="20"/>
      <w:szCs w:val="20"/>
      <w:u w:val="none"/>
    </w:rPr>
  </w:style>
  <w:style w:type="character" w:styleId="1124">
    <w:name w:val="副标题 Char1"/>
    <w:next w:val="1124"/>
    <w:link w:val="960"/>
    <w:uiPriority w:val="11"/>
    <w:qFormat/>
    <w:rPr>
      <w:rFonts w:ascii="Cambria" w:hAnsi="Cambria" w:cs="Times New Roman"/>
      <w:b/>
      <w:bCs/>
      <w:sz w:val="32"/>
      <w:szCs w:val="32"/>
    </w:rPr>
  </w:style>
  <w:style w:type="character" w:styleId="1125">
    <w:name w:val="正文文本 Char2"/>
    <w:next w:val="1125"/>
    <w:link w:val="960"/>
    <w:uiPriority w:val="99"/>
    <w:qFormat/>
    <w:rPr>
      <w:rFonts w:ascii="Calibri" w:hAnsi="Calibri" w:eastAsia="宋体" w:cs="Times New Roman"/>
    </w:rPr>
  </w:style>
  <w:style w:type="character" w:styleId="1126">
    <w:name w:val="正文文本 3 Char1"/>
    <w:next w:val="1126"/>
    <w:link w:val="960"/>
    <w:uiPriority w:val="99"/>
    <w:qFormat/>
    <w:rPr>
      <w:sz w:val="16"/>
      <w:szCs w:val="16"/>
    </w:rPr>
  </w:style>
  <w:style w:type="character" w:styleId="1127">
    <w:name w:val="日期 Char1"/>
    <w:next w:val="1127"/>
    <w:link w:val="960"/>
    <w:qFormat/>
    <w:rPr>
      <w:rFonts w:ascii="Calibri" w:hAnsi="Calibri" w:eastAsia="宋体" w:cs="Times New Roman"/>
    </w:rPr>
  </w:style>
  <w:style w:type="character" w:styleId="1128">
    <w:name w:val="普通文字 Char Char"/>
    <w:next w:val="1128"/>
    <w:link w:val="960"/>
    <w:rPr>
      <w:rFonts w:ascii="宋体" w:hAnsi="Courier New" w:eastAsia="宋体" w:cs="Courier New"/>
      <w:sz w:val="21"/>
      <w:szCs w:val="21"/>
      <w:lang w:val="en-US" w:eastAsia="zh-CN" w:bidi="ar-SA"/>
    </w:rPr>
  </w:style>
  <w:style w:type="character" w:styleId="1129">
    <w:name w:val="批注文字 Char2"/>
    <w:next w:val="1129"/>
    <w:link w:val="960"/>
    <w:qFormat/>
    <w:rPr>
      <w:sz w:val="21"/>
    </w:rPr>
  </w:style>
  <w:style w:type="character" w:styleId="1130">
    <w:name w:val="标题5 Char Char"/>
    <w:next w:val="1130"/>
    <w:link w:val="1131"/>
    <w:qFormat/>
    <w:rPr>
      <w:rFonts w:ascii="Arial" w:hAnsi="Arial"/>
      <w:b/>
      <w:bCs/>
      <w:sz w:val="24"/>
      <w:szCs w:val="32"/>
    </w:rPr>
  </w:style>
  <w:style w:type="paragraph" w:styleId="1131">
    <w:name w:val="标题5"/>
    <w:basedOn w:val="963"/>
    <w:next w:val="1131"/>
    <w:link w:val="1130"/>
    <w:qFormat/>
    <w:pPr>
      <w:numPr>
        <w:ilvl w:val="0"/>
        <w:numId w:val="0"/>
      </w:numPr>
      <w:spacing w:line="413" w:lineRule="auto"/>
    </w:pPr>
    <w:rPr>
      <w:rFonts w:ascii="Arial" w:hAnsi="Arial"/>
      <w:sz w:val="24"/>
    </w:rPr>
  </w:style>
  <w:style w:type="character" w:styleId="1132">
    <w:name w:val="point_normal1"/>
    <w:next w:val="1132"/>
    <w:link w:val="960"/>
    <w:uiPriority w:val="99"/>
    <w:qFormat/>
    <w:rPr>
      <w:rFonts w:ascii="Arial" w:hAnsi="Arial" w:cs="Arial"/>
      <w:sz w:val="18"/>
      <w:szCs w:val="18"/>
    </w:rPr>
  </w:style>
  <w:style w:type="character" w:styleId="1133">
    <w:name w:val="para_small"/>
    <w:next w:val="1133"/>
    <w:link w:val="960"/>
    <w:uiPriority w:val="99"/>
    <w:qFormat/>
    <w:rPr>
      <w:rFonts w:cs="Times New Roman"/>
    </w:rPr>
  </w:style>
  <w:style w:type="character" w:styleId="1134">
    <w:name w:val="书籍标题"/>
    <w:next w:val="1134"/>
    <w:link w:val="960"/>
    <w:qFormat/>
    <w:rPr>
      <w:b/>
      <w:bCs/>
      <w:smallCaps/>
      <w:spacing w:val="5"/>
    </w:rPr>
  </w:style>
  <w:style w:type="character" w:styleId="1135">
    <w:name w:val="列出段落 Char,Bullet List Char,numbered Char,FooterText Char,List Paragraph1 Char,Paragraphe de liste1 Char"/>
    <w:next w:val="1135"/>
    <w:link w:val="1136"/>
    <w:qFormat/>
    <w:rPr>
      <w:szCs w:val="24"/>
    </w:rPr>
  </w:style>
  <w:style w:type="paragraph" w:styleId="1136">
    <w:name w:val="List Paragraph1"/>
    <w:basedOn w:val="960"/>
    <w:next w:val="1136"/>
    <w:link w:val="1135"/>
    <w:qFormat/>
    <w:pPr>
      <w:ind w:firstLine="420"/>
    </w:pPr>
    <w:rPr>
      <w:sz w:val="20"/>
    </w:rPr>
  </w:style>
  <w:style w:type="character" w:styleId="1137">
    <w:name w:val="mail_info_expanded_sender1"/>
    <w:next w:val="1137"/>
    <w:link w:val="960"/>
    <w:rPr>
      <w:b w:val="0"/>
      <w:color w:val="41464e"/>
    </w:rPr>
  </w:style>
  <w:style w:type="character" w:styleId="1138">
    <w:name w:val="批注主题 Char1"/>
    <w:next w:val="1138"/>
    <w:link w:val="960"/>
    <w:qFormat/>
    <w:rPr>
      <w:b/>
      <w:bCs/>
      <w:sz w:val="21"/>
      <w:szCs w:val="22"/>
    </w:rPr>
  </w:style>
  <w:style w:type="character" w:styleId="1139">
    <w:name w:val="引用 Char1"/>
    <w:next w:val="1139"/>
    <w:link w:val="960"/>
    <w:uiPriority w:val="29"/>
    <w:qFormat/>
    <w:rPr>
      <w:i/>
      <w:iCs/>
      <w:color w:val="000000"/>
      <w:sz w:val="21"/>
    </w:rPr>
  </w:style>
  <w:style w:type="character" w:styleId="1140">
    <w:name w:val="正文首行缩进 Char1"/>
    <w:next w:val="1140"/>
    <w:link w:val="960"/>
    <w:qFormat/>
    <w:rPr>
      <w:rFonts w:eastAsia="幼圆"/>
      <w:b/>
      <w:bCs/>
      <w:sz w:val="21"/>
      <w:szCs w:val="24"/>
    </w:rPr>
  </w:style>
  <w:style w:type="character" w:styleId="1141">
    <w:name w:val="超链接_0"/>
    <w:next w:val="1141"/>
    <w:link w:val="960"/>
    <w:uiPriority w:val="99"/>
    <w:qFormat/>
    <w:rPr>
      <w:rFonts w:ascii="Calibri" w:hAnsi="Calibri"/>
      <w:color w:val="0000ff"/>
      <w:u w:val="single"/>
    </w:rPr>
  </w:style>
  <w:style w:type="character" w:styleId="1142">
    <w:name w:val="批注框文本 Char1"/>
    <w:next w:val="1142"/>
    <w:link w:val="960"/>
    <w:qFormat/>
    <w:rPr>
      <w:sz w:val="18"/>
      <w:szCs w:val="18"/>
    </w:rPr>
  </w:style>
  <w:style w:type="character" w:styleId="1143">
    <w:name w:val="明显引用 Char2"/>
    <w:next w:val="1143"/>
    <w:link w:val="960"/>
    <w:uiPriority w:val="30"/>
    <w:qFormat/>
    <w:rPr>
      <w:b/>
      <w:bCs/>
      <w:i/>
      <w:iCs/>
      <w:color w:val="4f81bd"/>
      <w:sz w:val="21"/>
      <w:szCs w:val="24"/>
    </w:rPr>
  </w:style>
  <w:style w:type="character" w:styleId="1144">
    <w:name w:val="标题 2 Char_0"/>
    <w:next w:val="1144"/>
    <w:link w:val="1145"/>
    <w:qFormat/>
    <w:rPr>
      <w:rFonts w:ascii="Cambria" w:hAnsi="Cambria"/>
      <w:b/>
      <w:bCs/>
      <w:sz w:val="32"/>
      <w:szCs w:val="32"/>
    </w:rPr>
  </w:style>
  <w:style w:type="paragraph" w:styleId="1145">
    <w:name w:val="标题 2_0"/>
    <w:basedOn w:val="1081"/>
    <w:next w:val="1081"/>
    <w:link w:val="1144"/>
    <w:unhideWhenUsed/>
    <w:qFormat/>
    <w:pPr>
      <w:keepLines/>
      <w:keepNext/>
      <w:spacing w:before="260" w:after="260" w:line="416" w:lineRule="auto"/>
      <w:outlineLvl w:val="1"/>
    </w:pPr>
    <w:rPr>
      <w:rFonts w:ascii="Cambria" w:hAnsi="Cambria"/>
      <w:b/>
      <w:bCs/>
      <w:sz w:val="32"/>
      <w:szCs w:val="32"/>
    </w:rPr>
  </w:style>
  <w:style w:type="paragraph" w:styleId="1146">
    <w:name w:val="2方案格式2"/>
    <w:basedOn w:val="1147"/>
    <w:next w:val="1146"/>
    <w:link w:val="960"/>
    <w:qFormat/>
    <w:pPr>
      <w:numPr>
        <w:ilvl w:val="1"/>
        <w:numId w:val="2"/>
      </w:numPr>
      <w:spacing w:before="50" w:after="50" w:line="240" w:lineRule="auto"/>
      <w:tabs>
        <w:tab w:val="left" w:pos="360" w:leader="none"/>
      </w:tabs>
      <w:outlineLvl w:val="1"/>
    </w:pPr>
    <w:rPr>
      <w:sz w:val="44"/>
    </w:rPr>
  </w:style>
  <w:style w:type="paragraph" w:styleId="1147">
    <w:name w:val="1方案格式1"/>
    <w:basedOn w:val="961"/>
    <w:next w:val="1147"/>
    <w:link w:val="960"/>
    <w:qFormat/>
    <w:pPr>
      <w:numPr>
        <w:ilvl w:val="0"/>
        <w:numId w:val="2"/>
      </w:numPr>
      <w:ind w:left="0" w:firstLine="0"/>
      <w:spacing w:line="360" w:lineRule="auto"/>
      <w:tabs>
        <w:tab w:val="left" w:pos="360" w:leader="none"/>
      </w:tabs>
    </w:pPr>
    <w:rPr>
      <w:rFonts w:eastAsia="微软雅黑"/>
      <w:bCs w:val="0"/>
      <w:sz w:val="48"/>
    </w:rPr>
  </w:style>
  <w:style w:type="paragraph" w:styleId="1148">
    <w:name w:val="列出段落11"/>
    <w:basedOn w:val="960"/>
    <w:next w:val="1148"/>
    <w:link w:val="960"/>
    <w:qFormat/>
    <w:pPr>
      <w:contextualSpacing/>
      <w:ind w:left="720"/>
      <w:jc w:val="left"/>
      <w:widowControl/>
    </w:pPr>
    <w:rPr>
      <w:rFonts w:ascii="Arial" w:hAnsi="Arial" w:eastAsia="黑体"/>
      <w:sz w:val="24"/>
      <w:lang w:eastAsia="en-US"/>
    </w:rPr>
  </w:style>
  <w:style w:type="paragraph" w:styleId="1149">
    <w:name w:val="TOC 标题1"/>
    <w:basedOn w:val="961"/>
    <w:next w:val="960"/>
    <w:link w:val="960"/>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150">
    <w:name w:val="正文2"/>
    <w:next w:val="1150"/>
    <w:link w:val="1151"/>
    <w:uiPriority w:val="99"/>
    <w:qFormat/>
    <w:rPr>
      <w:rFonts w:eastAsia="微软雅黑"/>
      <w:sz w:val="24"/>
      <w:szCs w:val="24"/>
      <w:lang w:val="en-US" w:eastAsia="zh-CN" w:bidi="ar-SA"/>
    </w:rPr>
  </w:style>
  <w:style w:type="character" w:styleId="1151">
    <w:name w:val="正文2 Char Char"/>
    <w:next w:val="1151"/>
    <w:link w:val="1150"/>
    <w:uiPriority w:val="99"/>
    <w:qFormat/>
    <w:rPr>
      <w:rFonts w:eastAsia="微软雅黑"/>
      <w:sz w:val="24"/>
      <w:szCs w:val="24"/>
      <w:lang w:bidi="ar-SA"/>
    </w:rPr>
  </w:style>
  <w:style w:type="paragraph" w:styleId="1152">
    <w:name w:val="正文 + 行距: 固定值 20 磅"/>
    <w:basedOn w:val="960"/>
    <w:next w:val="1152"/>
    <w:link w:val="960"/>
    <w:qFormat/>
    <w:pPr>
      <w:ind w:firstLine="716"/>
      <w:spacing w:line="400" w:lineRule="exact"/>
    </w:pPr>
    <w:rPr>
      <w:szCs w:val="22"/>
    </w:rPr>
  </w:style>
  <w:style w:type="paragraph" w:styleId="1153">
    <w:name w:val="列出段落1"/>
    <w:basedOn w:val="960"/>
    <w:next w:val="1153"/>
    <w:link w:val="960"/>
    <w:uiPriority w:val="99"/>
    <w:qFormat/>
    <w:pPr>
      <w:contextualSpacing/>
      <w:ind w:left="720"/>
      <w:jc w:val="left"/>
      <w:widowControl/>
    </w:pPr>
    <w:rPr>
      <w:rFonts w:ascii="Arial" w:hAnsi="Arial" w:eastAsia="黑体"/>
      <w:sz w:val="24"/>
      <w:lang w:eastAsia="en-US"/>
    </w:rPr>
  </w:style>
  <w:style w:type="paragraph" w:styleId="1154">
    <w:name w:val="op_mapdots_left"/>
    <w:basedOn w:val="960"/>
    <w:next w:val="1154"/>
    <w:link w:val="960"/>
    <w:qFormat/>
    <w:pPr>
      <w:jc w:val="left"/>
      <w:spacing w:before="100" w:beforeAutospacing="1" w:after="100" w:afterAutospacing="1"/>
      <w:widowControl/>
    </w:pPr>
    <w:rPr>
      <w:rFonts w:ascii="宋体" w:hAnsi="宋体" w:cs="宋体"/>
      <w:sz w:val="24"/>
    </w:rPr>
  </w:style>
  <w:style w:type="paragraph" w:styleId="1155">
    <w:name w:val="标题2"/>
    <w:basedOn w:val="962"/>
    <w:next w:val="998"/>
    <w:link w:val="960"/>
    <w:qFormat/>
    <w:pPr>
      <w:spacing w:before="156" w:after="156" w:line="360" w:lineRule="auto"/>
    </w:pPr>
    <w:rPr>
      <w:bCs w:val="0"/>
      <w:sz w:val="24"/>
    </w:rPr>
  </w:style>
  <w:style w:type="paragraph" w:styleId="1156">
    <w:name w:val="正文空2字"/>
    <w:basedOn w:val="960"/>
    <w:next w:val="1156"/>
    <w:link w:val="960"/>
    <w:qFormat/>
    <w:pPr>
      <w:ind w:firstLine="200"/>
      <w:spacing w:line="360" w:lineRule="auto"/>
    </w:pPr>
    <w:rPr>
      <w:sz w:val="24"/>
      <w:lang w:bidi="en-US"/>
    </w:rPr>
  </w:style>
  <w:style w:type="paragraph" w:styleId="1157">
    <w:name w:val="List Paragraph"/>
    <w:basedOn w:val="960"/>
    <w:next w:val="1157"/>
    <w:link w:val="960"/>
    <w:uiPriority w:val="99"/>
    <w:qFormat/>
    <w:pPr>
      <w:ind w:firstLine="420"/>
    </w:pPr>
    <w:rPr>
      <w:szCs w:val="20"/>
    </w:rPr>
  </w:style>
  <w:style w:type="paragraph" w:styleId="1158">
    <w:name w:val="Item Step in Table"/>
    <w:next w:val="1158"/>
    <w:link w:val="960"/>
    <w:uiPriority w:val="99"/>
    <w:qFormat/>
    <w:pPr>
      <w:ind w:left="397" w:hanging="397"/>
      <w:jc w:val="both"/>
      <w:spacing w:before="40" w:after="40"/>
      <w:tabs>
        <w:tab w:val="left" w:pos="397" w:leader="none"/>
      </w:tabs>
    </w:pPr>
    <w:rPr>
      <w:rFonts w:ascii="Arial" w:hAnsi="Arial" w:cs="Arial"/>
      <w:sz w:val="18"/>
      <w:szCs w:val="18"/>
      <w:lang w:val="en-US" w:eastAsia="zh-CN" w:bidi="ar-SA"/>
    </w:rPr>
  </w:style>
  <w:style w:type="paragraph" w:styleId="1159">
    <w:name w:val="表格"/>
    <w:basedOn w:val="960"/>
    <w:next w:val="1159"/>
    <w:link w:val="960"/>
    <w:qFormat/>
    <w:pPr>
      <w:jc w:val="center"/>
    </w:pPr>
    <w:rPr>
      <w:rFonts w:ascii="华文细黑" w:hAnsi="华文细黑"/>
      <w:szCs w:val="22"/>
    </w:rPr>
  </w:style>
  <w:style w:type="paragraph" w:styleId="1160">
    <w:name w:val="格式３"/>
    <w:basedOn w:val="960"/>
    <w:next w:val="1160"/>
    <w:link w:val="960"/>
    <w:qFormat/>
    <w:pPr>
      <w:ind w:left="600" w:hanging="600"/>
      <w:spacing w:line="420" w:lineRule="exact"/>
    </w:pPr>
    <w:rPr>
      <w:rFonts w:ascii="宋体" w:hAnsi="宋体"/>
      <w:color w:val="000000"/>
      <w:sz w:val="24"/>
      <w:szCs w:val="20"/>
    </w:rPr>
  </w:style>
  <w:style w:type="paragraph" w:styleId="1161">
    <w:name w:val="列表段落"/>
    <w:basedOn w:val="960"/>
    <w:next w:val="960"/>
    <w:link w:val="960"/>
    <w:uiPriority w:val="34"/>
    <w:qFormat/>
    <w:pPr>
      <w:ind w:firstLine="420"/>
    </w:pPr>
    <w:rPr>
      <w:szCs w:val="22"/>
    </w:rPr>
  </w:style>
  <w:style w:type="paragraph" w:styleId="1162">
    <w:name w:val="6'"/>
    <w:basedOn w:val="960"/>
    <w:next w:val="1162"/>
    <w:link w:val="960"/>
    <w:qFormat/>
    <w:pPr>
      <w:jc w:val="center"/>
      <w:spacing w:line="320" w:lineRule="exact"/>
    </w:pPr>
    <w:rPr>
      <w:spacing w:val="20"/>
      <w:szCs w:val="22"/>
    </w:rPr>
  </w:style>
  <w:style w:type="paragraph" w:styleId="1163">
    <w:name w:val="文章正文"/>
    <w:basedOn w:val="960"/>
    <w:next w:val="1163"/>
    <w:link w:val="960"/>
    <w:uiPriority w:val="99"/>
    <w:qFormat/>
    <w:pPr>
      <w:ind w:firstLine="480"/>
      <w:spacing w:line="360" w:lineRule="auto"/>
    </w:pPr>
    <w:rPr>
      <w:rFonts w:ascii="仿宋_GB2312" w:hAnsi="宋体" w:eastAsia="仿宋_GB2312"/>
      <w:color w:val="ff0000"/>
      <w:sz w:val="24"/>
    </w:rPr>
  </w:style>
  <w:style w:type="paragraph" w:styleId="1164">
    <w:name w:val="空半行"/>
    <w:basedOn w:val="960"/>
    <w:next w:val="1164"/>
    <w:link w:val="960"/>
    <w:qFormat/>
    <w:pPr>
      <w:spacing w:line="120" w:lineRule="exact"/>
    </w:pPr>
    <w:rPr>
      <w:rFonts w:eastAsia="仿宋_GB2312"/>
      <w:color w:val="ffffff"/>
      <w:sz w:val="30"/>
      <w:szCs w:val="22"/>
    </w:rPr>
  </w:style>
  <w:style w:type="paragraph" w:styleId="1165">
    <w:name w:val="_Style 105"/>
    <w:next w:val="960"/>
    <w:link w:val="960"/>
    <w:pPr>
      <w:jc w:val="both"/>
      <w:widowControl w:val="off"/>
    </w:pPr>
    <w:rPr>
      <w:sz w:val="21"/>
      <w:lang w:val="en-US" w:eastAsia="zh-CN" w:bidi="ar-SA"/>
    </w:rPr>
  </w:style>
  <w:style w:type="paragraph" w:styleId="1166">
    <w:name w:val="目录 4_0"/>
    <w:basedOn w:val="1081"/>
    <w:next w:val="1081"/>
    <w:link w:val="960"/>
    <w:uiPriority w:val="39"/>
    <w:qFormat/>
    <w:pPr>
      <w:ind w:left="1260"/>
    </w:pPr>
  </w:style>
  <w:style w:type="paragraph" w:styleId="1167">
    <w:name w:val="_Style 36"/>
    <w:next w:val="960"/>
    <w:link w:val="960"/>
    <w:qFormat/>
    <w:pPr>
      <w:jc w:val="both"/>
      <w:widowControl w:val="off"/>
    </w:pPr>
    <w:rPr>
      <w:sz w:val="21"/>
      <w:lang w:val="en-US" w:eastAsia="zh-CN" w:bidi="ar-SA"/>
    </w:rPr>
  </w:style>
  <w:style w:type="paragraph" w:styleId="1168">
    <w:name w:val="Heading 1"/>
    <w:basedOn w:val="1169"/>
    <w:next w:val="1169"/>
    <w:link w:val="960"/>
    <w:qFormat/>
    <w:pPr>
      <w:keepLines/>
      <w:keepNext/>
      <w:spacing w:before="340" w:after="330" w:line="576" w:lineRule="auto"/>
      <w:outlineLvl w:val="0"/>
    </w:pPr>
    <w:rPr>
      <w:rFonts w:ascii="Times New Roman" w:hAnsi="Times New Roman" w:eastAsia="Times New Roman"/>
      <w:b/>
      <w:sz w:val="44"/>
      <w:lang w:val="zh-CN"/>
    </w:rPr>
  </w:style>
  <w:style w:type="paragraph" w:styleId="1169">
    <w:name w:val="正文1"/>
    <w:next w:val="1169"/>
    <w:link w:val="960"/>
    <w:uiPriority w:val="99"/>
    <w:qFormat/>
    <w:pPr>
      <w:jc w:val="both"/>
      <w:widowControl w:val="off"/>
    </w:pPr>
    <w:rPr>
      <w:lang w:val="en-US" w:eastAsia="zh-CN" w:bidi="ar-SA"/>
    </w:rPr>
  </w:style>
  <w:style w:type="paragraph" w:styleId="1170">
    <w:name w:val="样式 标题 1 + 黑体 三号 非加粗 居中 段前: 6 磅 段后: 6 磅 行距: 固定值 20 磅"/>
    <w:basedOn w:val="961"/>
    <w:next w:val="1170"/>
    <w:link w:val="960"/>
    <w:qFormat/>
    <w:pPr>
      <w:numPr>
        <w:ilvl w:val="0"/>
        <w:numId w:val="0"/>
      </w:numPr>
      <w:spacing w:before="120" w:after="120" w:line="400" w:lineRule="exact"/>
    </w:pPr>
    <w:rPr>
      <w:rFonts w:ascii="黑体" w:hAnsi="黑体" w:eastAsia="黑体"/>
      <w:b w:val="0"/>
      <w:bCs w:val="0"/>
      <w:szCs w:val="20"/>
    </w:rPr>
  </w:style>
  <w:style w:type="paragraph" w:styleId="1171">
    <w:name w:val="目录 3_0"/>
    <w:basedOn w:val="1081"/>
    <w:next w:val="1081"/>
    <w:link w:val="960"/>
    <w:uiPriority w:val="39"/>
    <w:qFormat/>
    <w:pPr>
      <w:ind w:left="840"/>
    </w:pPr>
  </w:style>
  <w:style w:type="paragraph" w:styleId="1172">
    <w:name w:val="无间隔"/>
    <w:next w:val="1172"/>
    <w:link w:val="1173"/>
    <w:qFormat/>
    <w:pPr>
      <w:jc w:val="both"/>
      <w:widowControl w:val="off"/>
    </w:pPr>
    <w:rPr>
      <w:sz w:val="21"/>
      <w:lang w:val="en-US" w:eastAsia="zh-CN" w:bidi="ar-SA"/>
    </w:rPr>
  </w:style>
  <w:style w:type="character" w:styleId="1173">
    <w:name w:val="无间隔 字符"/>
    <w:next w:val="1173"/>
    <w:link w:val="1172"/>
    <w:qFormat/>
    <w:rPr>
      <w:sz w:val="21"/>
      <w:lang w:bidi="ar-SA"/>
    </w:rPr>
  </w:style>
  <w:style w:type="paragraph" w:styleId="1174">
    <w:name w:val="Char Char Char Char Char Char Char"/>
    <w:basedOn w:val="960"/>
    <w:next w:val="1174"/>
    <w:link w:val="960"/>
    <w:qFormat/>
    <w:pPr>
      <w:spacing w:line="360" w:lineRule="auto"/>
    </w:pPr>
    <w:rPr>
      <w:sz w:val="24"/>
      <w:szCs w:val="20"/>
    </w:rPr>
  </w:style>
  <w:style w:type="paragraph" w:styleId="1175">
    <w:name w:val="1"/>
    <w:basedOn w:val="960"/>
    <w:next w:val="960"/>
    <w:link w:val="960"/>
    <w:qFormat/>
    <w:rPr>
      <w:szCs w:val="22"/>
    </w:rPr>
  </w:style>
  <w:style w:type="paragraph" w:styleId="1176">
    <w:name w:val="样式 标题 2 + Times New Roman 四号 非加粗 段前: 5 磅 段后: 0 磅 行距: 固定值 20..."/>
    <w:basedOn w:val="962"/>
    <w:next w:val="1176"/>
    <w:link w:val="960"/>
    <w:qFormat/>
    <w:pPr>
      <w:numPr>
        <w:ilvl w:val="0"/>
        <w:numId w:val="0"/>
      </w:numPr>
      <w:spacing w:before="100" w:after="0" w:line="400" w:lineRule="exact"/>
    </w:pPr>
    <w:rPr>
      <w:rFonts w:ascii="Times New Roman" w:hAnsi="Times New Roman" w:eastAsia="黑体"/>
      <w:b w:val="0"/>
      <w:bCs w:val="0"/>
      <w:sz w:val="28"/>
      <w:szCs w:val="20"/>
    </w:rPr>
  </w:style>
  <w:style w:type="paragraph" w:styleId="1177">
    <w:name w:val="列出段落3"/>
    <w:basedOn w:val="960"/>
    <w:next w:val="1177"/>
    <w:link w:val="960"/>
    <w:uiPriority w:val="34"/>
    <w:qFormat/>
    <w:pPr>
      <w:ind w:firstLine="420"/>
    </w:pPr>
    <w:rPr>
      <w:szCs w:val="20"/>
    </w:rPr>
  </w:style>
  <w:style w:type="paragraph" w:styleId="1178">
    <w:name w:val="普通正文"/>
    <w:basedOn w:val="960"/>
    <w:next w:val="1178"/>
    <w:link w:val="960"/>
    <w:uiPriority w:val="99"/>
    <w:qFormat/>
    <w:pPr>
      <w:ind w:firstLine="480"/>
      <w:jc w:val="left"/>
      <w:spacing w:before="120" w:after="120" w:line="360" w:lineRule="auto"/>
    </w:pPr>
    <w:rPr>
      <w:rFonts w:ascii="Arial" w:hAnsi="Arial"/>
      <w:sz w:val="24"/>
    </w:rPr>
  </w:style>
  <w:style w:type="paragraph" w:styleId="1179">
    <w:name w:val="表格文字"/>
    <w:basedOn w:val="960"/>
    <w:next w:val="1179"/>
    <w:link w:val="960"/>
    <w:qFormat/>
    <w:pPr>
      <w:jc w:val="left"/>
      <w:spacing w:line="420" w:lineRule="atLeast"/>
    </w:pPr>
    <w:rPr>
      <w:szCs w:val="22"/>
    </w:rPr>
  </w:style>
  <w:style w:type="paragraph" w:styleId="1180">
    <w:name w:val="样式 标题 2 + Times New Roman 四号 非加粗 段前: 5 磅 段后: 0 磅 行距: 固定值 20..._0"/>
    <w:basedOn w:val="960"/>
    <w:next w:val="1180"/>
    <w:link w:val="960"/>
    <w:qFormat/>
    <w:pPr>
      <w:keepLines/>
      <w:keepNext/>
      <w:spacing w:before="100" w:line="360" w:lineRule="auto"/>
      <w:outlineLvl w:val="1"/>
    </w:pPr>
    <w:rPr>
      <w:rFonts w:eastAsia="Times New Roman" w:cs="宋体"/>
      <w:sz w:val="28"/>
      <w:szCs w:val="20"/>
    </w:rPr>
  </w:style>
  <w:style w:type="paragraph" w:styleId="1181">
    <w:name w:val="样式 标题 3 + (中文) 黑体 小四 非加粗 段前: 7.8 磅 段后: 0 磅 行距: 固定值 20 磅"/>
    <w:basedOn w:val="963"/>
    <w:next w:val="960"/>
    <w:link w:val="960"/>
    <w:qFormat/>
    <w:pPr>
      <w:spacing w:before="0" w:after="0" w:line="400" w:lineRule="exact"/>
    </w:pPr>
    <w:rPr>
      <w:rFonts w:eastAsia="黑体" w:cs="宋体"/>
      <w:b w:val="0"/>
      <w:bCs w:val="0"/>
      <w:sz w:val="24"/>
      <w:szCs w:val="20"/>
    </w:rPr>
  </w:style>
  <w:style w:type="paragraph" w:styleId="1182">
    <w:name w:val="txt"/>
    <w:basedOn w:val="960"/>
    <w:next w:val="1182"/>
    <w:link w:val="960"/>
    <w:qFormat/>
    <w:pPr>
      <w:jc w:val="left"/>
      <w:spacing w:before="100" w:beforeAutospacing="1" w:after="100" w:afterAutospacing="1"/>
      <w:widowControl/>
    </w:pPr>
    <w:rPr>
      <w:rFonts w:ascii="宋体" w:hAnsi="宋体" w:cs="宋体"/>
      <w:sz w:val="24"/>
    </w:rPr>
  </w:style>
  <w:style w:type="paragraph" w:styleId="1183">
    <w:name w:val="Blockquote"/>
    <w:basedOn w:val="960"/>
    <w:next w:val="1183"/>
    <w:link w:val="960"/>
    <w:qFormat/>
    <w:pPr>
      <w:ind w:left="360" w:right="360"/>
      <w:jc w:val="left"/>
      <w:spacing w:before="100" w:after="100"/>
    </w:pPr>
    <w:rPr>
      <w:sz w:val="24"/>
      <w:szCs w:val="22"/>
    </w:rPr>
  </w:style>
  <w:style w:type="paragraph" w:styleId="1184">
    <w:name w:val="目录 5_0"/>
    <w:basedOn w:val="1081"/>
    <w:next w:val="1081"/>
    <w:link w:val="960"/>
    <w:uiPriority w:val="39"/>
    <w:qFormat/>
    <w:pPr>
      <w:ind w:left="1680"/>
    </w:pPr>
  </w:style>
  <w:style w:type="paragraph" w:styleId="1185">
    <w:name w:val="3方案格式3"/>
    <w:basedOn w:val="1146"/>
    <w:next w:val="1185"/>
    <w:link w:val="960"/>
    <w:qFormat/>
    <w:pPr>
      <w:numPr>
        <w:ilvl w:val="2"/>
        <w:numId w:val="2"/>
      </w:numPr>
      <w:tabs>
        <w:tab w:val="left" w:pos="360" w:leader="none"/>
      </w:tabs>
      <w:outlineLvl w:val="2"/>
    </w:pPr>
    <w:rPr>
      <w:sz w:val="32"/>
    </w:rPr>
  </w:style>
  <w:style w:type="paragraph" w:styleId="1186">
    <w:name w:val="修订1"/>
    <w:next w:val="1186"/>
    <w:link w:val="960"/>
    <w:qFormat/>
    <w:rPr>
      <w:sz w:val="21"/>
      <w:szCs w:val="24"/>
      <w:lang w:val="en-US" w:eastAsia="zh-CN" w:bidi="ar-SA"/>
    </w:rPr>
  </w:style>
  <w:style w:type="paragraph" w:styleId="1187">
    <w:name w:val="Blockquote_0"/>
    <w:basedOn w:val="1081"/>
    <w:next w:val="1187"/>
    <w:link w:val="960"/>
    <w:qFormat/>
    <w:pPr>
      <w:ind w:left="360" w:right="360"/>
      <w:jc w:val="left"/>
      <w:spacing w:before="100" w:after="100"/>
    </w:pPr>
    <w:rPr>
      <w:rFonts w:eastAsia="Times New Roman"/>
      <w:sz w:val="24"/>
      <w:szCs w:val="20"/>
    </w:rPr>
  </w:style>
  <w:style w:type="paragraph" w:styleId="1188">
    <w:name w:val="p0"/>
    <w:basedOn w:val="960"/>
    <w:next w:val="1188"/>
    <w:link w:val="960"/>
    <w:uiPriority w:val="99"/>
    <w:qFormat/>
    <w:pPr>
      <w:widowControl/>
    </w:pPr>
    <w:rPr>
      <w:b/>
      <w:bCs/>
      <w:sz w:val="24"/>
    </w:rPr>
  </w:style>
  <w:style w:type="paragraph" w:styleId="1189">
    <w:name w:val="正文_0_0_0"/>
    <w:next w:val="1189"/>
    <w:link w:val="960"/>
    <w:qFormat/>
    <w:pPr>
      <w:jc w:val="both"/>
      <w:widowControl w:val="off"/>
    </w:pPr>
    <w:rPr>
      <w:lang w:val="en-US" w:eastAsia="zh-CN" w:bidi="ar-SA"/>
    </w:rPr>
  </w:style>
  <w:style w:type="paragraph" w:styleId="1190">
    <w:name w:val="flNote"/>
    <w:basedOn w:val="960"/>
    <w:next w:val="1190"/>
    <w:link w:val="960"/>
    <w:qFormat/>
    <w:pPr>
      <w:jc w:val="center"/>
      <w:spacing w:before="320" w:after="160" w:line="360" w:lineRule="atLeast"/>
    </w:pPr>
    <w:rPr>
      <w:rFonts w:ascii="Arial" w:eastAsia="黑体"/>
      <w:sz w:val="30"/>
      <w:szCs w:val="22"/>
    </w:rPr>
  </w:style>
  <w:style w:type="paragraph" w:styleId="1191">
    <w:name w:val="正文11"/>
    <w:next w:val="1191"/>
    <w:link w:val="960"/>
    <w:qFormat/>
    <w:rPr>
      <w:rFonts w:cs="Calibri"/>
      <w:sz w:val="24"/>
      <w:szCs w:val="24"/>
      <w:lang w:val="en-US" w:eastAsia="zh-CN" w:bidi="ar-SA"/>
    </w:rPr>
  </w:style>
  <w:style w:type="paragraph" w:styleId="1192">
    <w:name w:val="_Style 34"/>
    <w:next w:val="960"/>
    <w:link w:val="960"/>
    <w:qFormat/>
    <w:pPr>
      <w:jc w:val="both"/>
      <w:widowControl w:val="off"/>
    </w:pPr>
    <w:rPr>
      <w:sz w:val="21"/>
      <w:lang w:val="en-US" w:eastAsia="zh-CN" w:bidi="ar-SA"/>
    </w:rPr>
  </w:style>
  <w:style w:type="paragraph" w:styleId="1193">
    <w:name w:val="正文_3"/>
    <w:next w:val="1193"/>
    <w:link w:val="960"/>
    <w:qFormat/>
    <w:pPr>
      <w:jc w:val="both"/>
      <w:widowControl w:val="off"/>
    </w:pPr>
    <w:rPr>
      <w:sz w:val="21"/>
      <w:szCs w:val="22"/>
      <w:lang w:val="en-US" w:eastAsia="zh-CN" w:bidi="ar-SA"/>
    </w:rPr>
  </w:style>
  <w:style w:type="paragraph" w:styleId="1194">
    <w:name w:val="文档正文"/>
    <w:basedOn w:val="960"/>
    <w:next w:val="1194"/>
    <w:link w:val="960"/>
    <w:qFormat/>
    <w:pPr>
      <w:ind w:firstLine="567"/>
      <w:spacing w:line="480" w:lineRule="atLeast"/>
    </w:pPr>
    <w:rPr>
      <w:rFonts w:ascii="Ari" w:eastAsia="Ari"/>
      <w:sz w:val="28"/>
      <w:szCs w:val="20"/>
    </w:rPr>
  </w:style>
  <w:style w:type="paragraph" w:styleId="1195">
    <w:name w:val="列出段落2"/>
    <w:basedOn w:val="960"/>
    <w:next w:val="1195"/>
    <w:link w:val="960"/>
    <w:uiPriority w:val="34"/>
    <w:qFormat/>
    <w:pPr>
      <w:ind w:firstLine="420"/>
    </w:pPr>
  </w:style>
  <w:style w:type="paragraph" w:styleId="1196">
    <w:name w:val="修订"/>
    <w:next w:val="1196"/>
    <w:link w:val="960"/>
    <w:rPr>
      <w:sz w:val="21"/>
      <w:lang w:val="en-US" w:eastAsia="zh-CN" w:bidi="ar-SA"/>
    </w:rPr>
  </w:style>
  <w:style w:type="paragraph" w:styleId="1197">
    <w:name w:val="Default"/>
    <w:next w:val="1197"/>
    <w:link w:val="960"/>
    <w:uiPriority w:val="99"/>
    <w:qFormat/>
    <w:pPr>
      <w:widowControl w:val="off"/>
    </w:pPr>
    <w:rPr>
      <w:rFonts w:ascii="宋体" w:cs="宋体"/>
      <w:color w:val="000000"/>
      <w:sz w:val="24"/>
      <w:szCs w:val="24"/>
      <w:lang w:val="en-US" w:eastAsia="zh-CN" w:bidi="ar-SA"/>
    </w:rPr>
  </w:style>
  <w:style w:type="paragraph" w:styleId="1198">
    <w:name w:val="Char"/>
    <w:basedOn w:val="960"/>
    <w:next w:val="1198"/>
    <w:link w:val="960"/>
    <w:uiPriority w:val="99"/>
    <w:qFormat/>
    <w:pPr>
      <w:jc w:val="left"/>
      <w:spacing w:after="160" w:line="240" w:lineRule="exact"/>
      <w:widowControl/>
    </w:pPr>
    <w:rPr>
      <w:rFonts w:ascii="Verdana" w:hAnsi="Verdana"/>
      <w:sz w:val="20"/>
      <w:szCs w:val="20"/>
      <w:lang w:eastAsia="en-US"/>
    </w:rPr>
  </w:style>
  <w:style w:type="paragraph" w:styleId="1199">
    <w:name w:val="Heading 5"/>
    <w:basedOn w:val="960"/>
    <w:next w:val="1199"/>
    <w:link w:val="960"/>
    <w:uiPriority w:val="1"/>
    <w:qFormat/>
    <w:pPr>
      <w:ind w:left="638"/>
      <w:jc w:val="left"/>
      <w:outlineLvl w:val="5"/>
    </w:pPr>
    <w:rPr>
      <w:rFonts w:ascii="宋体" w:hAnsi="宋体" w:cs="宋体"/>
      <w:b/>
      <w:bCs/>
      <w:szCs w:val="21"/>
      <w:lang w:val="zh-CN" w:bidi="zh-CN"/>
    </w:rPr>
  </w:style>
  <w:style w:type="paragraph" w:styleId="1200">
    <w:name w:val="首行缩进"/>
    <w:basedOn w:val="960"/>
    <w:next w:val="1200"/>
    <w:link w:val="960"/>
    <w:qFormat/>
    <w:pPr>
      <w:ind w:firstLine="480"/>
      <w:jc w:val="left"/>
    </w:pPr>
    <w:rPr>
      <w:rFonts w:ascii="宋体" w:hAnsi="宋体" w:eastAsia="Calibri" w:cs="宋体"/>
      <w:sz w:val="20"/>
      <w:szCs w:val="20"/>
      <w:lang w:val="zh-CN" w:bidi="zh-CN"/>
    </w:rPr>
  </w:style>
  <w:style w:type="paragraph" w:styleId="1201">
    <w:name w:val="Table Paragraph"/>
    <w:basedOn w:val="960"/>
    <w:next w:val="1201"/>
    <w:link w:val="960"/>
    <w:uiPriority w:val="1"/>
    <w:qFormat/>
    <w:pPr>
      <w:jc w:val="left"/>
    </w:pPr>
    <w:rPr>
      <w:rFonts w:ascii="宋体" w:hAnsi="宋体" w:cs="宋体"/>
      <w:sz w:val="22"/>
      <w:szCs w:val="22"/>
      <w:lang w:val="zh-CN" w:bidi="zh-CN"/>
    </w:rPr>
  </w:style>
  <w:style w:type="paragraph" w:styleId="1202">
    <w:name w:val="Heading 3"/>
    <w:basedOn w:val="960"/>
    <w:next w:val="1202"/>
    <w:link w:val="960"/>
    <w:uiPriority w:val="1"/>
    <w:qFormat/>
    <w:pPr>
      <w:ind w:left="218"/>
      <w:jc w:val="left"/>
      <w:outlineLvl w:val="3"/>
    </w:pPr>
    <w:rPr>
      <w:rFonts w:ascii="宋体" w:hAnsi="宋体" w:cs="宋体"/>
      <w:sz w:val="28"/>
      <w:szCs w:val="28"/>
      <w:lang w:val="zh-CN" w:bidi="zh-CN"/>
    </w:rPr>
  </w:style>
  <w:style w:type="table" w:styleId="1203">
    <w:name w:val="Table Normal"/>
    <w:next w:val="1203"/>
    <w:link w:val="960"/>
    <w:uiPriority w:val="2"/>
    <w:unhideWhenUsed/>
    <w:qFormat/>
    <w:rPr>
      <w:lang w:val="en-US" w:eastAsia="zh-CN" w:bidi="ar-SA"/>
    </w:rPr>
    <w:tblPr/>
  </w:style>
  <w:style w:type="character" w:styleId="1204">
    <w:name w:val="页脚 字符"/>
    <w:next w:val="1204"/>
    <w:link w:val="960"/>
    <w:uiPriority w:val="99"/>
    <w:rPr>
      <w:sz w:val="18"/>
    </w:rPr>
  </w:style>
  <w:style w:type="character" w:styleId="1205">
    <w:name w:val="未处理的提及"/>
    <w:next w:val="1205"/>
    <w:link w:val="960"/>
    <w:uiPriority w:val="99"/>
    <w:unhideWhenUsed/>
    <w:rPr>
      <w:color w:val="605e5c"/>
      <w:shd w:val="clear" w:color="auto" w:fill="e1dfdd"/>
    </w:rPr>
  </w:style>
  <w:style w:type="paragraph" w:styleId="1206">
    <w:name w:val="_Style 231"/>
    <w:next w:val="1206"/>
    <w:link w:val="960"/>
    <w:pPr>
      <w:jc w:val="both"/>
      <w:widowControl w:val="off"/>
    </w:pPr>
    <w:rPr>
      <w:sz w:val="21"/>
      <w:szCs w:val="24"/>
      <w:lang w:val="en-US" w:eastAsia="zh-CN" w:bidi="ar-SA"/>
    </w:rPr>
  </w:style>
  <w:style w:type="character" w:styleId="1207">
    <w:name w:val="文档结构图 Char3"/>
    <w:next w:val="1207"/>
    <w:link w:val="960"/>
    <w:qFormat/>
    <w:rPr>
      <w:rFonts w:ascii="宋体" w:hAnsi="宋体" w:cs="宋体"/>
      <w:sz w:val="18"/>
      <w:szCs w:val="18"/>
      <w:lang w:val="zh-CN" w:bidi="zh-CN"/>
    </w:rPr>
  </w:style>
  <w:style w:type="paragraph" w:styleId="1208">
    <w:name w:val="TOC 标题"/>
    <w:basedOn w:val="961"/>
    <w:next w:val="960"/>
    <w:link w:val="960"/>
    <w:qFormat/>
    <w:pPr>
      <w:numPr>
        <w:ilvl w:val="0"/>
        <w:numId w:val="0"/>
      </w:numPr>
      <w:jc w:val="both"/>
      <w:spacing w:line="576" w:lineRule="auto"/>
      <w:outlineLvl w:val="9"/>
    </w:pPr>
    <w:rPr>
      <w:rFonts w:ascii="Calibri" w:hAnsi="Calibri"/>
      <w:szCs w:val="44"/>
      <w:lang w:val="en-US" w:eastAsia="zh-CN"/>
    </w:rPr>
  </w:style>
  <w:style w:type="character" w:styleId="1209">
    <w:name w:val="日期 Char3"/>
    <w:next w:val="1209"/>
    <w:link w:val="960"/>
    <w:qFormat/>
    <w:rPr>
      <w:rFonts w:ascii="宋体" w:hAnsi="宋体" w:cs="宋体"/>
      <w:sz w:val="22"/>
      <w:szCs w:val="22"/>
      <w:lang w:val="zh-CN" w:bidi="zh-CN"/>
    </w:rPr>
  </w:style>
  <w:style w:type="paragraph" w:styleId="1210">
    <w:name w:val="标题 41"/>
    <w:basedOn w:val="960"/>
    <w:next w:val="1211"/>
    <w:link w:val="960"/>
    <w:uiPriority w:val="1"/>
    <w:qFormat/>
    <w:pPr>
      <w:ind w:left="618"/>
      <w:jc w:val="left"/>
      <w:outlineLvl w:val="4"/>
    </w:pPr>
    <w:rPr>
      <w:rFonts w:ascii="宋体" w:hAnsi="宋体" w:cs="宋体"/>
      <w:b/>
      <w:bCs/>
      <w:sz w:val="24"/>
      <w:lang w:val="zh-CN" w:bidi="zh-CN"/>
    </w:rPr>
  </w:style>
  <w:style w:type="paragraph" w:styleId="1211">
    <w:name w:val="正文缩进1"/>
    <w:basedOn w:val="960"/>
    <w:next w:val="1211"/>
    <w:link w:val="960"/>
    <w:qFormat/>
    <w:pPr>
      <w:ind w:firstLine="420"/>
    </w:pPr>
    <w:rPr>
      <w:szCs w:val="20"/>
    </w:rPr>
  </w:style>
  <w:style w:type="character" w:styleId="1212">
    <w:name w:val="页脚 字符1"/>
    <w:next w:val="1212"/>
    <w:link w:val="960"/>
    <w:uiPriority w:val="99"/>
    <w:qFormat/>
    <w:rPr>
      <w:sz w:val="18"/>
      <w:szCs w:val="18"/>
    </w:rPr>
  </w:style>
  <w:style w:type="paragraph" w:styleId="1213">
    <w:name w:val="DAS正文"/>
    <w:next w:val="1213"/>
    <w:link w:val="960"/>
    <w:qFormat/>
    <w:pPr>
      <w:ind w:right="181" w:firstLine="480"/>
      <w:jc w:val="both"/>
      <w:spacing w:line="360" w:lineRule="auto"/>
      <w:widowControl w:val="off"/>
    </w:pPr>
    <w:rPr>
      <w:rFonts w:ascii="Verdana" w:hAnsi="Verdana"/>
      <w:sz w:val="21"/>
      <w:szCs w:val="24"/>
      <w:lang w:val="en-US" w:eastAsia="zh-CN" w:bidi="ar-SA"/>
    </w:rPr>
  </w:style>
  <w:style w:type="paragraph" w:styleId="1214">
    <w:name w:val="正文_1_0"/>
    <w:next w:val="1214"/>
    <w:link w:val="960"/>
    <w:qFormat/>
    <w:pPr>
      <w:jc w:val="both"/>
      <w:widowControl w:val="off"/>
    </w:pPr>
    <w:rPr>
      <w:sz w:val="21"/>
      <w:szCs w:val="22"/>
      <w:lang w:val="en-US" w:eastAsia="zh-CN" w:bidi="ar-SA"/>
    </w:rPr>
  </w:style>
  <w:style w:type="paragraph" w:styleId="1215">
    <w:name w:val="L2节标题"/>
    <w:basedOn w:val="960"/>
    <w:next w:val="1215"/>
    <w:link w:val="1216"/>
    <w:qFormat/>
    <w:pPr>
      <w:spacing w:line="360" w:lineRule="auto"/>
    </w:pPr>
    <w:rPr>
      <w:rFonts w:ascii="黑体" w:hAnsi="宋体" w:eastAsia="黑体"/>
      <w:b/>
      <w:sz w:val="24"/>
    </w:rPr>
  </w:style>
  <w:style w:type="character" w:styleId="1216">
    <w:name w:val="L2节标题 Char"/>
    <w:next w:val="1216"/>
    <w:link w:val="1215"/>
    <w:qFormat/>
    <w:rPr>
      <w:rFonts w:ascii="黑体" w:hAnsi="宋体" w:eastAsia="黑体"/>
      <w:b/>
      <w:sz w:val="24"/>
      <w:szCs w:val="24"/>
    </w:rPr>
  </w:style>
  <w:style w:type="paragraph" w:styleId="1217">
    <w:name w:val="目录"/>
    <w:next w:val="960"/>
    <w:link w:val="1218"/>
    <w:qFormat/>
    <w:rPr>
      <w:rFonts w:ascii="Arial Unicode MS" w:hAnsi="Arial Unicode MS" w:eastAsia="黑体"/>
      <w:bCs/>
      <w:sz w:val="48"/>
      <w:lang w:val="en-US" w:eastAsia="zh-CN" w:bidi="ar-SA"/>
    </w:rPr>
  </w:style>
  <w:style w:type="character" w:styleId="1218">
    <w:name w:val="目录 Char Char"/>
    <w:next w:val="1218"/>
    <w:link w:val="1217"/>
    <w:qFormat/>
    <w:rPr>
      <w:rFonts w:ascii="Arial Unicode MS" w:hAnsi="Arial Unicode MS" w:eastAsia="黑体"/>
      <w:bCs/>
      <w:sz w:val="48"/>
      <w:lang w:bidi="ar-SA"/>
    </w:rPr>
  </w:style>
  <w:style w:type="paragraph" w:styleId="1219">
    <w:name w:val="标题6"/>
    <w:basedOn w:val="960"/>
    <w:next w:val="1219"/>
    <w:link w:val="1220"/>
    <w:uiPriority w:val="99"/>
    <w:qFormat/>
    <w:pPr>
      <w:jc w:val="center"/>
      <w:keepLines/>
      <w:keepNext/>
      <w:spacing w:line="400" w:lineRule="exact"/>
      <w:outlineLvl w:val="2"/>
    </w:pPr>
    <w:rPr>
      <w:rFonts w:ascii="宋体" w:hAnsi="宋体" w:eastAsia="黑体"/>
      <w:sz w:val="32"/>
      <w:szCs w:val="32"/>
    </w:rPr>
  </w:style>
  <w:style w:type="character" w:styleId="1220">
    <w:name w:val="标题6 Char"/>
    <w:next w:val="1220"/>
    <w:link w:val="1219"/>
    <w:uiPriority w:val="99"/>
    <w:qFormat/>
    <w:rPr>
      <w:rFonts w:ascii="宋体" w:hAnsi="宋体" w:eastAsia="黑体"/>
      <w:sz w:val="32"/>
      <w:szCs w:val="32"/>
    </w:rPr>
  </w:style>
  <w:style w:type="paragraph" w:styleId="1221">
    <w:name w:val="样式5"/>
    <w:basedOn w:val="1008"/>
    <w:next w:val="1221"/>
    <w:link w:val="960"/>
    <w:qFormat/>
    <w:pPr>
      <w:jc w:val="left"/>
      <w:spacing w:line="52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imes New Roman" w:hAnsi="Times New Roman" w:eastAsia="仿宋_GB2312"/>
      <w:color w:val="000000"/>
      <w:sz w:val="24"/>
    </w:rPr>
  </w:style>
  <w:style w:type="paragraph" w:styleId="1222">
    <w:name w:val="xl26"/>
    <w:basedOn w:val="960"/>
    <w:next w:val="1222"/>
    <w:link w:val="96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223">
    <w:name w:val="段"/>
    <w:next w:val="1223"/>
    <w:link w:val="960"/>
    <w:qFormat/>
    <w:pPr>
      <w:ind w:firstLine="200"/>
      <w:jc w:val="both"/>
    </w:pPr>
    <w:rPr>
      <w:rFonts w:ascii="宋体"/>
      <w:sz w:val="21"/>
      <w:lang w:val="en-US" w:eastAsia="zh-CN" w:bidi="ar-SA"/>
    </w:rPr>
  </w:style>
  <w:style w:type="paragraph" w:styleId="1224">
    <w:name w:val="Char Char Char"/>
    <w:basedOn w:val="960"/>
    <w:next w:val="1224"/>
    <w:link w:val="960"/>
    <w:uiPriority w:val="99"/>
    <w:qFormat/>
    <w:rPr>
      <w:szCs w:val="20"/>
    </w:rPr>
  </w:style>
  <w:style w:type="paragraph" w:styleId="1225">
    <w:name w:val="Table - Text"/>
    <w:basedOn w:val="960"/>
    <w:next w:val="1225"/>
    <w:link w:val="960"/>
    <w:qFormat/>
    <w:pPr>
      <w:numPr>
        <w:ilvl w:val="3"/>
        <w:numId w:val="3"/>
      </w:numPr>
      <w:jc w:val="left"/>
      <w:spacing w:before="60"/>
      <w:widowControl/>
    </w:pPr>
    <w:rPr>
      <w:szCs w:val="20"/>
      <w:lang w:eastAsia="en-US"/>
    </w:rPr>
  </w:style>
  <w:style w:type="paragraph" w:styleId="1226">
    <w:name w:val="xl25"/>
    <w:basedOn w:val="960"/>
    <w:next w:val="1226"/>
    <w:link w:val="960"/>
    <w:uiPriority w:val="99"/>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227">
    <w:name w:val="b-b4"/>
    <w:basedOn w:val="964"/>
    <w:next w:val="960"/>
    <w:link w:val="960"/>
    <w:qFormat/>
    <w:pPr>
      <w:numPr>
        <w:ilvl w:val="2"/>
        <w:numId w:val="4"/>
      </w:numPr>
      <w:ind w:left="162" w:firstLine="198"/>
      <w:jc w:val="left"/>
      <w:keepLines w:val="0"/>
      <w:keepNext w:val="0"/>
      <w:spacing w:before="60" w:after="60" w:line="400" w:lineRule="exact"/>
      <w:tabs>
        <w:tab w:val="left" w:pos="540" w:leader="none"/>
        <w:tab w:val="left" w:pos="1200" w:leader="none"/>
        <w:tab w:val="left" w:pos="1767" w:leader="none"/>
      </w:tabs>
    </w:pPr>
    <w:rPr>
      <w:rFonts w:ascii="黑体" w:hAnsi="宋体"/>
      <w:b w:val="0"/>
      <w:bCs w:val="0"/>
      <w:sz w:val="24"/>
      <w:szCs w:val="24"/>
      <w:lang w:val="en-US" w:eastAsia="zh-CN"/>
    </w:rPr>
  </w:style>
  <w:style w:type="paragraph" w:styleId="1228">
    <w:name w:val="xl34"/>
    <w:basedOn w:val="960"/>
    <w:next w:val="1228"/>
    <w:link w:val="960"/>
    <w:qFormat/>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229">
    <w:name w:val="xl38"/>
    <w:basedOn w:val="960"/>
    <w:next w:val="1229"/>
    <w:link w:val="960"/>
    <w:qFormat/>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230">
    <w:name w:val="Bullet2"/>
    <w:basedOn w:val="960"/>
    <w:next w:val="1230"/>
    <w:link w:val="960"/>
    <w:qFormat/>
    <w:pPr>
      <w:ind w:left="1440"/>
      <w:jc w:val="left"/>
    </w:pPr>
    <w:rPr>
      <w:rFonts w:ascii="宋体"/>
      <w:color w:val="000080"/>
      <w:szCs w:val="20"/>
    </w:rPr>
  </w:style>
  <w:style w:type="paragraph" w:styleId="1231">
    <w:name w:val="S4-L15-C"/>
    <w:basedOn w:val="960"/>
    <w:next w:val="1231"/>
    <w:link w:val="960"/>
    <w:qFormat/>
    <w:pPr>
      <w:numPr>
        <w:ilvl w:val="1"/>
        <w:numId w:val="5"/>
      </w:numPr>
      <w:ind w:left="0" w:firstLine="0"/>
      <w:jc w:val="center"/>
      <w:spacing w:after="120" w:line="360" w:lineRule="auto"/>
      <w:tabs>
        <w:tab w:val="left" w:pos="1396" w:leader="none"/>
      </w:tabs>
    </w:pPr>
    <w:rPr>
      <w:szCs w:val="21"/>
    </w:rPr>
  </w:style>
  <w:style w:type="paragraph" w:styleId="1232">
    <w:name w:val="xl28"/>
    <w:basedOn w:val="960"/>
    <w:next w:val="1232"/>
    <w:link w:val="960"/>
    <w:qFormat/>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233">
    <w:name w:val="Table"/>
    <w:basedOn w:val="960"/>
    <w:next w:val="1233"/>
    <w:link w:val="960"/>
    <w:qFormat/>
    <w:pPr>
      <w:jc w:val="left"/>
      <w:spacing w:before="40" w:after="100" w:afterAutospacing="1"/>
      <w:widowControl/>
    </w:pPr>
    <w:rPr>
      <w:rFonts w:ascii="Arial" w:hAnsi="Arial" w:eastAsia="PMingLiU"/>
      <w:sz w:val="22"/>
      <w:szCs w:val="20"/>
      <w:lang w:eastAsia="zh-TW"/>
    </w:rPr>
  </w:style>
  <w:style w:type="paragraph" w:styleId="1234">
    <w:name w:val="S4-L15"/>
    <w:basedOn w:val="960"/>
    <w:next w:val="1234"/>
    <w:link w:val="960"/>
    <w:qFormat/>
    <w:pPr>
      <w:numPr>
        <w:ilvl w:val="0"/>
        <w:numId w:val="3"/>
      </w:numPr>
      <w:ind w:left="720" w:firstLine="392"/>
      <w:spacing w:after="120" w:line="360" w:lineRule="auto"/>
    </w:pPr>
    <w:rPr>
      <w:szCs w:val="21"/>
      <w:lang w:val="fr-FR"/>
    </w:rPr>
  </w:style>
  <w:style w:type="paragraph" w:styleId="1235">
    <w:name w:val="样式2"/>
    <w:basedOn w:val="962"/>
    <w:next w:val="1235"/>
    <w:link w:val="960"/>
    <w:qFormat/>
    <w:pPr>
      <w:numPr>
        <w:ilvl w:val="0"/>
        <w:numId w:val="0"/>
      </w:numPr>
      <w:jc w:val="center"/>
      <w:spacing w:before="0" w:after="0" w:line="240" w:lineRule="auto"/>
    </w:pPr>
    <w:rPr>
      <w:rFonts w:ascii="宋体" w:hAnsi="宋体"/>
      <w:b w:val="0"/>
      <w:bCs w:val="0"/>
      <w:color w:val="000000"/>
      <w:lang w:val="en-US" w:eastAsia="zh-CN"/>
    </w:rPr>
  </w:style>
  <w:style w:type="paragraph" w:styleId="1236">
    <w:name w:val="font8"/>
    <w:basedOn w:val="960"/>
    <w:next w:val="1236"/>
    <w:link w:val="960"/>
    <w:qFormat/>
    <w:pPr>
      <w:jc w:val="left"/>
      <w:spacing w:before="100" w:beforeAutospacing="1" w:after="100" w:afterAutospacing="1"/>
      <w:widowControl/>
    </w:pPr>
    <w:rPr>
      <w:sz w:val="32"/>
      <w:szCs w:val="32"/>
    </w:rPr>
  </w:style>
  <w:style w:type="paragraph" w:styleId="1237">
    <w:name w:val="font5"/>
    <w:basedOn w:val="960"/>
    <w:next w:val="1237"/>
    <w:link w:val="960"/>
    <w:qFormat/>
    <w:pPr>
      <w:jc w:val="left"/>
      <w:spacing w:before="100" w:beforeAutospacing="1" w:after="100" w:afterAutospacing="1"/>
      <w:widowControl/>
    </w:pPr>
    <w:rPr>
      <w:rFonts w:hint="eastAsia" w:ascii="宋体" w:hAnsi="宋体"/>
      <w:sz w:val="18"/>
      <w:szCs w:val="18"/>
    </w:rPr>
  </w:style>
  <w:style w:type="paragraph" w:styleId="1238">
    <w:name w:val="样式 样式 正文文本缩进 + 仿宋_GB2312 小四 首行缩进:  0 厘米 行距: 1.5 倍行距 + (中文) 仿宋_GB... Char Char"/>
    <w:basedOn w:val="1239"/>
    <w:next w:val="1238"/>
    <w:link w:val="960"/>
    <w:qFormat/>
    <w:pPr>
      <w:numPr>
        <w:ilvl w:val="0"/>
        <w:numId w:val="0"/>
      </w:numPr>
      <w:ind w:firstLine="480"/>
      <w:tabs>
        <w:tab w:val="left" w:pos="0" w:leader="none"/>
        <w:tab w:val="left" w:pos="927" w:leader="none"/>
      </w:tabs>
    </w:pPr>
  </w:style>
  <w:style w:type="paragraph" w:styleId="1239">
    <w:name w:val="样式 正文文本缩进 + 仿宋_GB2312 小四 首行缩进:  0 厘米 行距: 1.5 倍行距"/>
    <w:basedOn w:val="1000"/>
    <w:next w:val="1239"/>
    <w:link w:val="960"/>
    <w:qFormat/>
    <w:pPr>
      <w:numPr>
        <w:ilvl w:val="0"/>
        <w:numId w:val="6"/>
      </w:numPr>
      <w:ind w:left="0" w:firstLine="0"/>
      <w:spacing w:after="0" w:line="360" w:lineRule="auto"/>
      <w:tabs>
        <w:tab w:val="left" w:pos="0" w:leader="none"/>
      </w:tabs>
    </w:pPr>
    <w:rPr>
      <w:rFonts w:ascii="仿宋_GB2312" w:eastAsia="新宋体"/>
      <w:sz w:val="24"/>
      <w:szCs w:val="20"/>
      <w:lang w:val="en-US" w:eastAsia="zh-CN"/>
    </w:rPr>
  </w:style>
  <w:style w:type="paragraph" w:styleId="1240">
    <w:name w:val="xl35"/>
    <w:basedOn w:val="960"/>
    <w:next w:val="1240"/>
    <w:link w:val="96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41">
    <w:name w:val="xl36"/>
    <w:basedOn w:val="960"/>
    <w:next w:val="1241"/>
    <w:link w:val="960"/>
    <w:qFormat/>
    <w:pPr>
      <w:jc w:val="center"/>
      <w:spacing w:before="100" w:beforeAutospacing="1" w:after="100" w:afterAutospacing="1"/>
      <w:widowControl/>
      <w:pBdr>
        <w:left w:val="single" w:color="000000" w:sz="4" w:space="0"/>
      </w:pBdr>
    </w:pPr>
    <w:rPr>
      <w:rFonts w:ascii="宋体" w:hAnsi="宋体"/>
      <w:sz w:val="24"/>
    </w:rPr>
  </w:style>
  <w:style w:type="paragraph" w:styleId="1242">
    <w:name w:val="b-b1"/>
    <w:basedOn w:val="961"/>
    <w:next w:val="960"/>
    <w:link w:val="960"/>
    <w:qFormat/>
    <w:pPr>
      <w:numPr>
        <w:ilvl w:val="2"/>
        <w:numId w:val="7"/>
      </w:numPr>
      <w:jc w:val="left"/>
      <w:keepLines w:val="0"/>
      <w:keepNext w:val="0"/>
      <w:spacing w:before="160" w:after="160" w:line="400" w:lineRule="exact"/>
      <w:tabs>
        <w:tab w:val="left" w:pos="480" w:leader="none"/>
        <w:tab w:val="left" w:pos="1800" w:leader="none"/>
      </w:tabs>
    </w:pPr>
    <w:rPr>
      <w:rFonts w:ascii="黑体" w:hAnsi="Calibri" w:eastAsia="黑体"/>
      <w:b w:val="0"/>
      <w:bCs w:val="0"/>
      <w:color w:val="000000"/>
      <w:sz w:val="28"/>
      <w:szCs w:val="20"/>
      <w:lang w:val="en-US" w:eastAsia="zh-CN"/>
    </w:rPr>
  </w:style>
  <w:style w:type="paragraph" w:styleId="1243">
    <w:name w:val="gfsb特点"/>
    <w:basedOn w:val="960"/>
    <w:next w:val="1243"/>
    <w:link w:val="960"/>
    <w:qFormat/>
    <w:pPr>
      <w:ind w:left="227"/>
      <w:spacing w:line="360" w:lineRule="auto"/>
    </w:pPr>
    <w:rPr>
      <w:rFonts w:ascii="方正黑体简体" w:eastAsia="方正黑体简体" w:cs="方正黑体简体"/>
      <w:color w:val="000000"/>
      <w:sz w:val="18"/>
      <w:szCs w:val="18"/>
      <w:lang w:val="zh-CN"/>
    </w:rPr>
  </w:style>
  <w:style w:type="paragraph" w:styleId="1244">
    <w:name w:val="S4-L15-No"/>
    <w:basedOn w:val="1234"/>
    <w:next w:val="1244"/>
    <w:link w:val="960"/>
    <w:qFormat/>
    <w:pPr>
      <w:numPr>
        <w:ilvl w:val="0"/>
        <w:numId w:val="5"/>
      </w:numPr>
      <w:ind w:left="360" w:hanging="360"/>
      <w:tabs>
        <w:tab w:val="left" w:pos="360" w:leader="none"/>
        <w:tab w:val="left" w:pos="1036" w:leader="none"/>
      </w:tabs>
    </w:pPr>
  </w:style>
  <w:style w:type="paragraph" w:styleId="1245">
    <w:name w:val="xl27"/>
    <w:basedOn w:val="960"/>
    <w:next w:val="1245"/>
    <w:link w:val="9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46">
    <w:name w:val="Table_Sm_Heading_Right"/>
    <w:basedOn w:val="1247"/>
    <w:next w:val="1246"/>
    <w:link w:val="960"/>
    <w:qFormat/>
    <w:pPr>
      <w:jc w:val="right"/>
    </w:pPr>
  </w:style>
  <w:style w:type="paragraph" w:styleId="1247">
    <w:name w:val="Table_Sm_Heading"/>
    <w:basedOn w:val="960"/>
    <w:next w:val="1247"/>
    <w:link w:val="960"/>
    <w:qFormat/>
    <w:pPr>
      <w:jc w:val="left"/>
      <w:keepLines/>
      <w:keepNext/>
      <w:spacing w:before="60" w:after="40"/>
      <w:widowControl/>
    </w:pPr>
    <w:rPr>
      <w:rFonts w:ascii="Arial" w:hAnsi="Arial"/>
      <w:b/>
      <w:sz w:val="16"/>
      <w:szCs w:val="20"/>
      <w:lang w:eastAsia="en-US"/>
    </w:rPr>
  </w:style>
  <w:style w:type="paragraph" w:styleId="1248">
    <w:name w:val="xl39"/>
    <w:basedOn w:val="960"/>
    <w:next w:val="1248"/>
    <w:link w:val="96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49">
    <w:name w:val="xl43"/>
    <w:basedOn w:val="960"/>
    <w:next w:val="1249"/>
    <w:link w:val="960"/>
    <w:qFormat/>
    <w:pPr>
      <w:jc w:val="center"/>
      <w:spacing w:before="100" w:beforeAutospacing="1" w:after="100" w:afterAutospacing="1"/>
      <w:widowControl/>
    </w:pPr>
    <w:rPr>
      <w:rFonts w:hint="eastAsia" w:ascii="隶书" w:hAnsi="宋体" w:eastAsia="隶书"/>
      <w:sz w:val="36"/>
      <w:szCs w:val="36"/>
    </w:rPr>
  </w:style>
  <w:style w:type="paragraph" w:styleId="1250">
    <w:name w:val="目录文字"/>
    <w:basedOn w:val="960"/>
    <w:next w:val="1250"/>
    <w:link w:val="960"/>
    <w:qFormat/>
    <w:pPr>
      <w:jc w:val="left"/>
      <w:spacing w:line="480" w:lineRule="auto"/>
      <w:widowControl/>
    </w:pPr>
    <w:rPr>
      <w:rFonts w:ascii="宋体" w:hAnsi="宋体"/>
      <w:sz w:val="24"/>
      <w:szCs w:val="20"/>
    </w:rPr>
  </w:style>
  <w:style w:type="paragraph" w:styleId="1251">
    <w:name w:val="HP_Table_Title"/>
    <w:basedOn w:val="960"/>
    <w:next w:val="960"/>
    <w:link w:val="960"/>
    <w:qFormat/>
    <w:pPr>
      <w:jc w:val="left"/>
      <w:keepLines/>
      <w:keepNext/>
      <w:spacing w:before="240" w:after="60"/>
      <w:widowControl/>
    </w:pPr>
    <w:rPr>
      <w:rFonts w:ascii="Arial" w:hAnsi="Arial"/>
      <w:b/>
      <w:sz w:val="18"/>
      <w:szCs w:val="20"/>
      <w:lang w:eastAsia="en-US"/>
    </w:rPr>
  </w:style>
  <w:style w:type="paragraph" w:styleId="1252">
    <w:name w:val="b-b2"/>
    <w:basedOn w:val="962"/>
    <w:next w:val="960"/>
    <w:link w:val="960"/>
    <w:qFormat/>
    <w:pPr>
      <w:numPr>
        <w:ilvl w:val="4"/>
        <w:numId w:val="4"/>
      </w:numPr>
      <w:ind w:left="900" w:hanging="720"/>
      <w:jc w:val="left"/>
      <w:keepLines w:val="0"/>
      <w:keepNext w:val="0"/>
      <w:spacing w:before="0" w:after="0" w:line="480" w:lineRule="atLeast"/>
      <w:tabs>
        <w:tab w:val="left" w:pos="900" w:leader="none"/>
      </w:tabs>
    </w:pPr>
    <w:rPr>
      <w:rFonts w:ascii="宋体" w:hAnsi="宋体" w:eastAsia="黑体"/>
      <w:sz w:val="24"/>
      <w:szCs w:val="24"/>
      <w:lang w:val="en-US" w:eastAsia="zh-CN"/>
    </w:rPr>
  </w:style>
  <w:style w:type="paragraph" w:styleId="1253">
    <w:name w:val="Char1"/>
    <w:basedOn w:val="960"/>
    <w:next w:val="1253"/>
    <w:link w:val="960"/>
    <w:uiPriority w:val="99"/>
    <w:qFormat/>
    <w:pPr>
      <w:jc w:val="left"/>
      <w:spacing w:after="160" w:line="240" w:lineRule="exact"/>
      <w:widowControl/>
    </w:pPr>
    <w:rPr>
      <w:rFonts w:ascii="Verdana" w:hAnsi="Verdana" w:eastAsia="仿宋_GB2312"/>
      <w:sz w:val="24"/>
      <w:szCs w:val="20"/>
      <w:lang w:eastAsia="en-US"/>
    </w:rPr>
  </w:style>
  <w:style w:type="paragraph" w:styleId="1254">
    <w:name w:val="b-b5"/>
    <w:basedOn w:val="965"/>
    <w:next w:val="960"/>
    <w:link w:val="960"/>
    <w:qFormat/>
    <w:pPr>
      <w:numPr>
        <w:ilvl w:val="3"/>
        <w:numId w:val="4"/>
      </w:numPr>
      <w:ind w:left="540" w:firstLine="301"/>
      <w:jc w:val="left"/>
      <w:keepLines w:val="0"/>
      <w:keepNext w:val="0"/>
      <w:spacing w:before="40" w:after="40" w:line="400" w:lineRule="exact"/>
    </w:pPr>
    <w:rPr>
      <w:b w:val="0"/>
      <w:iCs/>
      <w:color w:val="000000"/>
      <w:sz w:val="24"/>
      <w:lang w:val="en-GB" w:eastAsia="zh-CN"/>
    </w:rPr>
  </w:style>
  <w:style w:type="paragraph" w:styleId="1255">
    <w:name w:val="Table_Medium"/>
    <w:basedOn w:val="960"/>
    <w:next w:val="1255"/>
    <w:link w:val="960"/>
    <w:qFormat/>
    <w:pPr>
      <w:jc w:val="left"/>
      <w:spacing w:before="40" w:after="40"/>
      <w:widowControl/>
    </w:pPr>
    <w:rPr>
      <w:rFonts w:ascii="Arial" w:hAnsi="Arial"/>
      <w:sz w:val="18"/>
      <w:szCs w:val="20"/>
      <w:lang w:eastAsia="en-US"/>
    </w:rPr>
  </w:style>
  <w:style w:type="paragraph" w:styleId="1256">
    <w:name w:val="Char Char18"/>
    <w:basedOn w:val="960"/>
    <w:next w:val="1256"/>
    <w:link w:val="960"/>
    <w:uiPriority w:val="99"/>
    <w:qFormat/>
    <w:pPr>
      <w:ind w:left="-62" w:right="36"/>
      <w:jc w:val="left"/>
      <w:spacing w:after="160" w:line="240" w:lineRule="exact"/>
      <w:widowControl/>
    </w:pPr>
    <w:rPr>
      <w:rFonts w:ascii="Arial" w:hAnsi="Arial"/>
      <w:sz w:val="20"/>
      <w:szCs w:val="20"/>
      <w:lang w:eastAsia="en-US"/>
    </w:rPr>
  </w:style>
  <w:style w:type="paragraph" w:styleId="1257">
    <w:name w:val="样式4"/>
    <w:basedOn w:val="1235"/>
    <w:next w:val="1257"/>
    <w:link w:val="960"/>
    <w:qFormat/>
    <w:rPr>
      <w:b/>
    </w:rPr>
  </w:style>
  <w:style w:type="paragraph" w:styleId="1258">
    <w:name w:val="b-b3"/>
    <w:basedOn w:val="963"/>
    <w:next w:val="960"/>
    <w:link w:val="960"/>
    <w:qFormat/>
    <w:pPr>
      <w:numPr>
        <w:ilvl w:val="3"/>
        <w:numId w:val="7"/>
      </w:numPr>
      <w:ind w:left="540" w:firstLine="0"/>
      <w:keepLines w:val="0"/>
      <w:keepNext w:val="0"/>
      <w:spacing w:before="80" w:after="80" w:line="440" w:lineRule="atLeast"/>
      <w:tabs>
        <w:tab w:val="left" w:pos="2220" w:leader="none"/>
      </w:tabs>
    </w:pPr>
    <w:rPr>
      <w:rFonts w:hAnsi="宋体" w:eastAsia="黑体"/>
      <w:sz w:val="28"/>
      <w:szCs w:val="20"/>
      <w:lang w:val="en-US" w:eastAsia="zh-CN"/>
    </w:rPr>
  </w:style>
  <w:style w:type="paragraph" w:styleId="1259">
    <w:name w:val="xl31"/>
    <w:basedOn w:val="960"/>
    <w:next w:val="1259"/>
    <w:link w:val="960"/>
    <w:qFormat/>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260">
    <w:name w:val="顺序编号"/>
    <w:basedOn w:val="960"/>
    <w:next w:val="1260"/>
    <w:link w:val="960"/>
    <w:qFormat/>
    <w:pPr>
      <w:spacing w:line="360" w:lineRule="auto"/>
    </w:pPr>
    <w:rPr>
      <w:sz w:val="24"/>
    </w:rPr>
  </w:style>
  <w:style w:type="paragraph" w:styleId="1261">
    <w:name w:val="xl33"/>
    <w:basedOn w:val="960"/>
    <w:next w:val="1261"/>
    <w:link w:val="96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62">
    <w:name w:val="目次、标准名称标题"/>
    <w:basedOn w:val="960"/>
    <w:next w:val="1223"/>
    <w:link w:val="960"/>
    <w:qFormat/>
    <w:pPr>
      <w:jc w:val="center"/>
      <w:spacing w:before="640" w:after="560" w:line="460" w:lineRule="exact"/>
      <w:shd w:val="clear" w:color="ffffff" w:fill="ffffff"/>
      <w:widowControl/>
      <w:outlineLvl w:val="0"/>
    </w:pPr>
    <w:rPr>
      <w:rFonts w:ascii="黑体" w:eastAsia="黑体"/>
      <w:sz w:val="32"/>
      <w:szCs w:val="20"/>
    </w:rPr>
  </w:style>
  <w:style w:type="paragraph" w:styleId="1263">
    <w:name w:val="xl30"/>
    <w:basedOn w:val="960"/>
    <w:next w:val="1263"/>
    <w:link w:val="96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64">
    <w:name w:val="xl44"/>
    <w:basedOn w:val="960"/>
    <w:next w:val="1264"/>
    <w:link w:val="960"/>
    <w:qFormat/>
    <w:pPr>
      <w:jc w:val="center"/>
      <w:spacing w:before="100" w:beforeAutospacing="1" w:after="100" w:afterAutospacing="1"/>
      <w:widowControl/>
    </w:pPr>
    <w:rPr>
      <w:rFonts w:ascii="宋体" w:hAnsi="宋体"/>
      <w:sz w:val="32"/>
      <w:szCs w:val="32"/>
    </w:rPr>
  </w:style>
  <w:style w:type="paragraph" w:styleId="1265">
    <w:name w:val="Char Char Char Char"/>
    <w:basedOn w:val="960"/>
    <w:next w:val="1265"/>
    <w:link w:val="960"/>
    <w:uiPriority w:val="99"/>
    <w:qFormat/>
    <w:pPr>
      <w:jc w:val="left"/>
      <w:spacing w:after="160" w:line="240" w:lineRule="exact"/>
      <w:widowControl/>
    </w:pPr>
    <w:rPr>
      <w:rFonts w:ascii="Tahoma" w:hAnsi="Tahoma" w:cs="Tahoma"/>
      <w:sz w:val="20"/>
      <w:szCs w:val="20"/>
      <w:lang w:eastAsia="en-US"/>
    </w:rPr>
  </w:style>
  <w:style w:type="paragraph" w:styleId="1266">
    <w:name w:val="xl42"/>
    <w:basedOn w:val="960"/>
    <w:next w:val="1266"/>
    <w:link w:val="96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67">
    <w:name w:val="标书---正文 Char Char"/>
    <w:next w:val="1267"/>
    <w:link w:val="960"/>
    <w:qFormat/>
    <w:pPr>
      <w:ind w:firstLine="200"/>
      <w:spacing w:line="276" w:lineRule="auto"/>
    </w:pPr>
    <w:rPr>
      <w:rFonts w:ascii="宋体"/>
      <w:sz w:val="21"/>
      <w:szCs w:val="21"/>
      <w:lang w:val="en-US" w:eastAsia="zh-CN" w:bidi="ar-SA"/>
    </w:rPr>
  </w:style>
  <w:style w:type="paragraph" w:styleId="1268">
    <w:name w:val="af15hichaf0dbchf15cgrid"/>
    <w:next w:val="1268"/>
    <w:link w:val="960"/>
    <w:qFormat/>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269">
    <w:name w:val="默认段落字体 Para Char Char Char Char"/>
    <w:basedOn w:val="960"/>
    <w:next w:val="1269"/>
    <w:link w:val="960"/>
    <w:qFormat/>
  </w:style>
  <w:style w:type="paragraph" w:styleId="1270">
    <w:name w:val="Style-正文"/>
    <w:basedOn w:val="960"/>
    <w:next w:val="1270"/>
    <w:link w:val="960"/>
    <w:qFormat/>
    <w:pPr>
      <w:numPr>
        <w:ilvl w:val="1"/>
        <w:numId w:val="3"/>
      </w:numPr>
      <w:ind w:left="0" w:firstLine="420"/>
      <w:spacing w:line="360" w:lineRule="auto"/>
    </w:pPr>
    <w:rPr>
      <w:rFonts w:ascii="宋体" w:hAnsi="宋体"/>
      <w:sz w:val="24"/>
    </w:rPr>
  </w:style>
  <w:style w:type="paragraph" w:styleId="1271">
    <w:name w:val="符号列表"/>
    <w:basedOn w:val="960"/>
    <w:next w:val="1271"/>
    <w:link w:val="960"/>
    <w:qFormat/>
    <w:pPr>
      <w:ind w:firstLine="544"/>
      <w:jc w:val="left"/>
      <w:spacing w:before="156" w:after="156"/>
      <w:widowControl/>
      <w:tabs>
        <w:tab w:val="left" w:pos="0" w:leader="none"/>
      </w:tabs>
    </w:pPr>
    <w:rPr>
      <w:color w:val="000000"/>
      <w:spacing w:val="-4"/>
      <w:sz w:val="28"/>
      <w:szCs w:val="28"/>
      <w:lang w:val="zh-CN"/>
    </w:rPr>
  </w:style>
  <w:style w:type="paragraph" w:styleId="1272">
    <w:name w:val="_Style 128"/>
    <w:next w:val="1272"/>
    <w:link w:val="960"/>
    <w:uiPriority w:val="99"/>
    <w:qFormat/>
    <w:rPr>
      <w:lang w:val="en-US" w:eastAsia="zh-CN" w:bidi="ar-SA"/>
    </w:rPr>
  </w:style>
  <w:style w:type="paragraph" w:styleId="1273">
    <w:name w:val="xl40"/>
    <w:basedOn w:val="960"/>
    <w:next w:val="1273"/>
    <w:link w:val="96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74">
    <w:name w:val="msotoc31"/>
    <w:basedOn w:val="960"/>
    <w:next w:val="1274"/>
    <w:link w:val="960"/>
    <w:qFormat/>
    <w:pPr>
      <w:ind w:left="840"/>
      <w:jc w:val="center"/>
      <w:widowControl/>
    </w:pPr>
    <w:rPr>
      <w:szCs w:val="21"/>
    </w:rPr>
  </w:style>
  <w:style w:type="paragraph" w:styleId="1275">
    <w:name w:val="样式1"/>
    <w:basedOn w:val="961"/>
    <w:next w:val="1275"/>
    <w:link w:val="960"/>
    <w:qFormat/>
    <w:pPr>
      <w:numPr>
        <w:ilvl w:val="0"/>
        <w:numId w:val="0"/>
      </w:numPr>
      <w:ind w:left="480" w:hanging="480"/>
      <w:keepLines w:val="0"/>
      <w:spacing w:before="0" w:after="0" w:line="240" w:lineRule="auto"/>
    </w:pPr>
    <w:rPr>
      <w:rFonts w:ascii="黑体" w:hAnsi="Calibri" w:eastAsia="黑体"/>
      <w:bCs w:val="0"/>
      <w:color w:val="000000"/>
      <w:sz w:val="32"/>
      <w:szCs w:val="20"/>
      <w:lang w:val="en-US" w:eastAsia="zh-CN"/>
    </w:rPr>
  </w:style>
  <w:style w:type="paragraph" w:styleId="1276">
    <w:name w:val="4"/>
    <w:basedOn w:val="960"/>
    <w:next w:val="1008"/>
    <w:link w:val="960"/>
    <w:qFormat/>
    <w:pPr>
      <w:spacing w:line="300" w:lineRule="auto"/>
      <w:tabs>
        <w:tab w:val="left" w:pos="567" w:leader="none"/>
      </w:tabs>
    </w:pPr>
    <w:rPr>
      <w:rFonts w:ascii="Courier New" w:hAnsi="Courier New"/>
      <w:sz w:val="24"/>
      <w:szCs w:val="20"/>
    </w:rPr>
  </w:style>
  <w:style w:type="paragraph" w:styleId="1277">
    <w:name w:val="msotoc21"/>
    <w:basedOn w:val="960"/>
    <w:next w:val="1277"/>
    <w:link w:val="960"/>
    <w:qFormat/>
    <w:pPr>
      <w:ind w:left="420"/>
      <w:jc w:val="center"/>
      <w:widowControl/>
    </w:pPr>
    <w:rPr>
      <w:szCs w:val="21"/>
    </w:rPr>
  </w:style>
  <w:style w:type="paragraph" w:styleId="1278">
    <w:name w:val="样式6"/>
    <w:basedOn w:val="1221"/>
    <w:next w:val="1278"/>
    <w:link w:val="960"/>
    <w:qFormat/>
    <w:pPr>
      <w:ind w:firstLine="48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style>
  <w:style w:type="paragraph" w:styleId="1279">
    <w:name w:val="样式 标题 4Chapter X.X.X. + 段后: 0.5 行1"/>
    <w:basedOn w:val="964"/>
    <w:next w:val="964"/>
    <w:link w:val="960"/>
    <w:qFormat/>
    <w:pPr>
      <w:numPr>
        <w:ilvl w:val="2"/>
        <w:numId w:val="3"/>
      </w:numPr>
      <w:ind w:left="425" w:hanging="425"/>
      <w:jc w:val="left"/>
      <w:keepLines w:val="0"/>
      <w:spacing w:before="120" w:after="0" w:line="240" w:lineRule="auto"/>
      <w:tabs>
        <w:tab w:val="left" w:pos="1200" w:leader="none"/>
        <w:tab w:val="left" w:pos="1767" w:leader="none"/>
      </w:tabs>
    </w:pPr>
    <w:rPr>
      <w:rFonts w:ascii="宋体" w:hAnsi="Calibri" w:cs="宋体"/>
      <w:sz w:val="21"/>
      <w:szCs w:val="20"/>
      <w:lang w:val="en-US" w:eastAsia="zh-CN"/>
    </w:rPr>
  </w:style>
  <w:style w:type="paragraph" w:styleId="1280">
    <w:name w:val="Char2"/>
    <w:basedOn w:val="960"/>
    <w:next w:val="1280"/>
    <w:link w:val="960"/>
    <w:qFormat/>
    <w:rPr>
      <w:sz w:val="28"/>
      <w:szCs w:val="21"/>
    </w:rPr>
  </w:style>
  <w:style w:type="paragraph" w:styleId="1281">
    <w:name w:val="样式3"/>
    <w:basedOn w:val="1275"/>
    <w:next w:val="1281"/>
    <w:link w:val="960"/>
    <w:qFormat/>
    <w:rPr>
      <w:rFonts w:ascii="宋体" w:hAnsi="宋体" w:eastAsia="宋体"/>
    </w:rPr>
  </w:style>
  <w:style w:type="paragraph" w:styleId="1282">
    <w:name w:val="正文文本缩进 3_0"/>
    <w:basedOn w:val="1081"/>
    <w:next w:val="1282"/>
    <w:link w:val="960"/>
    <w:unhideWhenUsed/>
    <w:qFormat/>
    <w:pPr>
      <w:ind w:left="567"/>
      <w:jc w:val="left"/>
      <w:spacing w:line="360" w:lineRule="auto"/>
      <w:widowControl/>
      <w:tabs>
        <w:tab w:val="left" w:pos="0" w:leader="none"/>
        <w:tab w:val="left" w:pos="1134" w:leader="none"/>
      </w:tabs>
    </w:pPr>
    <w:rPr>
      <w:rFonts w:ascii="仿宋_GB2312" w:eastAsia="仿宋_GB2312"/>
      <w:sz w:val="28"/>
      <w:szCs w:val="20"/>
    </w:rPr>
  </w:style>
  <w:style w:type="paragraph" w:styleId="1283">
    <w:name w:val="xl24"/>
    <w:basedOn w:val="960"/>
    <w:next w:val="1283"/>
    <w:link w:val="96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284">
    <w:name w:val="Char Char Char Char Char Char Char1"/>
    <w:basedOn w:val="960"/>
    <w:next w:val="1284"/>
    <w:link w:val="960"/>
    <w:uiPriority w:val="99"/>
    <w:qFormat/>
    <w:pPr>
      <w:jc w:val="left"/>
      <w:spacing w:after="160" w:line="240" w:lineRule="exact"/>
      <w:widowControl/>
    </w:pPr>
    <w:rPr>
      <w:rFonts w:ascii="Tahoma" w:hAnsi="Tahoma" w:cs="Tahoma"/>
      <w:sz w:val="20"/>
      <w:szCs w:val="20"/>
      <w:lang w:eastAsia="en-US"/>
    </w:rPr>
  </w:style>
  <w:style w:type="paragraph" w:styleId="1285">
    <w:name w:val="font7"/>
    <w:basedOn w:val="960"/>
    <w:next w:val="1285"/>
    <w:link w:val="960"/>
    <w:qFormat/>
    <w:pPr>
      <w:jc w:val="left"/>
      <w:spacing w:before="100" w:beforeAutospacing="1" w:after="100" w:afterAutospacing="1"/>
      <w:widowControl/>
    </w:pPr>
    <w:rPr>
      <w:rFonts w:hint="eastAsia" w:ascii="宋体" w:hAnsi="宋体"/>
      <w:sz w:val="32"/>
      <w:szCs w:val="32"/>
    </w:rPr>
  </w:style>
  <w:style w:type="paragraph" w:styleId="1286">
    <w:name w:val="xl37"/>
    <w:basedOn w:val="960"/>
    <w:next w:val="1286"/>
    <w:link w:val="960"/>
    <w:qFormat/>
    <w:pPr>
      <w:jc w:val="center"/>
      <w:spacing w:before="100" w:beforeAutospacing="1" w:after="100" w:afterAutospacing="1"/>
      <w:widowControl/>
      <w:pBdr>
        <w:right w:val="single" w:color="000000" w:sz="4" w:space="0"/>
      </w:pBdr>
    </w:pPr>
    <w:rPr>
      <w:rFonts w:ascii="宋体" w:hAnsi="宋体"/>
      <w:sz w:val="24"/>
    </w:rPr>
  </w:style>
  <w:style w:type="paragraph" w:styleId="1287">
    <w:name w:val="xl29"/>
    <w:basedOn w:val="960"/>
    <w:next w:val="1287"/>
    <w:link w:val="960"/>
    <w:qFormat/>
    <w:pPr>
      <w:jc w:val="center"/>
      <w:spacing w:before="100" w:beforeAutospacing="1" w:after="100" w:afterAutospacing="1"/>
      <w:widowControl/>
      <w:pBdr>
        <w:top w:val="single" w:color="000000" w:sz="4" w:space="0"/>
      </w:pBdr>
    </w:pPr>
    <w:rPr>
      <w:rFonts w:ascii="宋体" w:hAnsi="宋体"/>
      <w:sz w:val="24"/>
    </w:rPr>
  </w:style>
  <w:style w:type="paragraph" w:styleId="1288">
    <w:name w:val="Char Char Char Char Char Char"/>
    <w:basedOn w:val="960"/>
    <w:next w:val="1288"/>
    <w:link w:val="960"/>
    <w:qFormat/>
    <w:pPr>
      <w:jc w:val="left"/>
      <w:spacing w:after="160" w:line="240" w:lineRule="exact"/>
      <w:widowControl/>
    </w:pPr>
    <w:rPr>
      <w:rFonts w:ascii="Arial" w:hAnsi="Arial" w:eastAsia="Times New Roman" w:cs="Verdana"/>
      <w:b/>
      <w:szCs w:val="20"/>
      <w:lang w:eastAsia="en-US"/>
    </w:rPr>
  </w:style>
  <w:style w:type="paragraph" w:styleId="1289">
    <w:name w:val="Char3"/>
    <w:basedOn w:val="960"/>
    <w:next w:val="1289"/>
    <w:link w:val="960"/>
    <w:qFormat/>
    <w:pPr>
      <w:spacing w:line="360" w:lineRule="atLeast"/>
    </w:pPr>
    <w:rPr>
      <w:rFonts w:ascii="Tahoma" w:hAnsi="Tahoma" w:cs="Tahoma"/>
      <w:sz w:val="24"/>
    </w:rPr>
  </w:style>
  <w:style w:type="paragraph" w:styleId="1290">
    <w:name w:val="Char Char Char Char1"/>
    <w:basedOn w:val="960"/>
    <w:next w:val="1290"/>
    <w:link w:val="960"/>
    <w:uiPriority w:val="99"/>
    <w:qFormat/>
    <w:pPr>
      <w:jc w:val="left"/>
      <w:spacing w:after="160" w:line="240" w:lineRule="exact"/>
      <w:widowControl/>
    </w:pPr>
    <w:rPr>
      <w:rFonts w:ascii="Tahoma" w:hAnsi="Tahoma" w:cs="Tahoma"/>
      <w:sz w:val="20"/>
      <w:szCs w:val="20"/>
      <w:lang w:eastAsia="en-US"/>
    </w:rPr>
  </w:style>
  <w:style w:type="paragraph" w:styleId="1291">
    <w:name w:val="font6"/>
    <w:basedOn w:val="960"/>
    <w:next w:val="1291"/>
    <w:link w:val="960"/>
    <w:qFormat/>
    <w:pPr>
      <w:jc w:val="left"/>
      <w:spacing w:before="100" w:beforeAutospacing="1" w:after="100" w:afterAutospacing="1"/>
      <w:widowControl/>
    </w:pPr>
    <w:rPr>
      <w:sz w:val="24"/>
    </w:rPr>
  </w:style>
  <w:style w:type="paragraph" w:styleId="1292">
    <w:name w:val="xl72"/>
    <w:basedOn w:val="960"/>
    <w:next w:val="1292"/>
    <w:link w:val="960"/>
    <w:qFormat/>
    <w:pPr>
      <w:jc w:val="left"/>
      <w:spacing w:before="100" w:beforeAutospacing="1" w:after="100" w:afterAutospacing="1"/>
      <w:widowControl/>
    </w:pPr>
    <w:rPr>
      <w:rFonts w:ascii="宋体" w:hAnsi="宋体" w:cs="宋体"/>
      <w:sz w:val="24"/>
    </w:rPr>
  </w:style>
  <w:style w:type="paragraph" w:styleId="1293">
    <w:name w:val="xl41"/>
    <w:basedOn w:val="960"/>
    <w:next w:val="1293"/>
    <w:link w:val="96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94">
    <w:name w:val="q3"/>
    <w:basedOn w:val="960"/>
    <w:next w:val="1294"/>
    <w:link w:val="960"/>
    <w:qFormat/>
    <w:pPr>
      <w:tabs>
        <w:tab w:val="left" w:pos="1800" w:leader="none"/>
      </w:tabs>
    </w:pPr>
    <w:rPr>
      <w:rFonts w:ascii="幼圆" w:eastAsia="幼圆"/>
      <w:b/>
      <w:spacing w:val="30"/>
      <w:sz w:val="24"/>
      <w:szCs w:val="20"/>
    </w:rPr>
  </w:style>
  <w:style w:type="paragraph" w:styleId="1295">
    <w:name w:val="xl32"/>
    <w:basedOn w:val="960"/>
    <w:next w:val="1295"/>
    <w:link w:val="960"/>
    <w:qFormat/>
    <w:pPr>
      <w:jc w:val="center"/>
      <w:spacing w:before="100" w:beforeAutospacing="1" w:after="100" w:afterAutospacing="1"/>
      <w:widowControl/>
      <w:pBdr>
        <w:bottom w:val="single" w:color="000000" w:sz="4" w:space="0"/>
      </w:pBdr>
    </w:pPr>
    <w:rPr>
      <w:rFonts w:ascii="宋体" w:hAnsi="宋体"/>
      <w:sz w:val="24"/>
    </w:rPr>
  </w:style>
  <w:style w:type="paragraph" w:styleId="1296">
    <w:name w:val="表格3"/>
    <w:basedOn w:val="960"/>
    <w:next w:val="1296"/>
    <w:link w:val="960"/>
    <w:qFormat/>
    <w:pPr>
      <w:spacing w:line="420" w:lineRule="atLeast"/>
    </w:pPr>
    <w:rPr>
      <w:rFonts w:ascii="DFKai-SB" w:hAnsi="DFKai-SB" w:eastAsia="Arial" w:cs="DFKai-SB"/>
      <w:szCs w:val="20"/>
    </w:rPr>
  </w:style>
  <w:style w:type="character" w:styleId="1297">
    <w:name w:val="批注文字 Char3"/>
    <w:next w:val="1297"/>
    <w:link w:val="960"/>
    <w:qFormat/>
    <w:rPr>
      <w:rFonts w:ascii="Calibri" w:hAnsi="Calibri" w:eastAsia="宋体" w:cs="Times New Roman"/>
      <w:sz w:val="20"/>
      <w:szCs w:val="20"/>
    </w:rPr>
  </w:style>
  <w:style w:type="character" w:styleId="1298">
    <w:name w:val="_Style 173"/>
    <w:next w:val="1298"/>
    <w:link w:val="960"/>
    <w:qFormat/>
    <w:rPr>
      <w:b/>
      <w:bCs/>
      <w:i/>
      <w:iCs/>
      <w:color w:val="4f81bd"/>
    </w:rPr>
  </w:style>
  <w:style w:type="character" w:styleId="1299">
    <w:name w:val="Char Char16"/>
    <w:next w:val="1299"/>
    <w:link w:val="960"/>
    <w:qFormat/>
    <w:rPr>
      <w:rFonts w:eastAsia="宋体"/>
      <w:b/>
      <w:sz w:val="32"/>
      <w:lang w:val="en-US" w:eastAsia="zh-CN" w:bidi="ar-SA"/>
    </w:rPr>
  </w:style>
  <w:style w:type="character" w:styleId="1300">
    <w:name w:val="纯文本 Char1"/>
    <w:next w:val="1300"/>
    <w:link w:val="960"/>
    <w:qFormat/>
    <w:rPr>
      <w:rFonts w:ascii="宋体" w:hAnsi="Courier New" w:eastAsia="宋体" w:cs="Times New Roman"/>
      <w:sz w:val="28"/>
      <w:szCs w:val="20"/>
    </w:rPr>
  </w:style>
  <w:style w:type="character" w:styleId="1301">
    <w:name w:val="Char Char"/>
    <w:next w:val="1301"/>
    <w:link w:val="960"/>
    <w:qFormat/>
    <w:rPr>
      <w:rFonts w:ascii="宋体" w:hAnsi="Courier New" w:eastAsia="宋体" w:cs="Times New Roman"/>
      <w:szCs w:val="21"/>
    </w:rPr>
  </w:style>
  <w:style w:type="character" w:styleId="1302">
    <w:name w:val="_Style 187"/>
    <w:next w:val="1302"/>
    <w:link w:val="960"/>
    <w:qFormat/>
    <w:rPr>
      <w:i/>
      <w:iCs/>
      <w:color w:val="808080"/>
    </w:rPr>
  </w:style>
  <w:style w:type="character" w:styleId="1303">
    <w:name w:val="Char Char3"/>
    <w:next w:val="1303"/>
    <w:link w:val="960"/>
    <w:uiPriority w:val="99"/>
    <w:qFormat/>
    <w:rPr>
      <w:rFonts w:ascii="宋体" w:hAnsi="Courier New" w:cs="Courier New"/>
      <w:sz w:val="21"/>
      <w:szCs w:val="21"/>
    </w:rPr>
  </w:style>
  <w:style w:type="character" w:styleId="1304">
    <w:name w:val="rvts19"/>
    <w:next w:val="1304"/>
    <w:link w:val="960"/>
    <w:qFormat/>
    <w:rPr>
      <w:rFonts w:ascii="KNLe" w:hAnsi="KNLe"/>
      <w:color w:val="000000"/>
      <w:sz w:val="32"/>
      <w:szCs w:val="32"/>
    </w:rPr>
  </w:style>
  <w:style w:type="character" w:styleId="1305">
    <w:name w:val="_Style 195"/>
    <w:next w:val="1305"/>
    <w:link w:val="960"/>
    <w:qFormat/>
    <w:rPr>
      <w:smallCaps/>
      <w:color w:val="c0504d"/>
      <w:u w:val="single"/>
    </w:rPr>
  </w:style>
  <w:style w:type="character" w:styleId="1306">
    <w:name w:val="_Style 205"/>
    <w:next w:val="1306"/>
    <w:link w:val="960"/>
    <w:qFormat/>
    <w:rPr>
      <w:b/>
      <w:bCs/>
      <w:smallCaps/>
      <w:spacing w:val="5"/>
    </w:rPr>
  </w:style>
  <w:style w:type="character" w:styleId="1307">
    <w:name w:val="rvts14"/>
    <w:next w:val="1307"/>
    <w:link w:val="960"/>
    <w:qFormat/>
    <w:rPr>
      <w:rFonts w:ascii="KNLe" w:hAnsi="KNLe"/>
      <w:color w:val="000000"/>
      <w:sz w:val="24"/>
      <w:szCs w:val="24"/>
    </w:rPr>
  </w:style>
  <w:style w:type="character" w:styleId="1308">
    <w:name w:val="html_txt1"/>
    <w:next w:val="1308"/>
    <w:link w:val="960"/>
    <w:qFormat/>
    <w:rPr>
      <w:color w:val="000000"/>
    </w:rPr>
  </w:style>
  <w:style w:type="character" w:styleId="1309">
    <w:name w:val="标题 2 Char1"/>
    <w:next w:val="1309"/>
    <w:link w:val="960"/>
    <w:qFormat/>
    <w:rPr>
      <w:rFonts w:ascii="Arial" w:hAnsi="Arial" w:eastAsia="黑体"/>
      <w:b/>
      <w:sz w:val="32"/>
      <w:lang w:val="en-US" w:eastAsia="zh-CN"/>
    </w:rPr>
  </w:style>
  <w:style w:type="character" w:styleId="1310">
    <w:name w:val="_Style 215"/>
    <w:next w:val="1310"/>
    <w:link w:val="960"/>
    <w:qFormat/>
    <w:rPr>
      <w:b/>
      <w:bCs/>
      <w:smallCaps/>
      <w:color w:val="c0504d"/>
      <w:spacing w:val="5"/>
      <w:u w:val="single"/>
    </w:rPr>
  </w:style>
  <w:style w:type="character" w:styleId="1311">
    <w:name w:val="chword"/>
    <w:next w:val="1311"/>
    <w:link w:val="960"/>
    <w:qFormat/>
  </w:style>
  <w:style w:type="character" w:styleId="1312">
    <w:name w:val="正文文本 3 字符1"/>
    <w:next w:val="1312"/>
    <w:link w:val="960"/>
    <w:qFormat/>
    <w:rPr>
      <w:sz w:val="16"/>
      <w:szCs w:val="16"/>
    </w:rPr>
  </w:style>
  <w:style w:type="character" w:styleId="1313">
    <w:name w:val="正文缩进 字符1"/>
    <w:next w:val="1313"/>
    <w:link w:val="960"/>
    <w:qFormat/>
    <w:rPr>
      <w:sz w:val="21"/>
    </w:rPr>
  </w:style>
  <w:style w:type="character" w:styleId="1314">
    <w:name w:val="明显引用 字符1"/>
    <w:next w:val="1314"/>
    <w:link w:val="960"/>
    <w:qFormat/>
    <w:rPr>
      <w:b/>
      <w:bCs/>
      <w:i/>
      <w:iCs/>
      <w:color w:val="4f81bd"/>
    </w:rPr>
  </w:style>
  <w:style w:type="character" w:styleId="1315">
    <w:name w:val="正文首行缩进 字符1"/>
    <w:next w:val="1315"/>
    <w:link w:val="960"/>
    <w:uiPriority w:val="99"/>
    <w:qFormat/>
  </w:style>
  <w:style w:type="character" w:styleId="1316">
    <w:name w:val="批注主题 字符1"/>
    <w:next w:val="1316"/>
    <w:link w:val="960"/>
    <w:qFormat/>
    <w:rPr>
      <w:b/>
      <w:bCs/>
      <w:sz w:val="21"/>
    </w:rPr>
  </w:style>
  <w:style w:type="character" w:styleId="1317">
    <w:name w:val="标题 3 字符1"/>
    <w:next w:val="1317"/>
    <w:link w:val="960"/>
    <w:qFormat/>
    <w:rPr>
      <w:b/>
      <w:bCs/>
      <w:sz w:val="32"/>
      <w:szCs w:val="32"/>
    </w:rPr>
  </w:style>
  <w:style w:type="character" w:styleId="1318">
    <w:name w:val="HTML 预设格式 字符1"/>
    <w:next w:val="1318"/>
    <w:link w:val="960"/>
    <w:uiPriority w:val="99"/>
    <w:qFormat/>
    <w:rPr>
      <w:rFonts w:ascii="Courier New" w:hAnsi="Courier New" w:cs="Courier New"/>
    </w:rPr>
  </w:style>
  <w:style w:type="character" w:styleId="1319">
    <w:name w:val="正文文本 字符1"/>
    <w:next w:val="1319"/>
    <w:link w:val="960"/>
    <w:uiPriority w:val="99"/>
    <w:qFormat/>
    <w:rPr>
      <w:sz w:val="21"/>
    </w:rPr>
  </w:style>
  <w:style w:type="character" w:styleId="1320">
    <w:name w:val="批注框文本 字符1"/>
    <w:next w:val="1320"/>
    <w:link w:val="960"/>
    <w:qFormat/>
    <w:rPr>
      <w:sz w:val="18"/>
      <w:szCs w:val="18"/>
    </w:rPr>
  </w:style>
  <w:style w:type="character" w:styleId="1321">
    <w:name w:val="正文文本缩进 2 字符1"/>
    <w:next w:val="1321"/>
    <w:link w:val="960"/>
    <w:uiPriority w:val="99"/>
    <w:qFormat/>
  </w:style>
  <w:style w:type="character" w:styleId="1322">
    <w:name w:val="正文文本缩进 3 字符1"/>
    <w:next w:val="1322"/>
    <w:link w:val="960"/>
    <w:qFormat/>
    <w:rPr>
      <w:sz w:val="16"/>
      <w:szCs w:val="16"/>
    </w:rPr>
  </w:style>
  <w:style w:type="character" w:styleId="1323">
    <w:name w:val="正文文本 2 字符1"/>
    <w:next w:val="1323"/>
    <w:link w:val="960"/>
    <w:uiPriority w:val="99"/>
    <w:qFormat/>
  </w:style>
  <w:style w:type="character" w:styleId="1324">
    <w:name w:val="正文文本 3 Char2"/>
    <w:next w:val="1324"/>
    <w:link w:val="960"/>
    <w:qFormat/>
    <w:rPr>
      <w:sz w:val="16"/>
      <w:szCs w:val="16"/>
    </w:rPr>
  </w:style>
  <w:style w:type="character" w:styleId="1325">
    <w:name w:val="标题 字符1"/>
    <w:next w:val="1325"/>
    <w:link w:val="960"/>
    <w:qFormat/>
    <w:rPr>
      <w:rFonts w:ascii="Cambria" w:hAnsi="Cambria"/>
      <w:b/>
      <w:bCs/>
      <w:sz w:val="32"/>
      <w:szCs w:val="32"/>
    </w:rPr>
  </w:style>
  <w:style w:type="character" w:styleId="1326">
    <w:name w:val="标题 7 字符1"/>
    <w:next w:val="1326"/>
    <w:link w:val="960"/>
    <w:qFormat/>
    <w:rPr>
      <w:b/>
      <w:bCs/>
      <w:sz w:val="24"/>
      <w:szCs w:val="24"/>
    </w:rPr>
  </w:style>
  <w:style w:type="character" w:styleId="1327">
    <w:name w:val="标题 4 字符1"/>
    <w:next w:val="1327"/>
    <w:link w:val="960"/>
    <w:qFormat/>
    <w:rPr>
      <w:rFonts w:ascii="Cambria" w:hAnsi="Cambria"/>
      <w:b/>
      <w:bCs/>
      <w:sz w:val="28"/>
      <w:szCs w:val="28"/>
    </w:rPr>
  </w:style>
  <w:style w:type="character" w:styleId="1328">
    <w:name w:val="批注文字 字符1"/>
    <w:next w:val="1328"/>
    <w:link w:val="960"/>
    <w:uiPriority w:val="99"/>
    <w:qFormat/>
  </w:style>
  <w:style w:type="character" w:styleId="1329">
    <w:name w:val="标题 8 字符1"/>
    <w:next w:val="1329"/>
    <w:link w:val="960"/>
    <w:qFormat/>
    <w:rPr>
      <w:rFonts w:ascii="Cambria" w:hAnsi="Cambria"/>
      <w:sz w:val="24"/>
      <w:szCs w:val="24"/>
    </w:rPr>
  </w:style>
  <w:style w:type="character" w:styleId="1330">
    <w:name w:val="标题 5 字符1"/>
    <w:next w:val="1330"/>
    <w:link w:val="960"/>
    <w:qFormat/>
    <w:rPr>
      <w:b/>
      <w:bCs/>
      <w:sz w:val="28"/>
      <w:szCs w:val="28"/>
    </w:rPr>
  </w:style>
  <w:style w:type="character" w:styleId="1331">
    <w:name w:val="标题 9 字符1"/>
    <w:next w:val="1331"/>
    <w:link w:val="960"/>
    <w:qFormat/>
    <w:rPr>
      <w:rFonts w:ascii="Cambria" w:hAnsi="Cambria"/>
      <w:sz w:val="21"/>
      <w:szCs w:val="21"/>
    </w:rPr>
  </w:style>
  <w:style w:type="character" w:styleId="1332">
    <w:name w:val="文档结构图 字符1"/>
    <w:next w:val="1332"/>
    <w:link w:val="960"/>
    <w:qFormat/>
    <w:rPr>
      <w:sz w:val="2"/>
      <w:shd w:val="clear" w:color="auto" w:fill="000080"/>
    </w:rPr>
  </w:style>
  <w:style w:type="character" w:styleId="1333">
    <w:name w:val="副标题 Char3"/>
    <w:next w:val="1333"/>
    <w:link w:val="960"/>
    <w:qFormat/>
    <w:rPr>
      <w:rFonts w:ascii="Cambria" w:hAnsi="Cambria" w:cs="Times New Roman"/>
      <w:b/>
      <w:bCs/>
      <w:sz w:val="32"/>
      <w:szCs w:val="32"/>
    </w:rPr>
  </w:style>
  <w:style w:type="character" w:styleId="1334">
    <w:name w:val="标题 1 字符1"/>
    <w:next w:val="1334"/>
    <w:link w:val="960"/>
    <w:qFormat/>
    <w:rPr>
      <w:rFonts w:ascii="黑体" w:eastAsia="黑体"/>
      <w:b/>
      <w:sz w:val="28"/>
    </w:rPr>
  </w:style>
  <w:style w:type="character" w:styleId="1335">
    <w:name w:val="页眉 字符1"/>
    <w:next w:val="1335"/>
    <w:link w:val="960"/>
    <w:qFormat/>
    <w:rPr>
      <w:sz w:val="18"/>
      <w:szCs w:val="18"/>
    </w:rPr>
  </w:style>
  <w:style w:type="character" w:styleId="1336">
    <w:name w:val="标题 6 字符1"/>
    <w:next w:val="1336"/>
    <w:link w:val="960"/>
    <w:qFormat/>
    <w:rPr>
      <w:rFonts w:ascii="Cambria" w:hAnsi="Cambria"/>
      <w:b/>
      <w:bCs/>
      <w:sz w:val="24"/>
      <w:szCs w:val="24"/>
    </w:rPr>
  </w:style>
  <w:style w:type="character" w:styleId="1337">
    <w:name w:val="正文文本缩进 字符1"/>
    <w:next w:val="1337"/>
    <w:link w:val="960"/>
    <w:qFormat/>
  </w:style>
  <w:style w:type="character" w:styleId="1338">
    <w:name w:val="引用 字符1"/>
    <w:next w:val="1338"/>
    <w:link w:val="960"/>
    <w:qFormat/>
    <w:rPr>
      <w:i/>
      <w:iCs/>
      <w:color w:val="000000"/>
    </w:rPr>
  </w:style>
  <w:style w:type="character" w:styleId="1339">
    <w:name w:val="纯文本 字符1"/>
    <w:next w:val="1339"/>
    <w:link w:val="960"/>
    <w:qFormat/>
    <w:rPr>
      <w:rFonts w:ascii="宋体" w:hAnsi="Courier New"/>
      <w:sz w:val="21"/>
      <w:szCs w:val="21"/>
    </w:rPr>
  </w:style>
  <w:style w:type="character" w:styleId="1340">
    <w:name w:val="二级目录 Char"/>
    <w:next w:val="1340"/>
    <w:link w:val="1341"/>
    <w:uiPriority w:val="99"/>
    <w:qFormat/>
    <w:rPr>
      <w:b/>
      <w:sz w:val="30"/>
      <w:szCs w:val="28"/>
      <w:lang w:val="en-US" w:eastAsia="zh-CN" w:bidi="ar-SA"/>
    </w:rPr>
  </w:style>
  <w:style w:type="paragraph" w:styleId="1341">
    <w:name w:val="二级目录"/>
    <w:next w:val="960"/>
    <w:link w:val="1340"/>
    <w:uiPriority w:val="99"/>
    <w:qFormat/>
    <w:pPr>
      <w:tabs>
        <w:tab w:val="left" w:pos="720" w:leader="none"/>
      </w:tabs>
      <w:outlineLvl w:val="1"/>
    </w:pPr>
    <w:rPr>
      <w:b/>
      <w:sz w:val="30"/>
      <w:szCs w:val="28"/>
      <w:lang w:val="en-US" w:eastAsia="zh-CN" w:bidi="ar-SA"/>
    </w:rPr>
  </w:style>
  <w:style w:type="character" w:styleId="1342">
    <w:name w:val="正文2 Char"/>
    <w:next w:val="1342"/>
    <w:link w:val="960"/>
    <w:qFormat/>
    <w:rPr>
      <w:sz w:val="24"/>
    </w:rPr>
  </w:style>
  <w:style w:type="character" w:styleId="1343">
    <w:name w:val="日期 字符1"/>
    <w:next w:val="1343"/>
    <w:link w:val="960"/>
    <w:qFormat/>
  </w:style>
  <w:style w:type="character" w:styleId="1344">
    <w:name w:val="正文文本缩进 2 Char1"/>
    <w:next w:val="1344"/>
    <w:link w:val="960"/>
    <w:qFormat/>
    <w:rPr>
      <w:sz w:val="21"/>
    </w:rPr>
  </w:style>
  <w:style w:type="character" w:styleId="1345">
    <w:name w:val="副标题 字符1"/>
    <w:next w:val="1345"/>
    <w:link w:val="960"/>
    <w:qFormat/>
    <w:rPr>
      <w:rFonts w:ascii="Cambria" w:hAnsi="Cambria"/>
      <w:b/>
      <w:bCs/>
      <w:sz w:val="32"/>
      <w:szCs w:val="32"/>
    </w:rPr>
  </w:style>
  <w:style w:type="character" w:styleId="1346">
    <w:name w:val="NormalCharacter1"/>
    <w:next w:val="1346"/>
    <w:link w:val="960"/>
    <w:qFormat/>
  </w:style>
  <w:style w:type="character" w:styleId="1347">
    <w:name w:val="标题 2 字符1"/>
    <w:next w:val="1347"/>
    <w:link w:val="960"/>
    <w:qFormat/>
    <w:rPr>
      <w:rFonts w:ascii="Cambria" w:hAnsi="Cambria"/>
      <w:b/>
      <w:bCs/>
      <w:sz w:val="32"/>
      <w:szCs w:val="32"/>
    </w:rPr>
  </w:style>
  <w:style w:type="paragraph" w:styleId="1348">
    <w:name w:val="xl108"/>
    <w:basedOn w:val="960"/>
    <w:next w:val="1348"/>
    <w:link w:val="9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49">
    <w:name w:val="msolistparagraph"/>
    <w:basedOn w:val="960"/>
    <w:next w:val="1349"/>
    <w:link w:val="960"/>
    <w:uiPriority w:val="99"/>
    <w:qFormat/>
    <w:pPr>
      <w:ind w:firstLine="420"/>
    </w:pPr>
    <w:rPr>
      <w:szCs w:val="22"/>
    </w:rPr>
  </w:style>
  <w:style w:type="paragraph" w:styleId="1350">
    <w:name w:val="丁华标题3"/>
    <w:basedOn w:val="1351"/>
    <w:next w:val="1352"/>
    <w:link w:val="960"/>
    <w:uiPriority w:val="99"/>
    <w:qFormat/>
    <w:pPr>
      <w:ind w:left="1980" w:hanging="420"/>
      <w:spacing w:after="0"/>
      <w:tabs>
        <w:tab w:val="left" w:pos="567" w:leader="none"/>
        <w:tab w:val="left" w:pos="1470" w:leader="none"/>
        <w:tab w:val="left" w:pos="1980" w:leader="none"/>
      </w:tabs>
      <w:outlineLvl w:val="2"/>
    </w:pPr>
    <w:rPr>
      <w:sz w:val="24"/>
    </w:rPr>
  </w:style>
  <w:style w:type="paragraph" w:styleId="1351">
    <w:name w:val="丁华标题2"/>
    <w:basedOn w:val="962"/>
    <w:next w:val="1352"/>
    <w:link w:val="960"/>
    <w:uiPriority w:val="99"/>
    <w:qFormat/>
    <w:pPr>
      <w:numPr>
        <w:ilvl w:val="0"/>
        <w:numId w:val="0"/>
      </w:numPr>
      <w:ind w:left="380" w:hanging="380"/>
      <w:jc w:val="left"/>
      <w:spacing w:before="120" w:after="120" w:line="415" w:lineRule="auto"/>
      <w:tabs>
        <w:tab w:val="left" w:pos="567" w:leader="none"/>
      </w:tabs>
    </w:pPr>
    <w:rPr>
      <w:rFonts w:ascii="Arial" w:hAnsi="Arial" w:eastAsia="黑体"/>
      <w:b w:val="0"/>
      <w:sz w:val="28"/>
      <w:szCs w:val="20"/>
      <w:lang w:val="en-US" w:eastAsia="zh-CN"/>
    </w:rPr>
  </w:style>
  <w:style w:type="paragraph" w:styleId="1352">
    <w:name w:val="丁华正文"/>
    <w:basedOn w:val="1029"/>
    <w:next w:val="1352"/>
    <w:link w:val="960"/>
    <w:uiPriority w:val="99"/>
    <w:qFormat/>
    <w:pPr>
      <w:ind w:left="0" w:firstLine="510"/>
      <w:spacing w:after="0" w:line="360" w:lineRule="auto"/>
    </w:pPr>
    <w:rPr>
      <w:rFonts w:ascii="Times New Roman" w:hAnsi="Times New Roman"/>
      <w:sz w:val="24"/>
      <w:szCs w:val="16"/>
      <w:lang w:val="en-US" w:eastAsia="zh-CN"/>
    </w:rPr>
  </w:style>
  <w:style w:type="paragraph" w:styleId="1353">
    <w:name w:val="Bullets L1"/>
    <w:basedOn w:val="960"/>
    <w:next w:val="1353"/>
    <w:link w:val="960"/>
    <w:uiPriority w:val="99"/>
    <w:qFormat/>
    <w:pPr>
      <w:jc w:val="left"/>
      <w:spacing w:before="60" w:after="60"/>
      <w:widowControl/>
      <w:tabs>
        <w:tab w:val="left" w:pos="360" w:leader="none"/>
      </w:tabs>
    </w:pPr>
    <w:rPr>
      <w:rFonts w:ascii="Arial" w:hAnsi="Arial"/>
      <w:sz w:val="20"/>
      <w:szCs w:val="20"/>
    </w:rPr>
  </w:style>
  <w:style w:type="paragraph" w:styleId="1354">
    <w:name w:val="样式"/>
    <w:basedOn w:val="960"/>
    <w:next w:val="998"/>
    <w:link w:val="960"/>
    <w:uiPriority w:val="99"/>
    <w:qFormat/>
    <w:rPr>
      <w:rFonts w:ascii="楷体_GB2312" w:hAnsi="Arial" w:eastAsia="楷体_GB2312"/>
      <w:sz w:val="28"/>
      <w:szCs w:val="20"/>
    </w:rPr>
  </w:style>
  <w:style w:type="paragraph" w:styleId="1355">
    <w:name w:val="xl109"/>
    <w:basedOn w:val="960"/>
    <w:next w:val="1355"/>
    <w:link w:val="9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356">
    <w:name w:val="xl116"/>
    <w:basedOn w:val="960"/>
    <w:next w:val="1356"/>
    <w:link w:val="96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57">
    <w:name w:val="默认段落字体 Para Char"/>
    <w:basedOn w:val="960"/>
    <w:next w:val="1357"/>
    <w:link w:val="960"/>
    <w:uiPriority w:val="99"/>
    <w:qFormat/>
    <w:rPr>
      <w:rFonts w:ascii="Times New Roman" w:hAnsi="Times New Roman"/>
      <w:sz w:val="24"/>
    </w:rPr>
  </w:style>
  <w:style w:type="paragraph" w:styleId="1358">
    <w:name w:val="xl107"/>
    <w:basedOn w:val="960"/>
    <w:next w:val="1358"/>
    <w:link w:val="960"/>
    <w:qFormat/>
    <w:pPr>
      <w:jc w:val="left"/>
      <w:spacing w:before="100" w:beforeAutospacing="1" w:after="100" w:afterAutospacing="1"/>
      <w:widowControl/>
    </w:pPr>
    <w:rPr>
      <w:rFonts w:ascii="Arial" w:hAnsi="Arial" w:cs="Arial"/>
      <w:sz w:val="20"/>
      <w:szCs w:val="20"/>
    </w:rPr>
  </w:style>
  <w:style w:type="paragraph" w:styleId="1359">
    <w:name w:val="retrait3"/>
    <w:basedOn w:val="960"/>
    <w:next w:val="1359"/>
    <w:link w:val="960"/>
    <w:uiPriority w:val="99"/>
    <w:qFormat/>
    <w:pPr>
      <w:ind w:left="851"/>
      <w:jc w:val="left"/>
      <w:spacing w:before="20" w:after="20"/>
      <w:widowControl/>
    </w:pPr>
    <w:rPr>
      <w:rFonts w:ascii="Arial" w:hAnsi="Arial"/>
      <w:sz w:val="24"/>
      <w:szCs w:val="20"/>
    </w:rPr>
  </w:style>
  <w:style w:type="paragraph" w:styleId="1360">
    <w:name w:val="xl110"/>
    <w:basedOn w:val="960"/>
    <w:next w:val="1360"/>
    <w:link w:val="9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61">
    <w:name w:val="默认段落字体 Para Char Char Char Char Char Char Char"/>
    <w:basedOn w:val="960"/>
    <w:next w:val="1361"/>
    <w:link w:val="960"/>
    <w:uiPriority w:val="99"/>
    <w:qFormat/>
    <w:rPr>
      <w:rFonts w:ascii="Times New Roman" w:hAnsi="Times New Roman"/>
      <w:szCs w:val="20"/>
    </w:rPr>
  </w:style>
  <w:style w:type="paragraph" w:styleId="1362">
    <w:name w:val="xl117"/>
    <w:basedOn w:val="960"/>
    <w:next w:val="1362"/>
    <w:link w:val="96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63">
    <w:name w:val="Char Char Char Char Char Char Char Char Char Char Char Char Char"/>
    <w:basedOn w:val="988"/>
    <w:next w:val="1363"/>
    <w:link w:val="960"/>
    <w:uiPriority w:val="99"/>
    <w:qFormat/>
    <w:pPr>
      <w:shd w:val="clear" w:color="auto" w:fill="000080"/>
    </w:pPr>
    <w:rPr>
      <w:rFonts w:ascii="Tahoma" w:hAnsi="Tahoma"/>
      <w:sz w:val="24"/>
      <w:szCs w:val="24"/>
      <w:lang w:val="en-US" w:eastAsia="zh-CN"/>
    </w:rPr>
  </w:style>
  <w:style w:type="paragraph" w:styleId="1364">
    <w:name w:val="表格1"/>
    <w:basedOn w:val="960"/>
    <w:next w:val="1364"/>
    <w:link w:val="960"/>
    <w:uiPriority w:val="99"/>
    <w:qFormat/>
    <w:rPr>
      <w:rFonts w:ascii="宋体" w:hAnsi="Times New Roman"/>
      <w:szCs w:val="21"/>
    </w:rPr>
  </w:style>
  <w:style w:type="paragraph" w:styleId="1365">
    <w:name w:val="xl115"/>
    <w:basedOn w:val="960"/>
    <w:next w:val="1365"/>
    <w:link w:val="9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rPr>
  </w:style>
  <w:style w:type="paragraph" w:styleId="1366">
    <w:name w:val="段落"/>
    <w:basedOn w:val="960"/>
    <w:next w:val="1366"/>
    <w:link w:val="960"/>
    <w:uiPriority w:val="99"/>
    <w:qFormat/>
    <w:pPr>
      <w:ind w:firstLine="480"/>
      <w:spacing w:line="460" w:lineRule="exact"/>
    </w:pPr>
    <w:rPr>
      <w:rFonts w:ascii="Times New Roman" w:hAnsi="Times New Roman"/>
      <w:sz w:val="24"/>
      <w:szCs w:val="20"/>
    </w:rPr>
  </w:style>
  <w:style w:type="paragraph" w:styleId="1367">
    <w:name w:val="丁华标题1"/>
    <w:basedOn w:val="961"/>
    <w:next w:val="1352"/>
    <w:link w:val="960"/>
    <w:uiPriority w:val="99"/>
    <w:qFormat/>
    <w:pPr>
      <w:numPr>
        <w:ilvl w:val="0"/>
        <w:numId w:val="0"/>
      </w:numPr>
      <w:jc w:val="left"/>
      <w:spacing w:before="0" w:after="0"/>
    </w:pPr>
    <w:rPr>
      <w:rFonts w:ascii="Times New Roman" w:hAnsi="Times New Roman" w:eastAsia="黑体"/>
      <w:b w:val="0"/>
      <w:bCs w:val="0"/>
      <w:sz w:val="32"/>
      <w:szCs w:val="20"/>
      <w:lang w:val="en-US" w:eastAsia="zh-CN"/>
    </w:rPr>
  </w:style>
  <w:style w:type="paragraph" w:styleId="1368">
    <w:name w:val="xl111"/>
    <w:basedOn w:val="960"/>
    <w:next w:val="1368"/>
    <w:link w:val="9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369">
    <w:name w:val="模板正文"/>
    <w:basedOn w:val="960"/>
    <w:next w:val="1369"/>
    <w:link w:val="960"/>
    <w:qFormat/>
    <w:pPr>
      <w:ind w:firstLine="200"/>
      <w:spacing w:before="120" w:line="360" w:lineRule="auto"/>
    </w:pPr>
    <w:rPr>
      <w:rFonts w:ascii="Times New Roman" w:hAnsi="Times New Roman" w:eastAsia="仿宋_GB2312"/>
      <w:sz w:val="24"/>
      <w:szCs w:val="21"/>
    </w:rPr>
  </w:style>
  <w:style w:type="paragraph" w:styleId="1370">
    <w:name w:val="xl113"/>
    <w:basedOn w:val="960"/>
    <w:next w:val="1370"/>
    <w:link w:val="96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rPr>
  </w:style>
  <w:style w:type="paragraph" w:styleId="1371">
    <w:name w:val="179"/>
    <w:basedOn w:val="960"/>
    <w:next w:val="1371"/>
    <w:link w:val="960"/>
    <w:qFormat/>
    <w:pPr>
      <w:ind w:firstLine="420"/>
      <w:widowControl/>
    </w:pPr>
    <w:rPr>
      <w:rFonts w:ascii="Times New Roman" w:hAnsi="Times New Roman"/>
    </w:rPr>
  </w:style>
  <w:style w:type="paragraph" w:styleId="1372">
    <w:name w:val="正文3"/>
    <w:next w:val="1372"/>
    <w:link w:val="960"/>
    <w:qFormat/>
    <w:pPr>
      <w:jc w:val="both"/>
      <w:widowControl w:val="off"/>
    </w:pPr>
    <w:rPr>
      <w:lang w:val="en-US" w:eastAsia="zh-CN" w:bidi="ar-SA"/>
    </w:rPr>
  </w:style>
  <w:style w:type="paragraph" w:styleId="1373">
    <w:name w:val="xl112"/>
    <w:basedOn w:val="960"/>
    <w:next w:val="1373"/>
    <w:link w:val="96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374">
    <w:name w:val="Heading31"/>
    <w:basedOn w:val="960"/>
    <w:next w:val="960"/>
    <w:link w:val="960"/>
    <w:qFormat/>
    <w:pPr>
      <w:keepLines/>
      <w:keepNext/>
      <w:spacing w:before="260" w:after="260" w:line="416" w:lineRule="auto"/>
      <w:widowControl/>
    </w:pPr>
    <w:rPr>
      <w:rFonts w:ascii="Times New Roman" w:hAnsi="Times New Roman"/>
      <w:sz w:val="32"/>
      <w:szCs w:val="20"/>
    </w:rPr>
  </w:style>
  <w:style w:type="paragraph" w:styleId="1375">
    <w:name w:val="xl114"/>
    <w:basedOn w:val="960"/>
    <w:next w:val="1375"/>
    <w:link w:val="9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76">
    <w:name w:val="论文正文"/>
    <w:basedOn w:val="1014"/>
    <w:next w:val="1376"/>
    <w:link w:val="960"/>
    <w:uiPriority w:val="99"/>
    <w:qFormat/>
    <w:pPr>
      <w:ind w:firstLine="200"/>
      <w:jc w:val="left"/>
      <w:spacing w:line="360" w:lineRule="auto"/>
    </w:pPr>
    <w:rPr>
      <w:rFonts w:ascii="Times New Roman" w:hAnsi="Times New Roman"/>
      <w:sz w:val="28"/>
      <w:szCs w:val="24"/>
      <w:lang w:val="en-US" w:eastAsia="zh-CN"/>
    </w:rPr>
  </w:style>
  <w:style w:type="paragraph" w:styleId="1377">
    <w:name w:val="Char Char Char Char Char Char Char2"/>
    <w:basedOn w:val="960"/>
    <w:next w:val="1377"/>
    <w:link w:val="960"/>
    <w:qFormat/>
    <w:pPr>
      <w:spacing w:line="360" w:lineRule="auto"/>
    </w:pPr>
    <w:rPr>
      <w:rFonts w:ascii="Times New Roman" w:hAnsi="Times New Roman"/>
      <w:sz w:val="24"/>
      <w:szCs w:val="20"/>
    </w:rPr>
  </w:style>
  <w:style w:type="paragraph" w:styleId="1378">
    <w:name w:val="标题 11"/>
    <w:basedOn w:val="1169"/>
    <w:next w:val="1169"/>
    <w:link w:val="960"/>
    <w:qFormat/>
  </w:style>
  <w:style w:type="paragraph" w:styleId="1379">
    <w:name w:val="tableau"/>
    <w:basedOn w:val="960"/>
    <w:next w:val="1379"/>
    <w:link w:val="960"/>
    <w:uiPriority w:val="99"/>
    <w:qFormat/>
    <w:pPr>
      <w:jc w:val="center"/>
      <w:spacing w:before="20" w:after="20"/>
      <w:widowControl/>
    </w:pPr>
    <w:rPr>
      <w:rFonts w:ascii="Arial" w:hAnsi="Arial"/>
      <w:sz w:val="16"/>
      <w:szCs w:val="20"/>
      <w:lang w:eastAsia="en-US"/>
    </w:rPr>
  </w:style>
  <w:style w:type="paragraph" w:styleId="1380">
    <w:name w:val="Char Char2 Char Char"/>
    <w:basedOn w:val="988"/>
    <w:next w:val="1380"/>
    <w:link w:val="960"/>
    <w:uiPriority w:val="99"/>
    <w:qFormat/>
    <w:pPr>
      <w:spacing w:line="436" w:lineRule="exact"/>
      <w:shd w:val="clear" w:color="auto" w:fill="000080"/>
    </w:pPr>
    <w:rPr>
      <w:rFonts w:ascii="Tahoma" w:hAnsi="Tahoma"/>
      <w:sz w:val="24"/>
      <w:szCs w:val="20"/>
      <w:lang w:val="en-US" w:eastAsia="zh-CN"/>
    </w:rPr>
  </w:style>
  <w:style w:type="paragraph" w:styleId="1381">
    <w:name w:val="标题 12"/>
    <w:basedOn w:val="1372"/>
    <w:next w:val="1372"/>
    <w:link w:val="960"/>
    <w:qFormat/>
  </w:style>
  <w:style w:type="paragraph" w:styleId="1382">
    <w:name w:val="列出段落4"/>
    <w:basedOn w:val="960"/>
    <w:next w:val="1382"/>
    <w:link w:val="960"/>
    <w:uiPriority w:val="34"/>
    <w:qFormat/>
    <w:pPr>
      <w:ind w:firstLine="420"/>
    </w:pPr>
    <w:rPr>
      <w:rFonts w:ascii="Times New Roman" w:hAnsi="Times New Roman"/>
      <w:szCs w:val="20"/>
    </w:rPr>
  </w:style>
  <w:style w:type="paragraph" w:styleId="1383">
    <w:name w:val="Char Char Char1"/>
    <w:basedOn w:val="960"/>
    <w:next w:val="1383"/>
    <w:link w:val="960"/>
    <w:qFormat/>
    <w:pPr>
      <w:jc w:val="left"/>
      <w:widowControl/>
      <w:tabs>
        <w:tab w:val="left" w:pos="360" w:leader="none"/>
      </w:tabs>
    </w:pPr>
    <w:rPr>
      <w:sz w:val="20"/>
      <w:szCs w:val="20"/>
    </w:rPr>
  </w:style>
  <w:style w:type="paragraph" w:styleId="1384">
    <w:name w:val="报告正文"/>
    <w:basedOn w:val="960"/>
    <w:next w:val="1384"/>
    <w:link w:val="960"/>
    <w:qFormat/>
    <w:pPr>
      <w:ind w:firstLine="560"/>
    </w:pPr>
    <w:rPr>
      <w:rFonts w:cs="Calibri"/>
      <w:szCs w:val="20"/>
      <w:lang w:val="zh-CN"/>
    </w:rPr>
  </w:style>
  <w:style w:type="paragraph" w:styleId="1385">
    <w:name w:val="一级目录"/>
    <w:next w:val="960"/>
    <w:link w:val="1386"/>
    <w:uiPriority w:val="99"/>
    <w:qFormat/>
    <w:pPr>
      <w:jc w:val="center"/>
      <w:outlineLvl w:val="0"/>
    </w:pPr>
    <w:rPr>
      <w:rFonts w:ascii="黑体" w:eastAsia="黑体"/>
      <w:b/>
      <w:bCs/>
      <w:sz w:val="44"/>
      <w:szCs w:val="44"/>
      <w:lang w:val="en-US" w:eastAsia="zh-CN" w:bidi="ar-SA"/>
    </w:rPr>
  </w:style>
  <w:style w:type="character" w:styleId="1386">
    <w:name w:val="一级目录 Char"/>
    <w:next w:val="1386"/>
    <w:link w:val="1385"/>
    <w:uiPriority w:val="99"/>
    <w:qFormat/>
    <w:rPr>
      <w:rFonts w:ascii="黑体" w:eastAsia="黑体"/>
      <w:b/>
      <w:bCs/>
      <w:sz w:val="44"/>
      <w:szCs w:val="44"/>
      <w:lang w:bidi="ar-SA"/>
    </w:rPr>
  </w:style>
  <w:style w:type="paragraph" w:styleId="1387">
    <w:name w:val="☆ 正文"/>
    <w:basedOn w:val="960"/>
    <w:next w:val="1387"/>
    <w:link w:val="960"/>
    <w:uiPriority w:val="99"/>
    <w:qFormat/>
    <w:rPr>
      <w:rFonts w:cs="Calibri"/>
      <w:szCs w:val="21"/>
    </w:rPr>
  </w:style>
  <w:style w:type="paragraph" w:styleId="1388">
    <w:name w:val="_Style 5"/>
    <w:basedOn w:val="960"/>
    <w:next w:val="960"/>
    <w:link w:val="960"/>
    <w:uiPriority w:val="99"/>
    <w:qFormat/>
    <w:pPr>
      <w:jc w:val="center"/>
      <w:widowControl/>
      <w:pBdr>
        <w:bottom w:val="single" w:color="000000" w:sz="6" w:space="1"/>
      </w:pBdr>
    </w:pPr>
    <w:rPr>
      <w:rFonts w:ascii="Arial" w:hAnsi="Arial" w:cs="Arial"/>
      <w:vanish/>
      <w:sz w:val="16"/>
      <w:szCs w:val="16"/>
    </w:rPr>
  </w:style>
  <w:style w:type="paragraph" w:styleId="1389">
    <w:name w:val="_Style 8"/>
    <w:basedOn w:val="960"/>
    <w:next w:val="960"/>
    <w:link w:val="960"/>
    <w:uiPriority w:val="99"/>
    <w:qFormat/>
    <w:pPr>
      <w:jc w:val="center"/>
      <w:widowControl/>
      <w:pBdr>
        <w:top w:val="single" w:color="000000" w:sz="6" w:space="1"/>
      </w:pBdr>
    </w:pPr>
    <w:rPr>
      <w:rFonts w:ascii="Arial" w:hAnsi="Arial" w:cs="Arial"/>
      <w:vanish/>
      <w:sz w:val="16"/>
      <w:szCs w:val="16"/>
    </w:rPr>
  </w:style>
  <w:style w:type="paragraph" w:styleId="1390">
    <w:name w:val="_Style 3"/>
    <w:basedOn w:val="960"/>
    <w:next w:val="1390"/>
    <w:link w:val="960"/>
    <w:uiPriority w:val="99"/>
    <w:qFormat/>
    <w:pPr>
      <w:jc w:val="center"/>
      <w:widowControl/>
      <w:pBdr>
        <w:bottom w:val="single" w:color="000000" w:sz="6" w:space="1"/>
      </w:pBdr>
    </w:pPr>
    <w:rPr>
      <w:rFonts w:ascii="Arial" w:hAnsi="Arial" w:cs="Arial"/>
      <w:vanish/>
      <w:sz w:val="16"/>
      <w:szCs w:val="16"/>
    </w:rPr>
  </w:style>
  <w:style w:type="character" w:styleId="1391">
    <w:name w:val="项目编号A Char Char"/>
    <w:next w:val="1391"/>
    <w:link w:val="1392"/>
    <w:qFormat/>
    <w:rPr>
      <w:rFonts w:ascii="Arial" w:hAnsi="Arial"/>
      <w:sz w:val="24"/>
      <w:szCs w:val="24"/>
    </w:rPr>
  </w:style>
  <w:style w:type="paragraph" w:styleId="1392">
    <w:name w:val="项目编号A"/>
    <w:basedOn w:val="960"/>
    <w:next w:val="1392"/>
    <w:link w:val="1391"/>
    <w:qFormat/>
    <w:pPr>
      <w:ind w:left="720" w:hanging="720"/>
      <w:spacing w:line="360" w:lineRule="auto"/>
      <w:tabs>
        <w:tab w:val="left" w:pos="634" w:leader="none"/>
        <w:tab w:val="left" w:pos="720" w:leader="none"/>
      </w:tabs>
    </w:pPr>
    <w:rPr>
      <w:rFonts w:ascii="Arial" w:hAnsi="Arial"/>
      <w:sz w:val="24"/>
    </w:rPr>
  </w:style>
  <w:style w:type="character" w:styleId="1393">
    <w:name w:val="方案文档 Char Char"/>
    <w:next w:val="1393"/>
    <w:link w:val="1394"/>
    <w:qFormat/>
    <w:rPr>
      <w:rFonts w:ascii="Arial" w:hAnsi="Arial"/>
      <w:color w:val="ff00ff"/>
      <w:sz w:val="24"/>
      <w:lang w:val="zh-CN"/>
    </w:rPr>
  </w:style>
  <w:style w:type="paragraph" w:styleId="1394">
    <w:name w:val="方案文档"/>
    <w:basedOn w:val="960"/>
    <w:next w:val="1394"/>
    <w:link w:val="1393"/>
    <w:qFormat/>
    <w:pPr>
      <w:ind w:right="32"/>
      <w:spacing w:before="120" w:after="120" w:line="360" w:lineRule="auto"/>
    </w:pPr>
    <w:rPr>
      <w:rFonts w:ascii="Arial" w:hAnsi="Arial"/>
      <w:color w:val="ff00ff"/>
      <w:sz w:val="24"/>
      <w:szCs w:val="20"/>
      <w:lang w:val="zh-CN"/>
    </w:rPr>
  </w:style>
  <w:style w:type="character" w:styleId="1395">
    <w:name w:val="font71"/>
    <w:next w:val="1395"/>
    <w:link w:val="960"/>
    <w:qFormat/>
    <w:rPr>
      <w:rFonts w:hint="eastAsia" w:ascii="微软雅黑" w:hAnsi="微软雅黑" w:eastAsia="微软雅黑" w:cs="微软雅黑"/>
      <w:color w:val="ff0000"/>
      <w:sz w:val="28"/>
      <w:szCs w:val="28"/>
      <w:u w:val="none"/>
    </w:rPr>
  </w:style>
  <w:style w:type="paragraph" w:styleId="1396">
    <w:name w:val="_Style 2"/>
    <w:basedOn w:val="960"/>
    <w:next w:val="1396"/>
    <w:link w:val="960"/>
    <w:uiPriority w:val="34"/>
    <w:qFormat/>
    <w:pPr>
      <w:contextualSpacing/>
      <w:ind w:left="720"/>
      <w:jc w:val="left"/>
      <w:widowControl/>
    </w:pPr>
    <w:rPr>
      <w:rFonts w:cs="Calibri"/>
      <w:sz w:val="24"/>
      <w:lang w:eastAsia="en-US" w:bidi="en-US"/>
    </w:rPr>
  </w:style>
  <w:style w:type="character" w:styleId="1397">
    <w:name w:val="font61"/>
    <w:next w:val="1397"/>
    <w:link w:val="960"/>
    <w:qFormat/>
    <w:rPr>
      <w:rFonts w:hint="eastAsia" w:ascii="宋体" w:hAnsi="宋体" w:eastAsia="宋体" w:cs="宋体"/>
      <w:color w:val="000000"/>
      <w:sz w:val="17"/>
      <w:szCs w:val="17"/>
      <w:u w:val="none"/>
    </w:rPr>
  </w:style>
  <w:style w:type="character" w:styleId="1398">
    <w:name w:val="font81"/>
    <w:next w:val="1398"/>
    <w:link w:val="960"/>
    <w:qFormat/>
    <w:rPr>
      <w:rFonts w:hint="eastAsia" w:ascii="宋体" w:hAnsi="宋体" w:eastAsia="宋体" w:cs="宋体"/>
      <w:color w:val="000000"/>
      <w:sz w:val="17"/>
      <w:szCs w:val="17"/>
      <w:u w:val="none"/>
    </w:rPr>
  </w:style>
  <w:style w:type="paragraph" w:styleId="1399">
    <w:name w:val="表中文字"/>
    <w:basedOn w:val="960"/>
    <w:next w:val="1399"/>
    <w:link w:val="960"/>
    <w:qFormat/>
    <w:rPr>
      <w:rFonts w:ascii="Times New Roman" w:hAnsi="Times New Roman"/>
      <w:sz w:val="24"/>
    </w:rPr>
  </w:style>
  <w:style w:type="paragraph" w:styleId="1400">
    <w:name w:val="标准文本"/>
    <w:basedOn w:val="960"/>
    <w:next w:val="1400"/>
    <w:link w:val="960"/>
    <w:qFormat/>
    <w:pPr>
      <w:ind w:firstLine="480"/>
      <w:spacing w:line="360" w:lineRule="auto"/>
    </w:pPr>
    <w:rPr>
      <w:rFonts w:cs="宋体"/>
      <w:sz w:val="24"/>
      <w:szCs w:val="20"/>
    </w:rPr>
  </w:style>
  <w:style w:type="paragraph" w:styleId="1401">
    <w:name w:val="标准文件_标准正文"/>
    <w:basedOn w:val="960"/>
    <w:next w:val="1401"/>
    <w:link w:val="960"/>
    <w:uiPriority w:val="99"/>
    <w:qFormat/>
    <w:pPr>
      <w:ind w:firstLine="560"/>
      <w:jc w:val="left"/>
      <w:spacing w:line="300" w:lineRule="auto"/>
      <w:widowControl/>
    </w:pPr>
    <w:rPr>
      <w:rFonts w:ascii="宋体" w:hAnsi="宋体" w:cs="Calibri"/>
      <w:bCs/>
      <w:color w:val="000000"/>
      <w:sz w:val="28"/>
      <w:szCs w:val="28"/>
    </w:rPr>
  </w:style>
  <w:style w:type="paragraph" w:styleId="1402">
    <w:name w:val="WPSOffice手动目录 1"/>
    <w:next w:val="1402"/>
    <w:link w:val="960"/>
    <w:rPr>
      <w:lang w:val="en-US" w:eastAsia="zh-CN" w:bidi="ar-SA"/>
    </w:rPr>
  </w:style>
  <w:style w:type="paragraph" w:styleId="1403">
    <w:name w:val="Table Text"/>
    <w:basedOn w:val="960"/>
    <w:next w:val="1403"/>
    <w:link w:val="960"/>
    <w:semiHidden/>
    <w:qFormat/>
    <w:rPr>
      <w:rFonts w:ascii="宋体" w:hAnsi="宋体" w:eastAsia="宋体" w:cs="宋体"/>
      <w:sz w:val="21"/>
      <w:szCs w:val="21"/>
      <w:lang w:val="en-US" w:eastAsia="en-US" w:bidi="ar-SA"/>
    </w:rPr>
  </w:style>
  <w:style w:type="paragraph" w:styleId="1404">
    <w:name w:val="样式 标题 2 + 宋体 五号 非加粗 黑色"/>
    <w:basedOn w:val="962"/>
    <w:next w:val="1404"/>
    <w:link w:val="960"/>
    <w:qFormat/>
    <w:pPr>
      <w:jc w:val="center"/>
      <w:spacing w:line="416" w:lineRule="atLeast"/>
    </w:pPr>
    <w:rPr>
      <w:rFonts w:ascii="宋体" w:hAnsi="宋体" w:eastAsia="宋体" w:cs="Times New Roman"/>
      <w:b w:val="0"/>
      <w:bCs w:val="0"/>
      <w:color w:val="000000"/>
      <w:sz w:val="21"/>
    </w:rPr>
  </w:style>
  <w:style w:type="character" w:styleId="1405">
    <w:name w:val="ask-title2"/>
    <w:next w:val="1405"/>
    <w:link w:val="960"/>
    <w:qFormat/>
  </w:style>
  <w:style w:type="paragraph" w:styleId="1406">
    <w:name w:val="内嵌文档标题1"/>
    <w:next w:val="960"/>
    <w:link w:val="960"/>
    <w:qFormat/>
    <w:pPr>
      <w:jc w:val="center"/>
      <w:spacing w:before="240" w:after="240" w:line="360" w:lineRule="auto"/>
      <w:widowControl w:val="off"/>
      <w:outlineLvl w:val="0"/>
    </w:pPr>
    <w:rPr>
      <w:b/>
      <w:sz w:val="24"/>
      <w:lang w:val="en-US" w:eastAsia="zh-CN" w:bidi="ar-SA"/>
    </w:rPr>
  </w:style>
  <w:style w:type="paragraph" w:styleId="1407">
    <w:name w:val="附录标题"/>
    <w:next w:val="960"/>
    <w:link w:val="960"/>
    <w:qFormat/>
    <w:pPr>
      <w:spacing w:after="240"/>
      <w:widowControl w:val="off"/>
      <w:outlineLvl w:val="0"/>
    </w:pPr>
    <w:rPr>
      <w:b/>
      <w:sz w:val="24"/>
      <w:lang w:val="en-US" w:eastAsia="zh-CN" w:bidi="ar-SA"/>
    </w:rPr>
  </w:style>
  <w:style w:type="paragraph" w:styleId="1408">
    <w:name w:val="标题 31"/>
    <w:basedOn w:val="960"/>
    <w:next w:val="1211"/>
    <w:link w:val="960"/>
    <w:uiPriority w:val="1"/>
    <w:qFormat/>
    <w:pPr>
      <w:ind w:left="1"/>
      <w:jc w:val="center"/>
      <w:outlineLvl w:val="3"/>
    </w:pPr>
    <w:rPr>
      <w:b/>
      <w:bCs/>
      <w:sz w:val="28"/>
      <w:szCs w:val="28"/>
      <w:lang w:val="en-US" w:bidi="ar-SA"/>
    </w:rPr>
  </w:style>
  <w:style w:type="character" w:styleId="1409">
    <w:name w:val="active16"/>
    <w:next w:val="1409"/>
    <w:link w:val="960"/>
    <w:rPr>
      <w:color w:val="ffffff"/>
      <w:shd w:val="clear" w:color="auto" w:fill="0f5bb9"/>
    </w:rPr>
  </w:style>
  <w:style w:type="paragraph" w:styleId="1410">
    <w:name w:val="正文 A"/>
    <w:next w:val="1410"/>
    <w:link w:val="960"/>
    <w:qFormat/>
    <w:pPr>
      <w:jc w:val="both"/>
      <w:widowControl w:val="off"/>
    </w:pPr>
    <w:rPr>
      <w:rFonts w:eastAsia="Arial Unicode MS" w:cs="Arial Unicode MS"/>
      <w:color w:val="000000"/>
      <w:sz w:val="21"/>
      <w:szCs w:val="21"/>
      <w:lang w:val="en-US" w:eastAsia="zh-CN" w:bidi="ar-SA"/>
    </w:rPr>
  </w:style>
  <w:style w:type="paragraph" w:styleId="1411">
    <w:name w:val="标题 21"/>
    <w:basedOn w:val="960"/>
    <w:next w:val="960"/>
    <w:link w:val="960"/>
    <w:qFormat/>
    <w:pPr>
      <w:jc w:val="center"/>
      <w:keepLines/>
      <w:keepNext/>
      <w:spacing w:before="260" w:after="260" w:line="416" w:lineRule="auto"/>
      <w:outlineLvl w:val="1"/>
    </w:pPr>
    <w:rPr>
      <w:rFonts w:ascii="Arial" w:hAnsi="Arial" w:eastAsia="幼圆"/>
      <w:b/>
      <w:bCs/>
      <w:sz w:val="44"/>
      <w:szCs w:val="44"/>
    </w:rPr>
  </w:style>
  <w:style w:type="paragraph" w:styleId="1412">
    <w:name w:val="普通(网站)1"/>
    <w:basedOn w:val="960"/>
    <w:next w:val="1412"/>
    <w:link w:val="960"/>
    <w:qFormat/>
    <w:pPr>
      <w:jc w:val="left"/>
      <w:spacing w:before="100" w:beforeAutospacing="1" w:after="100" w:afterAutospacing="1"/>
      <w:widowControl/>
    </w:pPr>
    <w:rPr>
      <w:rFonts w:ascii="宋体" w:hAnsi="宋体"/>
      <w:sz w:val="24"/>
    </w:rPr>
  </w:style>
  <w:style w:type="character" w:styleId="1413">
    <w:name w:val="font91"/>
    <w:next w:val="1413"/>
    <w:link w:val="960"/>
    <w:qFormat/>
    <w:rPr>
      <w:rFonts w:hint="eastAsia" w:ascii="宋体" w:hAnsi="宋体" w:eastAsia="宋体" w:cs="宋体"/>
      <w:color w:val="000000"/>
      <w:sz w:val="22"/>
      <w:szCs w:val="22"/>
      <w:u w:val="none"/>
    </w:rPr>
  </w:style>
  <w:style w:type="character" w:styleId="1414">
    <w:name w:val="font121"/>
    <w:next w:val="1414"/>
    <w:link w:val="960"/>
    <w:rPr>
      <w:rFonts w:ascii="Times New Roman" w:hAnsi="Times New Roman" w:cs="Times New Roman"/>
      <w:i w:val="0"/>
      <w:iCs w:val="0"/>
      <w:color w:val="000000"/>
      <w:sz w:val="22"/>
      <w:szCs w:val="22"/>
      <w:u w:val="none"/>
    </w:rPr>
  </w:style>
  <w:style w:type="character" w:styleId="1415">
    <w:name w:val="font131"/>
    <w:next w:val="1415"/>
    <w:link w:val="960"/>
    <w:rPr>
      <w:rFonts w:ascii="Wingdings" w:hAnsi="Wingdings" w:cs="Wingdings"/>
      <w:i w:val="0"/>
      <w:iCs w:val="0"/>
      <w:color w:val="000000"/>
      <w:sz w:val="22"/>
      <w:szCs w:val="22"/>
      <w:u w:val="none"/>
    </w:rPr>
  </w:style>
  <w:style w:type="paragraph" w:styleId="1416">
    <w:name w:val="标题1"/>
    <w:basedOn w:val="960"/>
    <w:next w:val="1416"/>
    <w:link w:val="960"/>
    <w:uiPriority w:val="10"/>
    <w:qFormat/>
    <w:pPr>
      <w:jc w:val="center"/>
      <w:spacing w:before="240" w:after="60"/>
      <w:outlineLvl w:val="0"/>
    </w:pPr>
    <w:rPr>
      <w:rFonts w:ascii="Cambria" w:hAnsi="Cambria"/>
      <w:b/>
      <w:bCs/>
      <w:sz w:val="32"/>
      <w:szCs w:val="32"/>
    </w:rPr>
  </w:style>
  <w:style w:type="paragraph" w:styleId="1417">
    <w:name w:val="纯文本1"/>
    <w:basedOn w:val="960"/>
    <w:next w:val="1417"/>
    <w:link w:val="960"/>
    <w:qFormat/>
    <w:rPr>
      <w:rFonts w:ascii="宋体" w:hAnsi="Courier New"/>
      <w:szCs w:val="21"/>
    </w:rPr>
  </w:style>
  <w:style w:type="paragraph" w:styleId="1418">
    <w:name w:val="正文缩进11"/>
    <w:basedOn w:val="960"/>
    <w:next w:val="1418"/>
    <w:link w:val="960"/>
    <w:qFormat/>
    <w:pPr>
      <w:ind w:firstLine="420"/>
    </w:pPr>
  </w:style>
  <w:style w:type="paragraph" w:styleId="1419">
    <w:name w:val="索引 41"/>
    <w:basedOn w:val="960"/>
    <w:next w:val="960"/>
    <w:link w:val="960"/>
    <w:semiHidden/>
    <w:qFormat/>
    <w:pPr>
      <w:ind w:left="1260"/>
    </w:pPr>
    <w:rPr>
      <w:rFonts w:ascii="Calibri" w:hAnsi="Calibri" w:eastAsia="Calibri" w:cs="宋体"/>
      <w:sz w:val="20"/>
      <w:lang w:val="zh-CN"/>
    </w:rPr>
  </w:style>
  <w:style w:type="paragraph" w:styleId="1420">
    <w:name w:val="Body text|1"/>
    <w:next w:val="1420"/>
    <w:link w:val="960"/>
    <w:qFormat/>
    <w:pPr>
      <w:ind w:firstLine="400"/>
      <w:jc w:val="both"/>
      <w:spacing w:line="391" w:lineRule="auto"/>
      <w:widowControl w:val="off"/>
    </w:pPr>
    <w:rPr>
      <w:rFonts w:ascii="宋体" w:hAnsi="宋体" w:cs="宋体"/>
      <w:sz w:val="30"/>
      <w:szCs w:val="30"/>
      <w:lang w:val="zh-TW" w:eastAsia="zh-TW" w:bidi="zh-TW"/>
    </w:rPr>
  </w:style>
  <w:style w:type="paragraph" w:styleId="1421">
    <w:name w:val="Table caption|1"/>
    <w:next w:val="1421"/>
    <w:link w:val="960"/>
    <w:qFormat/>
    <w:pPr>
      <w:jc w:val="both"/>
      <w:widowControl w:val="off"/>
    </w:pPr>
    <w:rPr>
      <w:rFonts w:ascii="宋体" w:hAnsi="宋体" w:cs="宋体"/>
      <w:sz w:val="21"/>
      <w:lang w:val="zh-TW" w:eastAsia="zh-TW" w:bidi="zh-TW"/>
    </w:rPr>
  </w:style>
  <w:style w:type="paragraph" w:styleId="1422">
    <w:name w:val="Other|1"/>
    <w:next w:val="1422"/>
    <w:link w:val="960"/>
    <w:qFormat/>
    <w:pPr>
      <w:ind w:firstLine="400"/>
      <w:jc w:val="both"/>
      <w:spacing w:line="391" w:lineRule="auto"/>
      <w:widowControl w:val="off"/>
    </w:pPr>
    <w:rPr>
      <w:rFonts w:ascii="宋体" w:hAnsi="宋体" w:cs="宋体"/>
      <w:sz w:val="30"/>
      <w:szCs w:val="30"/>
      <w:lang w:val="zh-TW" w:eastAsia="zh-TW" w:bidi="zh-TW"/>
    </w:rPr>
  </w:style>
  <w:style w:type="paragraph" w:styleId="1423">
    <w:name w:val="页眉1"/>
    <w:basedOn w:val="960"/>
    <w:next w:val="1423"/>
    <w:link w:val="960"/>
    <w:uiPriority w:val="99"/>
    <w:qFormat/>
    <w:pPr>
      <w:jc w:val="center"/>
      <w:tabs>
        <w:tab w:val="center" w:pos="4153" w:leader="none"/>
        <w:tab w:val="right" w:pos="8306" w:leader="none"/>
      </w:tabs>
      <w:pBdr>
        <w:bottom w:val="single" w:color="000000" w:sz="6" w:space="1"/>
      </w:pBdr>
    </w:pPr>
    <w:rPr>
      <w:sz w:val="18"/>
    </w:rPr>
  </w:style>
  <w:style w:type="paragraph" w:styleId="1424">
    <w:name w:val="页脚1"/>
    <w:basedOn w:val="960"/>
    <w:next w:val="1424"/>
    <w:link w:val="960"/>
    <w:uiPriority w:val="99"/>
    <w:qFormat/>
    <w:pPr>
      <w:jc w:val="left"/>
      <w:tabs>
        <w:tab w:val="center" w:pos="4153" w:leader="none"/>
        <w:tab w:val="right" w:pos="8306" w:leader="none"/>
      </w:tabs>
    </w:pPr>
    <w:rPr>
      <w:sz w:val="18"/>
    </w:rPr>
  </w:style>
  <w:style w:type="paragraph" w:styleId="1425">
    <w:name w:val="Normal_0"/>
    <w:next w:val="1425"/>
    <w:link w:val="960"/>
    <w:qFormat/>
    <w:pPr>
      <w:jc w:val="both"/>
      <w:widowControl w:val="off"/>
    </w:pPr>
    <w:rPr>
      <w:rFonts w:ascii="Calibri" w:hAnsi="Calibri" w:eastAsia="宋体" w:cs="Calibri"/>
      <w:lang w:eastAsia="zh-CN"/>
    </w:rPr>
  </w:style>
  <w:style w:type="paragraph" w:styleId="1426">
    <w:name w:val="标题3_0"/>
    <w:basedOn w:val="1427"/>
    <w:next w:val="1426"/>
    <w:link w:val="960"/>
    <w:qFormat/>
    <w:pPr>
      <w:jc w:val="center"/>
      <w:outlineLvl w:val="2"/>
    </w:pPr>
    <w:rPr>
      <w:rFonts w:ascii="黑体" w:hAnsi="黑体" w:eastAsia="黑体" w:cs="Times New Roman"/>
      <w:b/>
      <w:sz w:val="32"/>
      <w:szCs w:val="32"/>
    </w:rPr>
  </w:style>
  <w:style w:type="paragraph" w:styleId="1427">
    <w:name w:val="正文_1"/>
    <w:next w:val="1427"/>
    <w:link w:val="960"/>
    <w:qFormat/>
    <w:pPr>
      <w:jc w:val="both"/>
      <w:widowControl w:val="off"/>
    </w:pPr>
    <w:rPr>
      <w:rFonts w:ascii="Calibri" w:hAnsi="Calibri" w:eastAsia="宋体" w:cs="Calibri"/>
      <w:szCs w:val="24"/>
      <w:lang w:eastAsia="zh-CN"/>
    </w:rPr>
  </w:style>
  <w:style w:type="paragraph" w:styleId="1428">
    <w:name w:val="正文文本缩进 22"/>
    <w:basedOn w:val="1214"/>
    <w:next w:val="1428"/>
    <w:link w:val="960"/>
    <w:qFormat/>
    <w:pPr>
      <w:ind w:left="420"/>
      <w:spacing w:after="120" w:line="480" w:lineRule="auto"/>
    </w:pPr>
    <w:rPr>
      <w:rFonts w:eastAsia="Times New Roman"/>
      <w:szCs w:val="24"/>
    </w:rPr>
  </w:style>
  <w:style w:type="paragraph" w:styleId="1429">
    <w:name w:val="Plain Text_0"/>
    <w:basedOn w:val="1214"/>
    <w:next w:val="1429"/>
    <w:link w:val="960"/>
    <w:qFormat/>
    <w:rPr>
      <w:rFonts w:ascii="宋体" w:hAnsi="Courier New" w:eastAsia="Times New Roman" w:cs="Courier New"/>
      <w:szCs w:val="21"/>
    </w:rPr>
  </w:style>
  <w:style w:type="paragraph" w:styleId="1430">
    <w:name w:val="正文_0_2"/>
    <w:next w:val="1430"/>
    <w:link w:val="960"/>
    <w:qFormat/>
    <w:pPr>
      <w:jc w:val="both"/>
      <w:widowControl w:val="off"/>
    </w:pPr>
    <w:rPr>
      <w:rFonts w:ascii="Calibri" w:hAnsi="Calibri" w:eastAsia="宋体" w:cs="Calibri"/>
      <w:szCs w:val="24"/>
      <w:lang w:eastAsia="zh-CN"/>
    </w:rPr>
  </w:style>
  <w:style w:type="paragraph" w:styleId="1431">
    <w:name w:val="Normal_1"/>
    <w:next w:val="1431"/>
    <w:link w:val="960"/>
    <w:qFormat/>
    <w:pPr>
      <w:jc w:val="both"/>
      <w:widowControl w:val="off"/>
    </w:pPr>
    <w:rPr>
      <w:rFonts w:ascii="Calibri" w:hAnsi="Calibri" w:eastAsia="宋体" w:cs="Times New Roman"/>
      <w:lang w:eastAsia="zh-CN"/>
    </w:rPr>
  </w:style>
  <w:style w:type="paragraph" w:styleId="1432">
    <w:name w:val="pa-13"/>
    <w:basedOn w:val="1214"/>
    <w:next w:val="1432"/>
    <w:link w:val="960"/>
    <w:qFormat/>
    <w:pPr>
      <w:jc w:val="left"/>
      <w:spacing w:before="100" w:beforeAutospacing="1" w:after="100" w:afterAutospacing="1"/>
      <w:widowControl/>
    </w:pPr>
    <w:rPr>
      <w:rFonts w:ascii="宋体" w:hAnsi="宋体" w:eastAsia="Times New Roman" w:cs="宋体"/>
      <w:sz w:val="24"/>
      <w:szCs w:val="24"/>
    </w:rPr>
  </w:style>
  <w:style w:type="character" w:styleId="1433">
    <w:name w:val="ca-10"/>
    <w:next w:val="1433"/>
    <w:link w:val="960"/>
    <w:qFormat/>
    <w:rPr>
      <w:rFonts w:eastAsia="Times New Roman"/>
    </w:rPr>
  </w:style>
  <w:style w:type="paragraph" w:styleId="1434">
    <w:name w:val="pa-14"/>
    <w:basedOn w:val="1214"/>
    <w:next w:val="1434"/>
    <w:link w:val="960"/>
    <w:qFormat/>
    <w:pPr>
      <w:jc w:val="left"/>
      <w:spacing w:before="100" w:beforeAutospacing="1" w:after="100" w:afterAutospacing="1"/>
      <w:widowControl/>
    </w:pPr>
    <w:rPr>
      <w:rFonts w:ascii="宋体" w:hAnsi="宋体" w:eastAsia="Times New Roman" w:cs="宋体"/>
      <w:sz w:val="24"/>
      <w:szCs w:val="24"/>
    </w:rPr>
  </w:style>
  <w:style w:type="paragraph" w:styleId="1435">
    <w:name w:val="pa-15"/>
    <w:basedOn w:val="1214"/>
    <w:next w:val="1435"/>
    <w:link w:val="960"/>
    <w:qFormat/>
    <w:pPr>
      <w:jc w:val="left"/>
      <w:spacing w:before="100" w:beforeAutospacing="1" w:after="100" w:afterAutospacing="1"/>
      <w:widowControl/>
    </w:pPr>
    <w:rPr>
      <w:rFonts w:ascii="宋体" w:hAnsi="宋体" w:eastAsia="Times New Roman" w:cs="宋体"/>
      <w:sz w:val="24"/>
      <w:szCs w:val="24"/>
    </w:rPr>
  </w:style>
  <w:style w:type="character" w:styleId="1436">
    <w:name w:val="ca-2"/>
    <w:next w:val="1436"/>
    <w:link w:val="960"/>
    <w:qFormat/>
    <w:rPr>
      <w:rFonts w:eastAsia="Times New Roman"/>
    </w:rPr>
  </w:style>
  <w:style w:type="character" w:styleId="1437">
    <w:name w:val="apple-converted-space"/>
    <w:next w:val="1437"/>
    <w:link w:val="960"/>
    <w:qFormat/>
    <w:rPr>
      <w:rFonts w:eastAsia="Times New Roman"/>
    </w:rPr>
  </w:style>
  <w:style w:type="character" w:styleId="1438">
    <w:name w:val="last-child"/>
    <w:basedOn w:val="970"/>
    <w:next w:val="1438"/>
    <w:link w:val="960"/>
  </w:style>
  <w:style w:type="character" w:styleId="1439" w:default="1">
    <w:name w:val="Default Paragraph Font"/>
    <w:uiPriority w:val="1"/>
    <w:semiHidden/>
    <w:unhideWhenUsed/>
  </w:style>
  <w:style w:type="numbering" w:styleId="1440" w:default="1">
    <w:name w:val="No List"/>
    <w:uiPriority w:val="99"/>
    <w:semiHidden/>
    <w:unhideWhenUsed/>
  </w:style>
  <w:style w:type="table" w:styleId="14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陆</dc:creator>
  <cp:lastModifiedBy>陆蓉</cp:lastModifiedBy>
  <cp:revision>9</cp:revision>
  <dcterms:created xsi:type="dcterms:W3CDTF">2026-06-24T01:21:00Z</dcterms:created>
  <dcterms:modified xsi:type="dcterms:W3CDTF">2026-10-14T05:54:35Z</dcterms:modified>
</cp:coreProperties>
</file>